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0CBF6E" w14:textId="77777777" w:rsidR="00D631CA" w:rsidRPr="00D631CA" w:rsidRDefault="009D333D" w:rsidP="00D631CA">
      <w:pPr>
        <w:spacing w:before="240"/>
        <w:jc w:val="right"/>
        <w:rPr>
          <w:rFonts w:ascii="ITC Avant Garde" w:hAnsi="ITC Avant Garde" w:cs="Arial"/>
        </w:rPr>
      </w:pPr>
      <w:r w:rsidRPr="00D631CA">
        <w:rPr>
          <w:rFonts w:ascii="ITC Avant Garde" w:hAnsi="ITC Avant Garde" w:cs="Arial"/>
        </w:rPr>
        <w:t xml:space="preserve">Ciudad de México, a 6 de Diciembre de </w:t>
      </w:r>
      <w:r w:rsidR="00382941" w:rsidRPr="00D631CA">
        <w:rPr>
          <w:rFonts w:ascii="ITC Avant Garde" w:hAnsi="ITC Avant Garde" w:cs="Arial"/>
        </w:rPr>
        <w:t>2017</w:t>
      </w:r>
    </w:p>
    <w:p w14:paraId="0C83172F" w14:textId="1C735190" w:rsidR="00483DBB" w:rsidRPr="00D631CA" w:rsidRDefault="00483DBB" w:rsidP="00D631CA">
      <w:pPr>
        <w:spacing w:after="0"/>
        <w:jc w:val="both"/>
        <w:rPr>
          <w:rFonts w:ascii="ITC Avant Garde" w:hAnsi="ITC Avant Garde"/>
          <w:b/>
          <w:lang w:eastAsia="es-MX"/>
        </w:rPr>
      </w:pPr>
      <w:r w:rsidRPr="00D631CA">
        <w:rPr>
          <w:rFonts w:ascii="ITC Avant Garde" w:hAnsi="ITC Avant Garde"/>
          <w:b/>
          <w:lang w:eastAsia="es-MX"/>
        </w:rPr>
        <w:t>RECURRENTE:</w:t>
      </w:r>
    </w:p>
    <w:p w14:paraId="1C1D0B04" w14:textId="77777777" w:rsidR="00483DBB" w:rsidRPr="00D631CA" w:rsidRDefault="00483DBB" w:rsidP="00D631CA">
      <w:pPr>
        <w:spacing w:after="0"/>
        <w:jc w:val="both"/>
        <w:rPr>
          <w:rFonts w:ascii="ITC Avant Garde" w:hAnsi="ITC Avant Garde"/>
          <w:b/>
          <w:lang w:eastAsia="es-MX"/>
        </w:rPr>
      </w:pPr>
      <w:r w:rsidRPr="00D631CA">
        <w:rPr>
          <w:rFonts w:ascii="ITC Avant Garde" w:hAnsi="ITC Avant Garde"/>
          <w:b/>
          <w:lang w:eastAsia="es-MX"/>
        </w:rPr>
        <w:t>BAJA CELULAR MEXICANA, S.A. DE C.V.;</w:t>
      </w:r>
    </w:p>
    <w:p w14:paraId="213C60FC" w14:textId="77777777" w:rsidR="00483DBB" w:rsidRPr="00D631CA" w:rsidRDefault="00483DBB" w:rsidP="00D631CA">
      <w:pPr>
        <w:spacing w:after="0"/>
        <w:jc w:val="both"/>
        <w:rPr>
          <w:rFonts w:ascii="ITC Avant Garde" w:hAnsi="ITC Avant Garde"/>
          <w:b/>
          <w:lang w:eastAsia="es-MX"/>
        </w:rPr>
      </w:pPr>
      <w:r w:rsidRPr="00D631CA">
        <w:rPr>
          <w:rFonts w:ascii="ITC Avant Garde" w:hAnsi="ITC Avant Garde"/>
          <w:b/>
          <w:lang w:eastAsia="es-MX"/>
        </w:rPr>
        <w:t>CELULAR DE TELEFONÍA, S.A. DE C.V.;</w:t>
      </w:r>
    </w:p>
    <w:p w14:paraId="246176CB" w14:textId="77777777" w:rsidR="00483DBB" w:rsidRPr="00D631CA" w:rsidRDefault="00483DBB" w:rsidP="00D631CA">
      <w:pPr>
        <w:spacing w:after="0"/>
        <w:jc w:val="both"/>
        <w:rPr>
          <w:rFonts w:ascii="ITC Avant Garde" w:hAnsi="ITC Avant Garde"/>
          <w:b/>
          <w:lang w:eastAsia="es-MX"/>
        </w:rPr>
      </w:pPr>
      <w:r w:rsidRPr="00D631CA">
        <w:rPr>
          <w:rFonts w:ascii="ITC Avant Garde" w:hAnsi="ITC Avant Garde"/>
          <w:b/>
          <w:lang w:eastAsia="es-MX"/>
        </w:rPr>
        <w:t>MOVITEL DEL NOROESTE, S.A. DE C.V.;</w:t>
      </w:r>
    </w:p>
    <w:p w14:paraId="4A171C04" w14:textId="77777777" w:rsidR="00483DBB" w:rsidRPr="00D631CA" w:rsidRDefault="00483DBB" w:rsidP="00D631CA">
      <w:pPr>
        <w:spacing w:after="0"/>
        <w:jc w:val="both"/>
        <w:rPr>
          <w:rFonts w:ascii="ITC Avant Garde" w:hAnsi="ITC Avant Garde"/>
          <w:b/>
          <w:lang w:eastAsia="es-MX"/>
        </w:rPr>
      </w:pPr>
      <w:r w:rsidRPr="00D631CA">
        <w:rPr>
          <w:rFonts w:ascii="ITC Avant Garde" w:hAnsi="ITC Avant Garde"/>
          <w:b/>
          <w:lang w:eastAsia="es-MX"/>
        </w:rPr>
        <w:t>TELEFONÍA CELULAR DEL NORTE, S.A. DE C.V.;</w:t>
      </w:r>
    </w:p>
    <w:p w14:paraId="739AB039" w14:textId="77777777" w:rsidR="00483DBB" w:rsidRPr="00D631CA" w:rsidRDefault="00483DBB" w:rsidP="00D631CA">
      <w:pPr>
        <w:spacing w:after="0"/>
        <w:jc w:val="both"/>
        <w:rPr>
          <w:rFonts w:ascii="ITC Avant Garde" w:hAnsi="ITC Avant Garde"/>
          <w:b/>
          <w:lang w:eastAsia="es-MX"/>
        </w:rPr>
      </w:pPr>
      <w:r w:rsidRPr="00D631CA">
        <w:rPr>
          <w:rFonts w:ascii="ITC Avant Garde" w:hAnsi="ITC Avant Garde"/>
          <w:b/>
          <w:lang w:eastAsia="es-MX"/>
        </w:rPr>
        <w:t>PEGASO COMUNICACIONES Y SISTEMAS, S.A. DE C.V.</w:t>
      </w:r>
    </w:p>
    <w:p w14:paraId="106774B2" w14:textId="77777777" w:rsidR="00483DBB" w:rsidRPr="00D631CA" w:rsidRDefault="00483DBB" w:rsidP="00D631CA">
      <w:pPr>
        <w:spacing w:after="0"/>
        <w:jc w:val="both"/>
        <w:rPr>
          <w:rFonts w:ascii="ITC Avant Garde" w:hAnsi="ITC Avant Garde"/>
          <w:b/>
          <w:lang w:eastAsia="es-MX"/>
        </w:rPr>
      </w:pPr>
      <w:r w:rsidRPr="00D631CA">
        <w:rPr>
          <w:rFonts w:ascii="ITC Avant Garde" w:hAnsi="ITC Avant Garde"/>
          <w:b/>
          <w:lang w:eastAsia="es-MX"/>
        </w:rPr>
        <w:t>HOY PEGASO PCS, S.A. DE C.V.</w:t>
      </w:r>
    </w:p>
    <w:p w14:paraId="6BF4790C" w14:textId="77777777" w:rsidR="00483DBB" w:rsidRPr="00D631CA" w:rsidRDefault="00483DBB" w:rsidP="00D631CA">
      <w:pPr>
        <w:spacing w:after="0"/>
        <w:jc w:val="both"/>
        <w:rPr>
          <w:rFonts w:ascii="ITC Avant Garde" w:hAnsi="ITC Avant Garde"/>
          <w:lang w:eastAsia="es-MX"/>
        </w:rPr>
      </w:pPr>
      <w:r w:rsidRPr="00D631CA">
        <w:rPr>
          <w:rFonts w:ascii="ITC Avant Garde" w:hAnsi="ITC Avant Garde"/>
          <w:lang w:eastAsia="es-MX"/>
        </w:rPr>
        <w:t xml:space="preserve">BOULEVARD MANUEL ÁVILA CAMACHO NÚMERO 24, PH, </w:t>
      </w:r>
    </w:p>
    <w:p w14:paraId="1CD4BDE5" w14:textId="77777777" w:rsidR="00483DBB" w:rsidRPr="00D631CA" w:rsidRDefault="00483DBB" w:rsidP="00D631CA">
      <w:pPr>
        <w:spacing w:after="0"/>
        <w:jc w:val="both"/>
        <w:rPr>
          <w:rFonts w:ascii="ITC Avant Garde" w:hAnsi="ITC Avant Garde"/>
          <w:lang w:eastAsia="es-MX"/>
        </w:rPr>
      </w:pPr>
      <w:r w:rsidRPr="00D631CA">
        <w:rPr>
          <w:rFonts w:ascii="ITC Avant Garde" w:hAnsi="ITC Avant Garde"/>
          <w:lang w:eastAsia="es-MX"/>
        </w:rPr>
        <w:t xml:space="preserve">COLONIA LOMAS DE CHAPULTEPEC, </w:t>
      </w:r>
    </w:p>
    <w:p w14:paraId="2885A979" w14:textId="77777777" w:rsidR="00483DBB" w:rsidRPr="00D631CA" w:rsidRDefault="00483DBB" w:rsidP="00D631CA">
      <w:pPr>
        <w:spacing w:after="0"/>
        <w:jc w:val="both"/>
        <w:rPr>
          <w:rFonts w:ascii="ITC Avant Garde" w:hAnsi="ITC Avant Garde"/>
          <w:lang w:eastAsia="es-MX"/>
        </w:rPr>
      </w:pPr>
      <w:r w:rsidRPr="00D631CA">
        <w:rPr>
          <w:rFonts w:ascii="ITC Avant Garde" w:hAnsi="ITC Avant Garde"/>
          <w:lang w:eastAsia="es-MX"/>
        </w:rPr>
        <w:t>DELEGACIÓN MIGUEL HIDALGO, C.P.11000</w:t>
      </w:r>
    </w:p>
    <w:p w14:paraId="1F904A40" w14:textId="77777777" w:rsidR="00D631CA" w:rsidRPr="00D631CA" w:rsidRDefault="00483DBB" w:rsidP="00D631CA">
      <w:pPr>
        <w:spacing w:after="0"/>
        <w:jc w:val="both"/>
        <w:rPr>
          <w:rFonts w:ascii="ITC Avant Garde" w:hAnsi="ITC Avant Garde"/>
          <w:lang w:eastAsia="es-MX"/>
        </w:rPr>
      </w:pPr>
      <w:r w:rsidRPr="00D631CA">
        <w:rPr>
          <w:rFonts w:ascii="ITC Avant Garde" w:hAnsi="ITC Avant Garde"/>
          <w:lang w:eastAsia="es-MX"/>
        </w:rPr>
        <w:t>CIUDAD DE MÉXICO.</w:t>
      </w:r>
    </w:p>
    <w:p w14:paraId="5E3CCC7E" w14:textId="77777777" w:rsidR="00D631CA" w:rsidRPr="00D631CA" w:rsidRDefault="00D631CA" w:rsidP="00D631CA">
      <w:pPr>
        <w:spacing w:after="0"/>
        <w:jc w:val="both"/>
        <w:rPr>
          <w:rFonts w:ascii="ITC Avant Garde" w:hAnsi="ITC Avant Garde"/>
          <w:lang w:eastAsia="es-MX"/>
        </w:rPr>
      </w:pPr>
    </w:p>
    <w:p w14:paraId="21EB83E2" w14:textId="717B3AEB" w:rsidR="00D631CA" w:rsidRPr="00D631CA" w:rsidRDefault="00483DBB" w:rsidP="00D631CA">
      <w:pPr>
        <w:spacing w:after="0"/>
        <w:jc w:val="both"/>
        <w:rPr>
          <w:rFonts w:ascii="ITC Avant Garde" w:hAnsi="ITC Avant Garde"/>
          <w:b/>
          <w:lang w:eastAsia="es-MX"/>
        </w:rPr>
      </w:pPr>
      <w:r w:rsidRPr="00D631CA">
        <w:rPr>
          <w:rFonts w:ascii="ITC Avant Garde" w:hAnsi="ITC Avant Garde"/>
          <w:b/>
          <w:lang w:eastAsia="es-MX"/>
        </w:rPr>
        <w:t>TERCERO INTERESAD</w:t>
      </w:r>
      <w:r w:rsidR="00B830AD" w:rsidRPr="00D631CA">
        <w:rPr>
          <w:rFonts w:ascii="ITC Avant Garde" w:hAnsi="ITC Avant Garde"/>
          <w:b/>
          <w:lang w:eastAsia="es-MX"/>
        </w:rPr>
        <w:t>A</w:t>
      </w:r>
      <w:r w:rsidRPr="00D631CA">
        <w:rPr>
          <w:rFonts w:ascii="ITC Avant Garde" w:hAnsi="ITC Avant Garde"/>
          <w:b/>
          <w:lang w:eastAsia="es-MX"/>
        </w:rPr>
        <w:t>:</w:t>
      </w:r>
    </w:p>
    <w:p w14:paraId="4F4BC52A" w14:textId="5D7D1069" w:rsidR="00483DBB" w:rsidRPr="00D631CA" w:rsidRDefault="00483DBB" w:rsidP="00D631CA">
      <w:pPr>
        <w:spacing w:after="0"/>
        <w:jc w:val="both"/>
        <w:rPr>
          <w:rFonts w:ascii="ITC Avant Garde" w:hAnsi="ITC Avant Garde"/>
          <w:b/>
          <w:lang w:eastAsia="es-MX"/>
        </w:rPr>
      </w:pPr>
      <w:r w:rsidRPr="00D631CA">
        <w:rPr>
          <w:rFonts w:ascii="ITC Avant Garde" w:hAnsi="ITC Avant Garde"/>
          <w:b/>
          <w:lang w:eastAsia="es-MX"/>
        </w:rPr>
        <w:t>MARCATEL COM, S.A. DE C.V.</w:t>
      </w:r>
    </w:p>
    <w:p w14:paraId="28D7C7A2" w14:textId="77777777" w:rsidR="00483DBB" w:rsidRPr="00D631CA" w:rsidRDefault="00483DBB" w:rsidP="00D631CA">
      <w:pPr>
        <w:spacing w:after="0"/>
        <w:jc w:val="both"/>
        <w:rPr>
          <w:rFonts w:ascii="ITC Avant Garde" w:hAnsi="ITC Avant Garde"/>
          <w:lang w:eastAsia="es-MX"/>
        </w:rPr>
      </w:pPr>
      <w:r w:rsidRPr="00D631CA">
        <w:rPr>
          <w:rFonts w:ascii="ITC Avant Garde" w:hAnsi="ITC Avant Garde"/>
          <w:lang w:eastAsia="es-MX"/>
        </w:rPr>
        <w:t xml:space="preserve">AVENIDA ÁMSTERDAM, NÚMERO. 115, PISO 4, </w:t>
      </w:r>
    </w:p>
    <w:p w14:paraId="7912507D" w14:textId="77777777" w:rsidR="00483DBB" w:rsidRPr="00D631CA" w:rsidRDefault="00483DBB" w:rsidP="00D631CA">
      <w:pPr>
        <w:spacing w:after="0"/>
        <w:jc w:val="both"/>
        <w:rPr>
          <w:rFonts w:ascii="ITC Avant Garde" w:hAnsi="ITC Avant Garde"/>
          <w:lang w:eastAsia="es-MX"/>
        </w:rPr>
      </w:pPr>
      <w:r w:rsidRPr="00D631CA">
        <w:rPr>
          <w:rFonts w:ascii="ITC Avant Garde" w:hAnsi="ITC Avant Garde"/>
          <w:lang w:eastAsia="es-MX"/>
        </w:rPr>
        <w:t xml:space="preserve">COLONIA HIPÓDROMO CONDESA, </w:t>
      </w:r>
    </w:p>
    <w:p w14:paraId="4EA6C5EB" w14:textId="77777777" w:rsidR="00483DBB" w:rsidRPr="00D631CA" w:rsidRDefault="00483DBB" w:rsidP="00D631CA">
      <w:pPr>
        <w:spacing w:after="0"/>
        <w:jc w:val="both"/>
        <w:rPr>
          <w:rFonts w:ascii="ITC Avant Garde" w:hAnsi="ITC Avant Garde"/>
          <w:lang w:eastAsia="es-MX"/>
        </w:rPr>
      </w:pPr>
      <w:r w:rsidRPr="00D631CA">
        <w:rPr>
          <w:rFonts w:ascii="ITC Avant Garde" w:hAnsi="ITC Avant Garde"/>
          <w:lang w:eastAsia="es-MX"/>
        </w:rPr>
        <w:t xml:space="preserve">CÓDIGO POSTAL 01670, </w:t>
      </w:r>
    </w:p>
    <w:p w14:paraId="24B5B61C" w14:textId="77777777" w:rsidR="00D631CA" w:rsidRPr="00D631CA" w:rsidRDefault="00483DBB" w:rsidP="00D631CA">
      <w:pPr>
        <w:spacing w:after="0"/>
        <w:jc w:val="both"/>
        <w:rPr>
          <w:rFonts w:ascii="ITC Avant Garde" w:hAnsi="ITC Avant Garde"/>
          <w:lang w:eastAsia="es-MX"/>
        </w:rPr>
      </w:pPr>
      <w:r w:rsidRPr="00D631CA">
        <w:rPr>
          <w:rFonts w:ascii="ITC Avant Garde" w:hAnsi="ITC Avant Garde"/>
          <w:lang w:eastAsia="es-MX"/>
        </w:rPr>
        <w:t>CIUDAD DE MÉXICO.</w:t>
      </w:r>
    </w:p>
    <w:p w14:paraId="588F3BB5" w14:textId="10EBE9B2" w:rsidR="00D631CA" w:rsidRPr="00D631CA" w:rsidRDefault="00382941" w:rsidP="00D631CA">
      <w:pPr>
        <w:pStyle w:val="Ttulo1"/>
        <w:spacing w:after="240"/>
        <w:jc w:val="both"/>
        <w:rPr>
          <w:rFonts w:ascii="ITC Avant Garde" w:hAnsi="ITC Avant Garde"/>
          <w:b/>
          <w:color w:val="auto"/>
          <w:sz w:val="22"/>
          <w:szCs w:val="22"/>
        </w:rPr>
      </w:pPr>
      <w:r w:rsidRPr="00D631CA">
        <w:rPr>
          <w:rFonts w:ascii="ITC Avant Garde" w:hAnsi="ITC Avant Garde"/>
          <w:b/>
          <w:color w:val="auto"/>
          <w:sz w:val="22"/>
          <w:szCs w:val="22"/>
        </w:rPr>
        <w:t xml:space="preserve">RESOLUCIÓN </w:t>
      </w:r>
      <w:r w:rsidR="00331D26" w:rsidRPr="00D631CA">
        <w:rPr>
          <w:rFonts w:ascii="ITC Avant Garde" w:hAnsi="ITC Avant Garde"/>
          <w:b/>
          <w:color w:val="auto"/>
          <w:sz w:val="22"/>
          <w:szCs w:val="22"/>
        </w:rPr>
        <w:t xml:space="preserve">MEDIANTE </w:t>
      </w:r>
      <w:r w:rsidRPr="00D631CA">
        <w:rPr>
          <w:rFonts w:ascii="ITC Avant Garde" w:hAnsi="ITC Avant Garde"/>
          <w:b/>
          <w:color w:val="auto"/>
          <w:sz w:val="22"/>
          <w:szCs w:val="22"/>
        </w:rPr>
        <w:t xml:space="preserve">LA </w:t>
      </w:r>
      <w:r w:rsidR="00331D26" w:rsidRPr="00D631CA">
        <w:rPr>
          <w:rFonts w:ascii="ITC Avant Garde" w:hAnsi="ITC Avant Garde"/>
          <w:b/>
          <w:color w:val="auto"/>
          <w:sz w:val="22"/>
          <w:szCs w:val="22"/>
        </w:rPr>
        <w:t>CUAL</w:t>
      </w:r>
      <w:r w:rsidRPr="00D631CA">
        <w:rPr>
          <w:rFonts w:ascii="ITC Avant Garde" w:hAnsi="ITC Avant Garde"/>
          <w:b/>
          <w:color w:val="auto"/>
          <w:sz w:val="22"/>
          <w:szCs w:val="22"/>
        </w:rPr>
        <w:t xml:space="preserve"> EL PLENO DEL INSTITUTO FEDERAL DE TELECOMUNICACIONES RESUELVE EL RECURSO ADMINISTRATIVO DE REVISIÓN INTERPUESTO POR</w:t>
      </w:r>
      <w:r w:rsidRPr="00D631CA" w:rsidDel="007822B2">
        <w:rPr>
          <w:rFonts w:ascii="ITC Avant Garde" w:hAnsi="ITC Avant Garde"/>
          <w:b/>
          <w:color w:val="auto"/>
          <w:sz w:val="22"/>
          <w:szCs w:val="22"/>
        </w:rPr>
        <w:t xml:space="preserve"> </w:t>
      </w:r>
      <w:r w:rsidRPr="00D631CA">
        <w:rPr>
          <w:rFonts w:ascii="ITC Avant Garde" w:hAnsi="ITC Avant Garde"/>
          <w:b/>
          <w:color w:val="auto"/>
          <w:sz w:val="22"/>
          <w:szCs w:val="22"/>
        </w:rPr>
        <w:t xml:space="preserve">BAJA CELULAR MEXICANA, S.A. DE C.V., CELULAR DE TELEFONIA, S.A. DE C.V., MOVITEL DEL NOROESTE, S.A. DE C.V., TELEFONIA CELULAR DEL NORTE, S.A. DE C.V. Y PEGASO COMUNICACIONES Y SISTEMAS, S.A. DE C.V., (EN LO SUCESIVO, PEGASO PCS, S.A. DE C.V. EN SU CARÁCTER DE CAUSAHABIENTE DE LAS EMPRESAS RECURRENTES) EN CONTRA DE LA RESOLUCIÓN NÚMERO P/110412/136 EMITIDA POR EL PLENO DE LA </w:t>
      </w:r>
      <w:r w:rsidR="002C73E1" w:rsidRPr="00D631CA">
        <w:rPr>
          <w:rFonts w:ascii="ITC Avant Garde" w:hAnsi="ITC Avant Garde"/>
          <w:b/>
          <w:color w:val="auto"/>
          <w:sz w:val="22"/>
          <w:szCs w:val="22"/>
        </w:rPr>
        <w:t xml:space="preserve">EXTINTA </w:t>
      </w:r>
      <w:r w:rsidRPr="00D631CA">
        <w:rPr>
          <w:rFonts w:ascii="ITC Avant Garde" w:hAnsi="ITC Avant Garde"/>
          <w:b/>
          <w:color w:val="auto"/>
          <w:sz w:val="22"/>
          <w:szCs w:val="22"/>
        </w:rPr>
        <w:t xml:space="preserve">COMISIÓN </w:t>
      </w:r>
      <w:r w:rsidR="00D631CA" w:rsidRPr="00D631CA">
        <w:rPr>
          <w:rFonts w:ascii="ITC Avant Garde" w:hAnsi="ITC Avant Garde"/>
          <w:b/>
          <w:color w:val="auto"/>
          <w:sz w:val="22"/>
          <w:szCs w:val="22"/>
        </w:rPr>
        <w:t>FEDERAL DE TELECOMUNICACIONES.</w:t>
      </w:r>
    </w:p>
    <w:p w14:paraId="34165BB8" w14:textId="77777777" w:rsidR="00D631CA" w:rsidRPr="00D631CA" w:rsidRDefault="00382941" w:rsidP="00D631CA">
      <w:pPr>
        <w:keepNext/>
        <w:spacing w:before="240"/>
        <w:jc w:val="center"/>
        <w:outlineLvl w:val="1"/>
        <w:rPr>
          <w:rFonts w:ascii="ITC Avant Garde" w:eastAsia="Times New Roman" w:hAnsi="ITC Avant Garde" w:cs="Arial"/>
          <w:b/>
          <w:lang w:val="es-ES" w:eastAsia="es-MX"/>
        </w:rPr>
      </w:pPr>
      <w:r w:rsidRPr="00D631CA">
        <w:rPr>
          <w:rFonts w:ascii="ITC Avant Garde" w:eastAsia="Times New Roman" w:hAnsi="ITC Avant Garde" w:cs="Arial"/>
          <w:b/>
          <w:lang w:val="es-ES" w:eastAsia="es-MX"/>
        </w:rPr>
        <w:t>RESULTANDO</w:t>
      </w:r>
    </w:p>
    <w:p w14:paraId="42D48EAE" w14:textId="77777777" w:rsidR="00D631CA" w:rsidRPr="00D631CA" w:rsidRDefault="00382941" w:rsidP="00D631CA">
      <w:pPr>
        <w:numPr>
          <w:ilvl w:val="0"/>
          <w:numId w:val="1"/>
        </w:numPr>
        <w:spacing w:before="240"/>
        <w:contextualSpacing/>
        <w:jc w:val="both"/>
        <w:rPr>
          <w:rFonts w:ascii="ITC Avant Garde" w:hAnsi="ITC Avant Garde" w:cs="Arial"/>
        </w:rPr>
      </w:pPr>
      <w:r w:rsidRPr="00D631CA">
        <w:rPr>
          <w:rFonts w:ascii="ITC Avant Garde" w:hAnsi="ITC Avant Garde" w:cs="Arial"/>
        </w:rPr>
        <w:t xml:space="preserve">El 10 de noviembre de 2011, el representante legal de </w:t>
      </w:r>
      <w:proofErr w:type="spellStart"/>
      <w:r w:rsidRPr="00D631CA">
        <w:rPr>
          <w:rFonts w:ascii="ITC Avant Garde" w:hAnsi="ITC Avant Garde" w:cs="Arial"/>
        </w:rPr>
        <w:t>Marcatel</w:t>
      </w:r>
      <w:proofErr w:type="spellEnd"/>
      <w:r w:rsidRPr="00D631CA">
        <w:rPr>
          <w:rFonts w:ascii="ITC Avant Garde" w:hAnsi="ITC Avant Garde" w:cs="Arial"/>
        </w:rPr>
        <w:t xml:space="preserve"> </w:t>
      </w:r>
      <w:proofErr w:type="spellStart"/>
      <w:r w:rsidRPr="00D631CA">
        <w:rPr>
          <w:rFonts w:ascii="ITC Avant Garde" w:hAnsi="ITC Avant Garde" w:cs="Arial"/>
        </w:rPr>
        <w:t>Com</w:t>
      </w:r>
      <w:proofErr w:type="spellEnd"/>
      <w:r w:rsidRPr="00D631CA">
        <w:rPr>
          <w:rFonts w:ascii="ITC Avant Garde" w:hAnsi="ITC Avant Garde" w:cs="Arial"/>
        </w:rPr>
        <w:t>, S.A. de C.V. (en lo sucesivo, “</w:t>
      </w:r>
      <w:proofErr w:type="spellStart"/>
      <w:r w:rsidRPr="00D631CA">
        <w:rPr>
          <w:rFonts w:ascii="ITC Avant Garde" w:hAnsi="ITC Avant Garde" w:cs="Arial"/>
        </w:rPr>
        <w:t>Marcatel</w:t>
      </w:r>
      <w:proofErr w:type="spellEnd"/>
      <w:r w:rsidRPr="00D631CA">
        <w:rPr>
          <w:rFonts w:ascii="ITC Avant Garde" w:hAnsi="ITC Avant Garde" w:cs="Arial"/>
        </w:rPr>
        <w:t>”</w:t>
      </w:r>
      <w:r w:rsidR="00590006" w:rsidRPr="00D631CA">
        <w:rPr>
          <w:rFonts w:ascii="ITC Avant Garde" w:hAnsi="ITC Avant Garde" w:cs="Arial"/>
        </w:rPr>
        <w:t xml:space="preserve"> o tercero perjudicada</w:t>
      </w:r>
      <w:r w:rsidRPr="00D631CA">
        <w:rPr>
          <w:rFonts w:ascii="ITC Avant Garde" w:hAnsi="ITC Avant Garde" w:cs="Arial"/>
        </w:rPr>
        <w:t xml:space="preserve">), presentó ante la </w:t>
      </w:r>
      <w:r w:rsidR="002506C6" w:rsidRPr="00D631CA">
        <w:rPr>
          <w:rFonts w:ascii="ITC Avant Garde" w:hAnsi="ITC Avant Garde" w:cs="Arial"/>
        </w:rPr>
        <w:t xml:space="preserve">extinta </w:t>
      </w:r>
      <w:r w:rsidRPr="00D631CA">
        <w:rPr>
          <w:rFonts w:ascii="ITC Avant Garde" w:hAnsi="ITC Avant Garde" w:cs="Arial"/>
        </w:rPr>
        <w:t xml:space="preserve">Comisión Federal de Telecomunicaciones (en lo sucesivo, la “Comisión”) escritos mediante los cuales solicitan la intervención de ese órgano a efecto de que procediera a resolver las condiciones en materia de interconexión no convenidas entre la red pública de telecomunicaciones de telefonía local y de larga distancia de </w:t>
      </w:r>
      <w:proofErr w:type="spellStart"/>
      <w:r w:rsidRPr="00D631CA">
        <w:rPr>
          <w:rFonts w:ascii="ITC Avant Garde" w:hAnsi="ITC Avant Garde" w:cs="Arial"/>
        </w:rPr>
        <w:t>Marcatel</w:t>
      </w:r>
      <w:proofErr w:type="spellEnd"/>
      <w:r w:rsidRPr="00D631CA">
        <w:rPr>
          <w:rFonts w:ascii="ITC Avant Garde" w:hAnsi="ITC Avant Garde" w:cs="Arial"/>
        </w:rPr>
        <w:t xml:space="preserve"> y la red pública de telecomunicaciones de servicio local móvil de Grupo Telefónica.</w:t>
      </w:r>
    </w:p>
    <w:p w14:paraId="16E0DDFC" w14:textId="77777777" w:rsidR="00D631CA" w:rsidRPr="00D631CA" w:rsidRDefault="00382941" w:rsidP="00D631CA">
      <w:pPr>
        <w:spacing w:before="240"/>
        <w:ind w:left="720"/>
        <w:contextualSpacing/>
        <w:jc w:val="both"/>
        <w:rPr>
          <w:rFonts w:ascii="ITC Avant Garde" w:hAnsi="ITC Avant Garde" w:cs="Arial"/>
        </w:rPr>
      </w:pPr>
      <w:r w:rsidRPr="00D631CA">
        <w:rPr>
          <w:rFonts w:ascii="ITC Avant Garde" w:hAnsi="ITC Avant Garde" w:cs="Arial"/>
        </w:rPr>
        <w:lastRenderedPageBreak/>
        <w:t xml:space="preserve">Como consecuencia de lo anterior, </w:t>
      </w:r>
      <w:proofErr w:type="spellStart"/>
      <w:r w:rsidRPr="00D631CA">
        <w:rPr>
          <w:rFonts w:ascii="ITC Avant Garde" w:hAnsi="ITC Avant Garde" w:cs="Arial"/>
        </w:rPr>
        <w:t>Marcatel</w:t>
      </w:r>
      <w:proofErr w:type="spellEnd"/>
      <w:r w:rsidRPr="00D631CA">
        <w:rPr>
          <w:rFonts w:ascii="ITC Avant Garde" w:hAnsi="ITC Avant Garde" w:cs="Arial"/>
        </w:rPr>
        <w:t xml:space="preserve"> manifiesta que han transcurrido en exceso los 60 (sesenta) días establecidos en el artículo 42 de la Ley Federal de Telecomunicaciones, contados a partir de que presentó a Grupo Telefónica las solicitudes para el inicio formal de las negociaciones sin que hayan podido acordar las tarifas, términos y demás condiciones de interconexión entre sus respectivas redes públicas de telecomunicaciones.</w:t>
      </w:r>
    </w:p>
    <w:p w14:paraId="57926E8A" w14:textId="77777777" w:rsidR="00D631CA" w:rsidRPr="00D631CA" w:rsidRDefault="00382941" w:rsidP="00D631CA">
      <w:pPr>
        <w:numPr>
          <w:ilvl w:val="0"/>
          <w:numId w:val="1"/>
        </w:numPr>
        <w:spacing w:before="240"/>
        <w:contextualSpacing/>
        <w:jc w:val="both"/>
        <w:rPr>
          <w:rFonts w:ascii="ITC Avant Garde" w:hAnsi="ITC Avant Garde" w:cs="Arial"/>
        </w:rPr>
      </w:pPr>
      <w:r w:rsidRPr="00D631CA">
        <w:rPr>
          <w:rFonts w:ascii="ITC Avant Garde" w:hAnsi="ITC Avant Garde" w:cs="Arial"/>
        </w:rPr>
        <w:t>Previ</w:t>
      </w:r>
      <w:r w:rsidR="002506C6" w:rsidRPr="00D631CA">
        <w:rPr>
          <w:rFonts w:ascii="ITC Avant Garde" w:hAnsi="ITC Avant Garde" w:cs="Arial"/>
        </w:rPr>
        <w:t xml:space="preserve">amente a los trámites </w:t>
      </w:r>
      <w:r w:rsidRPr="00D631CA">
        <w:rPr>
          <w:rFonts w:ascii="ITC Avant Garde" w:hAnsi="ITC Avant Garde" w:cs="Arial"/>
        </w:rPr>
        <w:t xml:space="preserve">ley mediante resolución emitida por el Pleno de la Comisión Federal de Telecomunicaciones mediante acuerdo P/110412/136 de fecha 11 de abril de 2012, se determinaron las condiciones de interconexión no convenidas entre </w:t>
      </w:r>
      <w:proofErr w:type="spellStart"/>
      <w:r w:rsidRPr="00D631CA">
        <w:rPr>
          <w:rFonts w:ascii="ITC Avant Garde" w:hAnsi="ITC Avant Garde" w:cs="Arial"/>
        </w:rPr>
        <w:t>Marcatel</w:t>
      </w:r>
      <w:proofErr w:type="spellEnd"/>
      <w:r w:rsidRPr="00D631CA">
        <w:rPr>
          <w:rFonts w:ascii="ITC Avant Garde" w:hAnsi="ITC Avant Garde" w:cs="Arial"/>
        </w:rPr>
        <w:t xml:space="preserve"> y </w:t>
      </w:r>
      <w:r w:rsidR="002C73E1" w:rsidRPr="00D631CA">
        <w:rPr>
          <w:rFonts w:ascii="ITC Avant Garde" w:hAnsi="ITC Avant Garde" w:cs="Arial"/>
        </w:rPr>
        <w:t>PEGASO PCS, S.A. DE C.V.</w:t>
      </w:r>
    </w:p>
    <w:p w14:paraId="5FF03B7B" w14:textId="77777777" w:rsidR="00D631CA" w:rsidRPr="00D631CA" w:rsidRDefault="00283C8B" w:rsidP="00D631CA">
      <w:pPr>
        <w:spacing w:before="240" w:line="240" w:lineRule="auto"/>
        <w:ind w:left="1134" w:right="900"/>
        <w:contextualSpacing/>
        <w:jc w:val="both"/>
        <w:rPr>
          <w:rFonts w:ascii="ITC Avant Garde" w:hAnsi="ITC Avant Garde" w:cs="Arial"/>
          <w:sz w:val="18"/>
          <w:szCs w:val="18"/>
        </w:rPr>
      </w:pPr>
      <w:r w:rsidRPr="00D631CA">
        <w:rPr>
          <w:rFonts w:ascii="ITC Avant Garde" w:hAnsi="ITC Avant Garde" w:cs="Arial"/>
          <w:b/>
          <w:sz w:val="18"/>
          <w:szCs w:val="18"/>
        </w:rPr>
        <w:t>“</w:t>
      </w:r>
      <w:r w:rsidR="00095DA2" w:rsidRPr="00D631CA">
        <w:rPr>
          <w:rFonts w:ascii="ITC Avant Garde" w:hAnsi="ITC Avant Garde" w:cs="Arial"/>
          <w:b/>
          <w:sz w:val="18"/>
          <w:szCs w:val="18"/>
        </w:rPr>
        <w:t>PRIMERO.-</w:t>
      </w:r>
      <w:r w:rsidR="00095DA2" w:rsidRPr="00D631CA">
        <w:rPr>
          <w:rFonts w:ascii="ITC Avant Garde" w:hAnsi="ITC Avant Garde" w:cs="Arial"/>
          <w:sz w:val="18"/>
          <w:szCs w:val="18"/>
        </w:rPr>
        <w:t xml:space="preserve"> Se determinan las condiciones que en materia de interconexión no pudier</w:t>
      </w:r>
      <w:r w:rsidR="00B76436" w:rsidRPr="00D631CA">
        <w:rPr>
          <w:rFonts w:ascii="ITC Avant Garde" w:hAnsi="ITC Avant Garde" w:cs="Arial"/>
          <w:sz w:val="18"/>
          <w:szCs w:val="18"/>
        </w:rPr>
        <w:t xml:space="preserve">on convenir los concesionarios de redes públicas de telecomunicaciones denominados: </w:t>
      </w:r>
      <w:proofErr w:type="spellStart"/>
      <w:r w:rsidR="00B76436" w:rsidRPr="00D631CA">
        <w:rPr>
          <w:rFonts w:ascii="ITC Avant Garde" w:hAnsi="ITC Avant Garde" w:cs="Arial"/>
          <w:sz w:val="18"/>
          <w:szCs w:val="18"/>
        </w:rPr>
        <w:t>Marcatel</w:t>
      </w:r>
      <w:proofErr w:type="spellEnd"/>
      <w:r w:rsidR="00B76436" w:rsidRPr="00D631CA">
        <w:rPr>
          <w:rFonts w:ascii="ITC Avant Garde" w:hAnsi="ITC Avant Garde" w:cs="Arial"/>
          <w:sz w:val="18"/>
          <w:szCs w:val="18"/>
        </w:rPr>
        <w:t xml:space="preserve"> </w:t>
      </w:r>
      <w:proofErr w:type="spellStart"/>
      <w:r w:rsidR="00B76436" w:rsidRPr="00D631CA">
        <w:rPr>
          <w:rFonts w:ascii="ITC Avant Garde" w:hAnsi="ITC Avant Garde" w:cs="Arial"/>
          <w:sz w:val="18"/>
          <w:szCs w:val="18"/>
        </w:rPr>
        <w:t>Com</w:t>
      </w:r>
      <w:proofErr w:type="spellEnd"/>
      <w:r w:rsidR="00B76436" w:rsidRPr="00D631CA">
        <w:rPr>
          <w:rFonts w:ascii="ITC Avant Garde" w:hAnsi="ITC Avant Garde" w:cs="Arial"/>
          <w:sz w:val="18"/>
          <w:szCs w:val="18"/>
        </w:rPr>
        <w:t xml:space="preserve">, S.A. de C.V. y las empresas Pegaso Comunicaciones y Sistemas, S.A. de C.V., Baja Celular Mexicana·, S.A. de C.V., </w:t>
      </w:r>
      <w:proofErr w:type="spellStart"/>
      <w:r w:rsidR="00B76436" w:rsidRPr="00D631CA">
        <w:rPr>
          <w:rFonts w:ascii="ITC Avant Garde" w:hAnsi="ITC Avant Garde" w:cs="Arial"/>
          <w:sz w:val="18"/>
          <w:szCs w:val="18"/>
        </w:rPr>
        <w:t>Movitel</w:t>
      </w:r>
      <w:proofErr w:type="spellEnd"/>
      <w:r w:rsidR="00B76436" w:rsidRPr="00D631CA">
        <w:rPr>
          <w:rFonts w:ascii="ITC Avant Garde" w:hAnsi="ITC Avant Garde" w:cs="Arial"/>
          <w:sz w:val="18"/>
          <w:szCs w:val="18"/>
        </w:rPr>
        <w:t xml:space="preserve"> del Noroeste, S.A. de C.V., Telefonía Celular del Norte, S.A. de C.V. y Celular de Telefonía, S.A. de C.V. en términos de los resolutivos Segundo, Tercero, Cuarto, Quinto, Sexto y Séptimo de la presente Resolución. Asimismo, como se establece en el artículo 9 de la Ley Federal del Procedimiento Administrativo, las obligaciones en materia de interconexión establecidas en la presente Resolución serán eficaces y exigibles para </w:t>
      </w:r>
      <w:proofErr w:type="spellStart"/>
      <w:r w:rsidR="00B76436" w:rsidRPr="00D631CA">
        <w:rPr>
          <w:rFonts w:ascii="ITC Avant Garde" w:hAnsi="ITC Avant Garde" w:cs="Arial"/>
          <w:sz w:val="18"/>
          <w:szCs w:val="18"/>
        </w:rPr>
        <w:t>Marcatel</w:t>
      </w:r>
      <w:proofErr w:type="spellEnd"/>
      <w:r w:rsidR="00B76436" w:rsidRPr="00D631CA">
        <w:rPr>
          <w:rFonts w:ascii="ITC Avant Garde" w:hAnsi="ITC Avant Garde" w:cs="Arial"/>
          <w:sz w:val="18"/>
          <w:szCs w:val="18"/>
        </w:rPr>
        <w:t xml:space="preserve"> </w:t>
      </w:r>
      <w:proofErr w:type="spellStart"/>
      <w:r w:rsidR="00B76436" w:rsidRPr="00D631CA">
        <w:rPr>
          <w:rFonts w:ascii="ITC Avant Garde" w:hAnsi="ITC Avant Garde" w:cs="Arial"/>
          <w:sz w:val="18"/>
          <w:szCs w:val="18"/>
        </w:rPr>
        <w:t>Com</w:t>
      </w:r>
      <w:proofErr w:type="spellEnd"/>
      <w:r w:rsidR="00B76436" w:rsidRPr="00D631CA">
        <w:rPr>
          <w:rFonts w:ascii="ITC Avant Garde" w:hAnsi="ITC Avant Garde" w:cs="Arial"/>
          <w:sz w:val="18"/>
          <w:szCs w:val="18"/>
        </w:rPr>
        <w:t xml:space="preserve">, S.A. de C.V. y las empresas Pegaso Comunicaciones y Sistemas, S.A. de C.V. Baja Celular Mexicana, S.A. de C.V., </w:t>
      </w:r>
      <w:proofErr w:type="spellStart"/>
      <w:r w:rsidR="00B76436" w:rsidRPr="00D631CA">
        <w:rPr>
          <w:rFonts w:ascii="ITC Avant Garde" w:hAnsi="ITC Avant Garde" w:cs="Arial"/>
          <w:sz w:val="18"/>
          <w:szCs w:val="18"/>
        </w:rPr>
        <w:t>Movitel</w:t>
      </w:r>
      <w:proofErr w:type="spellEnd"/>
      <w:r w:rsidR="00B76436" w:rsidRPr="00D631CA">
        <w:rPr>
          <w:rFonts w:ascii="ITC Avant Garde" w:hAnsi="ITC Avant Garde" w:cs="Arial"/>
          <w:sz w:val="18"/>
          <w:szCs w:val="18"/>
        </w:rPr>
        <w:t xml:space="preserve"> del Noroeste, S.A. de C.V., Telefonía Celular del Norte, S.A. de C.V. y Celular de Telefonía, S.A. de C.V. a partir del día siguiente al que surta efectos legales la notificación de la presente Resolución, por lo  que las cond1c1ones de Interconexión establecidas incluyendo las tarifas de interconexión, serán aplicables  a partir de la fecha  antes señalada a los servicios de interconexión que las partes se prestan.</w:t>
      </w:r>
    </w:p>
    <w:p w14:paraId="23D8F3D3" w14:textId="47D8B6F9" w:rsidR="00D631CA" w:rsidRPr="00D631CA" w:rsidRDefault="00E5227D" w:rsidP="00D631CA">
      <w:pPr>
        <w:spacing w:before="240" w:line="240" w:lineRule="auto"/>
        <w:ind w:left="1134" w:right="900"/>
        <w:contextualSpacing/>
        <w:jc w:val="both"/>
        <w:rPr>
          <w:rFonts w:ascii="ITC Avant Garde" w:hAnsi="ITC Avant Garde" w:cs="Arial"/>
          <w:sz w:val="18"/>
          <w:szCs w:val="18"/>
        </w:rPr>
      </w:pPr>
      <w:r w:rsidRPr="00D631CA">
        <w:rPr>
          <w:rFonts w:ascii="ITC Avant Garde" w:hAnsi="ITC Avant Garde" w:cs="Arial"/>
          <w:b/>
          <w:sz w:val="18"/>
          <w:szCs w:val="18"/>
        </w:rPr>
        <w:t xml:space="preserve">SEGUNDO.- </w:t>
      </w:r>
      <w:proofErr w:type="spellStart"/>
      <w:r w:rsidRPr="00D631CA">
        <w:rPr>
          <w:rFonts w:ascii="ITC Avant Garde" w:hAnsi="ITC Avant Garde" w:cs="Arial"/>
          <w:sz w:val="18"/>
          <w:szCs w:val="18"/>
        </w:rPr>
        <w:t>Marcatel</w:t>
      </w:r>
      <w:proofErr w:type="spellEnd"/>
      <w:r w:rsidRPr="00D631CA">
        <w:rPr>
          <w:rFonts w:ascii="ITC Avant Garde" w:hAnsi="ITC Avant Garde" w:cs="Arial"/>
          <w:sz w:val="18"/>
          <w:szCs w:val="18"/>
        </w:rPr>
        <w:t xml:space="preserve"> </w:t>
      </w:r>
      <w:proofErr w:type="spellStart"/>
      <w:r w:rsidRPr="00D631CA">
        <w:rPr>
          <w:rFonts w:ascii="ITC Avant Garde" w:hAnsi="ITC Avant Garde" w:cs="Arial"/>
          <w:sz w:val="18"/>
          <w:szCs w:val="18"/>
        </w:rPr>
        <w:t>Com</w:t>
      </w:r>
      <w:proofErr w:type="spellEnd"/>
      <w:r w:rsidRPr="00D631CA">
        <w:rPr>
          <w:rFonts w:ascii="ITC Avant Garde" w:hAnsi="ITC Avant Garde" w:cs="Arial"/>
          <w:sz w:val="18"/>
          <w:szCs w:val="18"/>
        </w:rPr>
        <w:t>, S.A. de CV.</w:t>
      </w:r>
      <w:r w:rsidR="0095392D" w:rsidRPr="00D631CA">
        <w:rPr>
          <w:rFonts w:ascii="ITC Avant Garde" w:hAnsi="ITC Avant Garde" w:cs="Arial"/>
          <w:sz w:val="18"/>
          <w:szCs w:val="18"/>
        </w:rPr>
        <w:t xml:space="preserve"> y las empresas Pegaso Comunicaciones y Sistemas, S.A. de C.V., Baja Celular Mexicana·, S.A. de C.V., </w:t>
      </w:r>
      <w:proofErr w:type="spellStart"/>
      <w:r w:rsidR="0095392D" w:rsidRPr="00D631CA">
        <w:rPr>
          <w:rFonts w:ascii="ITC Avant Garde" w:hAnsi="ITC Avant Garde" w:cs="Arial"/>
          <w:sz w:val="18"/>
          <w:szCs w:val="18"/>
        </w:rPr>
        <w:t>Movitel</w:t>
      </w:r>
      <w:proofErr w:type="spellEnd"/>
      <w:r w:rsidR="0095392D" w:rsidRPr="00D631CA">
        <w:rPr>
          <w:rFonts w:ascii="ITC Avant Garde" w:hAnsi="ITC Avant Garde" w:cs="Arial"/>
          <w:sz w:val="18"/>
          <w:szCs w:val="18"/>
        </w:rPr>
        <w:t xml:space="preserve"> del Noroeste, S.A. de C.V., Telefonía Celular del Norte, S.A. de C.V. y Celular de Telefonía, S.A. de C.V. deberán de interconectar sus redes públicas de telecomunicaciones del servicio de larga distancia y del servicio local móvil, respectivamente, dentro de los 10 diez </w:t>
      </w:r>
      <w:r w:rsidR="00E87715" w:rsidRPr="00D631CA">
        <w:rPr>
          <w:rFonts w:ascii="ITC Avant Garde" w:hAnsi="ITC Avant Garde" w:cs="Arial"/>
          <w:sz w:val="18"/>
          <w:szCs w:val="18"/>
        </w:rPr>
        <w:t>días hábiles siguientes al día en que s</w:t>
      </w:r>
      <w:r w:rsidR="00D00E99" w:rsidRPr="00D631CA">
        <w:rPr>
          <w:rFonts w:ascii="ITC Avant Garde" w:hAnsi="ITC Avant Garde" w:cs="Arial"/>
          <w:sz w:val="18"/>
          <w:szCs w:val="18"/>
        </w:rPr>
        <w:t>u</w:t>
      </w:r>
      <w:r w:rsidR="00E87715" w:rsidRPr="00D631CA">
        <w:rPr>
          <w:rFonts w:ascii="ITC Avant Garde" w:hAnsi="ITC Avant Garde" w:cs="Arial"/>
          <w:sz w:val="18"/>
          <w:szCs w:val="18"/>
        </w:rPr>
        <w:t>rta efectos</w:t>
      </w:r>
      <w:r w:rsidR="00D00E99" w:rsidRPr="00D631CA">
        <w:rPr>
          <w:rFonts w:ascii="ITC Avant Garde" w:hAnsi="ITC Avant Garde" w:cs="Arial"/>
          <w:sz w:val="18"/>
          <w:szCs w:val="18"/>
        </w:rPr>
        <w:t xml:space="preserve"> legales la mitificación de la presente Resolución, a efecto de que dentro de dicho término, las empresas señaladas inicien la presente de los servicios en interconexión respectivas.</w:t>
      </w:r>
    </w:p>
    <w:p w14:paraId="24802407" w14:textId="79E01029" w:rsidR="00B76436" w:rsidRPr="00D631CA" w:rsidRDefault="00E544B4" w:rsidP="00D631CA">
      <w:pPr>
        <w:spacing w:before="240" w:line="240" w:lineRule="auto"/>
        <w:ind w:left="1134" w:right="900"/>
        <w:contextualSpacing/>
        <w:jc w:val="both"/>
        <w:rPr>
          <w:rFonts w:ascii="ITC Avant Garde" w:hAnsi="ITC Avant Garde" w:cs="Arial"/>
          <w:sz w:val="18"/>
          <w:szCs w:val="18"/>
        </w:rPr>
      </w:pPr>
      <w:r w:rsidRPr="00D631CA">
        <w:rPr>
          <w:rFonts w:ascii="ITC Avant Garde" w:hAnsi="ITC Avant Garde" w:cs="Arial"/>
          <w:sz w:val="18"/>
          <w:szCs w:val="18"/>
        </w:rPr>
        <w:t xml:space="preserve">En términos del artículo 42 de la Ley </w:t>
      </w:r>
      <w:r w:rsidR="0095413C" w:rsidRPr="00D631CA">
        <w:rPr>
          <w:rFonts w:ascii="ITC Avant Garde" w:hAnsi="ITC Avant Garde" w:cs="Arial"/>
          <w:sz w:val="18"/>
          <w:szCs w:val="18"/>
        </w:rPr>
        <w:t>Federal</w:t>
      </w:r>
      <w:r w:rsidR="001F0887" w:rsidRPr="00D631CA">
        <w:rPr>
          <w:rFonts w:ascii="ITC Avant Garde" w:hAnsi="ITC Avant Garde" w:cs="Arial"/>
          <w:sz w:val="18"/>
          <w:szCs w:val="18"/>
        </w:rPr>
        <w:t xml:space="preserve"> de Telecomunicaciones, las partes podrán acordar las tarifas de interconexión que serán aplicables a partir de que inicie la respectiva prestación de los servicios de interconexión. No obstante, en caso de que las partes no acuerden dichas tarifas, se deja a salvo su derecho para que soliciten la intervención de esta autoridad a efecto de que sean determinadas las tarifas de interconexión correspondientes.</w:t>
      </w:r>
      <w:r w:rsidRPr="00D631CA">
        <w:rPr>
          <w:rFonts w:ascii="ITC Avant Garde" w:hAnsi="ITC Avant Garde" w:cs="Arial"/>
          <w:sz w:val="18"/>
          <w:szCs w:val="18"/>
        </w:rPr>
        <w:t xml:space="preserve"> </w:t>
      </w:r>
    </w:p>
    <w:p w14:paraId="30202A1B" w14:textId="77777777" w:rsidR="00D631CA" w:rsidRPr="00D631CA" w:rsidRDefault="00897E69" w:rsidP="00D631CA">
      <w:pPr>
        <w:spacing w:before="240" w:line="240" w:lineRule="auto"/>
        <w:ind w:left="1134" w:right="900"/>
        <w:contextualSpacing/>
        <w:jc w:val="both"/>
        <w:rPr>
          <w:rFonts w:ascii="ITC Avant Garde" w:hAnsi="ITC Avant Garde" w:cs="Arial"/>
          <w:sz w:val="18"/>
          <w:szCs w:val="18"/>
        </w:rPr>
      </w:pPr>
      <w:r w:rsidRPr="00D631CA">
        <w:rPr>
          <w:rFonts w:ascii="ITC Avant Garde" w:hAnsi="ITC Avant Garde" w:cs="Arial"/>
          <w:b/>
          <w:sz w:val="18"/>
          <w:szCs w:val="18"/>
        </w:rPr>
        <w:t xml:space="preserve">TERCERO.- </w:t>
      </w:r>
      <w:r w:rsidRPr="00D631CA">
        <w:rPr>
          <w:rFonts w:ascii="ITC Avant Garde" w:hAnsi="ITC Avant Garde" w:cs="Arial"/>
          <w:sz w:val="18"/>
          <w:szCs w:val="18"/>
        </w:rPr>
        <w:t>Dentro de los 10 (diez) días hábiles siguientes al día en que surta efectos legales la notificación de la presente Resolución y con independencia de su obligación de cumplir con la prestación del servicio de interconexión conforme a las condiciones</w:t>
      </w:r>
      <w:r w:rsidR="00570584" w:rsidRPr="00D631CA">
        <w:rPr>
          <w:rFonts w:ascii="ITC Avant Garde" w:hAnsi="ITC Avant Garde" w:cs="Arial"/>
          <w:sz w:val="18"/>
          <w:szCs w:val="18"/>
        </w:rPr>
        <w:t xml:space="preserve"> y tarifas establecidas en la presente Resolución; </w:t>
      </w:r>
      <w:proofErr w:type="spellStart"/>
      <w:r w:rsidR="00570584" w:rsidRPr="00D631CA">
        <w:rPr>
          <w:rFonts w:ascii="ITC Avant Garde" w:hAnsi="ITC Avant Garde" w:cs="Arial"/>
          <w:sz w:val="18"/>
          <w:szCs w:val="18"/>
        </w:rPr>
        <w:t>Marcatel</w:t>
      </w:r>
      <w:proofErr w:type="spellEnd"/>
      <w:r w:rsidR="00570584" w:rsidRPr="00D631CA">
        <w:rPr>
          <w:rFonts w:ascii="ITC Avant Garde" w:hAnsi="ITC Avant Garde" w:cs="Arial"/>
          <w:sz w:val="18"/>
          <w:szCs w:val="18"/>
        </w:rPr>
        <w:t xml:space="preserve"> Com. S.A. de C.V. y a</w:t>
      </w:r>
      <w:r w:rsidR="00717D46" w:rsidRPr="00D631CA">
        <w:rPr>
          <w:rFonts w:ascii="ITC Avant Garde" w:hAnsi="ITC Avant Garde" w:cs="Arial"/>
          <w:sz w:val="18"/>
          <w:szCs w:val="18"/>
        </w:rPr>
        <w:t xml:space="preserve"> </w:t>
      </w:r>
      <w:r w:rsidR="00570584" w:rsidRPr="00D631CA">
        <w:rPr>
          <w:rFonts w:ascii="ITC Avant Garde" w:hAnsi="ITC Avant Garde" w:cs="Arial"/>
          <w:sz w:val="18"/>
          <w:szCs w:val="18"/>
        </w:rPr>
        <w:t>l</w:t>
      </w:r>
      <w:r w:rsidR="00717D46" w:rsidRPr="00D631CA">
        <w:rPr>
          <w:rFonts w:ascii="ITC Avant Garde" w:hAnsi="ITC Avant Garde" w:cs="Arial"/>
          <w:sz w:val="18"/>
          <w:szCs w:val="18"/>
        </w:rPr>
        <w:t>a</w:t>
      </w:r>
      <w:r w:rsidR="00570584" w:rsidRPr="00D631CA">
        <w:rPr>
          <w:rFonts w:ascii="ITC Avant Garde" w:hAnsi="ITC Avant Garde" w:cs="Arial"/>
          <w:sz w:val="18"/>
          <w:szCs w:val="18"/>
        </w:rPr>
        <w:t xml:space="preserve">s empresas Pegaso Comunicaciones y Sistemas, S.A. de C.V., Baja Celular Mexicana·, S.A. de C.V., </w:t>
      </w:r>
      <w:proofErr w:type="spellStart"/>
      <w:r w:rsidR="00570584" w:rsidRPr="00D631CA">
        <w:rPr>
          <w:rFonts w:ascii="ITC Avant Garde" w:hAnsi="ITC Avant Garde" w:cs="Arial"/>
          <w:sz w:val="18"/>
          <w:szCs w:val="18"/>
        </w:rPr>
        <w:t>Movitel</w:t>
      </w:r>
      <w:proofErr w:type="spellEnd"/>
      <w:r w:rsidR="00570584" w:rsidRPr="00D631CA">
        <w:rPr>
          <w:rFonts w:ascii="ITC Avant Garde" w:hAnsi="ITC Avant Garde" w:cs="Arial"/>
          <w:sz w:val="18"/>
          <w:szCs w:val="18"/>
        </w:rPr>
        <w:t xml:space="preserve"> del Noroeste, S.A. de C.V., Telefonía Celular del Norte, S.A. de C.V. y Celular de Telefonía, S.A. de C.V. deberán celebrar los convenios de interconexión de sus redes públicas</w:t>
      </w:r>
      <w:r w:rsidR="00085916" w:rsidRPr="00D631CA">
        <w:rPr>
          <w:rFonts w:ascii="ITC Avant Garde" w:hAnsi="ITC Avant Garde" w:cs="Arial"/>
          <w:sz w:val="18"/>
          <w:szCs w:val="18"/>
        </w:rPr>
        <w:t xml:space="preserve"> de telecomunicaciones conforme a los términos y condiciones determinados en los Resolutivos Cuarto, Quinto, Sexto y Séptimo. Hecho lo anterior, deberán remitir conjuntamente un ejemplar original o copia certificada de los mismos a este Comisión Federal de Telecomunicaciones, dentro de los quince (15) días naturales siguientes a la </w:t>
      </w:r>
      <w:r w:rsidR="00085916" w:rsidRPr="00D631CA">
        <w:rPr>
          <w:rFonts w:ascii="ITC Avant Garde" w:hAnsi="ITC Avant Garde" w:cs="Arial"/>
          <w:sz w:val="18"/>
          <w:szCs w:val="18"/>
        </w:rPr>
        <w:lastRenderedPageBreak/>
        <w:t>fecha de su firma, para efectos de su inscripción en el Registro de Telecomunicaciones conforme al artículo 64, fracción VII de la Ley Federal de Telecomunicaciones.</w:t>
      </w:r>
    </w:p>
    <w:p w14:paraId="4C9BCA3D" w14:textId="77777777" w:rsidR="00D631CA" w:rsidRPr="00D631CA" w:rsidRDefault="00BD720D" w:rsidP="00D631CA">
      <w:pPr>
        <w:spacing w:before="240" w:line="240" w:lineRule="auto"/>
        <w:ind w:left="1134" w:right="900"/>
        <w:contextualSpacing/>
        <w:jc w:val="both"/>
        <w:rPr>
          <w:rFonts w:ascii="ITC Avant Garde" w:hAnsi="ITC Avant Garde" w:cs="Arial"/>
          <w:sz w:val="18"/>
          <w:szCs w:val="18"/>
        </w:rPr>
      </w:pPr>
      <w:r w:rsidRPr="00D631CA">
        <w:rPr>
          <w:rFonts w:ascii="ITC Avant Garde" w:hAnsi="ITC Avant Garde" w:cs="Arial"/>
          <w:b/>
          <w:sz w:val="18"/>
          <w:szCs w:val="18"/>
        </w:rPr>
        <w:t xml:space="preserve">CUARTO.- </w:t>
      </w:r>
      <w:r w:rsidRPr="00D631CA">
        <w:rPr>
          <w:rFonts w:ascii="ITC Avant Garde" w:hAnsi="ITC Avant Garde" w:cs="Arial"/>
          <w:sz w:val="18"/>
          <w:szCs w:val="18"/>
        </w:rPr>
        <w:t xml:space="preserve">La tarifa de interconexión que </w:t>
      </w:r>
      <w:proofErr w:type="spellStart"/>
      <w:r w:rsidRPr="00D631CA">
        <w:rPr>
          <w:rFonts w:ascii="ITC Avant Garde" w:hAnsi="ITC Avant Garde" w:cs="Arial"/>
          <w:sz w:val="18"/>
          <w:szCs w:val="18"/>
        </w:rPr>
        <w:t>Marcatel</w:t>
      </w:r>
      <w:proofErr w:type="spellEnd"/>
      <w:r w:rsidRPr="00D631CA">
        <w:rPr>
          <w:rFonts w:ascii="ITC Avant Garde" w:hAnsi="ITC Avant Garde" w:cs="Arial"/>
          <w:sz w:val="18"/>
          <w:szCs w:val="18"/>
        </w:rPr>
        <w:t xml:space="preserve"> </w:t>
      </w:r>
      <w:proofErr w:type="spellStart"/>
      <w:r w:rsidRPr="00D631CA">
        <w:rPr>
          <w:rFonts w:ascii="ITC Avant Garde" w:hAnsi="ITC Avant Garde" w:cs="Arial"/>
          <w:sz w:val="18"/>
          <w:szCs w:val="18"/>
        </w:rPr>
        <w:t>Com</w:t>
      </w:r>
      <w:proofErr w:type="spellEnd"/>
      <w:r w:rsidRPr="00D631CA">
        <w:rPr>
          <w:rFonts w:ascii="ITC Avant Garde" w:hAnsi="ITC Avant Garde" w:cs="Arial"/>
          <w:sz w:val="18"/>
          <w:szCs w:val="18"/>
        </w:rPr>
        <w:t xml:space="preserve">, S.A. de C.V. deberá pagar a las empresas Pegaso Comunicaciones y Sistemas, S.A. de C.V. Baja Celular Mexicana, S.A. de C.V., </w:t>
      </w:r>
      <w:proofErr w:type="spellStart"/>
      <w:r w:rsidRPr="00D631CA">
        <w:rPr>
          <w:rFonts w:ascii="ITC Avant Garde" w:hAnsi="ITC Avant Garde" w:cs="Arial"/>
          <w:sz w:val="18"/>
          <w:szCs w:val="18"/>
        </w:rPr>
        <w:t>Movitel</w:t>
      </w:r>
      <w:proofErr w:type="spellEnd"/>
      <w:r w:rsidRPr="00D631CA">
        <w:rPr>
          <w:rFonts w:ascii="ITC Avant Garde" w:hAnsi="ITC Avant Garde" w:cs="Arial"/>
          <w:sz w:val="18"/>
          <w:szCs w:val="18"/>
        </w:rPr>
        <w:t xml:space="preserve"> del Noroeste, S.A. de C.V., Telefonía Celular del Norte, S.A. d</w:t>
      </w:r>
      <w:r w:rsidR="0002539C" w:rsidRPr="00D631CA">
        <w:rPr>
          <w:rFonts w:ascii="ITC Avant Garde" w:hAnsi="ITC Avant Garde" w:cs="Arial"/>
          <w:sz w:val="18"/>
          <w:szCs w:val="18"/>
        </w:rPr>
        <w:t xml:space="preserve">e </w:t>
      </w:r>
      <w:r w:rsidRPr="00D631CA">
        <w:rPr>
          <w:rFonts w:ascii="ITC Avant Garde" w:hAnsi="ITC Avant Garde" w:cs="Arial"/>
          <w:sz w:val="18"/>
          <w:szCs w:val="18"/>
        </w:rPr>
        <w:t>C.V</w:t>
      </w:r>
      <w:r w:rsidR="0002539C" w:rsidRPr="00D631CA">
        <w:rPr>
          <w:rFonts w:ascii="ITC Avant Garde" w:hAnsi="ITC Avant Garde" w:cs="Arial"/>
          <w:sz w:val="18"/>
          <w:szCs w:val="18"/>
        </w:rPr>
        <w:t xml:space="preserve">. </w:t>
      </w:r>
      <w:r w:rsidRPr="00D631CA">
        <w:rPr>
          <w:rFonts w:ascii="ITC Avant Garde" w:hAnsi="ITC Avant Garde" w:cs="Arial"/>
          <w:sz w:val="18"/>
          <w:szCs w:val="18"/>
        </w:rPr>
        <w:t>y</w:t>
      </w:r>
      <w:r w:rsidR="0002539C" w:rsidRPr="00D631CA">
        <w:rPr>
          <w:rFonts w:ascii="ITC Avant Garde" w:hAnsi="ITC Avant Garde" w:cs="Arial"/>
          <w:sz w:val="18"/>
          <w:szCs w:val="18"/>
        </w:rPr>
        <w:t xml:space="preserve"> </w:t>
      </w:r>
      <w:r w:rsidRPr="00D631CA">
        <w:rPr>
          <w:rFonts w:ascii="ITC Avant Garde" w:hAnsi="ITC Avant Garde" w:cs="Arial"/>
          <w:sz w:val="18"/>
          <w:szCs w:val="18"/>
        </w:rPr>
        <w:t>Celular de Telefonía S.A. de C.V., por servicios de terminación conmutada en usuarios móviles bajo la modalidad "el que llama paga", será fa siguiente:</w:t>
      </w:r>
    </w:p>
    <w:p w14:paraId="19900AE0" w14:textId="77777777" w:rsidR="00D631CA" w:rsidRPr="00D631CA" w:rsidRDefault="00BD720D" w:rsidP="00D631CA">
      <w:pPr>
        <w:pStyle w:val="Prrafodelista"/>
        <w:numPr>
          <w:ilvl w:val="0"/>
          <w:numId w:val="26"/>
        </w:numPr>
        <w:spacing w:before="240" w:line="240" w:lineRule="auto"/>
        <w:ind w:right="900"/>
        <w:jc w:val="both"/>
        <w:rPr>
          <w:rFonts w:ascii="ITC Avant Garde" w:hAnsi="ITC Avant Garde" w:cs="Arial"/>
          <w:sz w:val="18"/>
          <w:szCs w:val="18"/>
        </w:rPr>
      </w:pPr>
      <w:r w:rsidRPr="00D631CA">
        <w:rPr>
          <w:rFonts w:ascii="ITC Avant Garde" w:hAnsi="ITC Avant Garde" w:cs="Arial"/>
          <w:sz w:val="18"/>
          <w:szCs w:val="18"/>
        </w:rPr>
        <w:t>Del 1° de enero de 2011 al 31 de diciembre de 2011, $0.3912 pesos por minuto de interconexión.</w:t>
      </w:r>
    </w:p>
    <w:p w14:paraId="3CEF186E" w14:textId="77777777" w:rsidR="00D631CA" w:rsidRPr="00D631CA" w:rsidRDefault="00DE7070" w:rsidP="00D631CA">
      <w:pPr>
        <w:spacing w:before="240" w:line="240" w:lineRule="auto"/>
        <w:ind w:left="1843" w:right="900"/>
        <w:contextualSpacing/>
        <w:jc w:val="both"/>
        <w:rPr>
          <w:rFonts w:ascii="ITC Avant Garde" w:hAnsi="ITC Avant Garde" w:cs="Arial"/>
          <w:sz w:val="18"/>
          <w:szCs w:val="18"/>
        </w:rPr>
      </w:pPr>
      <w:r w:rsidRPr="00D631CA">
        <w:rPr>
          <w:rFonts w:ascii="ITC Avant Garde" w:hAnsi="ITC Avant Garde" w:cs="Arial"/>
          <w:sz w:val="18"/>
          <w:szCs w:val="18"/>
        </w:rPr>
        <w:t>La tarifa anterior ya incluye el costo correspondiente a los puertos necesarios para la Interconexión.</w:t>
      </w:r>
    </w:p>
    <w:p w14:paraId="146D3CF1" w14:textId="77777777" w:rsidR="00D631CA" w:rsidRPr="00D631CA" w:rsidRDefault="0002539C" w:rsidP="00D631CA">
      <w:pPr>
        <w:spacing w:before="240" w:line="240" w:lineRule="auto"/>
        <w:ind w:left="1134" w:right="900"/>
        <w:contextualSpacing/>
        <w:jc w:val="both"/>
        <w:rPr>
          <w:rFonts w:ascii="ITC Avant Garde" w:hAnsi="ITC Avant Garde" w:cs="Arial"/>
          <w:sz w:val="18"/>
          <w:szCs w:val="18"/>
        </w:rPr>
      </w:pPr>
      <w:r w:rsidRPr="00D631CA">
        <w:rPr>
          <w:rFonts w:ascii="ITC Avant Garde" w:hAnsi="ITC Avant Garde" w:cs="Arial"/>
          <w:b/>
          <w:sz w:val="18"/>
          <w:szCs w:val="18"/>
        </w:rPr>
        <w:t xml:space="preserve">QUINTO.- </w:t>
      </w:r>
      <w:r w:rsidRPr="00D631CA">
        <w:rPr>
          <w:rFonts w:ascii="ITC Avant Garde" w:hAnsi="ITC Avant Garde" w:cs="Arial"/>
          <w:sz w:val="18"/>
          <w:szCs w:val="18"/>
        </w:rPr>
        <w:t xml:space="preserve">En la aplicación de las tarifas a que se refiere el resolutivo anterior, las empresas Pegaso Comunicaciones y Sistemas,  S.A. de C.V. Baja Celular Mexicana, S.A. de C.V., </w:t>
      </w:r>
      <w:proofErr w:type="spellStart"/>
      <w:r w:rsidRPr="00D631CA">
        <w:rPr>
          <w:rFonts w:ascii="ITC Avant Garde" w:hAnsi="ITC Avant Garde" w:cs="Arial"/>
          <w:sz w:val="18"/>
          <w:szCs w:val="18"/>
        </w:rPr>
        <w:t>Movitel</w:t>
      </w:r>
      <w:proofErr w:type="spellEnd"/>
      <w:r w:rsidRPr="00D631CA">
        <w:rPr>
          <w:rFonts w:ascii="ITC Avant Garde" w:hAnsi="ITC Avant Garde" w:cs="Arial"/>
          <w:sz w:val="18"/>
          <w:szCs w:val="18"/>
        </w:rPr>
        <w:t xml:space="preserve"> del Noroeste, S.A. de C.V., Telefonía Celular del Norte, S.A. de C.V. y Celular de Telefonía S.A. de C.V. calcularán las contraprestaciones  que </w:t>
      </w:r>
      <w:proofErr w:type="spellStart"/>
      <w:r w:rsidRPr="00D631CA">
        <w:rPr>
          <w:rFonts w:ascii="ITC Avant Garde" w:hAnsi="ITC Avant Garde" w:cs="Arial"/>
          <w:sz w:val="18"/>
          <w:szCs w:val="18"/>
        </w:rPr>
        <w:t>Marcatel</w:t>
      </w:r>
      <w:proofErr w:type="spellEnd"/>
      <w:r w:rsidRPr="00D631CA">
        <w:rPr>
          <w:rFonts w:ascii="ITC Avant Garde" w:hAnsi="ITC Avant Garde" w:cs="Arial"/>
          <w:sz w:val="18"/>
          <w:szCs w:val="18"/>
        </w:rPr>
        <w:t xml:space="preserve"> </w:t>
      </w:r>
      <w:proofErr w:type="spellStart"/>
      <w:r w:rsidRPr="00D631CA">
        <w:rPr>
          <w:rFonts w:ascii="ITC Avant Garde" w:hAnsi="ITC Avant Garde" w:cs="Arial"/>
          <w:sz w:val="18"/>
          <w:szCs w:val="18"/>
        </w:rPr>
        <w:t>Com</w:t>
      </w:r>
      <w:proofErr w:type="spellEnd"/>
      <w:r w:rsidRPr="00D631CA">
        <w:rPr>
          <w:rFonts w:ascii="ITC Avant Garde" w:hAnsi="ITC Avant Garde" w:cs="Arial"/>
          <w:sz w:val="18"/>
          <w:szCs w:val="18"/>
        </w:rPr>
        <w:t>, S.A. de C.V., deberá pagarle por servicios de terminación conmutada en usuarios móviles bajo las modalidades “El que llama  paga”, con base en la duración real de las llamadas, sin redondear al minuto, debiendo para tal  efecto sumar la duración de todas las llamadas completadas en el período de facturación correspondiente, medidas en segundos y multiplicar los minutos equivalentes a dicha suma,  por la tarifa correspondiente.</w:t>
      </w:r>
    </w:p>
    <w:p w14:paraId="2CE8B257" w14:textId="77777777" w:rsidR="00D631CA" w:rsidRPr="00D631CA" w:rsidRDefault="000F6A44" w:rsidP="00D631CA">
      <w:pPr>
        <w:spacing w:before="240" w:line="240" w:lineRule="auto"/>
        <w:ind w:left="1134" w:right="900"/>
        <w:contextualSpacing/>
        <w:jc w:val="both"/>
        <w:rPr>
          <w:rFonts w:ascii="ITC Avant Garde" w:hAnsi="ITC Avant Garde" w:cs="Arial"/>
          <w:sz w:val="18"/>
          <w:szCs w:val="18"/>
        </w:rPr>
      </w:pPr>
      <w:r w:rsidRPr="00D631CA">
        <w:rPr>
          <w:rFonts w:ascii="ITC Avant Garde" w:hAnsi="ITC Avant Garde" w:cs="Arial"/>
          <w:b/>
          <w:sz w:val="18"/>
          <w:szCs w:val="18"/>
        </w:rPr>
        <w:t xml:space="preserve">SEXTO.- </w:t>
      </w:r>
      <w:r w:rsidR="00AB6099" w:rsidRPr="00D631CA">
        <w:rPr>
          <w:rFonts w:ascii="ITC Avant Garde" w:hAnsi="ITC Avant Garde" w:cs="Arial"/>
          <w:sz w:val="18"/>
          <w:szCs w:val="18"/>
        </w:rPr>
        <w:t xml:space="preserve">La tarifa de interconexión que las empresas Pegaso Comunicaciones y Sistemas,  S.A. de C.V. Baja Celular Mexicana, S.A. de C.V., </w:t>
      </w:r>
      <w:proofErr w:type="spellStart"/>
      <w:r w:rsidR="00AB6099" w:rsidRPr="00D631CA">
        <w:rPr>
          <w:rFonts w:ascii="ITC Avant Garde" w:hAnsi="ITC Avant Garde" w:cs="Arial"/>
          <w:sz w:val="18"/>
          <w:szCs w:val="18"/>
        </w:rPr>
        <w:t>Movitel</w:t>
      </w:r>
      <w:proofErr w:type="spellEnd"/>
      <w:r w:rsidR="00AB6099" w:rsidRPr="00D631CA">
        <w:rPr>
          <w:rFonts w:ascii="ITC Avant Garde" w:hAnsi="ITC Avant Garde" w:cs="Arial"/>
          <w:sz w:val="18"/>
          <w:szCs w:val="18"/>
        </w:rPr>
        <w:t xml:space="preserve"> del Noroeste, S.A. de C.V., Telefonía Celular del Norte, S.A. de C.V. y Celular de Telefonía S.A. de C.V. deberán pagarle a </w:t>
      </w:r>
      <w:proofErr w:type="spellStart"/>
      <w:r w:rsidR="00AB6099" w:rsidRPr="00D631CA">
        <w:rPr>
          <w:rFonts w:ascii="ITC Avant Garde" w:hAnsi="ITC Avant Garde" w:cs="Arial"/>
          <w:sz w:val="18"/>
          <w:szCs w:val="18"/>
        </w:rPr>
        <w:t>Marcatel</w:t>
      </w:r>
      <w:proofErr w:type="spellEnd"/>
      <w:r w:rsidR="00AB6099" w:rsidRPr="00D631CA">
        <w:rPr>
          <w:rFonts w:ascii="ITC Avant Garde" w:hAnsi="ITC Avant Garde" w:cs="Arial"/>
          <w:sz w:val="18"/>
          <w:szCs w:val="18"/>
        </w:rPr>
        <w:t xml:space="preserve"> </w:t>
      </w:r>
      <w:proofErr w:type="spellStart"/>
      <w:r w:rsidR="00AB6099" w:rsidRPr="00D631CA">
        <w:rPr>
          <w:rFonts w:ascii="ITC Avant Garde" w:hAnsi="ITC Avant Garde" w:cs="Arial"/>
          <w:sz w:val="18"/>
          <w:szCs w:val="18"/>
        </w:rPr>
        <w:t>Com</w:t>
      </w:r>
      <w:proofErr w:type="spellEnd"/>
      <w:r w:rsidR="00AB6099" w:rsidRPr="00D631CA">
        <w:rPr>
          <w:rFonts w:ascii="ITC Avant Garde" w:hAnsi="ITC Avant Garde" w:cs="Arial"/>
          <w:sz w:val="18"/>
          <w:szCs w:val="18"/>
        </w:rPr>
        <w:t>, S.A. de C.V. por servicios de terminación conmutada en usuarios fijos será la siguiente:</w:t>
      </w:r>
    </w:p>
    <w:p w14:paraId="22E2D34D" w14:textId="77777777" w:rsidR="00D631CA" w:rsidRPr="00D631CA" w:rsidRDefault="00AB6099" w:rsidP="00D631CA">
      <w:pPr>
        <w:pStyle w:val="Prrafodelista"/>
        <w:numPr>
          <w:ilvl w:val="0"/>
          <w:numId w:val="26"/>
        </w:numPr>
        <w:spacing w:before="240" w:line="240" w:lineRule="auto"/>
        <w:ind w:right="900"/>
        <w:jc w:val="both"/>
        <w:rPr>
          <w:rFonts w:ascii="ITC Avant Garde" w:hAnsi="ITC Avant Garde" w:cs="Arial"/>
          <w:sz w:val="18"/>
          <w:szCs w:val="18"/>
        </w:rPr>
      </w:pPr>
      <w:r w:rsidRPr="00D631CA">
        <w:rPr>
          <w:rFonts w:ascii="ITC Avant Garde" w:hAnsi="ITC Avant Garde" w:cs="Arial"/>
          <w:sz w:val="18"/>
          <w:szCs w:val="18"/>
        </w:rPr>
        <w:t>Del 1° de enero de 2011 al 31 de diciembre de 2011, $0.03951 pesos M.N. por minuto de interconexión.</w:t>
      </w:r>
    </w:p>
    <w:p w14:paraId="55E6BE46" w14:textId="77777777" w:rsidR="00D631CA" w:rsidRPr="00D631CA" w:rsidRDefault="00AB6099" w:rsidP="00D631CA">
      <w:pPr>
        <w:spacing w:before="240" w:line="240" w:lineRule="auto"/>
        <w:ind w:left="1134" w:right="900"/>
        <w:contextualSpacing/>
        <w:jc w:val="both"/>
        <w:rPr>
          <w:rFonts w:ascii="ITC Avant Garde" w:hAnsi="ITC Avant Garde" w:cs="Arial"/>
          <w:sz w:val="18"/>
          <w:szCs w:val="18"/>
        </w:rPr>
      </w:pPr>
      <w:r w:rsidRPr="00D631CA">
        <w:rPr>
          <w:rFonts w:ascii="ITC Avant Garde" w:hAnsi="ITC Avant Garde" w:cs="Arial"/>
          <w:sz w:val="18"/>
          <w:szCs w:val="18"/>
        </w:rPr>
        <w:t>La tarifa anterior ya incluye el costo correspondiente a los puertos necesarios para la interconexión. Asimismo contiene un margen adecuado sobre los costos incrementales que permite recuperar los comunes y compartidos.</w:t>
      </w:r>
    </w:p>
    <w:p w14:paraId="769F80BD" w14:textId="77777777" w:rsidR="00D631CA" w:rsidRPr="00D631CA" w:rsidRDefault="003A6A4C" w:rsidP="00D631CA">
      <w:pPr>
        <w:spacing w:before="240" w:line="240" w:lineRule="auto"/>
        <w:ind w:left="1134" w:right="900"/>
        <w:contextualSpacing/>
        <w:jc w:val="both"/>
        <w:rPr>
          <w:rFonts w:ascii="ITC Avant Garde" w:hAnsi="ITC Avant Garde" w:cs="Arial"/>
          <w:sz w:val="18"/>
          <w:szCs w:val="18"/>
        </w:rPr>
      </w:pPr>
      <w:r w:rsidRPr="00D631CA">
        <w:rPr>
          <w:rFonts w:ascii="ITC Avant Garde" w:hAnsi="ITC Avant Garde" w:cs="Arial"/>
          <w:b/>
          <w:sz w:val="18"/>
          <w:szCs w:val="18"/>
        </w:rPr>
        <w:t>SÉPTIMO.-</w:t>
      </w:r>
      <w:r w:rsidRPr="00D631CA">
        <w:rPr>
          <w:rFonts w:ascii="ITC Avant Garde" w:hAnsi="ITC Avant Garde" w:cs="Arial"/>
          <w:sz w:val="18"/>
          <w:szCs w:val="18"/>
        </w:rPr>
        <w:t xml:space="preserve"> En la aplicación de la tarifa a que se refiere el resolutivo anterior, </w:t>
      </w:r>
      <w:proofErr w:type="spellStart"/>
      <w:r w:rsidRPr="00D631CA">
        <w:rPr>
          <w:rFonts w:ascii="ITC Avant Garde" w:hAnsi="ITC Avant Garde" w:cs="Arial"/>
          <w:sz w:val="18"/>
          <w:szCs w:val="18"/>
        </w:rPr>
        <w:t>Marcatel</w:t>
      </w:r>
      <w:proofErr w:type="spellEnd"/>
      <w:r w:rsidRPr="00D631CA">
        <w:rPr>
          <w:rFonts w:ascii="ITC Avant Garde" w:hAnsi="ITC Avant Garde" w:cs="Arial"/>
          <w:sz w:val="18"/>
          <w:szCs w:val="18"/>
        </w:rPr>
        <w:t xml:space="preserve"> </w:t>
      </w:r>
      <w:proofErr w:type="spellStart"/>
      <w:r w:rsidRPr="00D631CA">
        <w:rPr>
          <w:rFonts w:ascii="ITC Avant Garde" w:hAnsi="ITC Avant Garde" w:cs="Arial"/>
          <w:sz w:val="18"/>
          <w:szCs w:val="18"/>
        </w:rPr>
        <w:t>Com</w:t>
      </w:r>
      <w:proofErr w:type="spellEnd"/>
      <w:r w:rsidRPr="00D631CA">
        <w:rPr>
          <w:rFonts w:ascii="ITC Avant Garde" w:hAnsi="ITC Avant Garde" w:cs="Arial"/>
          <w:sz w:val="18"/>
          <w:szCs w:val="18"/>
        </w:rPr>
        <w:t>, S.A. de C.V.·</w:t>
      </w:r>
      <w:r w:rsidR="00B33FBD" w:rsidRPr="00D631CA">
        <w:rPr>
          <w:rFonts w:ascii="ITC Avant Garde" w:hAnsi="ITC Avant Garde" w:cs="Arial"/>
          <w:sz w:val="18"/>
          <w:szCs w:val="18"/>
        </w:rPr>
        <w:t xml:space="preserve"> </w:t>
      </w:r>
      <w:r w:rsidRPr="00D631CA">
        <w:rPr>
          <w:rFonts w:ascii="ITC Avant Garde" w:hAnsi="ITC Avant Garde" w:cs="Arial"/>
          <w:sz w:val="18"/>
          <w:szCs w:val="18"/>
        </w:rPr>
        <w:t xml:space="preserve">calculará las contraprestaciones que las empresas Pegaso Comunicaciones y Sistemas, S.A. de C.V., Baja Celular Mexicana, S.A. de C.V., </w:t>
      </w:r>
      <w:proofErr w:type="spellStart"/>
      <w:r w:rsidRPr="00D631CA">
        <w:rPr>
          <w:rFonts w:ascii="ITC Avant Garde" w:hAnsi="ITC Avant Garde" w:cs="Arial"/>
          <w:sz w:val="18"/>
          <w:szCs w:val="18"/>
        </w:rPr>
        <w:t>Movitel</w:t>
      </w:r>
      <w:proofErr w:type="spellEnd"/>
      <w:r w:rsidRPr="00D631CA">
        <w:rPr>
          <w:rFonts w:ascii="ITC Avant Garde" w:hAnsi="ITC Avant Garde" w:cs="Arial"/>
          <w:sz w:val="18"/>
          <w:szCs w:val="18"/>
        </w:rPr>
        <w:t xml:space="preserve"> del Noroeste, S.A. de C.V., Telefonía Celular del  Norte, S.A. de C.V. y Celular de Telefonía, S.A. de C.V. deberán pagarle por servicios de terminación conmutada en usuarios fijos con base en la duración real de las llamadas, sin redondear al minuto, debiendo para tal efecto sumar la duración de todas las llamadas completadas en el período de facturación correspondiente, medidas en segundos, y multiplicar los minutos equivalentes a dicha suma, por la tarifa correspondiente.</w:t>
      </w:r>
    </w:p>
    <w:p w14:paraId="7CED9E80" w14:textId="77777777" w:rsidR="00D631CA" w:rsidRPr="00D631CA" w:rsidRDefault="003A6A4C" w:rsidP="00D631CA">
      <w:pPr>
        <w:spacing w:before="240" w:line="240" w:lineRule="auto"/>
        <w:ind w:left="1134" w:right="900"/>
        <w:contextualSpacing/>
        <w:jc w:val="both"/>
        <w:rPr>
          <w:rFonts w:ascii="ITC Avant Garde" w:hAnsi="ITC Avant Garde" w:cs="Arial"/>
          <w:sz w:val="18"/>
          <w:szCs w:val="18"/>
        </w:rPr>
      </w:pPr>
      <w:r w:rsidRPr="00D631CA">
        <w:rPr>
          <w:rFonts w:ascii="ITC Avant Garde" w:hAnsi="ITC Avant Garde" w:cs="Arial"/>
          <w:b/>
          <w:sz w:val="18"/>
          <w:szCs w:val="18"/>
        </w:rPr>
        <w:t>OCTAVO.-</w:t>
      </w:r>
      <w:r w:rsidRPr="00D631CA">
        <w:rPr>
          <w:rFonts w:ascii="ITC Avant Garde" w:hAnsi="ITC Avant Garde" w:cs="Arial"/>
          <w:sz w:val="18"/>
          <w:szCs w:val="18"/>
        </w:rPr>
        <w:t xml:space="preserve"> De conformidad con el artículo 3, fracción XV de la Ley Federal de Procedimiento Administrativo se hace del conocimiento de las partes que esta Resolución es impugnable mediante la interposición del recurso de revisión que prevé el título  Sexto, capítulo Primero del ordenamiento citado.</w:t>
      </w:r>
    </w:p>
    <w:p w14:paraId="1FCD12A1" w14:textId="77777777" w:rsidR="00D631CA" w:rsidRPr="00D631CA" w:rsidRDefault="00B33FBD" w:rsidP="00D631CA">
      <w:pPr>
        <w:spacing w:before="240" w:line="240" w:lineRule="auto"/>
        <w:ind w:left="1134" w:right="900"/>
        <w:contextualSpacing/>
        <w:jc w:val="both"/>
        <w:rPr>
          <w:rFonts w:ascii="ITC Avant Garde" w:hAnsi="ITC Avant Garde" w:cs="Arial"/>
        </w:rPr>
      </w:pPr>
      <w:r w:rsidRPr="00D631CA">
        <w:rPr>
          <w:rFonts w:ascii="ITC Avant Garde" w:hAnsi="ITC Avant Garde" w:cs="Arial"/>
          <w:b/>
          <w:sz w:val="18"/>
          <w:szCs w:val="18"/>
        </w:rPr>
        <w:t>NOVENO.</w:t>
      </w:r>
      <w:r w:rsidRPr="00D631CA">
        <w:rPr>
          <w:rFonts w:ascii="ITC Avant Garde" w:hAnsi="ITC Avant Garde" w:cs="Arial"/>
          <w:sz w:val="18"/>
          <w:szCs w:val="18"/>
        </w:rPr>
        <w:t xml:space="preserve">- Notifíquese personalmente a los representantes legales de las empresas Pegaso Comunicaciones y Sistemas, S.A. de C.V., Baja Celular Mexicana, S.A. de C.V., </w:t>
      </w:r>
      <w:proofErr w:type="spellStart"/>
      <w:r w:rsidRPr="00D631CA">
        <w:rPr>
          <w:rFonts w:ascii="ITC Avant Garde" w:hAnsi="ITC Avant Garde" w:cs="Arial"/>
          <w:sz w:val="18"/>
          <w:szCs w:val="18"/>
        </w:rPr>
        <w:t>Movitel</w:t>
      </w:r>
      <w:proofErr w:type="spellEnd"/>
      <w:r w:rsidRPr="00D631CA">
        <w:rPr>
          <w:rFonts w:ascii="ITC Avant Garde" w:hAnsi="ITC Avant Garde" w:cs="Arial"/>
          <w:sz w:val="18"/>
          <w:szCs w:val="18"/>
        </w:rPr>
        <w:t xml:space="preserve"> del Noroeste, S.A. de C.V., Telefonía Celular del  Norte, S.A. de C.V. y Celular de Telefonía, S.A. de C.V. y </w:t>
      </w:r>
      <w:proofErr w:type="spellStart"/>
      <w:r w:rsidRPr="00D631CA">
        <w:rPr>
          <w:rFonts w:ascii="ITC Avant Garde" w:hAnsi="ITC Avant Garde" w:cs="Arial"/>
          <w:sz w:val="18"/>
          <w:szCs w:val="18"/>
        </w:rPr>
        <w:t>Marcatel</w:t>
      </w:r>
      <w:proofErr w:type="spellEnd"/>
      <w:r w:rsidRPr="00D631CA">
        <w:rPr>
          <w:rFonts w:ascii="ITC Avant Garde" w:hAnsi="ITC Avant Garde" w:cs="Arial"/>
          <w:sz w:val="18"/>
          <w:szCs w:val="18"/>
        </w:rPr>
        <w:t xml:space="preserve"> </w:t>
      </w:r>
      <w:proofErr w:type="spellStart"/>
      <w:r w:rsidRPr="00D631CA">
        <w:rPr>
          <w:rFonts w:ascii="ITC Avant Garde" w:hAnsi="ITC Avant Garde" w:cs="Arial"/>
          <w:sz w:val="18"/>
          <w:szCs w:val="18"/>
        </w:rPr>
        <w:t>Com</w:t>
      </w:r>
      <w:proofErr w:type="spellEnd"/>
      <w:r w:rsidRPr="00D631CA">
        <w:rPr>
          <w:rFonts w:ascii="ITC Avant Garde" w:hAnsi="ITC Avant Garde" w:cs="Arial"/>
          <w:sz w:val="18"/>
          <w:szCs w:val="18"/>
        </w:rPr>
        <w:t>, S.A. de C.V., el contenido de la presente Resolución.</w:t>
      </w:r>
      <w:r w:rsidR="00283C8B" w:rsidRPr="00D631CA">
        <w:rPr>
          <w:rFonts w:ascii="ITC Avant Garde" w:hAnsi="ITC Avant Garde" w:cs="Arial"/>
          <w:sz w:val="18"/>
          <w:szCs w:val="18"/>
        </w:rPr>
        <w:t>”</w:t>
      </w:r>
    </w:p>
    <w:p w14:paraId="3E3C9B5B" w14:textId="77777777" w:rsidR="00D631CA" w:rsidRPr="00D631CA" w:rsidRDefault="00382941" w:rsidP="00D631CA">
      <w:pPr>
        <w:numPr>
          <w:ilvl w:val="0"/>
          <w:numId w:val="1"/>
        </w:numPr>
        <w:spacing w:before="240"/>
        <w:contextualSpacing/>
        <w:jc w:val="both"/>
        <w:rPr>
          <w:rFonts w:ascii="ITC Avant Garde" w:hAnsi="ITC Avant Garde" w:cs="Arial"/>
        </w:rPr>
      </w:pPr>
      <w:r w:rsidRPr="00D631CA">
        <w:rPr>
          <w:rFonts w:ascii="ITC Avant Garde" w:hAnsi="ITC Avant Garde" w:cs="Arial"/>
        </w:rPr>
        <w:t>P</w:t>
      </w:r>
      <w:r w:rsidR="00EB5168" w:rsidRPr="00D631CA">
        <w:rPr>
          <w:rFonts w:ascii="ITC Avant Garde" w:hAnsi="ITC Avant Garde" w:cs="Arial"/>
        </w:rPr>
        <w:t>or</w:t>
      </w:r>
      <w:r w:rsidRPr="00D631CA">
        <w:rPr>
          <w:rFonts w:ascii="ITC Avant Garde" w:hAnsi="ITC Avant Garde" w:cs="Arial"/>
        </w:rPr>
        <w:t xml:space="preserve"> citatorio de fecha 20 de abril de 2012, </w:t>
      </w:r>
      <w:r w:rsidR="00EB5168" w:rsidRPr="00D631CA">
        <w:rPr>
          <w:rFonts w:ascii="ITC Avant Garde" w:hAnsi="ITC Avant Garde" w:cs="Arial"/>
        </w:rPr>
        <w:t xml:space="preserve">y </w:t>
      </w:r>
      <w:r w:rsidRPr="00D631CA">
        <w:rPr>
          <w:rFonts w:ascii="ITC Avant Garde" w:hAnsi="ITC Avant Garde" w:cs="Arial"/>
        </w:rPr>
        <w:t xml:space="preserve">mediante instructivo de notificación de fecha 23 del mismo mes y año, se hizo del conocimiento de Grupo Telefónica la </w:t>
      </w:r>
      <w:r w:rsidRPr="00D631CA">
        <w:rPr>
          <w:rFonts w:ascii="ITC Avant Garde" w:hAnsi="ITC Avant Garde" w:cs="Arial"/>
        </w:rPr>
        <w:lastRenderedPageBreak/>
        <w:t>Resolución P/110412/136 de fecha 11 de abril de 2012, emitida por el Pleno de la Comisión.</w:t>
      </w:r>
    </w:p>
    <w:p w14:paraId="2285F060" w14:textId="77777777" w:rsidR="00D631CA" w:rsidRPr="00D631CA" w:rsidRDefault="00382941" w:rsidP="00D631CA">
      <w:pPr>
        <w:numPr>
          <w:ilvl w:val="0"/>
          <w:numId w:val="1"/>
        </w:numPr>
        <w:spacing w:before="240"/>
        <w:contextualSpacing/>
        <w:jc w:val="both"/>
        <w:rPr>
          <w:rFonts w:ascii="ITC Avant Garde" w:hAnsi="ITC Avant Garde" w:cs="Arial"/>
        </w:rPr>
      </w:pPr>
      <w:r w:rsidRPr="00D631CA">
        <w:rPr>
          <w:rFonts w:ascii="ITC Avant Garde" w:hAnsi="ITC Avant Garde" w:cs="Arial"/>
        </w:rPr>
        <w:t xml:space="preserve">Mediante escrito presentado ante la Oficialía de Partes de la Comisión el 15 de mayo de 2012, el C. Oliverio de la Garza Ugarte, en representación de </w:t>
      </w:r>
      <w:r w:rsidR="002C73E1" w:rsidRPr="00D631CA">
        <w:rPr>
          <w:rFonts w:ascii="ITC Avant Garde" w:hAnsi="ITC Avant Garde" w:cs="Arial"/>
        </w:rPr>
        <w:t>PEGASO PCS, S.A. DE C.V.</w:t>
      </w:r>
      <w:r w:rsidRPr="00D631CA">
        <w:rPr>
          <w:rFonts w:ascii="ITC Avant Garde" w:hAnsi="ITC Avant Garde" w:cs="Arial"/>
        </w:rPr>
        <w:t xml:space="preserve"> </w:t>
      </w:r>
      <w:r w:rsidR="00590006" w:rsidRPr="00D631CA">
        <w:rPr>
          <w:rFonts w:ascii="ITC Avant Garde" w:hAnsi="ITC Avant Garde" w:cs="Arial"/>
        </w:rPr>
        <w:t xml:space="preserve">(en lo sucesivo la Recurrente) </w:t>
      </w:r>
      <w:r w:rsidRPr="00D631CA">
        <w:rPr>
          <w:rFonts w:ascii="ITC Avant Garde" w:hAnsi="ITC Avant Garde" w:cs="Arial"/>
        </w:rPr>
        <w:t xml:space="preserve">interpuso el recurso administrativo de revisión previsto en la Ley Federal de Procedimiento Administrativo (en lo sucesivo la LFPA), en contra de la resolución número P/110412/136 de fecha 11 de abril de 2012, emitida por el Pleno de la Comisión. </w:t>
      </w:r>
    </w:p>
    <w:p w14:paraId="0AE72A52" w14:textId="77777777" w:rsidR="00D631CA" w:rsidRPr="00D631CA" w:rsidRDefault="00382941" w:rsidP="00D631CA">
      <w:pPr>
        <w:numPr>
          <w:ilvl w:val="0"/>
          <w:numId w:val="1"/>
        </w:numPr>
        <w:spacing w:before="240"/>
        <w:contextualSpacing/>
        <w:jc w:val="both"/>
        <w:rPr>
          <w:rFonts w:ascii="ITC Avant Garde" w:hAnsi="ITC Avant Garde" w:cs="Arial"/>
        </w:rPr>
      </w:pPr>
      <w:r w:rsidRPr="00D631CA">
        <w:rPr>
          <w:rFonts w:ascii="ITC Avant Garde" w:hAnsi="ITC Avant Garde" w:cs="Arial"/>
        </w:rPr>
        <w:t xml:space="preserve">Por acuerdo de fecha 17 de mayo de 2012, la Comisión admitió a trámite al recurso de revisión interpuesto, señalando que </w:t>
      </w:r>
      <w:proofErr w:type="spellStart"/>
      <w:r w:rsidRPr="00D631CA">
        <w:rPr>
          <w:rFonts w:ascii="ITC Avant Garde" w:hAnsi="ITC Avant Garde" w:cs="Arial"/>
        </w:rPr>
        <w:t>Marcatel</w:t>
      </w:r>
      <w:proofErr w:type="spellEnd"/>
      <w:r w:rsidRPr="00D631CA">
        <w:rPr>
          <w:rFonts w:ascii="ITC Avant Garde" w:hAnsi="ITC Avant Garde" w:cs="Arial"/>
        </w:rPr>
        <w:t xml:space="preserve">, tiene el carácter de </w:t>
      </w:r>
      <w:r w:rsidR="00C67299" w:rsidRPr="00D631CA">
        <w:rPr>
          <w:rFonts w:ascii="ITC Avant Garde" w:hAnsi="ITC Avant Garde" w:cs="Arial"/>
        </w:rPr>
        <w:t>tercero perjudicada</w:t>
      </w:r>
      <w:r w:rsidRPr="00D631CA">
        <w:rPr>
          <w:rFonts w:ascii="ITC Avant Garde" w:hAnsi="ITC Avant Garde" w:cs="Arial"/>
        </w:rPr>
        <w:t>, concediéndosele un plazo de 10 días para que realizara manifestaciones y el término de 5 días para que nombrara perito de su parte en materia de economía de las telecomunicaciones y adicionara preguntas al cuestionario ofrecido por la Recurrente.</w:t>
      </w:r>
    </w:p>
    <w:p w14:paraId="3A9F29D4" w14:textId="77777777" w:rsidR="00D631CA" w:rsidRPr="00D631CA" w:rsidRDefault="00382941" w:rsidP="00D631CA">
      <w:pPr>
        <w:numPr>
          <w:ilvl w:val="0"/>
          <w:numId w:val="1"/>
        </w:numPr>
        <w:spacing w:before="240"/>
        <w:contextualSpacing/>
        <w:jc w:val="both"/>
        <w:rPr>
          <w:rFonts w:ascii="ITC Avant Garde" w:hAnsi="ITC Avant Garde" w:cs="Arial"/>
        </w:rPr>
      </w:pPr>
      <w:r w:rsidRPr="00D631CA">
        <w:rPr>
          <w:rFonts w:ascii="ITC Avant Garde" w:hAnsi="ITC Avant Garde" w:cs="Arial"/>
        </w:rPr>
        <w:t>Mediante resolución emitida por el Pleno de fecha 17 de mayo de 2012, se negó la suspensión solicitada por la Recurrente, por considerar que no se satisface el requisito previsto en el artículo 87, fracción III de la Ley Federal de Procedimiento Administrativo.</w:t>
      </w:r>
    </w:p>
    <w:p w14:paraId="39B1531E" w14:textId="77777777" w:rsidR="00D631CA" w:rsidRPr="00D631CA" w:rsidRDefault="002506C6" w:rsidP="00D631CA">
      <w:pPr>
        <w:numPr>
          <w:ilvl w:val="0"/>
          <w:numId w:val="1"/>
        </w:numPr>
        <w:spacing w:before="240"/>
        <w:contextualSpacing/>
        <w:jc w:val="both"/>
        <w:rPr>
          <w:rFonts w:ascii="ITC Avant Garde" w:hAnsi="ITC Avant Garde" w:cs="Arial"/>
        </w:rPr>
      </w:pPr>
      <w:r w:rsidRPr="00D631CA">
        <w:rPr>
          <w:rFonts w:ascii="ITC Avant Garde" w:hAnsi="ITC Avant Garde" w:cs="Arial"/>
        </w:rPr>
        <w:t>Con</w:t>
      </w:r>
      <w:r w:rsidR="00382941" w:rsidRPr="00D631CA">
        <w:rPr>
          <w:rFonts w:ascii="ITC Avant Garde" w:hAnsi="ITC Avant Garde" w:cs="Arial"/>
        </w:rPr>
        <w:t xml:space="preserve"> citatorio</w:t>
      </w:r>
      <w:r w:rsidR="000045EA" w:rsidRPr="00D631CA">
        <w:rPr>
          <w:rFonts w:ascii="ITC Avant Garde" w:hAnsi="ITC Avant Garde" w:cs="Arial"/>
        </w:rPr>
        <w:t>s</w:t>
      </w:r>
      <w:r w:rsidR="00382941" w:rsidRPr="00D631CA">
        <w:rPr>
          <w:rFonts w:ascii="ITC Avant Garde" w:hAnsi="ITC Avant Garde" w:cs="Arial"/>
        </w:rPr>
        <w:t xml:space="preserve"> de fecha 18 de mayo de 2012 </w:t>
      </w:r>
      <w:r w:rsidR="001D5245" w:rsidRPr="00D631CA">
        <w:rPr>
          <w:rFonts w:ascii="ITC Avant Garde" w:hAnsi="ITC Avant Garde" w:cs="Arial"/>
        </w:rPr>
        <w:t xml:space="preserve">e </w:t>
      </w:r>
      <w:r w:rsidR="00382941" w:rsidRPr="00D631CA">
        <w:rPr>
          <w:rFonts w:ascii="ITC Avant Garde" w:hAnsi="ITC Avant Garde" w:cs="Arial"/>
        </w:rPr>
        <w:t>instructivo</w:t>
      </w:r>
      <w:r w:rsidR="000045EA" w:rsidRPr="00D631CA">
        <w:rPr>
          <w:rFonts w:ascii="ITC Avant Garde" w:hAnsi="ITC Avant Garde" w:cs="Arial"/>
        </w:rPr>
        <w:t>s</w:t>
      </w:r>
      <w:r w:rsidR="00382941" w:rsidRPr="00D631CA">
        <w:rPr>
          <w:rFonts w:ascii="ITC Avant Garde" w:hAnsi="ITC Avant Garde" w:cs="Arial"/>
        </w:rPr>
        <w:t xml:space="preserve"> de notificación de fecha 21 del mismo mes y año, se </w:t>
      </w:r>
      <w:r w:rsidR="000045EA" w:rsidRPr="00D631CA">
        <w:rPr>
          <w:rFonts w:ascii="ITC Avant Garde" w:hAnsi="ITC Avant Garde" w:cs="Arial"/>
        </w:rPr>
        <w:t>hicieron del</w:t>
      </w:r>
      <w:r w:rsidR="00382941" w:rsidRPr="00D631CA">
        <w:rPr>
          <w:rFonts w:ascii="ITC Avant Garde" w:hAnsi="ITC Avant Garde" w:cs="Arial"/>
        </w:rPr>
        <w:t xml:space="preserve"> conocimiento de Grupo Telefónica </w:t>
      </w:r>
      <w:r w:rsidR="000045EA" w:rsidRPr="00D631CA">
        <w:rPr>
          <w:rFonts w:ascii="ITC Avant Garde" w:hAnsi="ITC Avant Garde" w:cs="Arial"/>
        </w:rPr>
        <w:t>los</w:t>
      </w:r>
      <w:r w:rsidR="00382941" w:rsidRPr="00D631CA">
        <w:rPr>
          <w:rFonts w:ascii="ITC Avant Garde" w:hAnsi="ITC Avant Garde" w:cs="Arial"/>
        </w:rPr>
        <w:t xml:space="preserve"> acuerdo</w:t>
      </w:r>
      <w:r w:rsidR="000045EA" w:rsidRPr="00D631CA">
        <w:rPr>
          <w:rFonts w:ascii="ITC Avant Garde" w:hAnsi="ITC Avant Garde" w:cs="Arial"/>
        </w:rPr>
        <w:t>s</w:t>
      </w:r>
      <w:r w:rsidR="00382941" w:rsidRPr="00D631CA">
        <w:rPr>
          <w:rFonts w:ascii="ITC Avant Garde" w:hAnsi="ITC Avant Garde" w:cs="Arial"/>
        </w:rPr>
        <w:t xml:space="preserve"> de fecha 17 de mayo de 2012, mediante </w:t>
      </w:r>
      <w:r w:rsidR="00F426E3" w:rsidRPr="00D631CA">
        <w:rPr>
          <w:rFonts w:ascii="ITC Avant Garde" w:hAnsi="ITC Avant Garde" w:cs="Arial"/>
        </w:rPr>
        <w:t>los</w:t>
      </w:r>
      <w:r w:rsidR="00382941" w:rsidRPr="00D631CA">
        <w:rPr>
          <w:rFonts w:ascii="ITC Avant Garde" w:hAnsi="ITC Avant Garde" w:cs="Arial"/>
        </w:rPr>
        <w:t xml:space="preserve"> cual</w:t>
      </w:r>
      <w:r w:rsidR="00F426E3" w:rsidRPr="00D631CA">
        <w:rPr>
          <w:rFonts w:ascii="ITC Avant Garde" w:hAnsi="ITC Avant Garde" w:cs="Arial"/>
        </w:rPr>
        <w:t>es</w:t>
      </w:r>
      <w:r w:rsidR="00382941" w:rsidRPr="00D631CA">
        <w:rPr>
          <w:rFonts w:ascii="ITC Avant Garde" w:hAnsi="ITC Avant Garde" w:cs="Arial"/>
        </w:rPr>
        <w:t xml:space="preserve"> se </w:t>
      </w:r>
      <w:r w:rsidR="000045EA" w:rsidRPr="00D631CA">
        <w:rPr>
          <w:rFonts w:ascii="ITC Avant Garde" w:hAnsi="ITC Avant Garde" w:cs="Arial"/>
        </w:rPr>
        <w:t>informa la admisión del recurso y se niega la suspensión definitiva.</w:t>
      </w:r>
    </w:p>
    <w:p w14:paraId="277D2208" w14:textId="77777777" w:rsidR="00D631CA" w:rsidRPr="00D631CA" w:rsidRDefault="00382941" w:rsidP="00D631CA">
      <w:pPr>
        <w:numPr>
          <w:ilvl w:val="0"/>
          <w:numId w:val="1"/>
        </w:numPr>
        <w:spacing w:before="240"/>
        <w:contextualSpacing/>
        <w:jc w:val="both"/>
        <w:rPr>
          <w:rFonts w:ascii="ITC Avant Garde" w:hAnsi="ITC Avant Garde" w:cs="Arial"/>
        </w:rPr>
      </w:pPr>
      <w:r w:rsidRPr="00D631CA">
        <w:rPr>
          <w:rFonts w:ascii="ITC Avant Garde" w:hAnsi="ITC Avant Garde" w:cs="Arial"/>
        </w:rPr>
        <w:t>Mediante acta circunstanciada de fecha 24 de mayo de 2012, se hizo constar que el Licenciado Iván Díaz Barreiro Hernández, perito en Economía designado por Grupo Telefónica, compareció a aceptar y protestar el cargo conferido.</w:t>
      </w:r>
    </w:p>
    <w:p w14:paraId="44013A9B" w14:textId="77777777" w:rsidR="00D631CA" w:rsidRPr="00D631CA" w:rsidRDefault="007D1E4D" w:rsidP="00D631CA">
      <w:pPr>
        <w:numPr>
          <w:ilvl w:val="0"/>
          <w:numId w:val="1"/>
        </w:numPr>
        <w:spacing w:before="240"/>
        <w:contextualSpacing/>
        <w:jc w:val="both"/>
        <w:rPr>
          <w:rFonts w:ascii="ITC Avant Garde" w:hAnsi="ITC Avant Garde" w:cs="Arial"/>
        </w:rPr>
      </w:pPr>
      <w:r w:rsidRPr="00D631CA">
        <w:rPr>
          <w:rFonts w:ascii="ITC Avant Garde" w:hAnsi="ITC Avant Garde" w:cs="Arial"/>
        </w:rPr>
        <w:t>Por</w:t>
      </w:r>
      <w:r w:rsidR="00382941" w:rsidRPr="00D631CA">
        <w:rPr>
          <w:rFonts w:ascii="ITC Avant Garde" w:hAnsi="ITC Avant Garde" w:cs="Arial"/>
        </w:rPr>
        <w:t xml:space="preserve"> citatorio</w:t>
      </w:r>
      <w:r w:rsidRPr="00D631CA">
        <w:rPr>
          <w:rFonts w:ascii="ITC Avant Garde" w:hAnsi="ITC Avant Garde" w:cs="Arial"/>
        </w:rPr>
        <w:t>s</w:t>
      </w:r>
      <w:r w:rsidR="00382941" w:rsidRPr="00D631CA">
        <w:rPr>
          <w:rFonts w:ascii="ITC Avant Garde" w:hAnsi="ITC Avant Garde" w:cs="Arial"/>
        </w:rPr>
        <w:t xml:space="preserve"> de fecha 25 de mayo de 2012, </w:t>
      </w:r>
      <w:r w:rsidRPr="00D631CA">
        <w:rPr>
          <w:rFonts w:ascii="ITC Avant Garde" w:hAnsi="ITC Avant Garde" w:cs="Arial"/>
        </w:rPr>
        <w:t>e</w:t>
      </w:r>
      <w:r w:rsidR="00382941" w:rsidRPr="00D631CA">
        <w:rPr>
          <w:rFonts w:ascii="ITC Avant Garde" w:hAnsi="ITC Avant Garde" w:cs="Arial"/>
        </w:rPr>
        <w:t xml:space="preserve"> instructivo</w:t>
      </w:r>
      <w:r w:rsidRPr="00D631CA">
        <w:rPr>
          <w:rFonts w:ascii="ITC Avant Garde" w:hAnsi="ITC Avant Garde" w:cs="Arial"/>
        </w:rPr>
        <w:t>s</w:t>
      </w:r>
      <w:r w:rsidR="00382941" w:rsidRPr="00D631CA">
        <w:rPr>
          <w:rFonts w:ascii="ITC Avant Garde" w:hAnsi="ITC Avant Garde" w:cs="Arial"/>
        </w:rPr>
        <w:t xml:space="preserve"> de notificación de fecha 28 del mismo mes y año, se </w:t>
      </w:r>
      <w:r w:rsidRPr="00D631CA">
        <w:rPr>
          <w:rFonts w:ascii="ITC Avant Garde" w:hAnsi="ITC Avant Garde" w:cs="Arial"/>
        </w:rPr>
        <w:t xml:space="preserve">hicieron </w:t>
      </w:r>
      <w:r w:rsidR="00382941" w:rsidRPr="00D631CA">
        <w:rPr>
          <w:rFonts w:ascii="ITC Avant Garde" w:hAnsi="ITC Avant Garde" w:cs="Arial"/>
        </w:rPr>
        <w:t xml:space="preserve">del conocimiento de </w:t>
      </w:r>
      <w:proofErr w:type="spellStart"/>
      <w:r w:rsidR="00382941" w:rsidRPr="00D631CA">
        <w:rPr>
          <w:rFonts w:ascii="ITC Avant Garde" w:hAnsi="ITC Avant Garde" w:cs="Arial"/>
        </w:rPr>
        <w:t>Marcatel</w:t>
      </w:r>
      <w:proofErr w:type="spellEnd"/>
      <w:r w:rsidR="00382941" w:rsidRPr="00D631CA">
        <w:rPr>
          <w:rFonts w:ascii="ITC Avant Garde" w:hAnsi="ITC Avant Garde" w:cs="Arial"/>
        </w:rPr>
        <w:t xml:space="preserve"> </w:t>
      </w:r>
      <w:r w:rsidRPr="00D631CA">
        <w:rPr>
          <w:rFonts w:ascii="ITC Avant Garde" w:hAnsi="ITC Avant Garde" w:cs="Arial"/>
        </w:rPr>
        <w:t>los</w:t>
      </w:r>
      <w:r w:rsidR="00382941" w:rsidRPr="00D631CA">
        <w:rPr>
          <w:rFonts w:ascii="ITC Avant Garde" w:hAnsi="ITC Avant Garde" w:cs="Arial"/>
        </w:rPr>
        <w:t xml:space="preserve"> acuerdo</w:t>
      </w:r>
      <w:r w:rsidRPr="00D631CA">
        <w:rPr>
          <w:rFonts w:ascii="ITC Avant Garde" w:hAnsi="ITC Avant Garde" w:cs="Arial"/>
        </w:rPr>
        <w:t>s</w:t>
      </w:r>
      <w:r w:rsidR="00382941" w:rsidRPr="00D631CA">
        <w:rPr>
          <w:rFonts w:ascii="ITC Avant Garde" w:hAnsi="ITC Avant Garde" w:cs="Arial"/>
        </w:rPr>
        <w:t xml:space="preserve"> de fecha 17 del mismo mes y año, mediante </w:t>
      </w:r>
      <w:r w:rsidRPr="00D631CA">
        <w:rPr>
          <w:rFonts w:ascii="ITC Avant Garde" w:hAnsi="ITC Avant Garde" w:cs="Arial"/>
        </w:rPr>
        <w:t>los</w:t>
      </w:r>
      <w:r w:rsidR="00382941" w:rsidRPr="00D631CA">
        <w:rPr>
          <w:rFonts w:ascii="ITC Avant Garde" w:hAnsi="ITC Avant Garde" w:cs="Arial"/>
        </w:rPr>
        <w:t xml:space="preserve"> cual</w:t>
      </w:r>
      <w:r w:rsidRPr="00D631CA">
        <w:rPr>
          <w:rFonts w:ascii="ITC Avant Garde" w:hAnsi="ITC Avant Garde" w:cs="Arial"/>
        </w:rPr>
        <w:t>es</w:t>
      </w:r>
      <w:r w:rsidR="00382941" w:rsidRPr="00D631CA">
        <w:rPr>
          <w:rFonts w:ascii="ITC Avant Garde" w:hAnsi="ITC Avant Garde" w:cs="Arial"/>
        </w:rPr>
        <w:t xml:space="preserve"> se informa la admisión del recurso</w:t>
      </w:r>
      <w:r w:rsidRPr="00D631CA">
        <w:rPr>
          <w:rFonts w:ascii="ITC Avant Garde" w:hAnsi="ITC Avant Garde" w:cs="Arial"/>
        </w:rPr>
        <w:t xml:space="preserve"> y la negativa de suspensión solicitada en el recurso de referencia.</w:t>
      </w:r>
    </w:p>
    <w:p w14:paraId="642DBA24" w14:textId="77777777" w:rsidR="00D631CA" w:rsidRPr="00D631CA" w:rsidRDefault="00382941" w:rsidP="00D631CA">
      <w:pPr>
        <w:numPr>
          <w:ilvl w:val="0"/>
          <w:numId w:val="1"/>
        </w:numPr>
        <w:spacing w:before="240"/>
        <w:contextualSpacing/>
        <w:jc w:val="both"/>
        <w:rPr>
          <w:rFonts w:ascii="ITC Avant Garde" w:hAnsi="ITC Avant Garde" w:cs="Arial"/>
        </w:rPr>
      </w:pPr>
      <w:r w:rsidRPr="00D631CA">
        <w:rPr>
          <w:rFonts w:ascii="ITC Avant Garde" w:hAnsi="ITC Avant Garde" w:cs="Arial"/>
        </w:rPr>
        <w:t xml:space="preserve">Por escrito presentado el 8 de junio de 2012, </w:t>
      </w:r>
      <w:proofErr w:type="spellStart"/>
      <w:r w:rsidRPr="00D631CA">
        <w:rPr>
          <w:rFonts w:ascii="ITC Avant Garde" w:hAnsi="ITC Avant Garde" w:cs="Arial"/>
        </w:rPr>
        <w:t>Marcatel</w:t>
      </w:r>
      <w:proofErr w:type="spellEnd"/>
      <w:r w:rsidRPr="00D631CA">
        <w:rPr>
          <w:rFonts w:ascii="ITC Avant Garde" w:hAnsi="ITC Avant Garde" w:cs="Arial"/>
        </w:rPr>
        <w:t xml:space="preserve"> realizó manifestaciones con relación al recurso de revisión de referencia.</w:t>
      </w:r>
    </w:p>
    <w:p w14:paraId="57518CA0" w14:textId="77777777" w:rsidR="00D631CA" w:rsidRPr="00D631CA" w:rsidRDefault="00382941" w:rsidP="00D631CA">
      <w:pPr>
        <w:numPr>
          <w:ilvl w:val="0"/>
          <w:numId w:val="1"/>
        </w:numPr>
        <w:spacing w:before="240"/>
        <w:contextualSpacing/>
        <w:jc w:val="both"/>
        <w:rPr>
          <w:rFonts w:ascii="ITC Avant Garde" w:hAnsi="ITC Avant Garde" w:cs="Arial"/>
        </w:rPr>
      </w:pPr>
      <w:r w:rsidRPr="00D631CA">
        <w:rPr>
          <w:rFonts w:ascii="ITC Avant Garde" w:hAnsi="ITC Avant Garde" w:cs="Arial"/>
        </w:rPr>
        <w:t>Por acuerdo de fecha 25 de marzo de 2013, se concedió a</w:t>
      </w:r>
      <w:r w:rsidR="00590006" w:rsidRPr="00D631CA">
        <w:rPr>
          <w:rFonts w:ascii="ITC Avant Garde" w:hAnsi="ITC Avant Garde" w:cs="Arial"/>
        </w:rPr>
        <w:t>l</w:t>
      </w:r>
      <w:r w:rsidRPr="00D631CA">
        <w:rPr>
          <w:rFonts w:ascii="ITC Avant Garde" w:hAnsi="ITC Avant Garde" w:cs="Arial"/>
        </w:rPr>
        <w:t xml:space="preserve"> perito un plazo de 10 días hábiles para que rindiera y ratificara su </w:t>
      </w:r>
      <w:r w:rsidR="00590006" w:rsidRPr="00D631CA">
        <w:rPr>
          <w:rFonts w:ascii="ITC Avant Garde" w:hAnsi="ITC Avant Garde" w:cs="Arial"/>
        </w:rPr>
        <w:t>dictamen</w:t>
      </w:r>
      <w:r w:rsidRPr="00D631CA">
        <w:rPr>
          <w:rFonts w:ascii="ITC Avant Garde" w:hAnsi="ITC Avant Garde" w:cs="Arial"/>
        </w:rPr>
        <w:t xml:space="preserve"> pericial.</w:t>
      </w:r>
    </w:p>
    <w:p w14:paraId="2A29FBA8" w14:textId="77777777" w:rsidR="00D631CA" w:rsidRPr="00D631CA" w:rsidRDefault="00382941" w:rsidP="00D631CA">
      <w:pPr>
        <w:numPr>
          <w:ilvl w:val="0"/>
          <w:numId w:val="1"/>
        </w:numPr>
        <w:spacing w:before="240"/>
        <w:contextualSpacing/>
        <w:jc w:val="both"/>
        <w:rPr>
          <w:rFonts w:ascii="ITC Avant Garde" w:hAnsi="ITC Avant Garde" w:cs="Arial"/>
        </w:rPr>
      </w:pPr>
      <w:r w:rsidRPr="00D631CA">
        <w:rPr>
          <w:rFonts w:ascii="ITC Avant Garde" w:hAnsi="ITC Avant Garde" w:cs="Arial"/>
        </w:rPr>
        <w:t>P</w:t>
      </w:r>
      <w:r w:rsidR="009F4658" w:rsidRPr="00D631CA">
        <w:rPr>
          <w:rFonts w:ascii="ITC Avant Garde" w:hAnsi="ITC Avant Garde" w:cs="Arial"/>
        </w:rPr>
        <w:t>or</w:t>
      </w:r>
      <w:r w:rsidRPr="00D631CA">
        <w:rPr>
          <w:rFonts w:ascii="ITC Avant Garde" w:hAnsi="ITC Avant Garde" w:cs="Arial"/>
        </w:rPr>
        <w:t xml:space="preserve"> citatorio de fecha 27 de marzo de 2013, </w:t>
      </w:r>
      <w:r w:rsidR="009F4658" w:rsidRPr="00D631CA">
        <w:rPr>
          <w:rFonts w:ascii="ITC Avant Garde" w:hAnsi="ITC Avant Garde" w:cs="Arial"/>
        </w:rPr>
        <w:t>e</w:t>
      </w:r>
      <w:r w:rsidRPr="00D631CA">
        <w:rPr>
          <w:rFonts w:ascii="ITC Avant Garde" w:hAnsi="ITC Avant Garde" w:cs="Arial"/>
        </w:rPr>
        <w:t xml:space="preserve"> instructivo de notificación de fecha 1º de abril del mismo año, se hizo del conocimiento de Grupo Telefónica el acuerdo de 25 de marzo de 2013.</w:t>
      </w:r>
    </w:p>
    <w:p w14:paraId="7A1F0994" w14:textId="77777777" w:rsidR="00D631CA" w:rsidRPr="00D631CA" w:rsidRDefault="00382941" w:rsidP="00D631CA">
      <w:pPr>
        <w:numPr>
          <w:ilvl w:val="0"/>
          <w:numId w:val="1"/>
        </w:numPr>
        <w:spacing w:before="240"/>
        <w:contextualSpacing/>
        <w:jc w:val="both"/>
        <w:rPr>
          <w:rFonts w:ascii="ITC Avant Garde" w:hAnsi="ITC Avant Garde" w:cs="Arial"/>
        </w:rPr>
      </w:pPr>
      <w:r w:rsidRPr="00D631CA">
        <w:rPr>
          <w:rFonts w:ascii="ITC Avant Garde" w:hAnsi="ITC Avant Garde" w:cs="Arial"/>
        </w:rPr>
        <w:t>Con fecha 10 de abril de 2013, el C. Iván Díaz Barreiro Hernández, perito designado en materia de economía de las telecomunicaciones por Grupo Telefónica, rindió el dictamen pericial que le fue encomendado, ratificándolo mediante acta circunstanciada de la misma fecha.</w:t>
      </w:r>
    </w:p>
    <w:p w14:paraId="31ECAE61" w14:textId="77777777" w:rsidR="00D631CA" w:rsidRPr="00D631CA" w:rsidRDefault="00184EF6" w:rsidP="00D631CA">
      <w:pPr>
        <w:pStyle w:val="Prrafodelista"/>
        <w:numPr>
          <w:ilvl w:val="0"/>
          <w:numId w:val="1"/>
        </w:numPr>
        <w:spacing w:before="240"/>
        <w:jc w:val="both"/>
        <w:rPr>
          <w:rFonts w:ascii="ITC Avant Garde" w:hAnsi="ITC Avant Garde" w:cs="Arial"/>
          <w:color w:val="000000" w:themeColor="text1"/>
        </w:rPr>
      </w:pPr>
      <w:r w:rsidRPr="00D631CA">
        <w:rPr>
          <w:rFonts w:ascii="ITC Avant Garde" w:hAnsi="ITC Avant Garde" w:cs="Arial"/>
          <w:color w:val="000000" w:themeColor="text1"/>
        </w:rPr>
        <w:lastRenderedPageBreak/>
        <w:t>Mediante acta circunstanciada de fecha 10 de abril de 2013,</w:t>
      </w:r>
      <w:r w:rsidR="00D22DDB" w:rsidRPr="00D631CA">
        <w:rPr>
          <w:rFonts w:ascii="ITC Avant Garde" w:hAnsi="ITC Avant Garde" w:cs="Arial"/>
          <w:color w:val="000000" w:themeColor="text1"/>
        </w:rPr>
        <w:t xml:space="preserve"> Iván Díaz Barreiro Hernández, perito de la </w:t>
      </w:r>
      <w:r w:rsidR="00180CC9" w:rsidRPr="00D631CA">
        <w:rPr>
          <w:rFonts w:ascii="ITC Avant Garde" w:hAnsi="ITC Avant Garde" w:cs="Arial"/>
          <w:color w:val="000000" w:themeColor="text1"/>
        </w:rPr>
        <w:t>Recurrente</w:t>
      </w:r>
      <w:r w:rsidR="00D22DDB" w:rsidRPr="00D631CA">
        <w:rPr>
          <w:rFonts w:ascii="ITC Avant Garde" w:hAnsi="ITC Avant Garde" w:cs="Arial"/>
          <w:color w:val="000000" w:themeColor="text1"/>
        </w:rPr>
        <w:t xml:space="preserve"> ratificó el dictamen pericial.</w:t>
      </w:r>
    </w:p>
    <w:p w14:paraId="41BDF6F4" w14:textId="77777777" w:rsidR="00D631CA" w:rsidRPr="00D631CA" w:rsidRDefault="00382941" w:rsidP="00D631CA">
      <w:pPr>
        <w:numPr>
          <w:ilvl w:val="0"/>
          <w:numId w:val="1"/>
        </w:numPr>
        <w:spacing w:before="240"/>
        <w:contextualSpacing/>
        <w:jc w:val="both"/>
        <w:rPr>
          <w:rFonts w:ascii="ITC Avant Garde" w:hAnsi="ITC Avant Garde" w:cs="Arial"/>
        </w:rPr>
      </w:pPr>
      <w:r w:rsidRPr="00D631CA">
        <w:rPr>
          <w:rFonts w:ascii="ITC Avant Garde" w:hAnsi="ITC Avant Garde" w:cs="Arial"/>
        </w:rPr>
        <w:t>Mediante oficio IFT/D03/USI/941/2013 de fecha 19 de diciembre de 2013, la Unidad de Servicios a la Industria del Instituto Federal de Telecomunicaciones (en lo sucesivo, el “Instituto”) autorizó a Baja Celular Mexicana, S.A. de C.V., Celular de Telefonía, S.A. de C.V., Telefonía Celular del Norte, S.A. de C.V. y Pegaso Comunicaciones y Sistemas, S.A. de C.V., ceder los derechos y obligaciones de las concesiones de las que eran titulares, a favor de la empresa Pegaso PCS, S.A. de C.V. (en lo sucesivo, "Pegaso PCS”), adquiriendo esta última el carácter de concesionario.</w:t>
      </w:r>
    </w:p>
    <w:p w14:paraId="36DB1C25" w14:textId="77777777" w:rsidR="00D631CA" w:rsidRPr="00D631CA" w:rsidRDefault="00382941" w:rsidP="00D631CA">
      <w:pPr>
        <w:spacing w:before="240"/>
        <w:ind w:left="720"/>
        <w:contextualSpacing/>
        <w:jc w:val="both"/>
        <w:rPr>
          <w:rFonts w:ascii="ITC Avant Garde" w:hAnsi="ITC Avant Garde" w:cs="Arial"/>
        </w:rPr>
      </w:pPr>
      <w:r w:rsidRPr="00D631CA">
        <w:rPr>
          <w:rFonts w:ascii="ITC Avant Garde" w:hAnsi="ITC Avant Garde" w:cs="Arial"/>
        </w:rPr>
        <w:t>Asimismo, en dicho oficio se resolvió que Pegaso PCS adquirió el carácter de concesionario derivado de las cesiones de derechos en comento, por lo que se dejaron sin efectos las autorizaciones emitidas por la Secretaría a dicha empresa, para prestar servicios de telecomunicaciones en su calidad de filial, afiliada o subsidiaria.</w:t>
      </w:r>
    </w:p>
    <w:p w14:paraId="62294EFA" w14:textId="77777777" w:rsidR="00D631CA" w:rsidRPr="00D631CA" w:rsidRDefault="00382941" w:rsidP="00D631CA">
      <w:pPr>
        <w:numPr>
          <w:ilvl w:val="0"/>
          <w:numId w:val="1"/>
        </w:numPr>
        <w:spacing w:before="240"/>
        <w:contextualSpacing/>
        <w:jc w:val="both"/>
        <w:rPr>
          <w:rFonts w:ascii="ITC Avant Garde" w:hAnsi="ITC Avant Garde" w:cs="Arial"/>
        </w:rPr>
      </w:pPr>
      <w:r w:rsidRPr="00D631CA">
        <w:rPr>
          <w:rFonts w:ascii="ITC Avant Garde" w:hAnsi="ITC Avant Garde" w:cs="Arial"/>
        </w:rPr>
        <w:t>Por medio de Acuerdo de fecha</w:t>
      </w:r>
      <w:r w:rsidR="00D22DDB" w:rsidRPr="00D631CA">
        <w:rPr>
          <w:rFonts w:ascii="ITC Avant Garde" w:hAnsi="ITC Avant Garde" w:cs="Arial"/>
        </w:rPr>
        <w:t xml:space="preserve"> 11 de enero de 2017</w:t>
      </w:r>
      <w:r w:rsidRPr="00D631CA">
        <w:rPr>
          <w:rFonts w:ascii="ITC Avant Garde" w:hAnsi="ITC Avant Garde" w:cs="Arial"/>
        </w:rPr>
        <w:t>, se otorgó a las partes el término de cinco días hábiles para formular alegatos dentro del recurso administrativo de revisión.</w:t>
      </w:r>
    </w:p>
    <w:p w14:paraId="3B36E631" w14:textId="77777777" w:rsidR="00D631CA" w:rsidRPr="00D631CA" w:rsidRDefault="00D22DDB" w:rsidP="00D631CA">
      <w:pPr>
        <w:pStyle w:val="Prrafodelista"/>
        <w:numPr>
          <w:ilvl w:val="0"/>
          <w:numId w:val="1"/>
        </w:numPr>
        <w:spacing w:before="240"/>
        <w:jc w:val="both"/>
        <w:rPr>
          <w:rFonts w:ascii="ITC Avant Garde" w:hAnsi="ITC Avant Garde" w:cs="Arial"/>
        </w:rPr>
      </w:pPr>
      <w:r w:rsidRPr="00D631CA">
        <w:rPr>
          <w:rFonts w:ascii="ITC Avant Garde" w:hAnsi="ITC Avant Garde" w:cs="Arial"/>
        </w:rPr>
        <w:t>Por citatorio de fecha 13 de enero de 2017 e instructivo de notificación del día 16 de enero del mismo año, se le notificó a la Recurrente el acuerdo de fecha 11 de enero de 2017.</w:t>
      </w:r>
    </w:p>
    <w:p w14:paraId="0F033B44" w14:textId="77777777" w:rsidR="00D631CA" w:rsidRPr="00D631CA" w:rsidRDefault="00D22DDB" w:rsidP="00D631CA">
      <w:pPr>
        <w:pStyle w:val="Prrafodelista"/>
        <w:numPr>
          <w:ilvl w:val="0"/>
          <w:numId w:val="1"/>
        </w:numPr>
        <w:spacing w:before="240"/>
        <w:jc w:val="both"/>
        <w:rPr>
          <w:rFonts w:ascii="ITC Avant Garde" w:hAnsi="ITC Avant Garde" w:cs="Arial"/>
        </w:rPr>
      </w:pPr>
      <w:r w:rsidRPr="00D631CA">
        <w:rPr>
          <w:rFonts w:ascii="ITC Avant Garde" w:hAnsi="ITC Avant Garde" w:cs="Arial"/>
        </w:rPr>
        <w:t xml:space="preserve">Mediante citatorio de fecha 18 </w:t>
      </w:r>
      <w:r w:rsidR="007056BF" w:rsidRPr="00D631CA">
        <w:rPr>
          <w:rFonts w:ascii="ITC Avant Garde" w:hAnsi="ITC Avant Garde" w:cs="Arial"/>
        </w:rPr>
        <w:t>e instructivo de 19 de enero del mismo año, se notificó a la tercera perjudicada el acuerdo de fecha 11 de enero de 2017.</w:t>
      </w:r>
    </w:p>
    <w:p w14:paraId="08100C00" w14:textId="77777777" w:rsidR="00D631CA" w:rsidRPr="00D631CA" w:rsidRDefault="00A1103A" w:rsidP="00D631CA">
      <w:pPr>
        <w:pStyle w:val="Prrafodelista"/>
        <w:numPr>
          <w:ilvl w:val="0"/>
          <w:numId w:val="1"/>
        </w:numPr>
        <w:spacing w:before="240"/>
        <w:jc w:val="both"/>
        <w:rPr>
          <w:rFonts w:ascii="ITC Avant Garde" w:hAnsi="ITC Avant Garde" w:cs="Arial"/>
        </w:rPr>
      </w:pPr>
      <w:r w:rsidRPr="00D631CA">
        <w:rPr>
          <w:rFonts w:ascii="ITC Avant Garde" w:hAnsi="ITC Avant Garde" w:cs="Arial"/>
        </w:rPr>
        <w:t>Mediante escrito presentado ante la oficialía de partes del Instituto Federal de Telecomunicaciones el día 23 de enero de 2017, la Recurrente solicita prórroga para rendir alegatos.</w:t>
      </w:r>
    </w:p>
    <w:p w14:paraId="737E6495" w14:textId="77777777" w:rsidR="00D631CA" w:rsidRPr="00D631CA" w:rsidRDefault="00382941" w:rsidP="00D631CA">
      <w:pPr>
        <w:numPr>
          <w:ilvl w:val="0"/>
          <w:numId w:val="1"/>
        </w:numPr>
        <w:spacing w:before="240"/>
        <w:contextualSpacing/>
        <w:jc w:val="both"/>
        <w:rPr>
          <w:rFonts w:ascii="ITC Avant Garde" w:hAnsi="ITC Avant Garde" w:cs="Arial"/>
        </w:rPr>
      </w:pPr>
      <w:r w:rsidRPr="00D631CA">
        <w:rPr>
          <w:rFonts w:ascii="ITC Avant Garde" w:hAnsi="ITC Avant Garde" w:cs="Arial"/>
        </w:rPr>
        <w:t xml:space="preserve">Mediante escrito presentado ante la oficialía de partes del Instituto Federal de Telecomunicaciones el día 23 de enero de 2017, el apoderado legal de </w:t>
      </w:r>
      <w:proofErr w:type="spellStart"/>
      <w:r w:rsidRPr="00D631CA">
        <w:rPr>
          <w:rFonts w:ascii="ITC Avant Garde" w:hAnsi="ITC Avant Garde" w:cs="Arial"/>
        </w:rPr>
        <w:t>Marcatel</w:t>
      </w:r>
      <w:proofErr w:type="spellEnd"/>
      <w:r w:rsidRPr="00D631CA">
        <w:rPr>
          <w:rFonts w:ascii="ITC Avant Garde" w:hAnsi="ITC Avant Garde" w:cs="Arial"/>
        </w:rPr>
        <w:t xml:space="preserve"> </w:t>
      </w:r>
      <w:proofErr w:type="spellStart"/>
      <w:r w:rsidRPr="00D631CA">
        <w:rPr>
          <w:rFonts w:ascii="ITC Avant Garde" w:hAnsi="ITC Avant Garde" w:cs="Arial"/>
        </w:rPr>
        <w:t>Com</w:t>
      </w:r>
      <w:proofErr w:type="spellEnd"/>
      <w:r w:rsidRPr="00D631CA">
        <w:rPr>
          <w:rFonts w:ascii="ITC Avant Garde" w:hAnsi="ITC Avant Garde" w:cs="Arial"/>
        </w:rPr>
        <w:t xml:space="preserve">, rindió los alegatos correspondientes en su carácter de </w:t>
      </w:r>
      <w:r w:rsidR="00C67299" w:rsidRPr="00D631CA">
        <w:rPr>
          <w:rFonts w:ascii="ITC Avant Garde" w:hAnsi="ITC Avant Garde" w:cs="Arial"/>
        </w:rPr>
        <w:t>Tercero perjudicada</w:t>
      </w:r>
      <w:r w:rsidRPr="00D631CA">
        <w:rPr>
          <w:rFonts w:ascii="ITC Avant Garde" w:hAnsi="ITC Avant Garde" w:cs="Arial"/>
        </w:rPr>
        <w:t>.</w:t>
      </w:r>
    </w:p>
    <w:p w14:paraId="4F803650" w14:textId="77777777" w:rsidR="00D631CA" w:rsidRPr="00D631CA" w:rsidRDefault="00792FD6" w:rsidP="00D631CA">
      <w:pPr>
        <w:pStyle w:val="Prrafodelista"/>
        <w:numPr>
          <w:ilvl w:val="0"/>
          <w:numId w:val="1"/>
        </w:numPr>
        <w:spacing w:before="240"/>
        <w:jc w:val="both"/>
        <w:rPr>
          <w:rFonts w:ascii="ITC Avant Garde" w:hAnsi="ITC Avant Garde" w:cs="Arial"/>
        </w:rPr>
      </w:pPr>
      <w:r w:rsidRPr="00D631CA">
        <w:rPr>
          <w:rFonts w:ascii="ITC Avant Garde" w:hAnsi="ITC Avant Garde" w:cs="Arial"/>
        </w:rPr>
        <w:t>Mediante Acuerdo de 24 de enero de 2017, mismo que fue notificado el 31 del mismo mes y año a la Recurrente, se amplió el plazo para rendir sus Alegatos, por 3 días adicionales.</w:t>
      </w:r>
    </w:p>
    <w:p w14:paraId="00ACB1A7" w14:textId="77777777" w:rsidR="00D631CA" w:rsidRPr="00D631CA" w:rsidRDefault="00382941" w:rsidP="00D631CA">
      <w:pPr>
        <w:numPr>
          <w:ilvl w:val="0"/>
          <w:numId w:val="1"/>
        </w:numPr>
        <w:spacing w:before="240"/>
        <w:contextualSpacing/>
        <w:jc w:val="both"/>
        <w:rPr>
          <w:rFonts w:ascii="ITC Avant Garde" w:hAnsi="ITC Avant Garde" w:cs="Arial"/>
        </w:rPr>
      </w:pPr>
      <w:r w:rsidRPr="00D631CA">
        <w:rPr>
          <w:rFonts w:ascii="ITC Avant Garde" w:hAnsi="ITC Avant Garde" w:cs="Arial"/>
        </w:rPr>
        <w:t xml:space="preserve">Por medio de escrito presentado ante la oficialía de partes del Instituto Federal de Telecomunicaciones el día 2 de febrero de 2017, el apoderado legal de la Recurrente, formuló sus alegatos. </w:t>
      </w:r>
    </w:p>
    <w:p w14:paraId="28D1AF28" w14:textId="77777777" w:rsidR="00D631CA" w:rsidRPr="00D631CA" w:rsidRDefault="00382941" w:rsidP="00D631CA">
      <w:pPr>
        <w:keepNext/>
        <w:spacing w:before="240"/>
        <w:jc w:val="center"/>
        <w:outlineLvl w:val="1"/>
        <w:rPr>
          <w:rFonts w:ascii="ITC Avant Garde" w:eastAsia="Times New Roman" w:hAnsi="ITC Avant Garde" w:cs="Arial"/>
          <w:b/>
          <w:lang w:val="es-ES" w:eastAsia="es-MX"/>
        </w:rPr>
      </w:pPr>
      <w:r w:rsidRPr="00D631CA">
        <w:rPr>
          <w:rFonts w:ascii="ITC Avant Garde" w:eastAsia="Times New Roman" w:hAnsi="ITC Avant Garde" w:cs="Arial"/>
          <w:b/>
          <w:lang w:val="es-ES" w:eastAsia="es-MX"/>
        </w:rPr>
        <w:lastRenderedPageBreak/>
        <w:t>CONSIDERANDO</w:t>
      </w:r>
    </w:p>
    <w:p w14:paraId="264F4A6A" w14:textId="77777777" w:rsidR="00D631CA" w:rsidRPr="00D631CA" w:rsidRDefault="00382941" w:rsidP="00D631CA">
      <w:pPr>
        <w:adjustRightInd w:val="0"/>
        <w:spacing w:before="240"/>
        <w:jc w:val="both"/>
        <w:rPr>
          <w:rFonts w:ascii="ITC Avant Garde" w:eastAsia="Times New Roman" w:hAnsi="ITC Avant Garde" w:cs="Arial"/>
          <w:bCs/>
          <w:lang w:eastAsia="es-ES"/>
        </w:rPr>
      </w:pPr>
      <w:r w:rsidRPr="00D631CA">
        <w:rPr>
          <w:rFonts w:ascii="ITC Avant Garde" w:eastAsia="Times New Roman" w:hAnsi="ITC Avant Garde" w:cs="Arial"/>
          <w:b/>
          <w:bCs/>
          <w:lang w:eastAsia="es-ES"/>
        </w:rPr>
        <w:t>PRIMERO.-</w:t>
      </w:r>
      <w:r w:rsidRPr="00D631CA">
        <w:rPr>
          <w:rFonts w:ascii="ITC Avant Garde" w:eastAsia="Times New Roman" w:hAnsi="ITC Avant Garde" w:cs="Arial"/>
          <w:b/>
          <w:bCs/>
          <w:color w:val="000000"/>
          <w:lang w:eastAsia="es-ES"/>
        </w:rPr>
        <w:t xml:space="preserve"> </w:t>
      </w:r>
      <w:r w:rsidRPr="00D631CA">
        <w:rPr>
          <w:rFonts w:ascii="ITC Avant Garde" w:eastAsia="Times New Roman" w:hAnsi="ITC Avant Garde" w:cs="Arial"/>
          <w:bCs/>
          <w:lang w:eastAsia="es-ES"/>
        </w:rPr>
        <w:t>El 11 de junio de 2013, se publicó en el Diario Oficial de la Federación (en lo sucesivo el DOF), el “Decreto por el que se reforman y adicionan diversas disposiciones de los artículos 6o., 7o., 27, 28, 73, 78, 94 y 105 de la Constitución Política de los Estados Unidos Mexicanos, en materia de telecomunicaciones” (en lo sucesivo, “Decreto”), mediante el cual se creó al Instituto, como un órgano autónomo con personalidad jurídica y patrimonio propio, cuyo objeto es el desarrollo eficiente de la radiodifusión y las telecomunicaciones conforme a lo dispuesto en la propia Constitución Política de los Estados Unidos Mexicanos (en lo sucesivo, la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081CBEA2" w14:textId="77777777" w:rsidR="00D631CA" w:rsidRPr="00D631CA" w:rsidRDefault="002506C6" w:rsidP="00D631CA">
      <w:pPr>
        <w:spacing w:before="240"/>
        <w:jc w:val="both"/>
        <w:rPr>
          <w:rFonts w:ascii="ITC Avant Garde" w:eastAsia="Times New Roman" w:hAnsi="ITC Avant Garde" w:cs="Arial"/>
          <w:bCs/>
          <w:lang w:eastAsia="es-ES"/>
        </w:rPr>
      </w:pPr>
      <w:r w:rsidRPr="00D631CA">
        <w:rPr>
          <w:rFonts w:ascii="ITC Avant Garde" w:eastAsia="Times New Roman" w:hAnsi="ITC Avant Garde" w:cs="Arial"/>
          <w:bCs/>
          <w:lang w:eastAsia="es-ES"/>
        </w:rPr>
        <w:t>Asimismo, c</w:t>
      </w:r>
      <w:r w:rsidR="00382941" w:rsidRPr="00D631CA">
        <w:rPr>
          <w:rFonts w:ascii="ITC Avant Garde" w:eastAsia="Times New Roman" w:hAnsi="ITC Avant Garde" w:cs="Arial"/>
          <w:bCs/>
          <w:lang w:eastAsia="es-ES"/>
        </w:rPr>
        <w:t>onforme al SÉPTIMO Transitorio del Decreto, los procedimientos iniciados con anterioridad a la integración del Instituto, continuarán su trámite ante éste órgano en términos de la legislación aplicable al momento de su inicio, siendo el Instituto causahabiente de la hoy extinta Comisión.</w:t>
      </w:r>
    </w:p>
    <w:p w14:paraId="4FA90F19" w14:textId="77777777" w:rsidR="00D631CA" w:rsidRPr="00D631CA" w:rsidRDefault="002506C6" w:rsidP="00D631CA">
      <w:pPr>
        <w:spacing w:before="240"/>
        <w:jc w:val="both"/>
        <w:rPr>
          <w:rFonts w:ascii="ITC Avant Garde" w:eastAsia="Times New Roman" w:hAnsi="ITC Avant Garde" w:cs="Arial"/>
          <w:bCs/>
          <w:lang w:eastAsia="es-ES"/>
        </w:rPr>
      </w:pPr>
      <w:r w:rsidRPr="00D631CA">
        <w:rPr>
          <w:rFonts w:ascii="ITC Avant Garde" w:eastAsia="Times New Roman" w:hAnsi="ITC Avant Garde" w:cs="Arial"/>
          <w:bCs/>
          <w:lang w:eastAsia="es-ES"/>
        </w:rPr>
        <w:t>Además, los juicios y recursos en trámite, continuarán hasta su conclusión conforme a la legislación vigente a la entrada en vigor del presente Decreto.</w:t>
      </w:r>
    </w:p>
    <w:p w14:paraId="7471A493" w14:textId="77777777" w:rsidR="00D631CA" w:rsidRPr="00D631CA" w:rsidRDefault="00382941" w:rsidP="00D631CA">
      <w:pPr>
        <w:adjustRightInd w:val="0"/>
        <w:spacing w:before="240"/>
        <w:jc w:val="both"/>
        <w:rPr>
          <w:rFonts w:ascii="ITC Avant Garde" w:eastAsia="Times New Roman" w:hAnsi="ITC Avant Garde" w:cs="Arial"/>
          <w:bCs/>
          <w:color w:val="000000"/>
          <w:lang w:eastAsia="es-ES"/>
        </w:rPr>
      </w:pPr>
      <w:r w:rsidRPr="00D631CA">
        <w:rPr>
          <w:rFonts w:ascii="ITC Avant Garde" w:eastAsia="Times New Roman" w:hAnsi="ITC Avant Garde" w:cs="Arial"/>
          <w:b/>
          <w:bCs/>
          <w:lang w:eastAsia="es-ES"/>
        </w:rPr>
        <w:t>SEGUNDO.-</w:t>
      </w:r>
      <w:r w:rsidRPr="00D631CA">
        <w:rPr>
          <w:rFonts w:ascii="ITC Avant Garde" w:eastAsia="Times New Roman" w:hAnsi="ITC Avant Garde" w:cs="Arial"/>
          <w:b/>
          <w:bCs/>
          <w:color w:val="000000"/>
          <w:lang w:eastAsia="es-ES"/>
        </w:rPr>
        <w:t xml:space="preserve"> </w:t>
      </w:r>
      <w:r w:rsidRPr="00D631CA">
        <w:rPr>
          <w:rFonts w:ascii="ITC Avant Garde" w:eastAsia="Times New Roman" w:hAnsi="ITC Avant Garde" w:cs="Arial"/>
          <w:bCs/>
          <w:lang w:eastAsia="es-ES"/>
        </w:rPr>
        <w:t>El órgano de gobierno del Instituto se integra por siete Comisionados, incluyendo al Comisionado Presidente, designados en forma escalonada a propuesta del Ejecutivo Federal con la ratificación del Senado de la República, de conformidad con el artículo 28 párrafo vigésimo primero de la Constitución.</w:t>
      </w:r>
    </w:p>
    <w:p w14:paraId="5832A6B2" w14:textId="77777777" w:rsidR="00D631CA" w:rsidRPr="00D631CA" w:rsidRDefault="00382941" w:rsidP="00D631CA">
      <w:pPr>
        <w:adjustRightInd w:val="0"/>
        <w:spacing w:before="240"/>
        <w:jc w:val="both"/>
        <w:rPr>
          <w:rFonts w:ascii="ITC Avant Garde" w:eastAsia="Times New Roman" w:hAnsi="ITC Avant Garde" w:cs="Arial"/>
          <w:bCs/>
          <w:lang w:eastAsia="es-ES"/>
        </w:rPr>
      </w:pPr>
      <w:r w:rsidRPr="00D631CA">
        <w:rPr>
          <w:rFonts w:ascii="ITC Avant Garde" w:eastAsia="Times New Roman" w:hAnsi="ITC Avant Garde" w:cs="Arial"/>
          <w:bCs/>
          <w:lang w:eastAsia="es-ES"/>
        </w:rPr>
        <w:t>A este respecto, el 10 de septiembre de 2013, quedó integrado el Instituto en términos de lo dispuesto por el artículo Sexto Transitorio del Decreto, mediante la ratificación por parte del Senado de la República de los nombramientos de los Comisionados que integran su órgano de gobierno y la designación de su Presidente.</w:t>
      </w:r>
    </w:p>
    <w:p w14:paraId="53C39545" w14:textId="77777777" w:rsidR="00D631CA" w:rsidRPr="00D631CA" w:rsidRDefault="00382941" w:rsidP="00D631CA">
      <w:pPr>
        <w:spacing w:before="240"/>
        <w:jc w:val="both"/>
        <w:rPr>
          <w:rFonts w:ascii="ITC Avant Garde" w:eastAsia="Times New Roman" w:hAnsi="ITC Avant Garde" w:cs="Arial"/>
          <w:bCs/>
          <w:lang w:eastAsia="es-ES"/>
        </w:rPr>
      </w:pPr>
      <w:r w:rsidRPr="00D631CA">
        <w:rPr>
          <w:rFonts w:ascii="ITC Avant Garde" w:eastAsia="Times New Roman" w:hAnsi="ITC Avant Garde" w:cs="Arial"/>
          <w:b/>
          <w:bCs/>
          <w:lang w:eastAsia="es-ES"/>
        </w:rPr>
        <w:t>TERCERO.-</w:t>
      </w:r>
      <w:r w:rsidRPr="00D631CA">
        <w:rPr>
          <w:rFonts w:ascii="ITC Avant Garde" w:eastAsia="Times New Roman" w:hAnsi="ITC Avant Garde" w:cs="Arial"/>
          <w:b/>
          <w:bCs/>
          <w:color w:val="000000"/>
          <w:lang w:eastAsia="es-ES"/>
        </w:rPr>
        <w:t xml:space="preserve"> </w:t>
      </w:r>
      <w:r w:rsidRPr="00D631CA">
        <w:rPr>
          <w:rFonts w:ascii="ITC Avant Garde" w:eastAsia="Times New Roman" w:hAnsi="ITC Avant Garde" w:cs="Arial"/>
          <w:bCs/>
          <w:lang w:eastAsia="es-ES"/>
        </w:rPr>
        <w:t xml:space="preserve">De conformidad con el artículo 28 de la Constitución, el Instituto es un órgano autónomo, con personalidad jurídica y patrimonio propio, que tiene por objeto el desarrollo eficiente de la radiodifusión y las telecomunicaciones, conforme a lo dispuesto en la propia Constitución y en los términos que fijen las leyes. </w:t>
      </w:r>
    </w:p>
    <w:p w14:paraId="37C0294A" w14:textId="77777777" w:rsidR="00D631CA" w:rsidRPr="00D631CA" w:rsidRDefault="00382941" w:rsidP="00D631CA">
      <w:pPr>
        <w:spacing w:before="240"/>
        <w:jc w:val="both"/>
        <w:rPr>
          <w:rFonts w:ascii="ITC Avant Garde" w:eastAsia="Times New Roman" w:hAnsi="ITC Avant Garde" w:cs="Arial"/>
          <w:bCs/>
          <w:lang w:eastAsia="es-ES"/>
        </w:rPr>
      </w:pPr>
      <w:r w:rsidRPr="00D631CA">
        <w:rPr>
          <w:rFonts w:ascii="ITC Avant Garde" w:eastAsia="Times New Roman" w:hAnsi="ITC Avant Garde" w:cs="Arial"/>
          <w:bCs/>
          <w:lang w:eastAsia="es-ES"/>
        </w:rPr>
        <w:t xml:space="preserve">Para tal efecto, tendrá a su cargo la regulación, promoción y supervisión del uso, aprovechamiento y explotación del espectro radioeléctrico, las redes y la prestación de los </w:t>
      </w:r>
      <w:r w:rsidRPr="00D631CA">
        <w:rPr>
          <w:rFonts w:ascii="ITC Avant Garde" w:eastAsia="Times New Roman" w:hAnsi="ITC Avant Garde" w:cs="Arial"/>
          <w:bCs/>
          <w:lang w:eastAsia="es-ES"/>
        </w:rPr>
        <w:lastRenderedPageBreak/>
        <w:t>servicios de radiodifusión y telecomunicaciones, así como del acceso a infraestructura activa, pasiva y otros insumos esenciales, garantizando lo establecido en los artículos 6o. y 7o. de la Constitución.</w:t>
      </w:r>
    </w:p>
    <w:p w14:paraId="3D12BB32" w14:textId="77777777" w:rsidR="00D631CA" w:rsidRPr="00D631CA" w:rsidRDefault="00382941" w:rsidP="00D631CA">
      <w:pPr>
        <w:spacing w:before="240"/>
        <w:jc w:val="both"/>
        <w:rPr>
          <w:rFonts w:ascii="ITC Avant Garde" w:eastAsia="Times New Roman" w:hAnsi="ITC Avant Garde" w:cs="Arial"/>
          <w:bCs/>
          <w:lang w:eastAsia="es-ES"/>
        </w:rPr>
      </w:pPr>
      <w:r w:rsidRPr="00D631CA">
        <w:rPr>
          <w:rFonts w:ascii="ITC Avant Garde" w:eastAsia="Times New Roman" w:hAnsi="ITC Avant Garde" w:cs="Arial"/>
          <w:bCs/>
          <w:lang w:eastAsia="es-ES"/>
        </w:rPr>
        <w:t>En este sentido, el Instituto será independiente en sus decisiones y funcionamiento, profesional en su desempeño e imparcial en sus actuaciones, dictará sus resoluciones con plena independencia; las leyes garantizarán, dentro del Instituto, la separación entre la autoridad que conoce de la etapa de investigación y la que resuelve en los procedimientos que se sustancien en forma de juicio; los órganos de gobierno deliberarán en forma colegiada y decidirán los asuntos por mayoría de votos; sus sesiones, acuerdos y resoluciones serán de carácter público con las excepciones que determine la ley.</w:t>
      </w:r>
    </w:p>
    <w:p w14:paraId="44055A5F" w14:textId="77777777" w:rsidR="00D631CA" w:rsidRPr="00D631CA" w:rsidRDefault="00382941" w:rsidP="00D631CA">
      <w:pPr>
        <w:adjustRightInd w:val="0"/>
        <w:spacing w:before="240"/>
        <w:jc w:val="both"/>
        <w:rPr>
          <w:rFonts w:ascii="ITC Avant Garde" w:eastAsia="Times New Roman" w:hAnsi="ITC Avant Garde" w:cs="Arial"/>
          <w:bCs/>
          <w:lang w:eastAsia="es-ES"/>
        </w:rPr>
      </w:pPr>
      <w:r w:rsidRPr="00D631CA">
        <w:rPr>
          <w:rFonts w:ascii="ITC Avant Garde" w:eastAsia="Times New Roman" w:hAnsi="ITC Avant Garde" w:cs="Arial"/>
          <w:bCs/>
          <w:lang w:eastAsia="es-ES"/>
        </w:rPr>
        <w:t>El Pleno del Instituto mediante Acuerdo adoptado en su I Sesión, celebrada el 20 de septiembre de 2013, aprobó el “Estatuto Orgánico del Instituto Federal de Telecomunicaciones”, mismo que fue publicado en el DOF el 23 de septiembre de 2013, el cual persigue como fin, entre otras cosas, dotar a las Unidades Administrativas de facultades suficientes para conocer de los asuntos competencia del Instituto, a efecto de ejercer las facultades constitucionales y legales que le permitan sustanciar los procedimientos a cargo de éste.</w:t>
      </w:r>
    </w:p>
    <w:p w14:paraId="79A76434" w14:textId="77777777" w:rsidR="00D631CA" w:rsidRPr="00D631CA" w:rsidRDefault="00382941" w:rsidP="00D631CA">
      <w:pPr>
        <w:adjustRightInd w:val="0"/>
        <w:spacing w:before="240"/>
        <w:jc w:val="both"/>
        <w:rPr>
          <w:rFonts w:ascii="ITC Avant Garde" w:eastAsia="Times New Roman" w:hAnsi="ITC Avant Garde" w:cs="Arial"/>
          <w:bCs/>
          <w:lang w:eastAsia="es-ES"/>
        </w:rPr>
      </w:pPr>
      <w:r w:rsidRPr="00D631CA">
        <w:rPr>
          <w:rFonts w:ascii="ITC Avant Garde" w:eastAsia="Times New Roman" w:hAnsi="ITC Avant Garde" w:cs="Arial"/>
          <w:bCs/>
          <w:lang w:eastAsia="es-ES"/>
        </w:rPr>
        <w:t>El 14 de julio de 2014 se publicó en el DOF la Ley Federal de Telecomunicaciones y Radiodifusión, en cuyo artículo 15, fracción X estableció como facultad indelegable del Pleno del Instituto “Resolver y establecer los términos y condiciones de interconexión que no hayan podido convenir los concesionarios respecto de sus redes públicas de telecomunicaciones conforme a lo previsto en la presente Ley”.</w:t>
      </w:r>
    </w:p>
    <w:p w14:paraId="3A07EFD0" w14:textId="77777777" w:rsidR="00D631CA" w:rsidRPr="00D631CA" w:rsidRDefault="00382941" w:rsidP="00D631CA">
      <w:pPr>
        <w:spacing w:before="240"/>
        <w:jc w:val="both"/>
        <w:rPr>
          <w:rFonts w:ascii="ITC Avant Garde" w:eastAsia="Times New Roman" w:hAnsi="ITC Avant Garde" w:cs="Arial"/>
          <w:lang w:eastAsia="es-ES"/>
        </w:rPr>
      </w:pPr>
      <w:r w:rsidRPr="00D631CA">
        <w:rPr>
          <w:rFonts w:ascii="ITC Avant Garde" w:eastAsia="Times New Roman" w:hAnsi="ITC Avant Garde" w:cs="Arial"/>
          <w:bCs/>
          <w:lang w:eastAsia="es-ES"/>
        </w:rPr>
        <w:t xml:space="preserve">Asimismo, el Pleno del Instituto mediante Acuerdo P/IFT/EXT/270814/209 adoptado en su XXII Sesión Extraordinaria celebrada el 27 de agosto de 2014 aprobó el Estatuto Orgánico del Instituto Federal de Telecomunicaciones, mismo que fue publicado en el DOF el 4 de septiembre de 2014 (en lo sucesivo, el “Estatuto”), por el cual quedó abrogado el Estatuto Orgánico referido en el párrafo precedente. El Estatuto fue reformado mediante acuerdo publicado en el DOF el 17 de octubre de 2014 y </w:t>
      </w:r>
      <w:r w:rsidRPr="00D631CA">
        <w:rPr>
          <w:rFonts w:ascii="ITC Avant Garde" w:eastAsia="Times New Roman" w:hAnsi="ITC Avant Garde" w:cs="Arial"/>
          <w:lang w:eastAsia="es-ES"/>
        </w:rPr>
        <w:t xml:space="preserve">posteriormente mediante acuerdo publicado en el DOF el </w:t>
      </w:r>
      <w:r w:rsidR="002506C6" w:rsidRPr="00D631CA">
        <w:rPr>
          <w:rFonts w:ascii="ITC Avant Garde" w:eastAsia="Times New Roman" w:hAnsi="ITC Avant Garde" w:cs="Arial"/>
          <w:lang w:eastAsia="es-ES"/>
        </w:rPr>
        <w:t>20</w:t>
      </w:r>
      <w:r w:rsidRPr="00D631CA">
        <w:rPr>
          <w:rFonts w:ascii="ITC Avant Garde" w:eastAsia="Times New Roman" w:hAnsi="ITC Avant Garde" w:cs="Arial"/>
          <w:lang w:eastAsia="es-ES"/>
        </w:rPr>
        <w:t xml:space="preserve"> de </w:t>
      </w:r>
      <w:r w:rsidR="002506C6" w:rsidRPr="00D631CA">
        <w:rPr>
          <w:rFonts w:ascii="ITC Avant Garde" w:eastAsia="Times New Roman" w:hAnsi="ITC Avant Garde" w:cs="Arial"/>
          <w:lang w:eastAsia="es-ES"/>
        </w:rPr>
        <w:t>julio</w:t>
      </w:r>
      <w:r w:rsidRPr="00D631CA">
        <w:rPr>
          <w:rFonts w:ascii="ITC Avant Garde" w:eastAsia="Times New Roman" w:hAnsi="ITC Avant Garde" w:cs="Arial"/>
          <w:lang w:eastAsia="es-ES"/>
        </w:rPr>
        <w:t xml:space="preserve"> de 201</w:t>
      </w:r>
      <w:r w:rsidR="002506C6" w:rsidRPr="00D631CA">
        <w:rPr>
          <w:rFonts w:ascii="ITC Avant Garde" w:eastAsia="Times New Roman" w:hAnsi="ITC Avant Garde" w:cs="Arial"/>
          <w:lang w:eastAsia="es-ES"/>
        </w:rPr>
        <w:t>7</w:t>
      </w:r>
      <w:r w:rsidRPr="00D631CA">
        <w:rPr>
          <w:rFonts w:ascii="ITC Avant Garde" w:eastAsia="Times New Roman" w:hAnsi="ITC Avant Garde" w:cs="Arial"/>
          <w:lang w:eastAsia="es-ES"/>
        </w:rPr>
        <w:t>.</w:t>
      </w:r>
    </w:p>
    <w:p w14:paraId="4C9AFEFE" w14:textId="25BC0B3D" w:rsidR="00382941" w:rsidRPr="00D631CA" w:rsidRDefault="00382941" w:rsidP="00D631CA">
      <w:pPr>
        <w:adjustRightInd w:val="0"/>
        <w:spacing w:before="240"/>
        <w:jc w:val="both"/>
        <w:rPr>
          <w:rFonts w:ascii="ITC Avant Garde" w:eastAsia="Times New Roman" w:hAnsi="ITC Avant Garde" w:cs="Arial"/>
          <w:bCs/>
          <w:lang w:eastAsia="es-ES"/>
        </w:rPr>
      </w:pPr>
      <w:r w:rsidRPr="00D631CA">
        <w:rPr>
          <w:rFonts w:ascii="ITC Avant Garde" w:eastAsia="Times New Roman" w:hAnsi="ITC Avant Garde" w:cs="Arial"/>
          <w:bCs/>
          <w:lang w:eastAsia="es-ES"/>
        </w:rPr>
        <w:t>De conformidad con el artículo 2, fracción X del Estatuto, el Pleno es el órgano máximo de gobierno y decisión del Instituto integrado por siete Comisionados con voz y voto, incluido su Presidente.</w:t>
      </w:r>
    </w:p>
    <w:p w14:paraId="7135288B" w14:textId="77777777" w:rsidR="00382941" w:rsidRPr="00D631CA" w:rsidRDefault="00382941" w:rsidP="00D631CA">
      <w:pPr>
        <w:adjustRightInd w:val="0"/>
        <w:spacing w:before="240"/>
        <w:jc w:val="both"/>
        <w:rPr>
          <w:rFonts w:ascii="ITC Avant Garde" w:eastAsia="Times New Roman" w:hAnsi="ITC Avant Garde" w:cs="Arial"/>
          <w:bCs/>
          <w:lang w:eastAsia="es-ES"/>
        </w:rPr>
      </w:pPr>
      <w:r w:rsidRPr="00D631CA">
        <w:rPr>
          <w:rFonts w:ascii="ITC Avant Garde" w:eastAsia="Times New Roman" w:hAnsi="ITC Avant Garde" w:cs="Arial"/>
          <w:bCs/>
          <w:lang w:eastAsia="es-ES"/>
        </w:rPr>
        <w:t xml:space="preserve"> </w:t>
      </w:r>
    </w:p>
    <w:p w14:paraId="1F614745" w14:textId="77777777" w:rsidR="00382941" w:rsidRPr="00D631CA" w:rsidRDefault="00382941" w:rsidP="00D631CA">
      <w:pPr>
        <w:spacing w:before="240"/>
        <w:jc w:val="both"/>
        <w:rPr>
          <w:rFonts w:ascii="ITC Avant Garde" w:eastAsia="Times New Roman" w:hAnsi="ITC Avant Garde" w:cs="Arial"/>
          <w:bCs/>
          <w:lang w:eastAsia="es-ES"/>
        </w:rPr>
      </w:pPr>
      <w:r w:rsidRPr="00D631CA">
        <w:rPr>
          <w:rFonts w:ascii="ITC Avant Garde" w:eastAsia="Times New Roman" w:hAnsi="ITC Avant Garde" w:cs="Arial"/>
          <w:bCs/>
          <w:lang w:eastAsia="es-ES"/>
        </w:rPr>
        <w:lastRenderedPageBreak/>
        <w:t xml:space="preserve">Los artículos 83 y 86 de la Ley Federal de Procedimiento Administrativo disponen que los interesados afectados por los actos y resoluciones de las autoridades administrativas que pongan fin a un procedimiento, a una instancia o resuelvan un expediente, podrán interponer recurso de revisión ante la autoridad que emitió el acto impugnado, el que será resuelto por el superior jerárquico, salvo que el acto impugnado provenga del titular de una dependencia, en cuyo caso será resuelto por el mismo. </w:t>
      </w:r>
    </w:p>
    <w:p w14:paraId="3E7A651E" w14:textId="77777777" w:rsidR="00D631CA" w:rsidRPr="00D631CA" w:rsidRDefault="00382941" w:rsidP="00D631CA">
      <w:pPr>
        <w:adjustRightInd w:val="0"/>
        <w:spacing w:before="240"/>
        <w:jc w:val="both"/>
        <w:rPr>
          <w:rFonts w:ascii="ITC Avant Garde" w:eastAsia="Times New Roman" w:hAnsi="ITC Avant Garde" w:cs="Arial"/>
          <w:bCs/>
          <w:lang w:eastAsia="es-ES"/>
        </w:rPr>
      </w:pPr>
      <w:r w:rsidRPr="00D631CA">
        <w:rPr>
          <w:rFonts w:ascii="ITC Avant Garde" w:eastAsia="Times New Roman" w:hAnsi="ITC Avant Garde" w:cs="Arial"/>
          <w:bCs/>
          <w:lang w:eastAsia="es-ES"/>
        </w:rPr>
        <w:t>Derivado de que el Pleno del Instituto es el órgano facultado para resolver los desacuerdos en materia de interconexión conforme al artículo 15, fracción X de la Ley Federal de Telecomunicaciones y Radiodifusión, y que en el caso la Resolución Recurrida corresponde a la decisión de un desacuerdo de esa índole, emitida en su momento por el Pleno de la entonces Comisión, y siendo el Pleno del Instituto el órgano máximo de decisión dentro del Instituto, conforme al artículo 2, fracción X del Estatuto, el Pleno del Instituto resulta competente para emitir la presente resolución por ser el órgano máximo del Instituto, siendo la autoridad facultada para resolver el recurso conforme a la parte final del primer párrafo del artículo 86 de la Ley Federal de Procedimiento Administrativo.</w:t>
      </w:r>
    </w:p>
    <w:p w14:paraId="4910CAC1"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b/>
          <w:lang w:val="es-ES" w:eastAsia="es-MX"/>
        </w:rPr>
        <w:t>CUARTO.-</w:t>
      </w:r>
      <w:r w:rsidRPr="00D631CA">
        <w:rPr>
          <w:rFonts w:ascii="ITC Avant Garde" w:eastAsia="Times New Roman" w:hAnsi="ITC Avant Garde" w:cs="Arial"/>
          <w:lang w:val="es-ES" w:eastAsia="es-MX"/>
        </w:rPr>
        <w:t xml:space="preserve"> </w:t>
      </w:r>
      <w:r w:rsidRPr="00D631CA">
        <w:rPr>
          <w:rFonts w:ascii="ITC Avant Garde" w:eastAsia="Times New Roman" w:hAnsi="ITC Avant Garde" w:cs="Arial"/>
          <w:bCs/>
          <w:lang w:eastAsia="es-ES"/>
        </w:rPr>
        <w:t>Que esta autoridad es competente para conocer y resolver el recurso de revisión interpuesto por la Recurrente, en términos de lo dispuesto por el artículo 86 de la Ley Federal de Procedimiento Administrativo, en relación con los diversos 15, fracción X de la Ley Federal de Telecomunicaciones y Radiodifusión, y 2, fracción X del Estatuto.</w:t>
      </w:r>
    </w:p>
    <w:p w14:paraId="26E981EF" w14:textId="77777777" w:rsidR="00D631CA" w:rsidRPr="00D631CA" w:rsidRDefault="00382941" w:rsidP="00D631CA">
      <w:pPr>
        <w:spacing w:before="240"/>
        <w:jc w:val="both"/>
        <w:rPr>
          <w:rFonts w:ascii="ITC Avant Garde" w:eastAsia="Times New Roman" w:hAnsi="ITC Avant Garde" w:cs="Arial"/>
          <w:bCs/>
          <w:lang w:eastAsia="es-ES"/>
        </w:rPr>
      </w:pPr>
      <w:r w:rsidRPr="00D631CA">
        <w:rPr>
          <w:rFonts w:ascii="ITC Avant Garde" w:eastAsia="Times New Roman" w:hAnsi="ITC Avant Garde" w:cs="Arial"/>
          <w:b/>
          <w:lang w:val="es-ES" w:eastAsia="es-MX"/>
        </w:rPr>
        <w:t>QUINTO.-</w:t>
      </w:r>
      <w:r w:rsidRPr="00D631CA">
        <w:rPr>
          <w:rFonts w:ascii="ITC Avant Garde" w:eastAsia="Times New Roman" w:hAnsi="ITC Avant Garde" w:cs="Arial"/>
          <w:lang w:val="es-ES" w:eastAsia="es-ES"/>
        </w:rPr>
        <w:t xml:space="preserve"> </w:t>
      </w:r>
      <w:r w:rsidRPr="00D631CA">
        <w:rPr>
          <w:rFonts w:ascii="ITC Avant Garde" w:eastAsia="Times New Roman" w:hAnsi="ITC Avant Garde" w:cs="Arial"/>
          <w:bCs/>
          <w:lang w:eastAsia="es-ES"/>
        </w:rPr>
        <w:t xml:space="preserve">Que el recurso de revisión interpuesto en contra de la Resolución Recurrida es procedente en virtud de que no se configura ninguno de los supuestos señalados por el artículo 89 de la Ley Federal de Procedimiento Administrativo. </w:t>
      </w:r>
    </w:p>
    <w:p w14:paraId="62F73535" w14:textId="77777777" w:rsidR="00D631CA" w:rsidRPr="00D631CA" w:rsidRDefault="00382941" w:rsidP="00D631CA">
      <w:pPr>
        <w:spacing w:before="240"/>
        <w:jc w:val="both"/>
        <w:rPr>
          <w:rFonts w:ascii="ITC Avant Garde" w:hAnsi="ITC Avant Garde" w:cs="Arial"/>
        </w:rPr>
      </w:pPr>
      <w:r w:rsidRPr="00D631CA">
        <w:rPr>
          <w:rFonts w:ascii="ITC Avant Garde" w:eastAsia="Times New Roman" w:hAnsi="ITC Avant Garde" w:cs="Arial"/>
          <w:b/>
          <w:lang w:val="es-ES" w:eastAsia="es-MX"/>
        </w:rPr>
        <w:t>SEXTO.-</w:t>
      </w:r>
      <w:r w:rsidRPr="00D631CA">
        <w:rPr>
          <w:rFonts w:ascii="ITC Avant Garde" w:hAnsi="ITC Avant Garde" w:cs="Arial"/>
          <w:b/>
        </w:rPr>
        <w:t xml:space="preserve"> </w:t>
      </w:r>
      <w:r w:rsidRPr="00D631CA">
        <w:rPr>
          <w:rFonts w:ascii="ITC Avant Garde" w:eastAsia="Times New Roman" w:hAnsi="ITC Avant Garde" w:cs="Arial"/>
          <w:bCs/>
          <w:lang w:eastAsia="es-ES"/>
        </w:rPr>
        <w:t>Que conforme a lo dispuesto por el artículo 91 de la Ley Federal de Procedimiento Administrativo, la autoridad encargada de resolver el recurso podrá:</w:t>
      </w:r>
      <w:r w:rsidRPr="00D631CA">
        <w:rPr>
          <w:rFonts w:ascii="ITC Avant Garde" w:hAnsi="ITC Avant Garde" w:cs="Arial"/>
        </w:rPr>
        <w:t xml:space="preserve"> I.- Desecharlo por improcedente o sobreseerlo; II.- Confirmar el acto impugnado; III.- Declarar la inexistencia, nulidad o anulabilidad del acto impugnado o revocarlo total o parcialmente; y IV.- Modificar u ordenar la modificación del acto impugnado o dictar u ordenar expedir uno nuevo que lo sustituya, cuando el recurso interpuesto sea total o parcialmente resuelto a favor de</w:t>
      </w:r>
      <w:r w:rsidR="00717D46" w:rsidRPr="00D631CA">
        <w:rPr>
          <w:rFonts w:ascii="ITC Avant Garde" w:hAnsi="ITC Avant Garde" w:cs="Arial"/>
        </w:rPr>
        <w:t xml:space="preserve"> </w:t>
      </w:r>
      <w:r w:rsidRPr="00D631CA">
        <w:rPr>
          <w:rFonts w:ascii="ITC Avant Garde" w:hAnsi="ITC Avant Garde" w:cs="Arial"/>
        </w:rPr>
        <w:t>l</w:t>
      </w:r>
      <w:r w:rsidR="00717D46" w:rsidRPr="00D631CA">
        <w:rPr>
          <w:rFonts w:ascii="ITC Avant Garde" w:hAnsi="ITC Avant Garde" w:cs="Arial"/>
        </w:rPr>
        <w:t>a</w:t>
      </w:r>
      <w:r w:rsidRPr="00D631CA">
        <w:rPr>
          <w:rFonts w:ascii="ITC Avant Garde" w:hAnsi="ITC Avant Garde" w:cs="Arial"/>
        </w:rPr>
        <w:t xml:space="preserve"> Recurrente.</w:t>
      </w:r>
    </w:p>
    <w:p w14:paraId="4C2A21A9"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b/>
          <w:lang w:val="es-ES" w:eastAsia="es-MX"/>
        </w:rPr>
        <w:t>SÉPTIMO.-</w:t>
      </w:r>
      <w:r w:rsidRPr="00D631CA">
        <w:rPr>
          <w:rFonts w:ascii="ITC Avant Garde" w:eastAsia="Times New Roman" w:hAnsi="ITC Avant Garde" w:cs="Arial"/>
          <w:lang w:val="es-ES" w:eastAsia="es-MX"/>
        </w:rPr>
        <w:t xml:space="preserve"> Que el artículo 92 de la Ley Federal de Procedimiento Administrativo en sus párrafos primero y último establece que la resolución del recurso se fundará en derecho y examinará todos y cada uno de los agravios hechos valer por </w:t>
      </w:r>
      <w:r w:rsidR="00717D46" w:rsidRPr="00D631CA">
        <w:rPr>
          <w:rFonts w:ascii="ITC Avant Garde" w:eastAsia="Times New Roman" w:hAnsi="ITC Avant Garde" w:cs="Arial"/>
          <w:lang w:val="es-ES" w:eastAsia="es-MX"/>
        </w:rPr>
        <w:t>la</w:t>
      </w:r>
      <w:r w:rsidRPr="00D631CA">
        <w:rPr>
          <w:rFonts w:ascii="ITC Avant Garde" w:eastAsia="Times New Roman" w:hAnsi="ITC Avant Garde" w:cs="Arial"/>
          <w:lang w:val="es-ES" w:eastAsia="es-MX"/>
        </w:rPr>
        <w:t xml:space="preserve"> Recurrente teniendo la autoridad la facultad de invocar hechos notorios; pero, cuando uno de los agravios sea suficiente para desvirtuar la validez del acto impugnado bastará con el examen de dicho punto; y si la </w:t>
      </w:r>
      <w:r w:rsidRPr="00D631CA">
        <w:rPr>
          <w:rFonts w:ascii="ITC Avant Garde" w:eastAsia="Times New Roman" w:hAnsi="ITC Avant Garde" w:cs="Arial"/>
          <w:lang w:val="es-ES" w:eastAsia="es-MX"/>
        </w:rPr>
        <w:lastRenderedPageBreak/>
        <w:t>resolución ordena realizar un determinado acto o iniciar la reposición del procedimiento, deberá cumplirse en un plazo de cuatro meses.</w:t>
      </w:r>
    </w:p>
    <w:p w14:paraId="2BD631A8"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b/>
          <w:lang w:val="es-ES" w:eastAsia="es-MX"/>
        </w:rPr>
        <w:t xml:space="preserve">OCTAVO.- </w:t>
      </w:r>
      <w:r w:rsidRPr="00D631CA">
        <w:rPr>
          <w:rFonts w:ascii="ITC Avant Garde" w:eastAsia="Times New Roman" w:hAnsi="ITC Avant Garde" w:cs="Arial"/>
          <w:lang w:val="es-ES" w:eastAsia="es-MX"/>
        </w:rPr>
        <w:t>Que la Recurrente hace valer los siguientes argumentos, en síntesis:</w:t>
      </w:r>
    </w:p>
    <w:p w14:paraId="36B800A7"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el escrito por el que la Recurrente interpuso el recurso de revisión contra la resolución recurrida, incluyó un apartado de CONSIDERACIONES PREVIAS, en el que manifestó esencialmente lo siguiente:</w:t>
      </w:r>
    </w:p>
    <w:p w14:paraId="65E56989"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Invocó que el Pleno de la Comisión es competente para resolver el recurso de revisión, conforme al debate de las sesiones de fechas 27 de febrero de 2012 y 6 de marzo de 2012 respecto de los juicios de amparo 240/2011 y 644/2011, en las que por votación mayoritaria del Máximo Tribunal del País reconoció que el Secretario de Comunicaciones y Transportes no puede resolver el asunto en la instancia de revisión administrativa.</w:t>
      </w:r>
    </w:p>
    <w:p w14:paraId="20A34613" w14:textId="77777777" w:rsidR="00D631CA" w:rsidRPr="00D631CA" w:rsidRDefault="00382941" w:rsidP="00D631CA">
      <w:pPr>
        <w:spacing w:before="240"/>
        <w:jc w:val="both"/>
        <w:rPr>
          <w:rFonts w:ascii="ITC Avant Garde" w:eastAsia="Times New Roman" w:hAnsi="ITC Avant Garde" w:cs="Arial"/>
          <w:lang w:val="es-ES" w:eastAsia="es-MX"/>
        </w:rPr>
      </w:pPr>
      <w:bookmarkStart w:id="0" w:name="bookmark8"/>
      <w:r w:rsidRPr="00D631CA">
        <w:rPr>
          <w:rFonts w:ascii="ITC Avant Garde" w:eastAsia="Times New Roman" w:hAnsi="ITC Avant Garde" w:cs="Arial"/>
          <w:lang w:val="es-ES" w:eastAsia="es-MX"/>
        </w:rPr>
        <w:t xml:space="preserve">Incluyó un punto denominado POLÍTICA PÚBLICA, en el que </w:t>
      </w:r>
      <w:bookmarkEnd w:id="0"/>
      <w:r w:rsidRPr="00D631CA">
        <w:rPr>
          <w:rFonts w:ascii="ITC Avant Garde" w:eastAsia="Times New Roman" w:hAnsi="ITC Avant Garde" w:cs="Arial"/>
          <w:lang w:val="es-ES" w:eastAsia="es-MX"/>
        </w:rPr>
        <w:t>señala que estima conveniente mencionar algunas cuestiones de política pública que se considera que deben ser tomadas en cuenta por la Comisión en la elaboración de los modelos de costos.</w:t>
      </w:r>
      <w:bookmarkStart w:id="1" w:name="bookmark9"/>
    </w:p>
    <w:p w14:paraId="352CDFA0"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buena práctica internacional recomienda reducciones progresivas de las Tarifas de Terminación Móvil (en adelante TTM) y desaconseja disminuciones abruptas</w:t>
      </w:r>
      <w:bookmarkEnd w:id="1"/>
      <w:r w:rsidRPr="00D631CA">
        <w:rPr>
          <w:rFonts w:ascii="ITC Avant Garde" w:hAnsi="ITC Avant Garde" w:cs="Arial"/>
        </w:rPr>
        <w:t xml:space="preserve">. </w:t>
      </w:r>
    </w:p>
    <w:p w14:paraId="2FDC9DC0"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Al efecto, invoca que en enero de 2002 la Unión Internacional de Telecomunicaciones emitió la "Recomendación UIT-D 16: Reequilibrado de tarifas y orientación a los costos" en la que reconoce la importancia de la estructura tarifaria para el financiamiento de los planes de inversiones y desarrollo de los operadores y recomienda que los ajustes de las tarifas hacia su nivel de costos se realice de manera gradual, a fin de evitar incrementos compensatorios en los precios de otros servicios y efectos adversos sobre el nivel de acceso a los servicios.</w:t>
      </w:r>
    </w:p>
    <w:p w14:paraId="3B955634"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Adicionalmente, existen estudios que acreditan con evidencia empírica el hecho de que las reducciones reguladas en las TTM se traducen en el encarecimiento de otros servicios a los clientes finales, a lo que se le conoce como "efecto cama de agua" (de la expresión en idioma inglés “wáter </w:t>
      </w:r>
      <w:proofErr w:type="spellStart"/>
      <w:r w:rsidRPr="00D631CA">
        <w:rPr>
          <w:rFonts w:ascii="ITC Avant Garde" w:eastAsia="Times New Roman" w:hAnsi="ITC Avant Garde" w:cs="Arial"/>
          <w:lang w:val="es-ES" w:eastAsia="es-MX"/>
        </w:rPr>
        <w:t>bed</w:t>
      </w:r>
      <w:proofErr w:type="spellEnd"/>
      <w:r w:rsidRPr="00D631CA">
        <w:rPr>
          <w:rFonts w:ascii="ITC Avant Garde" w:eastAsia="Times New Roman" w:hAnsi="ITC Avant Garde" w:cs="Arial"/>
          <w:lang w:val="es-ES" w:eastAsia="es-MX"/>
        </w:rPr>
        <w:t xml:space="preserve"> </w:t>
      </w:r>
      <w:proofErr w:type="spellStart"/>
      <w:r w:rsidRPr="00D631CA">
        <w:rPr>
          <w:rFonts w:ascii="ITC Avant Garde" w:eastAsia="Times New Roman" w:hAnsi="ITC Avant Garde" w:cs="Arial"/>
          <w:lang w:val="es-ES" w:eastAsia="es-MX"/>
        </w:rPr>
        <w:t>effect</w:t>
      </w:r>
      <w:proofErr w:type="spellEnd"/>
      <w:r w:rsidRPr="00D631CA">
        <w:rPr>
          <w:rFonts w:ascii="ITC Avant Garde" w:eastAsia="Times New Roman" w:hAnsi="ITC Avant Garde" w:cs="Arial"/>
          <w:lang w:val="es-ES" w:eastAsia="es-MX"/>
        </w:rPr>
        <w:t>”).</w:t>
      </w:r>
    </w:p>
    <w:p w14:paraId="2329BDEC"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En julio de 2008, un equipo de </w:t>
      </w:r>
      <w:proofErr w:type="spellStart"/>
      <w:r w:rsidRPr="00D631CA">
        <w:rPr>
          <w:rFonts w:ascii="ITC Avant Garde" w:eastAsia="Times New Roman" w:hAnsi="ITC Avant Garde" w:cs="Arial"/>
          <w:lang w:val="es-ES" w:eastAsia="es-MX"/>
        </w:rPr>
        <w:t>Frontier</w:t>
      </w:r>
      <w:proofErr w:type="spellEnd"/>
      <w:r w:rsidRPr="00D631CA">
        <w:rPr>
          <w:rFonts w:ascii="ITC Avant Garde" w:eastAsia="Times New Roman" w:hAnsi="ITC Avant Garde" w:cs="Arial"/>
          <w:lang w:val="es-ES" w:eastAsia="es-MX"/>
        </w:rPr>
        <w:t xml:space="preserve"> </w:t>
      </w:r>
      <w:proofErr w:type="spellStart"/>
      <w:r w:rsidRPr="00D631CA">
        <w:rPr>
          <w:rFonts w:ascii="ITC Avant Garde" w:eastAsia="Times New Roman" w:hAnsi="ITC Avant Garde" w:cs="Arial"/>
          <w:lang w:val="es-ES" w:eastAsia="es-MX"/>
        </w:rPr>
        <w:t>Economics</w:t>
      </w:r>
      <w:proofErr w:type="spellEnd"/>
      <w:r w:rsidRPr="00D631CA">
        <w:rPr>
          <w:rFonts w:ascii="ITC Avant Garde" w:eastAsia="Times New Roman" w:hAnsi="ITC Avant Garde" w:cs="Arial"/>
          <w:lang w:val="es-ES" w:eastAsia="es-MX"/>
        </w:rPr>
        <w:t xml:space="preserve"> dirigido por George </w:t>
      </w:r>
      <w:proofErr w:type="spellStart"/>
      <w:r w:rsidRPr="00D631CA">
        <w:rPr>
          <w:rFonts w:ascii="ITC Avant Garde" w:eastAsia="Times New Roman" w:hAnsi="ITC Avant Garde" w:cs="Arial"/>
          <w:lang w:val="es-ES" w:eastAsia="es-MX"/>
        </w:rPr>
        <w:t>Houpis</w:t>
      </w:r>
      <w:proofErr w:type="spellEnd"/>
      <w:r w:rsidRPr="00D631CA">
        <w:rPr>
          <w:rFonts w:ascii="ITC Avant Garde" w:eastAsia="Times New Roman" w:hAnsi="ITC Avant Garde" w:cs="Arial"/>
          <w:lang w:val="es-ES" w:eastAsia="es-MX"/>
        </w:rPr>
        <w:t xml:space="preserve"> publicó un estudio titulado “</w:t>
      </w:r>
      <w:proofErr w:type="spellStart"/>
      <w:r w:rsidRPr="00D631CA">
        <w:rPr>
          <w:rFonts w:ascii="ITC Avant Garde" w:eastAsia="Times New Roman" w:hAnsi="ITC Avant Garde" w:cs="Arial"/>
          <w:lang w:val="es-ES" w:eastAsia="es-MX"/>
        </w:rPr>
        <w:t>Assessing</w:t>
      </w:r>
      <w:proofErr w:type="spellEnd"/>
      <w:r w:rsidRPr="00D631CA">
        <w:rPr>
          <w:rFonts w:ascii="ITC Avant Garde" w:eastAsia="Times New Roman" w:hAnsi="ITC Avant Garde" w:cs="Arial"/>
          <w:lang w:val="es-ES" w:eastAsia="es-MX"/>
        </w:rPr>
        <w:t xml:space="preserve"> </w:t>
      </w:r>
      <w:proofErr w:type="spellStart"/>
      <w:r w:rsidRPr="00D631CA">
        <w:rPr>
          <w:rFonts w:ascii="ITC Avant Garde" w:eastAsia="Times New Roman" w:hAnsi="ITC Avant Garde" w:cs="Arial"/>
          <w:lang w:val="es-ES" w:eastAsia="es-MX"/>
        </w:rPr>
        <w:t>the</w:t>
      </w:r>
      <w:proofErr w:type="spellEnd"/>
      <w:r w:rsidRPr="00D631CA">
        <w:rPr>
          <w:rFonts w:ascii="ITC Avant Garde" w:eastAsia="Times New Roman" w:hAnsi="ITC Avant Garde" w:cs="Arial"/>
          <w:lang w:val="es-ES" w:eastAsia="es-MX"/>
        </w:rPr>
        <w:t xml:space="preserve"> </w:t>
      </w:r>
      <w:proofErr w:type="spellStart"/>
      <w:r w:rsidRPr="00D631CA">
        <w:rPr>
          <w:rFonts w:ascii="ITC Avant Garde" w:eastAsia="Times New Roman" w:hAnsi="ITC Avant Garde" w:cs="Arial"/>
          <w:lang w:val="es-ES" w:eastAsia="es-MX"/>
        </w:rPr>
        <w:t>impact</w:t>
      </w:r>
      <w:proofErr w:type="spellEnd"/>
      <w:r w:rsidRPr="00D631CA">
        <w:rPr>
          <w:rFonts w:ascii="ITC Avant Garde" w:eastAsia="Times New Roman" w:hAnsi="ITC Avant Garde" w:cs="Arial"/>
          <w:lang w:val="es-ES" w:eastAsia="es-MX"/>
        </w:rPr>
        <w:t xml:space="preserve"> of </w:t>
      </w:r>
      <w:proofErr w:type="spellStart"/>
      <w:r w:rsidRPr="00D631CA">
        <w:rPr>
          <w:rFonts w:ascii="ITC Avant Garde" w:eastAsia="Times New Roman" w:hAnsi="ITC Avant Garde" w:cs="Arial"/>
          <w:lang w:val="es-ES" w:eastAsia="es-MX"/>
        </w:rPr>
        <w:t>lowering</w:t>
      </w:r>
      <w:proofErr w:type="spellEnd"/>
      <w:r w:rsidRPr="00D631CA">
        <w:rPr>
          <w:rFonts w:ascii="ITC Avant Garde" w:eastAsia="Times New Roman" w:hAnsi="ITC Avant Garde" w:cs="Arial"/>
          <w:lang w:val="es-ES" w:eastAsia="es-MX"/>
        </w:rPr>
        <w:t xml:space="preserve"> </w:t>
      </w:r>
      <w:proofErr w:type="spellStart"/>
      <w:r w:rsidRPr="00D631CA">
        <w:rPr>
          <w:rFonts w:ascii="ITC Avant Garde" w:eastAsia="Times New Roman" w:hAnsi="ITC Avant Garde" w:cs="Arial"/>
          <w:lang w:val="es-ES" w:eastAsia="es-MX"/>
        </w:rPr>
        <w:t>mobile</w:t>
      </w:r>
      <w:proofErr w:type="spellEnd"/>
      <w:r w:rsidRPr="00D631CA">
        <w:rPr>
          <w:rFonts w:ascii="ITC Avant Garde" w:eastAsia="Times New Roman" w:hAnsi="ITC Avant Garde" w:cs="Arial"/>
          <w:lang w:val="es-ES" w:eastAsia="es-MX"/>
        </w:rPr>
        <w:t xml:space="preserve"> </w:t>
      </w:r>
      <w:proofErr w:type="spellStart"/>
      <w:r w:rsidRPr="00D631CA">
        <w:rPr>
          <w:rFonts w:ascii="ITC Avant Garde" w:eastAsia="Times New Roman" w:hAnsi="ITC Avant Garde" w:cs="Arial"/>
          <w:lang w:val="es-ES" w:eastAsia="es-MX"/>
        </w:rPr>
        <w:t>termination</w:t>
      </w:r>
      <w:proofErr w:type="spellEnd"/>
      <w:r w:rsidRPr="00D631CA">
        <w:rPr>
          <w:rFonts w:ascii="ITC Avant Garde" w:eastAsia="Times New Roman" w:hAnsi="ITC Avant Garde" w:cs="Arial"/>
          <w:lang w:val="es-ES" w:eastAsia="es-MX"/>
        </w:rPr>
        <w:t xml:space="preserve"> </w:t>
      </w:r>
      <w:proofErr w:type="spellStart"/>
      <w:r w:rsidRPr="00D631CA">
        <w:rPr>
          <w:rFonts w:ascii="ITC Avant Garde" w:eastAsia="Times New Roman" w:hAnsi="ITC Avant Garde" w:cs="Arial"/>
          <w:lang w:val="es-ES" w:eastAsia="es-MX"/>
        </w:rPr>
        <w:t>rate</w:t>
      </w:r>
      <w:proofErr w:type="spellEnd"/>
      <w:r w:rsidRPr="00D631CA">
        <w:rPr>
          <w:rFonts w:ascii="ITC Avant Garde" w:eastAsia="Times New Roman" w:hAnsi="ITC Avant Garde" w:cs="Arial"/>
          <w:lang w:val="es-ES" w:eastAsia="es-MX"/>
        </w:rPr>
        <w:t xml:space="preserve">” (Analizando el impacto de reducir las tarifas de terminación móvil), en el que se realizaba una profunda evaluación econométrica sobre el impacto que podría tener una disminución agresiva de los cargos de terminación en Europa y se llegaba a la conclusión de que: "La evidencia económica y empírica indica que reducciones drásticas de los TTM muy probablemente </w:t>
      </w:r>
      <w:r w:rsidRPr="00D631CA">
        <w:rPr>
          <w:rFonts w:ascii="ITC Avant Garde" w:eastAsia="Times New Roman" w:hAnsi="ITC Avant Garde" w:cs="Arial"/>
          <w:lang w:val="es-ES" w:eastAsia="es-MX"/>
        </w:rPr>
        <w:lastRenderedPageBreak/>
        <w:t>reducirán el bienestar de los consumidores europeos. Adicionalmente, no es recomendable basarse en la experiencia de los Estados Unidos como soporte de políticas regulatorias que, en la práctica, conducen a TTM por debajo de costos. Un análisis de los patrones de uso muestra que sólo los usuarios europeos de alto consumo se beneficiarían con tal aproximación</w:t>
      </w:r>
      <w:r w:rsidRPr="00D631CA">
        <w:rPr>
          <w:rFonts w:ascii="ITC Avant Garde" w:eastAsia="Times New Roman" w:hAnsi="ITC Avant Garde" w:cs="Arial"/>
          <w:vertAlign w:val="superscript"/>
          <w:lang w:val="es-ES" w:eastAsia="es-MX"/>
        </w:rPr>
        <w:footnoteReference w:id="1"/>
      </w:r>
      <w:r w:rsidRPr="00D631CA">
        <w:rPr>
          <w:rFonts w:ascii="ITC Avant Garde" w:eastAsia="Times New Roman" w:hAnsi="ITC Avant Garde" w:cs="Arial"/>
          <w:lang w:val="es-ES" w:eastAsia="es-MX"/>
        </w:rPr>
        <w:t>."</w:t>
      </w:r>
    </w:p>
    <w:p w14:paraId="10BAF4A0"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Aunque el informe fue elaborado originalmente para el mercado europeo, sus conclusiones son altamente significativas para la realidad latinoamericana, caracterizada por una gran base de clientes de planes de prepago, preponderantemente de bajo consumo.</w:t>
      </w:r>
    </w:p>
    <w:p w14:paraId="1D51BB49"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En un contexto en que los operadores mexicanos tienen ante sí el reto de incrementar sustancialmente los niveles de penetración para llevarlos a promedios regionales, una política como la implantada por la Comisión va a producir el incentivo inverso, forzando a los operadores a concentrar sus operaciones en las áreas de mayor tráfico promedio y a descontinuar planes de prepago de bajo valor, que han pasado a convertirse en no rentables.</w:t>
      </w:r>
    </w:p>
    <w:p w14:paraId="574A05E4"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La mejor práctica internacional aconseja la implementación de un </w:t>
      </w:r>
      <w:proofErr w:type="spellStart"/>
      <w:r w:rsidRPr="00D631CA">
        <w:rPr>
          <w:rFonts w:ascii="ITC Avant Garde" w:eastAsia="Times New Roman" w:hAnsi="ITC Avant Garde" w:cs="Arial"/>
          <w:lang w:val="es-ES" w:eastAsia="es-MX"/>
        </w:rPr>
        <w:t>glidepath</w:t>
      </w:r>
      <w:proofErr w:type="spellEnd"/>
      <w:r w:rsidRPr="00D631CA">
        <w:rPr>
          <w:rFonts w:ascii="ITC Avant Garde" w:eastAsia="Times New Roman" w:hAnsi="ITC Avant Garde" w:cs="Arial"/>
          <w:lang w:val="es-ES" w:eastAsia="es-MX"/>
        </w:rPr>
        <w:t xml:space="preserve"> que evite distorsiones tan severas como la recientemente aprobada por esa Comisión. De hecho en la Resolución P/270507/262, por la que se fijaron las TTM aplicables a las redes móviles del Grupo Telefónica para el período 2006-2010 la Comisión definió claramente la importancia de adoptar un proceso de ajuste gradual.</w:t>
      </w:r>
    </w:p>
    <w:p w14:paraId="6384660B"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Cabe destacar que las TTM resueltas por la Comisión en la citada Resolución P/270507/262 implicaban una reducción en la tarifa nominal de 35% en un período de cuatro años, mientras que la Resolución Recurrida establece una disminución efectiva de la TTM equivalente a 76% nominal (61% por la disminución en el monto nominal de la tarifa y aproximadamente 40% adicional por la eliminación del redondeo en la duración de cada llamada al minuto superior) aplicable de manera inmediata y con efectos retroactivos al inicio de año. Lo que significa el súbito abandono de los criterios establecidos la propia Comisión para fijar las TTM.</w:t>
      </w:r>
    </w:p>
    <w:p w14:paraId="47070DF4" w14:textId="4DD0EF98" w:rsidR="003C4FB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La buena práctica internacional recomienda un programa de disminución de cargos que sea predecible e incentive ajustes graduales en las estrategias comerciales.</w:t>
      </w:r>
    </w:p>
    <w:p w14:paraId="61824D8C" w14:textId="74AF31F0" w:rsidR="00382941" w:rsidRPr="00D631CA" w:rsidRDefault="003C4FBA"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 </w:t>
      </w:r>
    </w:p>
    <w:p w14:paraId="1744661A"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lastRenderedPageBreak/>
        <w:t xml:space="preserve">El establecimiento de cargos tope o por defecto, con vigencia por un período lo suficientemente largo de tiempo (se recomienda un entorno de 4 a 5 años) proporciona incentivos adecuados a los operadores en el mercado. La opción adoptada por esa Comisión, resolver tarifas para un solo año (periodo de noviembre a diciembre de 2011, en el presente caso), genera una alta incertidumbre en el mercado mexicano y es susceptible de producir efectos de retracción en las inversiones que los operadores competitivos deben desplegar para incrementar su cobertura 3G y 4G. </w:t>
      </w:r>
    </w:p>
    <w:p w14:paraId="440BC5F1"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El modelo aprobado por la Comisión no presenta el detalle suficiente para permitir su discusión técnica, ya que como soporte técnico de su modelo, la Comisión ha formulado un conjunto de aseveraciones genéricas en la Resolución Recurrida, en la que constan los valores que ha adoptado para cada uno de los parámetros del modelo. El documento así publicado no permite que los operadores desarrollen sensibilidades que les permitan predecir, con absoluta certeza, cómo reaccionaría el modelo ante modificaciones en los valores de las variables (fundamentalmente aquellas que intervienen en el dimensionamiento de la red). Adicionalmente, valores sumamente relevantes (como los activos que conforman la red) se presentan con un alto nivel de agregación, lo que impide verificar con certeza si es que se ha considerado debidamente todos los costos en que un operador eficiente debería incurrir para la producción de dicho activo. Esta aproximación se aleja de la mejor práctica desarrollada en la región. </w:t>
      </w:r>
    </w:p>
    <w:p w14:paraId="788FDA13" w14:textId="77777777" w:rsidR="00D631CA" w:rsidRPr="00D631CA" w:rsidRDefault="00382941" w:rsidP="00D631CA">
      <w:pPr>
        <w:spacing w:before="240"/>
        <w:jc w:val="both"/>
        <w:rPr>
          <w:rFonts w:ascii="ITC Avant Garde" w:hAnsi="ITC Avant Garde" w:cs="Arial"/>
        </w:rPr>
      </w:pPr>
      <w:bookmarkStart w:id="2" w:name="bookmark11"/>
      <w:r w:rsidRPr="00D631CA">
        <w:rPr>
          <w:rFonts w:ascii="ITC Avant Garde" w:hAnsi="ITC Avant Garde" w:cs="Arial"/>
        </w:rPr>
        <w:t>La realidad del mercado mexicano justifica la aprobación de una tarifa asimétrica</w:t>
      </w:r>
      <w:bookmarkEnd w:id="2"/>
      <w:r w:rsidRPr="00D631CA">
        <w:rPr>
          <w:rFonts w:ascii="ITC Avant Garde" w:hAnsi="ITC Avant Garde" w:cs="Arial"/>
        </w:rPr>
        <w:t>, en el " Anteproyecto de Lineamientos para Desarrollar Modelos de Costos al Momento de Resolver sobre Tarifas de Interconexión" (en lo sucesivo, los Lineamientos), y que se defiende el establecimiento de un cargo simétrico sobre la base de un modelo costo incremental de largo plazo para un operador eficiente.</w:t>
      </w:r>
    </w:p>
    <w:p w14:paraId="7C56F48D" w14:textId="739155E2" w:rsidR="00382941" w:rsidRPr="00D631CA" w:rsidRDefault="00382941" w:rsidP="00D631CA">
      <w:pPr>
        <w:spacing w:before="240"/>
        <w:jc w:val="both"/>
        <w:rPr>
          <w:rFonts w:ascii="ITC Avant Garde" w:hAnsi="ITC Avant Garde" w:cs="Arial"/>
        </w:rPr>
      </w:pPr>
      <w:r w:rsidRPr="00D631CA">
        <w:rPr>
          <w:rFonts w:ascii="ITC Avant Garde" w:hAnsi="ITC Avant Garde" w:cs="Arial"/>
        </w:rPr>
        <w:t xml:space="preserve">Sin embargo, la </w:t>
      </w:r>
      <w:proofErr w:type="spellStart"/>
      <w:r w:rsidRPr="00D631CA">
        <w:rPr>
          <w:rFonts w:ascii="ITC Avant Garde" w:hAnsi="ITC Avant Garde" w:cs="Arial"/>
        </w:rPr>
        <w:t>Cofetel</w:t>
      </w:r>
      <w:proofErr w:type="spellEnd"/>
      <w:r w:rsidRPr="00D631CA">
        <w:rPr>
          <w:rFonts w:ascii="ITC Avant Garde" w:hAnsi="ITC Avant Garde" w:cs="Arial"/>
        </w:rPr>
        <w:t xml:space="preserve"> parece pasar por alto que ese no es el único aspecto en el que el Grupo de Reguladores Europeos establecen una posición común; gran parte del documento se destina a analizar y explicar la Posición Común que adoptan respecto a las excepciones que justifican la aplicación transitoria de tarifas asimétricas para tomar en cuenta diferencias en la asignación de espectro y para promover el desarrollo de operadores que entraron en forma tardía al mercado y no han alcanzado la escala de operación eficiente.</w:t>
      </w:r>
    </w:p>
    <w:p w14:paraId="4B7FCCE8"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Que la implantación de una reducción tan agresiva de las tarifas de interconexión como la resuelta por </w:t>
      </w:r>
      <w:proofErr w:type="spellStart"/>
      <w:r w:rsidRPr="00D631CA">
        <w:rPr>
          <w:rFonts w:ascii="ITC Avant Garde" w:hAnsi="ITC Avant Garde" w:cs="Arial"/>
        </w:rPr>
        <w:t>Cofetel</w:t>
      </w:r>
      <w:proofErr w:type="spellEnd"/>
      <w:r w:rsidRPr="00D631CA">
        <w:rPr>
          <w:rFonts w:ascii="ITC Avant Garde" w:hAnsi="ITC Avant Garde" w:cs="Arial"/>
        </w:rPr>
        <w:t>, sin considerar un programa de disminución progresiva, puede producir efectos muy severos en el crecimiento de la penetración en el mercado y disminuir sensiblemente el bienestar de los consumidores mexicanos.</w:t>
      </w:r>
    </w:p>
    <w:p w14:paraId="5FA5C160"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Que la fijación de un valor tan bajo, únicamente para el periodo comprendido entre el 1 de enero y el 31 de diciembre de 2011, genera alta incertidumbre en el mexicano sobre los valores que regirán a partir del año 2012 y puede afectar el despliegue de nuevas redes en zonas de menor densidad poblacional y, en particular, de redes 3G.</w:t>
      </w:r>
    </w:p>
    <w:p w14:paraId="7842EB58"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Si bien los Lineamientos han sido materia de comentarios, la forma en que se desarrolló el modelo en el que se basa la Resolución de tarifas de interconexión no pudo ser materia de una discusión técnica profunda ni cumple con las disposiciones establecidas en los Lineamientos.</w:t>
      </w:r>
    </w:p>
    <w:p w14:paraId="7E72EBBB"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Las circunstancias propias del mercado mexicano recomiendan la implantación de un cargo asimétrico, al menos en tanto no se corrijan de modo efectivo distorsiones que afectan el normal desarrollo de la competencia en telecomunicaciones.</w:t>
      </w:r>
    </w:p>
    <w:p w14:paraId="027779FC"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El modelo de costos debería incluir información real de las empresas.</w:t>
      </w:r>
      <w:r w:rsidRPr="00D631CA">
        <w:rPr>
          <w:rFonts w:ascii="ITC Avant Garde" w:hAnsi="ITC Avant Garde" w:cs="Arial"/>
          <w:b/>
        </w:rPr>
        <w:t xml:space="preserve"> </w:t>
      </w:r>
      <w:r w:rsidRPr="00D631CA">
        <w:rPr>
          <w:rFonts w:ascii="ITC Avant Garde" w:hAnsi="ITC Avant Garde" w:cs="Arial"/>
        </w:rPr>
        <w:t>En el supuesto de que la Comisión utilice un modelo de costos para determinar las tarifas de interconexión, éste deberá de valorar los costos reales en los que incurren las empresas para proveer el servicio de interconexión.</w:t>
      </w:r>
    </w:p>
    <w:p w14:paraId="63332ABE"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Ahora bien, la Recurrente sostiene en el apartado correspondiente a AGRAVIOS, sustancialmente lo siguiente:</w:t>
      </w:r>
    </w:p>
    <w:p w14:paraId="1E000C21"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b/>
        </w:rPr>
        <w:t>AGRAVIOS RELACIONADOS CON EL MODELO DE COSTOS RESPECTO DEL RESOLUTIVO TERCERO</w:t>
      </w:r>
      <w:r w:rsidRPr="00D631CA">
        <w:rPr>
          <w:rFonts w:ascii="ITC Avant Garde" w:hAnsi="ITC Avant Garde" w:cs="Arial"/>
        </w:rPr>
        <w:t>.</w:t>
      </w:r>
    </w:p>
    <w:p w14:paraId="195B4A5F"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u w:val="single"/>
          <w:lang w:val="es-ES" w:eastAsia="es-ES"/>
        </w:rPr>
        <w:t>PRIMERO</w:t>
      </w:r>
      <w:r w:rsidRPr="00D631CA">
        <w:rPr>
          <w:rFonts w:ascii="ITC Avant Garde" w:eastAsia="Times New Roman" w:hAnsi="ITC Avant Garde" w:cs="Arial"/>
          <w:lang w:val="es-ES" w:eastAsia="es-ES"/>
        </w:rPr>
        <w:t>. El Modelo de Costos asigna valores arbitrarios a las distintas variables que lo integran, lo que implica que la Resolución Recurrida adolezca de una debida fundamentación y motivación, contraviniendo lo dispuesto en el artículo 3, fracción V de la Ley Federal de Procedimiento Administrativo.</w:t>
      </w:r>
    </w:p>
    <w:p w14:paraId="79D5A7C9"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En efecto, la Comisión en el Modelo de Costos asigna valores arbitrarios y sin justificación a las distintas variables que integran el mismo, por lo cual la Resolución Impugnada infringe los requerimientos de fundamentación y motivación, así como es incongruente desde un punto de vista interno, con lo que se viola lo dispuesto en el artículo 3, fracción V, de la Ley Federal de Procedimiento Administrativo, y 16 constitucional.</w:t>
      </w:r>
    </w:p>
    <w:p w14:paraId="5E509F48"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garantía de seguridad jurídica no se respetó el elaborarse el Modelo de Costos al contravenirse el artículo 3, fracción V, de la Ley Federal de Procedimiento Administrativo.</w:t>
      </w:r>
    </w:p>
    <w:p w14:paraId="44C9355A" w14:textId="1492C9B3" w:rsidR="00382941" w:rsidRPr="00D631CA" w:rsidRDefault="00382941" w:rsidP="00D631CA">
      <w:pPr>
        <w:spacing w:before="240"/>
        <w:jc w:val="both"/>
        <w:rPr>
          <w:rFonts w:ascii="ITC Avant Garde" w:hAnsi="ITC Avant Garde" w:cs="Arial"/>
        </w:rPr>
      </w:pPr>
      <w:r w:rsidRPr="00D631CA">
        <w:rPr>
          <w:rFonts w:ascii="ITC Avant Garde" w:hAnsi="ITC Avant Garde" w:cs="Arial"/>
        </w:rPr>
        <w:t>La Comisión al momento de crear el Modelo de Costos:</w:t>
      </w:r>
    </w:p>
    <w:p w14:paraId="2CEC854C" w14:textId="77777777" w:rsidR="00D631CA" w:rsidRPr="00D631CA" w:rsidRDefault="00382941" w:rsidP="00D631CA">
      <w:pPr>
        <w:numPr>
          <w:ilvl w:val="0"/>
          <w:numId w:val="11"/>
        </w:numPr>
        <w:spacing w:before="240"/>
        <w:ind w:left="284" w:hanging="284"/>
        <w:contextualSpacing/>
        <w:jc w:val="both"/>
        <w:rPr>
          <w:rFonts w:ascii="ITC Avant Garde" w:hAnsi="ITC Avant Garde" w:cs="Arial"/>
        </w:rPr>
      </w:pPr>
      <w:r w:rsidRPr="00D631CA">
        <w:rPr>
          <w:rFonts w:ascii="ITC Avant Garde" w:hAnsi="ITC Avant Garde" w:cs="Arial"/>
        </w:rPr>
        <w:lastRenderedPageBreak/>
        <w:t>Fue omisa en establecer las causas, razones, motivos y circunstancias del por qué utilizó dicho modelo, así como el porqué de los diversos modelos existentes en la ciencia económica para determinar las tarifas que pretendió fijar, consideró utilizar el denominado costo incremental a largo plazo con un modelo ascendente (</w:t>
      </w:r>
      <w:proofErr w:type="spellStart"/>
      <w:r w:rsidRPr="00D631CA">
        <w:rPr>
          <w:rFonts w:ascii="ITC Avant Garde" w:hAnsi="ITC Avant Garde" w:cs="Arial"/>
        </w:rPr>
        <w:t>Bottom</w:t>
      </w:r>
      <w:proofErr w:type="spellEnd"/>
      <w:r w:rsidRPr="00D631CA">
        <w:rPr>
          <w:rFonts w:ascii="ITC Avant Garde" w:hAnsi="ITC Avant Garde" w:cs="Arial"/>
        </w:rPr>
        <w:t>-Up) de una red hipotética de un operador eficiente, y no otros.</w:t>
      </w:r>
    </w:p>
    <w:p w14:paraId="26B5336E" w14:textId="77777777" w:rsidR="00D631CA" w:rsidRPr="00D631CA" w:rsidRDefault="00382941" w:rsidP="00D631CA">
      <w:pPr>
        <w:numPr>
          <w:ilvl w:val="0"/>
          <w:numId w:val="11"/>
        </w:numPr>
        <w:spacing w:before="240"/>
        <w:ind w:left="284" w:hanging="284"/>
        <w:contextualSpacing/>
        <w:jc w:val="both"/>
        <w:rPr>
          <w:rFonts w:ascii="ITC Avant Garde" w:hAnsi="ITC Avant Garde" w:cs="Arial"/>
        </w:rPr>
      </w:pPr>
      <w:r w:rsidRPr="00D631CA">
        <w:rPr>
          <w:rFonts w:ascii="ITC Avant Garde" w:hAnsi="ITC Avant Garde" w:cs="Arial"/>
        </w:rPr>
        <w:t>Fue omisa en llevar a cabo la diversidad de estudios económicos y financieros a fin de determinar los diversos elementos que deberán integrar dicho modelo, a efecto de poder arribar a la determinación de tarifas que se adecúen a la industria específica de que se trate.</w:t>
      </w:r>
    </w:p>
    <w:p w14:paraId="0674A0A0" w14:textId="77777777" w:rsidR="00D631CA" w:rsidRPr="00D631CA" w:rsidRDefault="00382941" w:rsidP="00D631CA">
      <w:pPr>
        <w:numPr>
          <w:ilvl w:val="0"/>
          <w:numId w:val="11"/>
        </w:numPr>
        <w:spacing w:before="240"/>
        <w:ind w:left="284" w:hanging="284"/>
        <w:contextualSpacing/>
        <w:jc w:val="both"/>
        <w:rPr>
          <w:rFonts w:ascii="ITC Avant Garde" w:hAnsi="ITC Avant Garde" w:cs="Arial"/>
        </w:rPr>
      </w:pPr>
      <w:r w:rsidRPr="00D631CA">
        <w:rPr>
          <w:rFonts w:ascii="ITC Avant Garde" w:hAnsi="ITC Avant Garde" w:cs="Arial"/>
        </w:rPr>
        <w:t>Confunde los costos directos e indirectos de una empresa al pretender aplicar el Modelo de Costos, sin que medie una debida motivación al respecto, razón por la cual dicho modelo resulta a todas luces desapegado a la realidad de la industria de las telecomunicaciones.</w:t>
      </w:r>
    </w:p>
    <w:p w14:paraId="730D532D" w14:textId="77777777" w:rsidR="00D631CA" w:rsidRPr="00D631CA" w:rsidRDefault="00382941" w:rsidP="00D631CA">
      <w:pPr>
        <w:numPr>
          <w:ilvl w:val="0"/>
          <w:numId w:val="11"/>
        </w:numPr>
        <w:spacing w:before="240"/>
        <w:ind w:left="284" w:hanging="284"/>
        <w:contextualSpacing/>
        <w:jc w:val="both"/>
        <w:rPr>
          <w:rFonts w:ascii="ITC Avant Garde" w:hAnsi="ITC Avant Garde" w:cs="Arial"/>
        </w:rPr>
      </w:pPr>
      <w:r w:rsidRPr="00D631CA">
        <w:rPr>
          <w:rFonts w:ascii="ITC Avant Garde" w:hAnsi="ITC Avant Garde" w:cs="Arial"/>
        </w:rPr>
        <w:t>Efectúa razonamientos para sustentar que las tarifas por encima de los costos en que se incurre por la prestación del servicio de terminación de llamadas en la red local de la Recurrente, inhibe la sana competencia entre los operadores y no promueve un desarrollo eficiente de las telecomunicaciones, lo que carece de todo sustento jurídico.</w:t>
      </w:r>
    </w:p>
    <w:p w14:paraId="78A3BF84" w14:textId="77777777" w:rsidR="00D631CA" w:rsidRPr="00D631CA" w:rsidRDefault="00382941" w:rsidP="00D631CA">
      <w:pPr>
        <w:numPr>
          <w:ilvl w:val="0"/>
          <w:numId w:val="11"/>
        </w:numPr>
        <w:spacing w:before="240"/>
        <w:ind w:left="284" w:hanging="284"/>
        <w:contextualSpacing/>
        <w:jc w:val="both"/>
        <w:rPr>
          <w:rFonts w:ascii="ITC Avant Garde" w:hAnsi="ITC Avant Garde" w:cs="Arial"/>
        </w:rPr>
      </w:pPr>
      <w:r w:rsidRPr="00D631CA">
        <w:rPr>
          <w:rFonts w:ascii="ITC Avant Garde" w:hAnsi="ITC Avant Garde" w:cs="Arial"/>
        </w:rPr>
        <w:t>Establece que una tarifa por encima del costo de proveer el servicio es un costo innecesario en el que incurre el demandante del servicio, y afirma dogmáticamente que por lo mismo ésta es trasladada al usuario final. Lo anterior no es así, debido a que la tarifa que se fije por dicha contraprestación debe ser aquella considerada justa, ya que de lo contrario, como acontece en el caso que nos ocupa quien se beneficie con las tarifas fi</w:t>
      </w:r>
      <w:r w:rsidR="00B830AD" w:rsidRPr="00D631CA">
        <w:rPr>
          <w:rFonts w:ascii="ITC Avant Garde" w:hAnsi="ITC Avant Garde" w:cs="Arial"/>
        </w:rPr>
        <w:t xml:space="preserve">jadas por esa Comisión son las </w:t>
      </w:r>
      <w:r w:rsidR="00C67299" w:rsidRPr="00D631CA">
        <w:rPr>
          <w:rFonts w:ascii="ITC Avant Garde" w:hAnsi="ITC Avant Garde" w:cs="Arial"/>
        </w:rPr>
        <w:t>tercero perjudicada</w:t>
      </w:r>
      <w:r w:rsidRPr="00D631CA">
        <w:rPr>
          <w:rFonts w:ascii="ITC Avant Garde" w:hAnsi="ITC Avant Garde" w:cs="Arial"/>
        </w:rPr>
        <w:t xml:space="preserve">s, toda vez que en modo alguno va a repercutir las mismas al usuario final (en específico aquellas pagadas de </w:t>
      </w:r>
      <w:r w:rsidRPr="00D631CA">
        <w:rPr>
          <w:rFonts w:ascii="ITC Avant Garde" w:hAnsi="ITC Avant Garde" w:cs="Arial"/>
          <w:b/>
        </w:rPr>
        <w:t>enero a diciembre de 2011)</w:t>
      </w:r>
      <w:r w:rsidRPr="00D631CA">
        <w:rPr>
          <w:rFonts w:ascii="ITC Avant Garde" w:hAnsi="ITC Avant Garde" w:cs="Arial"/>
        </w:rPr>
        <w:t>, la Comisión no determina, ni señala, ni funda, ni motiva un posible traslado de beneficios tarifarios a los usuarios finales, lo que deja en entredicho la vinculación de la reducción de tarifas de interconexión con el interés general.</w:t>
      </w:r>
    </w:p>
    <w:p w14:paraId="6EE6AA61" w14:textId="77777777" w:rsidR="00D631CA" w:rsidRPr="00D631CA" w:rsidRDefault="00382941" w:rsidP="00D631CA">
      <w:pPr>
        <w:numPr>
          <w:ilvl w:val="0"/>
          <w:numId w:val="11"/>
        </w:numPr>
        <w:spacing w:before="240"/>
        <w:ind w:left="284" w:hanging="284"/>
        <w:contextualSpacing/>
        <w:jc w:val="both"/>
        <w:rPr>
          <w:rFonts w:ascii="ITC Avant Garde" w:hAnsi="ITC Avant Garde" w:cs="Arial"/>
        </w:rPr>
      </w:pPr>
      <w:r w:rsidRPr="00D631CA">
        <w:rPr>
          <w:rFonts w:ascii="ITC Avant Garde" w:hAnsi="ITC Avant Garde" w:cs="Arial"/>
        </w:rPr>
        <w:t>Motiva su modelo estableciendo que el mismo utiliza proyecciones que determinan tarifas hacia el futuro, y resulta que con el mismo esa Comisión determina tarifas de periodos pasados (enero a diciembre de 2011).</w:t>
      </w:r>
    </w:p>
    <w:p w14:paraId="3DEFACEF" w14:textId="77777777" w:rsidR="00D631CA" w:rsidRPr="00D631CA" w:rsidRDefault="00382941" w:rsidP="00D631CA">
      <w:pPr>
        <w:numPr>
          <w:ilvl w:val="0"/>
          <w:numId w:val="11"/>
        </w:numPr>
        <w:spacing w:before="240"/>
        <w:ind w:left="284" w:hanging="284"/>
        <w:contextualSpacing/>
        <w:jc w:val="both"/>
        <w:rPr>
          <w:rFonts w:ascii="ITC Avant Garde" w:hAnsi="ITC Avant Garde" w:cs="Arial"/>
        </w:rPr>
      </w:pPr>
      <w:r w:rsidRPr="00D631CA">
        <w:rPr>
          <w:rFonts w:ascii="ITC Avant Garde" w:hAnsi="ITC Avant Garde" w:cs="Arial"/>
        </w:rPr>
        <w:t>Toma en consideración a un operador eficiente "representativo”, es decir, dicho modelo no tiene fundamento en los costos propios de la Recurrente, sino en los que incurre dicho operador ficticio, cuyas características fueron arbitrariamente determinadas por la Comisión y no guardan proporción alguna con las características reales y efectivas de los operadores existentes en el mercado mexicano.</w:t>
      </w:r>
    </w:p>
    <w:p w14:paraId="1D622C1D" w14:textId="77777777" w:rsidR="00D631CA" w:rsidRPr="00D631CA" w:rsidRDefault="00382941" w:rsidP="00D631CA">
      <w:pPr>
        <w:numPr>
          <w:ilvl w:val="0"/>
          <w:numId w:val="11"/>
        </w:numPr>
        <w:spacing w:before="240"/>
        <w:ind w:left="284" w:hanging="284"/>
        <w:contextualSpacing/>
        <w:jc w:val="both"/>
        <w:rPr>
          <w:rFonts w:ascii="ITC Avant Garde" w:hAnsi="ITC Avant Garde" w:cs="Arial"/>
        </w:rPr>
      </w:pPr>
      <w:r w:rsidRPr="00D631CA">
        <w:rPr>
          <w:rFonts w:ascii="ITC Avant Garde" w:hAnsi="ITC Avant Garde" w:cs="Arial"/>
        </w:rPr>
        <w:t xml:space="preserve">Omite señalar las causas, razones, motivos y circunstancias del porqué únicamente tomó en consideración aquellos costos que son originados por la provisión de un incremento específico en el servicio de terminación de llamadas en redes de telefonía móvil, </w:t>
      </w:r>
      <w:r w:rsidRPr="00D631CA">
        <w:rPr>
          <w:rFonts w:ascii="ITC Avant Garde" w:hAnsi="ITC Avant Garde" w:cs="Arial"/>
        </w:rPr>
        <w:lastRenderedPageBreak/>
        <w:t>descartando de manera contraria a derecho y a la naturaleza del modelo que esta adoptó todos aquellos costos relacionados directa o indirectamente con el servicio a que se viene haciendo referencia.</w:t>
      </w:r>
    </w:p>
    <w:p w14:paraId="582711CE" w14:textId="77777777" w:rsidR="00D631CA" w:rsidRPr="00D631CA" w:rsidRDefault="00382941" w:rsidP="00D631CA">
      <w:pPr>
        <w:numPr>
          <w:ilvl w:val="0"/>
          <w:numId w:val="11"/>
        </w:numPr>
        <w:tabs>
          <w:tab w:val="left" w:pos="426"/>
        </w:tabs>
        <w:spacing w:before="240"/>
        <w:ind w:left="284" w:hanging="284"/>
        <w:contextualSpacing/>
        <w:jc w:val="both"/>
        <w:rPr>
          <w:rFonts w:ascii="ITC Avant Garde" w:hAnsi="ITC Avant Garde" w:cs="Arial"/>
        </w:rPr>
      </w:pPr>
      <w:r w:rsidRPr="00D631CA">
        <w:rPr>
          <w:rFonts w:ascii="ITC Avant Garde" w:hAnsi="ITC Avant Garde" w:cs="Arial"/>
        </w:rPr>
        <w:t>Omite señalar las causas, razones, motivos y circunstancias del porque a su parecer, todos los activos son remplazados al final de su vida útil y que método de depreciación de los activos debe reflejar fielmente la disminución de su valor económico a través del tiempo.</w:t>
      </w:r>
    </w:p>
    <w:p w14:paraId="359783C0" w14:textId="77777777" w:rsidR="00D631CA" w:rsidRPr="00D631CA" w:rsidRDefault="00382941" w:rsidP="00D631CA">
      <w:pPr>
        <w:numPr>
          <w:ilvl w:val="0"/>
          <w:numId w:val="11"/>
        </w:numPr>
        <w:tabs>
          <w:tab w:val="left" w:pos="426"/>
        </w:tabs>
        <w:spacing w:before="240"/>
        <w:ind w:left="284" w:hanging="284"/>
        <w:contextualSpacing/>
        <w:jc w:val="both"/>
        <w:rPr>
          <w:rFonts w:ascii="ITC Avant Garde" w:hAnsi="ITC Avant Garde" w:cs="Arial"/>
        </w:rPr>
      </w:pPr>
      <w:r w:rsidRPr="00D631CA">
        <w:rPr>
          <w:rFonts w:ascii="ITC Avant Garde" w:hAnsi="ITC Avant Garde" w:cs="Arial"/>
        </w:rPr>
        <w:t xml:space="preserve"> Vulnera la legislación aplicable al establecer un operador representativo que cuenta con el 25% de participación en el mercado, ya que en México no existe una distribución entre operadores del mercado de telefonía celular como lo pretende hacer esa Comisión, situación esta última que hace a todas luces inviable e inaplicable, a la Recurrente, el modelo económico de referencia.</w:t>
      </w:r>
    </w:p>
    <w:p w14:paraId="54C5424D" w14:textId="77777777" w:rsidR="00D631CA" w:rsidRPr="00D631CA" w:rsidRDefault="00382941" w:rsidP="00D631CA">
      <w:pPr>
        <w:numPr>
          <w:ilvl w:val="0"/>
          <w:numId w:val="11"/>
        </w:numPr>
        <w:tabs>
          <w:tab w:val="left" w:pos="426"/>
        </w:tabs>
        <w:spacing w:before="240"/>
        <w:ind w:left="284" w:hanging="284"/>
        <w:contextualSpacing/>
        <w:jc w:val="both"/>
        <w:rPr>
          <w:rFonts w:ascii="ITC Avant Garde" w:hAnsi="ITC Avant Garde" w:cs="Arial"/>
        </w:rPr>
      </w:pPr>
      <w:r w:rsidRPr="00D631CA">
        <w:rPr>
          <w:rFonts w:ascii="ITC Avant Garde" w:hAnsi="ITC Avant Garde" w:cs="Arial"/>
        </w:rPr>
        <w:t xml:space="preserve"> Omite señalar las causas, razones, motivos y circunstancias del por qué a su parecer considera que la tecnología GSM (Global </w:t>
      </w:r>
      <w:proofErr w:type="spellStart"/>
      <w:r w:rsidRPr="00D631CA">
        <w:rPr>
          <w:rFonts w:ascii="ITC Avant Garde" w:hAnsi="ITC Avant Garde" w:cs="Arial"/>
        </w:rPr>
        <w:t>System</w:t>
      </w:r>
      <w:proofErr w:type="spellEnd"/>
      <w:r w:rsidRPr="00D631CA">
        <w:rPr>
          <w:rFonts w:ascii="ITC Avant Garde" w:hAnsi="ITC Avant Garde" w:cs="Arial"/>
        </w:rPr>
        <w:t xml:space="preserve"> </w:t>
      </w:r>
      <w:proofErr w:type="spellStart"/>
      <w:r w:rsidRPr="00D631CA">
        <w:rPr>
          <w:rFonts w:ascii="ITC Avant Garde" w:hAnsi="ITC Avant Garde" w:cs="Arial"/>
        </w:rPr>
        <w:t>for</w:t>
      </w:r>
      <w:proofErr w:type="spellEnd"/>
      <w:r w:rsidRPr="00D631CA">
        <w:rPr>
          <w:rFonts w:ascii="ITC Avant Garde" w:hAnsi="ITC Avant Garde" w:cs="Arial"/>
        </w:rPr>
        <w:t xml:space="preserve"> Mobile </w:t>
      </w:r>
      <w:proofErr w:type="spellStart"/>
      <w:r w:rsidRPr="00D631CA">
        <w:rPr>
          <w:rFonts w:ascii="ITC Avant Garde" w:hAnsi="ITC Avant Garde" w:cs="Arial"/>
        </w:rPr>
        <w:t>Communications</w:t>
      </w:r>
      <w:proofErr w:type="spellEnd"/>
      <w:r w:rsidRPr="00D631CA">
        <w:rPr>
          <w:rFonts w:ascii="ITC Avant Garde" w:hAnsi="ITC Avant Garde" w:cs="Arial"/>
        </w:rPr>
        <w:t>), es eficiente, y los criterios que utilizó para medir esa eficiencia.</w:t>
      </w:r>
    </w:p>
    <w:p w14:paraId="0151BADC" w14:textId="77777777" w:rsidR="00D631CA" w:rsidRPr="00D631CA" w:rsidRDefault="00382941" w:rsidP="00D631CA">
      <w:pPr>
        <w:numPr>
          <w:ilvl w:val="0"/>
          <w:numId w:val="11"/>
        </w:numPr>
        <w:tabs>
          <w:tab w:val="left" w:pos="426"/>
        </w:tabs>
        <w:spacing w:before="240"/>
        <w:ind w:left="284" w:hanging="284"/>
        <w:contextualSpacing/>
        <w:jc w:val="both"/>
        <w:rPr>
          <w:rFonts w:ascii="ITC Avant Garde" w:hAnsi="ITC Avant Garde" w:cs="Arial"/>
        </w:rPr>
      </w:pPr>
      <w:r w:rsidRPr="00D631CA">
        <w:rPr>
          <w:rFonts w:ascii="ITC Avant Garde" w:hAnsi="ITC Avant Garde" w:cs="Arial"/>
        </w:rPr>
        <w:t xml:space="preserve"> Es incongruente al pretender construir un modelo de abajo hacia arriba (</w:t>
      </w:r>
      <w:proofErr w:type="spellStart"/>
      <w:r w:rsidRPr="00D631CA">
        <w:rPr>
          <w:rFonts w:ascii="ITC Avant Garde" w:hAnsi="ITC Avant Garde" w:cs="Arial"/>
        </w:rPr>
        <w:t>Bottom</w:t>
      </w:r>
      <w:proofErr w:type="spellEnd"/>
      <w:r w:rsidRPr="00D631CA">
        <w:rPr>
          <w:rFonts w:ascii="ITC Avant Garde" w:hAnsi="ITC Avant Garde" w:cs="Arial"/>
        </w:rPr>
        <w:t>-Up), es decir a partir de una estimación de demanda de servicio, cuando mediante el mismo se están determinando tarifas del pasado (1 de enero de 2011 al 31 de diciembre de 2011).</w:t>
      </w:r>
    </w:p>
    <w:p w14:paraId="64E62281" w14:textId="77777777" w:rsidR="00D631CA" w:rsidRPr="00D631CA" w:rsidRDefault="00382941" w:rsidP="00D631CA">
      <w:pPr>
        <w:numPr>
          <w:ilvl w:val="0"/>
          <w:numId w:val="11"/>
        </w:numPr>
        <w:tabs>
          <w:tab w:val="left" w:pos="426"/>
        </w:tabs>
        <w:spacing w:before="240"/>
        <w:ind w:left="284" w:hanging="284"/>
        <w:contextualSpacing/>
        <w:jc w:val="both"/>
        <w:rPr>
          <w:rFonts w:ascii="ITC Avant Garde" w:hAnsi="ITC Avant Garde" w:cs="Arial"/>
        </w:rPr>
      </w:pPr>
      <w:r w:rsidRPr="00D631CA">
        <w:rPr>
          <w:rFonts w:ascii="ITC Avant Garde" w:hAnsi="ITC Avant Garde" w:cs="Arial"/>
        </w:rPr>
        <w:t xml:space="preserve"> Es incongruente al establecer que los precios de los equipos que conforman la red de su operador eficiente son actuales, pues con dichos precios pretende fijar tarifas de periodos pasados. Además, omite hacer señalamientos sobre la inclusión, pasada, presente o futura de nuevas tecnologías para la implementación de nuevos servicios en un sector que evoluciona constantemente. La falta de cohesión en el establecimiento de precios es tal que cuando pretende justificar la determinación del monto de la inversión total remite a información publicada por el Órgano Regulador de las Telecomunicaciones en Francia pero no refiere a qué periodo o a qué elementos se refiere dicha información.</w:t>
      </w:r>
    </w:p>
    <w:p w14:paraId="3F5F5A8C" w14:textId="77777777" w:rsidR="00D631CA" w:rsidRPr="00D631CA" w:rsidRDefault="00382941" w:rsidP="00D631CA">
      <w:pPr>
        <w:numPr>
          <w:ilvl w:val="0"/>
          <w:numId w:val="11"/>
        </w:numPr>
        <w:tabs>
          <w:tab w:val="left" w:pos="426"/>
        </w:tabs>
        <w:spacing w:before="240"/>
        <w:ind w:left="284" w:hanging="284"/>
        <w:contextualSpacing/>
        <w:jc w:val="both"/>
        <w:rPr>
          <w:rFonts w:ascii="ITC Avant Garde" w:hAnsi="ITC Avant Garde" w:cs="Arial"/>
        </w:rPr>
      </w:pPr>
      <w:r w:rsidRPr="00D631CA">
        <w:rPr>
          <w:rFonts w:ascii="ITC Avant Garde" w:hAnsi="ITC Avant Garde" w:cs="Arial"/>
        </w:rPr>
        <w:t xml:space="preserve"> Omite señalar las causas, razones, motivos y circunstancias del porque señala que los costos operativos equivalen al 15% de la inversión total, con lo cual no hace más que desconocer totalmente la teoría económica y la situación real de la Recurrente pues ni siquiera establece un margen adecuado de medición de la PTU pagada a los trabajadores como parte de sus costos operativos.</w:t>
      </w:r>
    </w:p>
    <w:p w14:paraId="497E4F98" w14:textId="77777777" w:rsidR="00D631CA" w:rsidRPr="00D631CA" w:rsidRDefault="00382941" w:rsidP="00D631CA">
      <w:pPr>
        <w:numPr>
          <w:ilvl w:val="0"/>
          <w:numId w:val="11"/>
        </w:numPr>
        <w:tabs>
          <w:tab w:val="left" w:pos="426"/>
        </w:tabs>
        <w:spacing w:before="240"/>
        <w:ind w:left="284" w:hanging="284"/>
        <w:contextualSpacing/>
        <w:jc w:val="both"/>
        <w:rPr>
          <w:rFonts w:ascii="ITC Avant Garde" w:hAnsi="ITC Avant Garde" w:cs="Arial"/>
        </w:rPr>
      </w:pPr>
      <w:r w:rsidRPr="00D631CA">
        <w:rPr>
          <w:rFonts w:ascii="ITC Avant Garde" w:hAnsi="ITC Avant Garde" w:cs="Arial"/>
        </w:rPr>
        <w:t xml:space="preserve"> Asume indebidamente que el operador eficiente invierte en activos, despliega su red y llega al nivel eficiente de tráfico (equivalente al 25% del tráfico total) desde el momento cero; esto es, sin solución de continuidad. Como resulta evidente, este es un supuesto de </w:t>
      </w:r>
      <w:proofErr w:type="spellStart"/>
      <w:r w:rsidRPr="00D631CA">
        <w:rPr>
          <w:rFonts w:ascii="ITC Avant Garde" w:hAnsi="ITC Avant Garde" w:cs="Arial"/>
        </w:rPr>
        <w:t>hipereficiencia</w:t>
      </w:r>
      <w:proofErr w:type="spellEnd"/>
      <w:r w:rsidRPr="00D631CA">
        <w:rPr>
          <w:rFonts w:ascii="ITC Avant Garde" w:hAnsi="ITC Avant Garde" w:cs="Arial"/>
        </w:rPr>
        <w:t xml:space="preserve"> que no se corresponde con la realidad de ningún operador. El modelo debería corregirse, en cualquier caso, para reconocer la existencia de un lapso de tiempo (de entre 8 meses y 1 año) entre la adquisición de los elementos de red y su efectiva operación. Durante este lapso, el costo de capital asociado debería ser materia de reconocimiento. Además, por simple congruencia el modelo debería considerar un </w:t>
      </w:r>
      <w:r w:rsidRPr="00D631CA">
        <w:rPr>
          <w:rFonts w:ascii="ITC Avant Garde" w:hAnsi="ITC Avant Garde" w:cs="Arial"/>
        </w:rPr>
        <w:lastRenderedPageBreak/>
        <w:t>período de evolución hasta que el operador pueda razonablemente aspirar a gestionar el 25% del tráfico total en el mercado.</w:t>
      </w:r>
    </w:p>
    <w:p w14:paraId="28C139F7" w14:textId="77777777" w:rsidR="00D631CA" w:rsidRPr="00D631CA" w:rsidRDefault="00382941" w:rsidP="00D631CA">
      <w:pPr>
        <w:numPr>
          <w:ilvl w:val="0"/>
          <w:numId w:val="11"/>
        </w:numPr>
        <w:tabs>
          <w:tab w:val="left" w:pos="426"/>
        </w:tabs>
        <w:spacing w:before="240"/>
        <w:ind w:left="284" w:hanging="284"/>
        <w:contextualSpacing/>
        <w:jc w:val="both"/>
        <w:rPr>
          <w:rFonts w:ascii="ITC Avant Garde" w:hAnsi="ITC Avant Garde" w:cs="Arial"/>
        </w:rPr>
      </w:pPr>
      <w:r w:rsidRPr="00D631CA">
        <w:rPr>
          <w:rFonts w:ascii="ITC Avant Garde" w:hAnsi="ITC Avant Garde" w:cs="Arial"/>
        </w:rPr>
        <w:t xml:space="preserve"> Subestima el costo de algunos activos, ya que esa autoridad ha tomado el precio de algunos de los componentes de red directamente del modelo elaborado por los reguladores francés o británico, sin embargo, esta aproximación es errónea y produce subestimaciones importantes para algunos de los activos que forman parte de las redes de los operadores mexicanos. La razón de la subestimación es evidente: los operadores latinoamericanos operan en realidades geográficas complicadas, con vías de comunicación deficientes y bajas densidades poblaciones. Como resultado de esta realidad, los costos de instalación (que comprenden no sólo la ingeniería de detalle, sino también el acarreo) son sustancialmente más altos en Latinoamérica que en Europa. Por lo demás, es notorio cómo los costos en Euros adoptados por ARCEP en el año 2009 han sido tomados directamente por esa autoridad, sin realizar los ajustes por inflación que deberían realizarse dado el tiempo transcurrido.</w:t>
      </w:r>
    </w:p>
    <w:p w14:paraId="0D91627A" w14:textId="77777777" w:rsidR="00D631CA" w:rsidRPr="00D631CA" w:rsidRDefault="00382941" w:rsidP="00D631CA">
      <w:pPr>
        <w:numPr>
          <w:ilvl w:val="0"/>
          <w:numId w:val="11"/>
        </w:numPr>
        <w:tabs>
          <w:tab w:val="left" w:pos="426"/>
        </w:tabs>
        <w:spacing w:before="240"/>
        <w:ind w:left="284" w:hanging="284"/>
        <w:contextualSpacing/>
        <w:jc w:val="both"/>
        <w:rPr>
          <w:rFonts w:ascii="ITC Avant Garde" w:hAnsi="ITC Avant Garde" w:cs="Arial"/>
        </w:rPr>
      </w:pPr>
      <w:r w:rsidRPr="00D631CA">
        <w:rPr>
          <w:rFonts w:ascii="ITC Avant Garde" w:hAnsi="ITC Avant Garde" w:cs="Arial"/>
        </w:rPr>
        <w:t xml:space="preserve"> Considera un valor de 8% como aceptable para el parámetro "porcentaje de tráfico en hora pico" ya que dicho factor en apariencia es consistente con el utilizado por el regulador británico; sin embargo, este valor difiere sustancialmente del porcentaje de tráfico en hora cargada que la compañía soporta actualmente su red, el que es del orden de 10,4 %. Los reguladores en Francia y en el Reino Unido han considerado en sus modelaciones una reducción paulatina en el porcentaje de hora cargada, consistente con la expansión de la </w:t>
      </w:r>
      <w:proofErr w:type="spellStart"/>
      <w:r w:rsidRPr="00D631CA">
        <w:rPr>
          <w:rFonts w:ascii="ITC Avant Garde" w:hAnsi="ITC Avant Garde" w:cs="Arial"/>
        </w:rPr>
        <w:t>teledensidad</w:t>
      </w:r>
      <w:proofErr w:type="spellEnd"/>
      <w:r w:rsidRPr="00D631CA">
        <w:rPr>
          <w:rFonts w:ascii="ITC Avant Garde" w:hAnsi="ITC Avant Garde" w:cs="Arial"/>
        </w:rPr>
        <w:t xml:space="preserve">. En este contexto, sin embargo, no llega a explicarse cuál es la razón por la que esa autoridad ha decidido utilizar un factor de 8% en lugar de usar los factores superiores a 9% que tanto </w:t>
      </w:r>
      <w:proofErr w:type="spellStart"/>
      <w:r w:rsidRPr="00D631CA">
        <w:rPr>
          <w:rFonts w:ascii="ITC Avant Garde" w:hAnsi="ITC Avant Garde" w:cs="Arial"/>
        </w:rPr>
        <w:t>Arcep</w:t>
      </w:r>
      <w:proofErr w:type="spellEnd"/>
      <w:r w:rsidRPr="00D631CA">
        <w:rPr>
          <w:rFonts w:ascii="ITC Avant Garde" w:hAnsi="ITC Avant Garde" w:cs="Arial"/>
        </w:rPr>
        <w:t xml:space="preserve"> como </w:t>
      </w:r>
      <w:proofErr w:type="spellStart"/>
      <w:r w:rsidRPr="00D631CA">
        <w:rPr>
          <w:rFonts w:ascii="ITC Avant Garde" w:hAnsi="ITC Avant Garde" w:cs="Arial"/>
        </w:rPr>
        <w:t>Ofcom</w:t>
      </w:r>
      <w:proofErr w:type="spellEnd"/>
      <w:r w:rsidRPr="00D631CA">
        <w:rPr>
          <w:rFonts w:ascii="ITC Avant Garde" w:hAnsi="ITC Avant Garde" w:cs="Arial"/>
        </w:rPr>
        <w:t xml:space="preserve"> han considerado válidos para niveles de </w:t>
      </w:r>
      <w:proofErr w:type="spellStart"/>
      <w:r w:rsidRPr="00D631CA">
        <w:rPr>
          <w:rFonts w:ascii="ITC Avant Garde" w:hAnsi="ITC Avant Garde" w:cs="Arial"/>
        </w:rPr>
        <w:t>teledensidad</w:t>
      </w:r>
      <w:proofErr w:type="spellEnd"/>
      <w:r w:rsidRPr="00D631CA">
        <w:rPr>
          <w:rFonts w:ascii="ITC Avant Garde" w:hAnsi="ITC Avant Garde" w:cs="Arial"/>
        </w:rPr>
        <w:t xml:space="preserve"> semejantes a los que actualmente tiene el mercado mexicano. La mejor aproximación es obtener dicha información mediante datos históricos de los operadores.</w:t>
      </w:r>
    </w:p>
    <w:p w14:paraId="2B39AD3F" w14:textId="77777777" w:rsidR="00D631CA" w:rsidRPr="00D631CA" w:rsidRDefault="00382941" w:rsidP="00D631CA">
      <w:pPr>
        <w:numPr>
          <w:ilvl w:val="0"/>
          <w:numId w:val="11"/>
        </w:numPr>
        <w:tabs>
          <w:tab w:val="left" w:pos="426"/>
        </w:tabs>
        <w:spacing w:before="240"/>
        <w:ind w:left="284" w:hanging="284"/>
        <w:contextualSpacing/>
        <w:jc w:val="both"/>
        <w:rPr>
          <w:rFonts w:ascii="ITC Avant Garde" w:hAnsi="ITC Avant Garde" w:cs="Arial"/>
        </w:rPr>
      </w:pPr>
      <w:r w:rsidRPr="00D631CA">
        <w:rPr>
          <w:rFonts w:ascii="ITC Avant Garde" w:hAnsi="ITC Avant Garde" w:cs="Arial"/>
        </w:rPr>
        <w:t xml:space="preserve"> Dimensiona indebidamente la distribución poblacional del País, lo hace conforme al Censo de Población y Vivienda para 2005, aún y cuando para el momento de la emisión de la Resolución Impugnada ya se contaban con datos estadísticos del Censo para 2010, lo que evidencia una defectuosa motivación.</w:t>
      </w:r>
    </w:p>
    <w:p w14:paraId="56038D7D" w14:textId="77777777" w:rsidR="00D631CA" w:rsidRPr="00D631CA" w:rsidRDefault="00382941" w:rsidP="00D631CA">
      <w:pPr>
        <w:tabs>
          <w:tab w:val="left" w:pos="426"/>
        </w:tabs>
        <w:spacing w:before="240"/>
        <w:ind w:left="284"/>
        <w:jc w:val="both"/>
        <w:rPr>
          <w:rFonts w:ascii="ITC Avant Garde" w:hAnsi="ITC Avant Garde" w:cs="Arial"/>
        </w:rPr>
      </w:pPr>
      <w:r w:rsidRPr="00D631CA">
        <w:rPr>
          <w:rFonts w:ascii="ITC Avant Garde" w:hAnsi="ITC Avant Garde" w:cs="Arial"/>
        </w:rPr>
        <w:t>En consecuencia, el modelo considera una población en México de 109'219,931 cuando el último censo de población del INEGI ha mostrado que México es un país de 112 millones de habitantes.</w:t>
      </w:r>
    </w:p>
    <w:p w14:paraId="002303D7" w14:textId="77777777" w:rsidR="00D631CA" w:rsidRPr="00D631CA" w:rsidRDefault="00382941" w:rsidP="00D631CA">
      <w:pPr>
        <w:numPr>
          <w:ilvl w:val="0"/>
          <w:numId w:val="11"/>
        </w:numPr>
        <w:tabs>
          <w:tab w:val="left" w:pos="426"/>
        </w:tabs>
        <w:spacing w:before="240"/>
        <w:ind w:left="284" w:hanging="284"/>
        <w:contextualSpacing/>
        <w:jc w:val="both"/>
        <w:rPr>
          <w:rFonts w:ascii="ITC Avant Garde" w:hAnsi="ITC Avant Garde" w:cs="Arial"/>
        </w:rPr>
      </w:pPr>
      <w:r w:rsidRPr="00D631CA">
        <w:rPr>
          <w:rFonts w:ascii="ITC Avant Garde" w:hAnsi="ITC Avant Garde" w:cs="Arial"/>
        </w:rPr>
        <w:t>No existe ningún fundamento para los días anuales de hora pico, variable que la fijan en 250 días cuando los datos reales de la Recurrente son de 235 días.</w:t>
      </w:r>
    </w:p>
    <w:p w14:paraId="5AD61FFE" w14:textId="6157CB66" w:rsidR="00382941" w:rsidRPr="00D631CA" w:rsidRDefault="00382941" w:rsidP="00D631CA">
      <w:pPr>
        <w:tabs>
          <w:tab w:val="left" w:pos="426"/>
        </w:tabs>
        <w:spacing w:before="240"/>
        <w:ind w:left="284"/>
        <w:jc w:val="both"/>
        <w:rPr>
          <w:rFonts w:ascii="ITC Avant Garde" w:hAnsi="ITC Avant Garde" w:cs="Arial"/>
        </w:rPr>
      </w:pPr>
      <w:r w:rsidRPr="00D631CA">
        <w:rPr>
          <w:rFonts w:ascii="ITC Avant Garde" w:hAnsi="ITC Avant Garde" w:cs="Arial"/>
        </w:rPr>
        <w:t xml:space="preserve">La capacidad promedio de </w:t>
      </w:r>
      <w:proofErr w:type="spellStart"/>
      <w:r w:rsidRPr="00D631CA">
        <w:rPr>
          <w:rFonts w:ascii="ITC Avant Garde" w:hAnsi="ITC Avant Garde" w:cs="Arial"/>
        </w:rPr>
        <w:t>Erlangs</w:t>
      </w:r>
      <w:proofErr w:type="spellEnd"/>
      <w:r w:rsidRPr="00D631CA">
        <w:rPr>
          <w:rFonts w:ascii="ITC Avant Garde" w:hAnsi="ITC Avant Garde" w:cs="Arial"/>
        </w:rPr>
        <w:t xml:space="preserve"> por sector (la capacidad de una </w:t>
      </w:r>
      <w:proofErr w:type="spellStart"/>
      <w:r w:rsidRPr="00D631CA">
        <w:rPr>
          <w:rFonts w:ascii="ITC Avant Garde" w:hAnsi="ITC Avant Garde" w:cs="Arial"/>
        </w:rPr>
        <w:t>radiobase</w:t>
      </w:r>
      <w:proofErr w:type="spellEnd"/>
      <w:r w:rsidRPr="00D631CA">
        <w:rPr>
          <w:rFonts w:ascii="ITC Avant Garde" w:hAnsi="ITC Avant Garde" w:cs="Arial"/>
        </w:rPr>
        <w:t xml:space="preserve">) la establece esa Comisión en 6.58 cuando en la resolución de octubre del 2010 la estableció en 5.48 </w:t>
      </w:r>
      <w:proofErr w:type="spellStart"/>
      <w:r w:rsidRPr="00D631CA">
        <w:rPr>
          <w:rFonts w:ascii="ITC Avant Garde" w:hAnsi="ITC Avant Garde" w:cs="Arial"/>
        </w:rPr>
        <w:t>Erlangs</w:t>
      </w:r>
      <w:proofErr w:type="spellEnd"/>
      <w:r w:rsidRPr="00D631CA">
        <w:rPr>
          <w:rFonts w:ascii="ITC Avant Garde" w:hAnsi="ITC Avant Garde" w:cs="Arial"/>
        </w:rPr>
        <w:t>. Es importante señalar que no se explica porque el cambio pero esta variable es muy sensible en el modelo.</w:t>
      </w:r>
    </w:p>
    <w:p w14:paraId="57725B25" w14:textId="77777777" w:rsidR="00D631CA" w:rsidRPr="00D631CA" w:rsidRDefault="00382941" w:rsidP="00D631CA">
      <w:pPr>
        <w:tabs>
          <w:tab w:val="left" w:pos="426"/>
        </w:tabs>
        <w:spacing w:before="240"/>
        <w:ind w:left="284"/>
        <w:contextualSpacing/>
        <w:jc w:val="both"/>
        <w:rPr>
          <w:rFonts w:ascii="ITC Avant Garde" w:hAnsi="ITC Avant Garde" w:cs="Arial"/>
        </w:rPr>
      </w:pPr>
      <w:r w:rsidRPr="00D631CA">
        <w:rPr>
          <w:rFonts w:ascii="ITC Avant Garde" w:hAnsi="ITC Avant Garde" w:cs="Arial"/>
        </w:rPr>
        <w:lastRenderedPageBreak/>
        <w:t>La relación de intentos por llamada está en 1.1, cuando la realidad de la Recurrente es de 1.8.</w:t>
      </w:r>
    </w:p>
    <w:p w14:paraId="2996DEFB" w14:textId="77777777" w:rsidR="00D631CA" w:rsidRPr="00D631CA" w:rsidRDefault="00382941" w:rsidP="00D631CA">
      <w:pPr>
        <w:tabs>
          <w:tab w:val="left" w:pos="426"/>
        </w:tabs>
        <w:spacing w:before="240"/>
        <w:ind w:left="284"/>
        <w:jc w:val="both"/>
        <w:rPr>
          <w:rFonts w:ascii="ITC Avant Garde" w:hAnsi="ITC Avant Garde" w:cs="Arial"/>
        </w:rPr>
      </w:pPr>
      <w:r w:rsidRPr="00D631CA">
        <w:rPr>
          <w:rFonts w:ascii="ITC Avant Garde" w:hAnsi="ITC Avant Garde" w:cs="Arial"/>
        </w:rPr>
        <w:t>El tiempo de ocupación efectiva de la red por cada llamada esta subestimado porque no considera los tiempos de espera que transcurren desde la marcación del cliente hasta la contestación de la llamada cuando éstas son completadas, ni los tiempos de espera hasta que se cortan las llamadas no completadas.</w:t>
      </w:r>
    </w:p>
    <w:p w14:paraId="23B25483"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adición a los anteriores vicios, la Resolución Impugnada resulta ilegal, toda vez que la Comisión alimenta el mencionado modelo con valores determinados de manera arbitraria, injustificada y contradictoria.</w:t>
      </w:r>
    </w:p>
    <w:p w14:paraId="1F45DDE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b/>
        </w:rPr>
        <w:t>Numeral II del Primer Agravio. Modelos de Costos Incrementales de Largo Plazo</w:t>
      </w:r>
      <w:r w:rsidRPr="00D631CA">
        <w:rPr>
          <w:rFonts w:ascii="ITC Avant Garde" w:hAnsi="ITC Avant Garde" w:cs="Arial"/>
        </w:rPr>
        <w:t>.</w:t>
      </w:r>
    </w:p>
    <w:p w14:paraId="4C85CC19" w14:textId="0B60E535" w:rsidR="00382941" w:rsidRPr="00D631CA" w:rsidRDefault="00382941" w:rsidP="00D631CA">
      <w:pPr>
        <w:spacing w:before="240"/>
        <w:jc w:val="both"/>
        <w:rPr>
          <w:rFonts w:ascii="ITC Avant Garde" w:hAnsi="ITC Avant Garde" w:cs="Arial"/>
        </w:rPr>
      </w:pPr>
      <w:r w:rsidRPr="00D631CA">
        <w:rPr>
          <w:rFonts w:ascii="ITC Avant Garde" w:hAnsi="ITC Avant Garde" w:cs="Arial"/>
        </w:rPr>
        <w:t>En el numeral II del Primer Agravio la Recurrente señala que de acuerdo con la propia Comisión, el Modelo de Costos Incrementales de Largo Plazo es un mecanismo que permite conocer los costos en los que incurriría una empresa eficiente por la prestación de los servicios de interconexión.</w:t>
      </w:r>
    </w:p>
    <w:p w14:paraId="03F481C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En este punto, conviene precisar que el modelo de costos elaborado por la Comisión se basa en el modelo de costos elaborado por la Secretaría de Comunicaciones y Transportes para resolver diversos desacuerdos de interconexión, el cual tuvo su génesis en dos estudios previos: i) el primero es el análisis del modelo de costos contratado por esa Comisión en el año 2005 a la empresa de consultoría </w:t>
      </w:r>
      <w:proofErr w:type="spellStart"/>
      <w:r w:rsidRPr="00D631CA">
        <w:rPr>
          <w:rFonts w:ascii="ITC Avant Garde" w:hAnsi="ITC Avant Garde" w:cs="Arial"/>
        </w:rPr>
        <w:t>Analysys</w:t>
      </w:r>
      <w:proofErr w:type="spellEnd"/>
      <w:r w:rsidRPr="00D631CA">
        <w:rPr>
          <w:rFonts w:ascii="ITC Avant Garde" w:hAnsi="ITC Avant Garde" w:cs="Arial"/>
        </w:rPr>
        <w:t xml:space="preserve">, al que se le "actualizó" información y se introdujo el concepto de operador "representativo" y ii) el segundo en la metodología desarrollada por </w:t>
      </w:r>
      <w:proofErr w:type="spellStart"/>
      <w:r w:rsidRPr="00D631CA">
        <w:rPr>
          <w:rFonts w:ascii="ITC Avant Garde" w:hAnsi="ITC Avant Garde" w:cs="Arial"/>
        </w:rPr>
        <w:t>Wik</w:t>
      </w:r>
      <w:proofErr w:type="spellEnd"/>
      <w:r w:rsidRPr="00D631CA">
        <w:rPr>
          <w:rFonts w:ascii="ITC Avant Garde" w:hAnsi="ITC Avant Garde" w:cs="Arial"/>
        </w:rPr>
        <w:t xml:space="preserve"> </w:t>
      </w:r>
      <w:proofErr w:type="spellStart"/>
      <w:r w:rsidRPr="00D631CA">
        <w:rPr>
          <w:rFonts w:ascii="ITC Avant Garde" w:hAnsi="ITC Avant Garde" w:cs="Arial"/>
        </w:rPr>
        <w:t>Consult</w:t>
      </w:r>
      <w:proofErr w:type="spellEnd"/>
      <w:r w:rsidRPr="00D631CA">
        <w:rPr>
          <w:rFonts w:ascii="ITC Avant Garde" w:hAnsi="ITC Avant Garde" w:cs="Arial"/>
        </w:rPr>
        <w:t>, lo cual según dicha dependencia genera un método de valuación más transparente, y en el que se incorpora la depreciación económica de la red a través de anualidades ajustadas, tanto por cambios en la demanda de los servicios como en el valor de los activos.</w:t>
      </w:r>
    </w:p>
    <w:p w14:paraId="30B1BC9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Ni el estudio de </w:t>
      </w:r>
      <w:proofErr w:type="spellStart"/>
      <w:r w:rsidRPr="00D631CA">
        <w:rPr>
          <w:rFonts w:ascii="ITC Avant Garde" w:hAnsi="ITC Avant Garde" w:cs="Arial"/>
        </w:rPr>
        <w:t>Analysys</w:t>
      </w:r>
      <w:proofErr w:type="spellEnd"/>
      <w:r w:rsidRPr="00D631CA">
        <w:rPr>
          <w:rFonts w:ascii="ITC Avant Garde" w:hAnsi="ITC Avant Garde" w:cs="Arial"/>
        </w:rPr>
        <w:t xml:space="preserve"> ni el elaborado por </w:t>
      </w:r>
      <w:proofErr w:type="spellStart"/>
      <w:r w:rsidRPr="00D631CA">
        <w:rPr>
          <w:rFonts w:ascii="ITC Avant Garde" w:hAnsi="ITC Avant Garde" w:cs="Arial"/>
        </w:rPr>
        <w:t>Wik</w:t>
      </w:r>
      <w:proofErr w:type="spellEnd"/>
      <w:r w:rsidRPr="00D631CA">
        <w:rPr>
          <w:rFonts w:ascii="ITC Avant Garde" w:hAnsi="ITC Avant Garde" w:cs="Arial"/>
        </w:rPr>
        <w:t xml:space="preserve"> </w:t>
      </w:r>
      <w:proofErr w:type="spellStart"/>
      <w:r w:rsidRPr="00D631CA">
        <w:rPr>
          <w:rFonts w:ascii="ITC Avant Garde" w:hAnsi="ITC Avant Garde" w:cs="Arial"/>
        </w:rPr>
        <w:t>Consult</w:t>
      </w:r>
      <w:proofErr w:type="spellEnd"/>
      <w:r w:rsidRPr="00D631CA">
        <w:rPr>
          <w:rFonts w:ascii="ITC Avant Garde" w:hAnsi="ITC Avant Garde" w:cs="Arial"/>
        </w:rPr>
        <w:t xml:space="preserve"> fueron proporcionados a la Recurrente a fin de que pueda apreciar la veracidad y suficiencia de dicha metodología, limitándose a referenciar la página de Internet de dichas empresas. Esta omisión afecta sustancialmente las defensas de la Recurrente en el desacuerdo de interconexión, por lo que trasciende tal vicio a la Resolución Impugnada por estar la misma fundada en un documento diverso que no le fue entregado a la Recurrente dejándola en completo estado de indefensión. </w:t>
      </w:r>
    </w:p>
    <w:p w14:paraId="6D49A857"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el numeral III del Primer Agravio la Recurrente sostiene que los siguientes puntos:</w:t>
      </w:r>
    </w:p>
    <w:p w14:paraId="57DCCF11" w14:textId="77777777" w:rsidR="00D631CA" w:rsidRPr="00D631CA" w:rsidRDefault="00382941" w:rsidP="00D631CA">
      <w:pPr>
        <w:numPr>
          <w:ilvl w:val="0"/>
          <w:numId w:val="12"/>
        </w:numPr>
        <w:spacing w:before="240"/>
        <w:ind w:left="284" w:hanging="284"/>
        <w:contextualSpacing/>
        <w:jc w:val="both"/>
        <w:rPr>
          <w:rFonts w:ascii="ITC Avant Garde" w:hAnsi="ITC Avant Garde" w:cs="Arial"/>
        </w:rPr>
      </w:pPr>
      <w:r w:rsidRPr="00D631CA">
        <w:rPr>
          <w:rFonts w:ascii="ITC Avant Garde" w:hAnsi="ITC Avant Garde" w:cs="Arial"/>
        </w:rPr>
        <w:lastRenderedPageBreak/>
        <w:t>Señala que una vez hecha la estimación del número de suscriptores, se utilizan una serie de parámetros para estimar las siguientes variables del Modelo a partir de las cuales se estimarán las dimensiones de los distintos elementos de red: i) minutos de salida por suscriptor por mes, es decir la suma de todos los minutos de todas las llamadas originadas por cada suscriptor; ii) minutos de entrada por suscriptor por mes, es decir la suma de todos los minutos de todas las llamadas recibidas por cada suscriptor; iii) porcentaje de minutos locales del total de minutos de salida; iv) porcentaje de las llamadas locales del total de minutos de entrada, y v) el porcentaje de llamadas "</w:t>
      </w:r>
      <w:proofErr w:type="spellStart"/>
      <w:r w:rsidRPr="00D631CA">
        <w:rPr>
          <w:rFonts w:ascii="ITC Avant Garde" w:hAnsi="ITC Avant Garde" w:cs="Arial"/>
        </w:rPr>
        <w:t>intrared</w:t>
      </w:r>
      <w:proofErr w:type="spellEnd"/>
      <w:r w:rsidRPr="00D631CA">
        <w:rPr>
          <w:rFonts w:ascii="ITC Avant Garde" w:hAnsi="ITC Avant Garde" w:cs="Arial"/>
        </w:rPr>
        <w:t>" del total de llamadas de salida. El problema de motivación del modelo y de falta de congruencia interna comienza precisamente en la asignación de valores a estos parámetros. Como justificación de los valores de la Comisión se ofrece una tabla en donde junto al valor asignado se contiene una explicación de su origen, misma que es del todo insuficiente para justificar la veracidad de los mismos e inclusive es contradictoria con otros parámetros empleados en el Modelo de Costos.</w:t>
      </w:r>
    </w:p>
    <w:p w14:paraId="2D53C519" w14:textId="77777777" w:rsidR="00D631CA" w:rsidRPr="00D631CA" w:rsidRDefault="00382941" w:rsidP="00D631CA">
      <w:pPr>
        <w:spacing w:before="240"/>
        <w:ind w:left="284"/>
        <w:jc w:val="both"/>
        <w:rPr>
          <w:rFonts w:ascii="ITC Avant Garde" w:hAnsi="ITC Avant Garde" w:cs="Arial"/>
        </w:rPr>
      </w:pPr>
      <w:r w:rsidRPr="00D631CA">
        <w:rPr>
          <w:rFonts w:ascii="ITC Avant Garde" w:hAnsi="ITC Avant Garde" w:cs="Arial"/>
        </w:rPr>
        <w:t>La Comisión afirma en la página 58 que los minutos de salida y entrada por usuario son estimados con base en "la información de una empresa y se realizan proyecciones de crecimiento", sin embargo, no se presenta en el modelo de costos el texto de dicha información ni de las proyecciones ni se justifica por qué la misma se considera la fuente más confiable para determinar los minutos de salida, máxime que se trata en esencia de calcular los mismos para periodos que ya han transcurrido (1 de enero de 2011 a 31 de diciembre de 2011) y que por lo tanto podrían ser determinados con base en información real (en acatamiento a lo dispuesto por el artículo 68 de la Ley Federal de Telecomunicaciones y el artículo 95 del Reglamento de Telecomunicaciones) en lugar de proyecciones.</w:t>
      </w:r>
    </w:p>
    <w:p w14:paraId="4E54D30E" w14:textId="77777777" w:rsidR="00D631CA" w:rsidRPr="00D631CA" w:rsidRDefault="00382941" w:rsidP="00D631CA">
      <w:pPr>
        <w:spacing w:before="240"/>
        <w:ind w:left="284"/>
        <w:jc w:val="both"/>
        <w:rPr>
          <w:rFonts w:ascii="ITC Avant Garde" w:hAnsi="ITC Avant Garde" w:cs="Arial"/>
        </w:rPr>
      </w:pPr>
      <w:r w:rsidRPr="00D631CA">
        <w:rPr>
          <w:rFonts w:ascii="ITC Avant Garde" w:hAnsi="ITC Avant Garde" w:cs="Arial"/>
        </w:rPr>
        <w:t>Sostiene que existe contradicción entre las fuentes empleadas, es decir, entre las establecidas en el texto y la Tabla 2 de la Resolución Recurrida en la página 62 y la tabla que aparece en la página 77 del Anexo, contradicción interna que viola los principios del artículo 16 de la Constitución, ya que por una parte se afirma que los minutos entrantes y salientes por usuario se obtienen de una proyección basada en la información de un operador y por la otra se establece que esta misma información se obtiene a partir de la información reportada por Merrill Lynch.</w:t>
      </w:r>
    </w:p>
    <w:p w14:paraId="377D4428" w14:textId="77777777" w:rsidR="00D631CA" w:rsidRPr="00D631CA" w:rsidRDefault="00382941" w:rsidP="00D631CA">
      <w:pPr>
        <w:spacing w:before="240"/>
        <w:ind w:left="284"/>
        <w:jc w:val="both"/>
        <w:rPr>
          <w:rFonts w:ascii="ITC Avant Garde" w:hAnsi="ITC Avant Garde" w:cs="Arial"/>
        </w:rPr>
      </w:pPr>
      <w:r w:rsidRPr="00D631CA">
        <w:rPr>
          <w:rFonts w:ascii="ITC Avant Garde" w:hAnsi="ITC Avant Garde" w:cs="Arial"/>
        </w:rPr>
        <w:t>La Resolución Recurrida y el modelo de costos utilizado señalan los minutos de salida y entrada se obtuvieron con base en datos históricos. Los datos sobre minutos que tiene Merrill Lynch así como la autoridad son datos de minutos facturados y no reales. Ni la Resolución Recurrida ni el modelo explican cómo cambian los minutos facturados a minutos reales; no explican ni el proceso ni los factores de ajuste, ni cómo llegaron a ellos.</w:t>
      </w:r>
    </w:p>
    <w:p w14:paraId="0672201A" w14:textId="77777777" w:rsidR="00D631CA" w:rsidRPr="00D631CA" w:rsidRDefault="00382941" w:rsidP="00D631CA">
      <w:pPr>
        <w:spacing w:before="240"/>
        <w:ind w:left="284"/>
        <w:jc w:val="both"/>
        <w:rPr>
          <w:rFonts w:ascii="ITC Avant Garde" w:hAnsi="ITC Avant Garde" w:cs="Arial"/>
        </w:rPr>
      </w:pPr>
      <w:r w:rsidRPr="00D631CA">
        <w:rPr>
          <w:rFonts w:ascii="ITC Avant Garde" w:hAnsi="ITC Avant Garde" w:cs="Arial"/>
        </w:rPr>
        <w:lastRenderedPageBreak/>
        <w:t>Concluye que existe la necesidad por parte de la Comisión de determinar las tarifas de interconexión tomando en consideración información real y actualizada, a efecto de conseguir fijar la tarifa de interconexión adecuada a cada caso concreto.</w:t>
      </w:r>
    </w:p>
    <w:p w14:paraId="15C3A146" w14:textId="77777777" w:rsidR="00D631CA" w:rsidRPr="00D631CA" w:rsidRDefault="00382941" w:rsidP="00D631CA">
      <w:pPr>
        <w:numPr>
          <w:ilvl w:val="0"/>
          <w:numId w:val="12"/>
        </w:numPr>
        <w:spacing w:before="240"/>
        <w:ind w:left="284" w:hanging="284"/>
        <w:contextualSpacing/>
        <w:jc w:val="both"/>
        <w:rPr>
          <w:rFonts w:ascii="ITC Avant Garde" w:hAnsi="ITC Avant Garde" w:cs="Arial"/>
        </w:rPr>
      </w:pPr>
      <w:r w:rsidRPr="00D631CA">
        <w:rPr>
          <w:rFonts w:ascii="ITC Avant Garde" w:hAnsi="ITC Avant Garde" w:cs="Arial"/>
        </w:rPr>
        <w:t>Los minutos de entrada son también producto de una estimación de Merrill Lynch, pero aquí añade una relación entre minutos de salida por minutos de entrada del 93%. Al igual que en el caso anterior, no es claro cuáles son los documentos de Merrill Lynch a los que alude la Resolución Recurrida ni la fuente para estimar la mencionada proporción de 93%. Más aún, del análisis de la resolución y del modelo de costos publicado por la Comisión no se desprende que este porcentaje haya sido efectivamente considerado en la determinación de los minutos por usuario.</w:t>
      </w:r>
    </w:p>
    <w:p w14:paraId="09EA0FA9" w14:textId="77777777" w:rsidR="00D631CA" w:rsidRPr="00D631CA" w:rsidRDefault="00B830AD" w:rsidP="00D631CA">
      <w:pPr>
        <w:spacing w:before="240"/>
        <w:ind w:left="284"/>
        <w:jc w:val="both"/>
        <w:rPr>
          <w:rFonts w:ascii="ITC Avant Garde" w:hAnsi="ITC Avant Garde" w:cs="Arial"/>
        </w:rPr>
      </w:pPr>
      <w:r w:rsidRPr="00D631CA">
        <w:rPr>
          <w:rFonts w:ascii="ITC Avant Garde" w:hAnsi="ITC Avant Garde" w:cs="Arial"/>
        </w:rPr>
        <w:t>Invoca el párrafo t</w:t>
      </w:r>
      <w:r w:rsidR="00382941" w:rsidRPr="00D631CA">
        <w:rPr>
          <w:rFonts w:ascii="ITC Avant Garde" w:hAnsi="ITC Avant Garde" w:cs="Arial"/>
        </w:rPr>
        <w:t>ercero del Anexo 2 (Resolutivos) de los Lineamientos publicados por la Comisión el 12 de abril de 2012, sin embargo, del análisis efectuado al modelo de costos como a sus anexos técnicos la Recurrente no encuentra evidencia de que se haya aplicado efectivamente un modelo “</w:t>
      </w:r>
      <w:proofErr w:type="spellStart"/>
      <w:r w:rsidR="00382941" w:rsidRPr="00D631CA">
        <w:rPr>
          <w:rFonts w:ascii="ITC Avant Garde" w:hAnsi="ITC Avant Garde" w:cs="Arial"/>
        </w:rPr>
        <w:t>Scorched</w:t>
      </w:r>
      <w:proofErr w:type="spellEnd"/>
      <w:r w:rsidR="00382941" w:rsidRPr="00D631CA">
        <w:rPr>
          <w:rFonts w:ascii="ITC Avant Garde" w:hAnsi="ITC Avant Garde" w:cs="Arial"/>
        </w:rPr>
        <w:t xml:space="preserve"> </w:t>
      </w:r>
      <w:proofErr w:type="spellStart"/>
      <w:r w:rsidR="00382941" w:rsidRPr="00D631CA">
        <w:rPr>
          <w:rFonts w:ascii="ITC Avant Garde" w:hAnsi="ITC Avant Garde" w:cs="Arial"/>
        </w:rPr>
        <w:t>Earth</w:t>
      </w:r>
      <w:proofErr w:type="spellEnd"/>
      <w:r w:rsidR="00382941" w:rsidRPr="00D631CA">
        <w:rPr>
          <w:rFonts w:ascii="ITC Avant Garde" w:hAnsi="ITC Avant Garde" w:cs="Arial"/>
        </w:rPr>
        <w:t xml:space="preserve">”, ni que se haya utilizado información sobre la topografía mexicana y la distribución poblacional que se observa en este mercado. </w:t>
      </w:r>
    </w:p>
    <w:p w14:paraId="63AFB233" w14:textId="77777777" w:rsidR="00D631CA" w:rsidRPr="00D631CA" w:rsidRDefault="00382941" w:rsidP="00D631CA">
      <w:pPr>
        <w:numPr>
          <w:ilvl w:val="0"/>
          <w:numId w:val="12"/>
        </w:numPr>
        <w:spacing w:before="240"/>
        <w:ind w:left="284" w:hanging="284"/>
        <w:contextualSpacing/>
        <w:jc w:val="both"/>
        <w:rPr>
          <w:rFonts w:ascii="ITC Avant Garde" w:hAnsi="ITC Avant Garde" w:cs="Arial"/>
          <w:b/>
        </w:rPr>
      </w:pPr>
      <w:r w:rsidRPr="00D631CA">
        <w:rPr>
          <w:rFonts w:ascii="ITC Avant Garde" w:hAnsi="ITC Avant Garde" w:cs="Arial"/>
        </w:rPr>
        <w:t>Como fuente del porcentaje de llamadas locales se ofrece una estimación de mercado de la Organización para la Cooperación y el Desarrollo Económico ("OCDE"); misma que en ningún momento es presentada a la Recurrente para efectos de confirmar su veracidad o suficiencia para efectos de medir las llamadas locales que ya ocurrieron durante el año de 2011</w:t>
      </w:r>
      <w:r w:rsidRPr="00D631CA">
        <w:rPr>
          <w:rFonts w:ascii="ITC Avant Garde" w:hAnsi="ITC Avant Garde" w:cs="Arial"/>
          <w:b/>
        </w:rPr>
        <w:t xml:space="preserve">. </w:t>
      </w:r>
    </w:p>
    <w:p w14:paraId="480A53E3" w14:textId="77777777" w:rsidR="00D631CA" w:rsidRPr="00D631CA" w:rsidRDefault="00382941" w:rsidP="00D631CA">
      <w:pPr>
        <w:spacing w:before="240"/>
        <w:ind w:left="284"/>
        <w:contextualSpacing/>
        <w:jc w:val="both"/>
        <w:rPr>
          <w:rFonts w:ascii="ITC Avant Garde" w:hAnsi="ITC Avant Garde" w:cs="Arial"/>
        </w:rPr>
      </w:pPr>
      <w:r w:rsidRPr="00D631CA">
        <w:rPr>
          <w:rFonts w:ascii="ITC Avant Garde" w:hAnsi="ITC Avant Garde" w:cs="Arial"/>
        </w:rPr>
        <w:t>El Modelo de Costos también requiere de una estimación de llamadas "</w:t>
      </w:r>
      <w:proofErr w:type="spellStart"/>
      <w:r w:rsidRPr="00D631CA">
        <w:rPr>
          <w:rFonts w:ascii="ITC Avant Garde" w:hAnsi="ITC Avant Garde" w:cs="Arial"/>
        </w:rPr>
        <w:t>intrared</w:t>
      </w:r>
      <w:proofErr w:type="spellEnd"/>
      <w:r w:rsidRPr="00D631CA">
        <w:rPr>
          <w:rFonts w:ascii="ITC Avant Garde" w:hAnsi="ITC Avant Garde" w:cs="Arial"/>
        </w:rPr>
        <w:t>" (llamadas de un usuario de la Recurrente a otro usuario del mismo grupo). Ésta estimación también encuentra fundamento en un supuesto de mercado de la OCDE, cuyo documento origen no fue proporcionado a la Recurrente, por lo que queda en total estado de indefensión. Adicionalmente, la proporción estimada (47% para 2011) no corresponde al porcentaje observado para usuarios de la Recurrente ni se ofrece una explicación de la idoneidad de ese supuesto para incorporarlo en el modelo de costos desarrollado por la propia Comisión.</w:t>
      </w:r>
    </w:p>
    <w:p w14:paraId="0B39213D" w14:textId="77777777" w:rsidR="00D631CA" w:rsidRPr="00D631CA" w:rsidRDefault="00382941" w:rsidP="00D631CA">
      <w:pPr>
        <w:numPr>
          <w:ilvl w:val="0"/>
          <w:numId w:val="12"/>
        </w:numPr>
        <w:spacing w:before="240"/>
        <w:ind w:left="284" w:hanging="284"/>
        <w:contextualSpacing/>
        <w:jc w:val="both"/>
        <w:rPr>
          <w:rFonts w:ascii="ITC Avant Garde" w:hAnsi="ITC Avant Garde" w:cs="Arial"/>
        </w:rPr>
      </w:pPr>
      <w:r w:rsidRPr="00D631CA">
        <w:rPr>
          <w:rFonts w:ascii="ITC Avant Garde" w:hAnsi="ITC Avant Garde" w:cs="Arial"/>
        </w:rPr>
        <w:t>Un supuesto adicional es la estimación de la duración promedio por llamada. En este caso, el modelo de costos de la Comisión en la Resolución Recurrida considera tres diferentes tipos de llamada dentro de las que se incluye de teléfono fijo a móvil y se utiliza una vez más un supuesto de mercado de la OCDE (de nivel bajo) para asignar una duración promedio de 1.5 minutos por llamada. El documento en el que se contiene dicho supuesto no fue proporcionado a la Recurrente y la Comisión en el modelo de costos no expuso las razones por las cuáles este supuesto encuadra en la realidad del mercado mexicano.</w:t>
      </w:r>
    </w:p>
    <w:p w14:paraId="4B16CFD2" w14:textId="77777777" w:rsidR="00D631CA" w:rsidRPr="00D631CA" w:rsidRDefault="00382941" w:rsidP="00D631CA">
      <w:pPr>
        <w:spacing w:before="240"/>
        <w:ind w:left="284"/>
        <w:jc w:val="both"/>
        <w:rPr>
          <w:rFonts w:ascii="ITC Avant Garde" w:hAnsi="ITC Avant Garde" w:cs="Arial"/>
        </w:rPr>
      </w:pPr>
      <w:r w:rsidRPr="00D631CA">
        <w:rPr>
          <w:rFonts w:ascii="ITC Avant Garde" w:hAnsi="ITC Avant Garde" w:cs="Arial"/>
        </w:rPr>
        <w:t xml:space="preserve">Finalmente, en la elaboración del Modelo de Costos la Comisión nunca emitió memoriales de cálculo para las estimaciones de los números de llamadas por año. Todo lo anterior </w:t>
      </w:r>
      <w:r w:rsidRPr="00D631CA">
        <w:rPr>
          <w:rFonts w:ascii="ITC Avant Garde" w:hAnsi="ITC Avant Garde" w:cs="Arial"/>
        </w:rPr>
        <w:lastRenderedPageBreak/>
        <w:t xml:space="preserve">resulta en una violación a los principios de adecuada motivación y congruencia interna de la Resolución Recurrida que resulta violatoria del artículo 16 de la Constitución y que además deja a la Recurrente en estado de indefensión. </w:t>
      </w:r>
    </w:p>
    <w:p w14:paraId="49866682" w14:textId="77777777" w:rsidR="00D631CA" w:rsidRPr="00D631CA" w:rsidRDefault="00382941" w:rsidP="00D631CA">
      <w:pPr>
        <w:numPr>
          <w:ilvl w:val="0"/>
          <w:numId w:val="12"/>
        </w:numPr>
        <w:spacing w:before="240"/>
        <w:ind w:left="284" w:hanging="284"/>
        <w:contextualSpacing/>
        <w:jc w:val="both"/>
        <w:rPr>
          <w:rFonts w:ascii="ITC Avant Garde" w:hAnsi="ITC Avant Garde" w:cs="Arial"/>
        </w:rPr>
      </w:pPr>
      <w:r w:rsidRPr="00D631CA">
        <w:rPr>
          <w:rFonts w:ascii="ITC Avant Garde" w:hAnsi="ITC Avant Garde" w:cs="Arial"/>
        </w:rPr>
        <w:t xml:space="preserve">El Modelo de Costos nuevamente modifica el supuesto del "operador eficiente" o "representativo" y lo convierte en un operador de tamaño "medio". El empleo de un "operador de tamaño medio" es el fundamento para excluir del Modelo de Costos a las zonas rurales, a pesar de que las mismas representarían el 69.03% del área geográfica del país en términos de la propia Resolución Recurrida. Más aún, con base en la información censal del Conteo 2005 de INEGI, que la Comisión utiliza como fuente en la Resolución Recurrida, la población urbana representa sólo el 76% de la población total, por lo que para alcanzar una cobertura de señal para el 90.55% que supone la Comisión se requiere necesariamente cubrir otro 14.5 % de la población total y que vive en zonas rurales; es decir se requiere dar cobertura de señal a cerca del 60% de la población rural. Esta falta de congruencia en las características del operador al interior de la Resolución Recurrida resulta una vez más en una violación al principio de adecuada motivación que deben tener todos los actos de autoridad. </w:t>
      </w:r>
    </w:p>
    <w:p w14:paraId="4F2C6143" w14:textId="77777777" w:rsidR="00D631CA" w:rsidRPr="00D631CA" w:rsidRDefault="00382941" w:rsidP="00D631CA">
      <w:pPr>
        <w:spacing w:before="240"/>
        <w:ind w:left="284"/>
        <w:jc w:val="both"/>
        <w:rPr>
          <w:rFonts w:ascii="ITC Avant Garde" w:hAnsi="ITC Avant Garde" w:cs="Arial"/>
        </w:rPr>
      </w:pPr>
      <w:r w:rsidRPr="00D631CA">
        <w:rPr>
          <w:rFonts w:ascii="ITC Avant Garde" w:hAnsi="ITC Avant Garde" w:cs="Arial"/>
        </w:rPr>
        <w:t>La Resolución Recurrida en ningún momento presenta las fuentes o fundamentos de la Comisión para determinar: i) si los elementos mencionados constituyen la totalidad de los elementos de una red de telefonía móvil, y ii) si los elementos seleccionados son los únicos necesarios para prestar los servicios de interconexión, y iii) que los costos de interconexión y adquisición de enlaces dedicados y de Larga Distancia son los mismos para Telcel que para los demás operadores, cuando es público en el sector que Telmex ha permitido a Telcel llevar a cabo toda la interconexión nacional en un número de puntos sustancialmente inferior a los que tuvieron que construir los demás operadores con vocación nacional y cuando la Comisión desconoce por completo los cargos que Telmex hace a Telcel por el uso de infraestructura ya que Telmex se ha negado a presentar contabilidad separada con base en estándares internacionales y se limita a presentar información tan general que resulta imposible para la Comisión confirmar a partir de ella que Telmex ha dado trato igualitario a Telcel que al resto de los operadores. Las mencionadas omisiones por parte de la Comisión en el modelo de costos constituye en sí misma una ausencia de motivación conforme al artículo 16 de la Constitución puesto que ésta omite el indicar cuales fueron las razones o motivos que tuvo para estimar el número y características de los elementos de red.</w:t>
      </w:r>
    </w:p>
    <w:p w14:paraId="1E161A3C" w14:textId="44175BDF" w:rsidR="00382941" w:rsidRPr="00D631CA" w:rsidRDefault="00382941" w:rsidP="00D631CA">
      <w:pPr>
        <w:spacing w:before="240"/>
        <w:ind w:left="284"/>
        <w:jc w:val="both"/>
        <w:rPr>
          <w:rFonts w:ascii="ITC Avant Garde" w:hAnsi="ITC Avant Garde" w:cs="Arial"/>
        </w:rPr>
      </w:pPr>
      <w:r w:rsidRPr="00D631CA">
        <w:rPr>
          <w:rFonts w:ascii="ITC Avant Garde" w:hAnsi="ITC Avant Garde" w:cs="Arial"/>
        </w:rPr>
        <w:t xml:space="preserve">En resumen, todo el Modelo de Costos elaborado por la Comisión se encuentra sustentado en la existencia de una empresa que no existe en la realidad. Siendo que lo que tenía que hacer la autoridad al elaborar el Modelo de Costos era calcular las tarifas de interconexión entre la </w:t>
      </w:r>
      <w:r w:rsidR="00C67299" w:rsidRPr="00D631CA">
        <w:rPr>
          <w:rFonts w:ascii="ITC Avant Garde" w:hAnsi="ITC Avant Garde" w:cs="Arial"/>
        </w:rPr>
        <w:t>tercero perjudicada</w:t>
      </w:r>
      <w:r w:rsidRPr="00D631CA">
        <w:rPr>
          <w:rFonts w:ascii="ITC Avant Garde" w:hAnsi="ITC Avant Garde" w:cs="Arial"/>
        </w:rPr>
        <w:t xml:space="preserve"> y la Recurrente, es así que, carece de lógica el emplear los </w:t>
      </w:r>
      <w:r w:rsidRPr="00D631CA">
        <w:rPr>
          <w:rFonts w:ascii="ITC Avant Garde" w:hAnsi="ITC Avant Garde" w:cs="Arial"/>
        </w:rPr>
        <w:lastRenderedPageBreak/>
        <w:t>supuestos costos en los que incurre dicho operador inexistente para fijar estas tarifas de interconexión. Adicionalmente, la Comisión en la elaboración del Modelo de Costos proporciona dos definiciones distintas de lo que es un operador "eficiente" o un operador "representativo", lo cual vicia al Modelo con falta de congruencia desde el punto de vista interno y, por lo tanto, es violatoria de los principios de debida fundamentación y motivación consagrados en el artículo 16 de la Constitución, mismos que son adoptados en la legislación secundaria por el artículo 3 de la Ley Federal de Procedimiento Administrativo.</w:t>
      </w:r>
    </w:p>
    <w:p w14:paraId="266C5F78" w14:textId="77777777" w:rsidR="00D631CA" w:rsidRPr="00D631CA" w:rsidRDefault="00382941" w:rsidP="00D631CA">
      <w:pPr>
        <w:spacing w:before="240"/>
        <w:ind w:left="284"/>
        <w:jc w:val="both"/>
        <w:rPr>
          <w:rFonts w:ascii="ITC Avant Garde" w:hAnsi="ITC Avant Garde" w:cs="Arial"/>
        </w:rPr>
      </w:pPr>
      <w:r w:rsidRPr="00D631CA">
        <w:rPr>
          <w:rFonts w:ascii="ITC Avant Garde" w:hAnsi="ITC Avant Garde" w:cs="Arial"/>
        </w:rPr>
        <w:t>El Modelo de Costos no proporciona razones o motivos para emplear los valores que utiliza, cita fuentes de documentos que nunca le fueron proporcionados a la Recurrente, incurre en contradicciones o emplea valores que no encuentran explicación alguna en el propio Modelo de Costos o la Resolución Recurrida, para tal efecto considera lo siguiente:</w:t>
      </w:r>
    </w:p>
    <w:p w14:paraId="13F810BA" w14:textId="77777777" w:rsidR="00D631CA" w:rsidRPr="00D631CA" w:rsidRDefault="00382941" w:rsidP="00D631CA">
      <w:pPr>
        <w:numPr>
          <w:ilvl w:val="0"/>
          <w:numId w:val="12"/>
        </w:numPr>
        <w:spacing w:before="240"/>
        <w:ind w:left="284" w:hanging="284"/>
        <w:contextualSpacing/>
        <w:jc w:val="both"/>
        <w:rPr>
          <w:rFonts w:ascii="ITC Avant Garde" w:hAnsi="ITC Avant Garde" w:cs="Arial"/>
        </w:rPr>
      </w:pPr>
      <w:r w:rsidRPr="00D631CA">
        <w:rPr>
          <w:rFonts w:ascii="ITC Avant Garde" w:hAnsi="ITC Avant Garde" w:cs="Arial"/>
        </w:rPr>
        <w:t>El primer paso del Modelo de Costos utilizado en la Resolución Recurrida es distinguir entre dos tipos de costos, a saber; i) los costos operativos (OPEX), y ii) los costos de capital (CAPEX). En el Modelo de Costos nunca se presenta el desglose claro y detallado de cuáles son los elementos que integran los costos operativos, es más, arbitrariamente se asigna a los costos operativos un valor del 15% de la inversión total efectuada por la Recurrente sin siquiera tomar en consideración la información que periódicamente se ha presentado a la Comisión por la Recurrente respecto de sus diversas inversiones en México.</w:t>
      </w:r>
    </w:p>
    <w:p w14:paraId="430CB42F" w14:textId="77777777" w:rsidR="00D631CA" w:rsidRPr="00D631CA" w:rsidRDefault="00382941" w:rsidP="00D631CA">
      <w:pPr>
        <w:spacing w:before="240"/>
        <w:ind w:left="284"/>
        <w:jc w:val="both"/>
        <w:rPr>
          <w:rFonts w:ascii="ITC Avant Garde" w:hAnsi="ITC Avant Garde" w:cs="Arial"/>
        </w:rPr>
      </w:pPr>
      <w:r w:rsidRPr="00D631CA">
        <w:rPr>
          <w:rFonts w:ascii="ITC Avant Garde" w:hAnsi="ITC Avant Garde" w:cs="Arial"/>
        </w:rPr>
        <w:t>El modelo de costos no considera como parte del costo de interconexión un conjunto de activos o servicios que resultan necesarios para la provisión de servicios de interconexión, tal como facturación, conciliación/liquidación, etc.</w:t>
      </w:r>
    </w:p>
    <w:p w14:paraId="356A1E57" w14:textId="77777777" w:rsidR="00D631CA" w:rsidRPr="00D631CA" w:rsidRDefault="00382941" w:rsidP="00D631CA">
      <w:pPr>
        <w:numPr>
          <w:ilvl w:val="0"/>
          <w:numId w:val="12"/>
        </w:numPr>
        <w:spacing w:before="240"/>
        <w:ind w:left="284" w:hanging="284"/>
        <w:contextualSpacing/>
        <w:jc w:val="both"/>
        <w:rPr>
          <w:rFonts w:ascii="ITC Avant Garde" w:hAnsi="ITC Avant Garde" w:cs="Arial"/>
        </w:rPr>
      </w:pPr>
      <w:r w:rsidRPr="00D631CA">
        <w:rPr>
          <w:rFonts w:ascii="ITC Avant Garde" w:hAnsi="ITC Avant Garde" w:cs="Arial"/>
        </w:rPr>
        <w:t xml:space="preserve">En el caso del modelo en el que se ha basado la estimación del cargo para el año 2011, la Comisión ha considerado únicamente el costo de las redes 2G. </w:t>
      </w:r>
    </w:p>
    <w:p w14:paraId="71C0D959" w14:textId="77777777" w:rsidR="00D631CA" w:rsidRPr="00D631CA" w:rsidRDefault="00382941" w:rsidP="00D631CA">
      <w:pPr>
        <w:spacing w:before="240"/>
        <w:ind w:left="284"/>
        <w:jc w:val="both"/>
        <w:rPr>
          <w:rFonts w:ascii="ITC Avant Garde" w:hAnsi="ITC Avant Garde" w:cs="Arial"/>
        </w:rPr>
      </w:pPr>
      <w:r w:rsidRPr="00D631CA">
        <w:rPr>
          <w:rFonts w:ascii="ITC Avant Garde" w:hAnsi="ITC Avant Garde" w:cs="Arial"/>
        </w:rPr>
        <w:t xml:space="preserve">Esta aproximación subestima el nivel de inversiones que efectivamente han venido desplegando los operadores en el mercado mexicano. La Recurrente refiere que en Perú el modelo recientemente aprobado por </w:t>
      </w:r>
      <w:proofErr w:type="spellStart"/>
      <w:r w:rsidRPr="00D631CA">
        <w:rPr>
          <w:rFonts w:ascii="ITC Avant Garde" w:hAnsi="ITC Avant Garde" w:cs="Arial"/>
        </w:rPr>
        <w:t>Osiptel</w:t>
      </w:r>
      <w:proofErr w:type="spellEnd"/>
      <w:r w:rsidRPr="00D631CA">
        <w:rPr>
          <w:rFonts w:ascii="ITC Avant Garde" w:hAnsi="ITC Avant Garde" w:cs="Arial"/>
        </w:rPr>
        <w:t xml:space="preserve"> ha considerado como parte del costo de interconexión, entre otros componentes no considerados por la Comisión: i) las inversiones relacionadas con la introducción y migración a las tecnología de tercera generación; ii) la existencia de </w:t>
      </w:r>
      <w:proofErr w:type="spellStart"/>
      <w:r w:rsidRPr="00D631CA">
        <w:rPr>
          <w:rFonts w:ascii="ITC Avant Garde" w:hAnsi="ITC Avant Garde" w:cs="Arial"/>
        </w:rPr>
        <w:t>HLRs</w:t>
      </w:r>
      <w:proofErr w:type="spellEnd"/>
      <w:r w:rsidRPr="00D631CA">
        <w:rPr>
          <w:rFonts w:ascii="ITC Avant Garde" w:hAnsi="ITC Avant Garde" w:cs="Arial"/>
        </w:rPr>
        <w:t xml:space="preserve"> redundantes; iii) la red de señalización; y iv) el "software" de optimización para tecnologías "2G" con un valor superior a los seis millones de dólares. De manera ilustrativa se exhibe adjunto al presente los informes a la Gerencia General números 478-GPR/2010 de 12 de agosto de 2010 y Número 168-GPR/2010 de 26 de marzo de 2010 elaborados por OSIPTEL, documentos a los que la Recurrente no le otorga mayor alcance ni consiente cuestiones diversas a los incisos arriba enunciados.</w:t>
      </w:r>
    </w:p>
    <w:p w14:paraId="71B493EE" w14:textId="77777777" w:rsidR="00D631CA" w:rsidRPr="00D631CA" w:rsidRDefault="00382941" w:rsidP="00D631CA">
      <w:pPr>
        <w:numPr>
          <w:ilvl w:val="0"/>
          <w:numId w:val="12"/>
        </w:numPr>
        <w:spacing w:before="240"/>
        <w:ind w:left="284" w:hanging="284"/>
        <w:contextualSpacing/>
        <w:jc w:val="both"/>
        <w:rPr>
          <w:rFonts w:ascii="ITC Avant Garde" w:hAnsi="ITC Avant Garde" w:cs="Arial"/>
        </w:rPr>
      </w:pPr>
      <w:r w:rsidRPr="00D631CA">
        <w:rPr>
          <w:rFonts w:ascii="ITC Avant Garde" w:hAnsi="ITC Avant Garde" w:cs="Arial"/>
        </w:rPr>
        <w:lastRenderedPageBreak/>
        <w:t>Una de las variables más importantes para efectos de determinar el costo en el que incurre la Recurrente en la prestación de los servicios de interconexión es, naturalmente, el valor del espectro radioeléctrico que forma parte de la red pública de telecomunicaciones a través del cual se prestan los servicios de interconexión. El espectro radioeléctrico es el espacio que permite la propagación de ondas electromagnéticas en distintas bandas de frecuencia, es decir, es el medio por el que viajan las ondas que permiten la comunicación a los usuarios de teléfonos móviles, en esta tesitura, el espectro radioeléctrico es parte de los elementos concesionados por el Gobierno Federal a una empresa de telefonía móvil.</w:t>
      </w:r>
    </w:p>
    <w:p w14:paraId="790B1C54" w14:textId="77777777" w:rsidR="00D631CA" w:rsidRPr="00D631CA" w:rsidRDefault="00382941" w:rsidP="00D631CA">
      <w:pPr>
        <w:spacing w:before="240"/>
        <w:ind w:left="284"/>
        <w:jc w:val="both"/>
        <w:rPr>
          <w:rFonts w:ascii="ITC Avant Garde" w:hAnsi="ITC Avant Garde" w:cs="Arial"/>
        </w:rPr>
      </w:pPr>
      <w:r w:rsidRPr="00D631CA">
        <w:rPr>
          <w:rFonts w:ascii="ITC Avant Garde" w:hAnsi="ITC Avant Garde" w:cs="Arial"/>
        </w:rPr>
        <w:t xml:space="preserve">Ahora bien, la Comisión sin tomar en consideración ningún otro dato, toma por valor de referencia de cada MHz. en las bandas de frecuencia de 800 MHz y de 1.9 GHz con la deficiente fundamentación y motivación de establecer que se calculó el valor del espectro a partir de las licitaciones 20 (respecto a la Banda de Espectro Radioeléctrico 1850-1910/1930-1990 </w:t>
      </w:r>
      <w:proofErr w:type="spellStart"/>
      <w:r w:rsidRPr="00D631CA">
        <w:rPr>
          <w:rFonts w:ascii="ITC Avant Garde" w:hAnsi="ITC Avant Garde" w:cs="Arial"/>
        </w:rPr>
        <w:t>Mhz</w:t>
      </w:r>
      <w:proofErr w:type="spellEnd"/>
      <w:r w:rsidRPr="00D631CA">
        <w:rPr>
          <w:rFonts w:ascii="ITC Avant Garde" w:hAnsi="ITC Avant Garde" w:cs="Arial"/>
        </w:rPr>
        <w:t xml:space="preserve">) y 21 (respecto a la Banda de Espectro Radioeléctrico 1710- 1770/2110-2170 </w:t>
      </w:r>
      <w:proofErr w:type="spellStart"/>
      <w:r w:rsidRPr="00D631CA">
        <w:rPr>
          <w:rFonts w:ascii="ITC Avant Garde" w:hAnsi="ITC Avant Garde" w:cs="Arial"/>
        </w:rPr>
        <w:t>Mhz</w:t>
      </w:r>
      <w:proofErr w:type="spellEnd"/>
      <w:r w:rsidRPr="00D631CA">
        <w:rPr>
          <w:rFonts w:ascii="ITC Avant Garde" w:hAnsi="ITC Avant Garde" w:cs="Arial"/>
        </w:rPr>
        <w:t>), subasta publicada en el Diario Oficial de la Federación el 23 de noviembre de 2009 mismas que fueron adjudicadas a un Grupo encabezado por Inversiones Nextel, S.A. de C.V., así como "en las valoraciones que realizaron las bandas de frecuencias en las distintas licitaciones.</w:t>
      </w:r>
    </w:p>
    <w:p w14:paraId="5E0C21F8" w14:textId="77777777" w:rsidR="00D631CA" w:rsidRPr="00D631CA" w:rsidRDefault="00382941" w:rsidP="00D631CA">
      <w:pPr>
        <w:spacing w:before="240"/>
        <w:ind w:left="284"/>
        <w:jc w:val="both"/>
        <w:rPr>
          <w:rFonts w:ascii="ITC Avant Garde" w:hAnsi="ITC Avant Garde" w:cs="Arial"/>
        </w:rPr>
      </w:pPr>
      <w:r w:rsidRPr="00D631CA">
        <w:rPr>
          <w:rFonts w:ascii="ITC Avant Garde" w:hAnsi="ITC Avant Garde" w:cs="Arial"/>
        </w:rPr>
        <w:t>Lo anterior, aún y cuando no es posible asignar un mismo valor a un MHz en la banda de 800 MHz que a uno en la banda de 1.9 GHz (los MHz en la banda de 800 MHz tienen más valor pues sus propiedades físicas permiten una mayor y mejor propagación de las señales). Más aún, la Recurrente se encuentra en total estado de indefensión, puesto que la Comisión decide considerar arbitrariamente una tenencia de espectro de 42.5 MHz por operador, cuando la tenencia promedio de espectro es de 59 MHz por operador y no ofrece explicación alguna al respecto no le son proporcionados los contratos celebrados entre dichas empresas y con base en el cuál se le asigna un valor a uno de los activos más importantes de la Recurrente como lo es el espectro radioeléctrico. Esta determinación del valor del espectro radioeléctrico es violatoria de los principios de debida fundamentación y motivación por no tomar en consideración las contraprestaciones y derechos que la Recurrente ha pagado al Gobierno Federal por el espectro radioeléctrico que le fue concesionado.</w:t>
      </w:r>
    </w:p>
    <w:p w14:paraId="5796159E" w14:textId="77777777" w:rsidR="00D631CA" w:rsidRPr="00D631CA" w:rsidRDefault="00382941" w:rsidP="00D631CA">
      <w:pPr>
        <w:spacing w:before="240"/>
        <w:ind w:left="284"/>
        <w:jc w:val="both"/>
        <w:rPr>
          <w:rFonts w:ascii="ITC Avant Garde" w:hAnsi="ITC Avant Garde" w:cs="Arial"/>
        </w:rPr>
      </w:pPr>
      <w:r w:rsidRPr="00D631CA">
        <w:rPr>
          <w:rFonts w:ascii="ITC Avant Garde" w:hAnsi="ITC Avant Garde" w:cs="Arial"/>
        </w:rPr>
        <w:t xml:space="preserve">Por lo demás, tomando en cuenta que el valor desembolsado en la última licitación ha sido del orden de los US $0.07 x </w:t>
      </w:r>
      <w:proofErr w:type="spellStart"/>
      <w:r w:rsidRPr="00D631CA">
        <w:rPr>
          <w:rFonts w:ascii="ITC Avant Garde" w:hAnsi="ITC Avant Garde" w:cs="Arial"/>
        </w:rPr>
        <w:t>Mhz</w:t>
      </w:r>
      <w:proofErr w:type="spellEnd"/>
      <w:r w:rsidRPr="00D631CA">
        <w:rPr>
          <w:rFonts w:ascii="ITC Avant Garde" w:hAnsi="ITC Avant Garde" w:cs="Arial"/>
        </w:rPr>
        <w:t xml:space="preserve"> x </w:t>
      </w:r>
      <w:proofErr w:type="spellStart"/>
      <w:r w:rsidRPr="00D631CA">
        <w:rPr>
          <w:rFonts w:ascii="ITC Avant Garde" w:hAnsi="ITC Avant Garde" w:cs="Arial"/>
        </w:rPr>
        <w:t>Pob</w:t>
      </w:r>
      <w:proofErr w:type="spellEnd"/>
      <w:r w:rsidRPr="00D631CA">
        <w:rPr>
          <w:rFonts w:ascii="ITC Avant Garde" w:hAnsi="ITC Avant Garde" w:cs="Arial"/>
        </w:rPr>
        <w:t>, la valorización del espectro en el modelo debería incrementarse de US$ 355 MM a US$ 450 MM.</w:t>
      </w:r>
    </w:p>
    <w:p w14:paraId="24D5AEA1" w14:textId="77777777" w:rsidR="00D631CA" w:rsidRPr="00D631CA" w:rsidRDefault="00382941" w:rsidP="00D631CA">
      <w:pPr>
        <w:numPr>
          <w:ilvl w:val="0"/>
          <w:numId w:val="12"/>
        </w:numPr>
        <w:spacing w:before="240"/>
        <w:ind w:left="284" w:hanging="284"/>
        <w:contextualSpacing/>
        <w:jc w:val="both"/>
        <w:rPr>
          <w:rFonts w:ascii="ITC Avant Garde" w:hAnsi="ITC Avant Garde" w:cs="Arial"/>
        </w:rPr>
      </w:pPr>
      <w:r w:rsidRPr="00D631CA">
        <w:rPr>
          <w:rFonts w:ascii="ITC Avant Garde" w:hAnsi="ITC Avant Garde" w:cs="Arial"/>
        </w:rPr>
        <w:t xml:space="preserve">A foja 70 en la tabla 6 del Modelo de Costos se fijan las fórmulas y los parámetros para estimar la tasa denominada Costo Promedio de Capital Ponderado (WACC por sus siglas en inglés). Este cálculo es con el que se pretende estimar cual es la tasa de retorno que </w:t>
      </w:r>
      <w:r w:rsidRPr="00D631CA">
        <w:rPr>
          <w:rFonts w:ascii="ITC Avant Garde" w:hAnsi="ITC Avant Garde" w:cs="Arial"/>
        </w:rPr>
        <w:lastRenderedPageBreak/>
        <w:t>tiene derecho a percibir la Recurrente por los servicios de interconexión y al igual que el resto del Modelo de Costos adolece de vicios de adecuada motivación.</w:t>
      </w:r>
    </w:p>
    <w:p w14:paraId="729B06CC" w14:textId="77777777" w:rsidR="00D631CA" w:rsidRPr="00D631CA" w:rsidRDefault="00382941" w:rsidP="00D631CA">
      <w:pPr>
        <w:spacing w:before="240"/>
        <w:ind w:left="284"/>
        <w:jc w:val="both"/>
        <w:rPr>
          <w:rFonts w:ascii="ITC Avant Garde" w:hAnsi="ITC Avant Garde" w:cs="Arial"/>
        </w:rPr>
      </w:pPr>
      <w:r w:rsidRPr="00D631CA">
        <w:rPr>
          <w:rFonts w:ascii="ITC Avant Garde" w:hAnsi="ITC Avant Garde" w:cs="Arial"/>
        </w:rPr>
        <w:t>La Comisión al elaborar el Modelo de Costos en la Resolución Recurrida nunca justifica por qué el cálculo del Costo de Capital Promedio Ponderado es la mejor forma de evaluar el rendimiento que tiene derecho a percibir la Recurrente, ni las razones por las cuáles considera que el mismo es el más adecuado para satisfacer los requisitos del artículo 42 de la Ley Federal de Telecomunicaciones, no explica en qué consiste dicho costo, ni cuáles son las fuentes para aseverar que es una "metodología comúnmente utilizada" para obtener tasas de descuento (es decir, de rendimiento) para proyectos de inversión.</w:t>
      </w:r>
    </w:p>
    <w:p w14:paraId="5B796654" w14:textId="77777777" w:rsidR="00D631CA" w:rsidRPr="00D631CA" w:rsidRDefault="00382941" w:rsidP="00D631CA">
      <w:pPr>
        <w:numPr>
          <w:ilvl w:val="0"/>
          <w:numId w:val="12"/>
        </w:numPr>
        <w:spacing w:before="240"/>
        <w:ind w:left="284" w:hanging="284"/>
        <w:contextualSpacing/>
        <w:jc w:val="both"/>
        <w:rPr>
          <w:rFonts w:ascii="ITC Avant Garde" w:hAnsi="ITC Avant Garde" w:cs="Arial"/>
        </w:rPr>
      </w:pPr>
      <w:r w:rsidRPr="00D631CA">
        <w:rPr>
          <w:rFonts w:ascii="ITC Avant Garde" w:hAnsi="ITC Avant Garde" w:cs="Arial"/>
        </w:rPr>
        <w:t xml:space="preserve">Dentro de los requerimientos fijados por los tribunales para una adecuada fundamentación y motivación se encuentra el desglose de las fórmulas aplicadas por la Comisión a fin de que el gobernado pueda conocer los cálculos que se han efectuado. En el caso que nos ocupa, todo lo que aparecen son una serie de tablas para diversos años con someras explicaciones, pero dada la complejidad de las fórmulas empleadas por la Comisión es prácticamente imposible el verificar si los cálculos se encuentran debidamente efectuados. Además, el modelo está construido de manera tal que el número de </w:t>
      </w:r>
      <w:proofErr w:type="spellStart"/>
      <w:r w:rsidRPr="00D631CA">
        <w:rPr>
          <w:rFonts w:ascii="ITC Avant Garde" w:hAnsi="ITC Avant Garde" w:cs="Arial"/>
        </w:rPr>
        <w:t>radiobases</w:t>
      </w:r>
      <w:proofErr w:type="spellEnd"/>
      <w:r w:rsidRPr="00D631CA">
        <w:rPr>
          <w:rFonts w:ascii="ITC Avant Garde" w:hAnsi="ITC Avant Garde" w:cs="Arial"/>
        </w:rPr>
        <w:t xml:space="preserve"> resultante es independiente de la cantidad de espectro que se tiene, cosa que es completamente contrario a lo que sucede en la realidad.</w:t>
      </w:r>
    </w:p>
    <w:p w14:paraId="469FDA58" w14:textId="77777777" w:rsidR="00D631CA" w:rsidRPr="00D631CA" w:rsidRDefault="00382941" w:rsidP="00D631CA">
      <w:pPr>
        <w:numPr>
          <w:ilvl w:val="0"/>
          <w:numId w:val="12"/>
        </w:numPr>
        <w:spacing w:before="240"/>
        <w:ind w:left="284" w:hanging="284"/>
        <w:contextualSpacing/>
        <w:jc w:val="both"/>
        <w:rPr>
          <w:rFonts w:ascii="ITC Avant Garde" w:hAnsi="ITC Avant Garde" w:cs="Arial"/>
        </w:rPr>
      </w:pPr>
      <w:r w:rsidRPr="00D631CA">
        <w:rPr>
          <w:rFonts w:ascii="ITC Avant Garde" w:hAnsi="ITC Avant Garde" w:cs="Arial"/>
        </w:rPr>
        <w:t>Robustece la indebida fundamentación y motivación, así como la arbitrariedad en el modelo de costos que pese a que era conocido el tipo de cambio aplicable para 2011, la Comisión efectúa arbitrariamente un promedio del mismo para determinar la tarifa de interconexión, lo cual acusa una notoria indebida motivación.</w:t>
      </w:r>
    </w:p>
    <w:p w14:paraId="6C7FBBFC" w14:textId="77777777" w:rsidR="00D631CA" w:rsidRPr="00D631CA" w:rsidRDefault="00382941" w:rsidP="00D631CA">
      <w:pPr>
        <w:spacing w:before="240"/>
        <w:ind w:left="284"/>
        <w:jc w:val="both"/>
        <w:rPr>
          <w:rFonts w:ascii="ITC Avant Garde" w:hAnsi="ITC Avant Garde" w:cs="Arial"/>
        </w:rPr>
      </w:pPr>
      <w:r w:rsidRPr="00D631CA">
        <w:rPr>
          <w:rFonts w:ascii="ITC Avant Garde" w:hAnsi="ITC Avant Garde" w:cs="Arial"/>
        </w:rPr>
        <w:t>Concluye que el Modelo de Costos incorpora variables subjetivas y arbitrarias que lo vician de indebida fundamentación y motivación toda vez que durante el procedimiento de desacuerdo de interconexión no se dio a conocer a la Recurrente la totalidad de elementos en los que se basó esa Comisión para elaborar el Modelo de Costos; se incorporan variables y parámetros arbitrarios en su elaboración, lo cual provoca se desapegue a la realidad; y en Modelos de Costos idénticos en los que se determinan tarifas de interconexión por el periodo de 2011 se arrojan tarifas de interconexión distintas.</w:t>
      </w:r>
    </w:p>
    <w:p w14:paraId="4F66639F" w14:textId="7D882EFE" w:rsidR="00382941" w:rsidRPr="00D631CA" w:rsidRDefault="00382941" w:rsidP="00D631CA">
      <w:pPr>
        <w:numPr>
          <w:ilvl w:val="0"/>
          <w:numId w:val="12"/>
        </w:numPr>
        <w:spacing w:before="240"/>
        <w:ind w:left="284" w:hanging="284"/>
        <w:contextualSpacing/>
        <w:jc w:val="both"/>
        <w:rPr>
          <w:rFonts w:ascii="ITC Avant Garde" w:hAnsi="ITC Avant Garde" w:cs="Arial"/>
        </w:rPr>
      </w:pPr>
      <w:r w:rsidRPr="00D631CA">
        <w:rPr>
          <w:rFonts w:ascii="ITC Avant Garde" w:hAnsi="ITC Avant Garde" w:cs="Arial"/>
        </w:rPr>
        <w:t>La Intensidad de Uso o "</w:t>
      </w:r>
      <w:proofErr w:type="spellStart"/>
      <w:r w:rsidRPr="00D631CA">
        <w:rPr>
          <w:rFonts w:ascii="ITC Avant Garde" w:hAnsi="ITC Avant Garde" w:cs="Arial"/>
        </w:rPr>
        <w:t>Ruteamiento</w:t>
      </w:r>
      <w:proofErr w:type="spellEnd"/>
      <w:r w:rsidRPr="00D631CA">
        <w:rPr>
          <w:rFonts w:ascii="ITC Avant Garde" w:hAnsi="ITC Avant Garde" w:cs="Arial"/>
        </w:rPr>
        <w:t xml:space="preserve">" de los Elementos de Red. Una vez que la </w:t>
      </w:r>
      <w:proofErr w:type="spellStart"/>
      <w:r w:rsidRPr="00D631CA">
        <w:rPr>
          <w:rFonts w:ascii="ITC Avant Garde" w:hAnsi="ITC Avant Garde" w:cs="Arial"/>
        </w:rPr>
        <w:t>Cofetel</w:t>
      </w:r>
      <w:proofErr w:type="spellEnd"/>
      <w:r w:rsidRPr="00D631CA">
        <w:rPr>
          <w:rFonts w:ascii="ITC Avant Garde" w:hAnsi="ITC Avant Garde" w:cs="Arial"/>
        </w:rPr>
        <w:t xml:space="preserve"> ha efectuado todas las asignaciones de valores a que se refieren los numeral</w:t>
      </w:r>
      <w:r w:rsidR="004E66BE" w:rsidRPr="00D631CA">
        <w:rPr>
          <w:rFonts w:ascii="ITC Avant Garde" w:hAnsi="ITC Avant Garde" w:cs="Arial"/>
        </w:rPr>
        <w:t xml:space="preserve">es anteriores, procede a fijar </w:t>
      </w:r>
      <w:r w:rsidRPr="00D631CA">
        <w:rPr>
          <w:rFonts w:ascii="ITC Avant Garde" w:hAnsi="ITC Avant Garde" w:cs="Arial"/>
        </w:rPr>
        <w:t>un factor de intensidad de uso o "</w:t>
      </w:r>
      <w:proofErr w:type="spellStart"/>
      <w:r w:rsidRPr="00D631CA">
        <w:rPr>
          <w:rFonts w:ascii="ITC Avant Garde" w:hAnsi="ITC Avant Garde" w:cs="Arial"/>
        </w:rPr>
        <w:t>ruteamiento</w:t>
      </w:r>
      <w:proofErr w:type="spellEnd"/>
      <w:r w:rsidRPr="00D631CA">
        <w:rPr>
          <w:rFonts w:ascii="ITC Avant Garde" w:hAnsi="ITC Avant Garde" w:cs="Arial"/>
        </w:rPr>
        <w:t>" de la red, mismos que aparecen en la Tabla 8 del Modelo de Costos. Los factores son asignados por esa Comisión al elaborar el Modelo de Costos sin mediar explicación o motivo de ninguna especie, razón por la que se viola de nueva cuenta el principio de adecuada motivación que debe estar presente en todos los actos de autoridad conforme al artículo 16 de la Constitución.</w:t>
      </w:r>
    </w:p>
    <w:p w14:paraId="04366BEB" w14:textId="77777777" w:rsidR="00D631CA" w:rsidRPr="00D631CA" w:rsidRDefault="00382941" w:rsidP="00D631CA">
      <w:pPr>
        <w:numPr>
          <w:ilvl w:val="0"/>
          <w:numId w:val="12"/>
        </w:numPr>
        <w:tabs>
          <w:tab w:val="left" w:pos="426"/>
        </w:tabs>
        <w:spacing w:before="240"/>
        <w:ind w:left="284" w:hanging="284"/>
        <w:contextualSpacing/>
        <w:jc w:val="both"/>
        <w:rPr>
          <w:rFonts w:ascii="ITC Avant Garde" w:hAnsi="ITC Avant Garde" w:cs="Arial"/>
        </w:rPr>
      </w:pPr>
      <w:r w:rsidRPr="00D631CA">
        <w:rPr>
          <w:rFonts w:ascii="ITC Avant Garde" w:hAnsi="ITC Avant Garde" w:cs="Arial"/>
        </w:rPr>
        <w:lastRenderedPageBreak/>
        <w:t xml:space="preserve">Los Costos Comunes. Finalmente, la </w:t>
      </w:r>
      <w:proofErr w:type="spellStart"/>
      <w:r w:rsidRPr="00D631CA">
        <w:rPr>
          <w:rFonts w:ascii="ITC Avant Garde" w:hAnsi="ITC Avant Garde" w:cs="Arial"/>
        </w:rPr>
        <w:t>Cofetel</w:t>
      </w:r>
      <w:proofErr w:type="spellEnd"/>
      <w:r w:rsidRPr="00D631CA">
        <w:rPr>
          <w:rFonts w:ascii="ITC Avant Garde" w:hAnsi="ITC Avant Garde" w:cs="Arial"/>
        </w:rPr>
        <w:t xml:space="preserve"> le asigna un valor incongruente y errático a los denominados "costos comunes" sin acreditar en forma alguna a cuáles se refiere o en qué consisten los mismos, aunque parece referirse a costos de carácter organizacional.  En todo caso, es de hacerse notar que la Resolución Impugnada es violatoria del artículo 16 constitucional, ya que: i) es incongruente consigo misma porque a foja 46 les asigna a esta clase de costos un valor del 10%  sobre los costos de los elementos de red, mientras que modifica esta ya de por sí arbitraria determinación y les asigna un valor gradual y decreciente, y ii) la motivación para ·hacer la determinación del porcentaje de costos comunes en la tabla 9 sin siquiera citar de donde provienen dichos costos ni  ofreciendo mayores explicaciones de cómo es que esos porcentajes son aplicables a la situación de mis Representadas en su relación con las hoy </w:t>
      </w:r>
      <w:r w:rsidR="00C67299" w:rsidRPr="00D631CA">
        <w:rPr>
          <w:rFonts w:ascii="ITC Avant Garde" w:hAnsi="ITC Avant Garde" w:cs="Arial"/>
        </w:rPr>
        <w:t>tercero perjudicada</w:t>
      </w:r>
      <w:r w:rsidRPr="00D631CA">
        <w:rPr>
          <w:rFonts w:ascii="ITC Avant Garde" w:hAnsi="ITC Avant Garde" w:cs="Arial"/>
        </w:rPr>
        <w:t>s, lo cual acusa una evidente indebida motivación.</w:t>
      </w:r>
    </w:p>
    <w:p w14:paraId="6B60409A"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u w:val="single"/>
        </w:rPr>
        <w:t>SEGUNDO</w:t>
      </w:r>
      <w:r w:rsidRPr="00D631CA">
        <w:rPr>
          <w:rFonts w:ascii="ITC Avant Garde" w:hAnsi="ITC Avant Garde" w:cs="Arial"/>
        </w:rPr>
        <w:t>. La utilización del "operador eficiente" en el Modelo de Costos implica una indebida fundamentación y motivación de la Resolución Recurrida, con lo que se vulnera lo dispuesto por el artículo 3, fracción V, de la Ley Federal de Procedimiento Administrativo.</w:t>
      </w:r>
    </w:p>
    <w:p w14:paraId="6DECDF1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determinación e implementación del Modelo de Costos empleado por esa Comisión con base en un supuesto "operador eficiente" que no existe en la realidad, pero que es uno de los presupuestos de la Resolución Recurrida, implica la violación del artículo 3, fracción V de la Ley Federal de Procedimiento Administrativo y, por lo tanto, vicia de indebida fundamentación y motivación a la citada resolución.</w:t>
      </w:r>
    </w:p>
    <w:p w14:paraId="6A4AF554"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Asimismo, resulta incongruente desde un punto de vista interno y desapegado de la realidad que esa Comisión pretenda regular a la Recurrente con un poder en el mercado del 25% lo cual resulta en una violación a los principios de debida motivación y congruencia interna aceptados en el ordenamiento jurídico mexicano.</w:t>
      </w:r>
    </w:p>
    <w:p w14:paraId="52B60A95"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Resolución Recurrida contiene diversas páginas en las que pretende dar una debida fundamentación y motivación de la imposición de un Modelo de Costos Incrementales Totales de Largo Plazo con el objetivo de evitar que las tarifas por interconexión sean inferiores a las tarifas que se cobran al usuario final. Lo que debería haber efectuado la Comisión era simplemente observar los costos en los que incurrió la Recurrente por prestar los servicios de interconexión, obligación que debe de cumplir esa autoridad en términos de lo dispuesto en los artículos 68 de la Ley Federal de Telecomunicaciones y 95 de su reglamento.</w:t>
      </w:r>
    </w:p>
    <w:p w14:paraId="12731201" w14:textId="58B27EC4" w:rsidR="00382941" w:rsidRPr="00D631CA" w:rsidRDefault="00382941" w:rsidP="00D631CA">
      <w:pPr>
        <w:spacing w:before="240"/>
        <w:jc w:val="both"/>
        <w:rPr>
          <w:rFonts w:ascii="ITC Avant Garde" w:hAnsi="ITC Avant Garde" w:cs="Arial"/>
        </w:rPr>
      </w:pPr>
      <w:r w:rsidRPr="00D631CA">
        <w:rPr>
          <w:rFonts w:ascii="ITC Avant Garde" w:hAnsi="ITC Avant Garde" w:cs="Arial"/>
        </w:rPr>
        <w:t>Sin embargo, la autoridad toma la determinación de artificialmente crear un "operador eficiente" y posteriormente elabora el Modelo de Costos Incrementales para ese operador ficticio, lo cual es contrario a los principios de debida fundamentación y motivación pues no adecúa la norma a la realidad fáctica que pretende ordenar.</w:t>
      </w:r>
    </w:p>
    <w:p w14:paraId="638677FE" w14:textId="77777777" w:rsidR="00382941"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 xml:space="preserve"> </w:t>
      </w:r>
    </w:p>
    <w:p w14:paraId="7A959EAB"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este sentido, siendo que Telcel tiene más del 70% del mercado nacional, es absolutamente claro que dicho operador "representativo" no existe ni ha existido en el sector de las telecomunicaciones en México. Desde este punto de vista, la Resolución Recurrida no sólo es incongruente por emplear dos tipos de operador de manera errática, sino que además es incoherente con la realidad que pretende regular, puesto que la Recurrente no es un "operador representativo" conforme a la definición de la Comisión.</w:t>
      </w:r>
    </w:p>
    <w:p w14:paraId="4C2882A7"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realidad del caso es que en México existe un solo operador que detenta el 70% del mercado y los demás se dividen el 30% restante, de lo que resulta que el modelo de costos empleado por la Comisión no es congruente con la realidad, puesto que ningún operador de telefonía móvil tiene una participación del 25% del mercado, como indebida e injustificadamente lo sostiene esta autoridad.</w:t>
      </w:r>
    </w:p>
    <w:p w14:paraId="4A914BE3"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Todo el Modelo de Costos empleado por la autoridad se encuentra sustentado en la existencia de una empresa que no existe en la realidad. </w:t>
      </w:r>
    </w:p>
    <w:p w14:paraId="36A85DF2"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hAnsi="ITC Avant Garde" w:cs="Arial"/>
          <w:u w:val="single"/>
        </w:rPr>
        <w:t>TERCERO</w:t>
      </w:r>
      <w:r w:rsidRPr="00D631CA">
        <w:rPr>
          <w:rFonts w:ascii="ITC Avant Garde" w:hAnsi="ITC Avant Garde" w:cs="Arial"/>
        </w:rPr>
        <w:t xml:space="preserve">. </w:t>
      </w:r>
      <w:r w:rsidRPr="00D631CA">
        <w:rPr>
          <w:rFonts w:ascii="ITC Avant Garde" w:eastAsia="Times New Roman" w:hAnsi="ITC Avant Garde" w:cs="Arial"/>
          <w:lang w:val="es-ES" w:eastAsia="es-ES"/>
        </w:rPr>
        <w:t>La Comisión omite señalar las operaciones aritméticas para determinar la tarifa de interconexión, por lo que se violan los principios de debida fundamentación y motivación, contenidos en el artículo 3, fracción V de la Ley Federal de Procedimiento Administrativo.</w:t>
      </w:r>
    </w:p>
    <w:p w14:paraId="60F5629A"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 xml:space="preserve">La autoridad pretende motivar la tarifa de interconexión que deberá pagar la </w:t>
      </w:r>
      <w:r w:rsidR="00C67299" w:rsidRPr="00D631CA">
        <w:rPr>
          <w:rFonts w:ascii="ITC Avant Garde" w:eastAsia="Times New Roman" w:hAnsi="ITC Avant Garde" w:cs="Arial"/>
          <w:lang w:val="es-ES" w:eastAsia="es-ES"/>
        </w:rPr>
        <w:t>tercero perjudicada</w:t>
      </w:r>
      <w:r w:rsidRPr="00D631CA">
        <w:rPr>
          <w:rFonts w:ascii="ITC Avant Garde" w:eastAsia="Times New Roman" w:hAnsi="ITC Avant Garde" w:cs="Arial"/>
          <w:lang w:val="es-ES" w:eastAsia="es-ES"/>
        </w:rPr>
        <w:t xml:space="preserve"> a la Recurrente, utilizando el Modelo de Costos Incrementales Totales de Largo Plazo; sin embargo, en ningún momento se señalan o precisan las operaciones aritméticas que la Comisión utilizó para llegar a la tarifa de interconexión que determinó, motivo por el cual la Resolución Impugnada adolece de la debida fundamentación y motivación que todo acto administrativo debe necesariamente contener, de conformidad con lo dispuesto por la fracción V del artículo 3 la Ley Federal de Procedimiento Administrativo.</w:t>
      </w:r>
    </w:p>
    <w:p w14:paraId="67C8BBAD" w14:textId="7428EC12" w:rsidR="00382941"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En el caso concreto, dada la complejidad para llevar a cabo la cuantificación de la tarifa de interconexión, la Comisión estimó que deben tomarse en consideración diversos elementos; sin embargo, el tomar en cuenta tales elementos de manera teórica y general no es suficiente para considerar debidamente motivada la Resolución Recurrida, pues se insiste, en ninguna parte de la resolución se concatenaron los elementos tomados en cuenta, ni mucho menos se estableció una fórmula para ello, con la finalidad de evidenciar que efectivamente la tarifa de interconexión se ajusta a la metodología adoptada.</w:t>
      </w:r>
    </w:p>
    <w:p w14:paraId="3680A3A3"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 xml:space="preserve">Al momento de determinar la tarifa que la </w:t>
      </w:r>
      <w:r w:rsidR="00C67299" w:rsidRPr="00D631CA">
        <w:rPr>
          <w:rFonts w:ascii="ITC Avant Garde" w:eastAsia="Times New Roman" w:hAnsi="ITC Avant Garde" w:cs="Arial"/>
          <w:lang w:val="es-ES" w:eastAsia="es-ES"/>
        </w:rPr>
        <w:t>tercero perjudicada</w:t>
      </w:r>
      <w:r w:rsidRPr="00D631CA">
        <w:rPr>
          <w:rFonts w:ascii="ITC Avant Garde" w:eastAsia="Times New Roman" w:hAnsi="ITC Avant Garde" w:cs="Arial"/>
          <w:lang w:val="es-ES" w:eastAsia="es-ES"/>
        </w:rPr>
        <w:t xml:space="preserve"> deberá cubrir a la Recurrente por la interconexión, no señala con precisión el procedimiento aritmético y el cálculo que </w:t>
      </w:r>
      <w:r w:rsidRPr="00D631CA">
        <w:rPr>
          <w:rFonts w:ascii="ITC Avant Garde" w:eastAsia="Times New Roman" w:hAnsi="ITC Avant Garde" w:cs="Arial"/>
          <w:lang w:val="es-ES" w:eastAsia="es-ES"/>
        </w:rPr>
        <w:lastRenderedPageBreak/>
        <w:t>llevó a cabo de los elementos que componen dichos modelos y fórmulas que ésta supuestamente utilizó, motivo por el cual la resolución, adolece de la debida fundamentación y motivación que todo acto administrativo debe contener de conformidad con los principios constitucionales recogidos en la fracción V del artículo 3 de la Ley Federal de Procedimiento Administrativo.</w:t>
      </w:r>
    </w:p>
    <w:p w14:paraId="6086303D"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Para constatar la ilegalidad de la Resolución Recurrida, por carecer de la debida motivación, basta señalar, a manera ejemplificativa, lo resuelto a fojas 61 y 62, 64 a 68 y 73, en las que cita diversas gráficas, ecuaciones y estadísticas, a efecto de desarrollar el Modelo de Costos; sin embargo, estos parámetros generales en ningún momento son actualizados con base en los datos concretos y aplicables a esta situación en particular.</w:t>
      </w:r>
    </w:p>
    <w:p w14:paraId="63BFF052" w14:textId="77777777" w:rsidR="00D631CA" w:rsidRPr="00D631CA" w:rsidRDefault="00382941" w:rsidP="00D631CA">
      <w:pPr>
        <w:spacing w:before="240"/>
        <w:jc w:val="both"/>
        <w:rPr>
          <w:rFonts w:ascii="ITC Avant Garde" w:hAnsi="ITC Avant Garde" w:cs="Arial"/>
        </w:rPr>
      </w:pPr>
      <w:r w:rsidRPr="00D631CA">
        <w:rPr>
          <w:rFonts w:ascii="ITC Avant Garde" w:eastAsia="Times New Roman" w:hAnsi="ITC Avant Garde" w:cs="Arial"/>
          <w:lang w:val="es-ES" w:eastAsia="es-ES"/>
        </w:rPr>
        <w:t>Lo resuelto por esa Comisión a fojas 68 a 71, en las que describe ecuaciones para obtener el costo de los activos (</w:t>
      </w:r>
      <w:proofErr w:type="spellStart"/>
      <w:r w:rsidRPr="00D631CA">
        <w:rPr>
          <w:rFonts w:ascii="ITC Avant Garde" w:eastAsia="Times New Roman" w:hAnsi="ITC Avant Garde" w:cs="Arial"/>
          <w:lang w:val="es-ES" w:eastAsia="es-ES"/>
        </w:rPr>
        <w:t>capex</w:t>
      </w:r>
      <w:proofErr w:type="spellEnd"/>
      <w:r w:rsidRPr="00D631CA">
        <w:rPr>
          <w:rFonts w:ascii="ITC Avant Garde" w:eastAsia="Times New Roman" w:hAnsi="ITC Avant Garde" w:cs="Arial"/>
          <w:lang w:val="es-ES" w:eastAsia="es-ES"/>
        </w:rPr>
        <w:t>) y el Costo Promedio Ponderado de Capital (WACC), en las que de manera por demás desapegada a derecho, únicamente se limita a realizar una expresión general de la fórmula que aplicó, sin que en ésta, los valores concretos se hubieran sustituido y con ello arribar a un cálculo cierto y así determinar de la manera más transparente la tarifa de interconexión</w:t>
      </w:r>
      <w:r w:rsidRPr="00D631CA">
        <w:rPr>
          <w:rFonts w:ascii="ITC Avant Garde" w:hAnsi="ITC Avant Garde" w:cs="Arial"/>
        </w:rPr>
        <w:t>.</w:t>
      </w:r>
    </w:p>
    <w:p w14:paraId="463943B1"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Si bien señala (aunque sin motivación alguna) cuáles son los conceptos que integraron los componentes de cada una de las ecuaciones y modelos utilizados para obtener la tarifa de interconexión del operador representativo en el Modelo de Costos durante el periodo de 2011, la autoridad es omisa en establecer la sustitución numérica de los valores de cada una de las ecuaciones utilizadas y con ello arribar al resultado que se manifiesta a foja 73 de la Resolución Recurrida, de lo que se desprende de nueva cuenta la falta de motivación en la que incurre la Comisión.</w:t>
      </w:r>
    </w:p>
    <w:p w14:paraId="37F2A768"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Con lo anterior, queda de manifiesto que la Resolución Recurrida no otorga seguridad jurídica alguna a la Recurrente respecto de los resultados a los que arriba la Comisión, situación que se repite en todos y cada uno de los componentes del Modelo de Costos.</w:t>
      </w:r>
    </w:p>
    <w:p w14:paraId="4B8655BC" w14:textId="1DE6BD23" w:rsidR="00382941" w:rsidRPr="00D631CA" w:rsidRDefault="00382941" w:rsidP="00D631CA">
      <w:pPr>
        <w:spacing w:before="240"/>
        <w:jc w:val="both"/>
        <w:rPr>
          <w:rFonts w:ascii="ITC Avant Garde" w:eastAsia="Times New Roman" w:hAnsi="ITC Avant Garde" w:cs="Arial"/>
          <w:lang w:val="es-ES" w:eastAsia="es-ES"/>
        </w:rPr>
      </w:pPr>
      <w:r w:rsidRPr="00D631CA">
        <w:rPr>
          <w:rFonts w:ascii="ITC Avant Garde" w:hAnsi="ITC Avant Garde" w:cs="Arial"/>
          <w:u w:val="single"/>
        </w:rPr>
        <w:t>CUARTO.</w:t>
      </w:r>
      <w:r w:rsidRPr="00D631CA">
        <w:rPr>
          <w:rFonts w:ascii="ITC Avant Garde" w:hAnsi="ITC Avant Garde" w:cs="Arial"/>
        </w:rPr>
        <w:t xml:space="preserve"> </w:t>
      </w:r>
      <w:r w:rsidRPr="00D631CA">
        <w:rPr>
          <w:rFonts w:ascii="ITC Avant Garde" w:eastAsia="Times New Roman" w:hAnsi="ITC Avant Garde" w:cs="Arial"/>
          <w:lang w:val="es-ES" w:eastAsia="es-ES"/>
        </w:rPr>
        <w:t>La Comisión indebidamente determina la medición del tráfico y el esquema de facturación de los servicios de interconexión aduciendo supuestos beneficios al público usuario final, violando el principio de libertad tarifaria en perjuicio de la Recurrente, lo que implica una indebida fundamentación y motivación, por lo que viola el artículo 3, fracción V, de la Ley Federal de Procedimiento Administrativo.</w:t>
      </w:r>
    </w:p>
    <w:p w14:paraId="5547FF86"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 xml:space="preserve">A través de la Resolución Recurrida, la autoridad determinó que en la aplicación de la tarifa de interconexión la Recurrente deberá calcular la contraprestación con base en la duración real de las llamadas, sin redondear al minuto, debiendo para tal efecto sumar la duración de </w:t>
      </w:r>
      <w:r w:rsidRPr="00D631CA">
        <w:rPr>
          <w:rFonts w:ascii="ITC Avant Garde" w:eastAsia="Times New Roman" w:hAnsi="ITC Avant Garde" w:cs="Arial"/>
          <w:lang w:val="es-ES" w:eastAsia="es-ES"/>
        </w:rPr>
        <w:lastRenderedPageBreak/>
        <w:t>todas las llamadas completadas medidas por segundos y multiplicarse dicha suma por la tarifa correspondiente.</w:t>
      </w:r>
    </w:p>
    <w:p w14:paraId="38DED9D9"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La Comisión determina la medición del tráfico y el esquema de facturación de los servicios de interconexión, pretendiendo fundar y motivar su actuar en la falsa presunción de que las tarifas de interconexión inciden directamente y en todos los casos, en las tarifas que el usuario final debe pagar.</w:t>
      </w:r>
    </w:p>
    <w:p w14:paraId="4B475935"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Bajo esta falsa premisa y en violación al principio de libertad tarifaria la Comisión determina la medición del tráfico de interconexión sin redondear al minuto, para que, consecuentemente la tarifa que se cobre al usuario final de igual manera tenga como base la medición del tráfico en tiempo real; teniendo ello como consecuencia que en violación al principio de libertad tarifaria, la Comisión determine variables para fijar las tarifas a los usuarios finales.</w:t>
      </w:r>
    </w:p>
    <w:p w14:paraId="36BF074A"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Las tarifas por los servicios de telecomunicaciones, son determinadas al público directamente por el propio concesionario que le brinda dicho servicio, ello derivado del principio de libertad tarifaria existente en nuestro país, mismo que se encuentra consagrado en el artículo 60 de la Ley Federal de Telecomunicaciones.</w:t>
      </w:r>
    </w:p>
    <w:p w14:paraId="3A3E20F0"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En este orden de ideas, la intención del legislador al establecer dicho principio consistió en verdaderamente otorgarle plena libertad a los concesionarios para fijar las tarifas de los servicios de telecomunicaciones sin limitación alguna, salvo cuando se trate de salvaguardar la libre concurrencia.</w:t>
      </w:r>
    </w:p>
    <w:p w14:paraId="2FEF90FB"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En este sentido, derivado de la prerrogativa que la Ley Federal de Telecomunicaciones otorga directamente a los concesionarios de redes públicas de telecomunicaciones, se tiene que los mismos cuentan con entera libertad para tomar u omitir tomar en consideración diversas variables para determinar el monto de dichas tarifas de servicios al público usuario; como pueden ser, de manera enunciativa, el precio de los insumos, la infraestructura, la oferta y la demanda, los costos operativos o administrativos (</w:t>
      </w:r>
      <w:proofErr w:type="spellStart"/>
      <w:r w:rsidRPr="00D631CA">
        <w:rPr>
          <w:rFonts w:ascii="ITC Avant Garde" w:eastAsia="Times New Roman" w:hAnsi="ITC Avant Garde" w:cs="Arial"/>
          <w:lang w:val="es-ES" w:eastAsia="es-ES"/>
        </w:rPr>
        <w:t>Vgr</w:t>
      </w:r>
      <w:proofErr w:type="spellEnd"/>
      <w:r w:rsidRPr="00D631CA">
        <w:rPr>
          <w:rFonts w:ascii="ITC Avant Garde" w:eastAsia="Times New Roman" w:hAnsi="ITC Avant Garde" w:cs="Arial"/>
          <w:lang w:val="es-ES" w:eastAsia="es-ES"/>
        </w:rPr>
        <w:t>. Renta de inmuebles), el capital de trabajo, entre otras.</w:t>
      </w:r>
    </w:p>
    <w:p w14:paraId="66C62D45"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Así las cosas, cada concesionario tiene la prerrogativa para determinar con base en las condiciones de la marcha de la empresa, la serie elementos que integrarán los precios al usuario final y que por tanto, serán trasladados a la tarifa que dicho consumidor cubra y tendrán incidencia directa en la misma.</w:t>
      </w:r>
    </w:p>
    <w:p w14:paraId="78D60C35"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 xml:space="preserve">Ahora bien, en la Resolución Recurrida la autoridad indebidamente presume que las tarifas de interconexión inciden de manera directa en las tarifas que son cobradas al usuario final, lo </w:t>
      </w:r>
      <w:r w:rsidRPr="00D631CA">
        <w:rPr>
          <w:rFonts w:ascii="ITC Avant Garde" w:eastAsia="Times New Roman" w:hAnsi="ITC Avant Garde" w:cs="Arial"/>
          <w:lang w:val="es-ES" w:eastAsia="es-ES"/>
        </w:rPr>
        <w:lastRenderedPageBreak/>
        <w:t xml:space="preserve">que la llevó a la ilegal conclusión de determinar la medición del tráfico en tiempo real para efectos de que en esos mismos términos se cobre a los usuarios por parte de los concesionarios. </w:t>
      </w:r>
    </w:p>
    <w:p w14:paraId="66EFE452"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u w:val="single"/>
          <w:lang w:val="es-ES" w:eastAsia="es-ES"/>
        </w:rPr>
        <w:t>QUINTO</w:t>
      </w:r>
      <w:r w:rsidRPr="00D631CA">
        <w:rPr>
          <w:rFonts w:ascii="ITC Avant Garde" w:hAnsi="ITC Avant Garde" w:cs="Arial"/>
          <w:u w:val="single"/>
        </w:rPr>
        <w:t>.</w:t>
      </w:r>
      <w:r w:rsidRPr="00D631CA">
        <w:rPr>
          <w:rFonts w:ascii="ITC Avant Garde" w:hAnsi="ITC Avant Garde" w:cs="Arial"/>
        </w:rPr>
        <w:t xml:space="preserve"> </w:t>
      </w:r>
      <w:r w:rsidRPr="00D631CA">
        <w:rPr>
          <w:rFonts w:ascii="ITC Avant Garde" w:eastAsia="Times New Roman" w:hAnsi="ITC Avant Garde" w:cs="Arial"/>
          <w:lang w:val="es-ES" w:eastAsia="es-ES"/>
        </w:rPr>
        <w:t>En la Resolución Recurrida se utilizan argumentos vagos e imprecisos y se contraviene lo dispuesto en el artículo 3, fracción V, de la Ley Federal de Procedimiento Administrativo.</w:t>
      </w:r>
    </w:p>
    <w:p w14:paraId="3A293603"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A foja 55, último párrafo, de la Resolución Recurrida, la Comisión pretende motivar el enfoque de las tarifas basadas en costos, trayendo a colación diversos organismos internacionales, sin embargo, omite fundar su dicho, resultando deficiente tal motivación.</w:t>
      </w:r>
    </w:p>
    <w:p w14:paraId="4824EE0A"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A través de la Resolución Recurrida únicamente se señala que el modelo que la Comisión utilizó, se encuentra avalado por expertos internacionales y ha sido adoptada por la mayoría de los órganos reguladores, sin sustentar dicha afirmación.</w:t>
      </w:r>
    </w:p>
    <w:p w14:paraId="0C683950"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Asimismo, la Comisión podrá advertir que dentro del modelo de costos se manifiesta sin fundamento alguno que el hecho de utilizar una participación de mercado del 25% para la determinación del costo de interconexión</w:t>
      </w:r>
      <w:r w:rsidRPr="00D631CA">
        <w:rPr>
          <w:rFonts w:ascii="ITC Avant Garde" w:hAnsi="ITC Avant Garde" w:cs="Arial"/>
        </w:rPr>
        <w:t xml:space="preserve"> </w:t>
      </w:r>
      <w:r w:rsidRPr="00D631CA">
        <w:rPr>
          <w:rFonts w:ascii="ITC Avant Garde" w:eastAsia="Times New Roman" w:hAnsi="ITC Avant Garde" w:cs="Arial"/>
          <w:lang w:val="es-ES" w:eastAsia="es-ES"/>
        </w:rPr>
        <w:t>en la terminación de una llamada en la red móvil, es congruente con los participantes del mercado mexicano, sin sustentar dicha afirmación (foja 60, penúltimo párrafo, de la Resolución Recurrida).</w:t>
      </w:r>
    </w:p>
    <w:p w14:paraId="53B315D9"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A foja 67 de la Resolución Recurrida, al momento de desarrollar el Modelo de Costos, no se exponen los motivos, razones y circunstancias que se tuvieron en consideración para determinar el valor del espectro con base en los elementos que dicha autoridad manifiesta que tomó en consideración, y no otros, lo que pone en evidencia la indebida motivación de la Resolución Recurrida.</w:t>
      </w:r>
    </w:p>
    <w:p w14:paraId="1EEA792C" w14:textId="156B629E" w:rsidR="00382941"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Dentro del modelo de costos, la Comisión determinó el monto de la inversión total, tomando en consideración la información pública del órgano regulador de las telecomunicaciones de Francia (ARCEP), relativa al precio de los elementos de la red; ello sin expresar los argumentos, motivos, razones y circunstancias que llevaron a esa autoridad a basarse en dicha información, tal y como se desprende del tercer párrafo de la foja 67 y del pie de página número 13, ambos de la Resolución Recurrida.</w:t>
      </w:r>
    </w:p>
    <w:p w14:paraId="50B7CF63"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Debido a las vaguedades e imprecisiones contenidas en la Resolución Recurrida, como a las que se ha hecho referencia en el presente agravio, la Recurrente no conoce muchas de las razones específicas por las que la Comisión determinó la tarifa de interconexión en los términos de la Resolución Recurrida.</w:t>
      </w:r>
    </w:p>
    <w:p w14:paraId="16921C6A" w14:textId="77777777" w:rsidR="00D631CA" w:rsidRPr="00D631CA" w:rsidRDefault="00382941" w:rsidP="00D631CA">
      <w:pPr>
        <w:spacing w:before="240"/>
        <w:jc w:val="both"/>
        <w:rPr>
          <w:rFonts w:ascii="ITC Avant Garde" w:hAnsi="ITC Avant Garde" w:cs="Arial"/>
        </w:rPr>
      </w:pPr>
      <w:r w:rsidRPr="00D631CA">
        <w:rPr>
          <w:rFonts w:ascii="ITC Avant Garde" w:eastAsia="Times New Roman" w:hAnsi="ITC Avant Garde" w:cs="Arial"/>
          <w:u w:val="single"/>
          <w:lang w:val="es-ES" w:eastAsia="es-ES"/>
        </w:rPr>
        <w:lastRenderedPageBreak/>
        <w:t>SEXTO</w:t>
      </w:r>
      <w:r w:rsidRPr="00D631CA">
        <w:rPr>
          <w:rFonts w:ascii="ITC Avant Garde" w:hAnsi="ITC Avant Garde" w:cs="Arial"/>
          <w:u w:val="single"/>
        </w:rPr>
        <w:t>.</w:t>
      </w:r>
      <w:r w:rsidRPr="00D631CA">
        <w:rPr>
          <w:rFonts w:ascii="ITC Avant Garde" w:hAnsi="ITC Avant Garde" w:cs="Arial"/>
        </w:rPr>
        <w:t xml:space="preserve"> </w:t>
      </w:r>
      <w:r w:rsidRPr="00D631CA">
        <w:rPr>
          <w:rFonts w:ascii="ITC Avant Garde" w:eastAsia="Times New Roman" w:hAnsi="ITC Avant Garde" w:cs="Arial"/>
          <w:lang w:val="es-ES" w:eastAsia="es-ES"/>
        </w:rPr>
        <w:t>El Modelo de Costos no toma en cuenta la cobertura ni los minutos no facturados, lo que implica que la Resolución Recurrida adolezca de una debida fundamentación y motivación, contraviniendo lo dispuesto en el artículo 3, fracción V de la Ley Federal de Procedimiento Administrativo.</w:t>
      </w:r>
    </w:p>
    <w:p w14:paraId="2FB1BFBA"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El Modelo de Costos no tomó en cuenta la cobertura ni los minutos no facturados por lo cual la Resolución Recurrida infringe los requerimientos de fundamentación y motivación, así como es incongruente desde un punto de vista interno, con lo que se viola lo dispuesto en el artículo 3, fracción V, de la Ley Federal de Procedimiento Administrativo.</w:t>
      </w:r>
    </w:p>
    <w:p w14:paraId="2FCD9264"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Las mencionadas omisiones por parte de la Comisión en el modelo de costos constituyen en sí misma una ausencia de motivación conforme al artículo 16 de la Constitución, puesto que ésta omite tomar en cuenta la cobertura y los minutos no facturados.</w:t>
      </w:r>
    </w:p>
    <w:p w14:paraId="4DB04B20"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El modelo desarrollado por la Comisión carece de un módulo que estime la cobertura de red necesaria para dar servicio al 90.5% de la población (31% del territorio mexicano). El modelo de costos se basa únicamente en la demanda de tráfico y la capacidad media de una estación base para determinar el número necesario de éstas. Por ello, si se reduce el tráfico por usuario en un 50%, las estaciones base necesarias calculadas por el modelo se reducen en un 50%.</w:t>
      </w:r>
    </w:p>
    <w:p w14:paraId="2B4275BB"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Según la documentación del modelo se cubre el 31% del territorio con 11.495 estaciones base. El 31% del territorio mexicano equivale a un área de 610,728 Km. 2. De forma que la estación base media cubre un área de 53,13 Km. Una reducción del tráfico en 50%, supondría que el número de estación base necesarias para cubrir la misma extensión de territorio se redujera a 5,748, lo que significaría que cada estación base cubriera un área de 106,25 Km. En buena cuenta, lo que el modelo supone es que el número de estación base sería exactamente el mismo para cursar un volumen semejante de tráfico en un área de territorio equivalente, con independencia de si esa área estuviera ubicada en México, Rusia o Estados Unidos.</w:t>
      </w:r>
    </w:p>
    <w:p w14:paraId="5AEBF1C6"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 xml:space="preserve">Habitualmente, en los módulos de cobertura se definen distintos </w:t>
      </w:r>
      <w:proofErr w:type="spellStart"/>
      <w:r w:rsidRPr="00D631CA">
        <w:rPr>
          <w:rFonts w:ascii="ITC Avant Garde" w:eastAsia="Times New Roman" w:hAnsi="ITC Avant Garde" w:cs="Arial"/>
          <w:lang w:val="es-ES" w:eastAsia="es-ES"/>
        </w:rPr>
        <w:t>geotipos</w:t>
      </w:r>
      <w:proofErr w:type="spellEnd"/>
      <w:r w:rsidRPr="00D631CA">
        <w:rPr>
          <w:rFonts w:ascii="ITC Avant Garde" w:eastAsia="Times New Roman" w:hAnsi="ITC Avant Garde" w:cs="Arial"/>
          <w:lang w:val="es-ES" w:eastAsia="es-ES"/>
        </w:rPr>
        <w:t xml:space="preserve"> y el área geográfica cubierta por una estación base en cada </w:t>
      </w:r>
      <w:proofErr w:type="spellStart"/>
      <w:r w:rsidRPr="00D631CA">
        <w:rPr>
          <w:rFonts w:ascii="ITC Avant Garde" w:eastAsia="Times New Roman" w:hAnsi="ITC Avant Garde" w:cs="Arial"/>
          <w:lang w:val="es-ES" w:eastAsia="es-ES"/>
        </w:rPr>
        <w:t>geotipo</w:t>
      </w:r>
      <w:proofErr w:type="spellEnd"/>
      <w:r w:rsidRPr="00D631CA">
        <w:rPr>
          <w:rFonts w:ascii="ITC Avant Garde" w:eastAsia="Times New Roman" w:hAnsi="ITC Avant Garde" w:cs="Arial"/>
          <w:lang w:val="es-ES" w:eastAsia="es-ES"/>
        </w:rPr>
        <w:t>. El factor cobertura determina más del 80% de los emplazamientos y estación base necesarios. Teniendo en cuenta que aproximadamente el 75% de los costos del modelo de esa Comisión se derivan directa o indirectamente del número de emplazamientos, el factor cobertura determina prácticamente el 60% de los costos incluidos en dicho modelo.</w:t>
      </w:r>
    </w:p>
    <w:p w14:paraId="30D1EFD6" w14:textId="77777777" w:rsidR="00D631CA" w:rsidRPr="00D631CA" w:rsidRDefault="00382941" w:rsidP="00D631CA">
      <w:pPr>
        <w:spacing w:before="240"/>
        <w:jc w:val="both"/>
        <w:rPr>
          <w:rFonts w:ascii="ITC Avant Garde" w:hAnsi="ITC Avant Garde" w:cs="Arial"/>
        </w:rPr>
      </w:pPr>
      <w:r w:rsidRPr="00D631CA">
        <w:rPr>
          <w:rFonts w:ascii="ITC Avant Garde" w:eastAsia="Times New Roman" w:hAnsi="ITC Avant Garde" w:cs="Arial"/>
          <w:lang w:val="es-ES" w:eastAsia="es-ES"/>
        </w:rPr>
        <w:t xml:space="preserve">El modelizar la cobertura permite valorar en mejor medida las implicaciones del cargo propuesto por esa Comisión en dos dimensiones: La relación entre el cargo propuesto y la población cubierta; las ganancias de eficiencia/rentas implícitas en el cargo propuesto por </w:t>
      </w:r>
      <w:r w:rsidRPr="00D631CA">
        <w:rPr>
          <w:rFonts w:ascii="ITC Avant Garde" w:eastAsia="Times New Roman" w:hAnsi="ITC Avant Garde" w:cs="Arial"/>
          <w:lang w:val="es-ES" w:eastAsia="es-ES"/>
        </w:rPr>
        <w:lastRenderedPageBreak/>
        <w:t>la Comisión</w:t>
      </w:r>
      <w:r w:rsidRPr="00D631CA">
        <w:rPr>
          <w:rFonts w:ascii="ITC Avant Garde" w:hAnsi="ITC Avant Garde" w:cs="Arial"/>
        </w:rPr>
        <w:t>; y la dotación de espectro del operador hipotético supuesto en el modelo vs. La dotación de espectro existente en la realidad.</w:t>
      </w:r>
    </w:p>
    <w:p w14:paraId="48592EE8"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 xml:space="preserve">En el modelo de costos no existe ninguna relación entre el costo unitario de terminación y la población cubierta: aumentar la población cubierta no varía el costo unitario a menos que varíe la </w:t>
      </w:r>
      <w:proofErr w:type="spellStart"/>
      <w:r w:rsidRPr="00D631CA">
        <w:rPr>
          <w:rFonts w:ascii="ITC Avant Garde" w:eastAsia="Times New Roman" w:hAnsi="ITC Avant Garde" w:cs="Arial"/>
          <w:lang w:val="es-ES" w:eastAsia="es-ES"/>
        </w:rPr>
        <w:t>teledensidad</w:t>
      </w:r>
      <w:proofErr w:type="spellEnd"/>
      <w:r w:rsidRPr="00D631CA">
        <w:rPr>
          <w:rFonts w:ascii="ITC Avant Garde" w:eastAsia="Times New Roman" w:hAnsi="ITC Avant Garde" w:cs="Arial"/>
          <w:lang w:val="es-ES" w:eastAsia="es-ES"/>
        </w:rPr>
        <w:t xml:space="preserve"> media. Si la </w:t>
      </w:r>
      <w:proofErr w:type="spellStart"/>
      <w:r w:rsidRPr="00D631CA">
        <w:rPr>
          <w:rFonts w:ascii="ITC Avant Garde" w:eastAsia="Times New Roman" w:hAnsi="ITC Avant Garde" w:cs="Arial"/>
          <w:lang w:val="es-ES" w:eastAsia="es-ES"/>
        </w:rPr>
        <w:t>teledensidad</w:t>
      </w:r>
      <w:proofErr w:type="spellEnd"/>
      <w:r w:rsidRPr="00D631CA">
        <w:rPr>
          <w:rFonts w:ascii="ITC Avant Garde" w:eastAsia="Times New Roman" w:hAnsi="ITC Avant Garde" w:cs="Arial"/>
          <w:lang w:val="es-ES" w:eastAsia="es-ES"/>
        </w:rPr>
        <w:t xml:space="preserve"> media aumenta, el tráfico en la red aumentará y el coste unitario decrece. Esto es lógico que suceda en el modelo de costos, porque prácticamente los únicos costes fijos que existen en este modelo son los del espectro (que no varían con el tráfico), por lo que aumentar el número de usuarios, aumenta el tráfico y reduce los costes medios.</w:t>
      </w:r>
    </w:p>
    <w:p w14:paraId="014EE31D"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Sin embargo al introducir la cobertura, se pone de relieve el hecho de que si se quiere aumentar la población cubierta es necesario incurrir en unos costos de despliegue por usuario mayores que los que se ha incurrido hasta ese momento. Dado que el aumento de cobertura se producirá en zonas rurales, más dispersas y menos densamente pobladas que las zonas urbanas y semiurbanas cubiertas con anterioridad, el número de usuarios por estación base será menor que con la cobertura anterior. De esta forma, aunque estos nuevos usuarios potenciales realizarán y recibirán llamadas, esto es, aumentarán el tráfico en la red, lo harán en una proporción menor que el incremento de costes de cobertura, lo que conducirá a un aumento de los costes unitarios.</w:t>
      </w:r>
    </w:p>
    <w:p w14:paraId="1768D478"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De esta forma si un objetivo de la política de la Comisión en los precios de terminación es aumentar la cobertura, el modelo desarrollado no sería una herramienta adecuada, por cuanto no permite valorar la relación entre ambas.</w:t>
      </w:r>
    </w:p>
    <w:p w14:paraId="73E21824"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Al Incorporar el módulo de cobertura, el coste por minuto de terminación prácticamente no varía; sin embargo, el comportamiento del costo unitario ante variaciones del tráfico es enteramente distinto.</w:t>
      </w:r>
    </w:p>
    <w:p w14:paraId="7A7476BF"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Aquellos operadores con menos tráfico que el supuesto en el modelo tendrán un costo de terminación por encima del precio regulado de terminación. Esto es, según el modelo, tendrán pérdidas en el sentido de precios inferior al costo incremental de largo plazo. Recíprocamente, sucederá lo contrario para aquellos operadores con un tráfico superior al utilizado en el modelo.</w:t>
      </w:r>
    </w:p>
    <w:p w14:paraId="51623BEA"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Por tanto, más allá del valor del costo unitario, la cobertura afecta a las ganancias de eficiencia que un operador razonablemente puede conseguir, y por tanto, debe informar la decisión regulatoria.</w:t>
      </w:r>
    </w:p>
    <w:p w14:paraId="0AC9B6F2"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lastRenderedPageBreak/>
        <w:t>En conclusión, la introducción de un módulo de cobertura más allá del efecto que tiene sobre los costos unitarios, hace explícitos algunos efectos de los cargos de terminación en el modelo de esa Comisión, lo que ayuda a mejorar el análisis de cómo los costos de los operadores varían ante dos dimensiones clave en la política regulatoria, como es la cobertura y la eficiencia, así como el impacto que la dotación de espectro tiene sobre los costos de cobertura y el coste de terminación.</w:t>
      </w:r>
    </w:p>
    <w:p w14:paraId="6DC65513"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En el modelo de costos los minutos usados son los efectivamente cursados y facturados. Sin embargo, consideramos que para un dimensionamiento correcto de la red se deberían incluir también los minutos no facturados. Estos se derivan principalmente del hecho que pasa un determinado tiempo hasta que el destinatario de la llamada la acepte o la rechace ("holding time"). El modelo sí parece controlar por las llamadas fallidas, incluyendo la hipótesis de que por cada 10 llamadas completadas hay una fallida. Sin embargo la fuente de este dato no aparece sustentada.</w:t>
      </w:r>
    </w:p>
    <w:p w14:paraId="52BBECF8"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 xml:space="preserve">De conformidad con los datos de la Recurrente, el tiempo de espera es de 0.2 minutos por llamada completada, siendo similar para llamadas fallidas. Dado que las llamadas fallidas representan el 10% de las llamadas completadas, el holding time por llamada completada asciende a 0.22. </w:t>
      </w:r>
    </w:p>
    <w:p w14:paraId="2FB883F2"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AGRAVIOS GENERALES RESPECTO DEL RESOLUTIVO TERCERO DE LA RESOLUCIÓN IMPUGNADA.</w:t>
      </w:r>
    </w:p>
    <w:p w14:paraId="322A75B4"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u w:val="single"/>
          <w:lang w:val="es-ES" w:eastAsia="es-ES"/>
        </w:rPr>
        <w:t>SÉPTIMO</w:t>
      </w:r>
      <w:r w:rsidRPr="00D631CA">
        <w:rPr>
          <w:rFonts w:ascii="ITC Avant Garde" w:hAnsi="ITC Avant Garde" w:cs="Arial"/>
          <w:u w:val="single"/>
        </w:rPr>
        <w:t>.</w:t>
      </w:r>
      <w:r w:rsidRPr="00D631CA">
        <w:rPr>
          <w:rFonts w:ascii="ITC Avant Garde" w:hAnsi="ITC Avant Garde" w:cs="Arial"/>
        </w:rPr>
        <w:t xml:space="preserve"> </w:t>
      </w:r>
      <w:r w:rsidRPr="00D631CA">
        <w:rPr>
          <w:rFonts w:ascii="ITC Avant Garde" w:eastAsia="Times New Roman" w:hAnsi="ITC Avant Garde" w:cs="Arial"/>
          <w:lang w:val="es-ES" w:eastAsia="es-ES"/>
        </w:rPr>
        <w:t>No existe disposición jurídica que faculte a la Comisión para fijar a la Recurrente las tarifas de interconexión con base en costos, por lo que la Comisión contraviene lo dispuesto en el artículo 3, fracción V, de la Ley Federal de Procedimiento Administrativo.</w:t>
      </w:r>
    </w:p>
    <w:p w14:paraId="65E44C24"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En efecto, esa autoridad en la Resolución Recurrida fija las tarifas de interconexión con base en supuestos costos, lo cual no tiene fundamento en disposición legal alguna, por lo que resulta violatoria de lo dispuesto por el artículo 3, fracción V, de la Ley Federal de Procedimiento Administrativo, en relación con la inadecuada aplicación de los artículos 7, 41, 42 y 63 de la Ley Federal de Telecomunicaciones. </w:t>
      </w:r>
    </w:p>
    <w:p w14:paraId="6ACCC81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La Resolución Recurrida es contraria al principio de debida fundamentación que todo acto de autoridad debe necesariamente contener. </w:t>
      </w:r>
    </w:p>
    <w:p w14:paraId="1BCAA11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Si bien es cierto que el artículo 42 de la Ley Federal de Telecomunicaciones no establece parámetro alguno que debe utilizar la autoridad al resolver las disputas de interconexión, el artículo 7 del mismo ordenamiento indica que el objetivo de la propia ley es promover un desarrollo eficiente de las telecomunicaciones, ejercer la rectoría del Estado en la materia, para garantizar la soberanía nacional; fomentar una sana competencia entre los diferentes </w:t>
      </w:r>
      <w:r w:rsidRPr="00D631CA">
        <w:rPr>
          <w:rFonts w:ascii="ITC Avant Garde" w:hAnsi="ITC Avant Garde" w:cs="Arial"/>
        </w:rPr>
        <w:lastRenderedPageBreak/>
        <w:t xml:space="preserve">prestadores de servicios de telecomunicaciones a fin de que éstos se presten con mejores precios, diversidad y calidad en beneficio de los usuarios, y promover una adecuada cobertura social. </w:t>
      </w:r>
    </w:p>
    <w:p w14:paraId="5B0E2A22"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este sentido, era de suponerse que el Modelo de Costos elaborado por la autoridad debió haber resuelto el pretendido desacuerdo entre la</w:t>
      </w:r>
      <w:r w:rsidR="006D2B3D" w:rsidRPr="00D631CA">
        <w:rPr>
          <w:rFonts w:ascii="ITC Avant Garde" w:hAnsi="ITC Avant Garde" w:cs="Arial"/>
        </w:rPr>
        <w:t xml:space="preserve"> </w:t>
      </w:r>
      <w:r w:rsidR="00C67299" w:rsidRPr="00D631CA">
        <w:rPr>
          <w:rFonts w:ascii="ITC Avant Garde" w:hAnsi="ITC Avant Garde" w:cs="Arial"/>
        </w:rPr>
        <w:t>tercero perjudicada</w:t>
      </w:r>
      <w:r w:rsidRPr="00D631CA">
        <w:rPr>
          <w:rFonts w:ascii="ITC Avant Garde" w:hAnsi="ITC Avant Garde" w:cs="Arial"/>
        </w:rPr>
        <w:t xml:space="preserve"> y la Recurrente con base en cada uno de estos principios expresando las razones por las cuáles consideró que su resolución colmaba los objetivos de la ley.</w:t>
      </w:r>
    </w:p>
    <w:p w14:paraId="661011AA"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este sentido, es incomprensible que, si la Ley Federal de Telecomunicaciones no faculta al regulador para establecer las tarifas a los concesionarios conforme a   costos incrementales de largo plazo, salvo en el caso de que tengan poder sustancial en el mercado relevante conforme a la Ley Federal de Competencia Económica, el Modelo de Costos elaborado pretenda fijar las tarifas de interconexión precisamente con base en costos incrementales a largo plazo sin que medie la declaración de poder sustancial en el mercado relevante firme.</w:t>
      </w:r>
    </w:p>
    <w:p w14:paraId="5BADE427"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Es decir, la Ley Federal de Telecomunicaciones es clara respecto del único caso en el que se pueden fijar tarifas conforme a costos incrementales de largo plazo es para operadores con dominancia en el mercado y la autoridad, sin embargo, arbitrariamente modifica el contenido de dicha norma por lo que, se puede presumir válidamente que en la determinación de las tarifas de interconexión se asume infundadamente que la Recurrente perpetra prácticas monopólicas sean relativas o absolutas, lo cual resulta evidentemente inexacto en atención a que ninguna autoridad competente ha decretado que tengan poder sustancial en el mercado relevante, mediante resolución definitiva inatacable.</w:t>
      </w:r>
    </w:p>
    <w:p w14:paraId="2F877341"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efecto, a lo largo de toda la Resolución Recurrida se vierten una serie de argumentos para demostrar que es más conveniente que las tarifas de interconexión se fijen con base en costos. Estos argumentos se basan en recomendaciones internacionales, experiencias en otros países, supuestos hechos notorios o cuestiones fácticas entre otras.</w:t>
      </w:r>
    </w:p>
    <w:p w14:paraId="6928CEE4"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Sin embargo, la autoridad olvida que no obstante que fuera aconsejable la utilización de un modelo de costos, en el marco jurídico mexicano no existe ninguna disposición que permita la utilización del modelo de costos para fijar las tarifas de interconexión de un operador que no tenga poder sustancial en el mercado relevante. Si se quisiera aplicar dichas prácticas aconsejables entonces se debería reformar la ley, pero no actuar al margen de ella.</w:t>
      </w:r>
    </w:p>
    <w:p w14:paraId="5BD282AF"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El artículo 63 de la Ley Federal de Telecomunicaciones consagra la facultad de la Comisión para establecer al concesionario de redes públicas de telecomunicaciones que tenga poder sustancial en el mercado relevante de acuerdo a la Ley Federal de Competencia Económica, obligaciones específicas relacionadas con tarifas, calidad de servicio e información. En el </w:t>
      </w:r>
      <w:r w:rsidRPr="00D631CA">
        <w:rPr>
          <w:rFonts w:ascii="ITC Avant Garde" w:hAnsi="ITC Avant Garde" w:cs="Arial"/>
        </w:rPr>
        <w:lastRenderedPageBreak/>
        <w:t>segundo párrafo de este artículo también establece que la regulación tarifaria que se aplique a los concesionarios de redes públicas de telecomunicaciones que tengan poder sustancial en el mercado relevante buscará que las tarifas de cada servicio, capacidad o función, incluyendo las de interconexión, permitan recuperar, al menos, el costo incremental promedio de largo plazo.</w:t>
      </w:r>
    </w:p>
    <w:p w14:paraId="48314CD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primer lugar, no existe disposición expresa que establezca expresamente que las tarifas de interconexión estén orientadas a costos, por lo que resulta evidente que de una interpretación de la Ley Federal de Telecomunicaciones se concluye que no existe fundamento legal para que en la Resolución Recurrida se fijen las tarifas de interconexión con base en costos.</w:t>
      </w:r>
    </w:p>
    <w:p w14:paraId="7F29E15C"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segundo lugar, en la Ley Federal de Telecomunicaciones se establece que, tratándose de operadores dominantes, las tarifas deben estar orientadas a costos, es decir, deberá tomarse en consideración el costo real de proveer el servicio de interconexión, para lo cual es necesario que las tarifas determinadas contemplen costos actuales y comprobables.</w:t>
      </w:r>
    </w:p>
    <w:p w14:paraId="0DE2CED3"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El artículo 63 de la Ley Federal de Telecomunicaciones establece las tarifas con base en costos, no como una obligación de la autoridad de fijarlos con fundamento en éstos, sino como un derecho mínimo que debe respetar la citada autoridad. Es decir, al efectuarlo, lo hace con el objeto de establecer un derecho a favor del operador dominante de que la autoridad no establezca tarifas por debajo del mismo; o sea le establece un límite inferior o "piso" a la autoridad para el caso de determinar las tarifas de los diversos servicios a que hace referencia el citado artículo 63 de la Ley Federal de Telecomunicaciones.</w:t>
      </w:r>
    </w:p>
    <w:p w14:paraId="1CCB85C5"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Reitera que al tratarse el artículo 63 de un régimen especial para los operadores dominantes no puede ser utilizado de ninguna manera para los que no lo son. En la Resolución Recurrida (foja 60, penúltimo párrafo) pretende darle infundadamente a la Recurrente el carácter de un operador con poder sustancial en el mercado, al basar el modelo en un operador "eficiente" que mantiene el control del 25% del mercado relevante, cuando que en la realidad la Recurrente ostenta una cuota de accesos en el mercado del orden del 21%.</w:t>
      </w:r>
    </w:p>
    <w:p w14:paraId="58CB97A7"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Así las cosas, no se puede aceptar, como se señala (foja 55 de la Resolución Recurrida) que la fijación de tarifas basadas en costos constituya "...un hecho notorio respecto a la industria de las telecomunicaciones..." Al contrario, la fijación de tarifas basadas en costos constituye una excepción al marco general y, por lo tanto, no es aplicable a los concesionarios que se ubican en la regla general, ya que las excepciones son de aplicación estricta. </w:t>
      </w:r>
    </w:p>
    <w:p w14:paraId="4AB2EB24"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El artículo 63 de la Ley Federal de Telecomunicaciones establece una facultad reglada, pues el precepto legal taxativamente limita el actuar de esa autoridad en materia de imposición de tarifas al operador con poder sustancial en el mercado relevante. La clara y terminante </w:t>
      </w:r>
      <w:r w:rsidRPr="00D631CA">
        <w:rPr>
          <w:rFonts w:ascii="ITC Avant Garde" w:hAnsi="ITC Avant Garde" w:cs="Arial"/>
        </w:rPr>
        <w:lastRenderedPageBreak/>
        <w:t>disposición legal convierte a este artículo en una facultad reglada: si y sólo si el operador tiene poder sustancial en el mercado relevante así declarado por la autoridad competente en el periodo del desacuerdo puede imponerse una tarifa orientada a costos. El legislador no abrió otros casos en donde esa autoridad pudiera imponer tarifas con base a costos, ni mucho menos le dio un rango de interpretación para excusar el cumplimiento del requisito esencial de que existiese una declaración de poder sustancial en el mercado relevante que es precisamente la hipótesis normativa del actuar de la Comisión en la Resolución Recurrida.</w:t>
      </w:r>
    </w:p>
    <w:p w14:paraId="3BCF9195"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autoridad cita los artículos 7 y 41 de la Ley Federal de Telecomunicaciones como fundamento para fijar las tarifas de interconexión con base en costos. La autoridad señala (foja 54 de la Resolución Recurrida) que dos principios esenciales para la determinación de tarifas son: "el desarrollo eficiente de las telecomunicaciones y el fomento a una sana competencia entre los prestadores de servicios de telecomunicaciones".</w:t>
      </w:r>
    </w:p>
    <w:p w14:paraId="12D28C1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No obstante la imposibilidad jurídica por parte de la Comisión para fundar la Resolución Recurrida, el cálculo tarifario de interconexión con base en costos diseñado (el cual está siendo impuesto como una carga y no como un derecho mínimo) no permite recuperar las inversiones realizadas y mucho menos continuar con la promoción de la cobertura social a que la Recurrente está obligada en términos de la Ley Federal de Telecomunicaciones y sus títulos de concesión.</w:t>
      </w:r>
    </w:p>
    <w:p w14:paraId="7FDB5514"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Comisión omite otro objetivo fundamental contenido también en el citado artículo 7 de la Ley Federal de Telecomunicaciones consistente en "promover una adecuada cobertura social."</w:t>
      </w:r>
    </w:p>
    <w:p w14:paraId="08863263"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relación a la adecuada cobertura social como uno de los objetivos de la Ley Federal de Telecomunicaciones, es fundamental exponer que el cálculo de la tarifa de interconexión basada en el modelo de costos desarrollado por la Comisión, no obstante que entre sus motivaciones exponga que permita recuperar los costos de capital asociados a la inversión realizada, no permite recuperar las inversiones en infraestructura incurridas por la Recurrente.</w:t>
      </w:r>
    </w:p>
    <w:p w14:paraId="1BB073C1"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Esto significa que al no poder recuperar las inversiones en infraestructura o en capital realizadas, el crecimiento de la Recurrente, así como de los demás operadores de telefonía móvil se verá limitado y no se alcanzará la cobertura social esperada para los próximos años.</w:t>
      </w:r>
    </w:p>
    <w:p w14:paraId="762DE1F2"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Es del conocimiento público que la telefonía móvil ha permitido el acceso a la intercomunicación a sectores de la población que no tienen los medios económicos para sufragar el gasto que implica una renta mensual fija en el caso de la telefonía fija y que le ha permitido a los campesinos y a los trabajadores de menores ingresos, así como al sector rural, a tener una comunicación accesible.</w:t>
      </w:r>
    </w:p>
    <w:p w14:paraId="552BC278"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Con base en el modelo de costos impuesto por esa autoridad no le es posible a la Recurrente cumplir con los objetivos de cobertura social establecidos en su título de concesión y en la Ley Federal de Telecomunicaciones, los cuales, de conformidad con lo manifestado por el Legislador, merecen un interés especial. Lo anterior dado que se restringe la posibilidad de que la Recurrente continúe con las inversiones realizadas para ampliar la cobertura de la Red.</w:t>
      </w:r>
    </w:p>
    <w:p w14:paraId="748CC69B"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sana competencia se materializa a través del establecimiento de disposiciones generales en los planes y no por medio de resoluciones particulares emitidas en desacuerdos de interconexión.</w:t>
      </w:r>
    </w:p>
    <w:p w14:paraId="64267A49" w14:textId="77777777" w:rsidR="00D631CA" w:rsidRPr="00D631CA" w:rsidRDefault="00382941" w:rsidP="00D631CA">
      <w:pPr>
        <w:spacing w:before="240"/>
        <w:jc w:val="both"/>
        <w:rPr>
          <w:rFonts w:ascii="ITC Avant Garde" w:hAnsi="ITC Avant Garde" w:cs="Arial"/>
        </w:rPr>
      </w:pPr>
      <w:bookmarkStart w:id="3" w:name="bookmark33"/>
      <w:r w:rsidRPr="00D631CA">
        <w:rPr>
          <w:rFonts w:ascii="ITC Avant Garde" w:hAnsi="ITC Avant Garde" w:cs="Arial"/>
        </w:rPr>
        <w:t>De la Interpretación del principio de libertad tarifaria en el</w:t>
      </w:r>
      <w:bookmarkEnd w:id="3"/>
      <w:r w:rsidRPr="00D631CA">
        <w:rPr>
          <w:rFonts w:ascii="ITC Avant Garde" w:hAnsi="ITC Avant Garde" w:cs="Arial"/>
        </w:rPr>
        <w:t xml:space="preserve"> sector de las telecomunicaciones, contenidos en la exposición de motivos de la Ley Federal de Telecomunicaciones, no se desprende que las tarifas de interconexión de los concesionarios de redes públicas de telecomunicaciones deban calcularse con base en costos.</w:t>
      </w:r>
    </w:p>
    <w:p w14:paraId="108067DB"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Con las tarifas con base a costos fijadas por esa autoridad en su resolución, no le sería posible a la Recurrente continuar con la prestación de los servicios de interconexión en condiciones satisfactorias de calidad, competitividad, seguridad y permanencia, pues no les sería posible ni siquiera recuperar las inversiones de capital realizadas en los últimos años.</w:t>
      </w:r>
    </w:p>
    <w:p w14:paraId="58D4DC8C"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una primera parte, la Comisión manifestó que no es aplicable el Plan de Interconexión ni aquellas interpretaciones y principios que del mismo se deriven debido a que, por una parte, su utilización implicaría la aplicación retroactiva del mismo y, por la otra, existe un amparo concedido a favor de la Recurrente en contra de la aplicación presente y futura del Plan.</w:t>
      </w:r>
    </w:p>
    <w:p w14:paraId="09BD936E"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No obstante la existencia de un amparo en favor de la Recurrente, de la Resolución Recurrida (foja 54) se desprende que la Comisión aplica principios derivados del Plan de Interconexión pretendiendo fundar su resolución, lo que desde luego deviene en una ilegalidad que robustece, como más adelante se precisará, la indebida fundamentación que adolece la Resolución Recurrida.</w:t>
      </w:r>
    </w:p>
    <w:p w14:paraId="126D143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Contrario a lo que afirma la Comisión en la Resolución Recurrida, la fijación de tarifas de interconexión con base en costos no tiene fundamento en: Los artículos 7 y 41 de la Ley Federal de Telecomunicaciones; Acuerdos y recomendaciones internacionales; En hechos notorios; Reglas del Servicio Local; Reglas del Servicio de Larga Distancia; En los artículos 42 y 63 de la Ley Federal de Telecomunicaciones, y En el Plan de Interconexión.</w:t>
      </w:r>
    </w:p>
    <w:p w14:paraId="0792B248"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De conformidad con lo establecido en la Ley Federal de Telecomunicaciones, específicamente de su artículo 63, sólo procede fijar tarifas de interconexión con base en costos en el caso de operadores dominantes. De los artículos 7, 41 y 42 no se </w:t>
      </w:r>
      <w:proofErr w:type="gramStart"/>
      <w:r w:rsidRPr="00D631CA">
        <w:rPr>
          <w:rFonts w:ascii="ITC Avant Garde" w:hAnsi="ITC Avant Garde" w:cs="Arial"/>
        </w:rPr>
        <w:t>desprende</w:t>
      </w:r>
      <w:proofErr w:type="gramEnd"/>
      <w:r w:rsidRPr="00D631CA">
        <w:rPr>
          <w:rFonts w:ascii="ITC Avant Garde" w:hAnsi="ITC Avant Garde" w:cs="Arial"/>
        </w:rPr>
        <w:t xml:space="preserve"> </w:t>
      </w:r>
      <w:r w:rsidRPr="00D631CA">
        <w:rPr>
          <w:rFonts w:ascii="ITC Avant Garde" w:hAnsi="ITC Avant Garde" w:cs="Arial"/>
        </w:rPr>
        <w:lastRenderedPageBreak/>
        <w:t>ninguna disposición, ni de una interpretación sistemática se llega a la conclusión de que las tarifas de interconexión de todos los operadores deben fijarse orientadas a costos.</w:t>
      </w:r>
    </w:p>
    <w:p w14:paraId="7B12D7B2"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Regla Novena Transitoria de las Reglas del Servicio Local dispone expresamente que su aplicabilidad se encuentra supeditada a la prestación del servicio local fijo, caso contrario al concreto en virtud de que la Recurrente presta el servicio de telefonía móvil.</w:t>
      </w:r>
    </w:p>
    <w:p w14:paraId="4E2FB235"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Por otro lado la Regla 53 de las Reglas de Larga Distancia </w:t>
      </w:r>
      <w:r w:rsidR="00786A2B" w:rsidRPr="00D631CA">
        <w:rPr>
          <w:rFonts w:ascii="ITC Avant Garde" w:hAnsi="ITC Avant Garde" w:cs="Arial"/>
        </w:rPr>
        <w:t xml:space="preserve">es aplicable </w:t>
      </w:r>
      <w:r w:rsidRPr="00D631CA">
        <w:rPr>
          <w:rFonts w:ascii="ITC Avant Garde" w:hAnsi="ITC Avant Garde" w:cs="Arial"/>
        </w:rPr>
        <w:t xml:space="preserve">exclusivamente </w:t>
      </w:r>
      <w:r w:rsidR="00786A2B" w:rsidRPr="00D631CA">
        <w:rPr>
          <w:rFonts w:ascii="ITC Avant Garde" w:hAnsi="ITC Avant Garde" w:cs="Arial"/>
        </w:rPr>
        <w:t>cuando se trata</w:t>
      </w:r>
      <w:r w:rsidRPr="00D631CA">
        <w:rPr>
          <w:rFonts w:ascii="ITC Avant Garde" w:hAnsi="ITC Avant Garde" w:cs="Arial"/>
        </w:rPr>
        <w:t xml:space="preserve"> de operadores con poder sustancial en el mercado relevante para servicios de interconexión bajo la modalidad "El que llama paga Nacional", y no bajo la modalidad "El Que Llama Paga (Local)", en congruencia con lo dispuesto por la Ley Federal de Telecomunicaciones.</w:t>
      </w:r>
    </w:p>
    <w:p w14:paraId="70634277"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Los principios que así se desprendan del Plan Técnico Fundamental, no pueden aplicarse a la Recurrente ya que el mismo fue desincorporado de la esfera jurídica de las quejosas por virtud de un amparo y esa Comisión acepta que el mismo no sirvió como fundamento para la emisión de la Resolución Recurrida.</w:t>
      </w:r>
    </w:p>
    <w:p w14:paraId="4A27E33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Las recomendaciones y directivas internacionales, son simplemente recomendaciones, por lo que resulta inconcuso que no tienen el carácter de Ley Suprema en términos del artículo 133 constitucional y, en consecuencia, el que las mismas sean invocadas por la Comisión para la implementación del modelo de costos repercute en una incorrecta fundamentación.</w:t>
      </w:r>
    </w:p>
    <w:p w14:paraId="1476D88D"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Ausencia de declaración de poder sustancial en contra de la Recurrente por parte de la Comisión Federal de Competencia Económica, máxime cuando la aplicabilidad del modelo de costos se encuentra supeditado a la detentación de un poder sustancial en el mercado relevante en términos del multicitado artículo 63 de la Ley Federal de Telecomunicaciones.</w:t>
      </w:r>
    </w:p>
    <w:p w14:paraId="75FE5AAD"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No existe a la fecha determinación definitiva y firme de poder sustancial en el mercado relevante en contra de la Recurrente que faculte a la autoridad la determinación de tarifas de interconexión con base en costos, no obstante, dicha facultad no deviene en una obligación sino en una facultad potestativa de la autoridad en favor del operador declarado con poder sustancial en el mercado relevante.</w:t>
      </w:r>
    </w:p>
    <w:p w14:paraId="4F1DAEC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Se debió utilizar el artículo 95 del Reglamento de Telecomunicaciones en el que se establece lo que se deberá garantizar para fijar los términos de interconexión, y la Recurrente destaca que en el citado Reglamento de Telecomunicaciones se hace referencia a los costos, pero no a cualquier costo, sino a los propios costos en los que incurre el operador para prestar el servicio.</w:t>
      </w:r>
    </w:p>
    <w:p w14:paraId="335DAB1B"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u w:val="single"/>
        </w:rPr>
        <w:lastRenderedPageBreak/>
        <w:t>OCTAVO.</w:t>
      </w:r>
      <w:r w:rsidRPr="00D631CA">
        <w:rPr>
          <w:rFonts w:ascii="ITC Avant Garde" w:hAnsi="ITC Avant Garde" w:cs="Arial"/>
        </w:rPr>
        <w:t xml:space="preserve"> La Resolución Recurrida no fija una justa retribución y restringe la libertad de trabajo, por lo que está viciada de una indebida motivación al no acatar lo dispuesto por el artículo 5 de la Constitución en relación con el artículo 3, fracción V, de la Ley Federal de Procedimiento Administrativo.</w:t>
      </w:r>
    </w:p>
    <w:p w14:paraId="007923DB"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Comisión mediante la Resolución Recurrida establece tarifas de interconexión fincadas con base en parámetros arbitrarios que entre otras cosas: i) se fijan de conformidad con un operador simulado que no existe en la realidad; ii) determina las tarifas con base en un modelo que no toma en consideración los costos reales de proveer el servicio de interconexión, y iii) atribuye indebidamente a la Recurrente prácticas monopólicas, entre otras cosas.</w:t>
      </w:r>
    </w:p>
    <w:p w14:paraId="2626A402"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En este sentido, la Resolución Recurrida carece de una debida motivación que justifique la falta de una justa retribución a la Recurrente con relación a las contraprestaciones que deberá pagar a la </w:t>
      </w:r>
      <w:r w:rsidR="00C67299" w:rsidRPr="00D631CA">
        <w:rPr>
          <w:rFonts w:ascii="ITC Avant Garde" w:hAnsi="ITC Avant Garde" w:cs="Arial"/>
        </w:rPr>
        <w:t>tercero perjudicada</w:t>
      </w:r>
      <w:r w:rsidRPr="00D631CA">
        <w:rPr>
          <w:rFonts w:ascii="ITC Avant Garde" w:hAnsi="ITC Avant Garde" w:cs="Arial"/>
        </w:rPr>
        <w:t>. Asimismo, la Comisión no consideró debidamente el uso de infraestructura propiedad de la Recurrente ni el costo real de proveer el servicio, lo que genera la ilegalidad de dicha resolución y, en consecuencia con ello, su nulidad.</w:t>
      </w:r>
    </w:p>
    <w:p w14:paraId="35019783"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el caso que nos ocupa, la Recurrente es obligada a prestar un trabajo (los servicios de interconexión) sin que medie una justa retribución. Se insiste, no se puede estimar como justa una retribución que ha sido fijada con base en un Modelo de Costos: i) elaborado para una empresa ficticia o hipotética que sólo fue concebida en el ilegal Modelo de Costos elaborado por esa Comisión en la Resolución Recurrida; ii) que no contempla la situación del mercado mexicano en donde existe un operador que concentra el 70% de los usuarios; iii) que hace caso omiso de las inversiones y costos reales efectuadas por la Recurrente; iv) que fija los valores utilizados en dicho modelo con base en documentos que no le fueron proporcionados a la Recurrente para efectos de analizar su veracidad y congruencia; v) que contiene cálculos complejos que nunca son desglosados, y vi) que desecha el tomar en cuenta que inclusive para el caso de operadores dominantes, el modelo de costo incremental a largo plazo es tan sólo un piso o límite inferior en la fijación de las tarifas (véase segundo párrafo del artículo 63 de la Ley Federal de Telecomunicaciones).</w:t>
      </w:r>
    </w:p>
    <w:p w14:paraId="38D8AECF"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El efecto que tiene la Resolución Recurrida es crear la forma más eficaz de restricción en perjuicio de la Recurrente, las cuales ya han prestado el servicio de interconexión y las </w:t>
      </w:r>
      <w:r w:rsidR="00C67299" w:rsidRPr="00D631CA">
        <w:rPr>
          <w:rFonts w:ascii="ITC Avant Garde" w:hAnsi="ITC Avant Garde" w:cs="Arial"/>
        </w:rPr>
        <w:t>tercero perjudicada</w:t>
      </w:r>
      <w:r w:rsidRPr="00D631CA">
        <w:rPr>
          <w:rFonts w:ascii="ITC Avant Garde" w:hAnsi="ITC Avant Garde" w:cs="Arial"/>
        </w:rPr>
        <w:t>s ha obtenido el beneficio completo por estos servicios, y ahora se pretende privar a la Recurrente de la justa retribución que le corresponde por haberlos llevado a cabo.</w:t>
      </w:r>
    </w:p>
    <w:p w14:paraId="6ADFA498"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u w:val="single"/>
        </w:rPr>
        <w:t>NOVENO.</w:t>
      </w:r>
      <w:r w:rsidRPr="00D631CA">
        <w:rPr>
          <w:rFonts w:ascii="ITC Avant Garde" w:hAnsi="ITC Avant Garde" w:cs="Arial"/>
        </w:rPr>
        <w:t xml:space="preserve"> La Resolución Recurrida contraviene el principio de congruencia procesal con motivo de la interpretación y aplicación de Principios derivados del Plan Técnico Fundamental de Interconexión e Interoperabilidad, contenido en el artículo 3, fracciones V y XVI, de la Ley Federal de Procedimiento Administrativo.</w:t>
      </w:r>
    </w:p>
    <w:p w14:paraId="2607AA5E"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La Comisión es incongruente al fundar la Resolución Recurrida en el Plan de Interconexión, el cual resulta inaplicable al caso concreto toda vez que, por una parte, su utilización implicaría la aplicación retroactiva del mismo y, por la otra, actualmente existe un amparo concedido a favor de la Recurrente en contra de la aplicación presente y futura del Plan.</w:t>
      </w:r>
    </w:p>
    <w:p w14:paraId="48B7E53C"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A lo largo de la Resolución Recurrida </w:t>
      </w:r>
      <w:r w:rsidR="00786A2B" w:rsidRPr="00D631CA">
        <w:rPr>
          <w:rFonts w:ascii="ITC Avant Garde" w:hAnsi="ITC Avant Garde" w:cs="Arial"/>
        </w:rPr>
        <w:t>emplea</w:t>
      </w:r>
      <w:r w:rsidRPr="00D631CA">
        <w:rPr>
          <w:rFonts w:ascii="ITC Avant Garde" w:hAnsi="ITC Avant Garde" w:cs="Arial"/>
        </w:rPr>
        <w:t xml:space="preserve"> los principios aplicables al Plan de Interconexión, situación que es manifestada por la autoridad en la foja 54, en la cual textualmente señala lo siguiente: "Cabe reiterar que no obstante que los objetivos contenidos en las fracciones del artículo 41 de la LFT se refieren a la emisión de planes fundamentales, dichos planes se encuentran íntimamente ligados con la interconexión pues facilitan la implementación de la misma. En tal virtud, dichos principios se hacen extensivos como principios interpretadores para la determinación de condiciones de interconexión no convenidas por los concesionarios."</w:t>
      </w:r>
    </w:p>
    <w:p w14:paraId="69916E71"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transcripción que antecede, no se hace más que evidenciar que contrario a lo manifestado por la propia autoridad a foja 14 de la Resolución Recurrida, la misma de manera por demás contraria a derecho aplica cuestiones relativas al Plan de Interconexión, como lo son entre otras cuestiones los principios aplicables al mismo.</w:t>
      </w:r>
    </w:p>
    <w:p w14:paraId="3806F51B"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esta tesitura, queda de manifiesto la contradicción en la que incurre la Comisión en la medida que aplica, para su resolución, principios que se desprenden de normas generales del Plan de Interconexión, no obstante la existencia de un amparo en favor de la Recurrente, cuyos efectos no se limitan al acto que se reclamó, sino a la imposibilidad de volvérsele a aplicar, tomando en cuenta que la inconstitucionalidad declarada se refiere al Plan en sí mismo; es decir, todo aquello que del mismo se desprenda, como son los Principios que invoca esa Comisión como parte de su indebida fundamentación, con motivo consecuente de una violación al principio de legalidad.</w:t>
      </w:r>
    </w:p>
    <w:p w14:paraId="5F3F0D3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u w:val="single"/>
        </w:rPr>
        <w:t>DÉCIMO.</w:t>
      </w:r>
      <w:r w:rsidRPr="00D631CA">
        <w:rPr>
          <w:rFonts w:ascii="ITC Avant Garde" w:hAnsi="ITC Avant Garde" w:cs="Arial"/>
        </w:rPr>
        <w:t xml:space="preserve"> La Resolución Recurrida transgrede en perjuicio de la Recurrente la garantía de debida fundamentación y motivación en relación con el cálculo del tiempo de las llamadas.</w:t>
      </w:r>
    </w:p>
    <w:p w14:paraId="293ABA1E"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efecto, la Comisión pretende establecer a cargo de la Recurrente la obligación de calcular las llamadas en tiempo real y no por redondeo a minutos sin que exista la debida fundamentación y motivación para ello.</w:t>
      </w:r>
    </w:p>
    <w:p w14:paraId="7F709A51"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Lo anterior es así, ya que el modelo utilizado por el Pleno de la Comisión (en la hipótesis no admitida de que el mismo resultara aplicable) claramente contiene diversas incongruencias entre sí, pues por un lado, establece la obligación a cargo de la Recurrente de calcular las llamadas en tiempo real, es decir, por segundos y por el otro la Comisión utiliza factores para sustentar su modelo cuyo cálculo utiliza el método de redondeo por minuto.</w:t>
      </w:r>
    </w:p>
    <w:p w14:paraId="7E79F2F2" w14:textId="4D02CC9E" w:rsidR="00382941"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 xml:space="preserve">Lo anterior es así, ya que si la Comisión realizara las mismas operaciones y cálculos con una base de datos calculada en tiempo real, es decir, mediante el cálculo de las llamadas en segundos, necesariamente tendría que determinar tarifas de interconexión mucho más altas, ya que se estaría modificando el factor denominado "Demanda de Red (minutos X </w:t>
      </w:r>
      <w:proofErr w:type="spellStart"/>
      <w:r w:rsidRPr="00D631CA">
        <w:rPr>
          <w:rFonts w:ascii="ITC Avant Garde" w:hAnsi="ITC Avant Garde" w:cs="Arial"/>
        </w:rPr>
        <w:t>Ruteamiento</w:t>
      </w:r>
      <w:proofErr w:type="spellEnd"/>
      <w:r w:rsidRPr="00D631CA">
        <w:rPr>
          <w:rFonts w:ascii="ITC Avant Garde" w:hAnsi="ITC Avant Garde" w:cs="Arial"/>
        </w:rPr>
        <w:t>)" consagrado en la tabla 9 para obtener el "CILP", lo que necesariamente generaría un resultado diferente al obtenido por la Comisión y el cual se traduciría en unas tarifas de interconexión superiores a la establecidas en la Resolución Recurrida.</w:t>
      </w:r>
    </w:p>
    <w:p w14:paraId="469087DB"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u w:val="single"/>
        </w:rPr>
        <w:t>DÉCIMO PRIMERO.</w:t>
      </w:r>
      <w:r w:rsidRPr="00D631CA">
        <w:rPr>
          <w:rFonts w:ascii="ITC Avant Garde" w:hAnsi="ITC Avant Garde" w:cs="Arial"/>
        </w:rPr>
        <w:t xml:space="preserve"> En la elaboración del Modelo de Costos se violó la Ley Federal de Procedimiento Administrativo, pues no fue objeto del proceso de mejora regulatoria ni se publicó debidamente en el Diario Oficial de la Federación, contraviniendo lo dispuesto en los artículos 69 y demás relativos de la Ley Federal de Procedimiento Administrativo.</w:t>
      </w:r>
    </w:p>
    <w:p w14:paraId="14996B7B"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El Modelo de Costos incumple con la obligación establecida por los artículos 4, 69-A y demás relativos de la Ley Federal de Procedimiento Administrativo, pues el acto jurídico consistente en la elaboración del modelo de costos que contiene la metodología para determinar las tarifas de interconexión no fue objeto del proceso de mejora regulatoria ni se publicó debidamente en el Diario Oficial de la Federación.</w:t>
      </w:r>
    </w:p>
    <w:p w14:paraId="5D210E31"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efecto, de conformidad con el artículo 4 de la Ley Federal de Procedimiento Administrativo, los actos administrativos consistentes en metodologías y criterios deben ser publicados en el Diario Oficial de la Federación previa opinión de la Comisión Federal de Mejora Regulatoria (en adelante "</w:t>
      </w:r>
      <w:proofErr w:type="spellStart"/>
      <w:r w:rsidRPr="00D631CA">
        <w:rPr>
          <w:rFonts w:ascii="ITC Avant Garde" w:hAnsi="ITC Avant Garde" w:cs="Arial"/>
        </w:rPr>
        <w:t>Cofemer</w:t>
      </w:r>
      <w:proofErr w:type="spellEnd"/>
      <w:r w:rsidRPr="00D631CA">
        <w:rPr>
          <w:rFonts w:ascii="ITC Avant Garde" w:hAnsi="ITC Avant Garde" w:cs="Arial"/>
        </w:rPr>
        <w:t>").</w:t>
      </w:r>
    </w:p>
    <w:p w14:paraId="68B7D400"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Es decir, todas las metodologías emitidas por una dependencia u órgano descentralizado de la Administración Pública Federal, deberán obtener un dictamen final de la </w:t>
      </w:r>
      <w:proofErr w:type="spellStart"/>
      <w:r w:rsidRPr="00D631CA">
        <w:rPr>
          <w:rFonts w:ascii="ITC Avant Garde" w:hAnsi="ITC Avant Garde" w:cs="Arial"/>
        </w:rPr>
        <w:t>Cofemer</w:t>
      </w:r>
      <w:proofErr w:type="spellEnd"/>
      <w:r w:rsidRPr="00D631CA">
        <w:rPr>
          <w:rFonts w:ascii="ITC Avant Garde" w:hAnsi="ITC Avant Garde" w:cs="Arial"/>
        </w:rPr>
        <w:t xml:space="preserve"> a efecto de que puedan ser publicadas en el Diario Oficial de la Federación y, por lo tanto, puedan surtir sus efectos jurídicos. </w:t>
      </w:r>
    </w:p>
    <w:p w14:paraId="737FABEC"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Ahora bien, si dicho Modelo de Costos no fue publicado en el Diario Oficial de la Federación y, por lo tanto, no surte sus efectos jurídicos a particulares que esa Comisión lo utilice en la Resolución Recurrida implica una flagrante violación a la garantía de debida fundamentación y motivación prevista en los artículos 14 y 16 de nuestra Constitución en relación al artículo 3, fracción V de la Ley Federal del Procedimiento Administrativo.</w:t>
      </w:r>
    </w:p>
    <w:p w14:paraId="2B02037E"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u w:val="single"/>
        </w:rPr>
        <w:t>DÉCIMO SEGUNDO</w:t>
      </w:r>
      <w:r w:rsidRPr="00D631CA">
        <w:rPr>
          <w:rFonts w:ascii="ITC Avant Garde" w:hAnsi="ITC Avant Garde" w:cs="Arial"/>
        </w:rPr>
        <w:t>. La Resolución Recurrida resulta ilegal, dado el vicio de incongruencia externa que adolece, pues con el modelo de costos que utiliza, determina tarifas de interconexión diversas para varios operadores, violando con ello los requisitos de debida fundamentación y motivación previstos en el artículo 3 de la Ley Federal de Procedimiento Administrativo.</w:t>
      </w:r>
    </w:p>
    <w:p w14:paraId="284FCD2F"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En principio de cuentas, solicito atentamente a esa Comisión se tengan por insertos los argumentos relativos a la debida fundamentación y motivación que todo acto privativo debe tener.</w:t>
      </w:r>
    </w:p>
    <w:p w14:paraId="6779A03E"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Resolución Recurrida deviene en ilegal, en virtud de que pese a que la Comisión utiliza el mismo modelo de costos empleado para resolver el desacuerdo de interconexión con diversos operadores, determina tarifas de interconexión distintas, con lo que se está dando un trato inequitativo y sin justificación legal que redunda en un trato arbitrario a los operadores de telecomunicaciones.</w:t>
      </w:r>
    </w:p>
    <w:p w14:paraId="258110EF"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Con fecha 20 de octubre de 2010, en la resolución P/EXT/201010/492, se resolvieron tarifas de interconexión para la Recurrente y Axtel, S.A.B. de C.V., mediante el empleo de un modelo de costos incrementales a largo plazo basado en un operador hipotético, la Comisión determinó ciertas tarifas, y determinó tarifas aún más bajas para el periodo de 2011 en la Resolución Recurrida.</w:t>
      </w:r>
    </w:p>
    <w:p w14:paraId="5BC63083"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este sentido, como todo ámbito de autoridad, el actuar de la Comisión está circunscrito a que se sigan determinadas formalidades para su ejercicio, para lo cual debió enunciar los motivos razones y circunstancias que la llevaron a resolver tarifas distintas para dos periodos idénticos con base en la aplicación de supuestamente los mismos principios.</w:t>
      </w:r>
    </w:p>
    <w:p w14:paraId="7AA1B0D3"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u w:val="single"/>
        </w:rPr>
        <w:t>DÉCIMO TERCERO</w:t>
      </w:r>
      <w:r w:rsidRPr="00D631CA">
        <w:rPr>
          <w:rFonts w:ascii="ITC Avant Garde" w:hAnsi="ITC Avant Garde" w:cs="Arial"/>
        </w:rPr>
        <w:t>. La Resolución Recurrida resulta ilegal, toda vez que la Comisión se encontraba impedida para determinar tarifas de interconexión en el presente desacuerdo, en virtud de que está infringiendo lo convenido en la cláusula de aplicación continua y vigencia.</w:t>
      </w:r>
    </w:p>
    <w:p w14:paraId="111C205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Ley Federal de Telecomunicaciones permite que los concesionarios de redes públicas de telecomunicaciones convengan los términos y condiciones de interconexión entre sus redes de conformidad con lo establecido por el artículo 42 de la Ley Federal de Telecomunicaciones, es necesario que existan condiciones no convenidas como un presupuesto esencial de procedencia para la intervención de la Comisión en la resolución del desacuerdo.</w:t>
      </w:r>
    </w:p>
    <w:p w14:paraId="0BCE8454" w14:textId="28098ABC" w:rsidR="00382941" w:rsidRPr="00D631CA" w:rsidRDefault="00382941" w:rsidP="00D631CA">
      <w:pPr>
        <w:spacing w:before="240"/>
        <w:jc w:val="both"/>
        <w:rPr>
          <w:rFonts w:ascii="ITC Avant Garde" w:hAnsi="ITC Avant Garde" w:cs="Arial"/>
        </w:rPr>
      </w:pPr>
      <w:r w:rsidRPr="00D631CA">
        <w:rPr>
          <w:rFonts w:ascii="ITC Avant Garde" w:hAnsi="ITC Avant Garde" w:cs="Arial"/>
        </w:rPr>
        <w:t xml:space="preserve">Invoca las cláusulas 17.2 y 4.1.2 del convenio de interconexión celebrado entre la </w:t>
      </w:r>
      <w:r w:rsidR="00C67299" w:rsidRPr="00D631CA">
        <w:rPr>
          <w:rFonts w:ascii="ITC Avant Garde" w:hAnsi="ITC Avant Garde" w:cs="Arial"/>
        </w:rPr>
        <w:t>tercero perjudicada</w:t>
      </w:r>
      <w:r w:rsidRPr="00D631CA">
        <w:rPr>
          <w:rFonts w:ascii="ITC Avant Garde" w:hAnsi="ITC Avant Garde" w:cs="Arial"/>
        </w:rPr>
        <w:t xml:space="preserve"> y la Recurrente, y aduce que se debe advertir que en ejercicio de la autonomía de la voluntad, las partes pactaron que el convenio tendría plena vigencia hasta en tanto suscribieran nuevo convenio de interconexión, situación que no ha acontecido y si se efectúa una interpretación literal de las citadas cláusulas impide a la Comisión a intervenir en términos del artículo 42 de la Ley Federal de Telecomunicaciones en el desacuerdo. En este sentido, deviene ilegal por contrario al espíritu del artículo 42 de la multicitada Ley el que la Comisión </w:t>
      </w:r>
      <w:r w:rsidRPr="00D631CA">
        <w:rPr>
          <w:rFonts w:ascii="ITC Avant Garde" w:hAnsi="ITC Avant Garde" w:cs="Arial"/>
        </w:rPr>
        <w:lastRenderedPageBreak/>
        <w:t>haya soslayado el argumento de la Recurrente en el sentido de que se veía material y jurídicamente imposibilitada para resolver el desacuerdo.</w:t>
      </w:r>
    </w:p>
    <w:p w14:paraId="6313E2B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u w:val="single"/>
        </w:rPr>
        <w:t>DÉCIMO CUARTO</w:t>
      </w:r>
      <w:r w:rsidRPr="00D631CA">
        <w:rPr>
          <w:rFonts w:ascii="ITC Avant Garde" w:hAnsi="ITC Avant Garde" w:cs="Arial"/>
        </w:rPr>
        <w:t>. La Resolución Recurrida carece de fundamentación y es objeto de una deficiente motivación, al declarar que la tarifa de facturación y cobranza no es materia del desacuerdo de interconexión en virtud de que dicha tarifa forma parte de la tarifa que se cobra al usuario final, de ahí que se regule bajo el principio de libertad tarifaria.</w:t>
      </w:r>
    </w:p>
    <w:p w14:paraId="190289C5"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La Recurrente en los escritos de contestación de los desacuerdos promovido por la </w:t>
      </w:r>
      <w:r w:rsidR="00C67299" w:rsidRPr="00D631CA">
        <w:rPr>
          <w:rFonts w:ascii="ITC Avant Garde" w:hAnsi="ITC Avant Garde" w:cs="Arial"/>
        </w:rPr>
        <w:t>tercero perjudicada</w:t>
      </w:r>
      <w:r w:rsidRPr="00D631CA">
        <w:rPr>
          <w:rFonts w:ascii="ITC Avant Garde" w:hAnsi="ITC Avant Garde" w:cs="Arial"/>
        </w:rPr>
        <w:t xml:space="preserve"> y dentro de la secuela procesal, manifestó que la Comisión ha distinguido entre operadores móviles y fijos, manteniendo sobre estos últimos un sobreprecio derivado de la facturación y cobranza por el tráfico dirigido a redes móviles bajo la modalidad "EQLLP" (en adelante tarifa de costos asociados a la facturación y cobranza), aun y cuando la Recurrente, en todos los casos, ha solicitado la eliminación o reducción de la tarifa de costos asociados a la facturación y cobranza como parte de la </w:t>
      </w:r>
      <w:proofErr w:type="spellStart"/>
      <w:r w:rsidRPr="00D631CA">
        <w:rPr>
          <w:rFonts w:ascii="ITC Avant Garde" w:hAnsi="ITC Avant Garde" w:cs="Arial"/>
        </w:rPr>
        <w:t>litis</w:t>
      </w:r>
      <w:proofErr w:type="spellEnd"/>
      <w:r w:rsidRPr="00D631CA">
        <w:rPr>
          <w:rFonts w:ascii="ITC Avant Garde" w:hAnsi="ITC Avant Garde" w:cs="Arial"/>
        </w:rPr>
        <w:t xml:space="preserve"> de los desacuerdos de interconexión de que ha sido parte.</w:t>
      </w:r>
    </w:p>
    <w:p w14:paraId="793CA3CD"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Comisión haciendo caso omiso a los argumentos expresados por la Recurrente, de forma ilegal y equívoca determina que las tarifas aplicables por concepto de facturación y cobranza no son materia del presente desacuerdo, ya que éstas forman parte de la tarifa que cobra el concesionario al usuario final, de ahí que se regulen bajo el principio de libertad tarifaria.</w:t>
      </w:r>
    </w:p>
    <w:p w14:paraId="06717272"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La tarifa de facturación y cobranza que las empresas de telefonía fija cobran a sus usuarios finales por tráfico dirigido a las redes móviles, bajo la modalidad "EQLLP", fue determinada mediante la resolución P/271198/282, de fecha 27 de noviembre de 1998, en el desacuerdo de interconexión entre Teléfonos de México, S.A. de C.V. y Teléfonos del Noroeste, S.A. de C.V. y Baja Celular Mexicana, S.A. de C.V.; Celular de Telefonía, S.A. de C.V.; </w:t>
      </w:r>
      <w:proofErr w:type="spellStart"/>
      <w:r w:rsidRPr="00D631CA">
        <w:rPr>
          <w:rFonts w:ascii="ITC Avant Garde" w:hAnsi="ITC Avant Garde" w:cs="Arial"/>
        </w:rPr>
        <w:t>Movitel</w:t>
      </w:r>
      <w:proofErr w:type="spellEnd"/>
      <w:r w:rsidRPr="00D631CA">
        <w:rPr>
          <w:rFonts w:ascii="ITC Avant Garde" w:hAnsi="ITC Avant Garde" w:cs="Arial"/>
        </w:rPr>
        <w:t xml:space="preserve"> del Noroeste, S.A. de C.V.; Telefonía Celular del Norte, S.A. de C.V., Comunicaciones Celulares de Occidente, S.A. de C.V., Sistemas Telefónicos Portátiles Celulares, S.A. de C.V., Telecomunicaciones del Golfo, S.A. de C.V., SOS Telecomunicaciones, S.A. de C.V. y </w:t>
      </w:r>
      <w:proofErr w:type="spellStart"/>
      <w:r w:rsidRPr="00D631CA">
        <w:rPr>
          <w:rFonts w:ascii="ITC Avant Garde" w:hAnsi="ITC Avant Garde" w:cs="Arial"/>
        </w:rPr>
        <w:t>Portatel</w:t>
      </w:r>
      <w:proofErr w:type="spellEnd"/>
      <w:r w:rsidRPr="00D631CA">
        <w:rPr>
          <w:rFonts w:ascii="ITC Avant Garde" w:hAnsi="ITC Avant Garde" w:cs="Arial"/>
        </w:rPr>
        <w:t xml:space="preserve"> del Sureste, S.A. de C.V., en la que se consideró “Que en la actualidad la tarifa de servicio medido local que cobran Telmex y </w:t>
      </w:r>
      <w:proofErr w:type="spellStart"/>
      <w:r w:rsidRPr="00D631CA">
        <w:rPr>
          <w:rFonts w:ascii="ITC Avant Garde" w:hAnsi="ITC Avant Garde" w:cs="Arial"/>
        </w:rPr>
        <w:t>Telnor</w:t>
      </w:r>
      <w:proofErr w:type="spellEnd"/>
      <w:r w:rsidRPr="00D631CA">
        <w:rPr>
          <w:rFonts w:ascii="ITC Avant Garde" w:hAnsi="ITC Avant Garde" w:cs="Arial"/>
        </w:rPr>
        <w:t xml:space="preserve"> a sus usuarios por realizar llamadas de esa clase son significativamente inferiores al costo por terminación de tráfico en una red de acceso inalámbrico que presta el servicio local móvil, por lo que para poder cubrir la tarifa de interconexión correspondiente, bajo la modalidad "El que llama paga", se justifica la aplicación de una mayor tarifa por la </w:t>
      </w:r>
      <w:proofErr w:type="spellStart"/>
      <w:r w:rsidRPr="00D631CA">
        <w:rPr>
          <w:rFonts w:ascii="ITC Avant Garde" w:hAnsi="ITC Avant Garde" w:cs="Arial"/>
        </w:rPr>
        <w:t>originación</w:t>
      </w:r>
      <w:proofErr w:type="spellEnd"/>
      <w:r w:rsidRPr="00D631CA">
        <w:rPr>
          <w:rFonts w:ascii="ITC Avant Garde" w:hAnsi="ITC Avant Garde" w:cs="Arial"/>
        </w:rPr>
        <w:t xml:space="preserve"> de éste que permita recuperar, además del uso de la infraestructura local, el monto correspondiente a la tarifa de interconexión y otros costos asociados a la facturación y cobranza de la misma.</w:t>
      </w:r>
    </w:p>
    <w:p w14:paraId="418AE85E"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 xml:space="preserve">De conformidad con lo anterior, resulta incongruente que la Resolución Recurrida determine que la tarifa de costos asociados a la facturación y cobranza es una tarifa al usuario final y, que por ello se rija bajo el principio de libertad tarifaria, ya que se la está regulando Telmex y a </w:t>
      </w:r>
      <w:proofErr w:type="spellStart"/>
      <w:r w:rsidRPr="00D631CA">
        <w:rPr>
          <w:rFonts w:ascii="ITC Avant Garde" w:hAnsi="ITC Avant Garde" w:cs="Arial"/>
        </w:rPr>
        <w:t>Telnor</w:t>
      </w:r>
      <w:proofErr w:type="spellEnd"/>
      <w:r w:rsidRPr="00D631CA">
        <w:rPr>
          <w:rFonts w:ascii="ITC Avant Garde" w:hAnsi="ITC Avant Garde" w:cs="Arial"/>
        </w:rPr>
        <w:t xml:space="preserve"> dentro de un desacuerdo de interconexión (sin que sea una obligación derivada de su título de concesión, o en su caso en su carácter de operador sustancial), por lo que la Comisión debe regular de igual forma a todos los concesionarios fijos que originen tráfico dirigido a las redes móviles, bajo la modalidad "EQLLP".</w:t>
      </w:r>
    </w:p>
    <w:p w14:paraId="0E91594D"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De esta forma, los operadores fijos al cobrar a sus usuarios el sobrecargo por llamadas a redes móviles, el cual no tiene su base en costos, proporciona a las redes móviles un trato discriminatorio injustificado con respecto a las llamadas destinadas a redes fijas, encareciendo las llamadas destino a las redes móviles en perjuicio de la Recurrente y en contravención de los principios rectores en materia de telecomunicaciones previstos en el artículo 7 de la Ley Federal de Telecomunicaciones.</w:t>
      </w:r>
    </w:p>
    <w:p w14:paraId="3335674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u w:val="single"/>
        </w:rPr>
        <w:t>DÉCIMO QUINTO</w:t>
      </w:r>
      <w:r w:rsidRPr="00D631CA">
        <w:rPr>
          <w:rFonts w:ascii="ITC Avant Garde" w:hAnsi="ITC Avant Garde" w:cs="Arial"/>
          <w:b/>
        </w:rPr>
        <w:t>.</w:t>
      </w:r>
      <w:r w:rsidRPr="00D631CA">
        <w:rPr>
          <w:rFonts w:ascii="ITC Avant Garde" w:hAnsi="ITC Avant Garde" w:cs="Arial"/>
        </w:rPr>
        <w:t xml:space="preserve"> La Comisión debe resolver debidamente la objeción de documentos hecha valer por la Recurrente en el inicio del procedimiento y tomarla en consideración al momento de valorar las pruebas ofrecidas por las partes.</w:t>
      </w:r>
    </w:p>
    <w:p w14:paraId="732FF90F"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Resolución Recurrida es violatoria de lo dispuesto por el artículo 203 del Código Federal de Procedimientos Civiles, de aplicación supletoria a la materia administrativa, al no haber atendido debidamente la objeción de documentos hecha valer por la Recurrente en el curso del procedimiento, lo que tiene como consecuencia la violación a su vez de lo dispuesto por el artículo 3, fracción VII, de la Ley Federal de Procedimiento Administrativo, en tanto que dicha resolución no se sujetó a las disposiciones relativas al procedimiento administrativo previstas en dicho ordenamiento legal.</w:t>
      </w:r>
    </w:p>
    <w:p w14:paraId="55D3F90D"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En efecto, la Recurrente en los escritos por virtud de los cuales compareció al desacuerdo de interconexión, objetó expresamente el alcance y valor probatorio (no así la autenticidad, lo que se aclara para los efectos legales conducentes) de todos y cada uno de los documentos exhibidos hasta entonces por la </w:t>
      </w:r>
      <w:r w:rsidR="00C67299" w:rsidRPr="00D631CA">
        <w:rPr>
          <w:rFonts w:ascii="ITC Avant Garde" w:hAnsi="ITC Avant Garde" w:cs="Arial"/>
        </w:rPr>
        <w:t>tercero perjudicada</w:t>
      </w:r>
      <w:r w:rsidRPr="00D631CA">
        <w:rPr>
          <w:rFonts w:ascii="ITC Avant Garde" w:hAnsi="ITC Avant Garde" w:cs="Arial"/>
        </w:rPr>
        <w:t>.</w:t>
      </w:r>
    </w:p>
    <w:p w14:paraId="4D38CA0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En relación con el particular, en la página 22 de la Resolución Recurrida el Pleno de la Comisión manifestó: "Respecto a la objeción de documentos manifestada por Grupo Telefónica, esta Comisión considera que si bien es cierto que de conformidad con el artículo 2° de la LFPA, el CFPC es aplicable de manera supletoria a dicho ordenamiento legal; en el caso concreto, el artículo 142 del CFPC referido a la objeción de documentos dicha objeción no tiene trascendencia, toda vez que la Comisión en la presente Resolución se ha pronunciado respecto a las pruebas ofrecidas por las partes. Lo anterior en virtud de que la autoridad tiene el carácter de </w:t>
      </w:r>
      <w:proofErr w:type="spellStart"/>
      <w:r w:rsidRPr="00D631CA">
        <w:rPr>
          <w:rFonts w:ascii="ITC Avant Garde" w:hAnsi="ITC Avant Garde" w:cs="Arial"/>
        </w:rPr>
        <w:t>resolutora</w:t>
      </w:r>
      <w:proofErr w:type="spellEnd"/>
      <w:r w:rsidRPr="00D631CA">
        <w:rPr>
          <w:rFonts w:ascii="ITC Avant Garde" w:hAnsi="ITC Avant Garde" w:cs="Arial"/>
        </w:rPr>
        <w:t xml:space="preserve"> y el particular se encuentra en una situación de </w:t>
      </w:r>
      <w:r w:rsidRPr="00D631CA">
        <w:rPr>
          <w:rFonts w:ascii="ITC Avant Garde" w:hAnsi="ITC Avant Garde" w:cs="Arial"/>
        </w:rPr>
        <w:lastRenderedPageBreak/>
        <w:t>subordinación en relación con dicha autoridad. Por tanto, esta Comisión considera improcedentes las manifestaciones de Grupo Telefónica y los Solicitantes."</w:t>
      </w:r>
    </w:p>
    <w:p w14:paraId="3FBD7A8C"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Según se advierte de la transcripción anterior, la Comisión considera que la Recurrente se encuentra en una situación de subordinación en su relación con esta misma autoridad y que, por tal razón considera que carece de trascendencia la objeción de documentos formulada expresa y oportunamente en el procedimiento. Únicamente agrega la Comisión, al momento de desestimar por completo la objeción planteada, que la misma ya se ha pronunciado sobre las pruebas ofrecidas por la partes.</w:t>
      </w:r>
    </w:p>
    <w:p w14:paraId="7044D842"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El artículo 2 de la Ley Federal de Procedimiento Administrativo establece que ese mismo ordenamiento legal deberá ser suplido por las disposiciones del Código Federal de Procedimientos Civiles; de tal forma que la objeción de documentos a que se refieren los artículos 142, 203 y demás relativos del Código Federal de Procedimientos Civiles, constituye una disposición válidamente aplicable en el caso del procedimiento administrativo cuyo objeto es resolver los desacuerdos de interconexión iniciados con base en lo dispuesto por el artículo 42 de la Ley Federal de Telecomunicaciones. Por su parte, la manera de atender la objeción de documentos formulada dentro de un procedimiento administrativo, como es el caso, constituye a su vez una formalidad del procedimiento en tanto que debe ceñirse a los efectos que los dispositivos legales antes invocados atribuyen a dichos actos procesales.</w:t>
      </w:r>
    </w:p>
    <w:p w14:paraId="77805C8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objeción es un acto jurídico procesal, esto es, una expresión de voluntad que tiene por objeto manifestar que quien la produce no está dispuesto a someterse al contenido, alcance y valor probatorio del documento privado contra el cual se formula en un determinado procedimiento.</w:t>
      </w:r>
    </w:p>
    <w:p w14:paraId="1A8BD3AD"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tales términos, la actitud de quien opone la objeción permite evitar que se entienda consentido el alcance y valor probatorio que la contraparte pretende dar a un instrumento privado determinado y, por ende, dicha conducta activa consigue que no se produzca en su contra el reconocimiento tácito del documento. De esta forma, el oferente de la documental objetada, para demostrar sus afirmaciones, debe acreditar el hecho específico con otros medios de prueba distintos y/o adicionales.</w:t>
      </w:r>
    </w:p>
    <w:p w14:paraId="36200DEB"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Comisión, en observancia de las formalidades del procedimiento debió considerar la objeción formulada por la Recurrente al momento de pronunciarse sobre las pruebas ofrecidas por las partes, estableciendo razonadamente el impacto que dicha objeción produjo en el caso concreto, en relación con el valor probatorio de los documentos respecto de los cuales se formuló.</w:t>
      </w:r>
    </w:p>
    <w:p w14:paraId="75E36425"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u w:val="single"/>
        </w:rPr>
        <w:lastRenderedPageBreak/>
        <w:t>DÉCIMO SEXTO</w:t>
      </w:r>
      <w:r w:rsidRPr="00D631CA">
        <w:rPr>
          <w:rFonts w:ascii="ITC Avant Garde" w:hAnsi="ITC Avant Garde" w:cs="Arial"/>
        </w:rPr>
        <w:t xml:space="preserve">. La Comisión carece de facultades para emitir determinaciones que afecten directa o indirectamente la existencia, validez, vigencia o exigibilidad de las condiciones de interconexión previamente convenidas entre la Recurrente y la </w:t>
      </w:r>
      <w:r w:rsidR="00C67299" w:rsidRPr="00D631CA">
        <w:rPr>
          <w:rFonts w:ascii="ITC Avant Garde" w:hAnsi="ITC Avant Garde" w:cs="Arial"/>
        </w:rPr>
        <w:t>Tercero perjudicada</w:t>
      </w:r>
      <w:r w:rsidRPr="00D631CA">
        <w:rPr>
          <w:rFonts w:ascii="ITC Avant Garde" w:hAnsi="ITC Avant Garde" w:cs="Arial"/>
        </w:rPr>
        <w:t>.</w:t>
      </w:r>
    </w:p>
    <w:p w14:paraId="3AEAB0D5"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Lo ordenado por esa autoridad en el resolutivo primero de la Resolución Recurrida en relación con el momento en el cual serán eficaces y exigibles las condiciones de interconexión por ésta establecidas, específicamente en lo relativo a las tarifas de interconexión entre la Recurrente y la </w:t>
      </w:r>
      <w:r w:rsidR="00C67299" w:rsidRPr="00D631CA">
        <w:rPr>
          <w:rFonts w:ascii="ITC Avant Garde" w:hAnsi="ITC Avant Garde" w:cs="Arial"/>
        </w:rPr>
        <w:t>tercero perjudicada</w:t>
      </w:r>
      <w:r w:rsidRPr="00D631CA">
        <w:rPr>
          <w:rFonts w:ascii="ITC Avant Garde" w:hAnsi="ITC Avant Garde" w:cs="Arial"/>
        </w:rPr>
        <w:t>, es contrario a las condiciones de interconexión que esas mismas partes tienen convenidas entre sí, violando así lo dispuesto por el artículo 42 de la Ley Federal de Telecomunicaciones en relación con los requisitos establecidos en el artículo 3, fracción de la Ley Federal de Procedimiento Administrativo.</w:t>
      </w:r>
    </w:p>
    <w:p w14:paraId="7316362E"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De conformidad con la fracción X del artículo 9-A y la última parte del artículo 42 de la Ley Federal de Telecomunicaciones, la Comisión sólo puede resolver las condiciones que, en materia de interconexión de redes públicas de telecomunicaciones, no hayan podido convenirse entre los respectivos concesionarios. De tal manera que si no existe desacuerdo, es decir, si los concesionarios han logrado pactar algunos de los términos que rigen la interconexión, éstos deben respetarse tanto por las partes involucradas, como por la propia Comisión, la que en este caso carece de facultades para revocar, modificar o en cualquier otra forma alterar esas condiciones que sí pudieron convenirse.</w:t>
      </w:r>
    </w:p>
    <w:p w14:paraId="70DB04D3"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seguimiento de lo anterior, las resoluciones emitidas por la Comisión en relación con las condiciones de la interconexión que no pudieron convenirse en un caso determinado, en ningún modo pueden tener el efecto o alcance de privar, dejar sin efectos, dar por terminados o limitar los términos y condiciones que sí fueron convenidos entre determinados concesionarios.</w:t>
      </w:r>
    </w:p>
    <w:p w14:paraId="6259DD8B"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En la especie, la Recurrente y la </w:t>
      </w:r>
      <w:r w:rsidR="00C67299" w:rsidRPr="00D631CA">
        <w:rPr>
          <w:rFonts w:ascii="ITC Avant Garde" w:hAnsi="ITC Avant Garde" w:cs="Arial"/>
        </w:rPr>
        <w:t>tercero perjudicada</w:t>
      </w:r>
      <w:r w:rsidRPr="00D631CA">
        <w:rPr>
          <w:rFonts w:ascii="ITC Avant Garde" w:hAnsi="ITC Avant Garde" w:cs="Arial"/>
        </w:rPr>
        <w:t xml:space="preserve"> tienen celebrado a la presente fecha un convenio de interconexión en el cual pactaron válidamente diversas condiciones de interconexión, las cuales, a la fecha, se encuentran surtiendo plenos efectos en razón de la cláusula de aplicación continua contenida en dicho convenio (cláusula 17.2 del convenio de interconexión)</w:t>
      </w:r>
      <w:r w:rsidRPr="00D631CA">
        <w:rPr>
          <w:rFonts w:ascii="ITC Avant Garde" w:hAnsi="ITC Avant Garde" w:cs="Arial"/>
          <w:b/>
        </w:rPr>
        <w:t>.</w:t>
      </w:r>
    </w:p>
    <w:p w14:paraId="6E5C5C4F"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Una de esas condiciones sí convenidas entre las partes, respecto de las cuales la Comisión se encuentra impedida para pronunciarse por no ser materia del desacuerdo, es decir, por carecer de facultades legales para hacerlo, se deduce de lo establecido en la diversa cláusula 4.1.2 del mencionado convenio de interconexión.</w:t>
      </w:r>
    </w:p>
    <w:p w14:paraId="1E244130"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Por lo anterior, queda claro que lo ordenado por la Comisión en relación al momento en el cual serán eficaces y exigibles las nuevas tarifas establecidas en la Resolución Recurrida, si </w:t>
      </w:r>
      <w:r w:rsidRPr="00D631CA">
        <w:rPr>
          <w:rFonts w:ascii="ITC Avant Garde" w:hAnsi="ITC Avant Garde" w:cs="Arial"/>
        </w:rPr>
        <w:lastRenderedPageBreak/>
        <w:t>bien es cierto que en términos generales se encuentra apoyado en lo establecido por el artículo 9 de la Ley Federal de Procedimiento Administrativo, no menos cierto es que dicha determinación es infundada en el caso particular, pues resulta contraria a lo convenido entre las partes directamente involucradas, ya que éstas acordaron expresamente que las nuevas tarifas que en su caso se establezcan, para ser aplicadas y/o pagadas entre sí, deberán contenerse en una "resolución administrativa o judicial”, circunstancia que no acontece en el caso de la Resolución Recurrida, pues a la fecha existen diversos recursos ordinarios y medios de defensa que las partes se encuentran en aptitudes de agotar, tal y como es el caso del recurso de revisión que en el presente escrito se promueve.</w:t>
      </w:r>
    </w:p>
    <w:p w14:paraId="52BE5F4A"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AGRAVIOS RESPECTO CON EL RESOLUTIVO QUINTO DE LA RESOLUCIÓN IMPUGNADA</w:t>
      </w:r>
    </w:p>
    <w:p w14:paraId="68ED65A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u w:val="single"/>
        </w:rPr>
        <w:t>DÉCIMO SÉPTIMO</w:t>
      </w:r>
      <w:r w:rsidRPr="00D631CA">
        <w:rPr>
          <w:rFonts w:ascii="ITC Avant Garde" w:hAnsi="ITC Avant Garde" w:cs="Arial"/>
        </w:rPr>
        <w:t>. No existe disposición jurídica que faculte a la Comisión para fijar a la Recurrente las tarifas de interconexión con base en costos. Al efecto la Recurrente solicita se tenga por reproducido el agravio Séptimo.</w:t>
      </w:r>
    </w:p>
    <w:p w14:paraId="13C82B90"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u w:val="single"/>
        </w:rPr>
        <w:t>DÉCIMO OCTAVO</w:t>
      </w:r>
      <w:r w:rsidRPr="00D631CA">
        <w:rPr>
          <w:rFonts w:ascii="ITC Avant Garde" w:hAnsi="ITC Avant Garde" w:cs="Arial"/>
        </w:rPr>
        <w:t>. La utilización del "operador eficiente" en el Modelo de Costos implica una indebida fundamentación y motivación de la Resolución Recurrida, con lo que se contraviene lo dispuesto por el artículo 3, fracción V, de la Ley Federal de Procedimiento Administrativo.</w:t>
      </w:r>
    </w:p>
    <w:p w14:paraId="73761504"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determinación e implementación del Modelo de Costos empleado por esa Comisión con base en un supuesto "operador eficiente" que no existe en la realidad, implica la violación del artículo 3, fracción V de la Ley Federal de Procedimiento Administrativo.</w:t>
      </w:r>
    </w:p>
    <w:p w14:paraId="721B724D"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 xml:space="preserve">Todo el Modelo de Costos se encuentra sustentado en la existencia de una empresa que no existe en realidad. Siendo que lo que tenía que hacer esa autoridad era calcular la tarifa de interconexión entre las hoy </w:t>
      </w:r>
      <w:r w:rsidR="00C67299" w:rsidRPr="00D631CA">
        <w:rPr>
          <w:rFonts w:ascii="ITC Avant Garde" w:eastAsia="Times New Roman" w:hAnsi="ITC Avant Garde" w:cs="Arial"/>
          <w:lang w:val="es-ES" w:eastAsia="es-ES"/>
        </w:rPr>
        <w:t>tercero perjudicada</w:t>
      </w:r>
      <w:r w:rsidRPr="00D631CA">
        <w:rPr>
          <w:rFonts w:ascii="ITC Avant Garde" w:eastAsia="Times New Roman" w:hAnsi="ITC Avant Garde" w:cs="Arial"/>
          <w:lang w:val="es-ES" w:eastAsia="es-ES"/>
        </w:rPr>
        <w:t>s y mis Representadas, carece de toda lógica al emplear los supuestos costos en los que incurre dicho operador inexistente para fijar esta tarifa.  Esa Comisión proporciona dos definiciones distintas de lo que es un operador “eficiente” o un operador “representativo”, lo cual vuelve a toda la Resolución Impugnada incongruente desde el punto de vista interno y, por lo tanto la vicia de indebida fundamentación y motivación.</w:t>
      </w:r>
    </w:p>
    <w:p w14:paraId="7CC37B9C"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u w:val="single"/>
          <w:lang w:val="es-ES" w:eastAsia="es-ES"/>
        </w:rPr>
        <w:t>DÉCIMO NOVENO</w:t>
      </w:r>
      <w:r w:rsidRPr="00D631CA">
        <w:rPr>
          <w:rFonts w:ascii="ITC Avant Garde" w:hAnsi="ITC Avant Garde" w:cs="Arial"/>
        </w:rPr>
        <w:t xml:space="preserve">. </w:t>
      </w:r>
      <w:r w:rsidRPr="00D631CA">
        <w:rPr>
          <w:rFonts w:ascii="ITC Avant Garde" w:eastAsia="Times New Roman" w:hAnsi="ITC Avant Garde" w:cs="Arial"/>
          <w:lang w:val="es-ES" w:eastAsia="es-ES"/>
        </w:rPr>
        <w:t>La Comisión omite señalar las operaciones aritméticas para determinar la tarifa de interconexión, por lo que se violan los principios de debida fundamentación y motivación, contenidos en el artículo 3, fracción V de la Ley Federal de Procedimiento Administrativo.</w:t>
      </w:r>
    </w:p>
    <w:p w14:paraId="6A996E90"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lastRenderedPageBreak/>
        <w:t>En el modelo de costos mediante el cual se determina la tarifa de interconexión contenida en el resolutivo tercero, esa Comisión no refiere de manera puntual la justificación de las operaciones matemáticas efectuadas, así como el mecanismo utilizado en las mismas.</w:t>
      </w:r>
    </w:p>
    <w:p w14:paraId="236CBA98"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Lo anterior, no otorga seguridad jurídica alguna a mis Representadas respecto de los resultados a los que arriba esa Comisión, situación que se repite en todos y cada uno de los componentes del Modelo de Costos.</w:t>
      </w:r>
    </w:p>
    <w:p w14:paraId="179491CE"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u w:val="single"/>
        </w:rPr>
        <w:t>VIGÉSIMO.</w:t>
      </w:r>
      <w:r w:rsidRPr="00D631CA">
        <w:rPr>
          <w:rFonts w:ascii="ITC Avant Garde" w:hAnsi="ITC Avant Garde" w:cs="Arial"/>
        </w:rPr>
        <w:t xml:space="preserve"> En la Resolución Recurrida se utilizan argumentos vagos e imprecisos, por lo que está indebidamente motivada y viola el artículo 3, fracción V, de la Ley Federal de Procedimiento Administrativo. La Recurrente solicita se tenga por reproducido el agravio Séptimo, en cuanto a debida fundamentación y motivación se refiere.</w:t>
      </w:r>
    </w:p>
    <w:p w14:paraId="52B63875"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La Resolución Impugnada respecto a las consideraciones que la llevaron a determinar las tarifas de interconexión del resolutivo quinto está indebidamente motivada ya que esa Comisión utilizada argumentos vagos y la petición de principio, con lo cual mis Representadas no tienen conocimiento de cómo se motivaron los resolutivos.</w:t>
      </w:r>
    </w:p>
    <w:p w14:paraId="3B66AD9F"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Debido a las vaguedades e imprecisiones contenidas en la Resolución Impugnada, como a las que se ha hecho referencia en el presente agravio, mis representadas no conocen muchas de las razones específicas por las que esa Comisión determinó la tarifa de interconexión en los términos de la Resolución que nos ocupa.</w:t>
      </w:r>
    </w:p>
    <w:p w14:paraId="6A11BAEE"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Derivado de lo anterior, la Recurrente solicita se declare la nulidad de la Resolución Recurrida.</w:t>
      </w:r>
    </w:p>
    <w:p w14:paraId="5747AEB5"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b/>
          <w:lang w:val="es-ES" w:eastAsia="es-ES"/>
        </w:rPr>
        <w:t xml:space="preserve">NOVENO.- </w:t>
      </w:r>
      <w:r w:rsidRPr="00D631CA">
        <w:rPr>
          <w:rFonts w:ascii="ITC Avant Garde" w:eastAsia="Times New Roman" w:hAnsi="ITC Avant Garde" w:cs="Arial"/>
          <w:lang w:val="es-ES" w:eastAsia="es-ES"/>
        </w:rPr>
        <w:t>Que para acreditar la procedencia de los argumentos referidos en el considerando precedente, la Recurrente ofreció como pruebas las siguientes:</w:t>
      </w:r>
    </w:p>
    <w:p w14:paraId="2E39D66D" w14:textId="77777777" w:rsidR="00D631CA" w:rsidRPr="00D631CA" w:rsidRDefault="00382941" w:rsidP="00D631CA">
      <w:pPr>
        <w:spacing w:before="240"/>
        <w:jc w:val="both"/>
        <w:rPr>
          <w:rFonts w:ascii="ITC Avant Garde" w:hAnsi="ITC Avant Garde" w:cs="Arial"/>
          <w:lang w:val="es-ES"/>
        </w:rPr>
      </w:pPr>
      <w:r w:rsidRPr="00D631CA">
        <w:rPr>
          <w:rFonts w:ascii="ITC Avant Garde" w:hAnsi="ITC Avant Garde" w:cs="Arial"/>
          <w:lang w:val="es-ES"/>
        </w:rPr>
        <w:t>1) LAS DOCUMENTALES PÚBLICAS, consistentes en las escrituras mediante las cuales se acredita la personalidad del apoderado de las personas morales Recurrentes, que acompañó como Anexos 1 al 5;</w:t>
      </w:r>
    </w:p>
    <w:p w14:paraId="6D3EEB3A" w14:textId="77777777" w:rsidR="00D631CA" w:rsidRPr="00D631CA" w:rsidRDefault="00382941" w:rsidP="00D631CA">
      <w:pPr>
        <w:spacing w:before="240"/>
        <w:jc w:val="both"/>
        <w:rPr>
          <w:rFonts w:ascii="ITC Avant Garde" w:hAnsi="ITC Avant Garde" w:cs="Arial"/>
          <w:lang w:val="es-ES"/>
        </w:rPr>
      </w:pPr>
      <w:r w:rsidRPr="00D631CA">
        <w:rPr>
          <w:rFonts w:ascii="ITC Avant Garde" w:hAnsi="ITC Avant Garde" w:cs="Arial"/>
          <w:lang w:val="es-ES"/>
        </w:rPr>
        <w:t>2) LA DOCUMENTAL PRIVADA, consistente en el informe preparado por la Firma “</w:t>
      </w:r>
      <w:proofErr w:type="spellStart"/>
      <w:r w:rsidRPr="00D631CA">
        <w:rPr>
          <w:rFonts w:ascii="ITC Avant Garde" w:hAnsi="ITC Avant Garde" w:cs="Arial"/>
          <w:lang w:val="es-ES"/>
        </w:rPr>
        <w:t>Frontier</w:t>
      </w:r>
      <w:proofErr w:type="spellEnd"/>
      <w:r w:rsidRPr="00D631CA">
        <w:rPr>
          <w:rFonts w:ascii="ITC Avant Garde" w:hAnsi="ITC Avant Garde" w:cs="Arial"/>
          <w:lang w:val="es-ES"/>
        </w:rPr>
        <w:t xml:space="preserve"> </w:t>
      </w:r>
      <w:proofErr w:type="spellStart"/>
      <w:r w:rsidRPr="00D631CA">
        <w:rPr>
          <w:rFonts w:ascii="ITC Avant Garde" w:hAnsi="ITC Avant Garde" w:cs="Arial"/>
          <w:lang w:val="es-ES"/>
        </w:rPr>
        <w:t>Economics</w:t>
      </w:r>
      <w:proofErr w:type="spellEnd"/>
      <w:r w:rsidRPr="00D631CA">
        <w:rPr>
          <w:rFonts w:ascii="ITC Avant Garde" w:hAnsi="ITC Avant Garde" w:cs="Arial"/>
          <w:lang w:val="es-ES"/>
        </w:rPr>
        <w:t>”, a través del cual realiza comentarios con respecto al modelo de costos de terminación en redes móviles utilizado por la Comisión, que acompañó como Anexo 6;</w:t>
      </w:r>
    </w:p>
    <w:p w14:paraId="35AEC703" w14:textId="77777777" w:rsidR="00D631CA" w:rsidRPr="00D631CA" w:rsidRDefault="00382941" w:rsidP="00D631CA">
      <w:pPr>
        <w:spacing w:before="240"/>
        <w:jc w:val="both"/>
        <w:rPr>
          <w:rFonts w:ascii="ITC Avant Garde" w:hAnsi="ITC Avant Garde" w:cs="Arial"/>
          <w:lang w:val="es-ES"/>
        </w:rPr>
      </w:pPr>
      <w:r w:rsidRPr="00D631CA">
        <w:rPr>
          <w:rFonts w:ascii="ITC Avant Garde" w:hAnsi="ITC Avant Garde" w:cs="Arial"/>
          <w:lang w:val="es-ES"/>
        </w:rPr>
        <w:t xml:space="preserve">3) LA DOCUMENTAL PRIVADA, consistente en un papel de trabajo mediante el cual se exponen los datos comparativos estadísticos de: i) la inversión unitaria que debe hacer el operador en algunos elementos de red, ii) el porcentaje comparativo de llamadas en hora pico en México, Francia y Gran Bretaña, iii) vida útil de algunos elementos que integran las Redes Públicas de Telecomunicaciones, iv) lista de países que dimensionan sus modelos de </w:t>
      </w:r>
      <w:r w:rsidRPr="00D631CA">
        <w:rPr>
          <w:rFonts w:ascii="ITC Avant Garde" w:hAnsi="ITC Avant Garde" w:cs="Arial"/>
          <w:lang w:val="es-ES"/>
        </w:rPr>
        <w:lastRenderedPageBreak/>
        <w:t>costos con base en la topología de la red utilizando datos precisos de la geografía y v) el factor de no homogeneidad aplicable al TRX, que acompañó como Anexo 7;</w:t>
      </w:r>
    </w:p>
    <w:p w14:paraId="0C2B286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4) DOCUMENTALES PRIVADAS, consistentes en los informes a la Gerencia General números 478-GPR/2010 de 12 de agosto de 2010 y Número 168- GPR/2010 de 26 de marzo de 2010 elaborados por OSIPTEL, documentos a los que la Recurrente no le otorga mayor alcance ni consiente cuestiones diversas a los siguientes incisos: i) las inversiones relacionadas con la introducción y migración a las tecnología de tercera generación; ii) la existencia de </w:t>
      </w:r>
      <w:proofErr w:type="spellStart"/>
      <w:r w:rsidRPr="00D631CA">
        <w:rPr>
          <w:rFonts w:ascii="ITC Avant Garde" w:hAnsi="ITC Avant Garde" w:cs="Arial"/>
        </w:rPr>
        <w:t>HLRs</w:t>
      </w:r>
      <w:proofErr w:type="spellEnd"/>
      <w:r w:rsidRPr="00D631CA">
        <w:rPr>
          <w:rFonts w:ascii="ITC Avant Garde" w:hAnsi="ITC Avant Garde" w:cs="Arial"/>
        </w:rPr>
        <w:t xml:space="preserve"> redundantes; iii) la red de señalización; y iv) el “software” de optimización para tecnologías “2G” con un valor superior a los seis millones de dólares, que acompañó como Anexos 8 y 9;</w:t>
      </w:r>
    </w:p>
    <w:p w14:paraId="6EE1C5FE"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5) DOCUMENTALES PÚBLICAS, consistentes en copia certificada i) del citatorio de fecha 20 de abril de 2012 por virtud del se solicita a la Recurrente se sirvan esperar el día 23 de abril de 2012 al Notificador correspondiente de la Comisión a efecto de notificar la Resolución P/110412/136, ii) del instructivo de notificación de fecha 23 de abril de 2012 por virtud del cual se notifica a la Recurrente la resolución P/110412/136 emitida por el Pleno de la Comisión Federal de Telecomunicaciones y iii) de la resolución P/110412/136 de fecha 11 de abril de 2012, mediante la cual el Pleno de la Comisión Federal de Telecomunicaciones determina las condiciones de interconexión no convenidas entre la </w:t>
      </w:r>
      <w:r w:rsidR="00C67299" w:rsidRPr="00D631CA">
        <w:rPr>
          <w:rFonts w:ascii="ITC Avant Garde" w:hAnsi="ITC Avant Garde" w:cs="Arial"/>
        </w:rPr>
        <w:t>tercero perjudicada</w:t>
      </w:r>
      <w:r w:rsidRPr="00D631CA">
        <w:rPr>
          <w:rFonts w:ascii="ITC Avant Garde" w:hAnsi="ITC Avant Garde" w:cs="Arial"/>
        </w:rPr>
        <w:t xml:space="preserve"> y la Recurrente, que acompañó como Anexos 10, 11 y 12;</w:t>
      </w:r>
    </w:p>
    <w:p w14:paraId="6F5455BD" w14:textId="6EB9F465" w:rsidR="00382941" w:rsidRPr="00D631CA" w:rsidRDefault="00382941" w:rsidP="00D631CA">
      <w:pPr>
        <w:spacing w:before="240"/>
        <w:jc w:val="both"/>
        <w:rPr>
          <w:rFonts w:ascii="ITC Avant Garde" w:hAnsi="ITC Avant Garde" w:cs="Arial"/>
        </w:rPr>
      </w:pPr>
      <w:r w:rsidRPr="00D631CA">
        <w:rPr>
          <w:rFonts w:ascii="ITC Avant Garde" w:hAnsi="ITC Avant Garde" w:cs="Arial"/>
        </w:rPr>
        <w:t xml:space="preserve">6) DOCUMENTALES PÚBLICAS, consistentes en copia simple i) del voto particular del Comisionado Alexis Milo </w:t>
      </w:r>
      <w:proofErr w:type="spellStart"/>
      <w:r w:rsidRPr="00D631CA">
        <w:rPr>
          <w:rFonts w:ascii="ITC Avant Garde" w:hAnsi="ITC Avant Garde" w:cs="Arial"/>
        </w:rPr>
        <w:t>Caraza</w:t>
      </w:r>
      <w:proofErr w:type="spellEnd"/>
      <w:r w:rsidRPr="00D631CA">
        <w:rPr>
          <w:rFonts w:ascii="ITC Avant Garde" w:hAnsi="ITC Avant Garde" w:cs="Arial"/>
        </w:rPr>
        <w:t>, emitido mediante oficio CFT/D01/OCB/0730/2011, de fecha 13 de julio de 2011, ii) de la resolución P/201010/492 de fecha 20 de octubre de 2010, mediante la cual el Pleno de la Comisión Federal de Telecomunicaciones determina las condiciones de interconexión no convenidas entre Axtel, S.A.B. de C.V. y la Recurrente y iii) "Anexo 1" de la Resolución P/201010/492 por virtud del cual se determina la tarifa de terminación local para una red de telefonía móvil en México bajo el esquema "El que llama paga", implementando un Modelo de Costos Incrementales de Largo Plazo, que acompañó como Anexos 13, 14 y 15;</w:t>
      </w:r>
    </w:p>
    <w:p w14:paraId="4781B0EF"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7) DOCUMENTAL PRIVADA, consistente en un estudio de vida útil efectuado por la Firma Ernst and Young en Chile, que acompañó como Anexo 16.</w:t>
      </w:r>
    </w:p>
    <w:p w14:paraId="66D67451"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8) DOCUMENTAL PRIVADA, consistente en papel de trabajo comparativo en el que se enuncia la valoración de elementos de red en el modelo de costos para terminación móvil en Perú, que acompañó como Anexo 17;</w:t>
      </w:r>
    </w:p>
    <w:p w14:paraId="4C809D08"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9) DOCUMENTAL PRIVADA, consistente en papel de trabajo en el que se establece el monto histórico de inversiones realizadas por los operadores de telefonía móvil en México, que acompañó como Anexo 18;</w:t>
      </w:r>
    </w:p>
    <w:p w14:paraId="2C40B9F3"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10) DOCUMENTAL PRIVADA, consistente en papel de trabajo en el cual se refleja la vida útil de inversiones en bienes de capital necesarios para la prestación del servicio de telecomunicaciones, así como diversos gastos relacionados con la prestación del servicio, que acompañó como Anexo 19;</w:t>
      </w:r>
    </w:p>
    <w:p w14:paraId="57D4A3D5"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11) PRUEBA PERICIAL EN MATERIA DE ECONOMÍA DE LAS TELECOMUNICACIONES, a cargo del licenciado en economía Iván Díaz Barreiro Hernández, con cédula profesional número 3424365 expedida a su favor por la Dirección General de Profesiones de la Secretaría de Educación Pública, que acompañó como Anexo 20, al tenor del cuestionario que formuló la oferente de la prueba.</w:t>
      </w:r>
    </w:p>
    <w:p w14:paraId="2F99B9BD"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12) EL EXPEDIENTE ADMINISTRATIVO, que contiene toda la información relacionada con el procedimiento que dio lugar a la emisión de la Resolución Recurrida, incluidas todas las documentales tanto públicas como privadas que obren en el mismo.</w:t>
      </w:r>
    </w:p>
    <w:p w14:paraId="7A8AF5AB"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13) LA PRESUNCIONAL LEGAL Y HUMANA, ASÍ COMO LA INSTRUMENTAL DE ACTUACIONES, en todo aquello que beneficie a los intereses de la Recurrente.</w:t>
      </w:r>
    </w:p>
    <w:p w14:paraId="4B784EEF"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totalidad de las probanzas referidas fueron admitidas por oficio del diecisiete de mayo de dos mil doce, por lo que sin perjuicio de las referencias que se realicen a las probanzas referidas, al analizar los argumentos de la Recurrente, se entra al análisis y valoración de las pruebas admitidas y desahogadas en los siguientes términos:</w:t>
      </w:r>
    </w:p>
    <w:p w14:paraId="7CECCAF7" w14:textId="77777777" w:rsidR="00D631CA" w:rsidRPr="00D631CA" w:rsidRDefault="00382941" w:rsidP="00D631CA">
      <w:pPr>
        <w:spacing w:before="240"/>
        <w:jc w:val="both"/>
        <w:rPr>
          <w:rFonts w:ascii="ITC Avant Garde" w:eastAsia="Times New Roman" w:hAnsi="ITC Avant Garde" w:cs="Arial"/>
          <w:b/>
          <w:lang w:val="es-ES" w:eastAsia="es-ES"/>
        </w:rPr>
      </w:pPr>
      <w:r w:rsidRPr="00D631CA">
        <w:rPr>
          <w:rFonts w:ascii="ITC Avant Garde" w:eastAsia="Times New Roman" w:hAnsi="ITC Avant Garde" w:cs="Arial"/>
          <w:b/>
          <w:lang w:val="es-ES" w:eastAsia="es-ES"/>
        </w:rPr>
        <w:t>Documentales</w:t>
      </w:r>
    </w:p>
    <w:p w14:paraId="05FFB1D2" w14:textId="77777777" w:rsidR="00D631CA" w:rsidRPr="00D631CA" w:rsidRDefault="00382941" w:rsidP="00D631CA">
      <w:pPr>
        <w:spacing w:before="240"/>
        <w:jc w:val="both"/>
        <w:rPr>
          <w:rFonts w:ascii="ITC Avant Garde" w:hAnsi="ITC Avant Garde" w:cs="Arial"/>
          <w:bCs/>
        </w:rPr>
      </w:pPr>
      <w:r w:rsidRPr="00D631CA">
        <w:rPr>
          <w:rFonts w:ascii="ITC Avant Garde" w:hAnsi="ITC Avant Garde" w:cs="Arial"/>
          <w:bCs/>
        </w:rPr>
        <w:t>Anexo 1: En relación con la documental pública consistente en la copia certificada de la escritura número 150,924 de fecha 19 de mayo de 2011, pasada ante la fe del licenciado Cecilio González Márquez, Notario Público número 151 del Distrito Federal, se concede a la misma pleno valor probatorio en términos de lo dispuesto en los artículos 79, 93 fracción II, 129, 197 y 202 del Código Federal de Procedimientos Civiles (en lo sucesivo, CFPC), y con la misma se tiene por acreditada la personalidad del representante legal de Baja Celular Mexicana, S.A. de C.V.</w:t>
      </w:r>
    </w:p>
    <w:p w14:paraId="10AE03E8" w14:textId="77777777" w:rsidR="00D631CA" w:rsidRPr="00D631CA" w:rsidRDefault="00382941" w:rsidP="00D631CA">
      <w:pPr>
        <w:spacing w:before="240"/>
        <w:jc w:val="both"/>
        <w:rPr>
          <w:rFonts w:ascii="ITC Avant Garde" w:hAnsi="ITC Avant Garde" w:cs="Arial"/>
          <w:bCs/>
        </w:rPr>
      </w:pPr>
      <w:r w:rsidRPr="00D631CA">
        <w:rPr>
          <w:rFonts w:ascii="ITC Avant Garde" w:hAnsi="ITC Avant Garde" w:cs="Arial"/>
          <w:bCs/>
        </w:rPr>
        <w:t>Anexo 2: En relación con la documental pública consistente en la copia certificada de la escritura número 150,928 de fecha 19 de mayo de 2011, pasada ante la fe del licenciado Cecilio González Márquez, Notario Público número 151 del Distrito Federal, se concede a la misma pleno valor probatorio en términos de lo dispuesto en los artículos 79, 93 fracción II, 129, 197 y 202 del CFPC, y con la misma se tiene por acreditada la personalidad del representante legal de Celular de Telefonía, S.A. de C.V.</w:t>
      </w:r>
    </w:p>
    <w:p w14:paraId="57703D0D" w14:textId="77777777" w:rsidR="00D631CA" w:rsidRPr="00D631CA" w:rsidRDefault="00382941" w:rsidP="00D631CA">
      <w:pPr>
        <w:spacing w:before="240"/>
        <w:jc w:val="both"/>
        <w:rPr>
          <w:rFonts w:ascii="ITC Avant Garde" w:hAnsi="ITC Avant Garde" w:cs="Arial"/>
          <w:bCs/>
        </w:rPr>
      </w:pPr>
      <w:r w:rsidRPr="00D631CA">
        <w:rPr>
          <w:rFonts w:ascii="ITC Avant Garde" w:hAnsi="ITC Avant Garde" w:cs="Arial"/>
          <w:bCs/>
        </w:rPr>
        <w:lastRenderedPageBreak/>
        <w:t xml:space="preserve">Anexo 3: En relación con la documental pública consistente en la copia certificada de la escritura número 150,606 de fecha 29 de abril de 2011, pasada ante la fe del licenciado Cecilio González Márquez, Notario Público número 151 del Distrito Federal, se concede a la misma pleno valor probatorio en términos de lo dispuesto en los artículos 79, 93 fracción II, 129, 197 y 202 del CFPC, y con la misma se tiene por acreditada la personalidad del representante legal de </w:t>
      </w:r>
      <w:proofErr w:type="spellStart"/>
      <w:r w:rsidRPr="00D631CA">
        <w:rPr>
          <w:rFonts w:ascii="ITC Avant Garde" w:hAnsi="ITC Avant Garde" w:cs="Arial"/>
          <w:bCs/>
        </w:rPr>
        <w:t>Movitel</w:t>
      </w:r>
      <w:proofErr w:type="spellEnd"/>
      <w:r w:rsidRPr="00D631CA">
        <w:rPr>
          <w:rFonts w:ascii="ITC Avant Garde" w:hAnsi="ITC Avant Garde" w:cs="Arial"/>
          <w:bCs/>
        </w:rPr>
        <w:t xml:space="preserve"> del Noroeste, S.A. de C.V.</w:t>
      </w:r>
    </w:p>
    <w:p w14:paraId="27EAF2E2" w14:textId="77777777" w:rsidR="00D631CA" w:rsidRPr="00D631CA" w:rsidRDefault="00382941" w:rsidP="00D631CA">
      <w:pPr>
        <w:spacing w:before="240"/>
        <w:jc w:val="both"/>
        <w:rPr>
          <w:rFonts w:ascii="ITC Avant Garde" w:hAnsi="ITC Avant Garde" w:cs="Arial"/>
          <w:bCs/>
        </w:rPr>
      </w:pPr>
      <w:r w:rsidRPr="00D631CA">
        <w:rPr>
          <w:rFonts w:ascii="ITC Avant Garde" w:hAnsi="ITC Avant Garde" w:cs="Arial"/>
          <w:bCs/>
        </w:rPr>
        <w:t>Anexo 4: En relación con la documental pública consistente en la copia certificada de la escritura número 150,926 de fecha 19 de mayo de 2011, pasada ante la fe del licenciado Cecilio González Márquez, Notario Público número 151 del Distrito Federal, se concede a la misma pleno valor probatorio en términos de lo dispuesto en los artículos 79, 93 fracción II, 129, 197 y 202 del CFPC, y con la misma se tiene por acreditada la personalidad del representante legal de Telefonía Celular del Norte, S.A. de C.V.</w:t>
      </w:r>
    </w:p>
    <w:p w14:paraId="43B7B4C2" w14:textId="77777777" w:rsidR="00D631CA" w:rsidRPr="00D631CA" w:rsidRDefault="00382941" w:rsidP="00D631CA">
      <w:pPr>
        <w:spacing w:before="240"/>
        <w:jc w:val="both"/>
        <w:rPr>
          <w:rFonts w:ascii="ITC Avant Garde" w:hAnsi="ITC Avant Garde" w:cs="Arial"/>
          <w:bCs/>
        </w:rPr>
      </w:pPr>
      <w:r w:rsidRPr="00D631CA">
        <w:rPr>
          <w:rFonts w:ascii="ITC Avant Garde" w:hAnsi="ITC Avant Garde" w:cs="Arial"/>
          <w:bCs/>
        </w:rPr>
        <w:t>Anexo 5: En relación con la documental pública consistente en la copia certificada de la escritura número 150,904 de fecha 19 de mayo de 2011, pasada ante la fe del licenciado Cecilio González Márquez, Notario Público número 151 del Distrito Federal, se concede a la misma pleno valor probatorio en términos de lo dispuesto en los artículos 79, 93 fracción II, 129, 197 y 202 del CFPC, y con la misma se tiene por acreditada la personalidad del representante legal de Pegaso Comunicaciones y Sistemas, S.A. de C.V.</w:t>
      </w:r>
    </w:p>
    <w:p w14:paraId="49EEFFED" w14:textId="77777777" w:rsidR="00D631CA" w:rsidRPr="00D631CA" w:rsidRDefault="00382941" w:rsidP="00D631CA">
      <w:pPr>
        <w:spacing w:before="240"/>
        <w:jc w:val="both"/>
        <w:rPr>
          <w:rFonts w:ascii="ITC Avant Garde" w:hAnsi="ITC Avant Garde" w:cs="Arial"/>
          <w:lang w:val="es-ES"/>
        </w:rPr>
      </w:pPr>
      <w:r w:rsidRPr="00D631CA">
        <w:rPr>
          <w:rFonts w:ascii="ITC Avant Garde" w:hAnsi="ITC Avant Garde" w:cs="Arial"/>
          <w:lang w:val="es-ES"/>
        </w:rPr>
        <w:t xml:space="preserve">Anexo 6: En relación con el documento consistente en la impresión del documento denominado “Comentarios al modelo de costos de terminación en redes móviles de </w:t>
      </w:r>
      <w:proofErr w:type="spellStart"/>
      <w:r w:rsidRPr="00D631CA">
        <w:rPr>
          <w:rFonts w:ascii="ITC Avant Garde" w:hAnsi="ITC Avant Garde" w:cs="Arial"/>
          <w:lang w:val="es-ES"/>
        </w:rPr>
        <w:t>Cofetel</w:t>
      </w:r>
      <w:proofErr w:type="spellEnd"/>
      <w:r w:rsidRPr="00D631CA">
        <w:rPr>
          <w:rFonts w:ascii="ITC Avant Garde" w:hAnsi="ITC Avant Garde" w:cs="Arial"/>
          <w:lang w:val="es-ES"/>
        </w:rPr>
        <w:t xml:space="preserve">. UN INFORME PREPARADO PARA TELEFÓNICA MÓVILES MÉXICO. </w:t>
      </w:r>
      <w:proofErr w:type="spellStart"/>
      <w:r w:rsidRPr="00D631CA">
        <w:rPr>
          <w:rFonts w:ascii="ITC Avant Garde" w:hAnsi="ITC Avant Garde" w:cs="Arial"/>
          <w:lang w:val="es-ES"/>
        </w:rPr>
        <w:t>July</w:t>
      </w:r>
      <w:proofErr w:type="spellEnd"/>
      <w:r w:rsidRPr="00D631CA">
        <w:rPr>
          <w:rFonts w:ascii="ITC Avant Garde" w:hAnsi="ITC Avant Garde" w:cs="Arial"/>
          <w:lang w:val="es-ES"/>
        </w:rPr>
        <w:t xml:space="preserve"> 2012”, que se atribuye a </w:t>
      </w:r>
      <w:proofErr w:type="spellStart"/>
      <w:r w:rsidRPr="00D631CA">
        <w:rPr>
          <w:rFonts w:ascii="ITC Avant Garde" w:hAnsi="ITC Avant Garde" w:cs="Arial"/>
          <w:lang w:val="es-ES"/>
        </w:rPr>
        <w:t>Frontier</w:t>
      </w:r>
      <w:proofErr w:type="spellEnd"/>
      <w:r w:rsidRPr="00D631CA">
        <w:rPr>
          <w:rFonts w:ascii="ITC Avant Garde" w:hAnsi="ITC Avant Garde" w:cs="Arial"/>
          <w:lang w:val="es-ES"/>
        </w:rPr>
        <w:t xml:space="preserve"> </w:t>
      </w:r>
      <w:proofErr w:type="spellStart"/>
      <w:r w:rsidRPr="00D631CA">
        <w:rPr>
          <w:rFonts w:ascii="ITC Avant Garde" w:hAnsi="ITC Avant Garde" w:cs="Arial"/>
          <w:lang w:val="es-ES"/>
        </w:rPr>
        <w:t>Economics</w:t>
      </w:r>
      <w:proofErr w:type="spellEnd"/>
      <w:r w:rsidRPr="00D631CA">
        <w:rPr>
          <w:rFonts w:ascii="ITC Avant Garde" w:hAnsi="ITC Avant Garde" w:cs="Arial"/>
          <w:lang w:val="es-ES"/>
        </w:rPr>
        <w:t xml:space="preserve"> </w:t>
      </w:r>
      <w:proofErr w:type="spellStart"/>
      <w:r w:rsidRPr="00D631CA">
        <w:rPr>
          <w:rFonts w:ascii="ITC Avant Garde" w:hAnsi="ITC Avant Garde" w:cs="Arial"/>
          <w:lang w:val="es-ES"/>
        </w:rPr>
        <w:t>Limited</w:t>
      </w:r>
      <w:proofErr w:type="spellEnd"/>
      <w:r w:rsidRPr="00D631CA">
        <w:rPr>
          <w:rFonts w:ascii="ITC Avant Garde" w:hAnsi="ITC Avant Garde" w:cs="Arial"/>
          <w:lang w:val="es-ES"/>
        </w:rPr>
        <w:t xml:space="preserve"> in </w:t>
      </w:r>
      <w:proofErr w:type="spellStart"/>
      <w:r w:rsidRPr="00D631CA">
        <w:rPr>
          <w:rFonts w:ascii="ITC Avant Garde" w:hAnsi="ITC Avant Garde" w:cs="Arial"/>
          <w:lang w:val="es-ES"/>
        </w:rPr>
        <w:t>Europe</w:t>
      </w:r>
      <w:proofErr w:type="spellEnd"/>
      <w:r w:rsidRPr="00D631CA">
        <w:rPr>
          <w:rFonts w:ascii="ITC Avant Garde" w:hAnsi="ITC Avant Garde" w:cs="Arial"/>
          <w:lang w:val="es-ES"/>
        </w:rPr>
        <w:t xml:space="preserve">, toda vez que se presentaron copias fotostáticas de un documento, las mismas se valoran en términos de los dispuesto en el artículo 217 del CFPC, de aplicación supletoria a la Ley Federal de Procedimiento Administrativo, señalándose que la misma carece de valor probatorio en este procedimiento, por no haber aportado elemento alguno que </w:t>
      </w:r>
      <w:proofErr w:type="spellStart"/>
      <w:r w:rsidRPr="00D631CA">
        <w:rPr>
          <w:rFonts w:ascii="ITC Avant Garde" w:hAnsi="ITC Avant Garde" w:cs="Arial"/>
          <w:lang w:val="es-ES"/>
        </w:rPr>
        <w:t>adminiculadamente</w:t>
      </w:r>
      <w:proofErr w:type="spellEnd"/>
      <w:r w:rsidRPr="00D631CA">
        <w:rPr>
          <w:rFonts w:ascii="ITC Avant Garde" w:hAnsi="ITC Avant Garde" w:cs="Arial"/>
          <w:lang w:val="es-ES"/>
        </w:rPr>
        <w:t xml:space="preserve"> le diera valor probatorio pleno, por lo que su valor indiciario no se vio reforzado de manera alguna, y este Instituto considera que el mismo no es suficiente para tener valor probatorio pleno, y en consecuencia en nada favorece a los intereses de la oferente.</w:t>
      </w:r>
    </w:p>
    <w:p w14:paraId="67B95D08" w14:textId="77777777" w:rsidR="00D631CA" w:rsidRPr="00D631CA" w:rsidRDefault="00382941" w:rsidP="00D631CA">
      <w:pPr>
        <w:autoSpaceDE w:val="0"/>
        <w:autoSpaceDN w:val="0"/>
        <w:adjustRightInd w:val="0"/>
        <w:spacing w:before="240"/>
        <w:jc w:val="both"/>
        <w:rPr>
          <w:rFonts w:ascii="ITC Avant Garde" w:hAnsi="ITC Avant Garde" w:cs="Arial"/>
          <w:lang w:val="es-ES"/>
        </w:rPr>
      </w:pPr>
      <w:r w:rsidRPr="00D631CA">
        <w:rPr>
          <w:rFonts w:ascii="ITC Avant Garde" w:hAnsi="ITC Avant Garde" w:cs="Arial"/>
          <w:lang w:val="es-ES"/>
        </w:rPr>
        <w:t>A respecto son aplicables las tesis jurisprudenciales emitidas por nuestros tribunales federales, que se citan a continuación:</w:t>
      </w:r>
    </w:p>
    <w:p w14:paraId="368EA066" w14:textId="77777777" w:rsidR="00D631CA" w:rsidRPr="00D631CA" w:rsidRDefault="00382941" w:rsidP="00D631CA">
      <w:pPr>
        <w:autoSpaceDE w:val="0"/>
        <w:autoSpaceDN w:val="0"/>
        <w:adjustRightInd w:val="0"/>
        <w:spacing w:before="240" w:line="240" w:lineRule="auto"/>
        <w:ind w:left="567" w:right="900"/>
        <w:jc w:val="both"/>
        <w:rPr>
          <w:rFonts w:ascii="ITC Avant Garde" w:hAnsi="ITC Avant Garde" w:cs="Arial"/>
          <w:sz w:val="18"/>
          <w:szCs w:val="18"/>
        </w:rPr>
      </w:pPr>
      <w:r w:rsidRPr="00D631CA">
        <w:rPr>
          <w:rFonts w:ascii="ITC Avant Garde" w:hAnsi="ITC Avant Garde" w:cs="Arial"/>
          <w:b/>
          <w:sz w:val="18"/>
          <w:szCs w:val="18"/>
        </w:rPr>
        <w:t xml:space="preserve">“COPIAS FOTOSTÁTICAS SIN CERTIFICAR SU VALOR PROBATORIO QUEDA AL PRUDENTE ARBITRIO JUDICIAL COMO INDICIO. </w:t>
      </w:r>
      <w:r w:rsidRPr="00D631CA">
        <w:rPr>
          <w:rFonts w:ascii="ITC Avant Garde" w:hAnsi="ITC Avant Garde" w:cs="Arial"/>
          <w:sz w:val="18"/>
          <w:szCs w:val="18"/>
        </w:rPr>
        <w:t xml:space="preserve">La jurisprudencia publicada en el Semanario Judicial de la Federación 1917-1988, Segunda Parte, Volumen II, página 916, número 533, con el rubro: "COPIAS FOTOSTÁTICAS. SU VALOR PROBATORIO.", establece que conforme a lo previsto por el artículo 217 del Código Federal de Procedimientos Civiles, el valor de las fotografías de documentos o de </w:t>
      </w:r>
      <w:r w:rsidRPr="00D631CA">
        <w:rPr>
          <w:rFonts w:ascii="ITC Avant Garde" w:hAnsi="ITC Avant Garde" w:cs="Arial"/>
          <w:sz w:val="18"/>
          <w:szCs w:val="18"/>
        </w:rPr>
        <w:lastRenderedPageBreak/>
        <w:t xml:space="preserve">cualesquiera otras aportadas por los descubrimientos de la ciencia, cuando carecen de certificación, queda al prudente arbitrio judicial como indicio. La correcta interpretación y el alcance que debe darse a este criterio jurisprudencial no es el de que las copias fotostáticas sin certificar carecen de valor probatorio, sino que debe considerarse que dichas copias constituyen un medio de prueba reconocido por la ley cuyo valor queda al prudente arbitrio del juzgador como indicio. Por tanto, no resulta apegado a derecho negar todo valor probatorio a las fotostáticas de referencia por el solo hecho de carecer de certificación, sino que, considerándolas como indicio, debe atenderse a los hechos que con ellas se pretende probar y a los demás elementos probatorios que obren en autos, a fin de establecer como resultado de una valuación integral y relacionada de todas las pruebas, el verdadero alcance probatorio que debe otorgárseles. Amparo en revisión 1066/95. Mario Hernández Garduño. 19 de enero de 1996. Cinco votos. Ponente: Mariano Azuela </w:t>
      </w:r>
      <w:proofErr w:type="spellStart"/>
      <w:r w:rsidRPr="00D631CA">
        <w:rPr>
          <w:rFonts w:ascii="ITC Avant Garde" w:hAnsi="ITC Avant Garde" w:cs="Arial"/>
          <w:sz w:val="18"/>
          <w:szCs w:val="18"/>
        </w:rPr>
        <w:t>Güitrón</w:t>
      </w:r>
      <w:proofErr w:type="spellEnd"/>
      <w:r w:rsidRPr="00D631CA">
        <w:rPr>
          <w:rFonts w:ascii="ITC Avant Garde" w:hAnsi="ITC Avant Garde" w:cs="Arial"/>
          <w:sz w:val="18"/>
          <w:szCs w:val="18"/>
        </w:rPr>
        <w:t xml:space="preserve">. Secretaria: Maria Estela Ferrer Mac </w:t>
      </w:r>
      <w:proofErr w:type="spellStart"/>
      <w:r w:rsidRPr="00D631CA">
        <w:rPr>
          <w:rFonts w:ascii="ITC Avant Garde" w:hAnsi="ITC Avant Garde" w:cs="Arial"/>
          <w:sz w:val="18"/>
          <w:szCs w:val="18"/>
        </w:rPr>
        <w:t>Gregor</w:t>
      </w:r>
      <w:proofErr w:type="spellEnd"/>
      <w:r w:rsidRPr="00D631CA">
        <w:rPr>
          <w:rFonts w:ascii="ITC Avant Garde" w:hAnsi="ITC Avant Garde" w:cs="Arial"/>
          <w:sz w:val="18"/>
          <w:szCs w:val="18"/>
        </w:rPr>
        <w:t xml:space="preserve"> </w:t>
      </w:r>
      <w:proofErr w:type="spellStart"/>
      <w:r w:rsidRPr="00D631CA">
        <w:rPr>
          <w:rFonts w:ascii="ITC Avant Garde" w:hAnsi="ITC Avant Garde" w:cs="Arial"/>
          <w:sz w:val="18"/>
          <w:szCs w:val="18"/>
        </w:rPr>
        <w:t>Poisot</w:t>
      </w:r>
      <w:proofErr w:type="spellEnd"/>
      <w:r w:rsidRPr="00D631CA">
        <w:rPr>
          <w:rFonts w:ascii="ITC Avant Garde" w:hAnsi="ITC Avant Garde" w:cs="Arial"/>
          <w:sz w:val="18"/>
          <w:szCs w:val="18"/>
        </w:rPr>
        <w:t xml:space="preserve">. Amparo en revisión 602/97. Amador Salceda Rodriguez. 20 de junio de 1997. Unanimidad de cuatro votos. Ausente: Guillermo l. Ortiz </w:t>
      </w:r>
      <w:proofErr w:type="spellStart"/>
      <w:r w:rsidRPr="00D631CA">
        <w:rPr>
          <w:rFonts w:ascii="ITC Avant Garde" w:hAnsi="ITC Avant Garde" w:cs="Arial"/>
          <w:sz w:val="18"/>
          <w:szCs w:val="18"/>
        </w:rPr>
        <w:t>Mayagoitia</w:t>
      </w:r>
      <w:proofErr w:type="spellEnd"/>
      <w:r w:rsidRPr="00D631CA">
        <w:rPr>
          <w:rFonts w:ascii="ITC Avant Garde" w:hAnsi="ITC Avant Garde" w:cs="Arial"/>
          <w:sz w:val="18"/>
          <w:szCs w:val="18"/>
        </w:rPr>
        <w:t xml:space="preserve">. Ponente: Sergio Salvador Aguirre Anguiano. Secretario: Felipe Alfredo Fuentes Barrera. Amparo en revisión 2645/97. Autobuses México, Toluca, Zinacantepec y Ramales, S.A. de C.V. 20 de marzo de 1998. Cinco votos. Ponente: Genaro David Góngora Pimentel. Secretaria: Fortunata F. Silva Vásquez. Amparo en revisión 874/98. Antonio Castro Vázquez. 28 de agosto de 1998. Cinco votos. Ponente: Juan Díaz Romero. Secretario: Alejandro Sánchez López. Amparo en revisión 143/99. Derivados de Gasa, S.A. de C.V. II de febrero del año 2000. Cinco votos. Ponente: José Vicente </w:t>
      </w:r>
      <w:proofErr w:type="spellStart"/>
      <w:r w:rsidRPr="00D631CA">
        <w:rPr>
          <w:rFonts w:ascii="ITC Avant Garde" w:hAnsi="ITC Avant Garde" w:cs="Arial"/>
          <w:sz w:val="18"/>
          <w:szCs w:val="18"/>
        </w:rPr>
        <w:t>Aguinaco</w:t>
      </w:r>
      <w:proofErr w:type="spellEnd"/>
      <w:r w:rsidRPr="00D631CA">
        <w:rPr>
          <w:rFonts w:ascii="ITC Avant Garde" w:hAnsi="ITC Avant Garde" w:cs="Arial"/>
          <w:sz w:val="18"/>
          <w:szCs w:val="18"/>
        </w:rPr>
        <w:t xml:space="preserve"> Alemán. Secretario: </w:t>
      </w:r>
      <w:proofErr w:type="spellStart"/>
      <w:r w:rsidRPr="00D631CA">
        <w:rPr>
          <w:rFonts w:ascii="ITC Avant Garde" w:hAnsi="ITC Avant Garde" w:cs="Arial"/>
          <w:sz w:val="18"/>
          <w:szCs w:val="18"/>
        </w:rPr>
        <w:t>Ernmanuel</w:t>
      </w:r>
      <w:proofErr w:type="spellEnd"/>
      <w:r w:rsidRPr="00D631CA">
        <w:rPr>
          <w:rFonts w:ascii="ITC Avant Garde" w:hAnsi="ITC Avant Garde" w:cs="Arial"/>
          <w:sz w:val="18"/>
          <w:szCs w:val="18"/>
        </w:rPr>
        <w:t xml:space="preserve"> G. Rosales Guerrero. Tesis de jurisprudencia 32/2000. Aprobada por la Segunda Sala de este Alto Tribunal, en sesión privada del veinticuatro de marzo del año dos mil.”</w:t>
      </w:r>
    </w:p>
    <w:p w14:paraId="220DEE32" w14:textId="77777777" w:rsidR="00D631CA" w:rsidRPr="00D631CA" w:rsidRDefault="00382941" w:rsidP="00D631CA">
      <w:pPr>
        <w:autoSpaceDE w:val="0"/>
        <w:autoSpaceDN w:val="0"/>
        <w:adjustRightInd w:val="0"/>
        <w:spacing w:before="240" w:line="240" w:lineRule="auto"/>
        <w:ind w:left="567" w:right="900"/>
        <w:jc w:val="both"/>
        <w:rPr>
          <w:rFonts w:ascii="ITC Avant Garde" w:hAnsi="ITC Avant Garde" w:cs="Arial"/>
          <w:sz w:val="18"/>
          <w:szCs w:val="18"/>
        </w:rPr>
      </w:pPr>
      <w:r w:rsidRPr="00D631CA">
        <w:rPr>
          <w:rFonts w:ascii="ITC Avant Garde" w:hAnsi="ITC Avant Garde" w:cs="Arial"/>
          <w:b/>
          <w:sz w:val="18"/>
          <w:szCs w:val="18"/>
        </w:rPr>
        <w:t xml:space="preserve">“COPIAS FOTOSTATICAS. HACEN PRUEBA PLENA CONTRA SU OFERENTE. </w:t>
      </w:r>
      <w:r w:rsidRPr="00D631CA">
        <w:rPr>
          <w:rFonts w:ascii="ITC Avant Garde" w:hAnsi="ITC Avant Garde" w:cs="Arial"/>
          <w:sz w:val="18"/>
          <w:szCs w:val="18"/>
        </w:rPr>
        <w:t xml:space="preserve">No es válido negar el carácter de prueba a las copias fotostáticas simples de documentos, puesto que no debe pasar inadvertido que conforme a diversas legislaciones, tales instrumentos admiten ser considerados como medios de convicción. Así el Código Federal de Procedimientos Civiles previene, en su artículo 93, que: "La ley reconoce como medios de prueba: ... VII. Las fotografías, escritos y notas taquigráficas y, en general, todos aquellos elementos aportados por los descubrimientos de la ciencia ... " El artículo 278 del Código de Procedimientos Civiles para el Distrito Federal establece a su vez que para conocer la verdad sobre los puntos controvertidos, el juzgador puede valerse, entre otros elementos probatorios, " ... de cualquier cosa ... " Dentro de estas disposiciones es admisible considerar comprendidas a las copias fotostáticas simples de documentos, cuya fuerza probatoria mayor o menor, dependerá del caso concreto y de las circunstancias especiales en que aparezcan aportadas al juicio. De este modo, la copia fotostática simple de un documento hace prueba plena en contra de su oferente, porque cabe considerar que la aportación de tal probanza al juicio lleva implícita la afirmación de que esa copia coincide plenamente con su original. Esto es así porque las partes aportan pruebas con el objeto de que el juzgador verifique las afirmaciones producidas por aquéllas en los escritos que fijan la </w:t>
      </w:r>
      <w:proofErr w:type="spellStart"/>
      <w:r w:rsidRPr="00D631CA">
        <w:rPr>
          <w:rFonts w:ascii="ITC Avant Garde" w:hAnsi="ITC Avant Garde" w:cs="Arial"/>
          <w:sz w:val="18"/>
          <w:szCs w:val="18"/>
        </w:rPr>
        <w:t>litis</w:t>
      </w:r>
      <w:proofErr w:type="spellEnd"/>
      <w:r w:rsidRPr="00D631CA">
        <w:rPr>
          <w:rFonts w:ascii="ITC Avant Garde" w:hAnsi="ITC Avant Garde" w:cs="Arial"/>
          <w:sz w:val="18"/>
          <w:szCs w:val="18"/>
        </w:rPr>
        <w:t xml:space="preserve">; por tanto, si se aporta determinado medio de convicción, es porque el oferente lo considera adecuado para servir de instrumento de verificación a sus afirmaciones. No es concebible que el oferente presente una prueba para demostrar la veracidad de sus asertos y que, al mismo tiempo, sostenga que tal elemento de convicción, por falso o inauténtico, carece de confiabilidad para acreditar sus aseveraciones. En cambio la propia copia fotostática simple no tendría plena eficacia probatoria respecto a la contraparte del oferente, porque contra ésta ya no operaría la misma razón y habría que tener en cuenta, además, que ni siquiera tendría la fuerza probatoria que producen los documentos simples, por carecer de uno de los elementos constitutivos de éstos, como es la firma autógrafa de quien lo suscribe y, en este caso, la mayor o menor convicción que produciría, dependería de la fuerza probatoria que proporcionaran otras probanzas que se relacionaran con su autenticidad. CUARTO TRIBUNAL COLEGIADO EN MATERIA CIVIL DEL PRIMER CIRCUITO. Amparo en revisión 44/88. Elodia Rodríguez Jiménez. 4 de febrero de 1988. Unanimidad de votos. Ponente: Mauro Miguel Reyes Zapata. Secretario: 1. Refugio Ortega Marín. Amparo directo 649/88. Vicenta Chávez viuda de </w:t>
      </w:r>
      <w:proofErr w:type="gramStart"/>
      <w:r w:rsidRPr="00D631CA">
        <w:rPr>
          <w:rFonts w:ascii="ITC Avant Garde" w:hAnsi="ITC Avant Garde" w:cs="Arial"/>
          <w:sz w:val="18"/>
          <w:szCs w:val="18"/>
        </w:rPr>
        <w:t>Alemán</w:t>
      </w:r>
      <w:proofErr w:type="gramEnd"/>
      <w:r w:rsidRPr="00D631CA">
        <w:rPr>
          <w:rFonts w:ascii="ITC Avant Garde" w:hAnsi="ITC Avant Garde" w:cs="Arial"/>
          <w:sz w:val="18"/>
          <w:szCs w:val="18"/>
        </w:rPr>
        <w:t xml:space="preserve">. 17 de marzo de 1988. Unanimidad de votos. Ponente: Leonel Castillo González. Secretario: Ricardo Romero Vázquez. Amparo en revisión 1904/95. Pedro Bernal Adame. </w:t>
      </w:r>
      <w:r w:rsidRPr="00D631CA">
        <w:rPr>
          <w:rFonts w:ascii="ITC Avant Garde" w:hAnsi="ITC Avant Garde" w:cs="Arial"/>
          <w:sz w:val="18"/>
          <w:szCs w:val="18"/>
        </w:rPr>
        <w:lastRenderedPageBreak/>
        <w:t xml:space="preserve">26 de octubre de 1995. Unanimidad de votos. Ponente: Mauro Miguel Reyes Zapata. Secretario: Eliseo Puga Cervantes. Amparo directo 5484/95. Luz María Campos </w:t>
      </w:r>
      <w:proofErr w:type="spellStart"/>
      <w:r w:rsidRPr="00D631CA">
        <w:rPr>
          <w:rFonts w:ascii="ITC Avant Garde" w:hAnsi="ITC Avant Garde" w:cs="Arial"/>
          <w:sz w:val="18"/>
          <w:szCs w:val="18"/>
        </w:rPr>
        <w:t>Gerber</w:t>
      </w:r>
      <w:proofErr w:type="spellEnd"/>
      <w:r w:rsidRPr="00D631CA">
        <w:rPr>
          <w:rFonts w:ascii="ITC Avant Garde" w:hAnsi="ITC Avant Garde" w:cs="Arial"/>
          <w:sz w:val="18"/>
          <w:szCs w:val="18"/>
        </w:rPr>
        <w:t>. 9 de noviembre de 1995. Unanimidad de votos. Ponente: Gilda Rincón Orta. Secretario: Daniel Horacio Escudero Contreras. Amparo directo 5814/95. Seguros América, S.A., hoy Seguros Comercial América, S.A. de C.V. 9 de noviembre de 1995. Unanimidad de votos. Ponente: Leonel Castillo González. Secretario: Carlos Arteaga Álvarez.”</w:t>
      </w:r>
    </w:p>
    <w:p w14:paraId="0A9A76E8" w14:textId="77777777" w:rsidR="00D631CA" w:rsidRPr="00D631CA" w:rsidRDefault="00382941" w:rsidP="00D631CA">
      <w:pPr>
        <w:adjustRightInd w:val="0"/>
        <w:spacing w:before="240"/>
        <w:jc w:val="both"/>
        <w:rPr>
          <w:rFonts w:ascii="ITC Avant Garde" w:hAnsi="ITC Avant Garde" w:cs="Arial"/>
        </w:rPr>
      </w:pPr>
      <w:r w:rsidRPr="00D631CA">
        <w:rPr>
          <w:rFonts w:ascii="ITC Avant Garde" w:hAnsi="ITC Avant Garde" w:cs="Arial"/>
        </w:rPr>
        <w:t xml:space="preserve">Asimismo, la valoración se realiza de acuerdo a la Jurisprudencia que se transcribe a continuación: </w:t>
      </w:r>
    </w:p>
    <w:p w14:paraId="6D15098B" w14:textId="77777777" w:rsidR="00D631CA" w:rsidRPr="00D631CA" w:rsidRDefault="00382941" w:rsidP="00D631CA">
      <w:pPr>
        <w:autoSpaceDE w:val="0"/>
        <w:autoSpaceDN w:val="0"/>
        <w:adjustRightInd w:val="0"/>
        <w:spacing w:before="240" w:line="240" w:lineRule="auto"/>
        <w:ind w:left="567" w:right="900"/>
        <w:jc w:val="both"/>
        <w:rPr>
          <w:rFonts w:ascii="ITC Avant Garde" w:hAnsi="ITC Avant Garde" w:cs="Arial"/>
          <w:sz w:val="18"/>
          <w:szCs w:val="18"/>
        </w:rPr>
      </w:pPr>
      <w:r w:rsidRPr="00D631CA">
        <w:rPr>
          <w:rFonts w:ascii="ITC Avant Garde" w:hAnsi="ITC Avant Garde" w:cs="Arial"/>
          <w:b/>
          <w:sz w:val="18"/>
          <w:szCs w:val="18"/>
        </w:rPr>
        <w:t>“DOCUMENTOS PRIVADOS NO OBJETADOS, VALORACION Y EFICACIA DE LOS.</w:t>
      </w:r>
      <w:r w:rsidRPr="00D631CA">
        <w:rPr>
          <w:rFonts w:ascii="ITC Avant Garde" w:hAnsi="ITC Avant Garde" w:cs="Arial"/>
          <w:b/>
          <w:color w:val="000000"/>
          <w:sz w:val="18"/>
          <w:szCs w:val="18"/>
        </w:rPr>
        <w:t xml:space="preserve"> </w:t>
      </w:r>
      <w:r w:rsidRPr="00D631CA">
        <w:rPr>
          <w:rFonts w:ascii="ITC Avant Garde" w:hAnsi="ITC Avant Garde" w:cs="Arial"/>
          <w:sz w:val="18"/>
          <w:szCs w:val="18"/>
        </w:rPr>
        <w:t>Es cierto que el artículo 335 del Código de Procedimientos Civiles para el Distrito Federal dispone que los documentos privados presentados en juicio como prueba por uno de los interesados y no objetados por la parte contraria, se tiene por admitidos y surten sus efectos como si hubieran sido reconocidos, pero también lo es que la falta de objeción por la contraparte del oferente, únicamente constituye una admisión ficta del contenido de los documentos, sin que tal circunstancia implique que su valor probatorio tenga plena eficacia jurídica para demostrar el extremo planteado, toda vez que el numeral 402 del ordenamiento legal citado otorga al juzgador plenas facultades para valorar en su conjunto, los medios de convicción allegados al juicio por las partes, atendiendo a las reglas de la lógica y la experiencia, con la obligación ineludible de exponer en forma clara los fundamentos de esa valoración y de la decisión que se tome en el caso, por tanto, el valor indiciario que conlleva la admisión ficta de documentos no objetados, comprende la obligación para quien los ofrece de adminicularlos con otros medios probatorios, a fin de obtener la eficacia jurídica que con ellos se pretende.”</w:t>
      </w:r>
    </w:p>
    <w:p w14:paraId="5E01D192" w14:textId="77777777" w:rsidR="00D631CA" w:rsidRPr="00D631CA" w:rsidRDefault="00382941" w:rsidP="00D631CA">
      <w:pPr>
        <w:spacing w:before="240" w:line="240" w:lineRule="auto"/>
        <w:ind w:left="567" w:right="900"/>
        <w:jc w:val="both"/>
        <w:rPr>
          <w:rFonts w:ascii="ITC Avant Garde" w:eastAsia="Times New Roman" w:hAnsi="ITC Avant Garde" w:cs="Arial"/>
          <w:sz w:val="18"/>
          <w:szCs w:val="18"/>
          <w:lang w:eastAsia="es-MX"/>
        </w:rPr>
      </w:pPr>
      <w:r w:rsidRPr="00D631CA">
        <w:rPr>
          <w:rFonts w:ascii="ITC Avant Garde" w:eastAsia="Times New Roman" w:hAnsi="ITC Avant Garde" w:cs="Arial"/>
          <w:sz w:val="18"/>
          <w:szCs w:val="18"/>
          <w:lang w:eastAsia="es-MX"/>
        </w:rPr>
        <w:t>QUINTO TRIBUNAL COLEGIADO EN MATERIA CIVIL DEL PRIMER CIRCUITO.</w:t>
      </w:r>
    </w:p>
    <w:p w14:paraId="33C358AE" w14:textId="77777777" w:rsidR="00D631CA" w:rsidRPr="00D631CA" w:rsidRDefault="00382941" w:rsidP="00D631CA">
      <w:pPr>
        <w:spacing w:before="240" w:line="240" w:lineRule="auto"/>
        <w:ind w:left="567" w:right="900"/>
        <w:jc w:val="both"/>
        <w:rPr>
          <w:rFonts w:ascii="ITC Avant Garde" w:eastAsia="Times New Roman" w:hAnsi="ITC Avant Garde" w:cs="Arial"/>
          <w:sz w:val="18"/>
          <w:szCs w:val="18"/>
          <w:lang w:eastAsia="es-MX"/>
        </w:rPr>
      </w:pPr>
      <w:r w:rsidRPr="00D631CA">
        <w:rPr>
          <w:rFonts w:ascii="ITC Avant Garde" w:eastAsia="Times New Roman" w:hAnsi="ITC Avant Garde" w:cs="Arial"/>
          <w:sz w:val="18"/>
          <w:szCs w:val="18"/>
          <w:lang w:eastAsia="es-MX"/>
        </w:rPr>
        <w:t>Amparo directo 3100/89. María Julieta Valdez Hernández. 7 de septiembre de 1989. Unanimidad de votos. Ponente: Manuel Islas Domínguez. Secretario: Roberto A. Navarro Suárez.</w:t>
      </w:r>
    </w:p>
    <w:p w14:paraId="4109F44E" w14:textId="77777777" w:rsidR="00D631CA" w:rsidRPr="00D631CA" w:rsidRDefault="00382941" w:rsidP="00D631CA">
      <w:pPr>
        <w:spacing w:before="240" w:line="240" w:lineRule="auto"/>
        <w:ind w:left="567" w:right="900"/>
        <w:jc w:val="both"/>
        <w:rPr>
          <w:rFonts w:ascii="ITC Avant Garde" w:eastAsia="Times New Roman" w:hAnsi="ITC Avant Garde" w:cs="Arial"/>
          <w:sz w:val="18"/>
          <w:szCs w:val="18"/>
          <w:lang w:eastAsia="es-MX"/>
        </w:rPr>
      </w:pPr>
      <w:r w:rsidRPr="00D631CA">
        <w:rPr>
          <w:rFonts w:ascii="ITC Avant Garde" w:eastAsia="Times New Roman" w:hAnsi="ITC Avant Garde" w:cs="Arial"/>
          <w:sz w:val="18"/>
          <w:szCs w:val="18"/>
          <w:lang w:eastAsia="es-MX"/>
        </w:rPr>
        <w:t>Amparo directo 225/89. Rubén López Gómez. 16 de febrero de 1989. Unanimidad de votos. Ponente: Víctor Manuel Islas Domínguez. Secretario: Roberto A. Navarro Suárez. Octava Época, Tomo III, Segunda Parte-1, página 301.</w:t>
      </w:r>
    </w:p>
    <w:p w14:paraId="0B7CFC65" w14:textId="77777777" w:rsidR="00D631CA" w:rsidRPr="00D631CA" w:rsidRDefault="00382941" w:rsidP="00D631CA">
      <w:pPr>
        <w:spacing w:before="240" w:line="240" w:lineRule="auto"/>
        <w:ind w:left="567" w:right="900"/>
        <w:jc w:val="both"/>
        <w:rPr>
          <w:rFonts w:ascii="ITC Avant Garde" w:eastAsia="Times New Roman" w:hAnsi="ITC Avant Garde" w:cs="Arial"/>
          <w:sz w:val="18"/>
          <w:szCs w:val="18"/>
          <w:lang w:eastAsia="es-MX"/>
        </w:rPr>
      </w:pPr>
      <w:r w:rsidRPr="00D631CA">
        <w:rPr>
          <w:rFonts w:ascii="ITC Avant Garde" w:eastAsia="Times New Roman" w:hAnsi="ITC Avant Garde" w:cs="Arial"/>
          <w:sz w:val="18"/>
          <w:szCs w:val="18"/>
          <w:lang w:eastAsia="es-MX"/>
        </w:rPr>
        <w:t xml:space="preserve">Amparo directo 2045/88. </w:t>
      </w:r>
      <w:proofErr w:type="spellStart"/>
      <w:r w:rsidRPr="00D631CA">
        <w:rPr>
          <w:rFonts w:ascii="ITC Avant Garde" w:eastAsia="Times New Roman" w:hAnsi="ITC Avant Garde" w:cs="Arial"/>
          <w:sz w:val="18"/>
          <w:szCs w:val="18"/>
          <w:lang w:eastAsia="es-MX"/>
        </w:rPr>
        <w:t>Worthington</w:t>
      </w:r>
      <w:proofErr w:type="spellEnd"/>
      <w:r w:rsidRPr="00D631CA">
        <w:rPr>
          <w:rFonts w:ascii="ITC Avant Garde" w:eastAsia="Times New Roman" w:hAnsi="ITC Avant Garde" w:cs="Arial"/>
          <w:sz w:val="18"/>
          <w:szCs w:val="18"/>
          <w:lang w:eastAsia="es-MX"/>
        </w:rPr>
        <w:t xml:space="preserve"> de México, S.A. de C.V. 29 de septiembre de 1988. Unanimidad de votos. Ponente: Víctor Manuel Islas Domínguez. Secretario: Roberto A. Navarro Suárez. Octava Época, Tomo II Segunda Parte-1, página 235. </w:t>
      </w:r>
    </w:p>
    <w:p w14:paraId="686C1766" w14:textId="77777777" w:rsidR="00D631CA" w:rsidRPr="00D631CA" w:rsidRDefault="00382941" w:rsidP="00D631CA">
      <w:pPr>
        <w:spacing w:before="240" w:line="240" w:lineRule="auto"/>
        <w:ind w:left="567" w:right="900"/>
        <w:jc w:val="both"/>
        <w:rPr>
          <w:rFonts w:ascii="ITC Avant Garde" w:eastAsia="Times New Roman" w:hAnsi="ITC Avant Garde" w:cs="Arial"/>
          <w:sz w:val="18"/>
          <w:szCs w:val="18"/>
          <w:lang w:eastAsia="es-MX"/>
        </w:rPr>
      </w:pPr>
      <w:r w:rsidRPr="00D631CA">
        <w:rPr>
          <w:rFonts w:ascii="ITC Avant Garde" w:eastAsia="Times New Roman" w:hAnsi="ITC Avant Garde" w:cs="Arial"/>
          <w:sz w:val="18"/>
          <w:szCs w:val="18"/>
          <w:lang w:eastAsia="es-MX"/>
        </w:rPr>
        <w:t>Amparo directo 2480/88. Laura Beatriz Hernández Esparza. 2 de septiembre de 1988. Unanimidad de votos. Ponente: Víctor Manuel Islas Domínguez. Secretario: Roberto A. Navarro Suárez. Octava Época, Tomo II Segunda Parte-1, página 235.</w:t>
      </w:r>
    </w:p>
    <w:p w14:paraId="174089DA" w14:textId="77777777" w:rsidR="00D631CA" w:rsidRPr="00D631CA" w:rsidRDefault="00382941" w:rsidP="00D631CA">
      <w:pPr>
        <w:autoSpaceDE w:val="0"/>
        <w:autoSpaceDN w:val="0"/>
        <w:adjustRightInd w:val="0"/>
        <w:spacing w:before="240"/>
        <w:jc w:val="both"/>
        <w:rPr>
          <w:rFonts w:ascii="ITC Avant Garde" w:hAnsi="ITC Avant Garde" w:cs="Arial"/>
        </w:rPr>
      </w:pPr>
      <w:r w:rsidRPr="00D631CA">
        <w:rPr>
          <w:rFonts w:ascii="ITC Avant Garde" w:hAnsi="ITC Avant Garde" w:cs="Arial"/>
        </w:rPr>
        <w:t>En este sentido, no causa ánimo de convicción al Instituto a efecto de modificar o revocar la Resolución Recurrida.</w:t>
      </w:r>
    </w:p>
    <w:p w14:paraId="58A1FE66" w14:textId="77777777" w:rsidR="00D631CA" w:rsidRPr="00D631CA" w:rsidRDefault="00382941" w:rsidP="00D631CA">
      <w:pPr>
        <w:autoSpaceDE w:val="0"/>
        <w:autoSpaceDN w:val="0"/>
        <w:adjustRightInd w:val="0"/>
        <w:spacing w:before="240"/>
        <w:jc w:val="both"/>
        <w:rPr>
          <w:rFonts w:ascii="ITC Avant Garde" w:hAnsi="ITC Avant Garde" w:cs="Arial"/>
        </w:rPr>
      </w:pPr>
      <w:r w:rsidRPr="00D631CA">
        <w:rPr>
          <w:rFonts w:ascii="ITC Avant Garde" w:hAnsi="ITC Avant Garde" w:cs="Arial"/>
        </w:rPr>
        <w:t>Sin perjuicio de lo anterior, el contenido de la documental referida no es concluyente toda vez que los argumentos presentados en la prueba documental son en esencia los que la Recurrente hizo valer en el presente recurso de revisión, mismos que se valora</w:t>
      </w:r>
      <w:r w:rsidR="00E70C74" w:rsidRPr="00D631CA">
        <w:rPr>
          <w:rFonts w:ascii="ITC Avant Garde" w:hAnsi="ITC Avant Garde" w:cs="Arial"/>
        </w:rPr>
        <w:t>n</w:t>
      </w:r>
      <w:r w:rsidRPr="00D631CA">
        <w:rPr>
          <w:rFonts w:ascii="ITC Avant Garde" w:hAnsi="ITC Avant Garde" w:cs="Arial"/>
        </w:rPr>
        <w:t xml:space="preserve"> a lo largo del presente documento.</w:t>
      </w:r>
    </w:p>
    <w:p w14:paraId="55FB6A67" w14:textId="77777777" w:rsidR="00D631CA" w:rsidRPr="00D631CA" w:rsidRDefault="00382941" w:rsidP="00D631CA">
      <w:pPr>
        <w:adjustRightInd w:val="0"/>
        <w:spacing w:before="240"/>
        <w:jc w:val="both"/>
        <w:rPr>
          <w:rFonts w:ascii="ITC Avant Garde" w:hAnsi="ITC Avant Garde" w:cs="Arial"/>
          <w:lang w:val="es-ES"/>
        </w:rPr>
      </w:pPr>
      <w:r w:rsidRPr="00D631CA">
        <w:rPr>
          <w:rFonts w:ascii="ITC Avant Garde" w:hAnsi="ITC Avant Garde" w:cs="Arial"/>
          <w:lang w:val="es-ES"/>
        </w:rPr>
        <w:lastRenderedPageBreak/>
        <w:t>Anexo 7: En relación con el documento que la Recurrente define como un  papel de trabajo mediante el cual se exponen datos comparativos estadísticos, cuyo autor se desconoce, respecto de esta prueba se precisa que si bien fue admitida como Documental, su análisis y valoración se realiza en los términos de lo dispuesto por el artículo 210-A del CFPC, de aplicación supletoria a la Ley Federal de Procedimiento Administrativo, por tratarse, según se aprecia en el expediente de una impresión, sin firmas y sin que se detecte a su autor, y en ese tenor se debe señalar que dicha prueba carece de valor probatorio alguno, atento a que no fue perfeccionada por la oferente, al no haber acreditado la fiabilidad en el método en que fue generada, comunicada, recibida o archivada y, en su caso a quien es posible atribuir el contenido de la información relativa, y ser accesible para su ulterior consulta. Asimismo, esta prueba tampoco fue posible adminicularla con alguna de las otras pruebas desahogadas, para tener  por acreditado su contenido, por no ser ninguna de ellas idónea para el perfeccionamiento de la mencionada probanza, de acuerdo al prudente arbitrio de esta autoridad, y por las omisiones señaladas, en que incurrió la oferente.</w:t>
      </w:r>
    </w:p>
    <w:p w14:paraId="5D00D2F7"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Anexo 8: En relación con el documento consistente en la copia fotostática denominada informe No. 478-GPR/2010, constante de 199 páginas, que se atribuye a OSIPTEL, toda vez que se presentaron copias fotostáticas de documentos, las mismas se valoran en términos de los dispuesto en el artículo 217 del CFPC, de aplicación supletoria a la Ley Federal de Procedimiento Administrativo, señalándose que la misma carece de valor probatorio en este procedimiento, por no haber aportado elemento alguno que </w:t>
      </w:r>
      <w:proofErr w:type="spellStart"/>
      <w:r w:rsidRPr="00D631CA">
        <w:rPr>
          <w:rFonts w:ascii="ITC Avant Garde" w:hAnsi="ITC Avant Garde" w:cs="Arial"/>
        </w:rPr>
        <w:t>adminiculadamente</w:t>
      </w:r>
      <w:proofErr w:type="spellEnd"/>
      <w:r w:rsidRPr="00D631CA">
        <w:rPr>
          <w:rFonts w:ascii="ITC Avant Garde" w:hAnsi="ITC Avant Garde" w:cs="Arial"/>
        </w:rPr>
        <w:t xml:space="preserve"> le diera valor probatorio pleno, por lo que su valor indiciario no se vio reforzado de manera alguna, y este Instituto considera que el mismo no es suficiente para tener valor probatorio pleno, y en consecuencia en nada favorece a los intereses de la oferente.</w:t>
      </w:r>
    </w:p>
    <w:p w14:paraId="3523D687" w14:textId="77777777" w:rsidR="00D631CA" w:rsidRPr="00D631CA" w:rsidRDefault="00382941" w:rsidP="00D631CA">
      <w:pPr>
        <w:autoSpaceDE w:val="0"/>
        <w:autoSpaceDN w:val="0"/>
        <w:adjustRightInd w:val="0"/>
        <w:spacing w:before="240"/>
        <w:jc w:val="both"/>
        <w:rPr>
          <w:rFonts w:ascii="ITC Avant Garde" w:hAnsi="ITC Avant Garde" w:cs="Arial"/>
        </w:rPr>
      </w:pPr>
      <w:r w:rsidRPr="00D631CA">
        <w:rPr>
          <w:rFonts w:ascii="ITC Avant Garde" w:hAnsi="ITC Avant Garde" w:cs="Arial"/>
        </w:rPr>
        <w:t xml:space="preserve">Sin perjuicio de lo anterior, el contenido de la documental referida no es concluyente toda vez que se refiere a regulaciones adoptadas por órganos reguladores de otros países, cuya implementación no significa que deban replicarse en la industria de telecomunicaciones en México, toda vez que la política regulatoria debe ser acorde a la realidad de cada país. </w:t>
      </w:r>
    </w:p>
    <w:p w14:paraId="3412FEE4"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Anexo 9: En relación con el documento consistente en la copia fotostática denominada informe No. 168-GPR/2010, constante de 397 páginas, que se atribuye a OSPITEL, toda vez que se presentaron copias fotostáticas de documentos, las mismas se valoran en términos de los dispuesto en el artículo 217 del CFPC, de aplicación supletoria a la Ley Federal de Procedimiento Administrativo, señalándose que la misma carece de valor probatorio en este procedimiento, por no haber aportado elemento alguno que </w:t>
      </w:r>
      <w:proofErr w:type="spellStart"/>
      <w:r w:rsidRPr="00D631CA">
        <w:rPr>
          <w:rFonts w:ascii="ITC Avant Garde" w:hAnsi="ITC Avant Garde" w:cs="Arial"/>
        </w:rPr>
        <w:t>adminiculadamente</w:t>
      </w:r>
      <w:proofErr w:type="spellEnd"/>
      <w:r w:rsidRPr="00D631CA">
        <w:rPr>
          <w:rFonts w:ascii="ITC Avant Garde" w:hAnsi="ITC Avant Garde" w:cs="Arial"/>
        </w:rPr>
        <w:t xml:space="preserve"> le diera valor probatorio pleno, por lo que su valor indiciario no se vio reforzado de manera alguna, y este Instituto considera que el mismo no es suficiente para tener valor probatorio pleno, y en consecuencia en nada favorece a los intereses de la oferente.</w:t>
      </w:r>
    </w:p>
    <w:p w14:paraId="5F36FFD2" w14:textId="77777777" w:rsidR="00D631CA" w:rsidRPr="00D631CA" w:rsidRDefault="00382941" w:rsidP="00D631CA">
      <w:pPr>
        <w:autoSpaceDE w:val="0"/>
        <w:autoSpaceDN w:val="0"/>
        <w:adjustRightInd w:val="0"/>
        <w:spacing w:before="240"/>
        <w:jc w:val="both"/>
        <w:rPr>
          <w:rFonts w:ascii="ITC Avant Garde" w:hAnsi="ITC Avant Garde" w:cs="Arial"/>
        </w:rPr>
      </w:pPr>
      <w:r w:rsidRPr="00D631CA">
        <w:rPr>
          <w:rFonts w:ascii="ITC Avant Garde" w:hAnsi="ITC Avant Garde" w:cs="Arial"/>
        </w:rPr>
        <w:lastRenderedPageBreak/>
        <w:t xml:space="preserve">Sin perjuicio de lo anterior, el contenido de la documental referida no es concluyente toda vez que se refiere a regulaciones adoptadas por órganos reguladores de otros países, cuya implementación no significa que deban replicarse en la industria de telecomunicaciones en México, toda vez que la política regulatoria debe ser acorde a la realidad de cada país. </w:t>
      </w:r>
    </w:p>
    <w:p w14:paraId="2BA9261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Anexo 10: En relación con el documento consistente en la copia certificada del citatorio de fecha 20 de abril de 2012 por virtud del cual se solicita a la Recurrente se sirvan esperar el día 23 de abril de 2012 al Notificador correspondiente de la Comisión a efecto de notificar la Resolución P/110412/36 (sic), se concede a la misma pleno valor probatorio en términos de lo dispuesto en los artículos 79, 93 fracción II, 129, 197 y 202 del CFPC, y con la misma se tiene por acreditado que la Recurrente recibió el citatorio de referencia, así como el cumplimiento del requisito previsto en la fracción V del artículo 86 de la Ley Federal de Procedimiento Administrativo.</w:t>
      </w:r>
    </w:p>
    <w:p w14:paraId="539F5B03"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Anexo 11: En relación con el documento consistente en la copia certificada del instructivo de notificación de fecha 23 de abril de 2012 por virtud del cual se notifica a la Recurrente la resolución P/110412/136, se concede a la misma pleno valor probatorio en términos de lo dispuesto en los artículos 79, 93 fracción II, 129, 197 y 202 del CFPC, y con la misma se tiene por acreditado que la Recurrente recibió el instructivo de referencia, así como el cumplimiento del requisito previsto en la fracción V del artículo 86 de la Ley Federal de Procedimiento Administrativo.</w:t>
      </w:r>
    </w:p>
    <w:p w14:paraId="1F4C409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Anexo 12: En relación con el documento consistente en la copia certificada de la resolución P/110412/136 de fecha 11 de abril de 2012, mediante la cual el Pleno de la Comisión Federal de Telecomunicaciones determina las condiciones de interconexión no convenidas entre </w:t>
      </w:r>
      <w:proofErr w:type="spellStart"/>
      <w:r w:rsidRPr="00D631CA">
        <w:rPr>
          <w:rFonts w:ascii="ITC Avant Garde" w:hAnsi="ITC Avant Garde" w:cs="Arial"/>
        </w:rPr>
        <w:t>Marcatel</w:t>
      </w:r>
      <w:proofErr w:type="spellEnd"/>
      <w:r w:rsidRPr="00D631CA">
        <w:rPr>
          <w:rFonts w:ascii="ITC Avant Garde" w:hAnsi="ITC Avant Garde" w:cs="Arial"/>
        </w:rPr>
        <w:t xml:space="preserve"> </w:t>
      </w:r>
      <w:proofErr w:type="spellStart"/>
      <w:r w:rsidRPr="00D631CA">
        <w:rPr>
          <w:rFonts w:ascii="ITC Avant Garde" w:hAnsi="ITC Avant Garde" w:cs="Arial"/>
        </w:rPr>
        <w:t>Com</w:t>
      </w:r>
      <w:proofErr w:type="spellEnd"/>
      <w:r w:rsidRPr="00D631CA">
        <w:rPr>
          <w:rFonts w:ascii="ITC Avant Garde" w:hAnsi="ITC Avant Garde" w:cs="Arial"/>
        </w:rPr>
        <w:t>, S.A. de C.V. y la Recurrente, se concede a la misma pleno valor probatorio en términos de lo dispuesto en los artículos 79, 93 fracción II, 129, 197 y 202 del CFPC, y con la misma se tiene por acreditada la Resolución Recurrida, P/110412/136 emitida por el Pleno de la Comisión Federal de Telecomunicaciones.</w:t>
      </w:r>
    </w:p>
    <w:p w14:paraId="517D09F5"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Anexo 13: En relación con el documento consistente en la copia fotostática del oficio CFT/D01/OCB/0730/2011 de fecha 13 de julio de 2011, y toda vez que dicha documental obra en autos de este Instituto, lo cual obedece a un hecho notorio, la misma se valoran en términos de los dispuesto en el artículo 202 del CFPC, de aplicación supletoria a la Ley Federal de Procedimiento Administrativo, señalándose que la misma no tiene el alcance probatorio que el oferente pretende otorgarle, en virtud de que se trata de un voto particular que en nada cambiaría el sentido de la resolución, ya que solo reflejan la postura de un comisionado, siendo que las determinaciones de la entonces Comisión se llevan a cabo de manera colegiada y por mayoría de votos.</w:t>
      </w:r>
    </w:p>
    <w:p w14:paraId="5BDAD48F"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Anexo 14: En relación con el documento consistente en la copia fotostática de la resolución P/201010/492 de fecha 20 de octubre de 2010, mediante la cual el Pleno de la Comisión Federal de Telecomunicaciones determina las condiciones de interconexión no convenidas entre Axtel, S.A.B. de C.V. y la Recurrente, y toda vez que dicha documental obra en autos de este Instituto, lo cual obedece a un hecho notorio, la misma se valoran en términos de los dispuesto en el artículo 202 del CFPC, de aplicación supletoria a la Ley Federal de Procedimiento Administrativo, señalándose que la misma no tiene el alcance probatorio que el oferente pretende otorgarle, en virtud de que el contenido de dicha documental es ajeno a la resolución recurrida, pues resulta evidente que en la misma se hace referencia a un diverso desacuerdo de interconexión, al que fue materia de la resolución recurrida, y en consecuencia en nada favorece a los intereses de la oferente.</w:t>
      </w:r>
    </w:p>
    <w:p w14:paraId="67EA65A1"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Anexo 15: En relación con el documento consistente en la copia fotostática del documento denominado “ANEXO 1 “Determinación de la tarifa de terminación local para una red de telefonía móvil en México bajo el esquema “El Que Llama Paga”, Modelo de Costos Incrementales de Largo Plazo.”, que la Recurrente indica es anexo de la resolución P/201010/492 de fecha 20 de octubre de 2010, mediante la cual el Pleno de la Comisión Federal de Telecomunicaciones determina las condiciones de interconexión no convenidas entre Axtel, S.A.B. de C.V. y la Recurrente, las mismas se valoran en términos de los dispuesto en el artículo 202 del CFPC, de aplicación supletoria a la Ley Federal de Procedimiento Administrativo, señalándose que la misma no tiene el alcance probatorio que el oferente pretende otorgarle, en virtud de que el contenido de dicha documental es ajeno a la resolución recurrida, pues resulta evidente que en la misma se hace referencia a un diverso desacuerdo de interconexión, al que fue materia de la resolución recurrida, y en consecuencia en nada favorece a los intereses de la oferente.</w:t>
      </w:r>
    </w:p>
    <w:p w14:paraId="753E302A"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Anexo 16: En relación con el documento consistente en la copia fotostática del documento denominado “Estudio de Vidas Útiles Borrador Informe Final ATELMO”, que la Recurrente atribuye a </w:t>
      </w:r>
      <w:proofErr w:type="spellStart"/>
      <w:r w:rsidRPr="00D631CA">
        <w:rPr>
          <w:rFonts w:ascii="ITC Avant Garde" w:hAnsi="ITC Avant Garde" w:cs="Arial"/>
        </w:rPr>
        <w:t>Ernst&amp;Young</w:t>
      </w:r>
      <w:proofErr w:type="spellEnd"/>
      <w:r w:rsidRPr="00D631CA">
        <w:rPr>
          <w:rFonts w:ascii="ITC Avant Garde" w:hAnsi="ITC Avant Garde" w:cs="Arial"/>
        </w:rPr>
        <w:t xml:space="preserve">, toda vez que se presentaron copias fotostáticas de documentos, las mismas se valoran en términos de los dispuesto en el artículo 217 del CFPC, de aplicación supletoria a la Ley Federal de Procedimiento Administrativo, señalándose que la misma carece de valor probatorio en este procedimiento, por no haber aportado elemento alguno que </w:t>
      </w:r>
      <w:proofErr w:type="spellStart"/>
      <w:r w:rsidRPr="00D631CA">
        <w:rPr>
          <w:rFonts w:ascii="ITC Avant Garde" w:hAnsi="ITC Avant Garde" w:cs="Arial"/>
        </w:rPr>
        <w:t>adminiculadamente</w:t>
      </w:r>
      <w:proofErr w:type="spellEnd"/>
      <w:r w:rsidRPr="00D631CA">
        <w:rPr>
          <w:rFonts w:ascii="ITC Avant Garde" w:hAnsi="ITC Avant Garde" w:cs="Arial"/>
        </w:rPr>
        <w:t xml:space="preserve"> le diera valor probatorio pleno, por lo que su valor indiciario no se vio reforzado de manera alguna, y este Instituto considera que el mismo no es suficiente para tener valor probatorio pleno, y en consecuencia en nada favorece a los intereses de la oferente.</w:t>
      </w:r>
    </w:p>
    <w:p w14:paraId="14C2F869" w14:textId="77777777" w:rsidR="00D631CA" w:rsidRPr="00D631CA" w:rsidRDefault="00382941" w:rsidP="00D631CA">
      <w:pPr>
        <w:autoSpaceDE w:val="0"/>
        <w:autoSpaceDN w:val="0"/>
        <w:adjustRightInd w:val="0"/>
        <w:spacing w:before="240"/>
        <w:jc w:val="both"/>
        <w:rPr>
          <w:rFonts w:ascii="ITC Avant Garde" w:hAnsi="ITC Avant Garde" w:cs="Arial"/>
        </w:rPr>
      </w:pPr>
      <w:r w:rsidRPr="00D631CA">
        <w:rPr>
          <w:rFonts w:ascii="ITC Avant Garde" w:hAnsi="ITC Avant Garde" w:cs="Arial"/>
        </w:rPr>
        <w:t xml:space="preserve">Sin perjuicio de lo anterior, el contenido de la documental referida no es concluyente toda vez que no tiene el alcance ni el valor probatorio que el oferente pretende otorgarle, toda </w:t>
      </w:r>
      <w:r w:rsidRPr="00D631CA">
        <w:rPr>
          <w:rFonts w:ascii="ITC Avant Garde" w:hAnsi="ITC Avant Garde" w:cs="Arial"/>
        </w:rPr>
        <w:lastRenderedPageBreak/>
        <w:t>vez que tal como se menciona en el estudio se recopiló información de distintos países, centrándose en los activos expuestos a obsolescencia tecnológica, considerando parámetros que permitan la comparación con la realidad de la industria de telecomunicaciones móviles en Chile, no así con la realidad del mercado móvil en México.</w:t>
      </w:r>
    </w:p>
    <w:p w14:paraId="75DD10E0" w14:textId="77777777" w:rsidR="00D631CA" w:rsidRPr="00D631CA" w:rsidRDefault="00382941" w:rsidP="00D631CA">
      <w:pPr>
        <w:adjustRightInd w:val="0"/>
        <w:spacing w:before="240"/>
        <w:jc w:val="both"/>
        <w:rPr>
          <w:rFonts w:ascii="ITC Avant Garde" w:hAnsi="ITC Avant Garde" w:cs="Arial"/>
        </w:rPr>
      </w:pPr>
      <w:r w:rsidRPr="00D631CA">
        <w:rPr>
          <w:rFonts w:ascii="ITC Avant Garde" w:hAnsi="ITC Avant Garde" w:cs="Arial"/>
        </w:rPr>
        <w:t xml:space="preserve">Anexo 17: En relación con el documento consistente en la copia fotostática del documento denominado “ANEXO DE PRECIOS DE ELEMENTOS DE RED DEL MODELO DE TERMINACIÓN MÓVIL PERU – COSTOS US$”, que la Recurrente identifica como papel de trabajo, toda vez que se presentaron copias fotostáticas de documentos, las mismas se valoran en términos de los dispuesto en el artículo 217 del CFPC, de aplicación supletoria a la Ley Federal de Procedimiento Administrativo, señalándose que la misma carece de valor probatorio en este procedimiento, por no haber aportado elemento alguno que </w:t>
      </w:r>
      <w:proofErr w:type="spellStart"/>
      <w:r w:rsidRPr="00D631CA">
        <w:rPr>
          <w:rFonts w:ascii="ITC Avant Garde" w:hAnsi="ITC Avant Garde" w:cs="Arial"/>
        </w:rPr>
        <w:t>adminiculadamente</w:t>
      </w:r>
      <w:proofErr w:type="spellEnd"/>
      <w:r w:rsidRPr="00D631CA">
        <w:rPr>
          <w:rFonts w:ascii="ITC Avant Garde" w:hAnsi="ITC Avant Garde" w:cs="Arial"/>
        </w:rPr>
        <w:t xml:space="preserve"> le diera valor probatorio pleno, por lo que su valor indiciario no se vio reforzado de manera alguna, y este Instituto considera que el mismo no es suficiente para tener valor probatorio pleno, y en consecuencia en nada favorece a los intereses de la oferente.</w:t>
      </w:r>
    </w:p>
    <w:p w14:paraId="12AD8B42"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Sin perjuicio de lo anterior, el contenido de la documental referida no es concluyente toda vez que no tiene el alcance ni el valor probatorio que el oferente pretende otorgarle, toda vez que representa los supuestos costos de los elementos de red en el mercado peruano.</w:t>
      </w:r>
    </w:p>
    <w:p w14:paraId="4E027644"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Anexo 18: En relación con el documento consistente en la copia fotostática del documento que la Recurrente identifica como papel de trabajo en el que se establece el monto histórico de inversiones realizadas por los operadores de telefonía móvil en México, toda vez que se presentaron copias fotostáticas de documentos, las mismas se valoran en términos de los dispuesto en el artículo 217 del CFPC, de aplicación supletoria a la Ley Federal de Procedimiento Administrativo, señalándose que la misma carece de valor probatorio en este procedimiento, por no haber aportado elemento alguno que </w:t>
      </w:r>
      <w:proofErr w:type="spellStart"/>
      <w:r w:rsidRPr="00D631CA">
        <w:rPr>
          <w:rFonts w:ascii="ITC Avant Garde" w:hAnsi="ITC Avant Garde" w:cs="Arial"/>
        </w:rPr>
        <w:t>adminiculadamente</w:t>
      </w:r>
      <w:proofErr w:type="spellEnd"/>
      <w:r w:rsidRPr="00D631CA">
        <w:rPr>
          <w:rFonts w:ascii="ITC Avant Garde" w:hAnsi="ITC Avant Garde" w:cs="Arial"/>
        </w:rPr>
        <w:t xml:space="preserve"> le diera valor probatorio pleno, por lo que su valor indiciario no se vio reforzado de manera alguna, y este Instituto considera que el mismo no es suficiente para tener valor probatorio pleno, y en consecuencia en nada favorece a los intereses de la oferente.</w:t>
      </w:r>
    </w:p>
    <w:p w14:paraId="79A7070D" w14:textId="77777777" w:rsidR="00D631CA" w:rsidRPr="00D631CA" w:rsidRDefault="00382941" w:rsidP="00D631CA">
      <w:pPr>
        <w:adjustRightInd w:val="0"/>
        <w:spacing w:before="240"/>
        <w:jc w:val="both"/>
        <w:rPr>
          <w:rFonts w:ascii="ITC Avant Garde" w:hAnsi="ITC Avant Garde" w:cs="Arial"/>
        </w:rPr>
      </w:pPr>
      <w:r w:rsidRPr="00D631CA">
        <w:rPr>
          <w:rFonts w:ascii="ITC Avant Garde" w:hAnsi="ITC Avant Garde" w:cs="Arial"/>
        </w:rPr>
        <w:t>Sin perjuicio de lo anterior, el contenido de la documental referida no es concluyente toda vez que no señala la fuente de la información presentada y no permite distinguir la inversión asociada a la prestación de servicios de interconexión.</w:t>
      </w:r>
    </w:p>
    <w:p w14:paraId="354F9978" w14:textId="77777777" w:rsidR="00D631CA" w:rsidRPr="00D631CA" w:rsidRDefault="00382941" w:rsidP="00D631CA">
      <w:pPr>
        <w:adjustRightInd w:val="0"/>
        <w:spacing w:before="240"/>
        <w:jc w:val="both"/>
        <w:rPr>
          <w:rFonts w:ascii="ITC Avant Garde" w:hAnsi="ITC Avant Garde" w:cs="Arial"/>
        </w:rPr>
      </w:pPr>
      <w:r w:rsidRPr="00D631CA">
        <w:rPr>
          <w:rFonts w:ascii="ITC Avant Garde" w:hAnsi="ITC Avant Garde" w:cs="Arial"/>
        </w:rPr>
        <w:t xml:space="preserve">Anexo 19: En relación </w:t>
      </w:r>
      <w:r w:rsidRPr="00D631CA">
        <w:rPr>
          <w:rFonts w:ascii="ITC Avant Garde" w:hAnsi="ITC Avant Garde" w:cs="Arial"/>
          <w:bCs/>
        </w:rPr>
        <w:t>con el documento consistente en copia simple del papel de trabajo en el que se refleja la vida útil de inversiones en bienes de capital necesarios para la prestación del servicio de telecomunicaciones, así como diversos gastos relacionados con la prestación del servicio</w:t>
      </w:r>
      <w:r w:rsidRPr="00D631CA">
        <w:rPr>
          <w:rFonts w:ascii="ITC Avant Garde" w:hAnsi="ITC Avant Garde" w:cs="Arial"/>
        </w:rPr>
        <w:t xml:space="preserve">, toda vez que se presentaron copias fotostáticas de documentos, las mismas se valoran en términos de los dispuesto en el artículo 217 del CFPC, de aplicación supletoria a la </w:t>
      </w:r>
      <w:r w:rsidRPr="00D631CA">
        <w:rPr>
          <w:rFonts w:ascii="ITC Avant Garde" w:hAnsi="ITC Avant Garde" w:cs="Arial"/>
        </w:rPr>
        <w:lastRenderedPageBreak/>
        <w:t xml:space="preserve">Ley Federal de Procedimiento Administrativo, señalándose que la misma carece de valor probatorio en este procedimiento, por no haber aportado elemento alguno que </w:t>
      </w:r>
      <w:proofErr w:type="spellStart"/>
      <w:r w:rsidRPr="00D631CA">
        <w:rPr>
          <w:rFonts w:ascii="ITC Avant Garde" w:hAnsi="ITC Avant Garde" w:cs="Arial"/>
        </w:rPr>
        <w:t>adminiculadamente</w:t>
      </w:r>
      <w:proofErr w:type="spellEnd"/>
      <w:r w:rsidRPr="00D631CA">
        <w:rPr>
          <w:rFonts w:ascii="ITC Avant Garde" w:hAnsi="ITC Avant Garde" w:cs="Arial"/>
        </w:rPr>
        <w:t xml:space="preserve"> le diera valor probatorio pleno, por lo que su valor indiciario no se vio reforzado de manera alguna, y este Instituto considera que el mismo no es suficiente para tener valor probatorio pleno, y en consecuencia en nada favorece a los intereses de la oferente.</w:t>
      </w:r>
    </w:p>
    <w:p w14:paraId="4CFEB18B" w14:textId="77777777" w:rsidR="00D631CA" w:rsidRPr="00D631CA" w:rsidRDefault="00382941" w:rsidP="00D631CA">
      <w:pPr>
        <w:autoSpaceDE w:val="0"/>
        <w:autoSpaceDN w:val="0"/>
        <w:adjustRightInd w:val="0"/>
        <w:spacing w:before="240"/>
        <w:jc w:val="both"/>
        <w:rPr>
          <w:rFonts w:ascii="ITC Avant Garde" w:hAnsi="ITC Avant Garde" w:cs="Arial"/>
        </w:rPr>
      </w:pPr>
      <w:r w:rsidRPr="00D631CA">
        <w:rPr>
          <w:rFonts w:ascii="ITC Avant Garde" w:hAnsi="ITC Avant Garde" w:cs="Arial"/>
        </w:rPr>
        <w:t>Sin perjuicio de lo anterior, el contenido de la documental referida no es concluyente toda vez que no señala la fuente de la información presentada y las mismas sirven únicamente como referencia.</w:t>
      </w:r>
    </w:p>
    <w:p w14:paraId="010F4C95"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Prueba Pericial</w:t>
      </w:r>
    </w:p>
    <w:p w14:paraId="7F1756B1"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Partiendo de la base de que la autoridad goza de la más amplia libertad para hacer el análisis de las pruebas rendidas, determinar su valor y fijar el resultado de dicha valuación contradictoria, y de que en lo que respecta a la valoración de la prueba pericial, la misma quedará a la prudente apreciación de la autoridad, de conformidad con los artículos 93 fracción IV, 143, 144, 197 y 211 del CFPC, de aplicación supletoria a la Ley Federal de Procedimiento Administrativo.</w:t>
      </w:r>
    </w:p>
    <w:p w14:paraId="04A9152F"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 continuación se procede a valorar el dictamen pericial en materia de economía de las telecomunicaciones, la cual fue desahogada por Iván Díaz Barreiro Hernández, con cédula profesional número 3424365, perito designado por Grupo Telefónica en su carácter de recurrente, quien suscribió y ratificó su correspondiente dictamen pericial, el cual es  valorado en los siguientes términos:</w:t>
      </w:r>
    </w:p>
    <w:p w14:paraId="05CD6C88" w14:textId="77777777" w:rsidR="00D631CA" w:rsidRPr="00D631CA" w:rsidRDefault="00382941" w:rsidP="00D631CA">
      <w:pPr>
        <w:widowControl w:val="0"/>
        <w:tabs>
          <w:tab w:val="left" w:pos="720"/>
          <w:tab w:val="center" w:pos="4252"/>
          <w:tab w:val="right" w:pos="8504"/>
        </w:tabs>
        <w:spacing w:before="240"/>
        <w:jc w:val="both"/>
        <w:rPr>
          <w:rFonts w:ascii="ITC Avant Garde" w:hAnsi="ITC Avant Garde" w:cs="Arial"/>
        </w:rPr>
      </w:pPr>
      <w:r w:rsidRPr="00D631CA">
        <w:rPr>
          <w:rFonts w:ascii="ITC Avant Garde" w:hAnsi="ITC Avant Garde" w:cs="Arial"/>
        </w:rPr>
        <w:t>Con</w:t>
      </w:r>
      <w:r w:rsidRPr="00D631CA" w:rsidDel="002E26BE">
        <w:rPr>
          <w:rFonts w:ascii="ITC Avant Garde" w:hAnsi="ITC Avant Garde" w:cs="Arial"/>
        </w:rPr>
        <w:t xml:space="preserve"> </w:t>
      </w:r>
      <w:r w:rsidRPr="00D631CA">
        <w:rPr>
          <w:rFonts w:ascii="ITC Avant Garde" w:hAnsi="ITC Avant Garde" w:cs="Arial"/>
        </w:rPr>
        <w:t xml:space="preserve">relación a la prueba pericial ofrecida por el representante legal de las empresas Baja Celular Mexicana, S.A. de C.V., Celular de Telefonía, S.A. de C.V., </w:t>
      </w:r>
      <w:proofErr w:type="spellStart"/>
      <w:r w:rsidRPr="00D631CA">
        <w:rPr>
          <w:rFonts w:ascii="ITC Avant Garde" w:hAnsi="ITC Avant Garde" w:cs="Arial"/>
        </w:rPr>
        <w:t>Movitel</w:t>
      </w:r>
      <w:proofErr w:type="spellEnd"/>
      <w:r w:rsidRPr="00D631CA">
        <w:rPr>
          <w:rFonts w:ascii="ITC Avant Garde" w:hAnsi="ITC Avant Garde" w:cs="Arial"/>
        </w:rPr>
        <w:t xml:space="preserve"> del Noroeste, S.A. de C.V., Telefonía Celular del Norte, S.A. de C.V. y Pegaso Comunicaciones y Sistemas, S.A. de C.V., ofrecida dentro del recurso de revisión que se resuelve, este Instituto valora la misma en términos del artículo 211, del CFPC, en los siguientes términos: </w:t>
      </w:r>
    </w:p>
    <w:p w14:paraId="28F76DDF"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Preguntas en materia económica propuestas por Grupo Telefónica</w:t>
      </w:r>
    </w:p>
    <w:p w14:paraId="001439EB"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Pregunta 1. Que diga y explique el perito, con base en la experiencia internacional, la evolución de las metodologías utilizadas para la determinación de tarifas de interconexión con base en costos.</w:t>
      </w:r>
    </w:p>
    <w:p w14:paraId="5184AB22" w14:textId="373ED23D" w:rsidR="00382941" w:rsidRPr="00D631CA" w:rsidRDefault="00382941" w:rsidP="00D631CA">
      <w:pPr>
        <w:autoSpaceDE w:val="0"/>
        <w:autoSpaceDN w:val="0"/>
        <w:adjustRightInd w:val="0"/>
        <w:spacing w:before="240"/>
        <w:jc w:val="both"/>
        <w:rPr>
          <w:rFonts w:ascii="ITC Avant Garde" w:hAnsi="ITC Avant Garde" w:cs="Arial"/>
        </w:rPr>
      </w:pPr>
      <w:r w:rsidRPr="00D631CA">
        <w:rPr>
          <w:rFonts w:ascii="ITC Avant Garde" w:hAnsi="ITC Avant Garde" w:cs="Arial"/>
        </w:rPr>
        <w:t xml:space="preserve">Al respecto, el perito de la Recurrente refiere que la teoría económica recomienda que las tarifas reguladas de interconexión se establezcan con base en los costos incrementales de </w:t>
      </w:r>
      <w:r w:rsidRPr="00D631CA">
        <w:rPr>
          <w:rFonts w:ascii="ITC Avant Garde" w:hAnsi="ITC Avant Garde" w:cs="Arial"/>
        </w:rPr>
        <w:lastRenderedPageBreak/>
        <w:t>largo plazo de ofrecer el servicio, con una contribución adicional para la recuperación de costos comunes y conjuntos.</w:t>
      </w:r>
    </w:p>
    <w:p w14:paraId="1B33516F" w14:textId="77777777" w:rsidR="00D631CA" w:rsidRPr="00D631CA" w:rsidRDefault="00382941" w:rsidP="00D631CA">
      <w:pPr>
        <w:autoSpaceDE w:val="0"/>
        <w:autoSpaceDN w:val="0"/>
        <w:adjustRightInd w:val="0"/>
        <w:spacing w:before="240"/>
        <w:jc w:val="both"/>
        <w:rPr>
          <w:rFonts w:ascii="ITC Avant Garde" w:hAnsi="ITC Avant Garde" w:cs="Arial"/>
          <w:lang w:val="en-US"/>
        </w:rPr>
      </w:pPr>
      <w:r w:rsidRPr="00D631CA">
        <w:rPr>
          <w:rFonts w:ascii="ITC Avant Garde" w:hAnsi="ITC Avant Garde" w:cs="Arial"/>
        </w:rPr>
        <w:t>Los LRIC pueden ser calculados de dos modalidades: "Top Down" y "</w:t>
      </w:r>
      <w:proofErr w:type="spellStart"/>
      <w:r w:rsidRPr="00D631CA">
        <w:rPr>
          <w:rFonts w:ascii="ITC Avant Garde" w:hAnsi="ITC Avant Garde" w:cs="Arial"/>
        </w:rPr>
        <w:t>Bottom</w:t>
      </w:r>
      <w:proofErr w:type="spellEnd"/>
      <w:r w:rsidRPr="00D631CA">
        <w:rPr>
          <w:rFonts w:ascii="ITC Avant Garde" w:hAnsi="ITC Avant Garde" w:cs="Arial"/>
        </w:rPr>
        <w:t xml:space="preserve">-Up". </w:t>
      </w:r>
      <w:r w:rsidRPr="00D631CA">
        <w:rPr>
          <w:rFonts w:ascii="ITC Avant Garde" w:hAnsi="ITC Avant Garde" w:cs="Arial"/>
          <w:lang w:val="en-US"/>
        </w:rPr>
        <w:t xml:space="preserve">El </w:t>
      </w:r>
      <w:proofErr w:type="spellStart"/>
      <w:r w:rsidRPr="00D631CA">
        <w:rPr>
          <w:rFonts w:ascii="ITC Avant Garde" w:hAnsi="ITC Avant Garde" w:cs="Arial"/>
          <w:lang w:val="en-US"/>
        </w:rPr>
        <w:t>enfoque</w:t>
      </w:r>
      <w:proofErr w:type="spellEnd"/>
      <w:r w:rsidRPr="00D631CA">
        <w:rPr>
          <w:rFonts w:ascii="ITC Avant Garde" w:hAnsi="ITC Avant Garde" w:cs="Arial"/>
          <w:lang w:val="en-US"/>
        </w:rPr>
        <w:t xml:space="preserve"> "Bottom-Up" </w:t>
      </w:r>
      <w:proofErr w:type="spellStart"/>
      <w:r w:rsidRPr="00D631CA">
        <w:rPr>
          <w:rFonts w:ascii="ITC Avant Garde" w:hAnsi="ITC Avant Garde" w:cs="Arial"/>
          <w:lang w:val="en-US"/>
        </w:rPr>
        <w:t>incluye</w:t>
      </w:r>
      <w:proofErr w:type="spellEnd"/>
      <w:r w:rsidRPr="00D631CA">
        <w:rPr>
          <w:rFonts w:ascii="ITC Avant Garde" w:hAnsi="ITC Avant Garde" w:cs="Arial"/>
          <w:lang w:val="en-US"/>
        </w:rPr>
        <w:t xml:space="preserve"> los </w:t>
      </w:r>
      <w:proofErr w:type="spellStart"/>
      <w:r w:rsidRPr="00D631CA">
        <w:rPr>
          <w:rFonts w:ascii="ITC Avant Garde" w:hAnsi="ITC Avant Garde" w:cs="Arial"/>
          <w:lang w:val="en-US"/>
        </w:rPr>
        <w:t>métodos</w:t>
      </w:r>
      <w:proofErr w:type="spellEnd"/>
      <w:r w:rsidRPr="00D631CA">
        <w:rPr>
          <w:rFonts w:ascii="ITC Avant Garde" w:hAnsi="ITC Avant Garde" w:cs="Arial"/>
          <w:lang w:val="en-US"/>
        </w:rPr>
        <w:t xml:space="preserve"> "Scorched Earth" y "Scorched Node".</w:t>
      </w:r>
    </w:p>
    <w:p w14:paraId="7DC815C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Recientemente un creciente número de reguladores en el mundo, ha adoptado los modelos </w:t>
      </w:r>
      <w:proofErr w:type="spellStart"/>
      <w:r w:rsidRPr="00D631CA">
        <w:rPr>
          <w:rFonts w:ascii="ITC Avant Garde" w:hAnsi="ITC Avant Garde" w:cs="Arial"/>
        </w:rPr>
        <w:t>Bottom</w:t>
      </w:r>
      <w:proofErr w:type="spellEnd"/>
      <w:r w:rsidRPr="00D631CA">
        <w:rPr>
          <w:rFonts w:ascii="ITC Avant Garde" w:hAnsi="ITC Avant Garde" w:cs="Arial"/>
        </w:rPr>
        <w:t xml:space="preserve">-Up. Sin embargo, se mantienen las obligaciones sobre los operadores con PSM de elaborar y proporcionar su información contable por servicio, la cual es utilizada para calibrar y hacer más robustos los resultados de los modelos </w:t>
      </w:r>
      <w:proofErr w:type="spellStart"/>
      <w:r w:rsidRPr="00D631CA">
        <w:rPr>
          <w:rFonts w:ascii="ITC Avant Garde" w:hAnsi="ITC Avant Garde" w:cs="Arial"/>
        </w:rPr>
        <w:t>Bottom</w:t>
      </w:r>
      <w:proofErr w:type="spellEnd"/>
      <w:r w:rsidRPr="00D631CA">
        <w:rPr>
          <w:rFonts w:ascii="ITC Avant Garde" w:hAnsi="ITC Avant Garde" w:cs="Arial"/>
        </w:rPr>
        <w:t>-Up. A los modelos elaborados de esta forma también se les conoce como "modelos híbridos".</w:t>
      </w:r>
    </w:p>
    <w:p w14:paraId="0551F81D"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t>Valoración del Instituto</w:t>
      </w:r>
    </w:p>
    <w:p w14:paraId="5288B13E"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Este Instituto coincide con los señalamientos del perito de la parte </w:t>
      </w:r>
      <w:r w:rsidR="00180CC9" w:rsidRPr="00D631CA">
        <w:rPr>
          <w:rFonts w:ascii="ITC Avant Garde" w:hAnsi="ITC Avant Garde" w:cs="Arial"/>
        </w:rPr>
        <w:t>Recurrente</w:t>
      </w:r>
      <w:r w:rsidRPr="00D631CA">
        <w:rPr>
          <w:rFonts w:ascii="ITC Avant Garde" w:hAnsi="ITC Avant Garde" w:cs="Arial"/>
        </w:rPr>
        <w:t xml:space="preserve"> en el sentido de que actualmente el enfoque más usado en el mundo es el ascendente o ingenieril también llamado </w:t>
      </w:r>
      <w:proofErr w:type="spellStart"/>
      <w:r w:rsidRPr="00D631CA">
        <w:rPr>
          <w:rFonts w:ascii="ITC Avant Garde" w:hAnsi="ITC Avant Garde" w:cs="Arial"/>
        </w:rPr>
        <w:t>Bottom</w:t>
      </w:r>
      <w:proofErr w:type="spellEnd"/>
      <w:r w:rsidRPr="00D631CA">
        <w:rPr>
          <w:rFonts w:ascii="ITC Avant Garde" w:hAnsi="ITC Avant Garde" w:cs="Arial"/>
        </w:rPr>
        <w:t>-Up, ya que los modelos que utilizan este enfoque son congruentes con la concepción de modelar una red hipotética basada en un operador eficiente que utilice la mejor tecnología disponible que impulse la competencia y eficiencia entre los operadores participantes del mercado. Mientras que los modelos de tipo Top Down utilizan los datos contables reales de la empresa, práctica que no es coincidente con el objetivo de modelar un operador eficiente que utiliza la mejor tecnología disponible y que se desarrolla en un mercado competitivo.</w:t>
      </w:r>
    </w:p>
    <w:p w14:paraId="7C08B5E3" w14:textId="1E26D366"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Pregunta 2. Que identifique y explique el perito las mejores prácticas internacionales para ajustar las tarifas de interconexión hacia el nivel de costos correspondiente.</w:t>
      </w:r>
    </w:p>
    <w:p w14:paraId="4F951686" w14:textId="77777777" w:rsidR="00D631CA" w:rsidRPr="00D631CA" w:rsidRDefault="00382941" w:rsidP="00D631CA">
      <w:pPr>
        <w:autoSpaceDE w:val="0"/>
        <w:autoSpaceDN w:val="0"/>
        <w:adjustRightInd w:val="0"/>
        <w:spacing w:before="240"/>
        <w:jc w:val="both"/>
        <w:rPr>
          <w:rFonts w:ascii="ITC Avant Garde" w:hAnsi="ITC Avant Garde" w:cs="Arial"/>
        </w:rPr>
      </w:pPr>
      <w:r w:rsidRPr="00D631CA">
        <w:rPr>
          <w:rFonts w:ascii="ITC Avant Garde" w:hAnsi="ITC Avant Garde" w:cs="Arial"/>
        </w:rPr>
        <w:t>Al respecto, el perito de la Recurrente refiere que el modelo "</w:t>
      </w:r>
      <w:proofErr w:type="spellStart"/>
      <w:r w:rsidRPr="00D631CA">
        <w:rPr>
          <w:rFonts w:ascii="ITC Avant Garde" w:hAnsi="ITC Avant Garde" w:cs="Arial"/>
        </w:rPr>
        <w:t>Scorched</w:t>
      </w:r>
      <w:proofErr w:type="spellEnd"/>
      <w:r w:rsidRPr="00D631CA">
        <w:rPr>
          <w:rFonts w:ascii="ITC Avant Garde" w:hAnsi="ITC Avant Garde" w:cs="Arial"/>
        </w:rPr>
        <w:t xml:space="preserve"> </w:t>
      </w:r>
      <w:proofErr w:type="spellStart"/>
      <w:r w:rsidRPr="00D631CA">
        <w:rPr>
          <w:rFonts w:ascii="ITC Avant Garde" w:hAnsi="ITC Avant Garde" w:cs="Arial"/>
        </w:rPr>
        <w:t>Node</w:t>
      </w:r>
      <w:proofErr w:type="spellEnd"/>
      <w:r w:rsidRPr="00D631CA">
        <w:rPr>
          <w:rFonts w:ascii="ITC Avant Garde" w:hAnsi="ITC Avant Garde" w:cs="Arial"/>
        </w:rPr>
        <w:t xml:space="preserve">" para estimaciones de LRIC representa el punto medio entre los dos extremos. Asume que la ubicación de los </w:t>
      </w:r>
      <w:proofErr w:type="spellStart"/>
      <w:r w:rsidRPr="00D631CA">
        <w:rPr>
          <w:rFonts w:ascii="ITC Avant Garde" w:hAnsi="ITC Avant Garde" w:cs="Arial"/>
        </w:rPr>
        <w:t>nódos</w:t>
      </w:r>
      <w:proofErr w:type="spellEnd"/>
      <w:r w:rsidRPr="00D631CA">
        <w:rPr>
          <w:rFonts w:ascii="ITC Avant Garde" w:hAnsi="ITC Avant Garde" w:cs="Arial"/>
        </w:rPr>
        <w:t xml:space="preserve"> de la red es fija, y que el operador puede elegir la mejor tecnología disponible para configurar la red alrededor de éstos. Además, los modelos pueden calibrados utilizando la información real proporcionada por las empresas con lo que ofrecen resultados más robustos y confiables.</w:t>
      </w:r>
    </w:p>
    <w:p w14:paraId="53975AE1"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práctica internacional se ha orientado a este tipo de "modelos híbridos", que utilizan como base un modelo "</w:t>
      </w:r>
      <w:proofErr w:type="spellStart"/>
      <w:r w:rsidRPr="00D631CA">
        <w:rPr>
          <w:rFonts w:ascii="ITC Avant Garde" w:hAnsi="ITC Avant Garde" w:cs="Arial"/>
        </w:rPr>
        <w:t>Bottom</w:t>
      </w:r>
      <w:proofErr w:type="spellEnd"/>
      <w:r w:rsidRPr="00D631CA">
        <w:rPr>
          <w:rFonts w:ascii="ITC Avant Garde" w:hAnsi="ITC Avant Garde" w:cs="Arial"/>
        </w:rPr>
        <w:t>-Up", pero que son calibrados con la información real de las empresas proveedoras del servicio.</w:t>
      </w:r>
    </w:p>
    <w:p w14:paraId="6CA9F61B"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t>Valoración del Instituto</w:t>
      </w:r>
    </w:p>
    <w:p w14:paraId="491A8042"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Esta autoridad reguladora señala que el modelo instrumentado por este Instituto es acorde con las mejores prácticas internacionales en la materia, ya que estas tienen como objetivo conseguir tarifas tendientes a los costos de producción que incentiven la competencia y eficiencia de los operadores participantes en el mercado y que se reflejaran en mejores condiciones de calidad y precio para los usuarios finales.</w:t>
      </w:r>
    </w:p>
    <w:p w14:paraId="4804F585"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Por otro lado, se toma en cuenta la respuesta del perito de la Recurrente sobre que el enfoque </w:t>
      </w:r>
      <w:proofErr w:type="spellStart"/>
      <w:r w:rsidRPr="00D631CA">
        <w:rPr>
          <w:rFonts w:ascii="ITC Avant Garde" w:hAnsi="ITC Avant Garde" w:cs="Arial"/>
        </w:rPr>
        <w:t>Scorched</w:t>
      </w:r>
      <w:proofErr w:type="spellEnd"/>
      <w:r w:rsidRPr="00D631CA">
        <w:rPr>
          <w:rFonts w:ascii="ITC Avant Garde" w:hAnsi="ITC Avant Garde" w:cs="Arial"/>
        </w:rPr>
        <w:t xml:space="preserve"> </w:t>
      </w:r>
      <w:proofErr w:type="spellStart"/>
      <w:r w:rsidRPr="00D631CA">
        <w:rPr>
          <w:rFonts w:ascii="ITC Avant Garde" w:hAnsi="ITC Avant Garde" w:cs="Arial"/>
        </w:rPr>
        <w:t>Node</w:t>
      </w:r>
      <w:proofErr w:type="spellEnd"/>
      <w:r w:rsidRPr="00D631CA">
        <w:rPr>
          <w:rFonts w:ascii="ITC Avant Garde" w:hAnsi="ITC Avant Garde" w:cs="Arial"/>
        </w:rPr>
        <w:t xml:space="preserve"> es una opción intermedia que en algunas circunstancias puede ofrecer resultados más robustos y confiables. No obstante que el enfoque </w:t>
      </w:r>
      <w:proofErr w:type="spellStart"/>
      <w:r w:rsidRPr="00D631CA">
        <w:rPr>
          <w:rFonts w:ascii="ITC Avant Garde" w:hAnsi="ITC Avant Garde" w:cs="Arial"/>
        </w:rPr>
        <w:t>Scorched</w:t>
      </w:r>
      <w:proofErr w:type="spellEnd"/>
      <w:r w:rsidRPr="00D631CA">
        <w:rPr>
          <w:rFonts w:ascii="ITC Avant Garde" w:hAnsi="ITC Avant Garde" w:cs="Arial"/>
        </w:rPr>
        <w:t xml:space="preserve"> </w:t>
      </w:r>
      <w:proofErr w:type="spellStart"/>
      <w:r w:rsidRPr="00D631CA">
        <w:rPr>
          <w:rFonts w:ascii="ITC Avant Garde" w:hAnsi="ITC Avant Garde" w:cs="Arial"/>
        </w:rPr>
        <w:t>Node</w:t>
      </w:r>
      <w:proofErr w:type="spellEnd"/>
      <w:r w:rsidRPr="00D631CA">
        <w:rPr>
          <w:rFonts w:ascii="ITC Avant Garde" w:hAnsi="ITC Avant Garde" w:cs="Arial"/>
        </w:rPr>
        <w:t xml:space="preserve"> presenta diversas desventajas frente al enfoque </w:t>
      </w:r>
      <w:proofErr w:type="spellStart"/>
      <w:r w:rsidRPr="00D631CA">
        <w:rPr>
          <w:rFonts w:ascii="ITC Avant Garde" w:hAnsi="ITC Avant Garde" w:cs="Arial"/>
        </w:rPr>
        <w:t>Scorched-Earth</w:t>
      </w:r>
      <w:proofErr w:type="spellEnd"/>
      <w:r w:rsidRPr="00D631CA">
        <w:rPr>
          <w:rFonts w:ascii="ITC Avant Garde" w:hAnsi="ITC Avant Garde" w:cs="Arial"/>
        </w:rPr>
        <w:t xml:space="preserve">. Dichas desventajas se derivan del hecho de que la información requerida para incorporar las restricciones geográficas y demográficas es propiedad de los operadores, mientras que la información que requiere el enfoque </w:t>
      </w:r>
      <w:proofErr w:type="spellStart"/>
      <w:r w:rsidRPr="00D631CA">
        <w:rPr>
          <w:rFonts w:ascii="ITC Avant Garde" w:hAnsi="ITC Avant Garde" w:cs="Arial"/>
        </w:rPr>
        <w:t>Scorched-Earth</w:t>
      </w:r>
      <w:proofErr w:type="spellEnd"/>
      <w:r w:rsidRPr="00D631CA">
        <w:rPr>
          <w:rFonts w:ascii="ITC Avant Garde" w:hAnsi="ITC Avant Garde" w:cs="Arial"/>
        </w:rPr>
        <w:t xml:space="preserve"> está públicamente disponible. </w:t>
      </w:r>
    </w:p>
    <w:p w14:paraId="55BE1AB1"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Pregunta 3. Que diga y explique el perito, con base en experiencias internacionales, las posibles consecuencias de llevar a cabo disminuciones abruptas en las tarifas de terminación y si son aconsejables conforme a las mejores prácticas internacionales.</w:t>
      </w:r>
    </w:p>
    <w:p w14:paraId="61E3AE6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Al respecto, el perito de la Recurrente refiere que una reducción abrupta en las Tarifas de Terminación Móvil (TTM) resulta contraria a las recomendaciones de la Unión Internacional de Telecomunicaciones (</w:t>
      </w:r>
      <w:proofErr w:type="spellStart"/>
      <w:r w:rsidRPr="00D631CA">
        <w:rPr>
          <w:rFonts w:ascii="ITC Avant Garde" w:hAnsi="ITC Avant Garde" w:cs="Arial"/>
        </w:rPr>
        <w:t>UlT</w:t>
      </w:r>
      <w:proofErr w:type="spellEnd"/>
      <w:r w:rsidRPr="00D631CA">
        <w:rPr>
          <w:rFonts w:ascii="ITC Avant Garde" w:hAnsi="ITC Avant Garde" w:cs="Arial"/>
        </w:rPr>
        <w:t>).</w:t>
      </w:r>
    </w:p>
    <w:p w14:paraId="7B6D2BDE"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Sigue diciendo que es muy probable que una drástica reducción de precios tenga impactos no deseados en los precios y/o las condiciones de acceso a los servicios móviles, toda vez que los operadores buscarán mecanismos alternos para compensar la pérdida de ingresos, particularmente en un amplio segmento de usuarios que básicamente recibe llamadas y recuperación de costos depende en gran medida de interconexión. Lo que puede ocasionar una potencial reducción en la penetración del servicio y su tasa de crecimiento, así como una disminución de los incentivos a invertir por parte de los operadores, ya que la rentabilidad de los segmentos de mercado de bajo consumo disminuye.</w:t>
      </w:r>
    </w:p>
    <w:p w14:paraId="6C879699"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t>Valoración del Instituto</w:t>
      </w:r>
    </w:p>
    <w:p w14:paraId="065C7290"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Este Instituto desestima la respuesta del perito de la Recurrente toda vez que la determinación de las tarifas que ocupan el presente recurso de revisión, no trae u origina consecuencias adversas para los operadores dado que la utilización de un modelo de costos arrojará una tarifa que tomará en cuenta los costos, así como el otorgamiento de un margen adecuado de ganancia por las inversiones realizadas, lo que favorece a la competencia e incentiva a los operadores a seguir invirtiendo. </w:t>
      </w:r>
    </w:p>
    <w:p w14:paraId="57A69E0C"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lastRenderedPageBreak/>
        <w:t>Pregunta 4. Que diga y explique el perito las ventajas y desventajas de imponer una tarifa de interconexión basada en costos que sea idéntica para todos los operadores móviles y en qué situaciones podría justificarse el uso de tarifas de interconexión asimétricas.</w:t>
      </w:r>
    </w:p>
    <w:p w14:paraId="55D88BCA"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El perito de la Recurrente argumenta que en un mercado perfectamente competitivo, los nuevos entrantes son "precio aceptantes" porque carecen de capacidad para afectar el nivel de precios y tienen fuertes incentivos para reducir rápidamente sus costos al nivel de máxima eficiencia para ser competitivos y mantenerse en el mercado. De igual manera, bajo el supuesto de que los mercados de interconexión fueran competitivos y que los servicios de terminación fueran prácticamente homogéneos, las tarifas tenderían a ser simétricas para todos los operadores y similares a los costos en condiciones de eficiencia.</w:t>
      </w:r>
    </w:p>
    <w:p w14:paraId="5B795CD1"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No obstante, los mercados de interconexión se caracterizan por contar con un número relativamente reducido de participantes en el cuál, como consecuencia de las extensas diferencias de penetración en el mercado, no existe una verdadera competencia entre unos y otros, y por lo tanto existen circunstancias en las que la aplicación de TTM simétricas, no serían aconsejables para asegurar los beneficios de un mercado competitivo en el largo plazo.</w:t>
      </w:r>
    </w:p>
    <w:p w14:paraId="19EF334E"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t>Valoración del Instituto</w:t>
      </w:r>
    </w:p>
    <w:p w14:paraId="1782D8F5"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Este instituto coincide con lo señalado por el perito de la Recurrente en el sentido de que en un mercado perfectamente competitivo, los nuevos entrantes son precio aceptantes, por lo que independientemente de su escala de producción deben reducir sus costos a un nivel eficiente; por lo que si bien es cierto que en una industria con fuertes economías de escala y alcance como es la de telecomunicaciones, la existencia de un concesionario que cuenta con una elevada participación de mercado le otorga ventajas importantes en costos esto no implica que se deban establecer tarifas asimétricas. </w:t>
      </w:r>
    </w:p>
    <w:p w14:paraId="0A1C0DAF"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Asimismo, se da cuenta de la respuesta del perito en el sentido de que bajo algunas circunstancias diferentes órganos reguladores han aplicado tarifas asimétricas, sin embargo se considera que ello depende de la política regulatoria que decida cada país, y que por tanto queda acotada a su discreción, más que adecuarse a una mejor práctica internacional. </w:t>
      </w:r>
    </w:p>
    <w:p w14:paraId="1AA673E0"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Pregunta 5. Que diga y explique el perito cuál es la experiencia internacional con la aplicación de tarifas asimétricas para la terminación de llamadas en redes móviles.</w:t>
      </w:r>
    </w:p>
    <w:p w14:paraId="795A5172"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El perito de la Recurrente menciona que la mayoría de los países de la Unión Europea, al igual que algunos de Latinoamérica, utilizan o han utilizado regímenes de tarifas asimétricas entre operadores móviles</w:t>
      </w:r>
    </w:p>
    <w:p w14:paraId="4F82492E"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asimetría de las tarifas básicamente reconocía diferenciales de costos que no eran atribuibles a la falta de eficiencia en la operación de los proveedores de servicios, sino que reflejaban diferencias en las economías de escala atribuibles la participación de mercado. Así, los operadores entrantes que tenían una menor participación de mercado podían cobrar TTM móvil superiores a las aplicables a los operadores que mantenían la mayor participación y experiencia de mercado.</w:t>
      </w:r>
    </w:p>
    <w:p w14:paraId="7683C96E"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Esta práctica permitió incentivar la competencia en el mediano y largo plazo al ofrecer a los nuevos entrantes mayores márgenes esperados en su operación, fortaleciendo su capacidad competitiva para enfrentar a los operadores establecidos.</w:t>
      </w:r>
    </w:p>
    <w:p w14:paraId="25345840"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t>Valoración del Instituto</w:t>
      </w:r>
    </w:p>
    <w:p w14:paraId="47B5A40E"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Este Instituto da cuenta de lo señalado por el peritos de la Recurrente en el sentido de que a nivel internacional se ha utilizado la asimetría en tarifas de interconexión como una política regulatoria en los casos en los que existían diferencias objetivas de costos una de las cuales puede ser que las participaciones de mercado sean notoriamente disimiles. Asimismo se observa que dicha política ha sido temporal, ya que como lo señala el</w:t>
      </w:r>
      <w:r w:rsidR="002C73E1" w:rsidRPr="00D631CA">
        <w:rPr>
          <w:rFonts w:ascii="ITC Avant Garde" w:hAnsi="ITC Avant Garde" w:cs="Arial"/>
        </w:rPr>
        <w:t xml:space="preserve"> perito tercero perjudicado</w:t>
      </w:r>
      <w:r w:rsidRPr="00D631CA">
        <w:rPr>
          <w:rFonts w:ascii="ITC Avant Garde" w:hAnsi="ITC Avant Garde" w:cs="Arial"/>
        </w:rPr>
        <w:t xml:space="preserve"> hay una tendencia a evolucionar hacia esquemas tarifarios simétricos. </w:t>
      </w:r>
    </w:p>
    <w:p w14:paraId="6DC2C6AB"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Pregunta 6. Que establezca el perito las participaciones del mercado de los distintos operadores de telefonía móvil en el país conforme a los indicadores más utilizados en la práctica internacional</w:t>
      </w:r>
    </w:p>
    <w:p w14:paraId="66F18400"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El perito de la Recurrente argumenta que México no existe información homogénea respecto de los minutos de tráfico cursados por las redes móviles que permita integrar un indicador confiable. Ello obedece a la falta de una metodología que establezca lineamientos uniformes respecto de la forma en que los operadores deben reportar su tráfico. Así, operadores como Telcel y </w:t>
      </w:r>
      <w:proofErr w:type="spellStart"/>
      <w:r w:rsidRPr="00D631CA">
        <w:rPr>
          <w:rFonts w:ascii="ITC Avant Garde" w:hAnsi="ITC Avant Garde" w:cs="Arial"/>
        </w:rPr>
        <w:t>lusacell</w:t>
      </w:r>
      <w:proofErr w:type="spellEnd"/>
      <w:r w:rsidRPr="00D631CA">
        <w:rPr>
          <w:rFonts w:ascii="ITC Avant Garde" w:hAnsi="ITC Avant Garde" w:cs="Arial"/>
        </w:rPr>
        <w:t xml:space="preserve"> mantienen la práctica de reportar dos minutos de tráfico por cada minuto intranet, uno de </w:t>
      </w:r>
      <w:proofErr w:type="spellStart"/>
      <w:r w:rsidRPr="00D631CA">
        <w:rPr>
          <w:rFonts w:ascii="ITC Avant Garde" w:hAnsi="ITC Avant Garde" w:cs="Arial"/>
        </w:rPr>
        <w:t>originación</w:t>
      </w:r>
      <w:proofErr w:type="spellEnd"/>
      <w:r w:rsidRPr="00D631CA">
        <w:rPr>
          <w:rFonts w:ascii="ITC Avant Garde" w:hAnsi="ITC Avant Garde" w:cs="Arial"/>
        </w:rPr>
        <w:t xml:space="preserve"> y uno de terminación, siguiendo la práctica norteamericana de países con RPP; mientras que Telefónica reporta solamente un minuto por cada minuto de tráfico intranet, siguiendo la práctica europea de países con CPP.</w:t>
      </w:r>
    </w:p>
    <w:p w14:paraId="13698E1A" w14:textId="644C875A" w:rsidR="00382941" w:rsidRPr="00D631CA" w:rsidRDefault="00382941" w:rsidP="00D631CA">
      <w:pPr>
        <w:spacing w:before="240"/>
        <w:jc w:val="both"/>
        <w:rPr>
          <w:rFonts w:ascii="ITC Avant Garde" w:eastAsia="Calibri" w:hAnsi="ITC Avant Garde" w:cs="Arial"/>
        </w:rPr>
      </w:pPr>
      <w:r w:rsidRPr="00D631CA">
        <w:rPr>
          <w:rFonts w:ascii="ITC Avant Garde" w:hAnsi="ITC Avant Garde" w:cs="Arial"/>
        </w:rPr>
        <w:t>Así mismo, refiere que se presentan las participaciones de mercado de cada operador con base en líneas activadas y con base en ingresos, como se muestra en el siguiente cuadro:</w:t>
      </w:r>
    </w:p>
    <w:tbl>
      <w:tblPr>
        <w:tblStyle w:val="Tablaconcuadrcula"/>
        <w:tblW w:w="10065" w:type="dxa"/>
        <w:tblLook w:val="04A0" w:firstRow="1" w:lastRow="0" w:firstColumn="1" w:lastColumn="0" w:noHBand="0" w:noVBand="1"/>
        <w:tblCaption w:val="Participaciones de mercado de cada operador "/>
        <w:tblDescription w:val="En una tabla de 3 columnas, se proporcionanpara 4 empresas, las participaciones de mercado de cada operador con base en número de líneas e Ingresos."/>
      </w:tblPr>
      <w:tblGrid>
        <w:gridCol w:w="2977"/>
        <w:gridCol w:w="3686"/>
        <w:gridCol w:w="3402"/>
      </w:tblGrid>
      <w:tr w:rsidR="00382941" w:rsidRPr="00D631CA" w14:paraId="1F08995A" w14:textId="77777777" w:rsidTr="00D631CA">
        <w:trPr>
          <w:trHeight w:val="416"/>
          <w:tblHeader/>
        </w:trPr>
        <w:tc>
          <w:tcPr>
            <w:tcW w:w="2977" w:type="dxa"/>
            <w:vAlign w:val="center"/>
            <w:hideMark/>
          </w:tcPr>
          <w:p w14:paraId="0410AA53" w14:textId="78CB4A4C" w:rsidR="00382941" w:rsidRPr="00D631CA" w:rsidRDefault="00D631CA" w:rsidP="00D631CA">
            <w:pPr>
              <w:jc w:val="center"/>
              <w:rPr>
                <w:rFonts w:ascii="ITC Avant Garde" w:eastAsia="Times New Roman" w:hAnsi="ITC Avant Garde" w:cs="Arial"/>
                <w:b/>
                <w:color w:val="FFFFFF" w:themeColor="background1"/>
                <w:sz w:val="4"/>
                <w:szCs w:val="4"/>
                <w:lang w:eastAsia="es-MX"/>
              </w:rPr>
            </w:pPr>
            <w:r w:rsidRPr="00D631CA">
              <w:rPr>
                <w:rFonts w:ascii="ITC Avant Garde" w:eastAsia="Times New Roman" w:hAnsi="ITC Avant Garde" w:cs="Arial"/>
                <w:b/>
                <w:color w:val="FFFFFF" w:themeColor="background1"/>
                <w:sz w:val="4"/>
                <w:szCs w:val="4"/>
                <w:lang w:eastAsia="es-MX"/>
              </w:rPr>
              <w:lastRenderedPageBreak/>
              <w:t>Celda vacía</w:t>
            </w:r>
          </w:p>
        </w:tc>
        <w:tc>
          <w:tcPr>
            <w:tcW w:w="3686" w:type="dxa"/>
            <w:vAlign w:val="center"/>
            <w:hideMark/>
          </w:tcPr>
          <w:p w14:paraId="0E62E854" w14:textId="77777777" w:rsidR="00382941" w:rsidRPr="00D631CA" w:rsidRDefault="00382941" w:rsidP="00D631CA">
            <w:pPr>
              <w:jc w:val="center"/>
              <w:rPr>
                <w:rFonts w:ascii="ITC Avant Garde" w:eastAsia="Times New Roman" w:hAnsi="ITC Avant Garde" w:cs="Arial"/>
                <w:b/>
                <w:lang w:eastAsia="es-MX"/>
              </w:rPr>
            </w:pPr>
            <w:r w:rsidRPr="00D631CA">
              <w:rPr>
                <w:rFonts w:ascii="ITC Avant Garde" w:eastAsia="Times New Roman" w:hAnsi="ITC Avant Garde" w:cs="Arial"/>
                <w:b/>
                <w:lang w:eastAsia="es-MX"/>
              </w:rPr>
              <w:t>Con base en Número de Líneas</w:t>
            </w:r>
          </w:p>
        </w:tc>
        <w:tc>
          <w:tcPr>
            <w:tcW w:w="3402" w:type="dxa"/>
            <w:vAlign w:val="center"/>
            <w:hideMark/>
          </w:tcPr>
          <w:p w14:paraId="03779E82" w14:textId="77777777" w:rsidR="00382941" w:rsidRPr="00D631CA" w:rsidRDefault="00382941" w:rsidP="00D631CA">
            <w:pPr>
              <w:jc w:val="center"/>
              <w:rPr>
                <w:rFonts w:ascii="ITC Avant Garde" w:eastAsia="Times New Roman" w:hAnsi="ITC Avant Garde" w:cs="Arial"/>
                <w:b/>
                <w:lang w:eastAsia="es-MX"/>
              </w:rPr>
            </w:pPr>
            <w:r w:rsidRPr="00D631CA">
              <w:rPr>
                <w:rFonts w:ascii="ITC Avant Garde" w:eastAsia="Times New Roman" w:hAnsi="ITC Avant Garde" w:cs="Arial"/>
                <w:b/>
                <w:lang w:eastAsia="es-MX"/>
              </w:rPr>
              <w:t>Con base en Ingresos</w:t>
            </w:r>
          </w:p>
        </w:tc>
      </w:tr>
      <w:tr w:rsidR="00382941" w:rsidRPr="00D631CA" w14:paraId="559E4A87" w14:textId="77777777" w:rsidTr="00D631CA">
        <w:trPr>
          <w:trHeight w:val="345"/>
          <w:tblHeader/>
        </w:trPr>
        <w:tc>
          <w:tcPr>
            <w:tcW w:w="2977" w:type="dxa"/>
            <w:noWrap/>
            <w:vAlign w:val="center"/>
            <w:hideMark/>
          </w:tcPr>
          <w:p w14:paraId="27EFC70C" w14:textId="77777777" w:rsidR="00382941" w:rsidRPr="00D631CA" w:rsidRDefault="00382941" w:rsidP="00D631CA">
            <w:pPr>
              <w:jc w:val="center"/>
              <w:rPr>
                <w:rFonts w:ascii="ITC Avant Garde" w:eastAsia="Times New Roman" w:hAnsi="ITC Avant Garde" w:cs="Arial"/>
                <w:b/>
                <w:lang w:eastAsia="es-MX"/>
              </w:rPr>
            </w:pPr>
            <w:r w:rsidRPr="00D631CA">
              <w:rPr>
                <w:rFonts w:ascii="ITC Avant Garde" w:eastAsia="Times New Roman" w:hAnsi="ITC Avant Garde" w:cs="Arial"/>
                <w:b/>
                <w:lang w:eastAsia="es-MX"/>
              </w:rPr>
              <w:t>Telcel</w:t>
            </w:r>
          </w:p>
        </w:tc>
        <w:tc>
          <w:tcPr>
            <w:tcW w:w="3686" w:type="dxa"/>
            <w:noWrap/>
            <w:vAlign w:val="center"/>
            <w:hideMark/>
          </w:tcPr>
          <w:p w14:paraId="34B3D76D" w14:textId="77777777" w:rsidR="00382941" w:rsidRPr="00D631CA" w:rsidRDefault="00382941" w:rsidP="00D631CA">
            <w:pPr>
              <w:jc w:val="center"/>
              <w:rPr>
                <w:rFonts w:ascii="ITC Avant Garde" w:eastAsia="Times New Roman" w:hAnsi="ITC Avant Garde" w:cs="Arial"/>
                <w:lang w:eastAsia="es-MX"/>
              </w:rPr>
            </w:pPr>
            <w:r w:rsidRPr="00D631CA">
              <w:rPr>
                <w:rFonts w:ascii="ITC Avant Garde" w:eastAsia="Times New Roman" w:hAnsi="ITC Avant Garde" w:cs="Arial"/>
                <w:lang w:eastAsia="es-MX"/>
              </w:rPr>
              <w:t>66,912 (69.7%)</w:t>
            </w:r>
          </w:p>
        </w:tc>
        <w:tc>
          <w:tcPr>
            <w:tcW w:w="3402" w:type="dxa"/>
            <w:noWrap/>
            <w:vAlign w:val="center"/>
            <w:hideMark/>
          </w:tcPr>
          <w:p w14:paraId="725C2FAF" w14:textId="77777777" w:rsidR="00382941" w:rsidRPr="00D631CA" w:rsidRDefault="00382941" w:rsidP="00D631CA">
            <w:pPr>
              <w:jc w:val="center"/>
              <w:rPr>
                <w:rFonts w:ascii="ITC Avant Garde" w:eastAsia="Times New Roman" w:hAnsi="ITC Avant Garde" w:cs="Arial"/>
                <w:lang w:eastAsia="es-MX"/>
              </w:rPr>
            </w:pPr>
            <w:r w:rsidRPr="00D631CA">
              <w:rPr>
                <w:rFonts w:ascii="ITC Avant Garde" w:eastAsia="Times New Roman" w:hAnsi="ITC Avant Garde" w:cs="Arial"/>
                <w:lang w:eastAsia="es-MX"/>
              </w:rPr>
              <w:t>37,207 (69.2%)</w:t>
            </w:r>
          </w:p>
        </w:tc>
      </w:tr>
      <w:tr w:rsidR="00382941" w:rsidRPr="00D631CA" w14:paraId="1848214C" w14:textId="77777777" w:rsidTr="00D631CA">
        <w:trPr>
          <w:trHeight w:val="345"/>
          <w:tblHeader/>
        </w:trPr>
        <w:tc>
          <w:tcPr>
            <w:tcW w:w="2977" w:type="dxa"/>
            <w:noWrap/>
            <w:vAlign w:val="center"/>
            <w:hideMark/>
          </w:tcPr>
          <w:p w14:paraId="349E03EC" w14:textId="77777777" w:rsidR="00382941" w:rsidRPr="00D631CA" w:rsidRDefault="00382941" w:rsidP="00D631CA">
            <w:pPr>
              <w:jc w:val="center"/>
              <w:rPr>
                <w:rFonts w:ascii="ITC Avant Garde" w:eastAsia="Times New Roman" w:hAnsi="ITC Avant Garde" w:cs="Arial"/>
                <w:b/>
                <w:lang w:eastAsia="es-MX"/>
              </w:rPr>
            </w:pPr>
            <w:r w:rsidRPr="00D631CA">
              <w:rPr>
                <w:rFonts w:ascii="ITC Avant Garde" w:eastAsia="Times New Roman" w:hAnsi="ITC Avant Garde" w:cs="Arial"/>
                <w:b/>
                <w:lang w:eastAsia="es-MX"/>
              </w:rPr>
              <w:t>Nextel</w:t>
            </w:r>
          </w:p>
        </w:tc>
        <w:tc>
          <w:tcPr>
            <w:tcW w:w="3686" w:type="dxa"/>
            <w:noWrap/>
            <w:vAlign w:val="center"/>
            <w:hideMark/>
          </w:tcPr>
          <w:p w14:paraId="2D093746" w14:textId="77777777" w:rsidR="00382941" w:rsidRPr="00D631CA" w:rsidRDefault="00382941" w:rsidP="00D631CA">
            <w:pPr>
              <w:jc w:val="center"/>
              <w:rPr>
                <w:rFonts w:ascii="ITC Avant Garde" w:eastAsia="Times New Roman" w:hAnsi="ITC Avant Garde" w:cs="Arial"/>
                <w:lang w:eastAsia="es-MX"/>
              </w:rPr>
            </w:pPr>
            <w:r w:rsidRPr="00D631CA">
              <w:rPr>
                <w:rFonts w:ascii="ITC Avant Garde" w:eastAsia="Times New Roman" w:hAnsi="ITC Avant Garde" w:cs="Arial"/>
                <w:lang w:eastAsia="es-MX"/>
              </w:rPr>
              <w:t>3,503 (3.6%)</w:t>
            </w:r>
          </w:p>
        </w:tc>
        <w:tc>
          <w:tcPr>
            <w:tcW w:w="3402" w:type="dxa"/>
            <w:noWrap/>
            <w:vAlign w:val="center"/>
            <w:hideMark/>
          </w:tcPr>
          <w:p w14:paraId="559A374B" w14:textId="77777777" w:rsidR="00382941" w:rsidRPr="00D631CA" w:rsidRDefault="00382941" w:rsidP="00D631CA">
            <w:pPr>
              <w:jc w:val="center"/>
              <w:rPr>
                <w:rFonts w:ascii="ITC Avant Garde" w:eastAsia="Times New Roman" w:hAnsi="ITC Avant Garde" w:cs="Arial"/>
                <w:lang w:eastAsia="es-MX"/>
              </w:rPr>
            </w:pPr>
            <w:r w:rsidRPr="00D631CA">
              <w:rPr>
                <w:rFonts w:ascii="ITC Avant Garde" w:eastAsia="Times New Roman" w:hAnsi="ITC Avant Garde" w:cs="Arial"/>
                <w:lang w:eastAsia="es-MX"/>
              </w:rPr>
              <w:t>6,895 (12.8%)</w:t>
            </w:r>
          </w:p>
        </w:tc>
      </w:tr>
      <w:tr w:rsidR="00382941" w:rsidRPr="00D631CA" w14:paraId="11BCB4A5" w14:textId="77777777" w:rsidTr="00D631CA">
        <w:trPr>
          <w:trHeight w:val="345"/>
          <w:tblHeader/>
        </w:trPr>
        <w:tc>
          <w:tcPr>
            <w:tcW w:w="2977" w:type="dxa"/>
            <w:noWrap/>
            <w:vAlign w:val="center"/>
            <w:hideMark/>
          </w:tcPr>
          <w:p w14:paraId="22322D6A" w14:textId="77777777" w:rsidR="00382941" w:rsidRPr="00D631CA" w:rsidRDefault="00382941" w:rsidP="00D631CA">
            <w:pPr>
              <w:jc w:val="center"/>
              <w:rPr>
                <w:rFonts w:ascii="ITC Avant Garde" w:eastAsia="Times New Roman" w:hAnsi="ITC Avant Garde" w:cs="Arial"/>
                <w:b/>
                <w:lang w:eastAsia="es-MX"/>
              </w:rPr>
            </w:pPr>
            <w:r w:rsidRPr="00D631CA">
              <w:rPr>
                <w:rFonts w:ascii="ITC Avant Garde" w:eastAsia="Times New Roman" w:hAnsi="ITC Avant Garde" w:cs="Arial"/>
                <w:b/>
                <w:lang w:eastAsia="es-MX"/>
              </w:rPr>
              <w:t>Telefónica</w:t>
            </w:r>
          </w:p>
        </w:tc>
        <w:tc>
          <w:tcPr>
            <w:tcW w:w="3686" w:type="dxa"/>
            <w:noWrap/>
            <w:vAlign w:val="center"/>
            <w:hideMark/>
          </w:tcPr>
          <w:p w14:paraId="7A04F5F3" w14:textId="77777777" w:rsidR="00382941" w:rsidRPr="00D631CA" w:rsidRDefault="00382941" w:rsidP="00D631CA">
            <w:pPr>
              <w:jc w:val="center"/>
              <w:rPr>
                <w:rFonts w:ascii="ITC Avant Garde" w:eastAsia="Times New Roman" w:hAnsi="ITC Avant Garde" w:cs="Arial"/>
                <w:lang w:eastAsia="es-MX"/>
              </w:rPr>
            </w:pPr>
            <w:r w:rsidRPr="00D631CA">
              <w:rPr>
                <w:rFonts w:ascii="ITC Avant Garde" w:eastAsia="Times New Roman" w:hAnsi="ITC Avant Garde" w:cs="Arial"/>
                <w:lang w:eastAsia="es-MX"/>
              </w:rPr>
              <w:t>21,234 (23.1%)</w:t>
            </w:r>
          </w:p>
        </w:tc>
        <w:tc>
          <w:tcPr>
            <w:tcW w:w="3402" w:type="dxa"/>
            <w:noWrap/>
            <w:vAlign w:val="center"/>
            <w:hideMark/>
          </w:tcPr>
          <w:p w14:paraId="2B5C5F31" w14:textId="77777777" w:rsidR="00382941" w:rsidRPr="00D631CA" w:rsidRDefault="00382941" w:rsidP="00D631CA">
            <w:pPr>
              <w:jc w:val="center"/>
              <w:rPr>
                <w:rFonts w:ascii="ITC Avant Garde" w:eastAsia="Times New Roman" w:hAnsi="ITC Avant Garde" w:cs="Arial"/>
                <w:lang w:eastAsia="es-MX"/>
              </w:rPr>
            </w:pPr>
            <w:r w:rsidRPr="00D631CA">
              <w:rPr>
                <w:rFonts w:ascii="ITC Avant Garde" w:eastAsia="Times New Roman" w:hAnsi="ITC Avant Garde" w:cs="Arial"/>
                <w:lang w:eastAsia="es-MX"/>
              </w:rPr>
              <w:t>6,782 (12.6%)</w:t>
            </w:r>
          </w:p>
        </w:tc>
      </w:tr>
      <w:tr w:rsidR="00382941" w:rsidRPr="00D631CA" w14:paraId="4E91C496" w14:textId="77777777" w:rsidTr="00D631CA">
        <w:trPr>
          <w:trHeight w:val="345"/>
          <w:tblHeader/>
        </w:trPr>
        <w:tc>
          <w:tcPr>
            <w:tcW w:w="2977" w:type="dxa"/>
            <w:noWrap/>
            <w:vAlign w:val="center"/>
            <w:hideMark/>
          </w:tcPr>
          <w:p w14:paraId="0F6AC941" w14:textId="77777777" w:rsidR="00382941" w:rsidRPr="00D631CA" w:rsidRDefault="00382941" w:rsidP="00D631CA">
            <w:pPr>
              <w:jc w:val="center"/>
              <w:rPr>
                <w:rFonts w:ascii="ITC Avant Garde" w:eastAsia="Times New Roman" w:hAnsi="ITC Avant Garde" w:cs="Arial"/>
                <w:b/>
                <w:lang w:eastAsia="es-MX"/>
              </w:rPr>
            </w:pPr>
            <w:r w:rsidRPr="00D631CA">
              <w:rPr>
                <w:rFonts w:ascii="ITC Avant Garde" w:eastAsia="Times New Roman" w:hAnsi="ITC Avant Garde" w:cs="Arial"/>
                <w:b/>
                <w:lang w:eastAsia="es-MX"/>
              </w:rPr>
              <w:t>Iusacell/</w:t>
            </w:r>
            <w:proofErr w:type="spellStart"/>
            <w:r w:rsidRPr="00D631CA">
              <w:rPr>
                <w:rFonts w:ascii="ITC Avant Garde" w:eastAsia="Times New Roman" w:hAnsi="ITC Avant Garde" w:cs="Arial"/>
                <w:b/>
                <w:lang w:eastAsia="es-MX"/>
              </w:rPr>
              <w:t>Unefon</w:t>
            </w:r>
            <w:proofErr w:type="spellEnd"/>
          </w:p>
        </w:tc>
        <w:tc>
          <w:tcPr>
            <w:tcW w:w="3686" w:type="dxa"/>
            <w:noWrap/>
            <w:vAlign w:val="center"/>
            <w:hideMark/>
          </w:tcPr>
          <w:p w14:paraId="0EB775A5" w14:textId="77777777" w:rsidR="00382941" w:rsidRPr="00D631CA" w:rsidRDefault="00382941" w:rsidP="00D631CA">
            <w:pPr>
              <w:jc w:val="center"/>
              <w:rPr>
                <w:rFonts w:ascii="ITC Avant Garde" w:eastAsia="Times New Roman" w:hAnsi="ITC Avant Garde" w:cs="Arial"/>
                <w:lang w:eastAsia="es-MX"/>
              </w:rPr>
            </w:pPr>
            <w:r w:rsidRPr="00D631CA">
              <w:rPr>
                <w:rFonts w:ascii="ITC Avant Garde" w:eastAsia="Times New Roman" w:hAnsi="ITC Avant Garde" w:cs="Arial"/>
                <w:lang w:eastAsia="es-MX"/>
              </w:rPr>
              <w:t>4,383 (4.6%)</w:t>
            </w:r>
          </w:p>
        </w:tc>
        <w:tc>
          <w:tcPr>
            <w:tcW w:w="3402" w:type="dxa"/>
            <w:noWrap/>
            <w:vAlign w:val="center"/>
            <w:hideMark/>
          </w:tcPr>
          <w:p w14:paraId="2F28E2CE" w14:textId="77777777" w:rsidR="00382941" w:rsidRPr="00D631CA" w:rsidRDefault="00382941" w:rsidP="00D631CA">
            <w:pPr>
              <w:jc w:val="center"/>
              <w:rPr>
                <w:rFonts w:ascii="ITC Avant Garde" w:eastAsia="Times New Roman" w:hAnsi="ITC Avant Garde" w:cs="Arial"/>
                <w:lang w:eastAsia="es-MX"/>
              </w:rPr>
            </w:pPr>
            <w:r w:rsidRPr="00D631CA">
              <w:rPr>
                <w:rFonts w:ascii="ITC Avant Garde" w:eastAsia="Times New Roman" w:hAnsi="ITC Avant Garde" w:cs="Arial"/>
                <w:lang w:eastAsia="es-MX"/>
              </w:rPr>
              <w:t>2,893 (5.4%)</w:t>
            </w:r>
          </w:p>
        </w:tc>
      </w:tr>
    </w:tbl>
    <w:p w14:paraId="77198C24"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t>Valoración del Instituto</w:t>
      </w:r>
    </w:p>
    <w:p w14:paraId="00460C4A"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Esta autoridad reguladora coincide con el señalamiento del perito en el sentido de que la participación de mercado se puede medir mediante diversas variables, como los minutos de tráfico cursados, el número de usuarios y los ingresos obtenidos, asimismo da cuenta de los ejercicios que la respecto realizaron los peritos.</w:t>
      </w:r>
    </w:p>
    <w:p w14:paraId="5A1B25AD"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 xml:space="preserve">Pregunta 7. Que diga y explique el perito cuál de los indicadores identificados en la pregunta anterior es el más relevante para representar la participación de mercado de un operador de servicio móvil en un modelo de costos </w:t>
      </w:r>
    </w:p>
    <w:p w14:paraId="1ED9CDCF"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El perito de la Recurrente manifestó que para fines de utilizar un Modelo de Costos de un operador móvil, el indicador relevante es la participación de mercado medida por la cantidad de minutos de tráfico de voz cursado por su red, respecto del total de minutos de voz del mercado. Ello es así porque uno de los principales elementos para dimensionar la red del operador móvil representativo en un Modelo de Costos es la demanda de minutos de tráfico que debe atender y posteriormente calcula el costo correspondiente por minuto. Es decir, el costo por minuto es función de la infraestructura requerida para atender los minutos de tráfico que debe tramitar la red.</w:t>
      </w:r>
    </w:p>
    <w:p w14:paraId="71CFF334"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t>Valoración del Instituto</w:t>
      </w:r>
    </w:p>
    <w:p w14:paraId="363C422D"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Este Instituto da cuenta de lo señalado por el perito en el sentido de que para representar la participación de mercado de un operador móvil en un modelo de costos se pueden utilizar diversas variables, entre ellas minutos; por lo que se considera que dicha decisión de modelado corresponde al ámbito de discrecionalidad del órgano re</w:t>
      </w:r>
      <w:r w:rsidR="003C4FBA" w:rsidRPr="00D631CA">
        <w:rPr>
          <w:rFonts w:ascii="ITC Avant Garde" w:hAnsi="ITC Avant Garde" w:cs="Arial"/>
        </w:rPr>
        <w:t>gulador.</w:t>
      </w:r>
    </w:p>
    <w:p w14:paraId="273F8A78"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Pregunta 8. Que diga y explique el perito si un operador de servicios móviles con 25% del mercado es representativo de la realidad del mercado mexicano y si en las condiciones de mercado existentes en México es aconsejable la introducción de tarifas asimétricas para la terminación de llamadas en redes móviles.</w:t>
      </w:r>
    </w:p>
    <w:p w14:paraId="35197883"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El perito de la Recurrente argumenta que el Modelo de Costos de la Comisión considera que participan en la prestación del servicio cuatro operadores de telefonía móvil, por lo que el operador representativo tiene una participación del 25% del mercado. Si bien este supuesto es congruente con las prácticas observadas en algunos países que determinan sus TTM con base en un modelo de operador hipotético eficiente, resulta totalmente inapropiado para México, toda vez que un operador que participa con el 25% del mercado no es representativo en forma alguna del mercado de servicios móviles en este país.</w:t>
      </w:r>
    </w:p>
    <w:p w14:paraId="4BB837AE"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Las condiciones existentes en el mercado mexicano hacen aconsejable la aplicación transitoria de tarifas asimétricas por un período de tiempo suficiente para </w:t>
      </w:r>
      <w:proofErr w:type="gramStart"/>
      <w:r w:rsidRPr="00D631CA">
        <w:rPr>
          <w:rFonts w:ascii="ITC Avant Garde" w:hAnsi="ITC Avant Garde" w:cs="Arial"/>
        </w:rPr>
        <w:t>darle</w:t>
      </w:r>
      <w:proofErr w:type="gramEnd"/>
      <w:r w:rsidRPr="00D631CA">
        <w:rPr>
          <w:rFonts w:ascii="ITC Avant Garde" w:hAnsi="ITC Avant Garde" w:cs="Arial"/>
        </w:rPr>
        <w:t xml:space="preserve"> oportunidad a los operadores competitivos de incrementar sus niveles de eficiencia y lograr la convergencia de sus costos hacia los de un operador eficiente con mayor escala de operación.</w:t>
      </w:r>
    </w:p>
    <w:p w14:paraId="3D31A5CD"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t>Valoración del Instituto</w:t>
      </w:r>
    </w:p>
    <w:p w14:paraId="3C95C611"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Este organismo regulador señala que el modelo de costos instrumentado por la extinta </w:t>
      </w:r>
      <w:proofErr w:type="spellStart"/>
      <w:r w:rsidRPr="00D631CA">
        <w:rPr>
          <w:rFonts w:ascii="ITC Avant Garde" w:hAnsi="ITC Avant Garde" w:cs="Arial"/>
        </w:rPr>
        <w:t>Cofetel</w:t>
      </w:r>
      <w:proofErr w:type="spellEnd"/>
      <w:r w:rsidRPr="00D631CA">
        <w:rPr>
          <w:rFonts w:ascii="ITC Avant Garde" w:hAnsi="ITC Avant Garde" w:cs="Arial"/>
        </w:rPr>
        <w:t xml:space="preserve"> no tenía como objetivo representar la realidad de algún operador en particular o un grupo aislado de ellos, sino el de simular un operador eficiente que se desarrolla en un mercado en competencia, supuestos que estimulan a los operadores participantes del mercado a elevar su eficiencia y su competitividad, y que dan como resultado que puedan ofertar bienes y servicios con mayor calidad y un menor precio a los consumidores.</w:t>
      </w:r>
    </w:p>
    <w:p w14:paraId="16A9F979"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 xml:space="preserve">Pregunta 9. El perito dirá y explicará si el Modelo de Costos que la Comisión considera en la Resolución mediante la cual determina las condiciones de interconexión no convenidas entre las </w:t>
      </w:r>
      <w:r w:rsidR="00C67299" w:rsidRPr="00D631CA">
        <w:rPr>
          <w:rFonts w:ascii="ITC Avant Garde" w:hAnsi="ITC Avant Garde" w:cs="Arial"/>
          <w:b/>
        </w:rPr>
        <w:t>tercero perjudicada</w:t>
      </w:r>
      <w:r w:rsidRPr="00D631CA">
        <w:rPr>
          <w:rFonts w:ascii="ITC Avant Garde" w:hAnsi="ITC Avant Garde" w:cs="Arial"/>
          <w:b/>
        </w:rPr>
        <w:t xml:space="preserve">s y las Recurrentes es el mismo que la </w:t>
      </w:r>
      <w:proofErr w:type="spellStart"/>
      <w:r w:rsidRPr="00D631CA">
        <w:rPr>
          <w:rFonts w:ascii="ITC Avant Garde" w:hAnsi="ITC Avant Garde" w:cs="Arial"/>
          <w:b/>
        </w:rPr>
        <w:t>Cofetel</w:t>
      </w:r>
      <w:proofErr w:type="spellEnd"/>
      <w:r w:rsidRPr="00D631CA">
        <w:rPr>
          <w:rFonts w:ascii="ITC Avant Garde" w:hAnsi="ITC Avant Garde" w:cs="Arial"/>
          <w:b/>
        </w:rPr>
        <w:t xml:space="preserve"> hizo público en su página Web. </w:t>
      </w:r>
    </w:p>
    <w:p w14:paraId="1B90EF7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Argumenta el perito de la Recurrente que después de revisar la información disponible en ambos casos, se puede afirmar que el Modelo de Costos publicado por la Comisión, es el mismo, llega a idéntico resultado y tiene los mismos supuestos, premisas, errores y consideraciones económicas, técnicas y financieras.</w:t>
      </w:r>
    </w:p>
    <w:p w14:paraId="6DCBC431"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t>Valoración del Instituto</w:t>
      </w:r>
    </w:p>
    <w:p w14:paraId="530A43F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Esta autoridad regulatoria desestima la respuesta del perito, toda vez que la veracidad del modelo utilizado por el Instituto no se encuentra sujeto a la valoración de prueba pericial alguna. </w:t>
      </w:r>
    </w:p>
    <w:p w14:paraId="20583E7D"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lastRenderedPageBreak/>
        <w:t xml:space="preserve">Pregunta 10. El perito dirá y explicará si el modelo de costos utilizado por el Pleno de la </w:t>
      </w:r>
      <w:proofErr w:type="spellStart"/>
      <w:r w:rsidRPr="00D631CA">
        <w:rPr>
          <w:rFonts w:ascii="ITC Avant Garde" w:hAnsi="ITC Avant Garde" w:cs="Arial"/>
          <w:b/>
        </w:rPr>
        <w:t>Cofetel</w:t>
      </w:r>
      <w:proofErr w:type="spellEnd"/>
      <w:r w:rsidRPr="00D631CA">
        <w:rPr>
          <w:rFonts w:ascii="ITC Avant Garde" w:hAnsi="ITC Avant Garde" w:cs="Arial"/>
          <w:b/>
        </w:rPr>
        <w:t xml:space="preserve"> en su Resolución P/201010/492, contiene diferencias con el modelo de costos que la Comisión considera en la Resolución mediante la cual determina las condiciones de interconexión no convenidas entre las hoy </w:t>
      </w:r>
      <w:r w:rsidR="00C67299" w:rsidRPr="00D631CA">
        <w:rPr>
          <w:rFonts w:ascii="ITC Avant Garde" w:hAnsi="ITC Avant Garde" w:cs="Arial"/>
          <w:b/>
        </w:rPr>
        <w:t>tercero perjudicada</w:t>
      </w:r>
      <w:r w:rsidRPr="00D631CA">
        <w:rPr>
          <w:rFonts w:ascii="ITC Avant Garde" w:hAnsi="ITC Avant Garde" w:cs="Arial"/>
          <w:b/>
        </w:rPr>
        <w:t>s y mis Representadas.</w:t>
      </w:r>
    </w:p>
    <w:p w14:paraId="707A71EA"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Refiere el perito de la Recurrente que el Modelo de Costos publicado por la Comisión Federal de Telecomunicaciones es el mismo que fue utilizado para la elaboración de la Resolución P/201010/492, toda vez que contempla los mismos supuestos y algoritmos para el diseño de la red del operador eficiente y para la determinación de la tarifa de terminación correspondiente.</w:t>
      </w:r>
    </w:p>
    <w:p w14:paraId="2039AB0B"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Sin embargo, debe hacerse notar que los valores de los parámetros que alimentaron el Modelo de Costos en las resoluciones P/EXT/27O511/55 y P/060711/257 son idénticos a los utilizados en la versión del modelo que fue publicado por </w:t>
      </w:r>
      <w:proofErr w:type="spellStart"/>
      <w:r w:rsidRPr="00D631CA">
        <w:rPr>
          <w:rFonts w:ascii="ITC Avant Garde" w:hAnsi="ITC Avant Garde" w:cs="Arial"/>
        </w:rPr>
        <w:t>Cofetel</w:t>
      </w:r>
      <w:proofErr w:type="spellEnd"/>
      <w:r w:rsidRPr="00D631CA">
        <w:rPr>
          <w:rFonts w:ascii="ITC Avant Garde" w:hAnsi="ITC Avant Garde" w:cs="Arial"/>
        </w:rPr>
        <w:t>; mientras que los valores de los parámetros utilizados en la Resolución P/201010/492 resultan significativamente diferentes y no guardan relación entre sí.</w:t>
      </w:r>
    </w:p>
    <w:p w14:paraId="06FA6128"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t>Valoración del Instituto</w:t>
      </w:r>
    </w:p>
    <w:p w14:paraId="6C1D7E63"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Este Instituto no forma convicción de la respuesta del perito, debido a que no es procedente entrar al estudio de la Resolución P/201010/492, dado que el pleno de la extinta </w:t>
      </w:r>
      <w:proofErr w:type="spellStart"/>
      <w:r w:rsidRPr="00D631CA">
        <w:rPr>
          <w:rFonts w:ascii="ITC Avant Garde" w:hAnsi="ITC Avant Garde" w:cs="Arial"/>
        </w:rPr>
        <w:t>Cofetel</w:t>
      </w:r>
      <w:proofErr w:type="spellEnd"/>
      <w:r w:rsidRPr="00D631CA">
        <w:rPr>
          <w:rFonts w:ascii="ITC Avant Garde" w:hAnsi="ITC Avant Garde" w:cs="Arial"/>
        </w:rPr>
        <w:t xml:space="preserve"> no invocó ni fundo en dicha Resolución los resolutivos de las condiciones y tarifas de interconexión no convenidas de la Resolución P/110412/136 que es la que nos ocupa.</w:t>
      </w:r>
    </w:p>
    <w:p w14:paraId="3C848472"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 xml:space="preserve">Pregunta 11. En caso afirmativo, el perito dirá y explicará las diferencias existentes entre ambos modelos, en qué consiste cada una de ellas, así como su impacto en la tarifa de interconexión determinada por la </w:t>
      </w:r>
      <w:proofErr w:type="spellStart"/>
      <w:r w:rsidRPr="00D631CA">
        <w:rPr>
          <w:rFonts w:ascii="ITC Avant Garde" w:hAnsi="ITC Avant Garde" w:cs="Arial"/>
          <w:b/>
        </w:rPr>
        <w:t>Cofetel</w:t>
      </w:r>
      <w:proofErr w:type="spellEnd"/>
      <w:r w:rsidRPr="00D631CA">
        <w:rPr>
          <w:rFonts w:ascii="ITC Avant Garde" w:hAnsi="ITC Avant Garde" w:cs="Arial"/>
          <w:b/>
        </w:rPr>
        <w:t xml:space="preserve"> en su resolución de las condiciones de interconexión no convenidas entre la </w:t>
      </w:r>
      <w:r w:rsidR="00B3614D" w:rsidRPr="00D631CA">
        <w:rPr>
          <w:rFonts w:ascii="ITC Avant Garde" w:hAnsi="ITC Avant Garde" w:cs="Arial"/>
          <w:b/>
        </w:rPr>
        <w:t>t</w:t>
      </w:r>
      <w:r w:rsidR="00C67299" w:rsidRPr="00D631CA">
        <w:rPr>
          <w:rFonts w:ascii="ITC Avant Garde" w:hAnsi="ITC Avant Garde" w:cs="Arial"/>
          <w:b/>
        </w:rPr>
        <w:t>ercero perjudicada</w:t>
      </w:r>
      <w:r w:rsidRPr="00D631CA">
        <w:rPr>
          <w:rFonts w:ascii="ITC Avant Garde" w:hAnsi="ITC Avant Garde" w:cs="Arial"/>
          <w:b/>
        </w:rPr>
        <w:t xml:space="preserve"> y las Recurrentes. </w:t>
      </w:r>
    </w:p>
    <w:p w14:paraId="4023AE47" w14:textId="42867D5F" w:rsidR="00382941" w:rsidRPr="00D631CA" w:rsidRDefault="00382941" w:rsidP="00D631CA">
      <w:pPr>
        <w:spacing w:before="240"/>
        <w:jc w:val="both"/>
        <w:rPr>
          <w:rFonts w:ascii="ITC Avant Garde" w:hAnsi="ITC Avant Garde" w:cs="Arial"/>
        </w:rPr>
      </w:pPr>
      <w:r w:rsidRPr="00D631CA">
        <w:rPr>
          <w:rFonts w:ascii="ITC Avant Garde" w:hAnsi="ITC Avant Garde" w:cs="Arial"/>
        </w:rPr>
        <w:t>Aunque el modelo es exactamente el mismo, el valor de los parámetros incorporados al Modelo de Costos es significativamente diferente, por lo que sorprende que el cálculo final arroje un resultado relativamente similar en ambos casos.</w:t>
      </w:r>
    </w:p>
    <w:p w14:paraId="3CBC1D1A"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En síntesis, aunque la resolución del 27 de mayo de 2011 reduce la TTM en 6.3% el nivel de la tarifa originalmente estimado por la propia </w:t>
      </w:r>
      <w:proofErr w:type="spellStart"/>
      <w:r w:rsidRPr="00D631CA">
        <w:rPr>
          <w:rFonts w:ascii="ITC Avant Garde" w:hAnsi="ITC Avant Garde" w:cs="Arial"/>
        </w:rPr>
        <w:t>Cofetel</w:t>
      </w:r>
      <w:proofErr w:type="spellEnd"/>
      <w:r w:rsidRPr="00D631CA">
        <w:rPr>
          <w:rFonts w:ascii="ITC Avant Garde" w:hAnsi="ITC Avant Garde" w:cs="Arial"/>
        </w:rPr>
        <w:t xml:space="preserve"> y la SCT, este porcentaje encierra correcciones muy significativas en los parámetros utilizados para valorar el modelo. Las correcciones descritas en este numeral son independientes una de la otra y sorprende que un grupo de estas correcciones aumente en 140% el valor estimado de la TT</w:t>
      </w:r>
      <w:r w:rsidR="00B124A6" w:rsidRPr="00D631CA">
        <w:rPr>
          <w:rFonts w:ascii="ITC Avant Garde" w:hAnsi="ITC Avant Garde" w:cs="Arial"/>
        </w:rPr>
        <w:t>M</w:t>
      </w:r>
      <w:r w:rsidRPr="00D631CA">
        <w:rPr>
          <w:rFonts w:ascii="ITC Avant Garde" w:hAnsi="ITC Avant Garde" w:cs="Arial"/>
        </w:rPr>
        <w:t>, mientras que el resto de los ajustes disminuye la tarifa alcanzada a menos de la mitad, con una reducción de 61%.</w:t>
      </w:r>
    </w:p>
    <w:p w14:paraId="22B6B245"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lastRenderedPageBreak/>
        <w:t>Valoración del Instituto</w:t>
      </w:r>
    </w:p>
    <w:p w14:paraId="4F81A28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Esta autoridad regulatoria desestima la respuesta del perito ya que como se menciona con antelación, no es procedente entrar al estudio de la Resolución P/201010/492, dado que el pleno de la extinta </w:t>
      </w:r>
      <w:proofErr w:type="spellStart"/>
      <w:r w:rsidRPr="00D631CA">
        <w:rPr>
          <w:rFonts w:ascii="ITC Avant Garde" w:hAnsi="ITC Avant Garde" w:cs="Arial"/>
        </w:rPr>
        <w:t>Cofetel</w:t>
      </w:r>
      <w:proofErr w:type="spellEnd"/>
      <w:r w:rsidRPr="00D631CA">
        <w:rPr>
          <w:rFonts w:ascii="ITC Avant Garde" w:hAnsi="ITC Avant Garde" w:cs="Arial"/>
        </w:rPr>
        <w:t xml:space="preserve"> no invocó ni fundo en dicha Resolución los resolutivos de las condiciones y tarifas de interconexión no convenidas de la Resolución P/110412/136 que es la que nos ocupa.</w:t>
      </w:r>
    </w:p>
    <w:p w14:paraId="6DC9D647"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Así mismo, se señala que en términos de lo dispuesto por los artículos 9-A fracción X, 42 y 43 de la abrogada LFT, la extinta </w:t>
      </w:r>
      <w:proofErr w:type="spellStart"/>
      <w:r w:rsidRPr="00D631CA">
        <w:rPr>
          <w:rFonts w:ascii="ITC Avant Garde" w:hAnsi="ITC Avant Garde" w:cs="Arial"/>
        </w:rPr>
        <w:t>Cofetel</w:t>
      </w:r>
      <w:proofErr w:type="spellEnd"/>
      <w:r w:rsidRPr="00D631CA">
        <w:rPr>
          <w:rFonts w:ascii="ITC Avant Garde" w:hAnsi="ITC Avant Garde" w:cs="Arial"/>
        </w:rPr>
        <w:t xml:space="preserve"> estaba facultada para resolver con autonomía plena las condiciones que en materia de interconexión, no hubiesen sido convenidas entre los concesionarios de redes públicas de telecomunicaciones, para lo cual utilizó un Modelo de Costos que otorgó certeza jurídica a las partes conforme al marco jurídico aplicable en dicho periodo.</w:t>
      </w:r>
    </w:p>
    <w:p w14:paraId="50F19951"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 xml:space="preserve">Pregunta 12. Que diga y explique el perito la metodología utilizada por la </w:t>
      </w:r>
      <w:proofErr w:type="spellStart"/>
      <w:r w:rsidRPr="00D631CA">
        <w:rPr>
          <w:rFonts w:ascii="ITC Avant Garde" w:hAnsi="ITC Avant Garde" w:cs="Arial"/>
          <w:b/>
        </w:rPr>
        <w:t>Cofetel</w:t>
      </w:r>
      <w:proofErr w:type="spellEnd"/>
      <w:r w:rsidRPr="00D631CA">
        <w:rPr>
          <w:rFonts w:ascii="ITC Avant Garde" w:hAnsi="ITC Avant Garde" w:cs="Arial"/>
          <w:b/>
        </w:rPr>
        <w:t xml:space="preserve"> para estimar la demanda de tráfico de llamadas de voz y que determine si está debidamente justificada y respaldada por la evidencia empírica. </w:t>
      </w:r>
    </w:p>
    <w:p w14:paraId="3DD76FEC"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Argumenta el perito de la Recurrente que resulta evidente que en el procedimiento descrito para estimar el tráfico de minutos de voz que deberá cursar la red del operador representativo resultan fundamentales los minutos de voz mensuales que se le atribuyen a cada uno de los usuarios. Sin embargo, la </w:t>
      </w:r>
      <w:proofErr w:type="spellStart"/>
      <w:r w:rsidRPr="00D631CA">
        <w:rPr>
          <w:rFonts w:ascii="ITC Avant Garde" w:hAnsi="ITC Avant Garde" w:cs="Arial"/>
        </w:rPr>
        <w:t>Cofetel</w:t>
      </w:r>
      <w:proofErr w:type="spellEnd"/>
      <w:r w:rsidRPr="00D631CA">
        <w:rPr>
          <w:rFonts w:ascii="ITC Avant Garde" w:hAnsi="ITC Avant Garde" w:cs="Arial"/>
        </w:rPr>
        <w:t xml:space="preserve"> no sigue ningún método para recopilar y valorar la información de los operadores ni para estimar una cifra que pudiera ser representativa del mercado mexicano. La Comisión simplemente se limita a afirmar que, después de analizar la información que reportan los concesionarios a la Comisión y que publican en sus informes anuales, "decidió utilizar la información de un concesionario en particular", sin dar mayor explicación al respecto.</w:t>
      </w:r>
    </w:p>
    <w:p w14:paraId="11F5238A"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Lo anterior, constituye una seria deficiencia en la metodología adoptada porque la información específica de "un concesionario en particular" no puede asumirse como representativa del mercado y menos aún de la demanda que enfrenta el supuesto concesionario representativo.</w:t>
      </w:r>
    </w:p>
    <w:p w14:paraId="1E7DCD61"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t>Valoración del Instituto</w:t>
      </w:r>
    </w:p>
    <w:p w14:paraId="42A6C411"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Este Instituto señala que para la determinación de la demanda se instrumentó un enfoque de tipo ingenieril o </w:t>
      </w:r>
      <w:proofErr w:type="spellStart"/>
      <w:r w:rsidRPr="00D631CA">
        <w:rPr>
          <w:rFonts w:ascii="ITC Avant Garde" w:hAnsi="ITC Avant Garde" w:cs="Arial"/>
        </w:rPr>
        <w:t>Bottom</w:t>
      </w:r>
      <w:proofErr w:type="spellEnd"/>
      <w:r w:rsidRPr="00D631CA">
        <w:rPr>
          <w:rFonts w:ascii="ITC Avant Garde" w:hAnsi="ITC Avant Garde" w:cs="Arial"/>
        </w:rPr>
        <w:t xml:space="preserve">-Up y un calibrado por medio de un enfoque </w:t>
      </w:r>
      <w:proofErr w:type="spellStart"/>
      <w:r w:rsidRPr="00D631CA">
        <w:rPr>
          <w:rFonts w:ascii="ITC Avant Garde" w:hAnsi="ITC Avant Garde" w:cs="Arial"/>
        </w:rPr>
        <w:t>Scorched-Earth</w:t>
      </w:r>
      <w:proofErr w:type="spellEnd"/>
      <w:r w:rsidRPr="00D631CA">
        <w:rPr>
          <w:rFonts w:ascii="ITC Avant Garde" w:hAnsi="ITC Avant Garde" w:cs="Arial"/>
        </w:rPr>
        <w:t xml:space="preserve"> que se basa en información pública disponible y que evita los riesgos de tomar en cuenta información manipulada que transfiera ineficiencias de los operadores reales al modelo.</w:t>
      </w:r>
    </w:p>
    <w:p w14:paraId="68D4D878"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 xml:space="preserve">Por otro lado, se desestima la respuesta del perito de la Recurrente respecto de que la extinta </w:t>
      </w:r>
      <w:proofErr w:type="spellStart"/>
      <w:r w:rsidRPr="00D631CA">
        <w:rPr>
          <w:rFonts w:ascii="ITC Avant Garde" w:hAnsi="ITC Avant Garde" w:cs="Arial"/>
        </w:rPr>
        <w:t>Cofetel</w:t>
      </w:r>
      <w:proofErr w:type="spellEnd"/>
      <w:r w:rsidRPr="00D631CA">
        <w:rPr>
          <w:rFonts w:ascii="ITC Avant Garde" w:hAnsi="ITC Avant Garde" w:cs="Arial"/>
        </w:rPr>
        <w:t xml:space="preserve"> no siguió algún método para recopilar y valorar la información de los operadores ni para estimar una cifra que pudiera ser representativa del mercado mexicano, ya que de la foja 34 a la 36 de la Resolución en escrutinio se detalla la metodología con la que la extinta Comisión estimo la demanda de los servicios.</w:t>
      </w:r>
    </w:p>
    <w:p w14:paraId="2436A4FB"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 xml:space="preserve">Pregunta 13. Que diga y explique el perito si la información de demanda de tráfico utilizada por la </w:t>
      </w:r>
      <w:proofErr w:type="spellStart"/>
      <w:r w:rsidRPr="00D631CA">
        <w:rPr>
          <w:rFonts w:ascii="ITC Avant Garde" w:hAnsi="ITC Avant Garde" w:cs="Arial"/>
          <w:b/>
        </w:rPr>
        <w:t>Cofetel</w:t>
      </w:r>
      <w:proofErr w:type="spellEnd"/>
      <w:r w:rsidRPr="00D631CA">
        <w:rPr>
          <w:rFonts w:ascii="ITC Avant Garde" w:hAnsi="ITC Avant Garde" w:cs="Arial"/>
          <w:b/>
        </w:rPr>
        <w:t xml:space="preserve"> es suficiente para la determinación del dimensionamiento de la red modelada y si se incluye una contabilización matemáticamente robusta y adecuada de los minutos relevantes para determinar el impacto sobre los costos de proveer el tráfico estimado.</w:t>
      </w:r>
    </w:p>
    <w:p w14:paraId="182AE358"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El perito de la Recurrente refiere que la Comisión no hace una contabilización adecuada de todos los minutos relevantes para el dimensionamiento de la red puesto que deja fuera todos los minutos en que la red se encuentra ocupada, pero que no generan un cobro específico por esa utilización.</w:t>
      </w:r>
    </w:p>
    <w:p w14:paraId="4B245CF7"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Este es el caso de los minutos de utilización de red por el tiempo que transcurre desde que se genera una llamada hasta que la llamada es contestada o, en su caso, el tiempo transcurrido cuando el destinatario no contesta y se considera como una llamada fallida y se suspende el intento de comunicación. Si bien es cierto que los intentos de conexión de llamadas y el envío de los tonos correspondientes solamente hacen uso del canal de señalización, debe tomarse en cuenta que durante el tiempo transcurrido en el intento de conexión la red aparta también un canal de voz para el establecimiento de la llamada, por lo que la ocupación de la red es prácticamente la misma que se tiene cuando se cursa efectivamente la llamada de voz.</w:t>
      </w:r>
    </w:p>
    <w:p w14:paraId="5FBCA9BE"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omisión de la entonces Comisión al considerar este tipo de ocupación de la red subestima el costo por minuto de proporcionar el servicio.</w:t>
      </w:r>
    </w:p>
    <w:p w14:paraId="287B915A"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t>Valoración del Instituto</w:t>
      </w:r>
    </w:p>
    <w:p w14:paraId="0CEA8311"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Este Instituto desestima la respuesta del perito de la Recurrente ya que para dimensionar la red del operador representativo en el modelo la extinta </w:t>
      </w:r>
      <w:proofErr w:type="spellStart"/>
      <w:r w:rsidRPr="00D631CA">
        <w:rPr>
          <w:rFonts w:ascii="ITC Avant Garde" w:hAnsi="ITC Avant Garde" w:cs="Arial"/>
        </w:rPr>
        <w:t>Cofetel</w:t>
      </w:r>
      <w:proofErr w:type="spellEnd"/>
      <w:r w:rsidRPr="00D631CA">
        <w:rPr>
          <w:rFonts w:ascii="ITC Avant Garde" w:hAnsi="ITC Avant Garde" w:cs="Arial"/>
        </w:rPr>
        <w:t xml:space="preserve"> tomo en cuenta la información relevante de la demanda del servicio, la cual constituía la mejor información disponible al momento de elaborar el modelo de costos. En este sentido, para los suscriptores se determinó el tráfico de servicios de telefonía en el promedio de minutos de entrada y salida, con ello se estimó la distribución de los distintos tipos de llamadas terminadas en una red móvil.</w:t>
      </w:r>
    </w:p>
    <w:p w14:paraId="39823814"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Pregunta 14. Que diga y explique el perito por qué es importante en un modelo de costos considerar el dimensionamiento de la red para lograr un nivel de cobertura.</w:t>
      </w:r>
    </w:p>
    <w:p w14:paraId="5BC4344F"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El perito de la Recurrente manifiesta que los modelos "</w:t>
      </w:r>
      <w:proofErr w:type="spellStart"/>
      <w:r w:rsidRPr="00D631CA">
        <w:rPr>
          <w:rFonts w:ascii="ITC Avant Garde" w:hAnsi="ITC Avant Garde" w:cs="Arial"/>
        </w:rPr>
        <w:t>Bottom</w:t>
      </w:r>
      <w:proofErr w:type="spellEnd"/>
      <w:r w:rsidRPr="00D631CA">
        <w:rPr>
          <w:rFonts w:ascii="ITC Avant Garde" w:hAnsi="ITC Avant Garde" w:cs="Arial"/>
        </w:rPr>
        <w:t>-Up", que diseñan la red de un operador representativo, deben considerar que la red debe tener cobertura y disponibilidad de servicio en condiciones no menos favorables que las que ofrecen sus competidores. La necesidad de ofrecer cobertura suficiente significa un importante costo en el desarrollo de la red de cualquier operador móvil, particularmente en las etapas iniciales de su operación, puesto que los efectos económicos de los costos de ofrecer cobertura son similares a los de los costos fijos y solo pueden absorberse gradualmente conforme se van ganando clientes que utilicen efectivamente la capacidad de la cobertura desplegada. Ello hace que los costos unitarios de proveer servicios se reduzcan sensiblemente conforme el operador aumenta el tráfico que se cursa en su red.</w:t>
      </w:r>
    </w:p>
    <w:p w14:paraId="518A79B7"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t>Valoración del Instituto</w:t>
      </w:r>
    </w:p>
    <w:p w14:paraId="7EAD621C"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Esta autoridad reguladora converge con la respuesta del perito en el sentido de que el dimensionamiento de la red dentro del modelo es importante para determinar los costos de los servicios y su nivel de cobertura. </w:t>
      </w:r>
    </w:p>
    <w:p w14:paraId="68959A5C" w14:textId="486C52B2" w:rsidR="00382941" w:rsidRPr="00D631CA" w:rsidRDefault="00382941" w:rsidP="00D631CA">
      <w:pPr>
        <w:spacing w:before="240"/>
        <w:jc w:val="both"/>
        <w:rPr>
          <w:rFonts w:ascii="ITC Avant Garde" w:hAnsi="ITC Avant Garde" w:cs="Arial"/>
        </w:rPr>
      </w:pPr>
      <w:r w:rsidRPr="00D631CA">
        <w:rPr>
          <w:rFonts w:ascii="ITC Avant Garde" w:hAnsi="ITC Avant Garde" w:cs="Arial"/>
        </w:rPr>
        <w:t>En este sentido el dimensionamiento de la red incide en las economías de escala y alcance características de los operadores de telecomunicaciones, ya que en la medida en la que el operador modelado puede ofrecer una mayor gama de servicios en su zona de cobertura incrementara sus economías de alcance. De igual modo, en la medida que el tráfico de su red se incremente los costos unitarios disminuirán generando mayores economías de escala que le permitan disminuir precios y aumentar la demanda de sus servicios.</w:t>
      </w:r>
    </w:p>
    <w:p w14:paraId="103A338B"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 xml:space="preserve">Pregunta 15. Que diga y explique el perito si el Modelo de Costos utilizado por </w:t>
      </w:r>
      <w:proofErr w:type="spellStart"/>
      <w:r w:rsidRPr="00D631CA">
        <w:rPr>
          <w:rFonts w:ascii="ITC Avant Garde" w:hAnsi="ITC Avant Garde" w:cs="Arial"/>
          <w:b/>
        </w:rPr>
        <w:t>Cofetel</w:t>
      </w:r>
      <w:proofErr w:type="spellEnd"/>
      <w:r w:rsidRPr="00D631CA">
        <w:rPr>
          <w:rFonts w:ascii="ITC Avant Garde" w:hAnsi="ITC Avant Garde" w:cs="Arial"/>
          <w:b/>
        </w:rPr>
        <w:t xml:space="preserve"> efectivamente considera el dimensionamiento de la red necesario para ofrecer los niveles de cobertura geográfica establecidos en las consideraciones de la Resolución. En caso de no ser así, el perito explicará las consecuencias que tendría sobre la estimación de los costos. </w:t>
      </w:r>
    </w:p>
    <w:p w14:paraId="33C30C9F"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El perito de la Recurrente arguye que el modelo de costos de la Comisión ignora por completo los parámetros de cobertura geográfica establecidos en los considerandos de la resolución. De hecho, el modelo de costos carece de un módulo de cobertura geográfica lo que resulta no solo contrario a lo que establecen los resolutivos sino a cualquier ejercicio que pretenda modelar el diseño de una red eficiente para calcular costos.</w:t>
      </w:r>
    </w:p>
    <w:p w14:paraId="7DDAF082"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t>Valoración del Instituto</w:t>
      </w:r>
    </w:p>
    <w:p w14:paraId="492BF032"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Este Instituto desestima la respuesta del perito de la Recurrente respecto de que el modelo de costos de la extinta Comisión ignora por completo los parámetros de cobertura geográfica establecidos en los considerandos de la resolución, ya que en la resolución en disputa si se </w:t>
      </w:r>
      <w:r w:rsidRPr="00D631CA">
        <w:rPr>
          <w:rFonts w:ascii="ITC Avant Garde" w:hAnsi="ITC Avant Garde" w:cs="Arial"/>
        </w:rPr>
        <w:lastRenderedPageBreak/>
        <w:t>detallan los elementos de red y la metodología utilizados, lo cual se puede observar de la foja 5 a la 66 de dicha Resolución.</w:t>
      </w:r>
    </w:p>
    <w:p w14:paraId="6D3B5CFC"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Asimismo, se debe decir que el operador representativo es un proveedor de servicios de telefonía móvil a nivel nacional que cuenta con cobertura en las 9 regiones celulares del país y que considera áreas geográficas urbanas, semiurbanas, y carreteras del país, </w:t>
      </w:r>
      <w:r w:rsidR="002C73E1" w:rsidRPr="00D631CA">
        <w:rPr>
          <w:rFonts w:ascii="ITC Avant Garde" w:hAnsi="ITC Avant Garde" w:cs="Arial"/>
        </w:rPr>
        <w:t>e</w:t>
      </w:r>
      <w:r w:rsidRPr="00D631CA">
        <w:rPr>
          <w:rFonts w:ascii="ITC Avant Garde" w:hAnsi="ITC Avant Garde" w:cs="Arial"/>
        </w:rPr>
        <w:t xml:space="preserve">lementos que se calibraron con las metodologías </w:t>
      </w:r>
      <w:proofErr w:type="spellStart"/>
      <w:r w:rsidRPr="00D631CA">
        <w:rPr>
          <w:rFonts w:ascii="ITC Avant Garde" w:hAnsi="ITC Avant Garde" w:cs="Arial"/>
        </w:rPr>
        <w:t>Bottom</w:t>
      </w:r>
      <w:proofErr w:type="spellEnd"/>
      <w:r w:rsidRPr="00D631CA">
        <w:rPr>
          <w:rFonts w:ascii="ITC Avant Garde" w:hAnsi="ITC Avant Garde" w:cs="Arial"/>
        </w:rPr>
        <w:t xml:space="preserve">-Up y </w:t>
      </w:r>
      <w:proofErr w:type="spellStart"/>
      <w:r w:rsidRPr="00D631CA">
        <w:rPr>
          <w:rFonts w:ascii="ITC Avant Garde" w:hAnsi="ITC Avant Garde" w:cs="Arial"/>
        </w:rPr>
        <w:t>Scorched</w:t>
      </w:r>
      <w:proofErr w:type="spellEnd"/>
      <w:r w:rsidRPr="00D631CA">
        <w:rPr>
          <w:rFonts w:ascii="ITC Avant Garde" w:hAnsi="ITC Avant Garde" w:cs="Arial"/>
        </w:rPr>
        <w:t xml:space="preserve"> </w:t>
      </w:r>
      <w:proofErr w:type="spellStart"/>
      <w:r w:rsidRPr="00D631CA">
        <w:rPr>
          <w:rFonts w:ascii="ITC Avant Garde" w:hAnsi="ITC Avant Garde" w:cs="Arial"/>
        </w:rPr>
        <w:t>Earth</w:t>
      </w:r>
      <w:proofErr w:type="spellEnd"/>
      <w:r w:rsidRPr="00D631CA">
        <w:rPr>
          <w:rFonts w:ascii="ITC Avant Garde" w:hAnsi="ITC Avant Garde" w:cs="Arial"/>
        </w:rPr>
        <w:t>.</w:t>
      </w:r>
    </w:p>
    <w:p w14:paraId="3F5E9292"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Pregunta 16. Que diga y explique el perito cuáles son los enfoques metodológicos utilizados en los modelos de costos para el diseño y optimización de la red que será modelada.</w:t>
      </w:r>
    </w:p>
    <w:p w14:paraId="1E0B6D94"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Refiere el perito de la Recurrente que en el caso de los modelos </w:t>
      </w:r>
      <w:proofErr w:type="spellStart"/>
      <w:r w:rsidRPr="00D631CA">
        <w:rPr>
          <w:rFonts w:ascii="ITC Avant Garde" w:hAnsi="ITC Avant Garde" w:cs="Arial"/>
        </w:rPr>
        <w:t>Bottom</w:t>
      </w:r>
      <w:proofErr w:type="spellEnd"/>
      <w:r w:rsidRPr="00D631CA">
        <w:rPr>
          <w:rFonts w:ascii="ITC Avant Garde" w:hAnsi="ITC Avant Garde" w:cs="Arial"/>
        </w:rPr>
        <w:t>-Up como el que publicó la Comisión, se utiliza información detallada para construir una red que hipotéticamente ofrezca servicios de telecomunicación, incluyendo servicios de interconexión. Los costos de dicha red, incluyendo costos de capital y costos de operación y mantenimiento, son asignados dentro de los servicios prestados.</w:t>
      </w:r>
    </w:p>
    <w:p w14:paraId="6330FBC2" w14:textId="2A29BB84" w:rsidR="00382941" w:rsidRPr="00D631CA" w:rsidRDefault="00382941" w:rsidP="00D631CA">
      <w:pPr>
        <w:spacing w:before="240"/>
        <w:jc w:val="both"/>
        <w:rPr>
          <w:rFonts w:ascii="ITC Avant Garde" w:hAnsi="ITC Avant Garde" w:cs="Arial"/>
        </w:rPr>
      </w:pPr>
      <w:r w:rsidRPr="00D631CA">
        <w:rPr>
          <w:rFonts w:ascii="ITC Avant Garde" w:hAnsi="ITC Avant Garde" w:cs="Arial"/>
        </w:rPr>
        <w:t>El modelo "</w:t>
      </w:r>
      <w:proofErr w:type="spellStart"/>
      <w:r w:rsidRPr="00D631CA">
        <w:rPr>
          <w:rFonts w:ascii="ITC Avant Garde" w:hAnsi="ITC Avant Garde" w:cs="Arial"/>
        </w:rPr>
        <w:t>Scorched</w:t>
      </w:r>
      <w:proofErr w:type="spellEnd"/>
      <w:r w:rsidRPr="00D631CA">
        <w:rPr>
          <w:rFonts w:ascii="ITC Avant Garde" w:hAnsi="ITC Avant Garde" w:cs="Arial"/>
        </w:rPr>
        <w:t xml:space="preserve"> </w:t>
      </w:r>
      <w:proofErr w:type="spellStart"/>
      <w:r w:rsidRPr="00D631CA">
        <w:rPr>
          <w:rFonts w:ascii="ITC Avant Garde" w:hAnsi="ITC Avant Garde" w:cs="Arial"/>
        </w:rPr>
        <w:t>Node</w:t>
      </w:r>
      <w:proofErr w:type="spellEnd"/>
      <w:r w:rsidRPr="00D631CA">
        <w:rPr>
          <w:rFonts w:ascii="ITC Avant Garde" w:hAnsi="ITC Avant Garde" w:cs="Arial"/>
        </w:rPr>
        <w:t xml:space="preserve">" para estimaciones de LRIC representa el punto medio entre los dos extremos. Asume que la ubicación de los </w:t>
      </w:r>
      <w:proofErr w:type="spellStart"/>
      <w:r w:rsidRPr="00D631CA">
        <w:rPr>
          <w:rFonts w:ascii="ITC Avant Garde" w:hAnsi="ITC Avant Garde" w:cs="Arial"/>
        </w:rPr>
        <w:t>nódos</w:t>
      </w:r>
      <w:proofErr w:type="spellEnd"/>
      <w:r w:rsidRPr="00D631CA">
        <w:rPr>
          <w:rFonts w:ascii="ITC Avant Garde" w:hAnsi="ITC Avant Garde" w:cs="Arial"/>
        </w:rPr>
        <w:t xml:space="preserve"> de la red es fija, y que el operador puede elegir la mejor tecnología disponible para configurar la red alrededor de éstos.</w:t>
      </w:r>
    </w:p>
    <w:p w14:paraId="7FFDB2A5"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Valoración del Instituto</w:t>
      </w:r>
    </w:p>
    <w:p w14:paraId="2A9BCA27"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Esta autoridad reguladora considera la existencia de diversos enfoques y metodologías que son aplicables al momento de construir modelos de costos de servicios de telecomunicaciones, cada una de ellas cuenta con ventajas y desventajas, por lo que la utilización de una determinada alternativa corresponde a una decisión de política regulatoria que entra dentro del ámbito de discrecionalidad del órgano regulador. </w:t>
      </w:r>
    </w:p>
    <w:p w14:paraId="62842741"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 xml:space="preserve">Pregunta 17. Que diga y explique el perito qué metodología de diseño de red adopta el Modelo de Costos utilizado para determinar la tarifa de terminación móvil en la Resolución P/110412/136 y si cumple con los lineamientos para desarrollar los modelos de costos emitidos por la </w:t>
      </w:r>
      <w:proofErr w:type="spellStart"/>
      <w:r w:rsidRPr="00D631CA">
        <w:rPr>
          <w:rFonts w:ascii="ITC Avant Garde" w:hAnsi="ITC Avant Garde" w:cs="Arial"/>
          <w:b/>
        </w:rPr>
        <w:t>Cofetel</w:t>
      </w:r>
      <w:proofErr w:type="spellEnd"/>
      <w:r w:rsidRPr="00D631CA">
        <w:rPr>
          <w:rFonts w:ascii="ITC Avant Garde" w:hAnsi="ITC Avant Garde" w:cs="Arial"/>
          <w:b/>
        </w:rPr>
        <w:t xml:space="preserve"> y publicados en el Diario Oficial de la federación el 12 de abril de 2011.</w:t>
      </w:r>
    </w:p>
    <w:p w14:paraId="53C2E5DA"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Para el perito de la Recurrente resulta evidente que el Modelo de Costos utilizado por la Comisión no cumple con lo dispuesto por el tercer párrafo del numeral Tercero de los Lineamientos publicados en el DOF el 12 de abril de 2011, porque no utiliza en absoluto un enfoque "</w:t>
      </w:r>
      <w:proofErr w:type="spellStart"/>
      <w:r w:rsidRPr="00D631CA">
        <w:rPr>
          <w:rFonts w:ascii="ITC Avant Garde" w:hAnsi="ITC Avant Garde" w:cs="Arial"/>
        </w:rPr>
        <w:t>Scorched</w:t>
      </w:r>
      <w:proofErr w:type="spellEnd"/>
      <w:r w:rsidRPr="00D631CA">
        <w:rPr>
          <w:rFonts w:ascii="ITC Avant Garde" w:hAnsi="ITC Avant Garde" w:cs="Arial"/>
        </w:rPr>
        <w:t xml:space="preserve"> </w:t>
      </w:r>
      <w:proofErr w:type="spellStart"/>
      <w:r w:rsidRPr="00D631CA">
        <w:rPr>
          <w:rFonts w:ascii="ITC Avant Garde" w:hAnsi="ITC Avant Garde" w:cs="Arial"/>
        </w:rPr>
        <w:t>Earth</w:t>
      </w:r>
      <w:proofErr w:type="spellEnd"/>
      <w:r w:rsidRPr="00D631CA">
        <w:rPr>
          <w:rFonts w:ascii="ITC Avant Garde" w:hAnsi="ITC Avant Garde" w:cs="Arial"/>
        </w:rPr>
        <w:t xml:space="preserve">" para diseñar la red hipotética. De hecho el modelo está mal definido porque no considera ningún diseño ni configuración para la red. Simplemente </w:t>
      </w:r>
      <w:r w:rsidRPr="00D631CA">
        <w:rPr>
          <w:rFonts w:ascii="ITC Avant Garde" w:hAnsi="ITC Avant Garde" w:cs="Arial"/>
        </w:rPr>
        <w:lastRenderedPageBreak/>
        <w:t>calcula el número de antenas necesarias para atender una determinada demanda de minutos de voz.</w:t>
      </w:r>
    </w:p>
    <w:p w14:paraId="3D3E8D86"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t>Valoración del Instituto</w:t>
      </w:r>
    </w:p>
    <w:p w14:paraId="50CEE8EB"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Este Instituto desestima la respuesta del perito de la Recurrente, en virtud de que la resolución reclamada no se fundamenta en los Lineamientos, asimismo en la propia resolución se explica de manera amplia la metodología utilizada en el diseño de red, empleándose un modelo </w:t>
      </w:r>
      <w:proofErr w:type="spellStart"/>
      <w:r w:rsidRPr="00D631CA">
        <w:rPr>
          <w:rFonts w:ascii="ITC Avant Garde" w:hAnsi="ITC Avant Garde" w:cs="Arial"/>
        </w:rPr>
        <w:t>Bottom</w:t>
      </w:r>
      <w:proofErr w:type="spellEnd"/>
      <w:r w:rsidRPr="00D631CA">
        <w:rPr>
          <w:rFonts w:ascii="ITC Avant Garde" w:hAnsi="ITC Avant Garde" w:cs="Arial"/>
        </w:rPr>
        <w:t xml:space="preserve">-Up con un diseño </w:t>
      </w:r>
      <w:proofErr w:type="spellStart"/>
      <w:r w:rsidRPr="00D631CA">
        <w:rPr>
          <w:rFonts w:ascii="ITC Avant Garde" w:hAnsi="ITC Avant Garde" w:cs="Arial"/>
        </w:rPr>
        <w:t>Scorched</w:t>
      </w:r>
      <w:proofErr w:type="spellEnd"/>
      <w:r w:rsidRPr="00D631CA">
        <w:rPr>
          <w:rFonts w:ascii="ITC Avant Garde" w:hAnsi="ITC Avant Garde" w:cs="Arial"/>
        </w:rPr>
        <w:t xml:space="preserve"> </w:t>
      </w:r>
      <w:proofErr w:type="spellStart"/>
      <w:r w:rsidRPr="00D631CA">
        <w:rPr>
          <w:rFonts w:ascii="ITC Avant Garde" w:hAnsi="ITC Avant Garde" w:cs="Arial"/>
        </w:rPr>
        <w:t>Earth</w:t>
      </w:r>
      <w:proofErr w:type="spellEnd"/>
      <w:r w:rsidRPr="00D631CA">
        <w:rPr>
          <w:rFonts w:ascii="ITC Avant Garde" w:hAnsi="ITC Avant Garde" w:cs="Arial"/>
        </w:rPr>
        <w:t>.</w:t>
      </w:r>
    </w:p>
    <w:p w14:paraId="6B59EC71"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Pregunta 18. Que diga y explique el perito si los modelos de costos utilizados internacionalmente reconocen los efectos sobre el diseño de la red de las características geográficas y poblacionales específicas del país en que se aplican.</w:t>
      </w:r>
    </w:p>
    <w:p w14:paraId="227865B7"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 xml:space="preserve">Además, que diga el perito como se compara en estos aspectos el modelo de costos utilizado por </w:t>
      </w:r>
      <w:proofErr w:type="spellStart"/>
      <w:r w:rsidRPr="00D631CA">
        <w:rPr>
          <w:rFonts w:ascii="ITC Avant Garde" w:hAnsi="ITC Avant Garde" w:cs="Arial"/>
          <w:b/>
        </w:rPr>
        <w:t>Cofetel</w:t>
      </w:r>
      <w:proofErr w:type="spellEnd"/>
      <w:r w:rsidRPr="00D631CA">
        <w:rPr>
          <w:rFonts w:ascii="ITC Avant Garde" w:hAnsi="ITC Avant Garde" w:cs="Arial"/>
          <w:b/>
        </w:rPr>
        <w:t xml:space="preserve"> con los modelos utilizados en otros países.</w:t>
      </w:r>
    </w:p>
    <w:p w14:paraId="3C518ED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Argumenta el perito de la Recurrente que los reguladores internacionales parten de la información de las redes ya instaladas en sus países. Con dicha información, y de acuerdo con la tecnología disponible, determinan las redes óptimas basadas en tecnologías eficientes. Asimismo, consideran las características geográficas como insumos al momento de planificar la red de la empresa eficiente, así como lo referente al perfil y consumo de los usuarios. De esta manera, dimensionan la red bajo dos criterios: cobertura y capacidad/volumen.</w:t>
      </w:r>
    </w:p>
    <w:p w14:paraId="3977478A"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Además de que de acuerdo con la información disponible públicamente no hay elementos para suponer que la Comisión incluyó en el Modelo de Costos elementos de cobertura geográfica en el diseño de la red del operador representativo, a pesar de que los Considerandos de la Resolución así lo exigían.</w:t>
      </w:r>
    </w:p>
    <w:p w14:paraId="1445D11E"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t>Valoración del Instituto</w:t>
      </w:r>
    </w:p>
    <w:p w14:paraId="66FAC878"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Este Instituto da cuenta de la respuesta del perito en el sentido de que en la elaboración de modelos de costos, existen reguladores que parten de la información de las redes ya instaladas en sus países a efecto de realizar el modelado; no obstante es preciso señalar que dicho enfoque es conocido como </w:t>
      </w:r>
      <w:proofErr w:type="spellStart"/>
      <w:r w:rsidRPr="00D631CA">
        <w:rPr>
          <w:rFonts w:ascii="ITC Avant Garde" w:hAnsi="ITC Avant Garde" w:cs="Arial"/>
        </w:rPr>
        <w:t>Scorched</w:t>
      </w:r>
      <w:proofErr w:type="spellEnd"/>
      <w:r w:rsidRPr="00D631CA">
        <w:rPr>
          <w:rFonts w:ascii="ITC Avant Garde" w:hAnsi="ITC Avant Garde" w:cs="Arial"/>
        </w:rPr>
        <w:t xml:space="preserve"> </w:t>
      </w:r>
      <w:proofErr w:type="spellStart"/>
      <w:r w:rsidRPr="00D631CA">
        <w:rPr>
          <w:rFonts w:ascii="ITC Avant Garde" w:hAnsi="ITC Avant Garde" w:cs="Arial"/>
        </w:rPr>
        <w:t>Node</w:t>
      </w:r>
      <w:proofErr w:type="spellEnd"/>
      <w:r w:rsidRPr="00D631CA">
        <w:rPr>
          <w:rFonts w:ascii="ITC Avant Garde" w:hAnsi="ITC Avant Garde" w:cs="Arial"/>
        </w:rPr>
        <w:t xml:space="preserve">, y que su utilización corresponde a una decisión de política regulatoria, misma que entra en el ámbito de discreción del órgano regulador. </w:t>
      </w:r>
    </w:p>
    <w:p w14:paraId="4696E248"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 xml:space="preserve">Pregunta 19. Que determine el perito si el modelo de </w:t>
      </w:r>
      <w:proofErr w:type="spellStart"/>
      <w:r w:rsidRPr="00D631CA">
        <w:rPr>
          <w:rFonts w:ascii="ITC Avant Garde" w:hAnsi="ITC Avant Garde" w:cs="Arial"/>
          <w:b/>
        </w:rPr>
        <w:t>Cofetel</w:t>
      </w:r>
      <w:proofErr w:type="spellEnd"/>
      <w:r w:rsidRPr="00D631CA">
        <w:rPr>
          <w:rFonts w:ascii="ITC Avant Garde" w:hAnsi="ITC Avant Garde" w:cs="Arial"/>
          <w:b/>
        </w:rPr>
        <w:t xml:space="preserve"> considera factores de no homogeneidad de tráfico o manejan tráfico homogéneo. </w:t>
      </w:r>
    </w:p>
    <w:p w14:paraId="658EA2D2"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 xml:space="preserve">Refiere el perito de la Recurrente que de acuerdo con la información disponible en el modelo de costos publicado por la Comisión, se considera que todas las </w:t>
      </w:r>
      <w:proofErr w:type="spellStart"/>
      <w:r w:rsidRPr="00D631CA">
        <w:rPr>
          <w:rFonts w:ascii="ITC Avant Garde" w:hAnsi="ITC Avant Garde" w:cs="Arial"/>
        </w:rPr>
        <w:t>radiobases</w:t>
      </w:r>
      <w:proofErr w:type="spellEnd"/>
      <w:r w:rsidRPr="00D631CA">
        <w:rPr>
          <w:rFonts w:ascii="ITC Avant Garde" w:hAnsi="ITC Avant Garde" w:cs="Arial"/>
        </w:rPr>
        <w:t xml:space="preserve"> manejan el mismo tráfico</w:t>
      </w:r>
    </w:p>
    <w:p w14:paraId="7C6F404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Lo anterior es una importante deficiencia del Modelo de Costos, ya que el servicio de telefonía móvil, para aprovechar al máximo el ancho de banda disponible y con el fin de servir a más usuarios a la vez en un mismo sector, es estructurado subdividiendo el área de servicio en zonas delimitadas llamadas celdas. Cada celda tiene una Estación Radio Base que opera en un set de canales de radio, diferentes a los utilizados en las celdas adyacentes, para evitar interferencias. Este tipo de subdivisión permite la reutilización de las mismas frecuencias en celdas no adyacentes.</w:t>
      </w:r>
    </w:p>
    <w:p w14:paraId="181963AE"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t>Valoración del Instituto</w:t>
      </w:r>
    </w:p>
    <w:p w14:paraId="3FB2859A"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Esta autoridad da cuenta de lo señalado por el perito en el sentido de que en el modelo de costos se consideran zonas urbanas, sub urbanas y carreteras, y que al interior de cada una de ellas se maneja un tráfico promedio. </w:t>
      </w:r>
    </w:p>
    <w:p w14:paraId="5770CECD"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Pregunta 20. En relación con la pregunta inmediata anterior, que diga el perito cuál es el comportamiento del tráfico en una red real de telecomunicaciones y que explique las implicaciones económicas al construir un modelo de costos.</w:t>
      </w:r>
    </w:p>
    <w:p w14:paraId="15C199E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La Recurrente a través de su perito refiere que el diseño de la red y en especial el tráfico de cada </w:t>
      </w:r>
      <w:proofErr w:type="spellStart"/>
      <w:r w:rsidRPr="00D631CA">
        <w:rPr>
          <w:rFonts w:ascii="ITC Avant Garde" w:hAnsi="ITC Avant Garde" w:cs="Arial"/>
        </w:rPr>
        <w:t>radiobase</w:t>
      </w:r>
      <w:proofErr w:type="spellEnd"/>
      <w:r w:rsidRPr="00D631CA">
        <w:rPr>
          <w:rFonts w:ascii="ITC Avant Garde" w:hAnsi="ITC Avant Garde" w:cs="Arial"/>
        </w:rPr>
        <w:t xml:space="preserve"> debe estar en función de la densidad de los usuarios, de sus patrones de consumo y de su movilidad, y estos factores son distintos en las distintas localidades del país, por lo que no es posible que cada radio base tenga las mismas características en términos de uso de capacidad.</w:t>
      </w:r>
    </w:p>
    <w:p w14:paraId="25B9A262"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Los modelos que no toman en consideración el comportamiento de tráfico en una red no representan adecuadamente las necesidades de una red móvil en condiciones de competencia y no capturan la verdadera naturaleza de los costos en los que incurren los operadores.</w:t>
      </w:r>
    </w:p>
    <w:p w14:paraId="0EFD8F35"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t>Valoración del Instituto</w:t>
      </w:r>
    </w:p>
    <w:p w14:paraId="2B130DD2"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El diseño de la red del operador representativo debe tomar en cuenta la densidad de los usuarios, sus patrones de consumo y su movilidad, condiciones que se tomaron en cuenta dentro del modelo instrumenta en la Resolución en disputa y que se detallan de fojas 61 a 66 de dicha Resolución.</w:t>
      </w:r>
    </w:p>
    <w:p w14:paraId="23F9E1C2"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En este sentido, se desestima la respuesta del perito de la Recurrente ya que la utilización de factores homogéneos no invalida los resultados de un modelo de costos, ya que a efecto de obtener costos promedio es perfectamente válido modelar un mismo perfil de uso, por lo tanto el perfil de tráfico del operador modelado debería basarse en la media del mercado manteniendo consistencia con las escala definida de dicho operador. De este modo, las cantidades de elementos de red que el operador debe considerar para la operación eficiente de su red, está en función de la demanda esperada del servicio de un operador de servicios a nivel nacional que se desenvuelve en un mercado competitivo, en el que los usuarios pueden acceder a los servicios de la red desde cualquier punto del área de cobertura donde sea técnicamente factible.</w:t>
      </w:r>
    </w:p>
    <w:p w14:paraId="47466CAA"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 xml:space="preserve">Pregunta 21. Que diga y explique el perito cuál es la importancia de incorporar en un modelo de costos una estimación del porcentaje de tráfico diario que se cursa durante el periodo pico y que presente su opinión respecto de la idoneidad de utilizar los valores adoptados por </w:t>
      </w:r>
      <w:proofErr w:type="spellStart"/>
      <w:r w:rsidRPr="00D631CA">
        <w:rPr>
          <w:rFonts w:ascii="ITC Avant Garde" w:hAnsi="ITC Avant Garde" w:cs="Arial"/>
          <w:b/>
        </w:rPr>
        <w:t>Cofetel</w:t>
      </w:r>
      <w:proofErr w:type="spellEnd"/>
      <w:r w:rsidRPr="00D631CA">
        <w:rPr>
          <w:rFonts w:ascii="ITC Avant Garde" w:hAnsi="ITC Avant Garde" w:cs="Arial"/>
          <w:b/>
        </w:rPr>
        <w:t xml:space="preserve"> en la Resolución P/110412/136</w:t>
      </w:r>
    </w:p>
    <w:p w14:paraId="305A52E7"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El perito de la Recurrente manifiesta que el porcentaje de tráfico en hora cargada utilizado por </w:t>
      </w:r>
      <w:proofErr w:type="spellStart"/>
      <w:r w:rsidRPr="00D631CA">
        <w:rPr>
          <w:rFonts w:ascii="ITC Avant Garde" w:hAnsi="ITC Avant Garde" w:cs="Arial"/>
        </w:rPr>
        <w:t>Cofetel</w:t>
      </w:r>
      <w:proofErr w:type="spellEnd"/>
      <w:r w:rsidRPr="00D631CA">
        <w:rPr>
          <w:rFonts w:ascii="ITC Avant Garde" w:hAnsi="ITC Avant Garde" w:cs="Arial"/>
        </w:rPr>
        <w:t xml:space="preserve"> resulta relativamente reducido, si se consideran los niveles de penetración estimados para México en el 2011 por la propia </w:t>
      </w:r>
      <w:proofErr w:type="spellStart"/>
      <w:r w:rsidRPr="00D631CA">
        <w:rPr>
          <w:rFonts w:ascii="ITC Avant Garde" w:hAnsi="ITC Avant Garde" w:cs="Arial"/>
        </w:rPr>
        <w:t>Cofetel</w:t>
      </w:r>
      <w:proofErr w:type="spellEnd"/>
      <w:r w:rsidRPr="00D631CA">
        <w:rPr>
          <w:rFonts w:ascii="ITC Avant Garde" w:hAnsi="ITC Avant Garde" w:cs="Arial"/>
        </w:rPr>
        <w:t>, lo que se traduce en una tarifa baja artificialmente.</w:t>
      </w:r>
    </w:p>
    <w:p w14:paraId="57CEE072" w14:textId="77777777" w:rsidR="00D631CA" w:rsidRPr="00D631CA" w:rsidRDefault="00382941" w:rsidP="00D631CA">
      <w:pPr>
        <w:autoSpaceDE w:val="0"/>
        <w:autoSpaceDN w:val="0"/>
        <w:adjustRightInd w:val="0"/>
        <w:spacing w:before="240"/>
        <w:jc w:val="both"/>
        <w:rPr>
          <w:rFonts w:ascii="ITC Avant Garde" w:hAnsi="ITC Avant Garde" w:cs="Arial"/>
          <w:u w:val="single"/>
        </w:rPr>
      </w:pPr>
      <w:r w:rsidRPr="00D631CA">
        <w:rPr>
          <w:rFonts w:ascii="ITC Avant Garde" w:hAnsi="ITC Avant Garde" w:cs="Arial"/>
          <w:u w:val="single"/>
        </w:rPr>
        <w:t>Valoración del Instituto</w:t>
      </w:r>
    </w:p>
    <w:p w14:paraId="33274352" w14:textId="77777777" w:rsidR="00D631CA" w:rsidRPr="00D631CA" w:rsidRDefault="00382941" w:rsidP="00D631CA">
      <w:pPr>
        <w:autoSpaceDE w:val="0"/>
        <w:autoSpaceDN w:val="0"/>
        <w:adjustRightInd w:val="0"/>
        <w:spacing w:before="240"/>
        <w:jc w:val="both"/>
        <w:rPr>
          <w:rFonts w:ascii="ITC Avant Garde" w:hAnsi="ITC Avant Garde" w:cs="Arial"/>
        </w:rPr>
      </w:pPr>
      <w:r w:rsidRPr="00D631CA">
        <w:rPr>
          <w:rFonts w:ascii="ITC Avant Garde" w:hAnsi="ITC Avant Garde" w:cs="Arial"/>
        </w:rPr>
        <w:t>Este Instituto señala que los valores adoptados por la extinta Comisión respecto de la estimación de tráfico en las horas pico en la Resolución impugnada son los más idóneos, ya que toman en cuenta las mejores prácticas internacionales al tiempo que se calibraron con la realidad del mercado nacional.</w:t>
      </w:r>
    </w:p>
    <w:p w14:paraId="50E30E3F"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este sentido, la respuesta del perito designado por la parte Recurrente no causa convicción a esta autoridad reguladora, ya que él perito no cita en detalle los documentos ni la metodología por la que supuestamente y en su consideración, el cálculo del tráfico de las horas pico en la Resolución cuestionada es erróneo, o porque las tarifas expedidas en la misma son artificialmente bajas.</w:t>
      </w:r>
    </w:p>
    <w:p w14:paraId="58F5F8ED"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 xml:space="preserve">Pregunta 22. Que diga y explique el perito si los equipos, elementos de red y demás facilidades identificadas por </w:t>
      </w:r>
      <w:proofErr w:type="spellStart"/>
      <w:r w:rsidRPr="00D631CA">
        <w:rPr>
          <w:rFonts w:ascii="ITC Avant Garde" w:hAnsi="ITC Avant Garde" w:cs="Arial"/>
          <w:b/>
        </w:rPr>
        <w:t>Cofetel</w:t>
      </w:r>
      <w:proofErr w:type="spellEnd"/>
      <w:r w:rsidRPr="00D631CA">
        <w:rPr>
          <w:rFonts w:ascii="ITC Avant Garde" w:hAnsi="ITC Avant Garde" w:cs="Arial"/>
          <w:b/>
        </w:rPr>
        <w:t xml:space="preserve"> en su Modelo de Costos son suficientes para construir y hacer funcional la red modelada y, en su caso, que identifique los activos y servicios faltantes para poder proveer eficaz y eficientemente los servicios de interconexión, así como el impacto de estas omisiones sobre la tarifa de interconexión estimada. </w:t>
      </w:r>
    </w:p>
    <w:p w14:paraId="2757555B"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Refiere el perito de la Recurrente que a foja 47 del Recurso de Revisión se especifican una serie de activos y servicios que no se incluyen en el modelo de costos y que se requieren para poder ofrecer el servicio de interconexión.</w:t>
      </w:r>
    </w:p>
    <w:p w14:paraId="26F13B9D"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El problema de no considerar estos elementos es que se está subestimando el monto de inversiones requeridas para desarrollar la red del operador representativo. Desde la perspectiva de la Teoría Económica para la prestación de cualquier servicio se deben considerar todos los costos en que el operador incurre, ya sean fijos o variables, toda vez que el precio que cobran por un servicio, para que sea eficiente, debe permitirles recuperar el total de ambos costos, así como un margen razonable de utilidad para cubrir sus costos de capital. Y como en este caso si no se consideran todos los costos, los precios propuestos no serán los eficientes y pueden inclusive generar pérdidas en los prestadores del servicio, poniendo en riesgo su presencia en el mercado.</w:t>
      </w:r>
    </w:p>
    <w:p w14:paraId="0AF28036"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t>Valoración del Instituto</w:t>
      </w:r>
    </w:p>
    <w:p w14:paraId="28B228E0"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Este Instituto desestima la respuesta del perito de la Recurrente, ya que basta leer con detenimiento la Resolución en disputa para dar cuenta de que todos los elementos que los peritos mencionan si fueron tomados en cuenta. Estos son: la cobertura geográfica, llamadas </w:t>
      </w:r>
      <w:proofErr w:type="spellStart"/>
      <w:r w:rsidRPr="00D631CA">
        <w:rPr>
          <w:rFonts w:ascii="ITC Avant Garde" w:hAnsi="ITC Avant Garde" w:cs="Arial"/>
        </w:rPr>
        <w:t>intrared</w:t>
      </w:r>
      <w:proofErr w:type="spellEnd"/>
      <w:r w:rsidRPr="00D631CA">
        <w:rPr>
          <w:rFonts w:ascii="ITC Avant Garde" w:hAnsi="ITC Avant Garde" w:cs="Arial"/>
        </w:rPr>
        <w:t>, estimación promedio de llamada, así como, los elementos de red (activos y equipo) que entran dentro del renglón del costos de capital CAPEX, y los costos operativos (que incluyen los de mantenimiento) u OPEX.</w:t>
      </w:r>
    </w:p>
    <w:p w14:paraId="2FB3B3E2"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De igual modo, al aplicar la metodología CITLP el modelo toma en cuenta los Costos Comunes, los costos compartidos, además de que se calcula el Costo de Capital con lo cual se otorga un margen de ganancia razonable por la inversión realizada.</w:t>
      </w:r>
    </w:p>
    <w:p w14:paraId="125925DA"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Por tanto el modelo CITLP instrumentado por la extinta </w:t>
      </w:r>
      <w:proofErr w:type="spellStart"/>
      <w:r w:rsidRPr="00D631CA">
        <w:rPr>
          <w:rFonts w:ascii="ITC Avant Garde" w:hAnsi="ITC Avant Garde" w:cs="Arial"/>
        </w:rPr>
        <w:t>Cofetel</w:t>
      </w:r>
      <w:proofErr w:type="spellEnd"/>
      <w:r w:rsidRPr="00D631CA">
        <w:rPr>
          <w:rFonts w:ascii="ITC Avant Garde" w:hAnsi="ITC Avant Garde" w:cs="Arial"/>
        </w:rPr>
        <w:t xml:space="preserve"> permite recuperar todos los costos contraídos de manera eficiente por la provisión de servicio y otorga una tasa de retorno razonable por la inversión.</w:t>
      </w:r>
    </w:p>
    <w:p w14:paraId="0C127212"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 xml:space="preserve">Pregunta 23. El perito explicará y evaluará la metodología que siguió </w:t>
      </w:r>
      <w:proofErr w:type="spellStart"/>
      <w:r w:rsidRPr="00D631CA">
        <w:rPr>
          <w:rFonts w:ascii="ITC Avant Garde" w:hAnsi="ITC Avant Garde" w:cs="Arial"/>
          <w:b/>
        </w:rPr>
        <w:t>Cofetel</w:t>
      </w:r>
      <w:proofErr w:type="spellEnd"/>
      <w:r w:rsidRPr="00D631CA">
        <w:rPr>
          <w:rFonts w:ascii="ITC Avant Garde" w:hAnsi="ITC Avant Garde" w:cs="Arial"/>
          <w:b/>
        </w:rPr>
        <w:t xml:space="preserve"> para determinar los precios de los elementos necesarios para construir la red modelada, la comparará con otros países y dirá si es adecuada para la estimación de tarifas de terminación en el mercado mexicano y, en su caso, el posible impacto que tiene sobre el nivel de la tarifa.</w:t>
      </w:r>
    </w:p>
    <w:p w14:paraId="60497CCC"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Refiere el perito de la Recurrente que la Comisión utilizó precios de algunos componentes del modelo regulador francés o británico. Esta información debió ser evaluada a la luz de las condiciones reales de operación y abastecimiento que enfrentan los operadores en México a fin de evitar el riesgo de subestimar el costo de algunos activos y con ello los montos de </w:t>
      </w:r>
      <w:r w:rsidRPr="00D631CA">
        <w:rPr>
          <w:rFonts w:ascii="ITC Avant Garde" w:hAnsi="ITC Avant Garde" w:cs="Arial"/>
        </w:rPr>
        <w:lastRenderedPageBreak/>
        <w:t>inversión, de manera que como resultado final la valuación de los costos por la infraestructura resulte inferior y la tarifa de interconexión por lo tanto también este subvaluada.</w:t>
      </w:r>
    </w:p>
    <w:p w14:paraId="4B45495F"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t>Valoración del Instituto</w:t>
      </w:r>
    </w:p>
    <w:p w14:paraId="2ED73082"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Uno de los principales aspectos a los que se enfrentan los reguladores de telecomunicaciones de todo el mundo es la asimetría entre la información que posee la autoridad y la que poseen las empresas reguladas, en particular las empresas no están dispuestas a revelar información sensible acerca de sus costos, particularmente en el contexto de un proceso regulatorio de establecimiento de tarifas de interconexión.</w:t>
      </w:r>
    </w:p>
    <w:p w14:paraId="372A365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este sentido el perito de la Recurrente menciona que existe un riesgo de subvaluación de los activos, sin embargo no presenta bases objetivas mediante las cuales sustente sus afirmaciones por lo que su respuesta no causa convicción a esta autoridad.</w:t>
      </w:r>
    </w:p>
    <w:p w14:paraId="1BFB312D"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 xml:space="preserve">Pregunta 24. Que diga y explique el perito si el Modelo de Costos utilizado por </w:t>
      </w:r>
      <w:proofErr w:type="spellStart"/>
      <w:r w:rsidRPr="00D631CA">
        <w:rPr>
          <w:rFonts w:ascii="ITC Avant Garde" w:hAnsi="ITC Avant Garde" w:cs="Arial"/>
          <w:b/>
        </w:rPr>
        <w:t>Cofetel</w:t>
      </w:r>
      <w:proofErr w:type="spellEnd"/>
      <w:r w:rsidRPr="00D631CA">
        <w:rPr>
          <w:rFonts w:ascii="ITC Avant Garde" w:hAnsi="ITC Avant Garde" w:cs="Arial"/>
          <w:b/>
        </w:rPr>
        <w:t xml:space="preserve"> considera todos los costos relevantes asociados a la adquisición, instalación y puesta en operación de los equipos y demás elementos de red necesarios para construir la red modelada.</w:t>
      </w:r>
    </w:p>
    <w:p w14:paraId="4E29B92B"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El perito de la Recurrente argumenta que el Modelo de Costos publicado por la Comisión, no presenta un desglose claro y detallado de cuáles son los elementos que integran los costos operativos y de hecho únicamente se determina un valor del 15% de la inversión total. Por ello no es posible determinar si se consideran todos los costos de operación de una red.</w:t>
      </w:r>
    </w:p>
    <w:p w14:paraId="039F6944"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t>Valoración del Instituto</w:t>
      </w:r>
    </w:p>
    <w:p w14:paraId="35EB5267"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respuesta del perito no origina convicción en esta autoridad regulatoria ya que de las fojas 68 a 72 de la Resolución en comento se detalla la metodología y los elementos usados, particularmente en las tablas 5 y 7 se puede observar el desglose de los elementos que componen el CAPEX y el OPEX, y en la tabla 8 la intensidad de uso de cada uno de los elementos de la red modelada.</w:t>
      </w:r>
    </w:p>
    <w:p w14:paraId="67219567"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Asimismo se señala que una manera válida de estimar el OPEX es definirlo como un porcentaje del CAPEX, de conformidad con la práctica de la industria.</w:t>
      </w:r>
    </w:p>
    <w:p w14:paraId="1C29B73F"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 xml:space="preserve">Pregunta 25. El perito evaluará y explicará la metodología utilizada por </w:t>
      </w:r>
      <w:proofErr w:type="spellStart"/>
      <w:r w:rsidRPr="00D631CA">
        <w:rPr>
          <w:rFonts w:ascii="ITC Avant Garde" w:hAnsi="ITC Avant Garde" w:cs="Arial"/>
          <w:b/>
        </w:rPr>
        <w:t>Cofetel</w:t>
      </w:r>
      <w:proofErr w:type="spellEnd"/>
      <w:r w:rsidRPr="00D631CA">
        <w:rPr>
          <w:rFonts w:ascii="ITC Avant Garde" w:hAnsi="ITC Avant Garde" w:cs="Arial"/>
          <w:b/>
        </w:rPr>
        <w:t xml:space="preserve"> para determinar el costo del espectro radioeléctrico en el que incurre un operador representativo y, en su caso, señalará las deficiencias metodológicas que encuentre y valorará su impacto sobre la estimación de la tarifa de terminación móvil.</w:t>
      </w:r>
    </w:p>
    <w:p w14:paraId="2F7E1D54" w14:textId="0E6D8F93" w:rsidR="003C4FBA"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 xml:space="preserve">El perito de la Recurrente manifiesta que la Comisión no da explicación alguna respecto a porque considera que el operador representativo cuenta con sólo 42.5 MHz de espectro a nivel nacional, cuando que todos y cada uno de los operadores actuales cuenta con una cantidad de espectro superior a la establecida por </w:t>
      </w:r>
      <w:proofErr w:type="spellStart"/>
      <w:r w:rsidRPr="00D631CA">
        <w:rPr>
          <w:rFonts w:ascii="ITC Avant Garde" w:hAnsi="ITC Avant Garde" w:cs="Arial"/>
        </w:rPr>
        <w:t>Cofetel</w:t>
      </w:r>
      <w:proofErr w:type="spellEnd"/>
      <w:r w:rsidRPr="00D631CA">
        <w:rPr>
          <w:rFonts w:ascii="ITC Avant Garde" w:hAnsi="ITC Avant Garde" w:cs="Arial"/>
        </w:rPr>
        <w:t>. El promedio de la tenencia de espectro por operador es de casi 60 MHz.</w:t>
      </w:r>
    </w:p>
    <w:p w14:paraId="4F01EAD4" w14:textId="1437FCBB" w:rsidR="004E66BE" w:rsidRPr="00D631CA" w:rsidRDefault="003C4FBA" w:rsidP="00D631CA">
      <w:pPr>
        <w:spacing w:before="240"/>
        <w:jc w:val="both"/>
        <w:rPr>
          <w:rFonts w:ascii="ITC Avant Garde" w:hAnsi="ITC Avant Garde" w:cs="Arial"/>
        </w:rPr>
      </w:pPr>
      <w:r w:rsidRPr="00D631CA">
        <w:rPr>
          <w:rFonts w:ascii="ITC Avant Garde" w:hAnsi="ITC Avant Garde" w:cs="Arial"/>
        </w:rPr>
        <w:t xml:space="preserve"> </w:t>
      </w:r>
    </w:p>
    <w:p w14:paraId="302DE3DE"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t>Valoración del Instituto</w:t>
      </w:r>
    </w:p>
    <w:p w14:paraId="6479F383"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Esta autoridad regulatoria desestima la respuesta del perito ya que en la Resolución impugnada se menciona que el valor del espectro que se aplicó al operador representativo fue calculado considerando que dicho operador utiliza de manera eficiente el espectro para el despliegue de una red GSM en las 9 regiones que se divide el país por lo que se utilizó la información del costo del pago que realizaron los concesionarios que participaron en la Licitación No. 20, así como el monto pagado en la Región 8 de la Licitación No. 21, ajustando dicho valor por las diferencias en las valoraciones que realizaron por las bandas de frecuencias en las distintas licitaciones. Este monto ascendió a 355</w:t>
      </w:r>
      <w:proofErr w:type="gramStart"/>
      <w:r w:rsidRPr="00D631CA">
        <w:rPr>
          <w:rFonts w:ascii="ITC Avant Garde" w:hAnsi="ITC Avant Garde" w:cs="Arial"/>
        </w:rPr>
        <w:t>,586,489</w:t>
      </w:r>
      <w:proofErr w:type="gramEnd"/>
      <w:r w:rsidRPr="00D631CA">
        <w:rPr>
          <w:rFonts w:ascii="ITC Avant Garde" w:hAnsi="ITC Avant Garde" w:cs="Arial"/>
        </w:rPr>
        <w:t xml:space="preserve"> dólares de los Estados Unidos de América, el cual se considera como una inversión. </w:t>
      </w:r>
      <w:r w:rsidRPr="00D631CA">
        <w:rPr>
          <w:rFonts w:ascii="ITC Avant Garde" w:hAnsi="ITC Avant Garde" w:cs="Arial"/>
          <w:u w:val="single"/>
        </w:rPr>
        <w:t>La cantidad de espectro considerada fue de 50 MHz en la banda 800 MHz y de 120 MHz en la banda 1.9 GHz o PCS</w:t>
      </w:r>
      <w:r w:rsidRPr="00D631CA">
        <w:rPr>
          <w:rFonts w:ascii="ITC Avant Garde" w:hAnsi="ITC Avant Garde" w:cs="Arial"/>
        </w:rPr>
        <w:t>.</w:t>
      </w:r>
    </w:p>
    <w:p w14:paraId="0432A688"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Pregunta 26. Dirá el perito si la fórmula seleccionada para estimar el costo promedio ponderado de capital es correcta en su aplicación por parte de la COFETEL.</w:t>
      </w:r>
    </w:p>
    <w:p w14:paraId="668C2BA8"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El perito de la Recurrente señala que la fórmula seleccionada por la Comisión aplica el factor impositivo erróneamente al costo del capital. Lo que afecta de forma importante el valor de los flujos estimados en el modelo utilizado.</w:t>
      </w:r>
    </w:p>
    <w:p w14:paraId="3272A4E4"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t>Valoración del Instituto</w:t>
      </w:r>
    </w:p>
    <w:p w14:paraId="0F17FEBF"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Se desestima el señalamiento del perito de la Recurrente ya que no comprueba de manera fehaciente su dicho sobre el supuesto error al aplicar el factor impositivo en el cálculo del Costo de Capital. De igual modo, sobre sobre el señalamiento del perito de la tercero interesada relativo a que no hay ninguna referencia, ni fuente de información para explicar el nivel de la tasa del costo de deuda, se señala que de foja 42 a 44 de la Resolución a debate se detalla la manera en que se calculó el Costo de Capital.</w:t>
      </w:r>
    </w:p>
    <w:p w14:paraId="2FF80E18"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 xml:space="preserve">Pregunta 27. Que determine el perito si el modelo aprobado por </w:t>
      </w:r>
      <w:proofErr w:type="spellStart"/>
      <w:r w:rsidRPr="00D631CA">
        <w:rPr>
          <w:rFonts w:ascii="ITC Avant Garde" w:hAnsi="ITC Avant Garde" w:cs="Arial"/>
          <w:b/>
        </w:rPr>
        <w:t>Cofetel</w:t>
      </w:r>
      <w:proofErr w:type="spellEnd"/>
      <w:r w:rsidRPr="00D631CA">
        <w:rPr>
          <w:rFonts w:ascii="ITC Avant Garde" w:hAnsi="ITC Avant Garde" w:cs="Arial"/>
          <w:b/>
        </w:rPr>
        <w:t xml:space="preserve"> presenta el detalle suficiente para permitir su discusión técnica.</w:t>
      </w:r>
    </w:p>
    <w:p w14:paraId="1C46887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El perito de la Recurrente manifiesta que desde el punto de vista de la Teoría Económica, el Modelo publicado por la Comisión y utilizado para determinar las condiciones de interconexión incorpora una serie de supuestos que no están justificados y que definitivamente influyen en el nivel de la tarifa de interconexión propuesta.</w:t>
      </w:r>
    </w:p>
    <w:p w14:paraId="484A0AE4"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Así mismo, refiere que no hay información que pueda aseverar qué tipo de método se utiliza para el diseño de la red, si se toman en cuenta las condiciones geográficas y demográficas del país para dicho diseño y si se incluyen factores de no homogeneidad en el tráfico.</w:t>
      </w:r>
    </w:p>
    <w:p w14:paraId="570C0328" w14:textId="77777777" w:rsidR="00D631CA" w:rsidRPr="00D631CA" w:rsidRDefault="00382941" w:rsidP="00D631CA">
      <w:pPr>
        <w:spacing w:before="240"/>
        <w:jc w:val="both"/>
        <w:rPr>
          <w:rFonts w:ascii="ITC Avant Garde" w:hAnsi="ITC Avant Garde" w:cs="Arial"/>
          <w:u w:val="single"/>
        </w:rPr>
      </w:pPr>
      <w:r w:rsidRPr="00D631CA">
        <w:rPr>
          <w:rFonts w:ascii="ITC Avant Garde" w:hAnsi="ITC Avant Garde" w:cs="Arial"/>
          <w:u w:val="single"/>
        </w:rPr>
        <w:t>Valoración del Instituto</w:t>
      </w:r>
    </w:p>
    <w:p w14:paraId="2F66EFAB"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Este Instituto señala que el Instituto puso a disposición de las partes el modelo de costos utilizado para determinar las tarifas de interconexión en su versión de hoja de cálculo, con lo cual se otorga total transparencia, por lo que el nivel de detalle presentado no puede ser materia de una prueba pericial.</w:t>
      </w:r>
    </w:p>
    <w:p w14:paraId="358320C0"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Otras pruebas</w:t>
      </w:r>
    </w:p>
    <w:p w14:paraId="57960ADD" w14:textId="77777777" w:rsidR="00D631CA" w:rsidRPr="00D631CA" w:rsidRDefault="00382941" w:rsidP="00D631CA">
      <w:pPr>
        <w:spacing w:before="240"/>
        <w:jc w:val="both"/>
        <w:rPr>
          <w:rFonts w:ascii="ITC Avant Garde" w:hAnsi="ITC Avant Garde" w:cs="Arial"/>
          <w:bCs/>
        </w:rPr>
      </w:pPr>
      <w:r w:rsidRPr="00D631CA">
        <w:rPr>
          <w:rFonts w:ascii="ITC Avant Garde" w:hAnsi="ITC Avant Garde" w:cs="Arial"/>
          <w:bCs/>
        </w:rPr>
        <w:t xml:space="preserve">En relación con el expediente administrativo integrado para la emisión de la Resolución Recurrida, que fue admitido como prueba, en este acto se tiene a la vista para la emisión de la presente resolución, se concede al mismo pleno valor probatorio en términos de lo dispuesto en los artículos 79, 93 fracción II, 129, 197 y 202 del CFPC, y con el mismo se tiene por acreditado todo lo actuado en el expediente que concluyó con la Resolución Recurrida, el contenido de ésta, así como las notificaciones practicadas a la Recurrente y las </w:t>
      </w:r>
      <w:r w:rsidR="00B3614D" w:rsidRPr="00D631CA">
        <w:rPr>
          <w:rFonts w:ascii="ITC Avant Garde" w:hAnsi="ITC Avant Garde" w:cs="Arial"/>
          <w:bCs/>
        </w:rPr>
        <w:t>t</w:t>
      </w:r>
      <w:r w:rsidR="00C67299" w:rsidRPr="00D631CA">
        <w:rPr>
          <w:rFonts w:ascii="ITC Avant Garde" w:hAnsi="ITC Avant Garde" w:cs="Arial"/>
          <w:bCs/>
        </w:rPr>
        <w:t>ercero perjudicada</w:t>
      </w:r>
      <w:r w:rsidRPr="00D631CA">
        <w:rPr>
          <w:rFonts w:ascii="ITC Avant Garde" w:hAnsi="ITC Avant Garde" w:cs="Arial"/>
          <w:bCs/>
        </w:rPr>
        <w:t>s.</w:t>
      </w:r>
    </w:p>
    <w:p w14:paraId="51DDD718" w14:textId="77777777" w:rsidR="00D631CA" w:rsidRPr="00D631CA" w:rsidRDefault="00382941" w:rsidP="00D631CA">
      <w:pPr>
        <w:adjustRightInd w:val="0"/>
        <w:spacing w:before="240"/>
        <w:jc w:val="both"/>
        <w:rPr>
          <w:rFonts w:ascii="ITC Avant Garde" w:hAnsi="ITC Avant Garde" w:cs="Arial"/>
          <w:bCs/>
        </w:rPr>
      </w:pPr>
      <w:r w:rsidRPr="00D631CA">
        <w:rPr>
          <w:rFonts w:ascii="ITC Avant Garde" w:hAnsi="ITC Avant Garde" w:cs="Arial"/>
          <w:bCs/>
        </w:rPr>
        <w:t xml:space="preserve">En relación con las pruebas </w:t>
      </w:r>
      <w:proofErr w:type="spellStart"/>
      <w:r w:rsidRPr="00D631CA">
        <w:rPr>
          <w:rFonts w:ascii="ITC Avant Garde" w:hAnsi="ITC Avant Garde" w:cs="Arial"/>
          <w:bCs/>
        </w:rPr>
        <w:t>presuncional</w:t>
      </w:r>
      <w:proofErr w:type="spellEnd"/>
      <w:r w:rsidRPr="00D631CA">
        <w:rPr>
          <w:rFonts w:ascii="ITC Avant Garde" w:hAnsi="ITC Avant Garde" w:cs="Arial"/>
          <w:bCs/>
        </w:rPr>
        <w:t xml:space="preserve"> e instrumental de actuaciones, se procede a su valoración en términos de los artículos 79, 93 fracción VIII, 190, 197, y 218 del CFPC, y atento al análisis y valoración realizada a todas y cada una de las pruebas que preceden, en nada benefician a los intereses de la oferente ya que no aportan elementos, ni siquiera indiciarios, que cambien o permitan cambiar la determinación adoptada en esta resolución.</w:t>
      </w:r>
    </w:p>
    <w:p w14:paraId="5C0F94AB" w14:textId="77777777" w:rsidR="00D631CA" w:rsidRPr="00D631CA" w:rsidRDefault="00382941" w:rsidP="00D631CA">
      <w:pPr>
        <w:spacing w:before="240"/>
        <w:jc w:val="both"/>
        <w:rPr>
          <w:rFonts w:ascii="ITC Avant Garde" w:hAnsi="ITC Avant Garde" w:cs="Arial"/>
          <w:bCs/>
        </w:rPr>
      </w:pPr>
      <w:r w:rsidRPr="00D631CA">
        <w:rPr>
          <w:rFonts w:ascii="ITC Avant Garde" w:eastAsia="Times New Roman" w:hAnsi="ITC Avant Garde" w:cs="Arial"/>
          <w:b/>
          <w:lang w:val="es-ES" w:eastAsia="es-MX"/>
        </w:rPr>
        <w:t>DÉCIMO.-</w:t>
      </w:r>
      <w:r w:rsidRPr="00D631CA">
        <w:rPr>
          <w:rFonts w:ascii="ITC Avant Garde" w:eastAsia="Times New Roman" w:hAnsi="ITC Avant Garde" w:cs="Arial"/>
          <w:lang w:val="es-ES" w:eastAsia="es-MX"/>
        </w:rPr>
        <w:t xml:space="preserve"> </w:t>
      </w:r>
      <w:r w:rsidRPr="00D631CA">
        <w:rPr>
          <w:rFonts w:ascii="ITC Avant Garde" w:hAnsi="ITC Avant Garde" w:cs="Arial"/>
          <w:bCs/>
        </w:rPr>
        <w:t>En cumplimiento del artículo 92 de la Ley Federal de Procedimiento Administrativo, se entra al estudio en particular de cada uno de los argumentos que a manera de agravios hizo valer la Recurrente en los siguientes términos:</w:t>
      </w:r>
    </w:p>
    <w:p w14:paraId="6358CFC3" w14:textId="77777777" w:rsidR="00D631CA" w:rsidRPr="00D631CA" w:rsidRDefault="00382941" w:rsidP="00D631CA">
      <w:pPr>
        <w:numPr>
          <w:ilvl w:val="0"/>
          <w:numId w:val="2"/>
        </w:numPr>
        <w:spacing w:before="240"/>
        <w:contextualSpacing/>
        <w:jc w:val="both"/>
        <w:rPr>
          <w:rFonts w:ascii="ITC Avant Garde" w:hAnsi="ITC Avant Garde" w:cs="Arial"/>
        </w:rPr>
      </w:pPr>
      <w:r w:rsidRPr="00D631CA">
        <w:rPr>
          <w:rFonts w:ascii="ITC Avant Garde" w:hAnsi="ITC Avant Garde" w:cs="Arial"/>
        </w:rPr>
        <w:t xml:space="preserve">En relación con los argumentos hechos valer por la Recurrente en el capítulo de CONSIDERACIONES PRELIMINARES, tenemos que la primera consideración relativa a la competencia del entonces Pleno de la Comisión para resolver el recurso de revisión, es infundado e inoperante, ya que a la fecha, como se ha establecido en </w:t>
      </w:r>
      <w:r w:rsidRPr="00D631CA">
        <w:rPr>
          <w:rFonts w:ascii="ITC Avant Garde" w:hAnsi="ITC Avant Garde" w:cs="Arial"/>
        </w:rPr>
        <w:lastRenderedPageBreak/>
        <w:t>los considerandos Primero a Cuarto de esta resolución, el Pleno del Instituto es  el competente para dictar esta resolución.</w:t>
      </w:r>
    </w:p>
    <w:p w14:paraId="3B4FAE62" w14:textId="77777777" w:rsidR="00D631CA" w:rsidRPr="00D631CA" w:rsidRDefault="00382941" w:rsidP="00D631CA">
      <w:pPr>
        <w:numPr>
          <w:ilvl w:val="0"/>
          <w:numId w:val="2"/>
        </w:numPr>
        <w:spacing w:before="240"/>
        <w:contextualSpacing/>
        <w:jc w:val="both"/>
        <w:rPr>
          <w:rFonts w:ascii="ITC Avant Garde" w:hAnsi="ITC Avant Garde" w:cs="Arial"/>
        </w:rPr>
      </w:pPr>
      <w:r w:rsidRPr="00D631CA">
        <w:rPr>
          <w:rFonts w:ascii="ITC Avant Garde" w:hAnsi="ITC Avant Garde" w:cs="Arial"/>
        </w:rPr>
        <w:t>Respecto de la segunda consideración preliminar, denominada POLÍTICA PÚBLICA, y los siete incisos que la integran, los argumentos de la Recurrente son infundados e inoperantes como se expondrá en el análisis de los agravios correspondientes.</w:t>
      </w:r>
    </w:p>
    <w:p w14:paraId="4015B3C2"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En relación al argumento en el sentido de que la buena práctica internacional recomienda reducciones progresivas de las Tarifas de Terminación Móvil, se señala que de conformidad con lo determinado por la Suprema Corte de Justicia de la Nación (en los sucesivo, la “SCJN”), en el Amparo en Revisión 426/2010, el Estado ejerce su rectoría en materia de telecomunicaciones a través del órgano regulador creado para el efecto, al que se dotó de un amplio margen de facultades discrecionales para determinar las condiciones que, en materia de interconexión, no hayan podido convenirse entre los concesionarios de redes públicas de telecomunicaciones.</w:t>
      </w:r>
    </w:p>
    <w:p w14:paraId="17582769"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La propia SCJN razona que es dentro del ejercicio de sus facultades discrecionales que la autoridad puede determinar un ajuste gradual de la tarifa de interconexión, para lo cual deberá motivar razonablemente su decisión, justificando la necesidad de realizar dicho ajuste. </w:t>
      </w:r>
    </w:p>
    <w:p w14:paraId="2DCF64A0"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En tal virtud, el establecimiento de un ajuste gradual en la resolución reclamada correspondía enteramente a una decisión de política regulatoria que entra dentro del ámbito de facultades discrecionales del órgano regulador, y en su momento la extinta Comisión optó por establecer cargos de interconexión basados en costos, favoreciendo con ello una política de promoción de la competencia y reducción de los precios al usuario final.</w:t>
      </w:r>
    </w:p>
    <w:p w14:paraId="1F3D8407"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Por lo que hace al argumento que va en el sentido de que el modelo aprobado por la Comisión no presenta el detalle suficiente para permitir su discusión técnica, se señala que dicha afirmación carece de fundamento, toda vez que las partes tuvieron acceso al archivo de hoja de cálculo, en donde son plenamente visibles los algoritmos y procedimientos de cálculo que fueron empleados en el modelo, y que además ha permitido a la Recurrente formular diversos agravios. </w:t>
      </w:r>
    </w:p>
    <w:p w14:paraId="674735BF"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En lo que respecta al argumento de que la realidad del mercado mexicano justifica la aprobación de una tarifa asimétrica, de nueva cuenta se señala que es dentro del ejercicio de las facultades discrecionales que la autoridad puede determinar una tarifa de interconexión asimétrica, para lo cual deberá motivar razonablemente su decisión. </w:t>
      </w:r>
    </w:p>
    <w:p w14:paraId="5651074B"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En tal virtud, el establecimiento de una tarifa asimétrica correspondía enteramente a una decisión de política regulatoria que entra dentro del ámbito de facultades discrecionales del órgano regulador, y en su momento la extinta Comisión optó por establecer cargos de </w:t>
      </w:r>
      <w:r w:rsidRPr="00D631CA">
        <w:rPr>
          <w:rFonts w:ascii="ITC Avant Garde" w:eastAsia="Times New Roman" w:hAnsi="ITC Avant Garde" w:cs="Arial"/>
          <w:lang w:val="es-ES" w:eastAsia="es-MX"/>
        </w:rPr>
        <w:lastRenderedPageBreak/>
        <w:t>interconexión simétricos, favoreciendo con ello una política que incentivara la eficiencia en la prestación de los servicios, por lo que no existía ninguna obligación por parte de la extinta Comisión de determinar una tarifa asimétrica.</w:t>
      </w:r>
    </w:p>
    <w:p w14:paraId="55F5C3D2"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Finalmente respecto de lo señalado en el sentido de que el modelo de costos debería incluir información real de las empresas, se comenta que dicho modelo es una herramienta de política regulatoria utilizada por el órgano regulador, y que en su momento se consideró que utilizar costos reales de los operadores no otorga los suficientes incentivos en materia de eficiencia, ello sin considerar la complejidad en recabar información fiable de los costos reales de los operadores. </w:t>
      </w:r>
    </w:p>
    <w:p w14:paraId="7AC322F7"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En relación con el capítulo denominado AGRAVIOS, respecto de la primera parte denominada AGRAVIOS RELACIONADOS CON EL MODELO DE COSTOS RESPECTO DEL RESOLUTIVO TERCERO, se entra a su estudio en los siguientes términos:</w:t>
      </w:r>
    </w:p>
    <w:p w14:paraId="3B9E9A3E" w14:textId="77777777" w:rsidR="00D631CA" w:rsidRPr="00D631CA" w:rsidRDefault="00382941" w:rsidP="00D631CA">
      <w:pPr>
        <w:numPr>
          <w:ilvl w:val="0"/>
          <w:numId w:val="2"/>
        </w:numPr>
        <w:spacing w:before="240"/>
        <w:contextualSpacing/>
        <w:jc w:val="both"/>
        <w:rPr>
          <w:rFonts w:ascii="ITC Avant Garde" w:hAnsi="ITC Avant Garde" w:cs="Arial"/>
        </w:rPr>
      </w:pPr>
      <w:r w:rsidRPr="00D631CA">
        <w:rPr>
          <w:rFonts w:ascii="ITC Avant Garde" w:hAnsi="ITC Avant Garde" w:cs="Arial"/>
        </w:rPr>
        <w:t xml:space="preserve">Lo manifestado por la Recurrente en el agravio </w:t>
      </w:r>
      <w:r w:rsidRPr="00D631CA">
        <w:rPr>
          <w:rFonts w:ascii="ITC Avant Garde" w:hAnsi="ITC Avant Garde" w:cs="Arial"/>
          <w:b/>
        </w:rPr>
        <w:t>PRIMERO</w:t>
      </w:r>
      <w:r w:rsidRPr="00D631CA">
        <w:rPr>
          <w:rFonts w:ascii="ITC Avant Garde" w:hAnsi="ITC Avant Garde" w:cs="Arial"/>
        </w:rPr>
        <w:t xml:space="preserve"> es infundado, ya que la Resolución Recurrida se encuentra debidamente fundada y motivada, respetando lo dispuesto en el artículo 3, fracción V de la Ley Federal de Procedimiento Administrativo.</w:t>
      </w:r>
    </w:p>
    <w:p w14:paraId="076C2E55" w14:textId="77777777" w:rsidR="00D631CA" w:rsidRPr="00D631CA" w:rsidRDefault="00382941" w:rsidP="00D631CA">
      <w:pPr>
        <w:spacing w:before="240"/>
        <w:jc w:val="both"/>
        <w:rPr>
          <w:rFonts w:ascii="ITC Avant Garde" w:hAnsi="ITC Avant Garde" w:cs="Arial"/>
          <w:b/>
        </w:rPr>
      </w:pPr>
      <w:r w:rsidRPr="00D631CA">
        <w:rPr>
          <w:rFonts w:ascii="ITC Avant Garde" w:hAnsi="ITC Avant Garde" w:cs="Arial"/>
          <w:b/>
        </w:rPr>
        <w:t xml:space="preserve">Precisiones relativas a los señalamientos que la </w:t>
      </w:r>
      <w:r w:rsidR="00180CC9" w:rsidRPr="00D631CA">
        <w:rPr>
          <w:rFonts w:ascii="ITC Avant Garde" w:hAnsi="ITC Avant Garde" w:cs="Arial"/>
          <w:b/>
        </w:rPr>
        <w:t>Recurrente</w:t>
      </w:r>
      <w:r w:rsidRPr="00D631CA">
        <w:rPr>
          <w:rFonts w:ascii="ITC Avant Garde" w:hAnsi="ITC Avant Garde" w:cs="Arial"/>
          <w:b/>
        </w:rPr>
        <w:t xml:space="preserve"> expone en el Numeral I del primer agravio:</w:t>
      </w:r>
    </w:p>
    <w:p w14:paraId="3FD54C1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Al respecto, esta Autoridad revisora considera que los argumentos de la Recurrente resultan improcedentes, en virtud de las siguientes consideraciones que se contestan en forma correlativa a los argumentos de la Recurrente.</w:t>
      </w:r>
    </w:p>
    <w:p w14:paraId="3372E6DD" w14:textId="77777777" w:rsidR="00D631CA" w:rsidRPr="00D631CA" w:rsidRDefault="00382941" w:rsidP="00D631CA">
      <w:pPr>
        <w:numPr>
          <w:ilvl w:val="0"/>
          <w:numId w:val="3"/>
        </w:numPr>
        <w:spacing w:before="240"/>
        <w:ind w:left="284" w:hanging="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Al respecto, se considera que no le asiste la razón a la Recurrente ya que la propia SCJN señaló que la Comisión Federal de Telecomunicaciones (ahora Instituto Federal de Telecomunicaciones) es el órgano regulador creado por el Estado Mexicano con ciertas características que por su naturaleza y por sus funciones goza de un amplio margen de discrecionalidad en el ejercicio de sus facultades sin que por ello pueda ejercerlas de manera arbitraria, sino que debe fundar y motivar razonablemente sus decisiones pues su actuación está sujeta a los requisitos previstos en el artículo 16 constitucional.</w:t>
      </w:r>
    </w:p>
    <w:p w14:paraId="1E20E7C0" w14:textId="77777777" w:rsidR="00D631CA" w:rsidRPr="00D631CA" w:rsidRDefault="00382941" w:rsidP="00D631CA">
      <w:pPr>
        <w:spacing w:before="240"/>
        <w:ind w:left="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En tal virtud y en el ámbito de sus facultades discrecionales estaba plenamente facultada para utilizar un modelo de costos, máxime que el modelo de costos, es un instrumento o herramienta de soporte que sirve de apoyo al órgano regulador para fijar las tarifas que deberán aplicarse a los servicios de interconexión que presten los concesionarios, y que de esta forma se puedan cumplir con las funciones reguladoras; para lo cual únicamente debía fundar y motivar debidamente su decisión. </w:t>
      </w:r>
    </w:p>
    <w:p w14:paraId="700EED9D" w14:textId="77777777" w:rsidR="00D631CA" w:rsidRPr="00D631CA" w:rsidRDefault="00382941" w:rsidP="00D631CA">
      <w:pPr>
        <w:spacing w:before="240"/>
        <w:ind w:left="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lastRenderedPageBreak/>
        <w:t>Es así que de la propia Resolución recurrida se desprende que se señalaron los motivos, razones y causas de por qué se utiliza un Modelo de Costos, así como porque se consideró utilizar la metodología de costos incrementales, a mayor abundamiento se presenta lo señalado en dicha resolución que a la letra dice:</w:t>
      </w:r>
    </w:p>
    <w:p w14:paraId="3619214A" w14:textId="77777777" w:rsidR="00D631CA" w:rsidRPr="00D631CA" w:rsidRDefault="00382941" w:rsidP="00D631CA">
      <w:pPr>
        <w:spacing w:before="240"/>
        <w:ind w:left="567" w:right="900"/>
        <w:jc w:val="both"/>
        <w:rPr>
          <w:rFonts w:ascii="ITC Avant Garde" w:eastAsia="Times New Roman" w:hAnsi="ITC Avant Garde" w:cs="Arial"/>
          <w:b/>
          <w:lang w:val="es-ES" w:eastAsia="es-MX"/>
        </w:rPr>
      </w:pPr>
      <w:r w:rsidRPr="00D631CA">
        <w:rPr>
          <w:rFonts w:ascii="ITC Avant Garde" w:eastAsia="Times New Roman" w:hAnsi="ITC Avant Garde" w:cs="Arial"/>
          <w:lang w:val="es-ES" w:eastAsia="es-MX"/>
        </w:rPr>
        <w:t>“</w:t>
      </w:r>
      <w:r w:rsidRPr="00D631CA">
        <w:rPr>
          <w:rFonts w:ascii="ITC Avant Garde" w:eastAsia="Times New Roman" w:hAnsi="ITC Avant Garde" w:cs="Arial"/>
          <w:b/>
          <w:lang w:val="es-ES" w:eastAsia="es-MX"/>
        </w:rPr>
        <w:t>1. Tarifa de interconexión por servicios de terminación móvil.</w:t>
      </w:r>
    </w:p>
    <w:p w14:paraId="2467DCD7"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Argumentos de las partes.</w:t>
      </w:r>
    </w:p>
    <w:p w14:paraId="1075D0F4"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w:t>
      </w:r>
    </w:p>
    <w:p w14:paraId="6483C488" w14:textId="77777777" w:rsidR="00D631CA" w:rsidRPr="00D631CA" w:rsidRDefault="00382941" w:rsidP="00D631CA">
      <w:pPr>
        <w:spacing w:before="240"/>
        <w:ind w:left="567" w:right="900"/>
        <w:jc w:val="both"/>
        <w:rPr>
          <w:rFonts w:ascii="ITC Avant Garde" w:eastAsia="Times New Roman" w:hAnsi="ITC Avant Garde" w:cs="Arial"/>
          <w:b/>
          <w:lang w:val="es-ES" w:eastAsia="es-MX"/>
        </w:rPr>
      </w:pPr>
      <w:r w:rsidRPr="00D631CA">
        <w:rPr>
          <w:rFonts w:ascii="ITC Avant Garde" w:eastAsia="Times New Roman" w:hAnsi="ITC Avant Garde" w:cs="Arial"/>
          <w:b/>
          <w:lang w:val="es-ES" w:eastAsia="es-MX"/>
        </w:rPr>
        <w:t>Consideraciones de la Comisión.</w:t>
      </w:r>
    </w:p>
    <w:p w14:paraId="57EAA954"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La interconexión es de vital importancia para el desarrollo de una sana competencia porque asegura que cualquier comunicación que inicie un usuario pueda llegar a su destino, independientemente de la red pública concesionada que se utilice; propiciando así que la decisión de con qué empresa contratar los servicios, esté sustentada en factores de precio, calidad y diversidad.</w:t>
      </w:r>
    </w:p>
    <w:p w14:paraId="186BC52E"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En este sentido, se considera que en un escenario donde priva la competencia en la prestación de todos los servicios de telecomunicaciones, es necesario establecer tarifas que estén basadas en costos, ya que esto constituye una política que es neutral para el desarrollo de la competencia, en la medida que no se distorsiona el crecimiento eficiente del sector, ya que todos los participantes del mercado acceden a un elemento básico como lo es la interconexión, sin que ninguno obtenga ventajas extraordinarias en la prestación de dicho servicio. </w:t>
      </w:r>
    </w:p>
    <w:p w14:paraId="132F9856"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En este tenor, para la determinación de las tarifas de interconexión relacionadas con la función de terminación de tráfico público conmutado en las redes públicas de telecomunicaciones de servicio local móvil de Grupo Telefónica, esta Comisión considera que los objetivos plasmados en el artículo 7 de la LFT establecen las bases para la fijación de las tarifas de interconexión con base a costos. Asimismo, las </w:t>
      </w:r>
      <w:proofErr w:type="spellStart"/>
      <w:r w:rsidRPr="00D631CA">
        <w:rPr>
          <w:rFonts w:ascii="ITC Avant Garde" w:eastAsia="Times New Roman" w:hAnsi="ITC Avant Garde" w:cs="Arial"/>
          <w:lang w:val="es-ES" w:eastAsia="es-MX"/>
        </w:rPr>
        <w:t>RdSL</w:t>
      </w:r>
      <w:proofErr w:type="spellEnd"/>
      <w:r w:rsidRPr="00D631CA">
        <w:rPr>
          <w:rFonts w:ascii="ITC Avant Garde" w:eastAsia="Times New Roman" w:hAnsi="ITC Avant Garde" w:cs="Arial"/>
          <w:lang w:val="es-ES" w:eastAsia="es-MX"/>
        </w:rPr>
        <w:t xml:space="preserve"> y las RSLD establecen claramente los lineamientos que deberá seguir la autoridad para el establecimiento de dichas tarifas de interconexión en caso de un desacuerdo de interconexión al amparo del artículo 42 de la LFT, esto es, se deberán establecer para todos los casos tarifas que permitan recuperar los CIPLPS y los costos comunes atribuibles a dicha función utilizando una metodología de costeo de acuerdo a bases </w:t>
      </w:r>
      <w:r w:rsidRPr="00D631CA">
        <w:rPr>
          <w:rFonts w:ascii="ITC Avant Garde" w:eastAsia="Times New Roman" w:hAnsi="ITC Avant Garde" w:cs="Arial"/>
          <w:lang w:val="es-ES" w:eastAsia="es-MX"/>
        </w:rPr>
        <w:lastRenderedPageBreak/>
        <w:t>internacionalmente reconocidas, la evolución de las referencias internacionales y el crecimiento y desarrollo de los mercados de telecomunicaciones en el país, de tal forma que se promueva una sana competencia entre los prestadores de servicio de telecomunicaciones, a efectos de que estos se presten con mejores precios, diversidad y calidad en beneficio de los usuarios.</w:t>
      </w:r>
    </w:p>
    <w:p w14:paraId="5AA1C246"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En este sentido, de la interpretación y aplicación de los artículos 7 y 41 de la LFT, se desprende que la Comisión deberá seguir la metodología indicada en el párrafo anterior.</w:t>
      </w:r>
    </w:p>
    <w:p w14:paraId="3F353907"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A tal efecto, el artículo 7 de la LFT establece lo siguiente:</w:t>
      </w:r>
    </w:p>
    <w:p w14:paraId="72F9C6F6" w14:textId="77777777" w:rsidR="00D631CA" w:rsidRPr="00D631CA" w:rsidRDefault="00382941" w:rsidP="00D631CA">
      <w:pPr>
        <w:spacing w:before="240"/>
        <w:ind w:left="567" w:right="900"/>
        <w:jc w:val="both"/>
        <w:rPr>
          <w:rFonts w:ascii="ITC Avant Garde" w:eastAsia="Times New Roman" w:hAnsi="ITC Avant Garde" w:cs="Arial"/>
          <w:lang w:eastAsia="es-MX"/>
        </w:rPr>
      </w:pPr>
      <w:r w:rsidRPr="00D631CA">
        <w:rPr>
          <w:rFonts w:ascii="ITC Avant Garde" w:eastAsia="Times New Roman" w:hAnsi="ITC Avant Garde" w:cs="Arial"/>
          <w:lang w:eastAsia="es-MX"/>
        </w:rPr>
        <w:t>‘Artículo 7. La presente Ley tiene como objetivos promover un desarrollo eficiente de las telecomunicaciones; ejercer la rectoría del Estado en la materia, para garantizar la soberanía nacional; fomentar una sana competencia entre los diferentes prestadores de servicios de telecomunicaciones a fin de que éstos se presten con mejores precios, diversidad y calidad en beneficio de los usuarios, y promover una adecuada cobertura social.</w:t>
      </w:r>
    </w:p>
    <w:p w14:paraId="461422EE" w14:textId="77777777" w:rsidR="00D631CA" w:rsidRPr="00D631CA" w:rsidRDefault="00382941" w:rsidP="00D631CA">
      <w:pPr>
        <w:spacing w:before="240"/>
        <w:ind w:left="567" w:right="900"/>
        <w:jc w:val="both"/>
        <w:rPr>
          <w:rFonts w:ascii="ITC Avant Garde" w:eastAsia="Times New Roman" w:hAnsi="ITC Avant Garde" w:cs="Arial"/>
          <w:lang w:eastAsia="es-MX"/>
        </w:rPr>
      </w:pPr>
      <w:r w:rsidRPr="00D631CA">
        <w:rPr>
          <w:rFonts w:ascii="ITC Avant Garde" w:eastAsia="Times New Roman" w:hAnsi="ITC Avant Garde" w:cs="Arial"/>
          <w:lang w:eastAsia="es-MX"/>
        </w:rPr>
        <w:t>Para el logro de estos objetivos, corresponde a la Secretaría, sin perjuicio de las que se confieran a otras dependencias del Ejecutivo Federal, el ejercicio de las atribuciones siguientes:</w:t>
      </w:r>
    </w:p>
    <w:p w14:paraId="702D8229" w14:textId="77777777" w:rsidR="00D631CA" w:rsidRPr="00D631CA" w:rsidRDefault="00382941" w:rsidP="00D631CA">
      <w:pPr>
        <w:tabs>
          <w:tab w:val="left" w:pos="720"/>
        </w:tabs>
        <w:spacing w:before="240"/>
        <w:ind w:left="567" w:right="900"/>
        <w:jc w:val="both"/>
        <w:rPr>
          <w:rFonts w:ascii="ITC Avant Garde" w:eastAsia="Times New Roman" w:hAnsi="ITC Avant Garde" w:cs="Arial"/>
          <w:lang w:eastAsia="es-MX"/>
        </w:rPr>
      </w:pPr>
      <w:r w:rsidRPr="00D631CA">
        <w:rPr>
          <w:rFonts w:ascii="ITC Avant Garde" w:eastAsia="Times New Roman" w:hAnsi="ITC Avant Garde" w:cs="Arial"/>
          <w:lang w:eastAsia="es-MX"/>
        </w:rPr>
        <w:t>[…]</w:t>
      </w:r>
      <w:r w:rsidRPr="00D631CA">
        <w:rPr>
          <w:rFonts w:ascii="ITC Avant Garde" w:eastAsia="Times New Roman" w:hAnsi="ITC Avant Garde" w:cs="Arial"/>
          <w:b/>
          <w:lang w:eastAsia="es-MX"/>
        </w:rPr>
        <w:t>;</w:t>
      </w:r>
    </w:p>
    <w:p w14:paraId="6FDF7A5E" w14:textId="77777777" w:rsidR="00D631CA" w:rsidRPr="00D631CA" w:rsidRDefault="00382941" w:rsidP="00D631CA">
      <w:pPr>
        <w:tabs>
          <w:tab w:val="left" w:pos="720"/>
        </w:tabs>
        <w:spacing w:before="240"/>
        <w:ind w:left="567" w:right="900"/>
        <w:jc w:val="both"/>
        <w:rPr>
          <w:rFonts w:ascii="ITC Avant Garde" w:eastAsia="Times New Roman" w:hAnsi="ITC Avant Garde" w:cs="Arial"/>
          <w:lang w:eastAsia="es-MX"/>
        </w:rPr>
      </w:pPr>
      <w:r w:rsidRPr="00D631CA">
        <w:rPr>
          <w:rFonts w:ascii="ITC Avant Garde" w:eastAsia="Times New Roman" w:hAnsi="ITC Avant Garde" w:cs="Arial"/>
          <w:b/>
          <w:lang w:eastAsia="es-MX"/>
        </w:rPr>
        <w:t>II.</w:t>
      </w:r>
      <w:r w:rsidRPr="00D631CA">
        <w:rPr>
          <w:rFonts w:ascii="ITC Avant Garde" w:eastAsia="Times New Roman" w:hAnsi="ITC Avant Garde" w:cs="Arial"/>
          <w:lang w:eastAsia="es-MX"/>
        </w:rPr>
        <w:tab/>
        <w:t>Promover y vigilar la eficiente interconexión de los diferentes equipos y redes de telecomunicación;</w:t>
      </w:r>
    </w:p>
    <w:p w14:paraId="4E09AC8E" w14:textId="77777777" w:rsidR="00D631CA" w:rsidRPr="00D631CA" w:rsidRDefault="00382941" w:rsidP="00D631CA">
      <w:pPr>
        <w:tabs>
          <w:tab w:val="left" w:pos="720"/>
        </w:tabs>
        <w:spacing w:before="240"/>
        <w:ind w:left="567" w:right="900"/>
        <w:jc w:val="both"/>
        <w:rPr>
          <w:rFonts w:ascii="ITC Avant Garde" w:eastAsia="Times New Roman" w:hAnsi="ITC Avant Garde" w:cs="Arial"/>
          <w:lang w:eastAsia="es-MX"/>
        </w:rPr>
      </w:pPr>
      <w:r w:rsidRPr="00D631CA">
        <w:rPr>
          <w:rFonts w:ascii="ITC Avant Garde" w:eastAsia="Times New Roman" w:hAnsi="ITC Avant Garde" w:cs="Arial"/>
          <w:lang w:eastAsia="es-MX"/>
        </w:rPr>
        <w:t>[...]</w:t>
      </w:r>
    </w:p>
    <w:p w14:paraId="44FD3045" w14:textId="77777777" w:rsidR="00D631CA" w:rsidRPr="00D631CA" w:rsidRDefault="00382941" w:rsidP="00D631CA">
      <w:pPr>
        <w:tabs>
          <w:tab w:val="left" w:pos="720"/>
        </w:tabs>
        <w:spacing w:before="240"/>
        <w:ind w:left="567" w:right="900"/>
        <w:jc w:val="both"/>
        <w:rPr>
          <w:rFonts w:ascii="ITC Avant Garde" w:eastAsia="Times New Roman" w:hAnsi="ITC Avant Garde" w:cs="Arial"/>
          <w:lang w:eastAsia="es-MX"/>
        </w:rPr>
      </w:pPr>
      <w:r w:rsidRPr="00D631CA">
        <w:rPr>
          <w:rFonts w:ascii="ITC Avant Garde" w:eastAsia="Times New Roman" w:hAnsi="ITC Avant Garde" w:cs="Arial"/>
          <w:b/>
          <w:lang w:eastAsia="es-MX"/>
        </w:rPr>
        <w:t>XII.</w:t>
      </w:r>
      <w:r w:rsidRPr="00D631CA">
        <w:rPr>
          <w:rFonts w:ascii="ITC Avant Garde" w:eastAsia="Times New Roman" w:hAnsi="ITC Avant Garde" w:cs="Arial"/>
          <w:lang w:eastAsia="es-MX"/>
        </w:rPr>
        <w:tab/>
        <w:t>Interpretar esta Ley para efectos administrativos, y</w:t>
      </w:r>
    </w:p>
    <w:p w14:paraId="4AE576BB" w14:textId="77777777" w:rsidR="00D631CA" w:rsidRPr="00D631CA" w:rsidRDefault="00382941" w:rsidP="00D631CA">
      <w:pPr>
        <w:tabs>
          <w:tab w:val="left" w:pos="720"/>
        </w:tabs>
        <w:spacing w:before="240"/>
        <w:ind w:left="567" w:right="900"/>
        <w:jc w:val="both"/>
        <w:rPr>
          <w:rFonts w:ascii="ITC Avant Garde" w:eastAsia="Times New Roman" w:hAnsi="ITC Avant Garde" w:cs="Arial"/>
          <w:lang w:eastAsia="es-MX"/>
        </w:rPr>
      </w:pPr>
      <w:r w:rsidRPr="00D631CA">
        <w:rPr>
          <w:rFonts w:ascii="ITC Avant Garde" w:eastAsia="Times New Roman" w:hAnsi="ITC Avant Garde" w:cs="Arial"/>
          <w:b/>
          <w:lang w:eastAsia="es-MX"/>
        </w:rPr>
        <w:t>XIII.</w:t>
      </w:r>
      <w:r w:rsidRPr="00D631CA">
        <w:rPr>
          <w:rFonts w:ascii="ITC Avant Garde" w:eastAsia="Times New Roman" w:hAnsi="ITC Avant Garde" w:cs="Arial"/>
          <w:lang w:eastAsia="es-MX"/>
        </w:rPr>
        <w:tab/>
        <w:t>Las demás que esta Ley y otros ordenamientos legales le confieran en la materia.’</w:t>
      </w:r>
    </w:p>
    <w:p w14:paraId="4848BEEA"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Asimismo, el artículo 41 de la LFT establece lo siguiente:</w:t>
      </w:r>
    </w:p>
    <w:p w14:paraId="50C2BA59" w14:textId="77777777" w:rsidR="00D631CA" w:rsidRPr="00D631CA" w:rsidRDefault="00382941" w:rsidP="00D631CA">
      <w:pPr>
        <w:spacing w:before="240"/>
        <w:ind w:left="567" w:right="900"/>
        <w:jc w:val="both"/>
        <w:rPr>
          <w:rFonts w:ascii="ITC Avant Garde" w:eastAsia="Times New Roman" w:hAnsi="ITC Avant Garde" w:cs="Arial"/>
          <w:lang w:eastAsia="es-MX"/>
        </w:rPr>
      </w:pPr>
      <w:r w:rsidRPr="00D631CA">
        <w:rPr>
          <w:rFonts w:ascii="ITC Avant Garde" w:eastAsia="Times New Roman" w:hAnsi="ITC Avant Garde" w:cs="Arial"/>
          <w:lang w:eastAsia="es-MX"/>
        </w:rPr>
        <w:t xml:space="preserve">‘Artículo 41. Los concesionarios de redes públicas de telecomunicaciones deberán adoptar diseños de arquitectura abierta de red para permitir la interconexión e interoperabilidad de sus redes. A tal efecto, la Secretaría elaborará y administrará los planes técnicos fundamentales de numeración, </w:t>
      </w:r>
      <w:r w:rsidRPr="00D631CA">
        <w:rPr>
          <w:rFonts w:ascii="ITC Avant Garde" w:eastAsia="Times New Roman" w:hAnsi="ITC Avant Garde" w:cs="Arial"/>
          <w:lang w:eastAsia="es-MX"/>
        </w:rPr>
        <w:lastRenderedPageBreak/>
        <w:t>conmutación, señalización, transmisión, tarifación y sincronización, entre otros, a los que deberán sujetarse los concesionarios de redes públicas de telecomunicaciones. Dichos planes deberán considerar los intereses de los usuarios y de los concesionarios y tendrán los siguientes objetivos:</w:t>
      </w:r>
    </w:p>
    <w:p w14:paraId="484BEAE6" w14:textId="77777777" w:rsidR="00D631CA" w:rsidRPr="00D631CA" w:rsidRDefault="00382941" w:rsidP="00D631CA">
      <w:pPr>
        <w:tabs>
          <w:tab w:val="left" w:pos="851"/>
        </w:tabs>
        <w:spacing w:before="240"/>
        <w:ind w:left="567" w:right="900"/>
        <w:jc w:val="both"/>
        <w:rPr>
          <w:rFonts w:ascii="ITC Avant Garde" w:eastAsia="Times New Roman" w:hAnsi="ITC Avant Garde" w:cs="Arial"/>
          <w:lang w:eastAsia="es-MX"/>
        </w:rPr>
      </w:pPr>
      <w:r w:rsidRPr="00D631CA">
        <w:rPr>
          <w:rFonts w:ascii="ITC Avant Garde" w:eastAsia="Times New Roman" w:hAnsi="ITC Avant Garde" w:cs="Arial"/>
          <w:b/>
          <w:lang w:eastAsia="es-MX"/>
        </w:rPr>
        <w:t>I.</w:t>
      </w:r>
      <w:r w:rsidRPr="00D631CA">
        <w:rPr>
          <w:rFonts w:ascii="ITC Avant Garde" w:eastAsia="Times New Roman" w:hAnsi="ITC Avant Garde" w:cs="Arial"/>
          <w:lang w:eastAsia="es-MX"/>
        </w:rPr>
        <w:tab/>
        <w:t>Permitir un amplio desarrollo de nuevos concesionarios y servicios de telecomunicaciones;</w:t>
      </w:r>
    </w:p>
    <w:p w14:paraId="66B4DB1A" w14:textId="77777777" w:rsidR="00D631CA" w:rsidRPr="00D631CA" w:rsidRDefault="00382941" w:rsidP="00D631CA">
      <w:pPr>
        <w:tabs>
          <w:tab w:val="left" w:pos="851"/>
        </w:tabs>
        <w:spacing w:before="240"/>
        <w:ind w:left="567" w:right="900"/>
        <w:jc w:val="both"/>
        <w:rPr>
          <w:rFonts w:ascii="ITC Avant Garde" w:eastAsia="Times New Roman" w:hAnsi="ITC Avant Garde" w:cs="Arial"/>
          <w:lang w:eastAsia="es-MX"/>
        </w:rPr>
      </w:pPr>
      <w:r w:rsidRPr="00D631CA">
        <w:rPr>
          <w:rFonts w:ascii="ITC Avant Garde" w:eastAsia="Times New Roman" w:hAnsi="ITC Avant Garde" w:cs="Arial"/>
          <w:b/>
          <w:lang w:eastAsia="es-MX"/>
        </w:rPr>
        <w:t>II.</w:t>
      </w:r>
      <w:r w:rsidRPr="00D631CA">
        <w:rPr>
          <w:rFonts w:ascii="ITC Avant Garde" w:eastAsia="Times New Roman" w:hAnsi="ITC Avant Garde" w:cs="Arial"/>
          <w:lang w:eastAsia="es-MX"/>
        </w:rPr>
        <w:tab/>
        <w:t>Dar un trato no discriminatorio a los concesionarios, y</w:t>
      </w:r>
    </w:p>
    <w:p w14:paraId="7FA864FA" w14:textId="77777777" w:rsidR="00D631CA" w:rsidRPr="00D631CA" w:rsidRDefault="00382941" w:rsidP="00D631CA">
      <w:pPr>
        <w:tabs>
          <w:tab w:val="left" w:pos="851"/>
        </w:tabs>
        <w:spacing w:before="240"/>
        <w:ind w:left="567" w:right="900"/>
        <w:jc w:val="both"/>
        <w:rPr>
          <w:rFonts w:ascii="ITC Avant Garde" w:eastAsia="Times New Roman" w:hAnsi="ITC Avant Garde" w:cs="Arial"/>
          <w:lang w:eastAsia="es-MX"/>
        </w:rPr>
      </w:pPr>
      <w:r w:rsidRPr="00D631CA">
        <w:rPr>
          <w:rFonts w:ascii="ITC Avant Garde" w:eastAsia="Times New Roman" w:hAnsi="ITC Avant Garde" w:cs="Arial"/>
          <w:b/>
          <w:lang w:eastAsia="es-MX"/>
        </w:rPr>
        <w:t>III.</w:t>
      </w:r>
      <w:r w:rsidRPr="00D631CA">
        <w:rPr>
          <w:rFonts w:ascii="ITC Avant Garde" w:eastAsia="Times New Roman" w:hAnsi="ITC Avant Garde" w:cs="Arial"/>
          <w:lang w:eastAsia="es-MX"/>
        </w:rPr>
        <w:tab/>
        <w:t>Fomentar una sana competencia entre concesionarios.’</w:t>
      </w:r>
    </w:p>
    <w:p w14:paraId="1FECDB66"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Cabe reiterar que no obstante que los objetivos contenidos en las fracciones del artículo 41 de la LFT se refieren a la emisión de planes fundamentales, dichos planes se encuentran íntimamente ligados con la interconexión pues facilitan la implementación de la misma. En tal virtud, dichos principios se hacen extensivos como principios interpretadores para la determinación de condiciones de interconexión no convenidas por los concesionarios.</w:t>
      </w:r>
    </w:p>
    <w:p w14:paraId="7206D34C"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Según se desprende de los preceptos arriba citados, el desarrollo eficiente de las telecomunicaciones y el fomento de una sana competencia entre los prestadores de servicios de telecomunicaciones, son dos principios esenciales, entre otros, que deben regir el actuar administrativo de la Comisión. </w:t>
      </w:r>
    </w:p>
    <w:p w14:paraId="0C89C598"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Como se desprende de los artículos 7 fracciones II y III, 9-A fracción I y 41 de la LFT, así como de la fracción II, del artículo 9 del Reglamento Interior de la Comisión, esta última está obligada a promover el desarrollo eficiente de las telecomunicaciones fomentando una sana competencia entre los prestadores de servicios de telecomunicaciones, para que dichos servicios se presten con mejores precios, diversidad y calidad en beneficio de todos los que los usamos. La Comisión debe, como órgano regulador técnico, en términos de la fracción II del artículo 7° citado, promover y vigilar la eficiente interconexión de los diferentes equipos y redes de telecomunicación y para tal efecto puede, en términos de la fracción III del precepto citado, expedir las disposiciones administrativas para cumplir tal encomienda, ya sea vía acto administrativo de carácter particular o general, en términos del artículo 4° de la LFPA.</w:t>
      </w:r>
    </w:p>
    <w:p w14:paraId="44929F89"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Adicionalmente, la Regla Novena Transitoria de las </w:t>
      </w:r>
      <w:proofErr w:type="spellStart"/>
      <w:r w:rsidRPr="00D631CA">
        <w:rPr>
          <w:rFonts w:ascii="ITC Avant Garde" w:eastAsia="Times New Roman" w:hAnsi="ITC Avant Garde" w:cs="Arial"/>
          <w:lang w:val="es-ES" w:eastAsia="es-MX"/>
        </w:rPr>
        <w:t>RdSL</w:t>
      </w:r>
      <w:proofErr w:type="spellEnd"/>
      <w:r w:rsidRPr="00D631CA">
        <w:rPr>
          <w:rFonts w:ascii="ITC Avant Garde" w:eastAsia="Times New Roman" w:hAnsi="ITC Avant Garde" w:cs="Arial"/>
          <w:lang w:val="es-ES" w:eastAsia="es-MX"/>
        </w:rPr>
        <w:t>, prevé lo siguiente:</w:t>
      </w:r>
    </w:p>
    <w:p w14:paraId="211B32A2" w14:textId="77777777" w:rsidR="00D631CA" w:rsidRPr="00D631CA" w:rsidRDefault="00382941" w:rsidP="00D631CA">
      <w:pPr>
        <w:spacing w:before="240"/>
        <w:ind w:left="567" w:right="900"/>
        <w:jc w:val="both"/>
        <w:rPr>
          <w:rFonts w:ascii="ITC Avant Garde" w:eastAsia="Times New Roman" w:hAnsi="ITC Avant Garde" w:cs="Arial"/>
          <w:lang w:eastAsia="es-MX"/>
        </w:rPr>
      </w:pPr>
      <w:r w:rsidRPr="00D631CA">
        <w:rPr>
          <w:rFonts w:ascii="ITC Avant Garde" w:eastAsia="Times New Roman" w:hAnsi="ITC Avant Garde" w:cs="Arial"/>
          <w:b/>
          <w:lang w:eastAsia="es-MX"/>
        </w:rPr>
        <w:lastRenderedPageBreak/>
        <w:t>“NOVENA</w:t>
      </w:r>
      <w:r w:rsidRPr="00D631CA">
        <w:rPr>
          <w:rFonts w:ascii="ITC Avant Garde" w:eastAsia="Times New Roman" w:hAnsi="ITC Avant Garde" w:cs="Arial"/>
          <w:lang w:eastAsia="es-MX"/>
        </w:rPr>
        <w:t>. En caso de que las partes no logren acordar dentro del término establecido por la Ley las condiciones de interconexión entre sus redes, incluyendo aquellas relativas a las tarifas por las diferentes funciones de interconexión que han sido establecidas por las presentes Reglas, la Comisión resolverá las condiciones que no hayan podido convenirse.</w:t>
      </w:r>
    </w:p>
    <w:p w14:paraId="56050F62" w14:textId="77777777" w:rsidR="00D631CA" w:rsidRPr="00D631CA" w:rsidRDefault="00382941" w:rsidP="00D631CA">
      <w:pPr>
        <w:spacing w:before="240"/>
        <w:ind w:left="567" w:right="900"/>
        <w:jc w:val="both"/>
        <w:rPr>
          <w:rFonts w:ascii="ITC Avant Garde" w:eastAsia="Times New Roman" w:hAnsi="ITC Avant Garde" w:cs="Arial"/>
          <w:lang w:eastAsia="es-MX"/>
        </w:rPr>
      </w:pPr>
      <w:r w:rsidRPr="00D631CA">
        <w:rPr>
          <w:rFonts w:ascii="ITC Avant Garde" w:eastAsia="Times New Roman" w:hAnsi="ITC Avant Garde" w:cs="Arial"/>
          <w:lang w:eastAsia="es-MX"/>
        </w:rPr>
        <w:t>En tal caso y tratándose de tarifas por llevar a cabo la función de terminación conmutada entre redes autorizadas para prestar el servicio local fijo, la Comisión resolverá, después de analizar las posiciones y elementos aportados por las partes, sobre el establecimiento de tarifas que permitan recuperar el costo incremental promedio de largo plazo y los costos comunes atribuibles a dicha función que se determinen utilizando bases internacionalmente reconocidas, de tal forma que se promueva una sana competencia entre los prestadores del servicio local, a efecto de que éste se preste con mejores precios, diversidad y calidad en beneficio de los usuarios.”</w:t>
      </w:r>
    </w:p>
    <w:p w14:paraId="03889552"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De igual forma, la Regla 53 de las RSLD, dispone que:</w:t>
      </w:r>
    </w:p>
    <w:p w14:paraId="6D592681" w14:textId="77777777" w:rsidR="00D631CA" w:rsidRPr="00D631CA" w:rsidRDefault="00382941" w:rsidP="00D631CA">
      <w:pPr>
        <w:spacing w:before="240"/>
        <w:ind w:left="567" w:right="900"/>
        <w:jc w:val="both"/>
        <w:rPr>
          <w:rFonts w:ascii="ITC Avant Garde" w:eastAsia="Times New Roman" w:hAnsi="ITC Avant Garde" w:cs="Arial"/>
          <w:lang w:eastAsia="es-MX"/>
        </w:rPr>
      </w:pPr>
      <w:r w:rsidRPr="00D631CA">
        <w:rPr>
          <w:rFonts w:ascii="ITC Avant Garde" w:eastAsia="Times New Roman" w:hAnsi="ITC Avant Garde" w:cs="Arial"/>
          <w:b/>
          <w:lang w:eastAsia="es-MX"/>
        </w:rPr>
        <w:t>“Regla 53.</w:t>
      </w:r>
      <w:r w:rsidRPr="00D631CA">
        <w:rPr>
          <w:rFonts w:ascii="ITC Avant Garde" w:eastAsia="Times New Roman" w:hAnsi="ITC Avant Garde" w:cs="Arial"/>
          <w:lang w:eastAsia="es-MX"/>
        </w:rPr>
        <w:t xml:space="preserve"> En caso de que las partes no logren acordar dentro del término establecido por la Ley las condiciones de interconexión entre sus redes, incluyendo aquellas relativas a las tarifas por las diferentes funciones de interconexión que sean necesarias para la implantación de la modalidad “El que llama paga nacional”, la Comisión resolverá en términos del artículo 42 de la Ley las condiciones que no hayan podido convenirse.</w:t>
      </w:r>
    </w:p>
    <w:p w14:paraId="4892F3AF"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En tal caso y tratándose de tarifas relacionadas a la función de terminación de tráfico público conmutado en las redes autorizadas para prestar el servicio local móvil, la Comisión resolverá, después de analizar las posiciones y elementos aportados por las partes, sobre el establecimiento de tarifas que permitan recuperar el costo incremental promedio de largo plazo y los costos comunes atribuibles a dicha función que se determinen utilizando una metodología de costeo de redes de acuerdo a bases internacionalmente reconocidas, la evolución de las referencias internacionales y el crecimiento y desarrollo de los mercados de telecomunicaciones en el país, de tal forma que se promueva una sana competencia entre los prestadores de servicios de telecomunicaciones, a efecto de que éstos se presten con mejores precios, diversidad y calidad en beneficio de los usuarios.”</w:t>
      </w:r>
    </w:p>
    <w:p w14:paraId="0B0804C3"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Al amparo de la Regla Novena Transitoria de las </w:t>
      </w:r>
      <w:proofErr w:type="spellStart"/>
      <w:r w:rsidRPr="00D631CA">
        <w:rPr>
          <w:rFonts w:ascii="ITC Avant Garde" w:eastAsia="Times New Roman" w:hAnsi="ITC Avant Garde" w:cs="Arial"/>
          <w:lang w:val="es-ES" w:eastAsia="es-MX"/>
        </w:rPr>
        <w:t>RdSL</w:t>
      </w:r>
      <w:proofErr w:type="spellEnd"/>
      <w:r w:rsidRPr="00D631CA">
        <w:rPr>
          <w:rFonts w:ascii="ITC Avant Garde" w:eastAsia="Times New Roman" w:hAnsi="ITC Avant Garde" w:cs="Arial"/>
          <w:lang w:val="es-ES" w:eastAsia="es-MX"/>
        </w:rPr>
        <w:t xml:space="preserve"> y la Regla 53 de las RSLD, esta Comisión a efecto de determinar la tarifa de interconexión aplicable a </w:t>
      </w:r>
      <w:r w:rsidRPr="00D631CA">
        <w:rPr>
          <w:rFonts w:ascii="ITC Avant Garde" w:eastAsia="Times New Roman" w:hAnsi="ITC Avant Garde" w:cs="Arial"/>
          <w:lang w:val="es-ES" w:eastAsia="es-MX"/>
        </w:rPr>
        <w:lastRenderedPageBreak/>
        <w:t>partir del 1° de enero de 2011, que no pudieron convenir los solicitantes y Grupo Telefónica, deberá considerar los costos incrementales de largo plazo más los costos comunes utilizando una metodología que esté reconocida internacionalmente.</w:t>
      </w:r>
    </w:p>
    <w:p w14:paraId="417E41E7"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Sin perjuicio de que las autoridades administrativas deben resolver conforme a estricto derecho, el artículo 88 del CFPC, de aplicación supletoria, establece que la autoridad podrá invocar hechos notorios.</w:t>
      </w:r>
    </w:p>
    <w:p w14:paraId="2605611C"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Es un hecho notorio respecto a la industria de las telecomunicaciones que en las situaciones en donde la competencia es ineficaz, los precios basados en costos son considerados como recomendables para alcanzar los objetivos de eficiencia y desarrollo del mercado</w:t>
      </w:r>
      <w:r w:rsidRPr="00D631CA">
        <w:rPr>
          <w:rFonts w:ascii="ITC Avant Garde" w:eastAsia="Times New Roman" w:hAnsi="ITC Avant Garde" w:cs="Arial"/>
          <w:u w:val="single"/>
          <w:lang w:val="es-ES" w:eastAsia="es-MX"/>
        </w:rPr>
        <w:t>. El enfoque de tarifas basadas en costos ha sido reconocido por la Organización Mundial de Comercio (en lo sucesivo, la “OMC”), para el caso de proveedores principales, por el Banco Mundial y por la Unión Internacional de Telecomunicaciones como el método más eficiente desde el punto de vista económico para fijar las tarifas de interconexión y, conjuntamente con la no discriminación y la transparencia como los principios básicos que deben regir en cualquier acuerdo de interconexión.</w:t>
      </w:r>
    </w:p>
    <w:p w14:paraId="2841BC42"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Es importante señalar que las tarifas de interconexión por encima de costos constituyen una barrera de entrada a nuevas empresas como consecuencia del alto precio de la interconexión. Esto se debe a que una tarifa de interconexión superior a costos impacta desproporcionalmente los costos de operadores con redes de menor tamaño, como las redes de los operadores entrantes. El porcentaje de participación de llamadas fuera de la red de un operador pequeño es mayor que la de un operador grande, lo que hace que los costos promedios que enfrenta el operador pequeño sean mayores para proveer servicios a sus clientes, pues estos hacen un mayor número de llamadas fuera de la red y por ende hacen un mayor uso de los servicios de interconexión de otros operadores. Así, las tarifas de interconexión por encima de costos incrementan los costos promedio que enfrentan los operadores nuevos y de menor tamaño, que empiezan a ampliar su base de usuarios. Si las tarifas de interconexión están basadas en costos, no existe este efecto diferenciado sobre redes grandes y pequeñas. </w:t>
      </w:r>
    </w:p>
    <w:p w14:paraId="362833AA"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En el caso de las redes fijas de los Solicitantes, el que le sean aplicadas tarifas de interconexión superiores a costos, inducirá a que sus usuarios sustituyan sus servicios por los ofrecidos por los operadores móviles, ya que los usuarios </w:t>
      </w:r>
      <w:r w:rsidRPr="00D631CA">
        <w:rPr>
          <w:rFonts w:ascii="ITC Avant Garde" w:eastAsia="Times New Roman" w:hAnsi="ITC Avant Garde" w:cs="Arial"/>
          <w:lang w:val="es-ES" w:eastAsia="es-MX"/>
        </w:rPr>
        <w:lastRenderedPageBreak/>
        <w:t>buscarán evitar las elevadas tarifas que resultan como consecuencia de las altas tarifas de interconexión. Ello provocará que en lugar de que sea la competencia la que induzca la sustitución entre operadores sean las altas tarifas de interconexión la que lo determinen. Cada operador de servicios es el único que, técnicamente, tiene la capacidad para completar una llamada dirigida a uno de sus abonados, razón por la cual tendría incentivos para elevar las tarifas de interconexión que cobra a otros.</w:t>
      </w:r>
    </w:p>
    <w:p w14:paraId="673A4108"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Bajo la modalidad “el que llama paga” en la terminación de llamadas fijo-móvil, una tarifa de interconexión elevada es transferida totalmente a la tarifa final que pagan los usuarios de la red fija. Por otra parte, la mayor parte de los usuarios móviles son poco sensibles al precio que asumen las personas que las llaman desde la red fija. Por tanto, un operador de servicios móviles no enfrenta una presión por reducir la tarifa que cobra a los operadores de servicios fijos por la terminación de llamadas en su red. Esta situación podría mantenerse en el largo plazo debido a que los usuarios móviles, al presentar poca sensibilidad ante estas tarifas altas, no percibirán la necesidad de cambiar su afiliación a otra empresa. </w:t>
      </w:r>
    </w:p>
    <w:p w14:paraId="134FCFDB"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Por el otro lado, el operador de servicios móviles se beneficia de fijar una elevada tarifa por la terminación de llamadas en su red, ya que de esa forma eleva los costos del operador de servicios fijos, reduciendo así su capacidad de competir en el mercado. Es decir, los operadores móviles al fijar elevadas tarifas de interconexión promueven que los usuarios de las redes de servicios fijos prefieran unirse a las redes de servicios móviles para buscar evitar pagar la elevada tarifa de interconexión. Por lo tanto, los operadores móviles no tendrán incentivos para modificar en el largo plazo su comportamiento, dado que no experimentarán el peligro de perder a sus clientes.</w:t>
      </w:r>
    </w:p>
    <w:p w14:paraId="41DACE10"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En adición a lo anterior, el hecho de que sean los operadores móviles quienes determinen, con la fijación de las tarifas de interconexión, el precio que habrán de pagar los usuarios del servicio fijo por la terminación de sus llamadas en redes móviles, produce ciertas distorsiones en la naturaleza de la relación contractual existente en las llamadas fijo - móvil. Esto se evidencia en que los operadores móviles no tienen una relación directa con quien paga la llamada, ya que no se trata de uno de sus usuarios, sino de un cliente del operador fijo, con quien compite en la prestación del servicio de telefonía local, siendo fija para uno y móvil para el otro. Por este motivo, dicho esquema no propicia la competencia </w:t>
      </w:r>
      <w:r w:rsidRPr="00D631CA">
        <w:rPr>
          <w:rFonts w:ascii="ITC Avant Garde" w:eastAsia="Times New Roman" w:hAnsi="ITC Avant Garde" w:cs="Arial"/>
          <w:lang w:val="es-ES" w:eastAsia="es-MX"/>
        </w:rPr>
        <w:lastRenderedPageBreak/>
        <w:t>entre los operadores móviles por fijar una menor tarifa de terminación de llamadas a los operadores de servicios fijos.</w:t>
      </w:r>
    </w:p>
    <w:p w14:paraId="2538EA57"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El problema descrito en los párrafos anteriores ha motivado a los organismos reguladores del Reino Unido, Italia, Francia, Holanda y Portugal a intervenir en los mercados de terminación de llamadas en las redes móviles e introducir diversos esquemas de regulación de precios. </w:t>
      </w:r>
    </w:p>
    <w:p w14:paraId="1CF18E63"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Los operadores móviles tienen incentivos para utilizar recursos provenientes de las llamadas fijo - móvil para financiar sus prácticas de competencia en la búsqueda de nuevos usuarios. Ello se hace más evidente cuando los operadores móviles son los únicos que tienen la capacidad de terminar las llamadas fijo - móvil en su red pública de telecomunicaciones, lo cual se debe en parte a la poca sensibilidad de los usuarios de las redes móviles al precio final de tales llamadas, y a la distorsión que se produce cuando los operadores móviles determinan tarifas que serán asumidas por clientes de la red fija que no son usuarios y que no pueden elegir a la empresa que brindará el servicio.</w:t>
      </w:r>
    </w:p>
    <w:p w14:paraId="103FF232"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Las resoluciones de tarifas de interconexión orientadas a costos eliminan las distorsiones tarifarias en el mercado de servicios móviles, y permite:</w:t>
      </w:r>
    </w:p>
    <w:p w14:paraId="281C261A" w14:textId="79F03C23" w:rsidR="00382941" w:rsidRPr="00D631CA" w:rsidRDefault="00382941" w:rsidP="00D631CA">
      <w:pPr>
        <w:numPr>
          <w:ilvl w:val="0"/>
          <w:numId w:val="6"/>
        </w:numPr>
        <w:tabs>
          <w:tab w:val="num" w:pos="1560"/>
        </w:tabs>
        <w:spacing w:before="240"/>
        <w:ind w:left="567" w:right="900"/>
        <w:jc w:val="both"/>
        <w:rPr>
          <w:rFonts w:ascii="ITC Avant Garde" w:eastAsia="Batang" w:hAnsi="ITC Avant Garde" w:cs="Arial"/>
          <w:iCs/>
        </w:rPr>
      </w:pPr>
      <w:r w:rsidRPr="00D631CA">
        <w:rPr>
          <w:rFonts w:ascii="ITC Avant Garde" w:eastAsia="Batang" w:hAnsi="ITC Avant Garde" w:cs="Arial"/>
          <w:iCs/>
        </w:rPr>
        <w:t>Manejar actuales condiciones de competencia, a través de una estructura de precios relativos finales más adecuada;</w:t>
      </w:r>
    </w:p>
    <w:p w14:paraId="75BFFE56" w14:textId="77777777" w:rsidR="00D631CA" w:rsidRPr="00D631CA" w:rsidRDefault="00382941" w:rsidP="00D631CA">
      <w:pPr>
        <w:numPr>
          <w:ilvl w:val="0"/>
          <w:numId w:val="6"/>
        </w:numPr>
        <w:tabs>
          <w:tab w:val="num" w:pos="1560"/>
        </w:tabs>
        <w:spacing w:before="240"/>
        <w:ind w:left="567" w:right="900"/>
        <w:jc w:val="both"/>
        <w:rPr>
          <w:rFonts w:ascii="ITC Avant Garde" w:eastAsia="Batang" w:hAnsi="ITC Avant Garde" w:cs="Arial"/>
          <w:iCs/>
        </w:rPr>
      </w:pPr>
      <w:r w:rsidRPr="00D631CA">
        <w:rPr>
          <w:rFonts w:ascii="ITC Avant Garde" w:eastAsia="Batang" w:hAnsi="ITC Avant Garde" w:cs="Arial"/>
          <w:iCs/>
        </w:rPr>
        <w:t>Reduce costos de llamadas originadas en redes fijas.</w:t>
      </w:r>
    </w:p>
    <w:p w14:paraId="7BD88472"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De todo lo analizado con anterioridad, se determina que del marco jurídico Mexicano, encontrando como primer fundamento lo establecido en el artículo 7 de la LFT, contempla que las tarifas de interconexión deben determinarse de manera indubitable conforme a costos, debiéndose desarrollar para tal efecto un </w:t>
      </w:r>
      <w:r w:rsidRPr="00D631CA">
        <w:rPr>
          <w:rFonts w:ascii="ITC Avant Garde" w:eastAsia="Times New Roman" w:hAnsi="ITC Avant Garde" w:cs="Arial"/>
          <w:u w:val="single"/>
          <w:lang w:val="es-ES" w:eastAsia="es-MX"/>
        </w:rPr>
        <w:t>modelo de costos</w:t>
      </w:r>
      <w:r w:rsidRPr="00D631CA">
        <w:rPr>
          <w:rFonts w:ascii="ITC Avant Garde" w:eastAsia="Times New Roman" w:hAnsi="ITC Avant Garde" w:cs="Arial"/>
          <w:lang w:val="es-ES" w:eastAsia="es-MX"/>
        </w:rPr>
        <w:t xml:space="preserve"> que permita fijar de manera clara y precisa la forma en cómo habrán de ser determinadas las tarifas, </w:t>
      </w:r>
      <w:r w:rsidRPr="00D631CA">
        <w:rPr>
          <w:rFonts w:ascii="ITC Avant Garde" w:eastAsia="Times New Roman" w:hAnsi="ITC Avant Garde" w:cs="Arial"/>
          <w:u w:val="single"/>
          <w:lang w:val="es-ES" w:eastAsia="es-MX"/>
        </w:rPr>
        <w:t>teniendo la Comisión plena libertad para desarrollar dicho modelo, con fundamento en el artículo 42 de la LFT</w:t>
      </w:r>
      <w:r w:rsidRPr="00D631CA">
        <w:rPr>
          <w:rFonts w:ascii="ITC Avant Garde" w:eastAsia="Times New Roman" w:hAnsi="ITC Avant Garde" w:cs="Arial"/>
          <w:lang w:val="es-ES" w:eastAsia="es-MX"/>
        </w:rPr>
        <w:t>.</w:t>
      </w:r>
    </w:p>
    <w:p w14:paraId="7DC66E2D"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w:t>
      </w:r>
    </w:p>
    <w:p w14:paraId="2F599001"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Cabe hacer mención que, con fundamento en los artículos 42, 60 y 63 de la LFT, únicamente podían ser materia del procedimiento administrativo en que se actúa, las condiciones de interconexión no convenidas entre las partes, tal y </w:t>
      </w:r>
      <w:r w:rsidRPr="00D631CA">
        <w:rPr>
          <w:rFonts w:ascii="ITC Avant Garde" w:eastAsia="Times New Roman" w:hAnsi="ITC Avant Garde" w:cs="Arial"/>
          <w:lang w:val="es-ES" w:eastAsia="es-MX"/>
        </w:rPr>
        <w:lastRenderedPageBreak/>
        <w:t xml:space="preserve">como sucede con las tarifas de interconexión, más no lo podían ser la determinación de las tarifas aplicables por cualquiera de ellas al público en general por estar vigente al respecto el principio de libertad tarifaria, que solo admite las excepciones expresamente previstas en Ley. </w:t>
      </w:r>
    </w:p>
    <w:p w14:paraId="19EB4701"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De tal suerte, que esta Comisión procede a determinar la tarifa de interconexión del año 2011 conforme a costos, por lo que en cumplimiento a lo establecido en el artículo 7 de la LFT, se considera que </w:t>
      </w:r>
      <w:r w:rsidRPr="00D631CA">
        <w:rPr>
          <w:rFonts w:ascii="ITC Avant Garde" w:eastAsia="Times New Roman" w:hAnsi="ITC Avant Garde" w:cs="Arial"/>
          <w:u w:val="single"/>
          <w:lang w:val="es-ES" w:eastAsia="es-MX"/>
        </w:rPr>
        <w:t>la manera más eficiente económicamente de determinar las tarifas de interconexión, lo constituye la aplicación de un Modelo de Costos Incrementales Totales de Largo Plazo (en lo sucesivo, el “Modelo CITLP”)</w:t>
      </w:r>
      <w:r w:rsidRPr="00D631CA">
        <w:rPr>
          <w:rFonts w:ascii="ITC Avant Garde" w:eastAsia="Times New Roman" w:hAnsi="ITC Avant Garde" w:cs="Arial"/>
          <w:lang w:val="es-ES" w:eastAsia="es-MX"/>
        </w:rPr>
        <w:t xml:space="preserve"> y en el mismo, los costos utilizados deben ser aquellos derivados de una empresa eficiente como se describe a continuación. </w:t>
      </w:r>
    </w:p>
    <w:p w14:paraId="5F52E555"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De contar con un modelo de costos para la determinación de las tarifas de interconexión, esta Comisión estará en condiciones de ejercer las facultades correspondientes a la resolución de las condiciones de interconexión no convenidas entre los concesionarios, que permitan alcanzar los objetivos plasmados en la LFT, en particular lo establecido en su artículo 7 de fomentar una sana competencia entre los diferentes prestadores de servicios de telecomunicaciones a fin de que éstos se presten con mejores precios, diversidad y calidad en beneficio de los usuarios, y promover una adecuada cobertura social.</w:t>
      </w:r>
    </w:p>
    <w:p w14:paraId="29D281FF"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Con relación a las tarifas de interconexión de 2012 y 2013, es necesario que la Comisión tome en cuenta las mejores prácticas internacionales en la construcción de modelos de costos, en el sentido de que dichos modelos deberán incorporar la mejor información disponible para el periodo en cuestión, lo cual implica el seguimiento de diferentes fases que van desde la recopilación de la información para la elección de la mejor tecnología disponible en ese momento, la construcción del propio modelo de costos que incluya los elementos de red, la topología de las redes, los precios de los activos, los pronósticos de los volúmenes, el costo de capital, entre otros. Además de que es necesaria la calibración de los resultados obtenidos con base en información contable.</w:t>
      </w:r>
    </w:p>
    <w:p w14:paraId="0AD32992"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En esta tesitura, se otorgará certidumbre jurídica y financiera a los concesionarios de redes públicas de telecomunicaciones, ya que éstos en la medida que cuenten con el precio de un insumo esencial como lo es la tarifa </w:t>
      </w:r>
      <w:r w:rsidRPr="00D631CA">
        <w:rPr>
          <w:rFonts w:ascii="ITC Avant Garde" w:eastAsia="Times New Roman" w:hAnsi="ITC Avant Garde" w:cs="Arial"/>
          <w:lang w:val="es-ES" w:eastAsia="es-MX"/>
        </w:rPr>
        <w:lastRenderedPageBreak/>
        <w:t xml:space="preserve">de interconexión, podrán desarrollar ofertas comerciales y planes tarifarios que beneficien al usuario final. </w:t>
      </w:r>
    </w:p>
    <w:p w14:paraId="168FF96B"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La aplicación del modelo de costos que se implemente para los años 2012 y 2013 permitirá a esta Comisión la determinación de las tarifas de interconexión en base a metodologías y cálculos económicos conocidos por los diversos operadores de telecomunicaciones y aplicables a los años de referencia, con lo cual se promoverá una mayor eficiencia en la interconexión de redes públicas de telecomunicaciones, ya que se establecerán tarifas competitivas que repercutan en un mayor bienestar social, en concordancia con el artículo 7 de la LFT.</w:t>
      </w:r>
    </w:p>
    <w:p w14:paraId="02A60CA7"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En consecuencia, el Pleno de la Comisión estima conveniente que las tarifas de interconexión solicitadas de 2012 y 2013, se determinen una vez que se cuente con el modelo de costos construido conforme a las mejores prácticas internaciones y en consistencia con el marco jurídico mexicano, de tal suerte que la estimación de las tarifas de interconexión en los términos antes expresados, en el futuro mediato permitirá el desarrollo eficiente de las telecomunicaciones y una sana competencia entre los concesionarios de redes públicas de telecomunicaciones.</w:t>
      </w:r>
    </w:p>
    <w:p w14:paraId="259A40DE" w14:textId="61047269"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En virtud de lo anterior, la Comisión deja a salvo los solicitantes para que, una vez que se cuente con el modelo de costos que permita calcular las tarifas de interconexión de los años 2012 y 2013, conforme lo dispuesto en el artículo 42 de la LFT soliciten la intervención de esta Comisión para que sean determinadas las tarifas de interconexión correspondientes.</w:t>
      </w:r>
    </w:p>
    <w:p w14:paraId="760AA89F" w14:textId="77777777" w:rsidR="00D631CA" w:rsidRPr="00D631CA" w:rsidRDefault="00382941" w:rsidP="00D631CA">
      <w:pPr>
        <w:spacing w:before="240"/>
        <w:ind w:left="567" w:right="900"/>
        <w:jc w:val="center"/>
        <w:rPr>
          <w:rFonts w:ascii="ITC Avant Garde" w:eastAsia="Times New Roman" w:hAnsi="ITC Avant Garde" w:cs="Arial"/>
          <w:b/>
          <w:lang w:val="es-ES" w:eastAsia="es-MX"/>
        </w:rPr>
      </w:pPr>
      <w:r w:rsidRPr="00D631CA">
        <w:rPr>
          <w:rFonts w:ascii="ITC Avant Garde" w:eastAsia="Times New Roman" w:hAnsi="ITC Avant Garde" w:cs="Arial"/>
          <w:b/>
          <w:lang w:val="es-ES" w:eastAsia="es-MX"/>
        </w:rPr>
        <w:t>Modelo de Costos Incrementales Totales de Largo Plazo.</w:t>
      </w:r>
    </w:p>
    <w:p w14:paraId="49C442E1" w14:textId="645A4039" w:rsidR="00382941"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La aplicación del Modelo CITLP para la determinación de tarifas de interconexión permite a la empresa recuperar no sólo los costos variables y fijos atribuibles al servicio de interconexión sino también las inversiones requeridas para la prestación de este servicio. Adicionalmente, el CITLP incluye un margen para recuperar parte de los costos comunes a los demás de servicios prestados por la organización que no pueden ser atribuidos de manera causal al servicio de interconexión.</w:t>
      </w:r>
    </w:p>
    <w:p w14:paraId="5031082C"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El CITLP es una metodología reconocida a nivel internacional para el cálculo de tarifas de interconexión y ha sido adoptada por la mayoría de los órganos reguladores. Las tarifas que resultan de esta metodología se consideran </w:t>
      </w:r>
      <w:r w:rsidRPr="00D631CA">
        <w:rPr>
          <w:rFonts w:ascii="ITC Avant Garde" w:eastAsia="Times New Roman" w:hAnsi="ITC Avant Garde" w:cs="Arial"/>
          <w:lang w:val="es-ES" w:eastAsia="es-MX"/>
        </w:rPr>
        <w:lastRenderedPageBreak/>
        <w:t xml:space="preserve">adecuadas ya que permiten a la empresa la recuperación eficiente de sus costos y al mismo tiempo envían las señales correctas al mercado en relación a la utilización de los recursos e inversiones necesarias para la provisión del servicio. </w:t>
      </w:r>
    </w:p>
    <w:p w14:paraId="745E7159"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Entre las ventajas de este enfoque se encuentran:</w:t>
      </w:r>
    </w:p>
    <w:p w14:paraId="42F9651D" w14:textId="041352DC" w:rsidR="00382941" w:rsidRPr="00D631CA" w:rsidRDefault="00382941" w:rsidP="00D631CA">
      <w:pPr>
        <w:numPr>
          <w:ilvl w:val="0"/>
          <w:numId w:val="5"/>
        </w:numPr>
        <w:spacing w:before="240"/>
        <w:ind w:left="567" w:right="900"/>
        <w:jc w:val="both"/>
        <w:rPr>
          <w:rFonts w:ascii="ITC Avant Garde" w:hAnsi="ITC Avant Garde" w:cs="Arial"/>
        </w:rPr>
      </w:pPr>
      <w:r w:rsidRPr="00D631CA">
        <w:rPr>
          <w:rFonts w:ascii="ITC Avant Garde" w:hAnsi="ITC Avant Garde" w:cs="Arial"/>
        </w:rPr>
        <w:t>El CITLP permite que los operadores recuperen sólo aquellos costos que son causados por el servicio de interconexión en cuestión.</w:t>
      </w:r>
    </w:p>
    <w:p w14:paraId="74A8DE47" w14:textId="77777777" w:rsidR="00382941" w:rsidRPr="00D631CA" w:rsidRDefault="00382941" w:rsidP="00D631CA">
      <w:pPr>
        <w:numPr>
          <w:ilvl w:val="0"/>
          <w:numId w:val="5"/>
        </w:numPr>
        <w:spacing w:before="240"/>
        <w:ind w:left="567" w:right="900"/>
        <w:jc w:val="both"/>
        <w:rPr>
          <w:rFonts w:ascii="ITC Avant Garde" w:hAnsi="ITC Avant Garde" w:cs="Arial"/>
        </w:rPr>
      </w:pPr>
      <w:r w:rsidRPr="00D631CA">
        <w:rPr>
          <w:rFonts w:ascii="ITC Avant Garde" w:hAnsi="ITC Avant Garde" w:cs="Arial"/>
        </w:rPr>
        <w:t>Bajo este enfoque de largo plazo, todos los costos son variables, aun los costos de capital, lo que permite su asignación a diferentes servicios o productos.</w:t>
      </w:r>
    </w:p>
    <w:p w14:paraId="42EAB1DD" w14:textId="77777777" w:rsidR="00D631CA" w:rsidRPr="00D631CA" w:rsidRDefault="00382941" w:rsidP="00D631CA">
      <w:pPr>
        <w:numPr>
          <w:ilvl w:val="0"/>
          <w:numId w:val="5"/>
        </w:numPr>
        <w:spacing w:before="240"/>
        <w:ind w:left="567" w:right="900"/>
        <w:jc w:val="both"/>
        <w:rPr>
          <w:rFonts w:ascii="ITC Avant Garde" w:hAnsi="ITC Avant Garde" w:cs="Arial"/>
        </w:rPr>
      </w:pPr>
      <w:r w:rsidRPr="00D631CA">
        <w:rPr>
          <w:rFonts w:ascii="ITC Avant Garde" w:hAnsi="ITC Avant Garde" w:cs="Arial"/>
        </w:rPr>
        <w:t>Bajo el enfoque del CITLP, se promueve una sana competencia entre los diferentes operadores de servicios de telecomunicaciones, uno de los objetivos de la LFT.</w:t>
      </w:r>
    </w:p>
    <w:p w14:paraId="2C80C30C" w14:textId="77777777" w:rsidR="00D631CA" w:rsidRPr="00D631CA" w:rsidRDefault="00382941" w:rsidP="00D631CA">
      <w:pPr>
        <w:spacing w:before="240"/>
        <w:ind w:left="567" w:right="90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Es preciso señalar que es conveniente que la tarifa de interconexión cubra los costos en que incurre un operador eficiente por terminar las llamadas, y a la vez incluya un retorno al capital razonable por prestar este servicio. De lo contrario se podría desincentivar la provisión de los servicios de interconexión. </w:t>
      </w:r>
      <w:r w:rsidRPr="00D631CA">
        <w:rPr>
          <w:rFonts w:ascii="ITC Avant Garde" w:eastAsia="Times New Roman" w:hAnsi="ITC Avant Garde" w:cs="Arial"/>
          <w:u w:val="single"/>
          <w:lang w:val="es-ES" w:eastAsia="es-MX"/>
        </w:rPr>
        <w:t>Es importante que los costos recuperados sean los de un operador eficiente, pues en caso contrario, se permitiría que la ineficiencia del operador se traslade a otros operadores y en última instancia, a los usuarios</w:t>
      </w:r>
      <w:r w:rsidRPr="00D631CA">
        <w:rPr>
          <w:rFonts w:ascii="ITC Avant Garde" w:eastAsia="Times New Roman" w:hAnsi="ITC Avant Garde" w:cs="Arial"/>
          <w:lang w:val="es-ES" w:eastAsia="es-MX"/>
        </w:rPr>
        <w:t>. Adicionalmente, lo anterior es consistente con el proceso de competencia que debe existir en el mercado, esto es, en un mercado competido, un operador ineficiente se ve obligado a ajustar su operación para ser eficiente o deberá salir del mercado. Por ende, el modelo utilizado para la determinación de la tarifa de interconexión está basado en los costos de un operador eficiente.” [Énfasis añadido].</w:t>
      </w:r>
    </w:p>
    <w:p w14:paraId="180CD6DE" w14:textId="77777777" w:rsidR="00D631CA" w:rsidRPr="00D631CA" w:rsidRDefault="00382941" w:rsidP="00D631CA">
      <w:pPr>
        <w:spacing w:before="240"/>
        <w:ind w:left="36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De lo anterior se desprende que la extinta Comisión en la Resolución impugnada estableció que al amparo de la Regla Novena Transitoria de las </w:t>
      </w:r>
      <w:proofErr w:type="spellStart"/>
      <w:r w:rsidRPr="00D631CA">
        <w:rPr>
          <w:rFonts w:ascii="ITC Avant Garde" w:eastAsia="Times New Roman" w:hAnsi="ITC Avant Garde" w:cs="Arial"/>
          <w:lang w:val="es-ES" w:eastAsia="es-MX"/>
        </w:rPr>
        <w:t>RdSL</w:t>
      </w:r>
      <w:proofErr w:type="spellEnd"/>
      <w:r w:rsidRPr="00D631CA">
        <w:rPr>
          <w:rFonts w:ascii="ITC Avant Garde" w:eastAsia="Times New Roman" w:hAnsi="ITC Avant Garde" w:cs="Arial"/>
          <w:lang w:val="es-ES" w:eastAsia="es-MX"/>
        </w:rPr>
        <w:t xml:space="preserve"> y la Regla 53 de las RSLD, a efecto de determinar la tarifa de interconexión aplicable a partir del 1° de enero de 2011, que no pudieron convenir las partes, debía considerar los costos incrementales de largo plazo más los costos comunes utilizando una metodología que esté reconocida internacionalmente.</w:t>
      </w:r>
    </w:p>
    <w:p w14:paraId="575E307D" w14:textId="77777777" w:rsidR="00D631CA" w:rsidRPr="00D631CA" w:rsidRDefault="00382941" w:rsidP="00D631CA">
      <w:pPr>
        <w:spacing w:before="240"/>
        <w:ind w:left="36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En este sentido, la extinta Comisión previó que en cumplimiento a lo establecido en el artículo 7 de la LFT, consideró que la manera más eficiente económicamente de determinar las tarifas de interconexión, lo constituye la aplicación de un Modelo de Costos Incrementales Totales de Largo Plazo (en lo sucesivo, el “Modelo CITLP”), </w:t>
      </w:r>
    </w:p>
    <w:p w14:paraId="1A8C7D58" w14:textId="77777777" w:rsidR="00D631CA" w:rsidRPr="00D631CA" w:rsidRDefault="00382941" w:rsidP="00D631CA">
      <w:pPr>
        <w:spacing w:before="240"/>
        <w:ind w:left="36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lastRenderedPageBreak/>
        <w:t>Asimismo, la extinta Comisión motivó debidamente la Resolución recurrida al señalar que la aplicación del Modelo CITLP para la determinación de tarifas de interconexión permite a la empresa recuperar no sólo los costos variables y fijos atribuibles al servicio de interconexión sino también las inversiones requeridas para la prestación de este servicio. Adicionalmente, el CITLP incluye un margen para recuperar parte de los costos comunes a los demás de servicios prestados por la organización que no pueden ser atribuidos de manera causal al servicio de interconexión.</w:t>
      </w:r>
    </w:p>
    <w:p w14:paraId="203B92AA" w14:textId="77777777" w:rsidR="00D631CA" w:rsidRPr="00D631CA" w:rsidRDefault="00382941" w:rsidP="00D631CA">
      <w:pPr>
        <w:spacing w:before="240"/>
        <w:ind w:left="36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De igual forma, la extinta Comisión expuso que el CITLP es una metodología reconocida a nivel internacional para el cálculo de tarifas de interconexión y ha sido adoptada por la mayoría de los órganos reguladores. Las tarifas que resultan de esta metodología se consideran adecuadas ya que permiten a la empresa la recuperación eficiente de sus costos y al mismo tiempo envían las señales correctas al mercado en relación a la utilización de los recursos e inversiones necesarias para la provisión del servicio. </w:t>
      </w:r>
    </w:p>
    <w:p w14:paraId="5C2E9394" w14:textId="77777777" w:rsidR="00D631CA" w:rsidRPr="00D631CA" w:rsidRDefault="00382941" w:rsidP="00D631CA">
      <w:pPr>
        <w:spacing w:before="240"/>
        <w:ind w:left="36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Entre las ventajas de este enfoque se encuentran:</w:t>
      </w:r>
    </w:p>
    <w:p w14:paraId="4FF9BA2E" w14:textId="2876447F" w:rsidR="00382941" w:rsidRPr="00D631CA" w:rsidRDefault="00382941" w:rsidP="00D631CA">
      <w:pPr>
        <w:numPr>
          <w:ilvl w:val="0"/>
          <w:numId w:val="5"/>
        </w:numPr>
        <w:spacing w:before="240"/>
        <w:jc w:val="both"/>
        <w:rPr>
          <w:rFonts w:ascii="ITC Avant Garde" w:hAnsi="ITC Avant Garde" w:cs="Arial"/>
        </w:rPr>
      </w:pPr>
      <w:r w:rsidRPr="00D631CA">
        <w:rPr>
          <w:rFonts w:ascii="ITC Avant Garde" w:hAnsi="ITC Avant Garde" w:cs="Arial"/>
        </w:rPr>
        <w:t>El CITLP permite que los operadores recuperen sólo aquellos costos que son causados por el servicio de interconexión en cuestión.</w:t>
      </w:r>
    </w:p>
    <w:p w14:paraId="3A6857BE" w14:textId="77777777" w:rsidR="00382941" w:rsidRPr="00D631CA" w:rsidRDefault="00382941" w:rsidP="00D631CA">
      <w:pPr>
        <w:numPr>
          <w:ilvl w:val="0"/>
          <w:numId w:val="5"/>
        </w:numPr>
        <w:spacing w:before="240"/>
        <w:jc w:val="both"/>
        <w:rPr>
          <w:rFonts w:ascii="ITC Avant Garde" w:hAnsi="ITC Avant Garde" w:cs="Arial"/>
        </w:rPr>
      </w:pPr>
      <w:r w:rsidRPr="00D631CA">
        <w:rPr>
          <w:rFonts w:ascii="ITC Avant Garde" w:hAnsi="ITC Avant Garde" w:cs="Arial"/>
        </w:rPr>
        <w:t>Bajo este enfoque de largo plazo, todos los costos son variables, aun los costos de capital, lo que permite su asignación a diferentes servicios o productos.</w:t>
      </w:r>
    </w:p>
    <w:p w14:paraId="19DAA3AA" w14:textId="77777777" w:rsidR="00D631CA" w:rsidRPr="00D631CA" w:rsidRDefault="00382941" w:rsidP="00D631CA">
      <w:pPr>
        <w:numPr>
          <w:ilvl w:val="0"/>
          <w:numId w:val="5"/>
        </w:numPr>
        <w:spacing w:before="240"/>
        <w:jc w:val="both"/>
        <w:rPr>
          <w:rFonts w:ascii="ITC Avant Garde" w:hAnsi="ITC Avant Garde" w:cs="Arial"/>
        </w:rPr>
      </w:pPr>
      <w:r w:rsidRPr="00D631CA">
        <w:rPr>
          <w:rFonts w:ascii="ITC Avant Garde" w:hAnsi="ITC Avant Garde" w:cs="Arial"/>
        </w:rPr>
        <w:t>Bajo el enfoque del CITLP, se promueve una sana competencia entre los diferentes operadores de servicios de telecomunicaciones, uno de los objetivos de la LFT.</w:t>
      </w:r>
    </w:p>
    <w:p w14:paraId="78D980FE" w14:textId="77777777" w:rsidR="00D631CA" w:rsidRPr="00D631CA" w:rsidRDefault="00382941" w:rsidP="00D631CA">
      <w:pPr>
        <w:spacing w:before="240"/>
        <w:ind w:left="357"/>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En consecuencia la Comisión fundó y motivó debidamente la Resolución recurrida en cuanto a utilizar el Modelo CITLP.</w:t>
      </w:r>
    </w:p>
    <w:p w14:paraId="04FB84F9" w14:textId="77777777" w:rsidR="00D631CA" w:rsidRPr="00D631CA" w:rsidRDefault="00382941" w:rsidP="00D631CA">
      <w:pPr>
        <w:numPr>
          <w:ilvl w:val="0"/>
          <w:numId w:val="3"/>
        </w:numPr>
        <w:spacing w:before="240"/>
        <w:ind w:left="284" w:hanging="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En lo que respecta a que la Comisión fue omisa en llevar a cabo la diversidad de estudios económicos y financieros a fin de determinar los diversos elementos que integran dicho modelo, a efecto de poder arribar a la determinación de tarifas que se adecuen a la industria especifica de que se trate, se considera que no le asiste la razón a la Recurrente, ya que en la propia Resolución recurrida establece los elementos que integran el Modelo de Costos de terminación móvil, utilizado por la extinta Comisión para determinar la tarifa de interconexión, como se desprende de la misma Resolución </w:t>
      </w:r>
      <w:r w:rsidRPr="00D631CA">
        <w:rPr>
          <w:rFonts w:ascii="ITC Avant Garde" w:hAnsi="ITC Avant Garde" w:cs="Arial"/>
        </w:rPr>
        <w:t>puesto que de foja 58 a foja 93 se realiza una descripción detallada del modelo de costos, mismo que en apego al principio de economía procesal a que se debe sujetar el procedimiento administrativo se tiene aquí por reproducido como si a la letra se insertarse.</w:t>
      </w:r>
    </w:p>
    <w:p w14:paraId="7BF09DB2" w14:textId="77777777" w:rsidR="00D631CA" w:rsidRPr="00D631CA" w:rsidRDefault="00382941" w:rsidP="00D631CA">
      <w:pPr>
        <w:spacing w:before="240"/>
        <w:ind w:left="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lastRenderedPageBreak/>
        <w:t>Por lo que resulta infundado el argumento de la Recurrente, toda vez que como ya quedó demostrado, la Comisión detalló todos los elementos que integran el modelo de costos en la Resolución recurrida.</w:t>
      </w:r>
    </w:p>
    <w:p w14:paraId="716FC8C7" w14:textId="77777777" w:rsidR="00D631CA" w:rsidRPr="00D631CA" w:rsidRDefault="00382941" w:rsidP="00D631CA">
      <w:pPr>
        <w:numPr>
          <w:ilvl w:val="0"/>
          <w:numId w:val="3"/>
        </w:numPr>
        <w:spacing w:before="240"/>
        <w:ind w:left="284" w:hanging="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El argumento de la Recurrente resulta inoperante ya que sólo señala que la Comisión confunde los costos directos e indirectos de una empresa al pretender aplicar el modelo de costos y que resulta desapegado de la realidad de la industria de las telecomunicaciones. Sin embargo, la Recurrente no explica en qué consiste dicha confusión, ni las razones por las cuales le causa afectación la supuesta confusión de los costos directos e indirectos. De ahí que se considere que el argumento de la Recurrente deviene de inoperante dado que no combate en qué le afecta la Resolución recurrida de manera específica, ya que sólo describe meras suposiciones aunado a que no demuestra y ni siquiera explica cuál es la supuesta confusión de la Comisión.</w:t>
      </w:r>
    </w:p>
    <w:p w14:paraId="2157EDB7" w14:textId="77777777" w:rsidR="00D631CA" w:rsidRPr="00D631CA" w:rsidRDefault="00382941" w:rsidP="00D631CA">
      <w:pPr>
        <w:numPr>
          <w:ilvl w:val="0"/>
          <w:numId w:val="3"/>
        </w:numPr>
        <w:spacing w:before="240"/>
        <w:ind w:left="284" w:hanging="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La Recurrente menciona que carece de todo sustento jurídico los razonamientos de la Comisión para sustentar que las tarifas por encima de los costos en que se incurre por la prestación del servicio de terminación de llamadas en las redes locales de la Recurrente, inhibe la sana competencia entre los operadores y no promueve un desarrollo eficiente de las telecomunicaciones. Al respecto, el argumento de la Recurrente es infundado, toda vez que las consideraciones de la extinta Comisión establecidas en la Resolución recurrida estuvieron debidamente fundadas y motivadas, como se desprende a fojas 52 a 55 de la Resolución recurrida, que prevén lo siguiente:</w:t>
      </w:r>
    </w:p>
    <w:p w14:paraId="5A9CE6F0" w14:textId="77777777" w:rsidR="00D631CA" w:rsidRPr="00D631CA" w:rsidRDefault="00382941" w:rsidP="00D631CA">
      <w:pPr>
        <w:spacing w:before="240"/>
        <w:ind w:left="567" w:right="851"/>
        <w:jc w:val="both"/>
        <w:rPr>
          <w:rFonts w:ascii="ITC Avant Garde" w:hAnsi="ITC Avant Garde" w:cs="Arial"/>
        </w:rPr>
      </w:pPr>
      <w:r w:rsidRPr="00D631CA">
        <w:rPr>
          <w:rFonts w:ascii="ITC Avant Garde" w:hAnsi="ITC Avant Garde" w:cs="Arial"/>
        </w:rPr>
        <w:t>“En este sentido, se considera que en un escenario donde priva la competencia en la prestación de todos los servicios de telecomunicaciones, es necesario establecer tarifas que estén basadas en costos, ya que esto constituye una política que es neutral para el desarrollo de la competencia, en la medida que no se distorsiona el crecimiento eficiente del sector, ya que todos los participantes del mercado acceden a un elemento básico como lo es la interconexión, sin que ninguno obtenga ventajas extraordinarias en la prestación de dicho servicio.</w:t>
      </w:r>
    </w:p>
    <w:p w14:paraId="535218BC" w14:textId="77777777" w:rsidR="00D631CA" w:rsidRPr="00D631CA" w:rsidRDefault="00382941" w:rsidP="00D631CA">
      <w:pPr>
        <w:spacing w:before="240"/>
        <w:ind w:left="567" w:right="851"/>
        <w:jc w:val="both"/>
        <w:rPr>
          <w:rFonts w:ascii="ITC Avant Garde" w:hAnsi="ITC Avant Garde" w:cs="Arial"/>
        </w:rPr>
      </w:pPr>
      <w:r w:rsidRPr="00D631CA">
        <w:rPr>
          <w:rFonts w:ascii="ITC Avant Garde" w:hAnsi="ITC Avant Garde" w:cs="Arial"/>
        </w:rPr>
        <w:t xml:space="preserve">En este tenor, para la determinación de las tarifas de interconexión relacionadas con la función de terminación de tráfico público conmutado en las redes públicas de telecomunicaciones de servicio local móvil de Grupo Telefónica, esta Comisión considera que los objetivos plasmados en el artículo 7 de la LFT establecen las bases para la fijación de las tarifas de interconexión con base a costos. Asimismo, las </w:t>
      </w:r>
      <w:proofErr w:type="spellStart"/>
      <w:r w:rsidRPr="00D631CA">
        <w:rPr>
          <w:rFonts w:ascii="ITC Avant Garde" w:hAnsi="ITC Avant Garde" w:cs="Arial"/>
        </w:rPr>
        <w:t>RdSL</w:t>
      </w:r>
      <w:proofErr w:type="spellEnd"/>
      <w:r w:rsidRPr="00D631CA">
        <w:rPr>
          <w:rFonts w:ascii="ITC Avant Garde" w:hAnsi="ITC Avant Garde" w:cs="Arial"/>
        </w:rPr>
        <w:t xml:space="preserve"> y las RSLD establecen claramente los lineamientos que deberá seguir la autoridad para el establecimiento de dichas tarifas de </w:t>
      </w:r>
      <w:r w:rsidRPr="00D631CA">
        <w:rPr>
          <w:rFonts w:ascii="ITC Avant Garde" w:hAnsi="ITC Avant Garde" w:cs="Arial"/>
        </w:rPr>
        <w:lastRenderedPageBreak/>
        <w:t>interconexión en caso de un desacuerdo de interconexión al amparo del artículo 42 de la LFT, esto es, se deberán establecer para todos los casos tarifas que permitan recuperar los CIPLPS y los costos comunes atribuibles a dicha función utilizando una metodología de costeo de acuerdo a bases internacionalmente reconocidas, la evolución de las referencias internacionales y el crecimiento y desarrollo de los mercados de telecomunicaciones en el país, de tal forma que se promueva una sana competencia entre los prestadores de servicio de telecomunicaciones, a efectos de que estos se presten con mejores precios, diversidad y calidad en beneficio de los usuarios.</w:t>
      </w:r>
    </w:p>
    <w:p w14:paraId="1CB6A49C" w14:textId="5054767A" w:rsidR="00382941" w:rsidRPr="00D631CA" w:rsidRDefault="00382941" w:rsidP="00D631CA">
      <w:pPr>
        <w:spacing w:before="240"/>
        <w:ind w:left="567" w:right="851"/>
        <w:jc w:val="both"/>
        <w:rPr>
          <w:rFonts w:ascii="ITC Avant Garde" w:hAnsi="ITC Avant Garde" w:cs="Arial"/>
        </w:rPr>
      </w:pPr>
      <w:r w:rsidRPr="00D631CA">
        <w:rPr>
          <w:rFonts w:ascii="ITC Avant Garde" w:hAnsi="ITC Avant Garde" w:cs="Arial"/>
        </w:rPr>
        <w:t>En este sentido, de la interpretación y aplicación de los artículos 7 y 41 de la LFT, se desprende que la Comisión deberá seguir la metodología indicada en el párrafo anterior.</w:t>
      </w:r>
    </w:p>
    <w:p w14:paraId="01239E35" w14:textId="77777777" w:rsidR="00D631CA" w:rsidRPr="00D631CA" w:rsidRDefault="00382941" w:rsidP="00D631CA">
      <w:pPr>
        <w:spacing w:before="240"/>
        <w:ind w:left="567" w:right="851"/>
        <w:jc w:val="both"/>
        <w:rPr>
          <w:rFonts w:ascii="ITC Avant Garde" w:hAnsi="ITC Avant Garde" w:cs="Arial"/>
        </w:rPr>
      </w:pPr>
      <w:r w:rsidRPr="00D631CA">
        <w:rPr>
          <w:rFonts w:ascii="ITC Avant Garde" w:hAnsi="ITC Avant Garde" w:cs="Arial"/>
        </w:rPr>
        <w:t>A tal efecto, el artículo 7 de la LFT establece lo siguiente:</w:t>
      </w:r>
    </w:p>
    <w:p w14:paraId="140AE035" w14:textId="77777777" w:rsidR="00D631CA" w:rsidRPr="00D631CA" w:rsidRDefault="00382941" w:rsidP="00D631CA">
      <w:pPr>
        <w:overflowPunct w:val="0"/>
        <w:autoSpaceDE w:val="0"/>
        <w:autoSpaceDN w:val="0"/>
        <w:adjustRightInd w:val="0"/>
        <w:spacing w:before="240"/>
        <w:ind w:left="567" w:right="851"/>
        <w:jc w:val="both"/>
        <w:textAlignment w:val="baseline"/>
        <w:rPr>
          <w:rFonts w:ascii="ITC Avant Garde" w:hAnsi="ITC Avant Garde" w:cs="Arial"/>
        </w:rPr>
      </w:pPr>
      <w:r w:rsidRPr="00D631CA">
        <w:rPr>
          <w:rFonts w:ascii="ITC Avant Garde" w:hAnsi="ITC Avant Garde" w:cs="Arial"/>
        </w:rPr>
        <w:t>‘Artículo 7. La presente Ley tiene como objetivos promover un desarrollo eficiente de las telecomunicaciones; ejercer la rectoría del Estado en la materia, para garantizar la soberanía nacional; fomentar una sana competencia entre los diferentes prestadores de servicios de telecomunicaciones a fin de que éstos se presten con mejores precios, diversidad y calidad en beneficio de los usuarios, y promover una adecuada cobertura social.</w:t>
      </w:r>
    </w:p>
    <w:p w14:paraId="64915B1F" w14:textId="77777777" w:rsidR="00D631CA" w:rsidRPr="00D631CA" w:rsidRDefault="00382941" w:rsidP="00D631CA">
      <w:pPr>
        <w:overflowPunct w:val="0"/>
        <w:autoSpaceDE w:val="0"/>
        <w:autoSpaceDN w:val="0"/>
        <w:adjustRightInd w:val="0"/>
        <w:spacing w:before="240"/>
        <w:ind w:left="567" w:right="851"/>
        <w:jc w:val="both"/>
        <w:textAlignment w:val="baseline"/>
        <w:rPr>
          <w:rFonts w:ascii="ITC Avant Garde" w:hAnsi="ITC Avant Garde" w:cs="Arial"/>
        </w:rPr>
      </w:pPr>
      <w:r w:rsidRPr="00D631CA">
        <w:rPr>
          <w:rFonts w:ascii="ITC Avant Garde" w:hAnsi="ITC Avant Garde" w:cs="Arial"/>
        </w:rPr>
        <w:t>Para el logro de estos objetivos, corresponde a la Secretaría, sin perjuicio de las que se confieran a otras dependencias del Ejecutivo Federal, el ejercicio de las atribuciones siguientes:</w:t>
      </w:r>
    </w:p>
    <w:p w14:paraId="39A2E14F" w14:textId="77777777" w:rsidR="00D631CA" w:rsidRPr="00D631CA" w:rsidRDefault="00382941" w:rsidP="00D631CA">
      <w:pPr>
        <w:tabs>
          <w:tab w:val="left" w:pos="720"/>
        </w:tabs>
        <w:spacing w:before="240"/>
        <w:ind w:left="567" w:right="851"/>
        <w:jc w:val="both"/>
        <w:rPr>
          <w:rFonts w:ascii="ITC Avant Garde" w:eastAsia="Times New Roman" w:hAnsi="ITC Avant Garde" w:cs="Arial"/>
          <w:lang w:eastAsia="es-MX"/>
        </w:rPr>
      </w:pPr>
      <w:r w:rsidRPr="00D631CA">
        <w:rPr>
          <w:rFonts w:ascii="ITC Avant Garde" w:eastAsia="Times New Roman" w:hAnsi="ITC Avant Garde" w:cs="Arial"/>
          <w:lang w:eastAsia="es-MX"/>
        </w:rPr>
        <w:t>[…]</w:t>
      </w:r>
      <w:r w:rsidRPr="00D631CA">
        <w:rPr>
          <w:rFonts w:ascii="ITC Avant Garde" w:eastAsia="Times New Roman" w:hAnsi="ITC Avant Garde" w:cs="Arial"/>
          <w:b/>
          <w:lang w:eastAsia="es-MX"/>
        </w:rPr>
        <w:t>;</w:t>
      </w:r>
    </w:p>
    <w:p w14:paraId="7A7BB85B" w14:textId="77777777" w:rsidR="00D631CA" w:rsidRPr="00D631CA" w:rsidRDefault="00382941" w:rsidP="00D631CA">
      <w:pPr>
        <w:tabs>
          <w:tab w:val="left" w:pos="720"/>
        </w:tabs>
        <w:spacing w:before="240"/>
        <w:ind w:left="567" w:right="851"/>
        <w:jc w:val="both"/>
        <w:rPr>
          <w:rFonts w:ascii="ITC Avant Garde" w:eastAsia="Times New Roman" w:hAnsi="ITC Avant Garde" w:cs="Arial"/>
          <w:lang w:eastAsia="es-MX"/>
        </w:rPr>
      </w:pPr>
      <w:r w:rsidRPr="00D631CA">
        <w:rPr>
          <w:rFonts w:ascii="ITC Avant Garde" w:eastAsia="Times New Roman" w:hAnsi="ITC Avant Garde" w:cs="Arial"/>
          <w:b/>
          <w:lang w:eastAsia="es-MX"/>
        </w:rPr>
        <w:t>II.</w:t>
      </w:r>
      <w:r w:rsidRPr="00D631CA">
        <w:rPr>
          <w:rFonts w:ascii="ITC Avant Garde" w:eastAsia="Times New Roman" w:hAnsi="ITC Avant Garde" w:cs="Arial"/>
          <w:lang w:eastAsia="es-MX"/>
        </w:rPr>
        <w:tab/>
        <w:t>Promover y vigilar la eficiente interconexión de los diferentes equipos y redes de telecomunicación;</w:t>
      </w:r>
    </w:p>
    <w:p w14:paraId="3316BDE6" w14:textId="77777777" w:rsidR="00D631CA" w:rsidRPr="00D631CA" w:rsidRDefault="00382941" w:rsidP="00D631CA">
      <w:pPr>
        <w:tabs>
          <w:tab w:val="left" w:pos="720"/>
        </w:tabs>
        <w:spacing w:before="240"/>
        <w:ind w:left="567" w:right="851"/>
        <w:jc w:val="both"/>
        <w:rPr>
          <w:rFonts w:ascii="ITC Avant Garde" w:eastAsia="Times New Roman" w:hAnsi="ITC Avant Garde" w:cs="Arial"/>
          <w:lang w:eastAsia="es-MX"/>
        </w:rPr>
      </w:pPr>
      <w:r w:rsidRPr="00D631CA">
        <w:rPr>
          <w:rFonts w:ascii="ITC Avant Garde" w:eastAsia="Times New Roman" w:hAnsi="ITC Avant Garde" w:cs="Arial"/>
          <w:lang w:eastAsia="es-MX"/>
        </w:rPr>
        <w:t>[...]</w:t>
      </w:r>
    </w:p>
    <w:p w14:paraId="66323A5A" w14:textId="77777777" w:rsidR="00D631CA" w:rsidRPr="00D631CA" w:rsidRDefault="00382941" w:rsidP="00D631CA">
      <w:pPr>
        <w:tabs>
          <w:tab w:val="left" w:pos="720"/>
        </w:tabs>
        <w:spacing w:before="240"/>
        <w:ind w:left="567" w:right="851"/>
        <w:jc w:val="both"/>
        <w:rPr>
          <w:rFonts w:ascii="ITC Avant Garde" w:eastAsia="Times New Roman" w:hAnsi="ITC Avant Garde" w:cs="Arial"/>
          <w:lang w:eastAsia="es-MX"/>
        </w:rPr>
      </w:pPr>
      <w:r w:rsidRPr="00D631CA">
        <w:rPr>
          <w:rFonts w:ascii="ITC Avant Garde" w:eastAsia="Times New Roman" w:hAnsi="ITC Avant Garde" w:cs="Arial"/>
          <w:b/>
          <w:lang w:eastAsia="es-MX"/>
        </w:rPr>
        <w:t>XII.</w:t>
      </w:r>
      <w:r w:rsidRPr="00D631CA">
        <w:rPr>
          <w:rFonts w:ascii="ITC Avant Garde" w:eastAsia="Times New Roman" w:hAnsi="ITC Avant Garde" w:cs="Arial"/>
          <w:lang w:eastAsia="es-MX"/>
        </w:rPr>
        <w:tab/>
        <w:t>Interpretar esta Ley para efectos administrativos, y</w:t>
      </w:r>
    </w:p>
    <w:p w14:paraId="75B5160F" w14:textId="77777777" w:rsidR="00D631CA" w:rsidRPr="00D631CA" w:rsidRDefault="00382941" w:rsidP="00D631CA">
      <w:pPr>
        <w:tabs>
          <w:tab w:val="left" w:pos="720"/>
        </w:tabs>
        <w:spacing w:before="240"/>
        <w:ind w:left="567" w:right="851"/>
        <w:jc w:val="both"/>
        <w:rPr>
          <w:rFonts w:ascii="ITC Avant Garde" w:eastAsia="Times New Roman" w:hAnsi="ITC Avant Garde" w:cs="Arial"/>
          <w:lang w:eastAsia="es-MX"/>
        </w:rPr>
      </w:pPr>
      <w:r w:rsidRPr="00D631CA">
        <w:rPr>
          <w:rFonts w:ascii="ITC Avant Garde" w:eastAsia="Times New Roman" w:hAnsi="ITC Avant Garde" w:cs="Arial"/>
          <w:b/>
          <w:lang w:eastAsia="es-MX"/>
        </w:rPr>
        <w:t>XIII.</w:t>
      </w:r>
      <w:r w:rsidRPr="00D631CA">
        <w:rPr>
          <w:rFonts w:ascii="ITC Avant Garde" w:eastAsia="Times New Roman" w:hAnsi="ITC Avant Garde" w:cs="Arial"/>
          <w:lang w:eastAsia="es-MX"/>
        </w:rPr>
        <w:tab/>
        <w:t>Las demás que esta Ley y otros ordenamientos legales le confieran en la materia.”</w:t>
      </w:r>
    </w:p>
    <w:p w14:paraId="36C9E032" w14:textId="77777777" w:rsidR="00D631CA" w:rsidRPr="00D631CA" w:rsidRDefault="00382941" w:rsidP="00D631CA">
      <w:pPr>
        <w:spacing w:before="240"/>
        <w:ind w:left="567" w:right="851"/>
        <w:jc w:val="both"/>
        <w:rPr>
          <w:rFonts w:ascii="ITC Avant Garde" w:hAnsi="ITC Avant Garde" w:cs="Arial"/>
        </w:rPr>
      </w:pPr>
      <w:r w:rsidRPr="00D631CA">
        <w:rPr>
          <w:rFonts w:ascii="ITC Avant Garde" w:hAnsi="ITC Avant Garde" w:cs="Arial"/>
        </w:rPr>
        <w:t>Asimismo, el artículo 41 de la LFT establece lo siguiente:</w:t>
      </w:r>
    </w:p>
    <w:p w14:paraId="23DDC17F" w14:textId="77777777" w:rsidR="00D631CA" w:rsidRPr="00D631CA" w:rsidRDefault="00382941" w:rsidP="00D631CA">
      <w:pPr>
        <w:overflowPunct w:val="0"/>
        <w:autoSpaceDE w:val="0"/>
        <w:autoSpaceDN w:val="0"/>
        <w:adjustRightInd w:val="0"/>
        <w:spacing w:before="240"/>
        <w:ind w:left="567" w:right="851"/>
        <w:jc w:val="both"/>
        <w:textAlignment w:val="baseline"/>
        <w:rPr>
          <w:rFonts w:ascii="ITC Avant Garde" w:hAnsi="ITC Avant Garde" w:cs="Arial"/>
        </w:rPr>
      </w:pPr>
      <w:r w:rsidRPr="00D631CA">
        <w:rPr>
          <w:rFonts w:ascii="ITC Avant Garde" w:hAnsi="ITC Avant Garde" w:cs="Arial"/>
        </w:rPr>
        <w:lastRenderedPageBreak/>
        <w:t>‘Artículo 41. Los concesionarios de redes públicas de telecomunicaciones deberán adoptar diseños de arquitectura abierta de red para permitir la interconexión e interoperabilidad de sus redes. A tal efecto, la Secretaría elaborará y administrará los planes técnicos fundamentales de numeración, conmutación, señalización, transmisión, tarifación y sincronización, entre otros, a los que deberán sujetarse los concesionarios de redes públicas de telecomunicaciones. Dichos planes deberán considerar los intereses de los usuarios y de los concesionarios y tendrán los siguientes objetivos:</w:t>
      </w:r>
    </w:p>
    <w:p w14:paraId="7BBC093D" w14:textId="79AAADE2" w:rsidR="00382941" w:rsidRPr="00D631CA" w:rsidRDefault="00382941" w:rsidP="00D631CA">
      <w:pPr>
        <w:tabs>
          <w:tab w:val="left" w:pos="720"/>
          <w:tab w:val="left" w:pos="851"/>
        </w:tabs>
        <w:overflowPunct w:val="0"/>
        <w:autoSpaceDE w:val="0"/>
        <w:autoSpaceDN w:val="0"/>
        <w:adjustRightInd w:val="0"/>
        <w:spacing w:before="240"/>
        <w:ind w:left="567" w:right="851"/>
        <w:jc w:val="both"/>
        <w:textAlignment w:val="baseline"/>
        <w:rPr>
          <w:rFonts w:ascii="ITC Avant Garde" w:hAnsi="ITC Avant Garde" w:cs="Arial"/>
        </w:rPr>
      </w:pPr>
      <w:r w:rsidRPr="00D631CA">
        <w:rPr>
          <w:rFonts w:ascii="ITC Avant Garde" w:hAnsi="ITC Avant Garde" w:cs="Arial"/>
          <w:b/>
        </w:rPr>
        <w:t>I.</w:t>
      </w:r>
      <w:r w:rsidRPr="00D631CA">
        <w:rPr>
          <w:rFonts w:ascii="ITC Avant Garde" w:hAnsi="ITC Avant Garde" w:cs="Arial"/>
        </w:rPr>
        <w:tab/>
        <w:t>Permitir un amplio desarrollo de nuevos concesionarios y servicios de telecomunicaciones;</w:t>
      </w:r>
    </w:p>
    <w:p w14:paraId="0DDB301F" w14:textId="77777777" w:rsidR="00D631CA" w:rsidRPr="00D631CA" w:rsidRDefault="00382941" w:rsidP="00D631CA">
      <w:pPr>
        <w:tabs>
          <w:tab w:val="left" w:pos="720"/>
          <w:tab w:val="left" w:pos="851"/>
        </w:tabs>
        <w:overflowPunct w:val="0"/>
        <w:autoSpaceDE w:val="0"/>
        <w:autoSpaceDN w:val="0"/>
        <w:adjustRightInd w:val="0"/>
        <w:spacing w:before="240"/>
        <w:ind w:left="567" w:right="851"/>
        <w:jc w:val="both"/>
        <w:textAlignment w:val="baseline"/>
        <w:rPr>
          <w:rFonts w:ascii="ITC Avant Garde" w:hAnsi="ITC Avant Garde" w:cs="Arial"/>
        </w:rPr>
      </w:pPr>
      <w:r w:rsidRPr="00D631CA">
        <w:rPr>
          <w:rFonts w:ascii="ITC Avant Garde" w:hAnsi="ITC Avant Garde" w:cs="Arial"/>
          <w:b/>
        </w:rPr>
        <w:t>II.</w:t>
      </w:r>
      <w:r w:rsidRPr="00D631CA">
        <w:rPr>
          <w:rFonts w:ascii="ITC Avant Garde" w:hAnsi="ITC Avant Garde" w:cs="Arial"/>
        </w:rPr>
        <w:tab/>
        <w:t>Dar un trato no discriminatorio a los concesionarios, y</w:t>
      </w:r>
    </w:p>
    <w:p w14:paraId="4E25F801" w14:textId="0D54EB7F" w:rsidR="00382941" w:rsidRPr="00D631CA" w:rsidRDefault="00382941" w:rsidP="00D631CA">
      <w:pPr>
        <w:tabs>
          <w:tab w:val="left" w:pos="720"/>
          <w:tab w:val="left" w:pos="851"/>
        </w:tabs>
        <w:overflowPunct w:val="0"/>
        <w:autoSpaceDE w:val="0"/>
        <w:autoSpaceDN w:val="0"/>
        <w:adjustRightInd w:val="0"/>
        <w:spacing w:before="240"/>
        <w:ind w:left="567" w:right="851"/>
        <w:jc w:val="both"/>
        <w:textAlignment w:val="baseline"/>
        <w:rPr>
          <w:rFonts w:ascii="ITC Avant Garde" w:hAnsi="ITC Avant Garde" w:cs="Arial"/>
        </w:rPr>
      </w:pPr>
      <w:r w:rsidRPr="00D631CA">
        <w:rPr>
          <w:rFonts w:ascii="ITC Avant Garde" w:hAnsi="ITC Avant Garde" w:cs="Arial"/>
          <w:b/>
        </w:rPr>
        <w:t>III.</w:t>
      </w:r>
      <w:r w:rsidRPr="00D631CA">
        <w:rPr>
          <w:rFonts w:ascii="ITC Avant Garde" w:hAnsi="ITC Avant Garde" w:cs="Arial"/>
        </w:rPr>
        <w:tab/>
        <w:t>Fomentar una sana competencia entre concesionarios.’</w:t>
      </w:r>
    </w:p>
    <w:p w14:paraId="069611C4" w14:textId="77777777" w:rsidR="00D631CA" w:rsidRPr="00D631CA" w:rsidRDefault="00382941" w:rsidP="00D631CA">
      <w:pPr>
        <w:spacing w:before="240"/>
        <w:ind w:left="567" w:right="851"/>
        <w:jc w:val="both"/>
        <w:rPr>
          <w:rFonts w:ascii="ITC Avant Garde" w:hAnsi="ITC Avant Garde" w:cs="Arial"/>
        </w:rPr>
      </w:pPr>
      <w:r w:rsidRPr="00D631CA">
        <w:rPr>
          <w:rFonts w:ascii="ITC Avant Garde" w:hAnsi="ITC Avant Garde" w:cs="Arial"/>
        </w:rPr>
        <w:t>Cabe reiterar que no obstante que los objetivos contenidos en las fracciones del artículo 41 de la LFT se refieren a la emisión de planes fundamentales, dichos planes se encuentran íntimamente ligados con la interconexión pues facilitan la implementación de la misma. En tal virtud, dichos principios se hacen extensivos como principios interpretadores para la determinación de condiciones de interconexión no convenidas por los concesionarios.</w:t>
      </w:r>
    </w:p>
    <w:p w14:paraId="605BA6C6" w14:textId="77777777" w:rsidR="00D631CA" w:rsidRPr="00D631CA" w:rsidRDefault="00382941" w:rsidP="00D631CA">
      <w:pPr>
        <w:spacing w:before="240"/>
        <w:ind w:left="567" w:right="851"/>
        <w:jc w:val="both"/>
        <w:rPr>
          <w:rFonts w:ascii="ITC Avant Garde" w:hAnsi="ITC Avant Garde" w:cs="Arial"/>
        </w:rPr>
      </w:pPr>
      <w:r w:rsidRPr="00D631CA">
        <w:rPr>
          <w:rFonts w:ascii="ITC Avant Garde" w:hAnsi="ITC Avant Garde" w:cs="Arial"/>
        </w:rPr>
        <w:t xml:space="preserve">Según se desprende de los preceptos arriba citados, el desarrollo eficiente de las telecomunicaciones y el fomento de una sana competencia entre los prestadores de servicios de telecomunicaciones, son dos principios esenciales, entre otros, que deben regir el actuar administrativo de la Comisión. </w:t>
      </w:r>
    </w:p>
    <w:p w14:paraId="77AC9DE7" w14:textId="77777777" w:rsidR="00D631CA" w:rsidRPr="00D631CA" w:rsidRDefault="00382941" w:rsidP="00D631CA">
      <w:pPr>
        <w:spacing w:before="240"/>
        <w:ind w:left="567" w:right="851"/>
        <w:jc w:val="both"/>
        <w:rPr>
          <w:rFonts w:ascii="ITC Avant Garde" w:hAnsi="ITC Avant Garde" w:cs="Arial"/>
        </w:rPr>
      </w:pPr>
      <w:r w:rsidRPr="00D631CA">
        <w:rPr>
          <w:rFonts w:ascii="ITC Avant Garde" w:hAnsi="ITC Avant Garde" w:cs="Arial"/>
        </w:rPr>
        <w:t>Como se desprende de los artículos 7 fracciones II y III, 9-A fracción I y 41 de la LFT, así como de la fracción II, del artículo 9 del Reglamento Interior de la Comisión, esta última está obligada a promover el desarrollo eficiente de las telecomunicaciones fomentando una sana competencia entre los prestadores de servicios de telecomunicaciones, para que dichos servicios se presten con mejores precios, diversidad y calidad en beneficio de todos los que los usamos. La Comisión debe, como órgano regulador técnico, en términos de la fracción II del artículo 7° citado, promover y vigilar la eficiente interconexión de los diferentes equipos y redes de telecomunicación y para tal efecto puede, en términos de la fracción III del precepto citado, expedir las disposiciones administrativas para cumplir tal encomienda, ya sea vía acto administrativo de carácter particular o general, en términos del artículo 4° de la LFPA.</w:t>
      </w:r>
    </w:p>
    <w:p w14:paraId="17059938" w14:textId="77777777" w:rsidR="00D631CA" w:rsidRPr="00D631CA" w:rsidRDefault="00382941" w:rsidP="00D631CA">
      <w:pPr>
        <w:spacing w:before="240"/>
        <w:ind w:left="567" w:right="851"/>
        <w:jc w:val="both"/>
        <w:rPr>
          <w:rFonts w:ascii="ITC Avant Garde" w:hAnsi="ITC Avant Garde" w:cs="Arial"/>
        </w:rPr>
      </w:pPr>
      <w:r w:rsidRPr="00D631CA">
        <w:rPr>
          <w:rFonts w:ascii="ITC Avant Garde" w:hAnsi="ITC Avant Garde" w:cs="Arial"/>
        </w:rPr>
        <w:lastRenderedPageBreak/>
        <w:t xml:space="preserve">Adicionalmente, la Regla Novena Transitoria de las </w:t>
      </w:r>
      <w:proofErr w:type="spellStart"/>
      <w:r w:rsidRPr="00D631CA">
        <w:rPr>
          <w:rFonts w:ascii="ITC Avant Garde" w:hAnsi="ITC Avant Garde" w:cs="Arial"/>
        </w:rPr>
        <w:t>RdSL</w:t>
      </w:r>
      <w:proofErr w:type="spellEnd"/>
      <w:r w:rsidRPr="00D631CA">
        <w:rPr>
          <w:rFonts w:ascii="ITC Avant Garde" w:hAnsi="ITC Avant Garde" w:cs="Arial"/>
        </w:rPr>
        <w:t>, prevé lo siguiente:</w:t>
      </w:r>
    </w:p>
    <w:p w14:paraId="2DA77D42" w14:textId="77777777" w:rsidR="00D631CA" w:rsidRPr="00D631CA" w:rsidRDefault="00382941" w:rsidP="00D631CA">
      <w:pPr>
        <w:overflowPunct w:val="0"/>
        <w:autoSpaceDE w:val="0"/>
        <w:autoSpaceDN w:val="0"/>
        <w:adjustRightInd w:val="0"/>
        <w:spacing w:before="240"/>
        <w:ind w:left="567" w:right="851"/>
        <w:jc w:val="both"/>
        <w:textAlignment w:val="baseline"/>
        <w:rPr>
          <w:rFonts w:ascii="ITC Avant Garde" w:hAnsi="ITC Avant Garde" w:cs="Arial"/>
        </w:rPr>
      </w:pPr>
      <w:r w:rsidRPr="00D631CA">
        <w:rPr>
          <w:rFonts w:ascii="ITC Avant Garde" w:hAnsi="ITC Avant Garde" w:cs="Arial"/>
          <w:b/>
        </w:rPr>
        <w:t xml:space="preserve">‘NOVENA. </w:t>
      </w:r>
      <w:r w:rsidRPr="00D631CA">
        <w:rPr>
          <w:rFonts w:ascii="ITC Avant Garde" w:hAnsi="ITC Avant Garde" w:cs="Arial"/>
        </w:rPr>
        <w:t>En caso de que las partes no logren acordar dentro del término establecido por la Ley las condiciones de interconexión entre sus redes, incluyendo aquellas relativas a las tarifas por las diferentes funciones de interconexión que han sido establecidas por las presentes Reglas, la Comisión resolverá las condiciones que no hayan podido convenirse.</w:t>
      </w:r>
    </w:p>
    <w:p w14:paraId="1AD80DB7" w14:textId="3740025D" w:rsidR="00D631CA" w:rsidRPr="00D631CA" w:rsidRDefault="00382941" w:rsidP="00D631CA">
      <w:pPr>
        <w:spacing w:before="240"/>
        <w:ind w:left="567" w:right="851"/>
        <w:jc w:val="both"/>
        <w:rPr>
          <w:rFonts w:ascii="ITC Avant Garde" w:hAnsi="ITC Avant Garde" w:cs="Arial"/>
        </w:rPr>
      </w:pPr>
      <w:r w:rsidRPr="00D631CA">
        <w:rPr>
          <w:rFonts w:ascii="ITC Avant Garde" w:hAnsi="ITC Avant Garde" w:cs="Arial"/>
        </w:rPr>
        <w:t>En tal caso y tratándose de tarifas por llevar a cabo la función de terminación conmutada entre redes autorizadas para prestar el servicio local fijo, la Comisión resolverá, después de analizar las posiciones y elementos aportados por las partes, sobre el establecimiento de tarifas que permitan recuperar el costo incremental promedio de largo plazo y los costos comunes atribuibles a dicha función que se determinen utilizando bases internacionalmente reconocidas, de tal forma que se promueva una sana competencia entre los prestadores del servicio local, a efecto de que éste se preste con mejores precios, diversidad y calidad en beneficio de los usuarios.’</w:t>
      </w:r>
    </w:p>
    <w:p w14:paraId="356922E0" w14:textId="77777777" w:rsidR="00D631CA" w:rsidRPr="00D631CA" w:rsidRDefault="00382941" w:rsidP="00D631CA">
      <w:pPr>
        <w:spacing w:before="240"/>
        <w:ind w:left="567" w:right="851"/>
        <w:jc w:val="both"/>
        <w:rPr>
          <w:rFonts w:ascii="ITC Avant Garde" w:hAnsi="ITC Avant Garde" w:cs="Arial"/>
        </w:rPr>
      </w:pPr>
      <w:r w:rsidRPr="00D631CA">
        <w:rPr>
          <w:rFonts w:ascii="ITC Avant Garde" w:hAnsi="ITC Avant Garde" w:cs="Arial"/>
        </w:rPr>
        <w:t>De igual forma, la Regla 53 de las RSLD, dispone que:</w:t>
      </w:r>
    </w:p>
    <w:p w14:paraId="496B6CCF" w14:textId="77777777" w:rsidR="00D631CA" w:rsidRPr="00D631CA" w:rsidRDefault="00382941" w:rsidP="00D631CA">
      <w:pPr>
        <w:overflowPunct w:val="0"/>
        <w:autoSpaceDE w:val="0"/>
        <w:autoSpaceDN w:val="0"/>
        <w:adjustRightInd w:val="0"/>
        <w:spacing w:before="240"/>
        <w:ind w:left="567" w:right="851"/>
        <w:jc w:val="both"/>
        <w:textAlignment w:val="baseline"/>
        <w:rPr>
          <w:rFonts w:ascii="ITC Avant Garde" w:hAnsi="ITC Avant Garde" w:cs="Arial"/>
        </w:rPr>
      </w:pPr>
      <w:r w:rsidRPr="00D631CA">
        <w:rPr>
          <w:rFonts w:ascii="ITC Avant Garde" w:hAnsi="ITC Avant Garde" w:cs="Arial"/>
        </w:rPr>
        <w:t>‘Regla 53.</w:t>
      </w:r>
      <w:r w:rsidRPr="00D631CA">
        <w:rPr>
          <w:rFonts w:ascii="ITC Avant Garde" w:hAnsi="ITC Avant Garde" w:cs="Arial"/>
          <w:b/>
        </w:rPr>
        <w:t xml:space="preserve"> </w:t>
      </w:r>
      <w:r w:rsidRPr="00D631CA">
        <w:rPr>
          <w:rFonts w:ascii="ITC Avant Garde" w:hAnsi="ITC Avant Garde" w:cs="Arial"/>
        </w:rPr>
        <w:t>En caso de que las partes no logren acordar dentro del término establecido por la Ley las condiciones de interconexión entre sus redes, incluyendo aquellas relativas a las tarifas por las diferentes funciones de interconexión que sean necesarias para la implantación de la modalidad “El que llama paga nacional”, la Comisión resolverá en términos del artículo 42 de la Ley las condiciones que no hayan podido convenirse.</w:t>
      </w:r>
    </w:p>
    <w:p w14:paraId="05AA9A9E" w14:textId="77777777" w:rsidR="00D631CA" w:rsidRPr="00D631CA" w:rsidRDefault="00382941" w:rsidP="00D631CA">
      <w:pPr>
        <w:overflowPunct w:val="0"/>
        <w:autoSpaceDE w:val="0"/>
        <w:autoSpaceDN w:val="0"/>
        <w:adjustRightInd w:val="0"/>
        <w:spacing w:before="240"/>
        <w:ind w:left="567" w:right="851"/>
        <w:jc w:val="both"/>
        <w:textAlignment w:val="baseline"/>
        <w:rPr>
          <w:rFonts w:ascii="ITC Avant Garde" w:hAnsi="ITC Avant Garde" w:cs="Arial"/>
        </w:rPr>
      </w:pPr>
      <w:r w:rsidRPr="00D631CA">
        <w:rPr>
          <w:rFonts w:ascii="ITC Avant Garde" w:hAnsi="ITC Avant Garde" w:cs="Arial"/>
        </w:rPr>
        <w:t>En tal caso y tratándose de tarifas relacionadas a la función de terminación de tráfico público conmutado en las redes autorizadas para prestar el servicio local móvil, la Comisión resolverá, después de analizar las posiciones y elementos aportados por las partes, sobre el establecimiento de tarifas que permitan recuperar el costo incremental promedio de largo plazo y los costos comunes atribuibles a dicha función que se determinen utilizando una metodología de costeo de redes de acuerdo a bases internacionalmente reconocidas, la evolución de las referencias internacionales y el crecimiento y desarrollo de los mercados de telecomunicaciones en el país, de tal forma que se promueva una sana competencia entre los prestadores de servicios de telecomunicaciones, a efecto de que éstos se presten con mejores precios, diversidad y calidad en beneficio de los usuarios.’</w:t>
      </w:r>
    </w:p>
    <w:p w14:paraId="319FC9A6" w14:textId="393A1E56" w:rsidR="00382941" w:rsidRPr="00D631CA" w:rsidRDefault="00382941" w:rsidP="00D631CA">
      <w:pPr>
        <w:spacing w:before="240"/>
        <w:ind w:left="567" w:right="851"/>
        <w:jc w:val="both"/>
        <w:rPr>
          <w:rFonts w:ascii="ITC Avant Garde" w:hAnsi="ITC Avant Garde" w:cs="Arial"/>
        </w:rPr>
      </w:pPr>
      <w:r w:rsidRPr="00D631CA">
        <w:rPr>
          <w:rFonts w:ascii="ITC Avant Garde" w:hAnsi="ITC Avant Garde" w:cs="Arial"/>
        </w:rPr>
        <w:lastRenderedPageBreak/>
        <w:t xml:space="preserve">Al amparo de la Regla Novena Transitoria de las </w:t>
      </w:r>
      <w:proofErr w:type="spellStart"/>
      <w:r w:rsidRPr="00D631CA">
        <w:rPr>
          <w:rFonts w:ascii="ITC Avant Garde" w:hAnsi="ITC Avant Garde" w:cs="Arial"/>
        </w:rPr>
        <w:t>RdSL</w:t>
      </w:r>
      <w:proofErr w:type="spellEnd"/>
      <w:r w:rsidRPr="00D631CA">
        <w:rPr>
          <w:rFonts w:ascii="ITC Avant Garde" w:hAnsi="ITC Avant Garde" w:cs="Arial"/>
        </w:rPr>
        <w:t xml:space="preserve"> y la Regla 53 de las RSLD, esta Comisión a efecto de determinar la tarifa de interconexión aplicable a partir del 1° de enero de 2011, que no pudieron convenir la Parte </w:t>
      </w:r>
      <w:r w:rsidR="00C67299" w:rsidRPr="00D631CA">
        <w:rPr>
          <w:rFonts w:ascii="ITC Avant Garde" w:hAnsi="ITC Avant Garde" w:cs="Arial"/>
        </w:rPr>
        <w:t>Tercero perjudicada</w:t>
      </w:r>
      <w:r w:rsidRPr="00D631CA">
        <w:rPr>
          <w:rFonts w:ascii="ITC Avant Garde" w:hAnsi="ITC Avant Garde" w:cs="Arial"/>
        </w:rPr>
        <w:t xml:space="preserve"> y Grupo Telefónica, deberá considerar los costos incrementales de largo plazo más los costos comunes utilizando una metodología que esté reconocida internacionalmente.</w:t>
      </w:r>
    </w:p>
    <w:p w14:paraId="2BCB5BB8" w14:textId="77777777" w:rsidR="00D631CA" w:rsidRPr="00D631CA" w:rsidRDefault="00382941" w:rsidP="00D631CA">
      <w:pPr>
        <w:spacing w:before="240"/>
        <w:ind w:left="567" w:right="851"/>
        <w:jc w:val="both"/>
        <w:rPr>
          <w:rFonts w:ascii="ITC Avant Garde" w:hAnsi="ITC Avant Garde" w:cs="Arial"/>
        </w:rPr>
      </w:pPr>
      <w:r w:rsidRPr="00D631CA">
        <w:rPr>
          <w:rFonts w:ascii="ITC Avant Garde" w:hAnsi="ITC Avant Garde" w:cs="Arial"/>
        </w:rPr>
        <w:t>Sin perjuicio de que las autoridades administrativas deben resolver conforme a estricto derecho, el artículo 88 del CFPC, de aplicación supletoria, establece que la autoridad podrá invocar hechos notorios.</w:t>
      </w:r>
    </w:p>
    <w:p w14:paraId="6061D525" w14:textId="77777777" w:rsidR="00D631CA" w:rsidRPr="00D631CA" w:rsidRDefault="00382941" w:rsidP="00D631CA">
      <w:pPr>
        <w:spacing w:before="240"/>
        <w:ind w:left="567" w:right="851"/>
        <w:jc w:val="both"/>
        <w:rPr>
          <w:rFonts w:ascii="ITC Avant Garde" w:hAnsi="ITC Avant Garde" w:cs="Arial"/>
        </w:rPr>
      </w:pPr>
      <w:r w:rsidRPr="00D631CA">
        <w:rPr>
          <w:rFonts w:ascii="ITC Avant Garde" w:hAnsi="ITC Avant Garde" w:cs="Arial"/>
        </w:rPr>
        <w:t>Es un hecho notorio respecto a la industria de las telecomunicaciones que en las situaciones en donde la competencia es ineficaz, los precios basados en costos son considerados como recomendables para alcanzar los objetivos de eficiencia y desarrollo del mercado. El enfoque de tarifas basadas en costos ha sido reconocido por la Organización Mundial de Comercio (en lo sucesivo, la “OMC”), para el caso de proveedores principales, por el Banco Mundial y por la Unión Internacional de Telecomunicaciones como el método más eficiente desde el punto de vista económico para fijar las tarifas de interconexión y, conjuntamente con la no discriminación y la transparencia como los principios básicos que deben regir en cualquier acuerdo de interconexión</w:t>
      </w:r>
      <w:r w:rsidR="008A44E4" w:rsidRPr="00D631CA">
        <w:rPr>
          <w:rFonts w:ascii="ITC Avant Garde" w:hAnsi="ITC Avant Garde" w:cs="Arial"/>
        </w:rPr>
        <w:t>.</w:t>
      </w:r>
    </w:p>
    <w:p w14:paraId="7FBE33D7" w14:textId="77777777" w:rsidR="00D631CA" w:rsidRPr="00D631CA" w:rsidRDefault="00382941" w:rsidP="00D631CA">
      <w:pPr>
        <w:spacing w:before="240"/>
        <w:ind w:left="567" w:right="851"/>
        <w:jc w:val="both"/>
        <w:rPr>
          <w:rFonts w:ascii="ITC Avant Garde" w:hAnsi="ITC Avant Garde" w:cs="Arial"/>
        </w:rPr>
      </w:pPr>
      <w:r w:rsidRPr="00D631CA">
        <w:rPr>
          <w:rFonts w:ascii="ITC Avant Garde" w:hAnsi="ITC Avant Garde" w:cs="Arial"/>
        </w:rPr>
        <w:t>Es importante señalar que las tarifas de interconexión por encima de costos constituyen una barrera de entrada a nuevas empresas como consecuencia del alto precio de la interconexión. Esto se debe a que una tarifa de interconexión superior a costos impacta desproporcionalmente los costos de operadores con redes de menor tamaño, como las redes de los operadores entrantes. El porcentaje de participación de llamadas fuera de la red de un operador pequeño es mayor que la de un operador grande, lo que hace que los costos promedios que enfrenta el operador pequeño sean mayores para proveer servicios a sus clientes, pues estos hacen un mayor número de llamadas fuera de la red y por ende hacen un mayor uso de los servicios de interconexión de otros operadores. Así, las tarifas de interconexión por encima de costos incrementan los costos promedio que enfrentan los operadores nuevos y de menor tamaño, que empiezan a ampliar su base de usuarios. Si las tarifas de interconexión están basadas en costos, no existe este efecto diferenciado sobre redes grandes y pequeñas.”</w:t>
      </w:r>
    </w:p>
    <w:p w14:paraId="74409D8C" w14:textId="77777777" w:rsidR="00D631CA" w:rsidRPr="00D631CA" w:rsidRDefault="00382941" w:rsidP="00D631CA">
      <w:pPr>
        <w:spacing w:before="240"/>
        <w:ind w:left="284"/>
        <w:contextualSpacing/>
        <w:jc w:val="both"/>
        <w:rPr>
          <w:rFonts w:ascii="ITC Avant Garde" w:hAnsi="ITC Avant Garde" w:cs="Arial"/>
        </w:rPr>
      </w:pPr>
      <w:r w:rsidRPr="00D631CA">
        <w:rPr>
          <w:rFonts w:ascii="ITC Avant Garde" w:hAnsi="ITC Avant Garde" w:cs="Arial"/>
        </w:rPr>
        <w:t xml:space="preserve">De lo anterior, se desprende que las consideraciones de la Comisión respecto a que las tarifas de interconexión por encima de costos constituyen una barrera de entrada a nuevas </w:t>
      </w:r>
      <w:r w:rsidRPr="00D631CA">
        <w:rPr>
          <w:rFonts w:ascii="ITC Avant Garde" w:hAnsi="ITC Avant Garde" w:cs="Arial"/>
        </w:rPr>
        <w:lastRenderedPageBreak/>
        <w:t xml:space="preserve">empresas como consecuencia del alto precio de interconexión, están debidamente fundadas y motivadas, ya que contrario a lo que señala la Recurrente el hecho de que las tarifas de interconexión estén basadas en costos constituye una política que es neutral para el desarrollo de la competencia, en la medida que no se distorsiona el crecimiento eficiente del sector, ya que todos los participantes del mercado acceden a un elemento básico como lo es la interconexión, sin que ninguno obtenga ventajas extraordinarias en la prestación de dicho servicio. </w:t>
      </w:r>
    </w:p>
    <w:p w14:paraId="20813DCC" w14:textId="77777777" w:rsidR="00D631CA" w:rsidRPr="00D631CA" w:rsidRDefault="00382941" w:rsidP="00D631CA">
      <w:pPr>
        <w:numPr>
          <w:ilvl w:val="0"/>
          <w:numId w:val="3"/>
        </w:numPr>
        <w:spacing w:before="240"/>
        <w:ind w:left="284" w:hanging="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El argumento de la Recurrente resulta infundado, toda vez que la tarifa de interconexión es un insumo que se requiere dentro de la estructura de precios al usuario final de los servicios de telecomunicaciones, por lo cual una reducción en la tarifa de interconexión repercutirá evidentemente en una disminución de los precios finales al público en general.</w:t>
      </w:r>
    </w:p>
    <w:p w14:paraId="5D8C0942" w14:textId="77777777" w:rsidR="00D631CA" w:rsidRPr="00D631CA" w:rsidRDefault="00382941" w:rsidP="00D631CA">
      <w:pPr>
        <w:spacing w:before="240"/>
        <w:ind w:left="284" w:hanging="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Asimismo, la Comisión en la foja 57 de la Resolución recurrida consideró que:</w:t>
      </w:r>
    </w:p>
    <w:p w14:paraId="633C6DBF" w14:textId="77777777" w:rsidR="00D631CA" w:rsidRPr="00D631CA" w:rsidRDefault="00382941" w:rsidP="00D631CA">
      <w:pPr>
        <w:spacing w:before="240"/>
        <w:ind w:left="567" w:right="900"/>
        <w:jc w:val="both"/>
        <w:rPr>
          <w:rFonts w:ascii="ITC Avant Garde" w:eastAsia="Batang" w:hAnsi="ITC Avant Garde" w:cs="Arial"/>
          <w:iCs/>
        </w:rPr>
      </w:pPr>
      <w:r w:rsidRPr="00D631CA">
        <w:rPr>
          <w:rFonts w:ascii="ITC Avant Garde" w:eastAsia="Batang" w:hAnsi="ITC Avant Garde" w:cs="Arial"/>
          <w:iCs/>
        </w:rPr>
        <w:t>“Las resoluciones de tarifas de interconexión orientadas a costos eliminan las distorsiones tarifarias en el mercado de servicios móviles, y permite:</w:t>
      </w:r>
    </w:p>
    <w:p w14:paraId="6D76B9B0" w14:textId="604C1E8A" w:rsidR="00382941" w:rsidRPr="00D631CA" w:rsidRDefault="00382941" w:rsidP="00D631CA">
      <w:pPr>
        <w:numPr>
          <w:ilvl w:val="0"/>
          <w:numId w:val="7"/>
        </w:numPr>
        <w:spacing w:before="240"/>
        <w:ind w:left="567" w:right="900"/>
        <w:jc w:val="both"/>
        <w:rPr>
          <w:rFonts w:ascii="ITC Avant Garde" w:eastAsia="Batang" w:hAnsi="ITC Avant Garde" w:cs="Arial"/>
          <w:iCs/>
        </w:rPr>
      </w:pPr>
      <w:r w:rsidRPr="00D631CA">
        <w:rPr>
          <w:rFonts w:ascii="ITC Avant Garde" w:eastAsia="Batang" w:hAnsi="ITC Avant Garde" w:cs="Arial"/>
          <w:iCs/>
        </w:rPr>
        <w:t>Manejar actuales condiciones de competencia, a través de una estructura de precios relativos finales más adecuada;</w:t>
      </w:r>
    </w:p>
    <w:p w14:paraId="7C6B7CB4" w14:textId="77777777" w:rsidR="00D631CA" w:rsidRPr="00D631CA" w:rsidRDefault="00382941" w:rsidP="00D631CA">
      <w:pPr>
        <w:numPr>
          <w:ilvl w:val="0"/>
          <w:numId w:val="7"/>
        </w:numPr>
        <w:spacing w:before="240"/>
        <w:ind w:left="567" w:right="900"/>
        <w:jc w:val="both"/>
        <w:rPr>
          <w:rFonts w:ascii="ITC Avant Garde" w:eastAsia="Batang" w:hAnsi="ITC Avant Garde" w:cs="Arial"/>
          <w:iCs/>
        </w:rPr>
      </w:pPr>
      <w:r w:rsidRPr="00D631CA">
        <w:rPr>
          <w:rFonts w:ascii="ITC Avant Garde" w:eastAsia="Batang" w:hAnsi="ITC Avant Garde" w:cs="Arial"/>
          <w:iCs/>
        </w:rPr>
        <w:t>Reduce costos de llamadas originadas en redes fijas.”</w:t>
      </w:r>
    </w:p>
    <w:p w14:paraId="74A6BFF3" w14:textId="77777777" w:rsidR="00D631CA" w:rsidRPr="00D631CA" w:rsidRDefault="00382941" w:rsidP="00D631CA">
      <w:pPr>
        <w:spacing w:before="240"/>
        <w:ind w:left="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En este sentido, la Comisión fundó y motivó debidamente la Resolución recurrida, ya que contrario a lo manifestado por la Recurrente, la Comisión estableció las consideraciones respecto a que los usuarios finales obtienen beneficios de una reducción en las tarifas de interconexión, ya que si éstas se orientan a costos eliminan distorsiones tarifarias en el mercado de servicio móviles, y a su vez permite que los operadores compitan en condiciones equitativas al tener acceso a un insumo como es la tarifa de interconexión misma que se encuentra orientada a costos. Asimismo, se reducen los costos de llamadas originadas en redes fijas, lo anterior resulta lógico ya que una reducción en el precio del insumo como es la tarifa de interconexión repercute en el precio de los servicios finales que contratan los usuarios.</w:t>
      </w:r>
    </w:p>
    <w:p w14:paraId="01793EFE" w14:textId="77777777" w:rsidR="00D631CA" w:rsidRPr="00D631CA" w:rsidRDefault="00382941" w:rsidP="00D631CA">
      <w:pPr>
        <w:numPr>
          <w:ilvl w:val="0"/>
          <w:numId w:val="3"/>
        </w:numPr>
        <w:spacing w:before="240"/>
        <w:ind w:left="284" w:hanging="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En lo que respecta a que la Comisión motiva el modelo estableciendo proyecciones que determinan tarifas hacia el futuro, y resulta que con el mismo la Comisión determina tarifas de periodos pasados, en específico para enero del 2011, se considera que el argumento de la Recurrente es inoperante, ya que como se desprende de la propia Resolución recurrida dentro de las condiciones no convenidas entre las partes fueron las siguientes:</w:t>
      </w:r>
    </w:p>
    <w:p w14:paraId="73F12BFF" w14:textId="77777777" w:rsidR="00D631CA" w:rsidRPr="00D631CA" w:rsidRDefault="00382941" w:rsidP="00D631CA">
      <w:pPr>
        <w:numPr>
          <w:ilvl w:val="0"/>
          <w:numId w:val="8"/>
        </w:numPr>
        <w:spacing w:before="240"/>
        <w:ind w:left="567" w:hanging="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lastRenderedPageBreak/>
        <w:t>Tarifa de interconexión por terminación móvil para las llamadas bajo la modalidad “el que llama paga” para los años 2008 al 2011.</w:t>
      </w:r>
    </w:p>
    <w:p w14:paraId="3EDBB24A" w14:textId="77777777" w:rsidR="00D631CA" w:rsidRPr="00D631CA" w:rsidRDefault="00382941" w:rsidP="00D631CA">
      <w:pPr>
        <w:numPr>
          <w:ilvl w:val="0"/>
          <w:numId w:val="8"/>
        </w:numPr>
        <w:spacing w:before="240"/>
        <w:ind w:left="567" w:hanging="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Las contraprestaciones que se pagaran a Grupo Telefónica por la tarifa indicada en el numeral anterior, se determinarán con base en la duración real de las llamadas sin redondeo.</w:t>
      </w:r>
    </w:p>
    <w:p w14:paraId="58F3B8F1" w14:textId="77777777" w:rsidR="00D631CA" w:rsidRPr="00D631CA" w:rsidRDefault="00382941" w:rsidP="00D631CA">
      <w:pPr>
        <w:spacing w:before="240"/>
        <w:ind w:left="284"/>
        <w:jc w:val="both"/>
        <w:rPr>
          <w:rFonts w:ascii="ITC Avant Garde" w:eastAsia="Times New Roman" w:hAnsi="ITC Avant Garde" w:cs="Arial"/>
          <w:lang w:val="es-ES"/>
        </w:rPr>
      </w:pPr>
      <w:r w:rsidRPr="00D631CA">
        <w:rPr>
          <w:rFonts w:ascii="ITC Avant Garde" w:eastAsia="Times New Roman" w:hAnsi="ITC Avant Garde" w:cs="Arial"/>
          <w:lang w:val="es-ES" w:eastAsia="es-MX"/>
        </w:rPr>
        <w:t xml:space="preserve">De lo anterior se desprende que se plantearon como </w:t>
      </w:r>
      <w:r w:rsidRPr="00D631CA">
        <w:rPr>
          <w:rFonts w:ascii="ITC Avant Garde" w:eastAsia="Times New Roman" w:hAnsi="ITC Avant Garde" w:cs="Arial"/>
          <w:lang w:val="es-ES"/>
        </w:rPr>
        <w:t xml:space="preserve">condiciones de interconexión no convenidas con la Recurrente el nivel tarifario y el periodo de aplicación de las tarifas el cual corresponde de los años 2011 al 2013. </w:t>
      </w:r>
    </w:p>
    <w:p w14:paraId="507ACD36" w14:textId="77777777" w:rsidR="00D631CA" w:rsidRPr="00D631CA" w:rsidRDefault="00382941" w:rsidP="00D631CA">
      <w:pPr>
        <w:spacing w:before="240"/>
        <w:ind w:left="284"/>
        <w:jc w:val="both"/>
        <w:rPr>
          <w:rFonts w:ascii="ITC Avant Garde" w:eastAsia="Times New Roman" w:hAnsi="ITC Avant Garde" w:cs="Arial"/>
          <w:lang w:val="es-ES" w:eastAsia="es-MX"/>
        </w:rPr>
      </w:pPr>
      <w:r w:rsidRPr="00D631CA">
        <w:rPr>
          <w:rFonts w:ascii="ITC Avant Garde" w:eastAsia="Times New Roman" w:hAnsi="ITC Avant Garde" w:cs="Arial"/>
          <w:lang w:val="es-ES"/>
        </w:rPr>
        <w:t>Por lo anterior, en términos de los artículos 9-A fracción X y 42 de la LFT, la extinta Comisión determinó el nivel de las tarifas de interconexión y su periodo de aplicación, ya que se trataron de condiciones de interconexión no convenidas entre las partes.</w:t>
      </w:r>
    </w:p>
    <w:p w14:paraId="5D715793" w14:textId="77777777" w:rsidR="00D631CA" w:rsidRPr="00D631CA" w:rsidRDefault="00382941" w:rsidP="00D631CA">
      <w:pPr>
        <w:spacing w:before="240"/>
        <w:ind w:left="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Por tanto, independientemente que la extinta Comisión haya resuelto el desacuerdo de interconexión en el mes de julio de 2011, no significa que a partir de ahí debe de cobrarse la tarifa de interconexión, ya que el desacuerdo versa sobre el periodo comprendido desde el mes de enero de 2011.</w:t>
      </w:r>
    </w:p>
    <w:p w14:paraId="1BC16145" w14:textId="77777777" w:rsidR="00D631CA" w:rsidRPr="00D631CA" w:rsidRDefault="00382941" w:rsidP="00D631CA">
      <w:pPr>
        <w:numPr>
          <w:ilvl w:val="0"/>
          <w:numId w:val="3"/>
        </w:numPr>
        <w:spacing w:before="240"/>
        <w:ind w:left="284" w:hanging="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En lo que respecta a lo señalado por la Recurrente en el sentido se consideró a un operador eficiente representativo, es decir, que el modelo no tiene fundamento en los costos de la Recurrente, sino en lo que incurre dicho operador “ficticio” por lo que no guarda proporción alguna con las características de los operadores existentes en el mercado mexicano, se considera que es improcedente el argumento de la Recurrente debido a que la propia SCJN señaló que la Comisión Federal de Telecomunicaciones (ahora Instituto Federal de Telecomunicaciones) es el órgano regulador creado por el Estado Mexicano con ciertas características que por su naturaleza y por sus funciones goza de un amplio margen de discrecionalidad en el ejercicio de sus facultades sin que por ello pueda ejercerlas de manera arbitraria, sino que debe fundar y motivar razonablemente sus decisiones pues su actuación está sujeta a los requisitos previstos en el artículo 16 constitucional.</w:t>
      </w:r>
    </w:p>
    <w:p w14:paraId="503165D8" w14:textId="77777777" w:rsidR="00D631CA" w:rsidRPr="00D631CA" w:rsidRDefault="00382941" w:rsidP="00D631CA">
      <w:pPr>
        <w:spacing w:before="240"/>
        <w:ind w:left="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En tal virtud y en el ámbito de sus facultades discrecionales estaba plenamente facultada para utilizar un operador eficiente; para lo cual únicamente debía fundar y motivar debidamente su decisión. De este modo, la Resolución recurrida establece la debida motivación para que se considere a un operador eficiente o representativo, como se desprende de fojas 59 y 60 de la Resolución recurrida:</w:t>
      </w:r>
    </w:p>
    <w:p w14:paraId="7A322D3D"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lastRenderedPageBreak/>
        <w:t xml:space="preserve">“Es preciso señalar que es conveniente que la tarifa de interconexión cubra los costos en que incurre un operador eficiente por terminar las llamadas, y a la vez incluya un retorno al capital razonable por prestar este servicio. De lo contrario se podría desincentivar la provisión de los servicios de interconexión. Es importante que los costos recuperados sean los de un operador eficiente, pues en caso contrario, se permitiría que la ineficiencia del operador se traslade a otros operadores y en última instancia, a los usuarios. Adicionalmente, lo anterior es consistente con el proceso de competencia que debe existir en el mercado, esto es, en un mercado competido, un operador ineficiente se ve obligado a ajustar su operación para ser eficiente o deberá salir del mercado. Por ende, el modelo utilizado para la determinación de la tarifa de interconexión está basado en los costos de un operador eficiente. </w:t>
      </w:r>
    </w:p>
    <w:p w14:paraId="4A6CD27F"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Para el diseño de la red del operador eficiente, el modelo de costos utiliza un modelo ascendente (</w:t>
      </w:r>
      <w:proofErr w:type="spellStart"/>
      <w:r w:rsidRPr="00D631CA">
        <w:rPr>
          <w:rFonts w:ascii="ITC Avant Garde" w:hAnsi="ITC Avant Garde" w:cs="Arial"/>
        </w:rPr>
        <w:t>Bottom</w:t>
      </w:r>
      <w:proofErr w:type="spellEnd"/>
      <w:r w:rsidRPr="00D631CA">
        <w:rPr>
          <w:rFonts w:ascii="ITC Avant Garde" w:hAnsi="ITC Avant Garde" w:cs="Arial"/>
        </w:rPr>
        <w:t>-Up) o de tipo ingenieril que se construye a partir de información de demanda esperada en términos de usuarios y tráfico, a partir de los cuales se realiza el diseño de la  red que presta diversos servicios de telecomunicaciones, incluyendo los de interconexión. Los costos de esta red, los cuales son valorados a precios de mercado o costos corrientes, incluyen los costos de capital (inversiones) y los gastos de operación y mantenimiento que son asignados a cada uno de los servicios que se considera que provee la red.</w:t>
      </w:r>
    </w:p>
    <w:p w14:paraId="14F95518"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La razón por la que los costos de la red son valorados a costos corrientes es porque en un mercado competitivo, las empresas son compensadas exclusivamente por estos costos, y no así por sus costos históricos. Es importante mencionar que en un mercado en competencia, cuando una empresa fija sus precios por encima de los costos actuales o corrientes, otra empresa podría entrar al mercado ofreciendo menores precios, lo que obligaría a la primera a bajar sus precios para evitar así perder clientes. Es decir, el mercado actuaría como mecanismo para alinear el precio de los servicios a sus costos corrientes. Es así que para impulsar el desarrollo del sector el regulador debe propiciar la eficiencia </w:t>
      </w:r>
      <w:proofErr w:type="spellStart"/>
      <w:r w:rsidRPr="00D631CA">
        <w:rPr>
          <w:rFonts w:ascii="ITC Avant Garde" w:hAnsi="ITC Avant Garde" w:cs="Arial"/>
        </w:rPr>
        <w:t>asignativa</w:t>
      </w:r>
      <w:proofErr w:type="spellEnd"/>
      <w:r w:rsidRPr="00D631CA">
        <w:rPr>
          <w:rFonts w:ascii="ITC Avant Garde" w:hAnsi="ITC Avant Garde" w:cs="Arial"/>
        </w:rPr>
        <w:t>, en el sentido de que se establezcan los precios lo más cercanamente posible a los observados en un mercado competitivo, ya que es generalmente aceptado que estos precios son los que maximizan el bienestar social.</w:t>
      </w:r>
      <w:r w:rsidRPr="00D631CA">
        <w:rPr>
          <w:rFonts w:ascii="ITC Avant Garde" w:hAnsi="ITC Avant Garde" w:cs="Arial"/>
          <w:vertAlign w:val="superscript"/>
        </w:rPr>
        <w:footnoteReference w:id="2"/>
      </w:r>
    </w:p>
    <w:p w14:paraId="6C6C5DBF" w14:textId="0D7D24CC"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lastRenderedPageBreak/>
        <w:t>De igual forma, en un mercado competitivo las empresas son compensadas únicamente por los costos en que incurriría una empresa eficiente. Por ejemplo, si una empresa incurriera en ineficiencias, como en exceso de capacidad de red o en mantener una tecnología obsoleta, una empresa eficiente podría entrar al mercado ofreciendo un menor precio, por lo que en un mercado competitivo las empresas tienen incentivos a minimizar sus costos y de este modo evitar perder participación de mercado. Al mismo tiempo, la entrada del nuevo competidor obligaría a la empresa establecida a eliminar sus ineficiencias para mantener la viabilidad de su operación hacia adelante. En este contexto, el regulador debe propiciar que se consiga la eficiencia productiva en el sentido de otorgar los suficientes incentivos para la minimización de costos.</w:t>
      </w:r>
      <w:r w:rsidRPr="00D631CA">
        <w:rPr>
          <w:rFonts w:ascii="ITC Avant Garde" w:hAnsi="ITC Avant Garde" w:cs="Arial"/>
          <w:vertAlign w:val="superscript"/>
        </w:rPr>
        <w:footnoteReference w:id="3"/>
      </w:r>
      <w:r w:rsidRPr="00D631CA">
        <w:rPr>
          <w:rFonts w:ascii="ITC Avant Garde" w:hAnsi="ITC Avant Garde" w:cs="Arial"/>
          <w:vertAlign w:val="superscript"/>
        </w:rPr>
        <w:t>.</w:t>
      </w:r>
    </w:p>
    <w:p w14:paraId="2BD3B804"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La determinación de las tarifas de interconexión con base en los costos corrientes de una empresa eficiente es particularmente relevante en el sector telecomunicaciones en razón de que los precios de los insumos muestran una tendencia decreciente a través del tiempo, lo cual es reflejo del constante avance tecnológico que vive el sector.</w:t>
      </w:r>
      <w:r w:rsidRPr="00D631CA">
        <w:rPr>
          <w:rFonts w:ascii="ITC Avant Garde" w:hAnsi="ITC Avant Garde" w:cs="Arial"/>
          <w:b/>
        </w:rPr>
        <w:t xml:space="preserve"> </w:t>
      </w:r>
      <w:r w:rsidRPr="00D631CA">
        <w:rPr>
          <w:rFonts w:ascii="ITC Avant Garde" w:hAnsi="ITC Avant Garde" w:cs="Arial"/>
        </w:rPr>
        <w:t xml:space="preserve">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 </w:t>
      </w:r>
    </w:p>
    <w:p w14:paraId="6E3FEC7E" w14:textId="77777777" w:rsidR="00D631CA" w:rsidRPr="00D631CA" w:rsidRDefault="00382941" w:rsidP="00D631CA">
      <w:pPr>
        <w:spacing w:before="240"/>
        <w:ind w:left="567" w:right="900"/>
        <w:jc w:val="right"/>
        <w:rPr>
          <w:rFonts w:ascii="ITC Avant Garde" w:hAnsi="ITC Avant Garde" w:cs="Arial"/>
        </w:rPr>
      </w:pPr>
      <w:r w:rsidRPr="00D631CA">
        <w:rPr>
          <w:rFonts w:ascii="ITC Avant Garde" w:hAnsi="ITC Avant Garde" w:cs="Arial"/>
        </w:rPr>
        <w:t>[Énfasis añadido].</w:t>
      </w:r>
    </w:p>
    <w:p w14:paraId="057F9E3F" w14:textId="77777777" w:rsidR="00D631CA" w:rsidRPr="00D631CA" w:rsidRDefault="00382941" w:rsidP="00D631CA">
      <w:pPr>
        <w:spacing w:before="240"/>
        <w:ind w:left="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En este sentido, de considerar el argumento de la Recurrente en cuanto a considerar sus propios costos, daría lugar a prácticas que reducirían la transparencia en lo que respecta a los costos y precios de cada uno de los operadores que se encuentran en el mercado, se incrementa el riesgo y la complejidad en asegurar que se apliquen principios idénticos y consistentes en el caso de que la metodología se aplicara a modelos individuales para cada operador móvil, se incrementa y dificulta cumplir con el principio de eficiencia, razón por la cual considerando las mejores prácticas internacionales, se modela un operador representativo, donde las referencias internacionales muestran que para determinar el valor de las tarifas de interconexión se hace con base en un operador representativo y no con base en costear la red de cada uno de los operadores que participan en el mercado.</w:t>
      </w:r>
    </w:p>
    <w:p w14:paraId="24995781" w14:textId="77777777" w:rsidR="00D631CA" w:rsidRPr="00D631CA" w:rsidRDefault="00382941" w:rsidP="00D631CA">
      <w:pPr>
        <w:spacing w:before="240"/>
        <w:ind w:left="284"/>
        <w:jc w:val="both"/>
        <w:rPr>
          <w:rFonts w:ascii="ITC Avant Garde" w:hAnsi="ITC Avant Garde" w:cs="Arial"/>
        </w:rPr>
      </w:pPr>
      <w:r w:rsidRPr="00D631CA">
        <w:rPr>
          <w:rFonts w:ascii="ITC Avant Garde" w:hAnsi="ITC Avant Garde" w:cs="Arial"/>
        </w:rPr>
        <w:lastRenderedPageBreak/>
        <w:t xml:space="preserve">Cabe señalar que un creciente número de países están adoptando modelos de costos tipo </w:t>
      </w:r>
      <w:proofErr w:type="spellStart"/>
      <w:r w:rsidRPr="00D631CA">
        <w:rPr>
          <w:rFonts w:ascii="ITC Avant Garde" w:hAnsi="ITC Avant Garde" w:cs="Arial"/>
        </w:rPr>
        <w:t>Bottom</w:t>
      </w:r>
      <w:proofErr w:type="spellEnd"/>
      <w:r w:rsidRPr="00D631CA">
        <w:rPr>
          <w:rFonts w:ascii="ITC Avant Garde" w:hAnsi="ITC Avant Garde" w:cs="Arial"/>
        </w:rPr>
        <w:t>-Up.</w:t>
      </w:r>
      <w:r w:rsidRPr="00D631CA">
        <w:rPr>
          <w:rFonts w:ascii="ITC Avant Garde" w:hAnsi="ITC Avant Garde" w:cs="Arial"/>
          <w:vertAlign w:val="superscript"/>
        </w:rPr>
        <w:footnoteReference w:id="4"/>
      </w:r>
      <w:r w:rsidRPr="00D631CA">
        <w:rPr>
          <w:rFonts w:ascii="ITC Avant Garde" w:hAnsi="ITC Avant Garde" w:cs="Arial"/>
        </w:rPr>
        <w:t xml:space="preserve"> Entre los países que ya utilizan este tipo de modelos se encuentran Corea, Israel, Australia, Nueva Zelanda, EE.UU., Colombia, Perú, Ecuador, Chile, Francia, Holanda, Hungría, Rumania, Eslovenia y Grecia. En tanto que los países que ya decidieron moverse de modelos híbridos a modelos </w:t>
      </w:r>
      <w:proofErr w:type="spellStart"/>
      <w:r w:rsidRPr="00D631CA">
        <w:rPr>
          <w:rFonts w:ascii="ITC Avant Garde" w:hAnsi="ITC Avant Garde" w:cs="Arial"/>
        </w:rPr>
        <w:t>Bottom</w:t>
      </w:r>
      <w:proofErr w:type="spellEnd"/>
      <w:r w:rsidRPr="00D631CA">
        <w:rPr>
          <w:rFonts w:ascii="ITC Avant Garde" w:hAnsi="ITC Avant Garde" w:cs="Arial"/>
        </w:rPr>
        <w:t>-Up son Bélgica, Dinamarca, Noruega, Suecia, Reino Unido, Bulgaria y República Checa.</w:t>
      </w:r>
    </w:p>
    <w:p w14:paraId="153907FE" w14:textId="77777777" w:rsidR="00D631CA" w:rsidRPr="00D631CA" w:rsidRDefault="00382941" w:rsidP="00D631CA">
      <w:pPr>
        <w:spacing w:before="240"/>
        <w:ind w:left="284"/>
        <w:jc w:val="both"/>
        <w:rPr>
          <w:rFonts w:ascii="ITC Avant Garde" w:hAnsi="ITC Avant Garde" w:cs="Arial"/>
        </w:rPr>
      </w:pPr>
      <w:r w:rsidRPr="00D631CA">
        <w:rPr>
          <w:rFonts w:ascii="ITC Avant Garde" w:hAnsi="ITC Avant Garde" w:cs="Arial"/>
        </w:rPr>
        <w:t>Asimismo, la Unión Internacional de Telecomunicaciones</w:t>
      </w:r>
      <w:r w:rsidRPr="00D631CA">
        <w:rPr>
          <w:rFonts w:ascii="ITC Avant Garde" w:hAnsi="ITC Avant Garde" w:cs="Arial"/>
          <w:vertAlign w:val="superscript"/>
        </w:rPr>
        <w:footnoteReference w:id="5"/>
      </w:r>
      <w:r w:rsidRPr="00D631CA">
        <w:rPr>
          <w:rFonts w:ascii="ITC Avant Garde" w:hAnsi="ITC Avant Garde" w:cs="Arial"/>
        </w:rPr>
        <w:t xml:space="preserve"> realiza una encuesta entre los reguladores a nivel internacional que permite recabar información acerca de la regulación que se ha establecido para los servicios mayoristas y minoristas, de dicho estudio se puede observar que en 2009 el 56.1 por ciento de los países que respondieron las encuestas han adoptado los modelos </w:t>
      </w:r>
      <w:proofErr w:type="spellStart"/>
      <w:r w:rsidRPr="00D631CA">
        <w:rPr>
          <w:rFonts w:ascii="ITC Avant Garde" w:hAnsi="ITC Avant Garde" w:cs="Arial"/>
        </w:rPr>
        <w:t>Bottom</w:t>
      </w:r>
      <w:proofErr w:type="spellEnd"/>
      <w:r w:rsidRPr="00D631CA">
        <w:rPr>
          <w:rFonts w:ascii="ITC Avant Garde" w:hAnsi="ITC Avant Garde" w:cs="Arial"/>
        </w:rPr>
        <w:t>-Up como la metodología de estimación de costos de los servicios que se prestan entre concesionarios, sobre otras metodologías, incluyendo los modelos híbridos.</w:t>
      </w:r>
    </w:p>
    <w:p w14:paraId="01B1D69C" w14:textId="77777777" w:rsidR="00D631CA" w:rsidRPr="00D631CA" w:rsidRDefault="00382941" w:rsidP="00D631CA">
      <w:pPr>
        <w:spacing w:before="240"/>
        <w:ind w:left="284"/>
        <w:jc w:val="both"/>
        <w:rPr>
          <w:rFonts w:ascii="ITC Avant Garde" w:hAnsi="ITC Avant Garde" w:cs="Arial"/>
        </w:rPr>
      </w:pPr>
      <w:r w:rsidRPr="00D631CA">
        <w:rPr>
          <w:rFonts w:ascii="ITC Avant Garde" w:hAnsi="ITC Avant Garde" w:cs="Arial"/>
        </w:rPr>
        <w:t>La Comisión Europea recomendó, en mayo de 2009,</w:t>
      </w:r>
      <w:r w:rsidRPr="00D631CA">
        <w:rPr>
          <w:rFonts w:ascii="ITC Avant Garde" w:hAnsi="ITC Avant Garde" w:cs="Arial"/>
          <w:vertAlign w:val="superscript"/>
        </w:rPr>
        <w:footnoteReference w:id="6"/>
      </w:r>
      <w:r w:rsidRPr="00D631CA">
        <w:rPr>
          <w:rFonts w:ascii="ITC Avant Garde" w:hAnsi="ITC Avant Garde" w:cs="Arial"/>
        </w:rPr>
        <w:t xml:space="preserve"> la implementación de modelos ascendentes (</w:t>
      </w:r>
      <w:proofErr w:type="spellStart"/>
      <w:r w:rsidRPr="00D631CA">
        <w:rPr>
          <w:rFonts w:ascii="ITC Avant Garde" w:hAnsi="ITC Avant Garde" w:cs="Arial"/>
        </w:rPr>
        <w:t>Bottom</w:t>
      </w:r>
      <w:proofErr w:type="spellEnd"/>
      <w:r w:rsidRPr="00D631CA">
        <w:rPr>
          <w:rFonts w:ascii="ITC Avant Garde" w:hAnsi="ITC Avant Garde" w:cs="Arial"/>
        </w:rPr>
        <w:t>-Up) para la determinación de tarifas de interconexión por parte de las autoridades nacionales antes de diciembre de 2012, argumentando que:</w:t>
      </w:r>
    </w:p>
    <w:p w14:paraId="198E86F5"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“La aplicación de un modelo ascendente es coherente con el concepto de desarrollo de la red para un operador eficiente según el cual se construye un modelo económico/técnico de red eficiente utilizando los costes actuales. El modelo refleja la cantidad de equipo necesaria, más que la efectivamente proporcionada, y hace caso omiso de los costes heredados.”</w:t>
      </w:r>
    </w:p>
    <w:p w14:paraId="1989FD08" w14:textId="1E82C364" w:rsidR="00382941" w:rsidRPr="00D631CA" w:rsidRDefault="00382941" w:rsidP="00D631CA">
      <w:pPr>
        <w:spacing w:before="240"/>
        <w:ind w:left="284"/>
        <w:jc w:val="both"/>
        <w:rPr>
          <w:rFonts w:ascii="ITC Avant Garde" w:hAnsi="ITC Avant Garde" w:cs="Arial"/>
        </w:rPr>
      </w:pPr>
      <w:r w:rsidRPr="00D631CA">
        <w:rPr>
          <w:rFonts w:ascii="ITC Avant Garde" w:hAnsi="ITC Avant Garde" w:cs="Arial"/>
        </w:rPr>
        <w:t xml:space="preserve">Es importante recalcar que el uso de un modelo Top-Down como lo propone la Recurrente en el sentido de utilizar su información, es decir, utilizar la información contable restaría transparencia a la decisión al no poderse hacer público el modelo, en cambio, el uso de un modelo </w:t>
      </w:r>
      <w:proofErr w:type="spellStart"/>
      <w:r w:rsidRPr="00D631CA">
        <w:rPr>
          <w:rFonts w:ascii="ITC Avant Garde" w:hAnsi="ITC Avant Garde" w:cs="Arial"/>
        </w:rPr>
        <w:t>Bottom</w:t>
      </w:r>
      <w:proofErr w:type="spellEnd"/>
      <w:r w:rsidRPr="00D631CA">
        <w:rPr>
          <w:rFonts w:ascii="ITC Avant Garde" w:hAnsi="ITC Avant Garde" w:cs="Arial"/>
        </w:rPr>
        <w:t xml:space="preserve">-Up que sea público y replicable por todos los concesionarios otorga certeza jurídica a todos los involucrados. </w:t>
      </w:r>
    </w:p>
    <w:p w14:paraId="19F3C6B2" w14:textId="77777777" w:rsidR="00D631CA" w:rsidRPr="00D631CA" w:rsidRDefault="00382941" w:rsidP="00D631CA">
      <w:pPr>
        <w:spacing w:before="240"/>
        <w:ind w:left="284"/>
        <w:jc w:val="both"/>
        <w:rPr>
          <w:rFonts w:ascii="ITC Avant Garde" w:hAnsi="ITC Avant Garde" w:cs="Arial"/>
        </w:rPr>
      </w:pPr>
      <w:r w:rsidRPr="00D631CA">
        <w:rPr>
          <w:rFonts w:ascii="ITC Avant Garde" w:hAnsi="ITC Avant Garde" w:cs="Arial"/>
        </w:rPr>
        <w:lastRenderedPageBreak/>
        <w:t xml:space="preserve">Aunado a lo anterior, es importante señalar que utilizar un Modelo </w:t>
      </w:r>
      <w:proofErr w:type="spellStart"/>
      <w:r w:rsidRPr="00D631CA">
        <w:rPr>
          <w:rFonts w:ascii="ITC Avant Garde" w:hAnsi="ITC Avant Garde" w:cs="Arial"/>
        </w:rPr>
        <w:t>Bottom</w:t>
      </w:r>
      <w:proofErr w:type="spellEnd"/>
      <w:r w:rsidRPr="00D631CA">
        <w:rPr>
          <w:rFonts w:ascii="ITC Avant Garde" w:hAnsi="ITC Avant Garde" w:cs="Arial"/>
        </w:rPr>
        <w:t xml:space="preserve">-Up que diseña a un operador representativo permite en lo que respecta a la fecha de lanzamiento, ser establecida de forma consistente en el Modelo de Costos, ya que considera aspectos claves en el despliegue de las redes reales de los concesionarios que participan en el mercado, en lo que respecta a la tecnología que utiliza el operador representativo, la tecnología utilizada se define de forma específica, tomando en consideración componentes relevantes de las redes existentes. En lo que respecta a la migración a tecnología moderna, utilizando el operador representativo, la evolución y migración de este operador puede definirse de forma específica, teniendo en cuenta las redes existentes. En lo que respecta a la eficiencia, estos aspectos pueden ser definidos, con un operador representativo, y en lo que respecta a la transparencia en la utilización del Modelo de Costos </w:t>
      </w:r>
      <w:proofErr w:type="spellStart"/>
      <w:r w:rsidRPr="00D631CA">
        <w:rPr>
          <w:rFonts w:ascii="ITC Avant Garde" w:hAnsi="ITC Avant Garde" w:cs="Arial"/>
        </w:rPr>
        <w:t>Bottom</w:t>
      </w:r>
      <w:proofErr w:type="spellEnd"/>
      <w:r w:rsidRPr="00D631CA">
        <w:rPr>
          <w:rFonts w:ascii="ITC Avant Garde" w:hAnsi="ITC Avant Garde" w:cs="Arial"/>
        </w:rPr>
        <w:t>-Up, la transparencia aumenta debido a las semejanzas entre los operadores móviles, por lo que este enfoque es transparente y un buen reflejo de la realidad de los operadores.</w:t>
      </w:r>
    </w:p>
    <w:p w14:paraId="68731BDD" w14:textId="77777777" w:rsidR="00D631CA" w:rsidRPr="00D631CA" w:rsidRDefault="00382941" w:rsidP="00D631CA">
      <w:pPr>
        <w:numPr>
          <w:ilvl w:val="0"/>
          <w:numId w:val="3"/>
        </w:numPr>
        <w:spacing w:before="240"/>
        <w:ind w:left="284" w:hanging="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El argumento de la Recurrente es improcedente, toda vez que en la Resolución recurrida se establecieron con precisión los costos relacionados directa e indirectamente con el servicio de terminación móvil que se deben de considerar para determinar dicha tarifa de interconexión, como se desprende del desarrollo del modelo de costos que obra a fojas 58 a 93 de la Resolución recurrida.</w:t>
      </w:r>
    </w:p>
    <w:p w14:paraId="72174EF2" w14:textId="77777777" w:rsidR="00D631CA" w:rsidRPr="00D631CA" w:rsidRDefault="00382941" w:rsidP="00D631CA">
      <w:pPr>
        <w:spacing w:before="240"/>
        <w:ind w:left="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Sin perjuicio de lo anterior, es importante señalar que la Recurrente no precisa cuáles son los costos que la Comisión descartó relacionados directa e indirectamente con el servicio de interconexión, por lo que el presente agravio se desecha por infundado, en virtud de que el mismo no puede considerarse como tal, toda vez que la Recurrente pierde noción de lo que debe entenderse por agravio, ya que al expresar cada uno de ellos la técnica jurídico-procesal que exige la ley es que el actor precise cuál es la parte de la sentencia que le causa un perjuicio, además de citar el precepto legal violado y explicar a través de razonamientos el concepto por el cual fue infringido; por lo que el agravio que carezca de esos requisitos debe desestimarse por injustificado; por tanto, el hecho de que la Recurrente manifieste que se omitieron señalar las razones de porqué se consideraron aquellos costos que son originados por la provisión de un incremento específico en el servicio de terminación de llamadas en redes de telefonía móvil, en nada violenta sus derechos.</w:t>
      </w:r>
    </w:p>
    <w:p w14:paraId="468F870B" w14:textId="77777777" w:rsidR="00D631CA" w:rsidRPr="00D631CA" w:rsidRDefault="00382941" w:rsidP="00D631CA">
      <w:pPr>
        <w:numPr>
          <w:ilvl w:val="0"/>
          <w:numId w:val="3"/>
        </w:numPr>
        <w:spacing w:before="240"/>
        <w:ind w:left="284" w:hanging="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El argumento de la Recurrente es infundado, toda vez que en la Resolución recurrida se estableció con claridad el tipo de depreciación a utilizarse, como se presenta a continuación:</w:t>
      </w:r>
    </w:p>
    <w:p w14:paraId="2BA18830"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lastRenderedPageBreak/>
        <w:t>“En el Modelo CITLP, para prorratear la inversión total a lo largo de la vida útil de los equipos, y así obtener el costo de capital anual (</w:t>
      </w:r>
      <w:proofErr w:type="spellStart"/>
      <w:r w:rsidRPr="00D631CA">
        <w:rPr>
          <w:rFonts w:ascii="ITC Avant Garde" w:hAnsi="ITC Avant Garde" w:cs="Arial"/>
        </w:rPr>
        <w:t>capex</w:t>
      </w:r>
      <w:proofErr w:type="spellEnd"/>
      <w:r w:rsidRPr="00D631CA">
        <w:rPr>
          <w:rFonts w:ascii="ITC Avant Garde" w:hAnsi="ITC Avant Garde" w:cs="Arial"/>
        </w:rPr>
        <w:t>) correspondiente, se consideró la aplicación de una depreciación económica por ser más apropiada que la contable.</w:t>
      </w:r>
      <w:r w:rsidRPr="00D631CA">
        <w:rPr>
          <w:rFonts w:ascii="ITC Avant Garde" w:hAnsi="ITC Avant Garde" w:cs="Arial"/>
          <w:vertAlign w:val="superscript"/>
        </w:rPr>
        <w:footnoteReference w:id="7"/>
      </w:r>
      <w:r w:rsidRPr="00D631CA">
        <w:rPr>
          <w:rFonts w:ascii="ITC Avant Garde" w:hAnsi="ITC Avant Garde" w:cs="Arial"/>
        </w:rPr>
        <w:t xml:space="preserve"> </w:t>
      </w:r>
    </w:p>
    <w:p w14:paraId="63859BC3"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El problema de emplear el método de depreciación contable consiste en que para su cálculo se utilizan los valores históricos o valores en libros de los activos, que se encuentran en los estados financieros de las empresas, los cuales se asientan a los valores que la empresa pagó por ellos sin importar cuánto valen en el mercado.</w:t>
      </w:r>
    </w:p>
    <w:p w14:paraId="245A22EB"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De esta forma, la utilización de la depreciación contable puede resultar en que el valor de un activo asentado en libros tenga poca relación con su valor real o su valor de reventa. Por ejemplo, un activo que fue objeto de una depreciación contable acelerada puede tener un valor en libros de cero, sugiriendo que el mismo debe ser reemplazado, cuando puede tener un valor considerable en el mercado; de la misma forma un activo puede tener un elevado valor en libros aun cuando es tecnológicamente obsoleto y tener un valor de mercado de cero.</w:t>
      </w:r>
    </w:p>
    <w:p w14:paraId="110F9261"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Por otro lado, la depreciación económica mide el cambio en el valor de mercado de un activo periodo a periodo, de tal forma que permite incorporar al modelo de costos los cambios en los precios de los insumos, los cuales son constantes en un sector tan dinámico como es el de las telecomunicaciones. Así, la depreciación económica permite que se propicie una asignación eficiente de los recursos a cada uno de los periodos de la vida económica del activo. </w:t>
      </w:r>
    </w:p>
    <w:p w14:paraId="531513D7"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En consecuencia, de manera congruente con el establecimiento de tarifas por el servicio de terminación que se reflejarían en un mercado competitivo, en el desarrollo del Modelo CITLP se utilizó el método de depreciación económica.”</w:t>
      </w:r>
    </w:p>
    <w:p w14:paraId="21787B4C" w14:textId="77777777" w:rsidR="00D631CA" w:rsidRPr="00D631CA" w:rsidRDefault="00382941" w:rsidP="00D631CA">
      <w:pPr>
        <w:spacing w:before="240"/>
        <w:ind w:left="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Sin perjuicio de lo anterior, resulta del todo natural que un activo sea reemplazado al final de su vida útil, puesto que ya no es posible que pueda prestar las funciones para las cuales fue adquirido.</w:t>
      </w:r>
    </w:p>
    <w:p w14:paraId="07C9F2D6" w14:textId="77777777" w:rsidR="00D631CA" w:rsidRPr="00D631CA" w:rsidRDefault="00382941" w:rsidP="00D631CA">
      <w:pPr>
        <w:numPr>
          <w:ilvl w:val="0"/>
          <w:numId w:val="3"/>
        </w:numPr>
        <w:tabs>
          <w:tab w:val="left" w:pos="426"/>
        </w:tabs>
        <w:spacing w:before="240"/>
        <w:ind w:left="284" w:hanging="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lastRenderedPageBreak/>
        <w:t>El argumento de la Recurrente es infundado, ya que en el numeral 7) anterior se explicaron las consideraciones de la extinta Comisión para utilizar a un operador representativo. Asimismo, por lo que hace a la utilización de un operador representativo con el 25% de participación en el mercado, en la Resolución recurrida se establece que:</w:t>
      </w:r>
    </w:p>
    <w:p w14:paraId="64E670F6"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“La utilización de modelos ascendentes (</w:t>
      </w:r>
      <w:proofErr w:type="spellStart"/>
      <w:r w:rsidRPr="00D631CA">
        <w:rPr>
          <w:rFonts w:ascii="ITC Avant Garde" w:hAnsi="ITC Avant Garde" w:cs="Arial"/>
        </w:rPr>
        <w:t>Bottom</w:t>
      </w:r>
      <w:proofErr w:type="spellEnd"/>
      <w:r w:rsidRPr="00D631CA">
        <w:rPr>
          <w:rFonts w:ascii="ITC Avant Garde" w:hAnsi="ITC Avant Garde" w:cs="Arial"/>
        </w:rPr>
        <w:t xml:space="preserve">-Up) permite diseñar una red de telecomunicaciones eficiente, con lo cual se calculan los costos de interconexión que se tendrían en un mercado competitivo. Por el contrario, los modelos descendentes (Top-Down) parten del diseño actual de las redes, por lo que suelen incluir ineficiencias, que de incluirse en la tarifa de interconexión, serían trasladadas a otros operadores, y ultimadamente a los usuarios. </w:t>
      </w:r>
    </w:p>
    <w:p w14:paraId="46F7AD69"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En el Modelo CITLP se considera un mercado competitivo en el que participan 4 operadores con la misma participación de mercado, ofreciendo servicios de telefonía móvil, por lo que el operador representativo tiene una participación del 25% del mercado.</w:t>
      </w:r>
      <w:r w:rsidRPr="00D631CA">
        <w:rPr>
          <w:rFonts w:ascii="ITC Avant Garde" w:hAnsi="ITC Avant Garde" w:cs="Arial"/>
          <w:vertAlign w:val="superscript"/>
        </w:rPr>
        <w:footnoteReference w:id="8"/>
      </w:r>
      <w:r w:rsidRPr="00D631CA">
        <w:rPr>
          <w:rFonts w:ascii="ITC Avant Garde" w:hAnsi="ITC Avant Garde" w:cs="Arial"/>
        </w:rPr>
        <w:t xml:space="preserve"> El utilizar una participación de mercado del 25% para la determinación del costo de interconexión en la terminación de una llamada en la red móvil, es congruente con la recomendación de la Comunidad Europea</w:t>
      </w:r>
      <w:r w:rsidRPr="00D631CA">
        <w:rPr>
          <w:rFonts w:ascii="ITC Avant Garde" w:hAnsi="ITC Avant Garde" w:cs="Arial"/>
          <w:vertAlign w:val="superscript"/>
        </w:rPr>
        <w:footnoteReference w:id="9"/>
      </w:r>
      <w:r w:rsidRPr="00D631CA">
        <w:rPr>
          <w:rFonts w:ascii="ITC Avant Garde" w:hAnsi="ITC Avant Garde" w:cs="Arial"/>
        </w:rPr>
        <w:t xml:space="preserve">, y con los participantes en el mercado mexicano. Asimismo, este operador utiliza la tecnología GSM (Global </w:t>
      </w:r>
      <w:proofErr w:type="spellStart"/>
      <w:r w:rsidRPr="00D631CA">
        <w:rPr>
          <w:rFonts w:ascii="ITC Avant Garde" w:hAnsi="ITC Avant Garde" w:cs="Arial"/>
        </w:rPr>
        <w:t>System</w:t>
      </w:r>
      <w:proofErr w:type="spellEnd"/>
      <w:r w:rsidRPr="00D631CA">
        <w:rPr>
          <w:rFonts w:ascii="ITC Avant Garde" w:hAnsi="ITC Avant Garde" w:cs="Arial"/>
        </w:rPr>
        <w:t xml:space="preserve"> </w:t>
      </w:r>
      <w:proofErr w:type="spellStart"/>
      <w:r w:rsidRPr="00D631CA">
        <w:rPr>
          <w:rFonts w:ascii="ITC Avant Garde" w:hAnsi="ITC Avant Garde" w:cs="Arial"/>
        </w:rPr>
        <w:t>for</w:t>
      </w:r>
      <w:proofErr w:type="spellEnd"/>
      <w:r w:rsidRPr="00D631CA">
        <w:rPr>
          <w:rFonts w:ascii="ITC Avant Garde" w:hAnsi="ITC Avant Garde" w:cs="Arial"/>
        </w:rPr>
        <w:t xml:space="preserve"> Mobile </w:t>
      </w:r>
      <w:proofErr w:type="spellStart"/>
      <w:r w:rsidRPr="00D631CA">
        <w:rPr>
          <w:rFonts w:ascii="ITC Avant Garde" w:hAnsi="ITC Avant Garde" w:cs="Arial"/>
        </w:rPr>
        <w:t>Communications</w:t>
      </w:r>
      <w:proofErr w:type="spellEnd"/>
      <w:r w:rsidRPr="00D631CA">
        <w:rPr>
          <w:rFonts w:ascii="ITC Avant Garde" w:hAnsi="ITC Avant Garde" w:cs="Arial"/>
        </w:rPr>
        <w:t>) que es la tecnología predominantemente utilizada en México, por lo que no se puede considerar al Modelo CITLP totalmente prospectivo.</w:t>
      </w:r>
    </w:p>
    <w:p w14:paraId="565EA830"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Cabe señalar que la definición de una tarifa de terminación para el operador representativo, conduce a la determinación de una tarifa simétrica para todos los operadores de redes de telefonía móvil, lo cual es deseable dado que tarifas asimétricas presentan el problema de producir distorsiones en el mercado como son las prácticas de arbitraje para evitar el pago de interconexión (</w:t>
      </w:r>
      <w:proofErr w:type="spellStart"/>
      <w:r w:rsidRPr="00D631CA">
        <w:rPr>
          <w:rFonts w:ascii="ITC Avant Garde" w:hAnsi="ITC Avant Garde" w:cs="Arial"/>
        </w:rPr>
        <w:t>by-pass</w:t>
      </w:r>
      <w:proofErr w:type="spellEnd"/>
      <w:r w:rsidRPr="00D631CA">
        <w:rPr>
          <w:rFonts w:ascii="ITC Avant Garde" w:hAnsi="ITC Avant Garde" w:cs="Arial"/>
        </w:rPr>
        <w:t xml:space="preserve">), así como modelos de negocios que en vez de enfocarse a la oferta de servicios al usuario final se concentran en la generación de ingresos por interconexión. </w:t>
      </w:r>
    </w:p>
    <w:p w14:paraId="75A61919"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Al dimensionar la red del operador representativo, se utilizó información que refleja las condiciones bajo las cuales operan los operadores de telefonía móvil en México. Asimismo, se estimaron todos los elementos necesarios para satisfacer dicha demanda con la calidad de servicio especificada. Cabe </w:t>
      </w:r>
      <w:r w:rsidRPr="00D631CA">
        <w:rPr>
          <w:rFonts w:ascii="ITC Avant Garde" w:hAnsi="ITC Avant Garde" w:cs="Arial"/>
        </w:rPr>
        <w:lastRenderedPageBreak/>
        <w:t>señalar que la demanda toma en consideración tanto el número de subscriptores como la utilización de los servicios.”</w:t>
      </w:r>
    </w:p>
    <w:p w14:paraId="14853956" w14:textId="77777777" w:rsidR="00D631CA" w:rsidRPr="00D631CA" w:rsidRDefault="00382941" w:rsidP="00D631CA">
      <w:pPr>
        <w:spacing w:before="240"/>
        <w:ind w:left="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De lo anterior queda claro que la extinta Comisión no vulneró la legislación aplicable al establecer un operador representativo que cuenta con el 25% de participación en el mercado, ya que como se ha demostrado la extinta Comisión motivó debidamente la Resolución recurrida al establecer las consideraciones por las cuales se utiliza un operador representativo y la razón de utilizar una participación de mercado del 25%.</w:t>
      </w:r>
    </w:p>
    <w:p w14:paraId="40DC3590" w14:textId="77777777" w:rsidR="00D631CA" w:rsidRPr="00D631CA" w:rsidRDefault="00382941" w:rsidP="00D631CA">
      <w:pPr>
        <w:numPr>
          <w:ilvl w:val="0"/>
          <w:numId w:val="3"/>
        </w:numPr>
        <w:tabs>
          <w:tab w:val="left" w:pos="426"/>
        </w:tabs>
        <w:spacing w:before="240"/>
        <w:ind w:left="284" w:hanging="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El argumento de la Recurrente es improcedente, toda vez que en la Resolución recurrida se estableció la debida motivación que da lugar a utilizar la tecnología GSM, en virtud de que se indicó que era la tecnología predominantemente utilizada en México al momento de elaborar el modelo de costos.</w:t>
      </w:r>
    </w:p>
    <w:p w14:paraId="1B4E9B1B" w14:textId="77777777" w:rsidR="00D631CA" w:rsidRPr="00D631CA" w:rsidRDefault="00382941" w:rsidP="00D631CA">
      <w:pPr>
        <w:spacing w:before="240"/>
        <w:ind w:left="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Aunado a lo anterior es un hecho notorio de la industria de las telecomunicaciones que, al momento de elaborar el modelo de costos, la tecnología GSM:</w:t>
      </w:r>
    </w:p>
    <w:p w14:paraId="0B65CFEB" w14:textId="77777777" w:rsidR="00D631CA" w:rsidRPr="00D631CA" w:rsidRDefault="00382941" w:rsidP="00D631CA">
      <w:pPr>
        <w:numPr>
          <w:ilvl w:val="0"/>
          <w:numId w:val="9"/>
        </w:numPr>
        <w:suppressAutoHyphens/>
        <w:spacing w:before="240"/>
        <w:jc w:val="both"/>
        <w:rPr>
          <w:rFonts w:ascii="ITC Avant Garde" w:hAnsi="ITC Avant Garde" w:cs="Arial"/>
        </w:rPr>
      </w:pPr>
      <w:r w:rsidRPr="00D631CA">
        <w:rPr>
          <w:rFonts w:ascii="ITC Avant Garde" w:hAnsi="ITC Avant Garde" w:cs="Arial"/>
        </w:rPr>
        <w:t xml:space="preserve">Era una tecnología utilizada en las redes de los concesionarios móviles que proveen servicios de telecomunicaciones tanto en nuestro país como en otros, es decir, no se seleccionó una tecnología que se encuentre en fase de desarrollo o de prueba. </w:t>
      </w:r>
    </w:p>
    <w:p w14:paraId="26BA9801" w14:textId="77777777" w:rsidR="00D631CA" w:rsidRPr="00D631CA" w:rsidRDefault="00382941" w:rsidP="00D631CA">
      <w:pPr>
        <w:numPr>
          <w:ilvl w:val="0"/>
          <w:numId w:val="9"/>
        </w:numPr>
        <w:suppressAutoHyphens/>
        <w:spacing w:before="240"/>
        <w:jc w:val="both"/>
        <w:rPr>
          <w:rFonts w:ascii="ITC Avant Garde" w:hAnsi="ITC Avant Garde" w:cs="Arial"/>
        </w:rPr>
      </w:pPr>
      <w:r w:rsidRPr="00D631CA">
        <w:rPr>
          <w:rFonts w:ascii="ITC Avant Garde" w:hAnsi="ITC Avant Garde" w:cs="Arial"/>
        </w:rPr>
        <w:t>Era una tecnología que replicaba los costos y por lo tanto consideraba los equipos que se proveían en un mercado competitivo, es decir, no se empleó una tecnología propietaria que dependa de un solo proveedor.</w:t>
      </w:r>
    </w:p>
    <w:p w14:paraId="6E228499" w14:textId="77777777" w:rsidR="00D631CA" w:rsidRPr="00D631CA" w:rsidRDefault="00382941" w:rsidP="00D631CA">
      <w:pPr>
        <w:numPr>
          <w:ilvl w:val="0"/>
          <w:numId w:val="9"/>
        </w:numPr>
        <w:suppressAutoHyphens/>
        <w:spacing w:before="240"/>
        <w:jc w:val="both"/>
        <w:rPr>
          <w:rFonts w:ascii="ITC Avant Garde" w:hAnsi="ITC Avant Garde" w:cs="Arial"/>
        </w:rPr>
      </w:pPr>
      <w:r w:rsidRPr="00D631CA">
        <w:rPr>
          <w:rFonts w:ascii="ITC Avant Garde" w:hAnsi="ITC Avant Garde" w:cs="Arial"/>
        </w:rPr>
        <w:t>La tecnología utilizada permitía prestar como mínimo los servicios que ofrecen la mayoría de los concesionarios del servicio móvil, en este caso el servicio de voz, además, con ciertas adecuaciones en la red o en sus sistemas, esta tecnología permite a los concesionarios ofrecer nuevas aplicaciones y servicios, como es el caso de acceso de banda ancha a Internet, transmisión de datos, entre otros.</w:t>
      </w:r>
    </w:p>
    <w:p w14:paraId="38FA1B8C" w14:textId="77777777" w:rsidR="00D631CA" w:rsidRPr="00D631CA" w:rsidRDefault="00382941" w:rsidP="00D631CA">
      <w:pPr>
        <w:spacing w:before="240"/>
        <w:ind w:left="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En este caso fue la tecnología GSM, la cual era la tecnología predominantemente utilizada en México al momento de elaborar el modelo de costos.</w:t>
      </w:r>
    </w:p>
    <w:p w14:paraId="045A2EA4" w14:textId="77777777" w:rsidR="00D631CA" w:rsidRPr="00D631CA" w:rsidRDefault="00382941" w:rsidP="00D631CA">
      <w:pPr>
        <w:numPr>
          <w:ilvl w:val="0"/>
          <w:numId w:val="3"/>
        </w:numPr>
        <w:tabs>
          <w:tab w:val="left" w:pos="426"/>
        </w:tabs>
        <w:spacing w:before="240"/>
        <w:ind w:left="284" w:hanging="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Es inoperante el argumento de la Recurrente, en virtud de que como ya se acreditó en párrafos anteriores, el modelo de costos utilizado por la Comisión es el método idóneo para calcular las tarifas de interconexión. Mientras que el hecho de que se determinen tarifas para el periodo </w:t>
      </w:r>
      <w:r w:rsidRPr="00D631CA">
        <w:rPr>
          <w:rFonts w:ascii="ITC Avant Garde" w:eastAsia="Times New Roman" w:hAnsi="ITC Avant Garde" w:cs="Arial"/>
          <w:b/>
          <w:lang w:val="es-ES" w:eastAsia="es-MX"/>
        </w:rPr>
        <w:t xml:space="preserve">de enero a </w:t>
      </w:r>
      <w:r w:rsidR="004E66BE" w:rsidRPr="00D631CA">
        <w:rPr>
          <w:rFonts w:ascii="ITC Avant Garde" w:eastAsia="Times New Roman" w:hAnsi="ITC Avant Garde" w:cs="Arial"/>
          <w:b/>
          <w:lang w:val="es-ES" w:eastAsia="es-MX"/>
        </w:rPr>
        <w:t>diciembre de</w:t>
      </w:r>
      <w:r w:rsidRPr="00D631CA">
        <w:rPr>
          <w:rFonts w:ascii="ITC Avant Garde" w:eastAsia="Times New Roman" w:hAnsi="ITC Avant Garde" w:cs="Arial"/>
          <w:b/>
          <w:lang w:val="es-ES" w:eastAsia="es-MX"/>
        </w:rPr>
        <w:t xml:space="preserve"> 2011</w:t>
      </w:r>
      <w:r w:rsidRPr="00D631CA">
        <w:rPr>
          <w:rFonts w:ascii="ITC Avant Garde" w:eastAsia="Times New Roman" w:hAnsi="ITC Avant Garde" w:cs="Arial"/>
          <w:lang w:val="es-ES" w:eastAsia="es-MX"/>
        </w:rPr>
        <w:t xml:space="preserve">, corresponde al hecho de que la Comisión determinó las condiciones de interconexión no convenidas entre las partes, las cuales </w:t>
      </w:r>
      <w:r w:rsidRPr="00D631CA">
        <w:rPr>
          <w:rFonts w:ascii="ITC Avant Garde" w:eastAsia="Times New Roman" w:hAnsi="ITC Avant Garde" w:cs="Arial"/>
          <w:lang w:val="es-ES" w:eastAsia="es-MX"/>
        </w:rPr>
        <w:lastRenderedPageBreak/>
        <w:t>consistieron en el nivel tarifario y el periodo de aplicación, a los cuales se abocó a resolver la extinta Comisión en términos de los artículos 9-A y 42 de la LFT.</w:t>
      </w:r>
    </w:p>
    <w:p w14:paraId="51B6CA72" w14:textId="77777777" w:rsidR="00D631CA" w:rsidRPr="00D631CA" w:rsidRDefault="00382941" w:rsidP="00D631CA">
      <w:pPr>
        <w:spacing w:before="240"/>
        <w:ind w:left="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Asimismo la Recurrente no señala las razones por las cuales un modelo de tipo </w:t>
      </w:r>
      <w:proofErr w:type="spellStart"/>
      <w:r w:rsidRPr="00D631CA">
        <w:rPr>
          <w:rFonts w:ascii="ITC Avant Garde" w:eastAsia="Times New Roman" w:hAnsi="ITC Avant Garde" w:cs="Arial"/>
          <w:lang w:val="es-ES" w:eastAsia="es-MX"/>
        </w:rPr>
        <w:t>Bottom</w:t>
      </w:r>
      <w:proofErr w:type="spellEnd"/>
      <w:r w:rsidRPr="00D631CA">
        <w:rPr>
          <w:rFonts w:ascii="ITC Avant Garde" w:eastAsia="Times New Roman" w:hAnsi="ITC Avant Garde" w:cs="Arial"/>
          <w:lang w:val="es-ES" w:eastAsia="es-MX"/>
        </w:rPr>
        <w:t>-Up no puede ser utilizado para determinar tarifas en el periodo solicitado.</w:t>
      </w:r>
    </w:p>
    <w:p w14:paraId="398CAB79" w14:textId="77777777" w:rsidR="00D631CA" w:rsidRPr="00D631CA" w:rsidRDefault="00382941" w:rsidP="00D631CA">
      <w:pPr>
        <w:numPr>
          <w:ilvl w:val="0"/>
          <w:numId w:val="3"/>
        </w:numPr>
        <w:tabs>
          <w:tab w:val="left" w:pos="426"/>
        </w:tabs>
        <w:spacing w:before="240"/>
        <w:ind w:left="284" w:hanging="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Es infundado el argumento de la Recurrente, toda vez que la extinta Comisión tomó en consideración los precios de mercado a precios corrientes del modelo de costos del órgano regulador de Francia, y con ellos determinó los costos que se originarían para una empresa establecida que ostenta el 25 por ciento del mercado y que es eficiente es su operación. Como se señaló en la propia Resolución recurrida, la tarifa de interconexión por terminación de tráfico en la red móvil deberá de tomar en cuenta los precios corrientes derivado de que los precios de los insumos muestran una tendencia decreciente a través del tiempo, lo cual es reflejo del constante avance tecnológico que vive el sector. 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w:t>
      </w:r>
    </w:p>
    <w:p w14:paraId="2D82543B" w14:textId="77777777" w:rsidR="00D631CA" w:rsidRPr="00D631CA" w:rsidRDefault="00382941" w:rsidP="00D631CA">
      <w:pPr>
        <w:spacing w:before="240"/>
        <w:ind w:left="284"/>
        <w:contextualSpacing/>
        <w:jc w:val="both"/>
        <w:rPr>
          <w:rFonts w:ascii="ITC Avant Garde" w:hAnsi="ITC Avant Garde" w:cs="Arial"/>
        </w:rPr>
      </w:pPr>
      <w:r w:rsidRPr="00D631CA">
        <w:rPr>
          <w:rFonts w:ascii="ITC Avant Garde" w:hAnsi="ITC Avant Garde" w:cs="Arial"/>
        </w:rPr>
        <w:t>Asimismo, como se señaló en la propia resolución para la determinación de los costos de proveer el servicio, es necesario primeramente asignar e identificar aquellos costos que están directamente asociados a la prestación del servicio, es decir si existe un costo que es recuperado a través del usuario final o que no es necesario para la prestación del servicio este no deberá de ser incluido en el mismo, este el caso de aquellos costos originados por ejemplo por la publicidad y comercialización de servicios finales, asimismo como el servicio a costear es el servicio de terminación de voz en una red móvil, es necesario no incluir costos que estén directamente asociados a nuevos servicios o servicios distintos a los de voz, como sería el caso de transmisión de datos o acceso a internet o aplicaciones. Por lo cual, esta Comisión en su modelo identificó todos aquellos elementos necesarios para la prestación del servicio de voz en la cual el operador hipotético eficiente utilizará en su red la tecnología GSM.</w:t>
      </w:r>
    </w:p>
    <w:p w14:paraId="47DBE404" w14:textId="77777777" w:rsidR="00D631CA" w:rsidRPr="00D631CA" w:rsidRDefault="00382941" w:rsidP="00D631CA">
      <w:pPr>
        <w:spacing w:before="240"/>
        <w:ind w:left="284"/>
        <w:contextualSpacing/>
        <w:jc w:val="both"/>
        <w:rPr>
          <w:rFonts w:ascii="ITC Avant Garde" w:hAnsi="ITC Avant Garde" w:cs="Arial"/>
        </w:rPr>
      </w:pPr>
      <w:r w:rsidRPr="00D631CA">
        <w:rPr>
          <w:rFonts w:ascii="ITC Avant Garde" w:hAnsi="ITC Avant Garde" w:cs="Arial"/>
        </w:rPr>
        <w:t xml:space="preserve">Como se mencionó en la Resolución recurrida el Modelo de Costos desarrollado por la Comisión es de un operador eficiente que toma en cuenta los costos de la red para la prestación del servicio de interconexión y que se consideran a costos corrientes o a precios de mercado. La razón por la que los costos de la red son valorados a costos corrientes es porque en un mercado competitivo, las empresas son compensadas exclusivamente por estos costos, y no así por sus costos históricos. Es importante mencionar que en un mercado en competencia, cuando una empresa fija sus precios por encima de los costos actuales o corrientes, otra empresa podría entrar al mercado ofreciendo menores precios, lo que </w:t>
      </w:r>
      <w:r w:rsidRPr="00D631CA">
        <w:rPr>
          <w:rFonts w:ascii="ITC Avant Garde" w:hAnsi="ITC Avant Garde" w:cs="Arial"/>
        </w:rPr>
        <w:lastRenderedPageBreak/>
        <w:t xml:space="preserve">obligaría a la primera a bajar sus precios para evitar así perder clientes. Es decir, el mercado actuaría como mecanismo para alinear el precio de los servicios a sus costos corrientes. Es así que para impulsar el desarrollo del sector el regulador debe propiciar la eficiencia </w:t>
      </w:r>
      <w:proofErr w:type="spellStart"/>
      <w:r w:rsidRPr="00D631CA">
        <w:rPr>
          <w:rFonts w:ascii="ITC Avant Garde" w:hAnsi="ITC Avant Garde" w:cs="Arial"/>
        </w:rPr>
        <w:t>asignativa</w:t>
      </w:r>
      <w:proofErr w:type="spellEnd"/>
      <w:r w:rsidRPr="00D631CA">
        <w:rPr>
          <w:rFonts w:ascii="ITC Avant Garde" w:hAnsi="ITC Avant Garde" w:cs="Arial"/>
        </w:rPr>
        <w:t xml:space="preserve">, en el sentido de que se establezcan los precios lo más cercanamente posible a los observados en un mercado competitivo, ya que es generalmente aceptado que estos precios son los que maximizan el bienestar social. </w:t>
      </w:r>
    </w:p>
    <w:p w14:paraId="5014B6BE" w14:textId="77777777" w:rsidR="00D631CA" w:rsidRPr="00D631CA" w:rsidRDefault="00382941" w:rsidP="00D631CA">
      <w:pPr>
        <w:spacing w:before="240"/>
        <w:ind w:left="284"/>
        <w:contextualSpacing/>
        <w:jc w:val="both"/>
        <w:rPr>
          <w:rFonts w:ascii="ITC Avant Garde" w:hAnsi="ITC Avant Garde" w:cs="Arial"/>
        </w:rPr>
      </w:pPr>
      <w:r w:rsidRPr="00D631CA">
        <w:rPr>
          <w:rFonts w:ascii="ITC Avant Garde" w:hAnsi="ITC Avant Garde" w:cs="Arial"/>
        </w:rPr>
        <w:t xml:space="preserve">De igual forma, en un mercado competitivo las empresas son compensadas únicamente por los costos en que incurriría una empresa eficiente. Por ejemplo, si una empresa incurriera en ineficiencias, como en exceso de capacidad de red o en mantener una tecnología obsoleta, una empresa eficiente podría entrar al mercado ofreciendo un menor precio, por lo que en un mercado competitivo las empresas tienen incentivos a minimizar sus costos y de este modo evitar perder participación de mercado. Al mismo tiempo, la entrada del nuevo competidor obligaría a la empresa establecida a eliminar sus ineficiencias para mantener la viabilidad de su operación hacia adelante. En este contexto, el regulador debe propiciar que se consiga la eficiencia productiva en el sentido de otorgar los suficientes incentivos para la minimización de costos. </w:t>
      </w:r>
    </w:p>
    <w:p w14:paraId="0EAA6F39" w14:textId="77777777" w:rsidR="00D631CA" w:rsidRPr="00D631CA" w:rsidRDefault="00382941" w:rsidP="00D631CA">
      <w:pPr>
        <w:spacing w:before="240"/>
        <w:ind w:left="284"/>
        <w:contextualSpacing/>
        <w:jc w:val="both"/>
        <w:rPr>
          <w:rFonts w:ascii="ITC Avant Garde" w:hAnsi="ITC Avant Garde" w:cs="Arial"/>
        </w:rPr>
      </w:pPr>
      <w:r w:rsidRPr="00D631CA">
        <w:rPr>
          <w:rFonts w:ascii="ITC Avant Garde" w:hAnsi="ITC Avant Garde" w:cs="Arial"/>
        </w:rPr>
        <w:t>La determinación de las tarifas de interconexión con base en los costos corrientes de una empresa eficiente es particularmente relevante en el sector telecomunicaciones en razón de que los precios de los insumos muestran una tendencia decreciente a través del tiempo, lo cual es reflejo del constante avance tecnológico que vive el sector. 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w:t>
      </w:r>
    </w:p>
    <w:p w14:paraId="3FD51FFE" w14:textId="77777777" w:rsidR="00D631CA" w:rsidRPr="00D631CA" w:rsidRDefault="00382941" w:rsidP="00D631CA">
      <w:pPr>
        <w:spacing w:before="240"/>
        <w:ind w:left="284"/>
        <w:contextualSpacing/>
        <w:jc w:val="both"/>
        <w:rPr>
          <w:rFonts w:ascii="ITC Avant Garde" w:hAnsi="ITC Avant Garde" w:cs="Arial"/>
          <w:highlight w:val="green"/>
        </w:rPr>
      </w:pPr>
      <w:r w:rsidRPr="00D631CA">
        <w:rPr>
          <w:rFonts w:ascii="ITC Avant Garde" w:hAnsi="ITC Avant Garde" w:cs="Arial"/>
        </w:rPr>
        <w:t>Asimismo, no es relevante la inclusión de nuevos servicios en el modelo para la determinación de la tarifa de interconexión en 2011.</w:t>
      </w:r>
    </w:p>
    <w:p w14:paraId="5128D035" w14:textId="77777777" w:rsidR="00D631CA" w:rsidRPr="00D631CA" w:rsidRDefault="00382941" w:rsidP="00D631CA">
      <w:pPr>
        <w:numPr>
          <w:ilvl w:val="0"/>
          <w:numId w:val="3"/>
        </w:numPr>
        <w:tabs>
          <w:tab w:val="left" w:pos="426"/>
        </w:tabs>
        <w:spacing w:before="240"/>
        <w:ind w:left="284" w:hanging="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El argumento de la Recurrente resulta inoperante, toda vez que en la Resolución recurrida se estableció lo siguiente:</w:t>
      </w:r>
    </w:p>
    <w:p w14:paraId="2BC2ED9C" w14:textId="3C4228ED" w:rsidR="00D631CA" w:rsidRPr="00D631CA" w:rsidRDefault="00382941" w:rsidP="00D631CA">
      <w:pPr>
        <w:spacing w:before="240"/>
        <w:ind w:left="1134" w:right="281"/>
        <w:jc w:val="both"/>
        <w:rPr>
          <w:rFonts w:ascii="ITC Avant Garde" w:hAnsi="ITC Avant Garde" w:cs="Arial"/>
        </w:rPr>
      </w:pPr>
      <w:r w:rsidRPr="00D631CA">
        <w:rPr>
          <w:rFonts w:ascii="ITC Avant Garde" w:hAnsi="ITC Avant Garde" w:cs="Arial"/>
        </w:rPr>
        <w:t>“A partir de la estimación de la inversión total, los costos operativos (</w:t>
      </w:r>
      <w:proofErr w:type="spellStart"/>
      <w:r w:rsidRPr="00D631CA">
        <w:rPr>
          <w:rFonts w:ascii="ITC Avant Garde" w:hAnsi="ITC Avant Garde" w:cs="Arial"/>
        </w:rPr>
        <w:t>opex</w:t>
      </w:r>
      <w:proofErr w:type="spellEnd"/>
      <w:r w:rsidRPr="00D631CA">
        <w:rPr>
          <w:rFonts w:ascii="ITC Avant Garde" w:hAnsi="ITC Avant Garde" w:cs="Arial"/>
        </w:rPr>
        <w:t>) se calculan como un porcentaje de este monto. Se consideró que los costos operativos equivalen al 15 por ciento de la inversión total. Estos costos incluyen los asociados a los costos laborales, dentro de los cuales están incluidos los relacionados con el pago de la Participación de los Trabajadores en las Utilidades (PTU).”</w:t>
      </w:r>
    </w:p>
    <w:p w14:paraId="6EAE687C" w14:textId="77777777" w:rsidR="00D631CA" w:rsidRPr="00D631CA" w:rsidRDefault="00382941" w:rsidP="00D631CA">
      <w:pPr>
        <w:spacing w:before="240"/>
        <w:ind w:left="284"/>
        <w:contextualSpacing/>
        <w:jc w:val="both"/>
        <w:rPr>
          <w:rFonts w:ascii="ITC Avant Garde" w:hAnsi="ITC Avant Garde" w:cs="Arial"/>
          <w:lang w:val="es-ES"/>
        </w:rPr>
      </w:pPr>
      <w:r w:rsidRPr="00D631CA">
        <w:rPr>
          <w:rFonts w:ascii="ITC Avant Garde" w:hAnsi="ITC Avant Garde" w:cs="Arial"/>
        </w:rPr>
        <w:t>Asimismo</w:t>
      </w:r>
      <w:r w:rsidRPr="00D631CA">
        <w:rPr>
          <w:rFonts w:ascii="ITC Avant Garde" w:hAnsi="ITC Avant Garde" w:cs="Arial"/>
          <w:lang w:val="es-ES"/>
        </w:rPr>
        <w:t xml:space="preserve">, se reitera que utilizar la situación real de la Recurrente no es factible, ya que se reduce la transparencia en costos y precios; incrementa el riesgo/complejidad en asegurar que se apliquen principios idénticos/consistentes si el método se aplicara a modelos </w:t>
      </w:r>
      <w:r w:rsidRPr="00D631CA">
        <w:rPr>
          <w:rFonts w:ascii="ITC Avant Garde" w:hAnsi="ITC Avant Garde" w:cs="Arial"/>
          <w:lang w:val="es-ES"/>
        </w:rPr>
        <w:lastRenderedPageBreak/>
        <w:t>individuales para cada concesionario móvil y aumenta la dificultad para asegurar cumplir con el principio de eficiencia.</w:t>
      </w:r>
    </w:p>
    <w:p w14:paraId="6645BEED" w14:textId="77777777" w:rsidR="00D631CA" w:rsidRPr="00D631CA" w:rsidRDefault="00382941" w:rsidP="00D631CA">
      <w:pPr>
        <w:spacing w:before="240"/>
        <w:ind w:left="284"/>
        <w:contextualSpacing/>
        <w:jc w:val="both"/>
        <w:rPr>
          <w:rFonts w:ascii="ITC Avant Garde" w:hAnsi="ITC Avant Garde" w:cs="Arial"/>
          <w:lang w:val="es-ES"/>
        </w:rPr>
      </w:pPr>
      <w:r w:rsidRPr="00D631CA">
        <w:rPr>
          <w:rFonts w:ascii="ITC Avant Garde" w:hAnsi="ITC Avant Garde" w:cs="Arial"/>
          <w:lang w:val="es-ES"/>
        </w:rPr>
        <w:t>Asimismo, en la elaboración de modelos de costos es una práctica común expresar el OPEX como un porcentaje del CAPEX, ello en virtud de que en una situación de mercado, las actividades de operación y mantenimiento pueden contratarse con una empresa externa, usualmente a aquella que vende el equipo, por lo que es plenamente factible la estimación del OPEX como un porcentaje del CAPEX.</w:t>
      </w:r>
    </w:p>
    <w:p w14:paraId="3AD72377" w14:textId="77777777" w:rsidR="00D631CA" w:rsidRPr="00D631CA" w:rsidRDefault="00382941" w:rsidP="00D631CA">
      <w:pPr>
        <w:numPr>
          <w:ilvl w:val="0"/>
          <w:numId w:val="3"/>
        </w:numPr>
        <w:tabs>
          <w:tab w:val="left" w:pos="426"/>
        </w:tabs>
        <w:spacing w:before="240"/>
        <w:ind w:left="284" w:hanging="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El argumento de la Recurrente es inoperante ya que como se explicó en el numeral 10) anterior, la extinta Comisión estableció en la Resolución recurrida las consideraciones para utilizar a un operador representativo con una cuota de mercado de 25%.</w:t>
      </w:r>
    </w:p>
    <w:p w14:paraId="26EAFDFB" w14:textId="77777777" w:rsidR="00D631CA" w:rsidRPr="00D631CA" w:rsidRDefault="00382941" w:rsidP="00D631CA">
      <w:pPr>
        <w:spacing w:before="240"/>
        <w:ind w:left="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Por otro lado, el modelo de Costos realizado por la extinta Comisión toma en consideración un operador hipotético eficiente que ya se encuentra comercializando sus servicios, por lo tanto el establecer un periodo previo de adquisición y puesta en operación de la red es una decisión de modelado del órgano regulador, cuya inclusión o no, no invalida los resultados arrojados por el modelo de costos. </w:t>
      </w:r>
    </w:p>
    <w:p w14:paraId="5F313B92" w14:textId="121DB52E" w:rsidR="00D631CA" w:rsidRDefault="00382941" w:rsidP="00D631CA">
      <w:pPr>
        <w:spacing w:before="240"/>
        <w:ind w:left="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Máxime que los resultados obtenidos por el modelo se encuentran de los rangos internacionales utilizados por otros órganos reguladores para 2011, como se muestra a continuación:</w:t>
      </w:r>
      <w:r w:rsidR="00D631CA">
        <w:rPr>
          <w:rFonts w:ascii="ITC Avant Garde" w:eastAsia="Times New Roman" w:hAnsi="ITC Avant Garde" w:cs="Arial"/>
          <w:lang w:val="es-ES" w:eastAsia="es-MX"/>
        </w:rPr>
        <w:br w:type="page"/>
      </w:r>
    </w:p>
    <w:p w14:paraId="1C3C49D7" w14:textId="77777777" w:rsidR="00382941" w:rsidRPr="00D631CA" w:rsidRDefault="00382941" w:rsidP="00D631CA">
      <w:pPr>
        <w:spacing w:after="0"/>
        <w:ind w:left="567"/>
        <w:jc w:val="center"/>
        <w:rPr>
          <w:rFonts w:ascii="ITC Avant Garde" w:eastAsia="Times New Roman" w:hAnsi="ITC Avant Garde" w:cs="Arial"/>
          <w:b/>
          <w:lang w:val="es-ES" w:eastAsia="es-MX"/>
        </w:rPr>
      </w:pPr>
      <w:r w:rsidRPr="00D631CA">
        <w:rPr>
          <w:rFonts w:ascii="ITC Avant Garde" w:eastAsia="Times New Roman" w:hAnsi="ITC Avant Garde" w:cs="Arial"/>
          <w:b/>
          <w:lang w:val="es-ES" w:eastAsia="es-MX"/>
        </w:rPr>
        <w:lastRenderedPageBreak/>
        <w:t>CARGO PROMEDIO DE INTERCONEXIÓN POR TERMINACIÓN MÓVIL,</w:t>
      </w:r>
    </w:p>
    <w:p w14:paraId="4FE97A2C" w14:textId="77777777" w:rsidR="00382941" w:rsidRPr="00D631CA" w:rsidRDefault="00382941" w:rsidP="00D631CA">
      <w:pPr>
        <w:spacing w:after="0"/>
        <w:ind w:left="567"/>
        <w:jc w:val="center"/>
        <w:rPr>
          <w:rFonts w:ascii="ITC Avant Garde" w:eastAsia="Times New Roman" w:hAnsi="ITC Avant Garde" w:cs="Arial"/>
          <w:b/>
          <w:lang w:val="es-ES" w:eastAsia="es-MX"/>
        </w:rPr>
      </w:pPr>
      <w:r w:rsidRPr="00D631CA">
        <w:rPr>
          <w:rFonts w:ascii="ITC Avant Garde" w:eastAsia="Times New Roman" w:hAnsi="ITC Avant Garde" w:cs="Arial"/>
          <w:b/>
          <w:lang w:val="es-ES" w:eastAsia="es-MX"/>
        </w:rPr>
        <w:t>"EL QUE LLAMA PAGA"</w:t>
      </w:r>
    </w:p>
    <w:p w14:paraId="4B00C53F" w14:textId="77777777" w:rsidR="00382941" w:rsidRPr="00D631CA" w:rsidRDefault="00382941" w:rsidP="00D631CA">
      <w:pPr>
        <w:spacing w:after="0"/>
        <w:ind w:left="567"/>
        <w:jc w:val="center"/>
        <w:rPr>
          <w:rFonts w:ascii="ITC Avant Garde" w:eastAsia="Times New Roman" w:hAnsi="ITC Avant Garde" w:cs="Arial"/>
          <w:b/>
          <w:lang w:val="es-ES" w:eastAsia="es-MX"/>
        </w:rPr>
      </w:pPr>
      <w:r w:rsidRPr="00D631CA">
        <w:rPr>
          <w:rFonts w:ascii="ITC Avant Garde" w:eastAsia="Times New Roman" w:hAnsi="ITC Avant Garde" w:cs="Arial"/>
          <w:b/>
          <w:lang w:val="es-ES" w:eastAsia="es-MX"/>
        </w:rPr>
        <w:t>(US CENTS PPP)</w:t>
      </w:r>
    </w:p>
    <w:p w14:paraId="779BE4DD" w14:textId="25C784D5" w:rsidR="00382941" w:rsidRPr="00D631CA" w:rsidRDefault="00D631CA" w:rsidP="00D631CA">
      <w:pPr>
        <w:spacing w:after="0"/>
        <w:ind w:left="567"/>
        <w:jc w:val="center"/>
        <w:rPr>
          <w:rFonts w:ascii="ITC Avant Garde" w:eastAsia="Times New Roman" w:hAnsi="ITC Avant Garde" w:cs="Arial"/>
          <w:b/>
          <w:lang w:val="es-ES" w:eastAsia="es-MX"/>
        </w:rPr>
      </w:pPr>
      <w:r w:rsidRPr="00D631CA">
        <w:rPr>
          <w:rFonts w:ascii="Arial" w:eastAsia="Times New Roman" w:hAnsi="Arial" w:cs="Arial"/>
          <w:noProof/>
          <w:sz w:val="24"/>
          <w:szCs w:val="24"/>
          <w:lang w:eastAsia="es-MX"/>
        </w:rPr>
        <w:drawing>
          <wp:inline distT="0" distB="0" distL="0" distR="0" wp14:anchorId="723FA0B7" wp14:editId="7F313014">
            <wp:extent cx="5612130" cy="3386425"/>
            <wp:effectExtent l="0" t="0" r="7620" b="5080"/>
            <wp:docPr id="1" name="Imagen 1" descr="La imagen se refiere a una gráfica que muestra el índice por país del cargo promedio de interconexión por terminación móvil." titl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386425"/>
                    </a:xfrm>
                    <a:prstGeom prst="rect">
                      <a:avLst/>
                    </a:prstGeom>
                    <a:noFill/>
                    <a:ln>
                      <a:noFill/>
                    </a:ln>
                  </pic:spPr>
                </pic:pic>
              </a:graphicData>
            </a:graphic>
          </wp:inline>
        </w:drawing>
      </w:r>
      <w:r w:rsidR="00382941" w:rsidRPr="00D631CA">
        <w:rPr>
          <w:rFonts w:ascii="ITC Avant Garde" w:eastAsia="Times New Roman" w:hAnsi="ITC Avant Garde" w:cs="Arial"/>
          <w:b/>
          <w:lang w:eastAsia="es-MX"/>
        </w:rPr>
        <w:t>NOVIEMBRE 2011</w:t>
      </w:r>
    </w:p>
    <w:p w14:paraId="6FC0DA92" w14:textId="77777777" w:rsidR="00382941" w:rsidRPr="00D631CA" w:rsidRDefault="00382941" w:rsidP="00000B03">
      <w:pPr>
        <w:spacing w:before="240" w:after="0" w:line="360" w:lineRule="auto"/>
        <w:ind w:left="567"/>
        <w:jc w:val="both"/>
        <w:rPr>
          <w:rFonts w:ascii="Arial" w:eastAsia="Times New Roman" w:hAnsi="Arial" w:cs="Arial"/>
          <w:sz w:val="16"/>
          <w:szCs w:val="16"/>
          <w:lang w:val="es-ES" w:eastAsia="es-MX"/>
        </w:rPr>
      </w:pPr>
      <w:r w:rsidRPr="00D631CA">
        <w:rPr>
          <w:rFonts w:ascii="Arial" w:eastAsia="Times New Roman" w:hAnsi="Arial" w:cs="Arial"/>
          <w:sz w:val="16"/>
          <w:szCs w:val="16"/>
          <w:lang w:val="es-ES" w:eastAsia="es-MX"/>
        </w:rPr>
        <w:t>*Tarifa en pesos: 0.3912 MXN</w:t>
      </w:r>
    </w:p>
    <w:p w14:paraId="46FAC780" w14:textId="77777777" w:rsidR="00D631CA" w:rsidRPr="00D631CA" w:rsidRDefault="00382941" w:rsidP="00000B03">
      <w:pPr>
        <w:spacing w:before="240" w:after="0" w:line="360" w:lineRule="auto"/>
        <w:ind w:left="567"/>
        <w:jc w:val="both"/>
        <w:rPr>
          <w:rFonts w:ascii="Arial" w:eastAsia="Times New Roman" w:hAnsi="Arial" w:cs="Arial"/>
          <w:b/>
          <w:sz w:val="16"/>
          <w:szCs w:val="16"/>
          <w:lang w:eastAsia="es-MX"/>
        </w:rPr>
      </w:pPr>
      <w:r w:rsidRPr="00D631CA">
        <w:rPr>
          <w:rFonts w:ascii="Arial" w:eastAsia="Times New Roman" w:hAnsi="Arial" w:cs="Arial"/>
          <w:b/>
          <w:sz w:val="16"/>
          <w:szCs w:val="16"/>
          <w:lang w:eastAsia="es-MX"/>
        </w:rPr>
        <w:t xml:space="preserve">Fuente: OVUM, </w:t>
      </w:r>
      <w:proofErr w:type="spellStart"/>
      <w:r w:rsidRPr="00D631CA">
        <w:rPr>
          <w:rFonts w:ascii="Arial" w:eastAsia="Times New Roman" w:hAnsi="Arial" w:cs="Arial"/>
          <w:b/>
          <w:sz w:val="16"/>
          <w:szCs w:val="16"/>
          <w:lang w:eastAsia="es-MX"/>
        </w:rPr>
        <w:t>Europe</w:t>
      </w:r>
      <w:proofErr w:type="spellEnd"/>
      <w:r w:rsidRPr="00D631CA">
        <w:rPr>
          <w:rFonts w:ascii="Arial" w:eastAsia="Times New Roman" w:hAnsi="Arial" w:cs="Arial"/>
          <w:b/>
          <w:sz w:val="16"/>
          <w:szCs w:val="16"/>
          <w:lang w:eastAsia="es-MX"/>
        </w:rPr>
        <w:t xml:space="preserve"> &amp; American </w:t>
      </w:r>
      <w:proofErr w:type="spellStart"/>
      <w:r w:rsidRPr="00D631CA">
        <w:rPr>
          <w:rFonts w:ascii="Arial" w:eastAsia="Times New Roman" w:hAnsi="Arial" w:cs="Arial"/>
          <w:b/>
          <w:sz w:val="16"/>
          <w:szCs w:val="16"/>
          <w:lang w:eastAsia="es-MX"/>
        </w:rPr>
        <w:t>Interconnect</w:t>
      </w:r>
      <w:proofErr w:type="spellEnd"/>
      <w:r w:rsidRPr="00D631CA">
        <w:rPr>
          <w:rFonts w:ascii="Arial" w:eastAsia="Times New Roman" w:hAnsi="Arial" w:cs="Arial"/>
          <w:b/>
          <w:sz w:val="16"/>
          <w:szCs w:val="16"/>
          <w:lang w:eastAsia="es-MX"/>
        </w:rPr>
        <w:t xml:space="preserve"> </w:t>
      </w:r>
      <w:proofErr w:type="spellStart"/>
      <w:r w:rsidRPr="00D631CA">
        <w:rPr>
          <w:rFonts w:ascii="Arial" w:eastAsia="Times New Roman" w:hAnsi="Arial" w:cs="Arial"/>
          <w:b/>
          <w:sz w:val="16"/>
          <w:szCs w:val="16"/>
          <w:lang w:eastAsia="es-MX"/>
        </w:rPr>
        <w:t>Benchmnarks</w:t>
      </w:r>
      <w:proofErr w:type="spellEnd"/>
      <w:r w:rsidRPr="00D631CA">
        <w:rPr>
          <w:rFonts w:ascii="Arial" w:eastAsia="Times New Roman" w:hAnsi="Arial" w:cs="Arial"/>
          <w:b/>
          <w:sz w:val="16"/>
          <w:szCs w:val="16"/>
          <w:lang w:eastAsia="es-MX"/>
        </w:rPr>
        <w:t>: Q4 2011.</w:t>
      </w:r>
    </w:p>
    <w:p w14:paraId="0FA9E330" w14:textId="77777777" w:rsidR="00D631CA" w:rsidRPr="00D631CA" w:rsidRDefault="00382941" w:rsidP="00D631CA">
      <w:pPr>
        <w:spacing w:before="240"/>
        <w:ind w:left="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En la Resolución recurrida se describió el método de </w:t>
      </w:r>
      <w:proofErr w:type="spellStart"/>
      <w:r w:rsidRPr="00D631CA">
        <w:rPr>
          <w:rFonts w:ascii="ITC Avant Garde" w:eastAsia="Times New Roman" w:hAnsi="ITC Avant Garde" w:cs="Arial"/>
          <w:lang w:val="es-ES" w:eastAsia="es-MX"/>
        </w:rPr>
        <w:t>anualización</w:t>
      </w:r>
      <w:proofErr w:type="spellEnd"/>
      <w:r w:rsidRPr="00D631CA">
        <w:rPr>
          <w:rFonts w:ascii="ITC Avant Garde" w:eastAsia="Times New Roman" w:hAnsi="ITC Avant Garde" w:cs="Arial"/>
          <w:lang w:val="es-ES" w:eastAsia="es-MX"/>
        </w:rPr>
        <w:t xml:space="preserve"> utilizado en el modelo, así como las variables que fueron empleadas en su cálculo. Para obtener el costo de capital anual (</w:t>
      </w:r>
      <w:proofErr w:type="spellStart"/>
      <w:r w:rsidRPr="00D631CA">
        <w:rPr>
          <w:rFonts w:ascii="ITC Avant Garde" w:eastAsia="Times New Roman" w:hAnsi="ITC Avant Garde" w:cs="Arial"/>
          <w:lang w:val="es-ES" w:eastAsia="es-MX"/>
        </w:rPr>
        <w:t>capex</w:t>
      </w:r>
      <w:proofErr w:type="spellEnd"/>
      <w:r w:rsidRPr="00D631CA">
        <w:rPr>
          <w:rFonts w:ascii="ITC Avant Garde" w:eastAsia="Times New Roman" w:hAnsi="ITC Avant Garde" w:cs="Arial"/>
          <w:lang w:val="es-ES" w:eastAsia="es-MX"/>
        </w:rPr>
        <w:t xml:space="preserve"> anual) se empleó la metodología consistente en anualizar la inversión para cada elemento de la red, en el que se incorpora la depreciación económica de la red a través de anualidades ajustadas tanto por cambios en la demanda de los servicios como en el valor de los activos. Esta anualidad se obtiene de la siguiente ecuación:</w:t>
      </w:r>
    </w:p>
    <w:p w14:paraId="12FF5206" w14:textId="77777777" w:rsidR="00D631CA" w:rsidRPr="00D631CA" w:rsidRDefault="00605C9D" w:rsidP="00D631CA">
      <w:pPr>
        <w:spacing w:before="240" w:line="360" w:lineRule="auto"/>
        <w:ind w:left="284"/>
        <w:jc w:val="both"/>
        <w:rPr>
          <w:rFonts w:ascii="Arial" w:eastAsia="Times New Roman" w:hAnsi="Arial" w:cs="Arial"/>
          <w:sz w:val="24"/>
          <w:szCs w:val="24"/>
          <w:lang w:val="es-ES" w:eastAsia="es-MX"/>
        </w:rPr>
      </w:pPr>
      <w:r w:rsidRPr="00D631CA">
        <w:rPr>
          <w:rFonts w:ascii="Arial" w:eastAsia="Times New Roman" w:hAnsi="Arial" w:cs="Arial"/>
          <w:sz w:val="24"/>
          <w:szCs w:val="24"/>
          <w:lang w:val="en-US" w:eastAsia="es-MX"/>
        </w:rPr>
        <w:object w:dxaOrig="3340" w:dyaOrig="720" w14:anchorId="67F0AB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órmula" style="width:166.55pt;height:36.55pt;mso-position-vertical:absolute" o:ole="">
            <v:imagedata r:id="rId9" o:title=""/>
          </v:shape>
          <o:OLEObject Type="Embed" ProgID="Equation.3" ShapeID="_x0000_i1025" DrawAspect="Content" ObjectID="_1577013807" r:id="rId10"/>
        </w:object>
      </w:r>
      <w:r w:rsidR="00382941" w:rsidRPr="00D631CA">
        <w:rPr>
          <w:rFonts w:ascii="Arial" w:eastAsia="Times New Roman" w:hAnsi="Arial" w:cs="Arial"/>
          <w:sz w:val="24"/>
          <w:szCs w:val="24"/>
          <w:lang w:val="es-ES" w:eastAsia="es-MX"/>
        </w:rPr>
        <w:t xml:space="preserve"> , donde  </w:t>
      </w:r>
      <w:r w:rsidRPr="00D631CA">
        <w:rPr>
          <w:rFonts w:ascii="Arial" w:eastAsia="Times New Roman" w:hAnsi="Arial" w:cs="Arial"/>
          <w:sz w:val="24"/>
          <w:szCs w:val="24"/>
          <w:lang w:val="en-US" w:eastAsia="es-MX"/>
        </w:rPr>
        <w:object w:dxaOrig="2240" w:dyaOrig="720" w14:anchorId="1700E610">
          <v:shape id="_x0000_i1026" type="#_x0000_t75" alt="Fórmula" style="width:112.85pt;height:36.55pt;mso-position-horizontal:absolute;mso-position-vertical:absolute" o:ole="">
            <v:imagedata r:id="rId11" o:title=""/>
          </v:shape>
          <o:OLEObject Type="Embed" ProgID="Equation.3" ShapeID="_x0000_i1026" DrawAspect="Content" ObjectID="_1577013808" r:id="rId12"/>
        </w:object>
      </w:r>
      <w:r w:rsidR="003C4FBA" w:rsidRPr="00D631CA">
        <w:rPr>
          <w:rFonts w:ascii="Arial" w:eastAsia="Times New Roman" w:hAnsi="Arial" w:cs="Arial"/>
          <w:sz w:val="24"/>
          <w:szCs w:val="24"/>
          <w:lang w:val="es-ES" w:eastAsia="es-MX"/>
        </w:rPr>
        <w:t xml:space="preserve">  </w:t>
      </w:r>
      <w:r w:rsidR="00382941" w:rsidRPr="00D631CA">
        <w:rPr>
          <w:rFonts w:ascii="Arial" w:eastAsia="Times New Roman" w:hAnsi="Arial" w:cs="Arial"/>
          <w:sz w:val="24"/>
          <w:szCs w:val="24"/>
          <w:lang w:val="es-ES" w:eastAsia="es-MX"/>
        </w:rPr>
        <w:t>ecuación (i)</w:t>
      </w:r>
    </w:p>
    <w:p w14:paraId="5AA72C34" w14:textId="25C85F5E" w:rsidR="00D631CA" w:rsidRPr="00D631CA" w:rsidRDefault="00382941" w:rsidP="00D631CA">
      <w:pPr>
        <w:spacing w:before="240"/>
        <w:ind w:left="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En donde, p corresponde a los cambios esperados en los precios de los elementos de red, g considera la utilización esperada del activo a lo largo de su vida útil; n son los años de </w:t>
      </w:r>
      <w:r w:rsidRPr="00D631CA">
        <w:rPr>
          <w:rFonts w:ascii="ITC Avant Garde" w:eastAsia="Times New Roman" w:hAnsi="ITC Avant Garde" w:cs="Arial"/>
          <w:lang w:val="es-ES" w:eastAsia="es-MX"/>
        </w:rPr>
        <w:lastRenderedPageBreak/>
        <w:t xml:space="preserve">vida útil del elemento, y r es la tasa de interés a la que se descuentan los costos incurridos en la inversión. </w:t>
      </w:r>
    </w:p>
    <w:p w14:paraId="6DD801F3" w14:textId="77777777" w:rsidR="00D631CA" w:rsidRPr="00D631CA" w:rsidRDefault="00382941" w:rsidP="00D631CA">
      <w:pPr>
        <w:spacing w:before="240"/>
        <w:ind w:left="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A mayor abundamiento y de manera ilustrativa se puede señalar que los modelos de costos presentados por las empresas móviles en el procedimiento llevado a cabo por el órgano regulador de las telecomunicaciones en Perú, se presentaron modelos de costos en los cuales no era necesario determinar la etapa de compra e instalación de la red y de la puesta de operación de la misma, si no que con base en la metodología de </w:t>
      </w:r>
      <w:proofErr w:type="spellStart"/>
      <w:r w:rsidRPr="00D631CA">
        <w:rPr>
          <w:rFonts w:ascii="ITC Avant Garde" w:eastAsia="Times New Roman" w:hAnsi="ITC Avant Garde" w:cs="Arial"/>
          <w:lang w:val="es-ES" w:eastAsia="es-MX"/>
        </w:rPr>
        <w:t>anualización</w:t>
      </w:r>
      <w:proofErr w:type="spellEnd"/>
      <w:r w:rsidRPr="00D631CA">
        <w:rPr>
          <w:rFonts w:ascii="ITC Avant Garde" w:eastAsia="Times New Roman" w:hAnsi="ITC Avant Garde" w:cs="Arial"/>
          <w:lang w:val="es-ES" w:eastAsia="es-MX"/>
        </w:rPr>
        <w:t xml:space="preserve"> se determinó primeramente la inversión necesaria y se calculó el factor anual de costos que se aplicaría para determinar los costos unitarios de proveer el servicio.</w:t>
      </w:r>
    </w:p>
    <w:p w14:paraId="45BD671B" w14:textId="77777777" w:rsidR="00D631CA" w:rsidRPr="00D631CA" w:rsidRDefault="00382941" w:rsidP="00D631CA">
      <w:pPr>
        <w:numPr>
          <w:ilvl w:val="0"/>
          <w:numId w:val="3"/>
        </w:numPr>
        <w:spacing w:before="240"/>
        <w:ind w:left="284" w:hanging="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El argumento de la Recurrente es improcedente por infundado, ya que como se señaló en la Resolución recurrida la tarifa de interconexión por terminación de tráfico en la red móvil deberá de tomar en cuenta los precios corrientes derivado de que los precios de los insumos muestran una tendencia decreciente a través del tiempo, lo cual es reflejo del constante avance tecnológico que vive el sector. 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w:t>
      </w:r>
    </w:p>
    <w:p w14:paraId="62F09780" w14:textId="77777777" w:rsidR="00D631CA" w:rsidRPr="00D631CA" w:rsidRDefault="00382941" w:rsidP="00D631CA">
      <w:pPr>
        <w:spacing w:before="240"/>
        <w:ind w:left="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Es importante mencionar que los precios de los activos incorporados en el modelo de costos se consideran con un nivel suficiente de agregación que incluyen diversos conceptos como los señalados por la Recurrente; y que al momento de la elaboración del modelo se realizó con base en la mejor información disponible.</w:t>
      </w:r>
    </w:p>
    <w:p w14:paraId="2FF4DF45" w14:textId="77777777" w:rsidR="00D631CA" w:rsidRPr="00D631CA" w:rsidRDefault="00382941" w:rsidP="00D631CA">
      <w:pPr>
        <w:spacing w:before="240"/>
        <w:ind w:left="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A mayor abundamiento, como se ha señalado en la propia resolución para la determinación de los costos de proveer el servicio, es necesario primeramente asignar e identificar aquellos costos que están directamente asociado a la prestación del servicio, es decir si existe un costo que es recuperado a través del usuario final o que no es necesario para la prestación del servicio este no deberá de ser incluido en el mismo, este el caso de aquellos costos originados por ejemplo por la publicidad y comercialización de servicios finales, asimismo como el servicio a costear es el servicio de terminación de voz en una red móvil, es necesario no incluir costos que estén directamente asociados a nuevos servicios o servicios distintos a los de voz, como sería el caso de transmisión de datos o acceso a internet o aplicaciones. Por lo cual, la extinta Comisión en su modelo identificó todos aquellos elementos necesarios para la prestación del servicio de voz en la cual el operador hipotético eficiente utilizará en su red la tecnología GSM.</w:t>
      </w:r>
    </w:p>
    <w:p w14:paraId="3004B21B" w14:textId="77777777" w:rsidR="00D631CA" w:rsidRPr="00D631CA" w:rsidRDefault="00382941" w:rsidP="00D631CA">
      <w:pPr>
        <w:spacing w:before="240"/>
        <w:ind w:left="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lastRenderedPageBreak/>
        <w:t xml:space="preserve">El Modelo de Costos desarrollado por la extinta Comisión es de un operador eficiente que toma en cuenta los costos de la red para la prestación del servicio de interconexión y que se consideran a costos corrientes o a precios de mercado. La razón por la que los costos de la red son valorados a costos corrientes es porque en un mercado competitivo, las empresas son compensadas exclusivamente por estos costos, y no así por sus costos históricos. Es importante mencionar que en un mercado en competencia, cuando una empresa fija sus precios por encima de los costos actuales o corrientes, otra empresa podría entrar al mercado ofreciendo menores precios, lo que obligaría a la primera a bajar sus precios para evitar así perder clientes. Es decir, el mercado actuaría como mecanismo para alinear el precio de los servicios a sus costos corrientes. Es así que para impulsar el desarrollo del sector el regulador debe propiciar la eficiencia </w:t>
      </w:r>
      <w:proofErr w:type="spellStart"/>
      <w:r w:rsidRPr="00D631CA">
        <w:rPr>
          <w:rFonts w:ascii="ITC Avant Garde" w:eastAsia="Times New Roman" w:hAnsi="ITC Avant Garde" w:cs="Arial"/>
          <w:lang w:val="es-ES" w:eastAsia="es-MX"/>
        </w:rPr>
        <w:t>asignativa</w:t>
      </w:r>
      <w:proofErr w:type="spellEnd"/>
      <w:r w:rsidRPr="00D631CA">
        <w:rPr>
          <w:rFonts w:ascii="ITC Avant Garde" w:eastAsia="Times New Roman" w:hAnsi="ITC Avant Garde" w:cs="Arial"/>
          <w:lang w:val="es-ES" w:eastAsia="es-MX"/>
        </w:rPr>
        <w:t>, en el sentido de que se establezcan los precios lo más cercanamente posible a los observados en un mercado competitivo, ya que es generalmente aceptado que estos precios son los que maximizan el bienestar social.</w:t>
      </w:r>
      <w:r w:rsidRPr="00D631CA">
        <w:rPr>
          <w:rFonts w:ascii="ITC Avant Garde" w:eastAsia="Times New Roman" w:hAnsi="ITC Avant Garde" w:cs="Arial"/>
          <w:vertAlign w:val="superscript"/>
          <w:lang w:val="es-ES" w:eastAsia="es-MX"/>
        </w:rPr>
        <w:footnoteReference w:id="10"/>
      </w:r>
    </w:p>
    <w:p w14:paraId="6C2CBBCB" w14:textId="77777777" w:rsidR="00D631CA" w:rsidRPr="00D631CA" w:rsidRDefault="00382941" w:rsidP="00D631CA">
      <w:pPr>
        <w:spacing w:before="240"/>
        <w:ind w:left="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De igual forma, en un mercado competitivo las empresas son compensadas únicamente por los costos en que incurriría una empresa eficiente. Por ejemplo, si una empresa incurriera en ineficiencias, como en exceso de capacidad de red o en mantener una tecnología obsoleta, una empresa eficiente podría entrar al mercado ofreciendo un menor precio, por lo que en un mercado competitivo las empresas tienen incentivos a minimizar sus costos y de este modo evitar perder participación de mercado. Al mismo tiempo, la entrada del nuevo competidor obligaría a la empresa establecida a eliminar sus ineficiencias para mantener la viabilidad de su operación hacia adelante. En este contexto, el regulador debe propiciar que se consiga la eficiencia productiva en el sentido de otorgar los suficientes incentivos para la minimización de costos.</w:t>
      </w:r>
      <w:r w:rsidRPr="00D631CA">
        <w:rPr>
          <w:rFonts w:ascii="ITC Avant Garde" w:eastAsia="Times New Roman" w:hAnsi="ITC Avant Garde" w:cs="Arial"/>
          <w:vertAlign w:val="superscript"/>
          <w:lang w:val="es-ES" w:eastAsia="es-MX"/>
        </w:rPr>
        <w:footnoteReference w:id="11"/>
      </w:r>
    </w:p>
    <w:p w14:paraId="625AF83D" w14:textId="77777777" w:rsidR="00D631CA" w:rsidRPr="00D631CA" w:rsidRDefault="00382941" w:rsidP="00D631CA">
      <w:pPr>
        <w:spacing w:before="240"/>
        <w:ind w:left="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La determinación de las tarifas de interconexión con base en los costos corrientes de una empresa eficiente es particularmente relevante en el sector telecomunicaciones en razón de que los precios de los insumos muestran una tendencia decreciente a través del tiempo, lo cual es reflejo del constante avance tecnológico que vive el sector. 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w:t>
      </w:r>
    </w:p>
    <w:p w14:paraId="20EC680B" w14:textId="77777777" w:rsidR="00D631CA" w:rsidRPr="00D631CA" w:rsidRDefault="00382941" w:rsidP="00D631CA">
      <w:pPr>
        <w:numPr>
          <w:ilvl w:val="0"/>
          <w:numId w:val="3"/>
        </w:numPr>
        <w:tabs>
          <w:tab w:val="left" w:pos="426"/>
        </w:tabs>
        <w:spacing w:before="240"/>
        <w:ind w:left="284" w:hanging="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lastRenderedPageBreak/>
        <w:t>El argumento de la Recurrente es improcedente, ya que como se ha mencionado a lo largo de la presente Resolución, el modelo de costos utilizado por la Comisión en la Resolución recurrida no se está costeando la red de la Recurrente, sino la red de un operador representativo.</w:t>
      </w:r>
    </w:p>
    <w:p w14:paraId="0EAE2591" w14:textId="77777777" w:rsidR="00D631CA" w:rsidRPr="00D631CA" w:rsidRDefault="00382941" w:rsidP="00D631CA">
      <w:pPr>
        <w:spacing w:before="240"/>
        <w:ind w:left="284"/>
        <w:contextualSpacing/>
        <w:jc w:val="both"/>
        <w:rPr>
          <w:rFonts w:ascii="ITC Avant Garde" w:hAnsi="ITC Avant Garde" w:cs="Arial"/>
        </w:rPr>
      </w:pPr>
      <w:r w:rsidRPr="00D631CA">
        <w:rPr>
          <w:rFonts w:ascii="ITC Avant Garde" w:hAnsi="ITC Avant Garde" w:cs="Arial"/>
        </w:rPr>
        <w:t>En lo que respecta a lo señalado por la Recurrente en el sentido de que la Comisión consideró un valor de 8% erróneo para el parámetro “porcentaje de tráfico en hora pico”, ya que el porcentaje de tráfico en hora cargada que Grupo Telefónica soporta actualmente en su red es del orden de 10.4%, no le asiste la razón a la Recurrente, ya que como se ha mencionado a lo largo del presente documento, no se está costeando la red del Grupo Telefónica, sino la red de un operador hipotético eficiente, asimismo dicha empresa no presenta información que sustente su dicho, lo anterior es particularmente importante debido a que las redes se dimensionan con base en un promedio del tráfico en hora pico y no en el tráfico de un día en particular.</w:t>
      </w:r>
    </w:p>
    <w:p w14:paraId="4733BE7C" w14:textId="77777777" w:rsidR="00D631CA" w:rsidRPr="00D631CA" w:rsidRDefault="00382941" w:rsidP="00D631CA">
      <w:pPr>
        <w:spacing w:before="240"/>
        <w:ind w:left="284"/>
        <w:contextualSpacing/>
        <w:jc w:val="both"/>
        <w:rPr>
          <w:rFonts w:ascii="ITC Avant Garde" w:hAnsi="ITC Avant Garde" w:cs="Arial"/>
        </w:rPr>
      </w:pPr>
      <w:r w:rsidRPr="00D631CA">
        <w:rPr>
          <w:rFonts w:ascii="ITC Avant Garde" w:hAnsi="ITC Avant Garde" w:cs="Arial"/>
        </w:rPr>
        <w:t>Ahora bien respecto al valor del 8% este valor fue determinado conforme a la información disponible con la que contaba la extinta Comisión entregada por los propios concesionarios en cumplimiento a sus títulos de concesión y de las obligaciones emanadas del marco jurídico vigente, así como de referencia internacional, el cual es acorde al tipo de operador que se está modelando como se observa a continuación. Telefónica del Perú en su modelo de costos estableció un porcentaje de tráfico en la hora pico de 7.37%</w:t>
      </w:r>
      <w:r w:rsidRPr="00D631CA">
        <w:rPr>
          <w:rFonts w:ascii="ITC Avant Garde" w:hAnsi="ITC Avant Garde" w:cs="Arial"/>
          <w:vertAlign w:val="superscript"/>
        </w:rPr>
        <w:footnoteReference w:id="12"/>
      </w:r>
      <w:r w:rsidRPr="00D631CA">
        <w:rPr>
          <w:rFonts w:ascii="ITC Avant Garde" w:hAnsi="ITC Avant Garde" w:cs="Arial"/>
        </w:rPr>
        <w:t>, el órgano regulador de las telecomunicaciones en Francia, ARCEP</w:t>
      </w:r>
      <w:r w:rsidRPr="00D631CA">
        <w:rPr>
          <w:rFonts w:ascii="ITC Avant Garde" w:hAnsi="ITC Avant Garde" w:cs="Arial"/>
          <w:vertAlign w:val="superscript"/>
        </w:rPr>
        <w:footnoteReference w:id="13"/>
      </w:r>
      <w:r w:rsidRPr="00D631CA">
        <w:rPr>
          <w:rFonts w:ascii="ITC Avant Garde" w:hAnsi="ITC Avant Garde" w:cs="Arial"/>
        </w:rPr>
        <w:t>, utilizó un factor de tráfico en hora pico de 8.1%, en el Reino Unido se utilizó un factor de 6.4% para 2011</w:t>
      </w:r>
      <w:r w:rsidRPr="00D631CA">
        <w:rPr>
          <w:rFonts w:ascii="ITC Avant Garde" w:hAnsi="ITC Avant Garde" w:cs="Arial"/>
          <w:vertAlign w:val="superscript"/>
        </w:rPr>
        <w:footnoteReference w:id="14"/>
      </w:r>
      <w:r w:rsidRPr="00D631CA">
        <w:rPr>
          <w:rFonts w:ascii="ITC Avant Garde" w:hAnsi="ITC Avant Garde" w:cs="Arial"/>
        </w:rPr>
        <w:t>.</w:t>
      </w:r>
    </w:p>
    <w:p w14:paraId="7D32D5DE" w14:textId="77777777" w:rsidR="00D631CA" w:rsidRPr="00D631CA" w:rsidRDefault="00382941" w:rsidP="00D631CA">
      <w:pPr>
        <w:numPr>
          <w:ilvl w:val="0"/>
          <w:numId w:val="3"/>
        </w:numPr>
        <w:tabs>
          <w:tab w:val="left" w:pos="426"/>
        </w:tabs>
        <w:spacing w:before="240"/>
        <w:ind w:left="284" w:hanging="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El argumento de la Recurrente es infundado, toda vez que al momento en que la extinta Comisión realizó el modelo no se contaba con la información del censo 2010, con lo cual se utilizó la mejor información disponible al momento de construir el modelo de costos.</w:t>
      </w:r>
    </w:p>
    <w:p w14:paraId="150B32E1" w14:textId="77777777" w:rsidR="00D631CA" w:rsidRPr="00D631CA" w:rsidRDefault="00382941" w:rsidP="00D631CA">
      <w:pPr>
        <w:numPr>
          <w:ilvl w:val="0"/>
          <w:numId w:val="3"/>
        </w:numPr>
        <w:tabs>
          <w:tab w:val="left" w:pos="426"/>
        </w:tabs>
        <w:spacing w:before="240"/>
        <w:ind w:left="284" w:hanging="284"/>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El argumento de la Recurrente es improcedente, ya que como se ha mencionado a lo largo del presente recurso, el modelo de costos utilizado por la extinta Comisión en la Resolución recurrida no se está costeando la red de la Recurrente, sino la red de un operador representativo.</w:t>
      </w:r>
    </w:p>
    <w:p w14:paraId="765752D9" w14:textId="77777777" w:rsidR="00D631CA" w:rsidRPr="00D631CA" w:rsidRDefault="00382941" w:rsidP="00D631CA">
      <w:pPr>
        <w:spacing w:before="240"/>
        <w:ind w:left="284"/>
        <w:contextualSpacing/>
        <w:jc w:val="both"/>
        <w:rPr>
          <w:rFonts w:ascii="ITC Avant Garde" w:hAnsi="ITC Avant Garde" w:cs="Arial"/>
        </w:rPr>
      </w:pPr>
      <w:r w:rsidRPr="00D631CA">
        <w:rPr>
          <w:rFonts w:ascii="ITC Avant Garde" w:hAnsi="ITC Avant Garde" w:cs="Arial"/>
        </w:rPr>
        <w:t xml:space="preserve">El modelo de costos de la Comisión determina los costos de un operador eficiente con una participación de mercado del 25%, con lo cual no se está determinando el costo de la Recurrente. </w:t>
      </w:r>
    </w:p>
    <w:p w14:paraId="4B5DCA3A" w14:textId="77777777" w:rsidR="00D631CA" w:rsidRPr="00D631CA" w:rsidRDefault="00382941" w:rsidP="00D631CA">
      <w:pPr>
        <w:spacing w:before="240"/>
        <w:ind w:left="284"/>
        <w:contextualSpacing/>
        <w:jc w:val="both"/>
        <w:rPr>
          <w:rFonts w:ascii="ITC Avant Garde" w:hAnsi="ITC Avant Garde" w:cs="Arial"/>
        </w:rPr>
      </w:pPr>
      <w:r w:rsidRPr="00D631CA">
        <w:rPr>
          <w:rFonts w:ascii="ITC Avant Garde" w:hAnsi="ITC Avant Garde" w:cs="Arial"/>
        </w:rPr>
        <w:lastRenderedPageBreak/>
        <w:t xml:space="preserve">Por principio de cuentas, es preciso señalar que para determinar los </w:t>
      </w:r>
      <w:proofErr w:type="spellStart"/>
      <w:r w:rsidRPr="00D631CA">
        <w:rPr>
          <w:rFonts w:ascii="ITC Avant Garde" w:hAnsi="ITC Avant Garde" w:cs="Arial"/>
        </w:rPr>
        <w:t>Erlangs</w:t>
      </w:r>
      <w:proofErr w:type="spellEnd"/>
      <w:r w:rsidRPr="00D631CA">
        <w:rPr>
          <w:rFonts w:ascii="ITC Avant Garde" w:hAnsi="ITC Avant Garde" w:cs="Arial"/>
        </w:rPr>
        <w:t xml:space="preserve"> promedio utilizados en el Modelo de Costos este se calcula tomando en consideración la capacidad espectral en término de TRX de un sector en base a los canales de espectro disponibles y del factor de reutilización del espectro, y por otra parte la capacidad física en términos de TRX del sector. La capacidad del BTS será la mínima entre la capacidad espectral y la capacidad física. Una vez conocida la capacidad en términos de TRX del sector, se calcula su capacidad en términos de </w:t>
      </w:r>
      <w:proofErr w:type="spellStart"/>
      <w:r w:rsidRPr="00D631CA">
        <w:rPr>
          <w:rFonts w:ascii="ITC Avant Garde" w:hAnsi="ITC Avant Garde" w:cs="Arial"/>
        </w:rPr>
        <w:t>Erlangs</w:t>
      </w:r>
      <w:proofErr w:type="spellEnd"/>
      <w:r w:rsidRPr="00D631CA">
        <w:rPr>
          <w:rFonts w:ascii="ITC Avant Garde" w:hAnsi="ITC Avant Garde" w:cs="Arial"/>
        </w:rPr>
        <w:t xml:space="preserve"> en función de la probabilidad de bloqueo de radio (radio </w:t>
      </w:r>
      <w:proofErr w:type="spellStart"/>
      <w:r w:rsidRPr="00D631CA">
        <w:rPr>
          <w:rFonts w:ascii="ITC Avant Garde" w:hAnsi="ITC Avant Garde" w:cs="Arial"/>
        </w:rPr>
        <w:t>blocking</w:t>
      </w:r>
      <w:proofErr w:type="spellEnd"/>
      <w:r w:rsidRPr="00D631CA">
        <w:rPr>
          <w:rFonts w:ascii="ITC Avant Garde" w:hAnsi="ITC Avant Garde" w:cs="Arial"/>
        </w:rPr>
        <w:t xml:space="preserve"> </w:t>
      </w:r>
      <w:proofErr w:type="spellStart"/>
      <w:r w:rsidRPr="00D631CA">
        <w:rPr>
          <w:rFonts w:ascii="ITC Avant Garde" w:hAnsi="ITC Avant Garde" w:cs="Arial"/>
        </w:rPr>
        <w:t>probability</w:t>
      </w:r>
      <w:proofErr w:type="spellEnd"/>
      <w:r w:rsidRPr="00D631CA">
        <w:rPr>
          <w:rFonts w:ascii="ITC Avant Garde" w:hAnsi="ITC Avant Garde" w:cs="Arial"/>
        </w:rPr>
        <w:t xml:space="preserve">). </w:t>
      </w:r>
    </w:p>
    <w:p w14:paraId="46610B83" w14:textId="77777777" w:rsidR="00D631CA" w:rsidRPr="00D631CA" w:rsidRDefault="00382941" w:rsidP="00D631CA">
      <w:pPr>
        <w:spacing w:before="240"/>
        <w:ind w:left="284"/>
        <w:contextualSpacing/>
        <w:jc w:val="both"/>
        <w:rPr>
          <w:rFonts w:ascii="ITC Avant Garde" w:hAnsi="ITC Avant Garde" w:cs="Arial"/>
        </w:rPr>
      </w:pPr>
      <w:r w:rsidRPr="00D631CA">
        <w:rPr>
          <w:rFonts w:ascii="ITC Avant Garde" w:hAnsi="ITC Avant Garde" w:cs="Arial"/>
        </w:rPr>
        <w:t xml:space="preserve">Cabe mencionar que en términos de la capacidad de </w:t>
      </w:r>
      <w:proofErr w:type="spellStart"/>
      <w:r w:rsidRPr="00D631CA">
        <w:rPr>
          <w:rFonts w:ascii="ITC Avant Garde" w:hAnsi="ITC Avant Garde" w:cs="Arial"/>
        </w:rPr>
        <w:t>Erlangs</w:t>
      </w:r>
      <w:proofErr w:type="spellEnd"/>
      <w:r w:rsidRPr="00D631CA">
        <w:rPr>
          <w:rFonts w:ascii="ITC Avant Garde" w:hAnsi="ITC Avant Garde" w:cs="Arial"/>
        </w:rPr>
        <w:t xml:space="preserve"> de TRX en el modelo francés en su consulta pública fue de 8.65 para una celda urbana independientemente de la banda de frecuencia utilizada. Sin embargo, cuando se realizaron las modificaciones al modelo, este parámetro cambio a 7.97</w:t>
      </w:r>
      <w:r w:rsidRPr="00D631CA">
        <w:rPr>
          <w:rFonts w:ascii="ITC Avant Garde" w:hAnsi="ITC Avant Garde" w:cs="Arial"/>
          <w:vertAlign w:val="superscript"/>
        </w:rPr>
        <w:footnoteReference w:id="15"/>
      </w:r>
      <w:r w:rsidRPr="00D631CA">
        <w:rPr>
          <w:rFonts w:ascii="ITC Avant Garde" w:hAnsi="ITC Avant Garde" w:cs="Arial"/>
        </w:rPr>
        <w:t xml:space="preserve">, en el caso del Modelo del órgano regulador de las telecomunicaciones del Reino Unido se puede observar un factor de 10.60 o de 6.40 dependiendo de la banda de frecuencia utilizada, con lo cual se puede observar que la capacidad de </w:t>
      </w:r>
      <w:proofErr w:type="spellStart"/>
      <w:r w:rsidRPr="00D631CA">
        <w:rPr>
          <w:rFonts w:ascii="ITC Avant Garde" w:hAnsi="ITC Avant Garde" w:cs="Arial"/>
        </w:rPr>
        <w:t>Erlangs</w:t>
      </w:r>
      <w:proofErr w:type="spellEnd"/>
      <w:r w:rsidRPr="00D631CA">
        <w:rPr>
          <w:rFonts w:ascii="ITC Avant Garde" w:hAnsi="ITC Avant Garde" w:cs="Arial"/>
        </w:rPr>
        <w:t xml:space="preserve"> es menor a lo que utilizó el órgano regulador de Francia y en el Reino Unido.</w:t>
      </w:r>
    </w:p>
    <w:p w14:paraId="6684E839" w14:textId="77777777" w:rsidR="00D631CA" w:rsidRPr="00D631CA" w:rsidRDefault="00382941" w:rsidP="00D631CA">
      <w:pPr>
        <w:spacing w:before="240"/>
        <w:ind w:left="284"/>
        <w:contextualSpacing/>
        <w:rPr>
          <w:rFonts w:ascii="ITC Avant Garde" w:hAnsi="ITC Avant Garde" w:cs="Arial"/>
        </w:rPr>
      </w:pPr>
      <w:r w:rsidRPr="00D631CA">
        <w:rPr>
          <w:rFonts w:ascii="ITC Avant Garde" w:hAnsi="ITC Avant Garde" w:cs="Arial"/>
        </w:rPr>
        <w:t>En los modelos de costos se ha utilizado número de días anuales con hora pico de 250 días, lo cual es congruente con lo determinado por la extinta Comisión.</w:t>
      </w:r>
    </w:p>
    <w:p w14:paraId="57834473" w14:textId="77777777" w:rsidR="00D631CA" w:rsidRPr="00D631CA" w:rsidRDefault="00382941" w:rsidP="00D631CA">
      <w:pPr>
        <w:spacing w:before="240"/>
        <w:ind w:left="284"/>
        <w:contextualSpacing/>
        <w:jc w:val="both"/>
        <w:rPr>
          <w:rFonts w:ascii="ITC Avant Garde" w:hAnsi="ITC Avant Garde" w:cs="Arial"/>
        </w:rPr>
      </w:pPr>
      <w:r w:rsidRPr="00D631CA">
        <w:rPr>
          <w:rFonts w:ascii="ITC Avant Garde" w:hAnsi="ITC Avant Garde" w:cs="Arial"/>
        </w:rPr>
        <w:t>Asimismo, sobre los intentos de llamadas no corresponden al valor que se observa en la red de la Recurrente es preciso señalar que el Modelo de Costos toma en consideración un operador hipotético eficiente y no un operador en particular, además de que dicha empresa no presenta información que sustente su dicho. Por otro lado, en el Modelo de costos utilizado por el órgano regulador de las telecomunicaciones en Francia para establecer las tarifas de interconexión, se utilizó un relación de 1.02 como intentos de llamada, con lo cual se puede observar que el parámetro utilizado por la Comisión el cual es de 1.1, es consistente con lo utilizado en otro modelos de costos.</w:t>
      </w:r>
    </w:p>
    <w:p w14:paraId="478E62E8"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Por lo que hace al numeral II del Primer Agravio, denominado Modelo de Costos Incrementales de largo plazo, la Recurrente argumenta que el modelo de costos elaborado por la Comisión se basa en el modelo de costos elaborado por la Secretaría para resolver diversos desacuerdos de interconexión, el cual tuvo su génesis en dos estudios previos: i) el primero e1s el análisis del modelo de costos contratado por la Comisión en el año 2005 a la empresa de consultoría </w:t>
      </w:r>
      <w:proofErr w:type="spellStart"/>
      <w:r w:rsidRPr="00D631CA">
        <w:rPr>
          <w:rFonts w:ascii="ITC Avant Garde" w:eastAsia="Times New Roman" w:hAnsi="ITC Avant Garde" w:cs="Arial"/>
          <w:lang w:val="es-ES" w:eastAsia="es-MX"/>
        </w:rPr>
        <w:t>Analysys</w:t>
      </w:r>
      <w:proofErr w:type="spellEnd"/>
      <w:r w:rsidRPr="00D631CA">
        <w:rPr>
          <w:rFonts w:ascii="ITC Avant Garde" w:eastAsia="Times New Roman" w:hAnsi="ITC Avant Garde" w:cs="Arial"/>
          <w:lang w:val="es-ES" w:eastAsia="es-MX"/>
        </w:rPr>
        <w:t xml:space="preserve">, al que se le “actualizó” información y se introdujo el concepto de operador “representativo”, y ii) el segundo en la metodología desarrollada por </w:t>
      </w:r>
      <w:proofErr w:type="spellStart"/>
      <w:r w:rsidRPr="00D631CA">
        <w:rPr>
          <w:rFonts w:ascii="ITC Avant Garde" w:eastAsia="Times New Roman" w:hAnsi="ITC Avant Garde" w:cs="Arial"/>
          <w:lang w:val="es-ES" w:eastAsia="es-MX"/>
        </w:rPr>
        <w:t>Wik</w:t>
      </w:r>
      <w:proofErr w:type="spellEnd"/>
      <w:r w:rsidRPr="00D631CA">
        <w:rPr>
          <w:rFonts w:ascii="ITC Avant Garde" w:eastAsia="Times New Roman" w:hAnsi="ITC Avant Garde" w:cs="Arial"/>
          <w:lang w:val="es-ES" w:eastAsia="es-MX"/>
        </w:rPr>
        <w:t xml:space="preserve"> </w:t>
      </w:r>
      <w:proofErr w:type="spellStart"/>
      <w:r w:rsidRPr="00D631CA">
        <w:rPr>
          <w:rFonts w:ascii="ITC Avant Garde" w:eastAsia="Times New Roman" w:hAnsi="ITC Avant Garde" w:cs="Arial"/>
          <w:lang w:val="es-ES" w:eastAsia="es-MX"/>
        </w:rPr>
        <w:t>Consult</w:t>
      </w:r>
      <w:proofErr w:type="spellEnd"/>
      <w:r w:rsidRPr="00D631CA">
        <w:rPr>
          <w:rFonts w:ascii="ITC Avant Garde" w:eastAsia="Times New Roman" w:hAnsi="ITC Avant Garde" w:cs="Arial"/>
          <w:lang w:val="es-ES" w:eastAsia="es-MX"/>
        </w:rPr>
        <w:t xml:space="preserve">. </w:t>
      </w:r>
    </w:p>
    <w:p w14:paraId="78166D82"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Menciona la Recurrente que ni el estudio de </w:t>
      </w:r>
      <w:proofErr w:type="spellStart"/>
      <w:r w:rsidRPr="00D631CA">
        <w:rPr>
          <w:rFonts w:ascii="ITC Avant Garde" w:eastAsia="Times New Roman" w:hAnsi="ITC Avant Garde" w:cs="Arial"/>
          <w:lang w:val="es-ES" w:eastAsia="es-MX"/>
        </w:rPr>
        <w:t>Analysys</w:t>
      </w:r>
      <w:proofErr w:type="spellEnd"/>
      <w:r w:rsidRPr="00D631CA">
        <w:rPr>
          <w:rFonts w:ascii="ITC Avant Garde" w:eastAsia="Times New Roman" w:hAnsi="ITC Avant Garde" w:cs="Arial"/>
          <w:lang w:val="es-ES" w:eastAsia="es-MX"/>
        </w:rPr>
        <w:t xml:space="preserve">, ni el elaborado por </w:t>
      </w:r>
      <w:proofErr w:type="spellStart"/>
      <w:r w:rsidRPr="00D631CA">
        <w:rPr>
          <w:rFonts w:ascii="ITC Avant Garde" w:eastAsia="Times New Roman" w:hAnsi="ITC Avant Garde" w:cs="Arial"/>
          <w:lang w:val="es-ES" w:eastAsia="es-MX"/>
        </w:rPr>
        <w:t>Wik</w:t>
      </w:r>
      <w:proofErr w:type="spellEnd"/>
      <w:r w:rsidRPr="00D631CA">
        <w:rPr>
          <w:rFonts w:ascii="ITC Avant Garde" w:eastAsia="Times New Roman" w:hAnsi="ITC Avant Garde" w:cs="Arial"/>
          <w:lang w:val="es-ES" w:eastAsia="es-MX"/>
        </w:rPr>
        <w:t xml:space="preserve"> </w:t>
      </w:r>
      <w:proofErr w:type="spellStart"/>
      <w:r w:rsidRPr="00D631CA">
        <w:rPr>
          <w:rFonts w:ascii="ITC Avant Garde" w:eastAsia="Times New Roman" w:hAnsi="ITC Avant Garde" w:cs="Arial"/>
          <w:lang w:val="es-ES" w:eastAsia="es-MX"/>
        </w:rPr>
        <w:t>Consult</w:t>
      </w:r>
      <w:proofErr w:type="spellEnd"/>
      <w:r w:rsidRPr="00D631CA">
        <w:rPr>
          <w:rFonts w:ascii="ITC Avant Garde" w:eastAsia="Times New Roman" w:hAnsi="ITC Avant Garde" w:cs="Arial"/>
          <w:lang w:val="es-ES" w:eastAsia="es-MX"/>
        </w:rPr>
        <w:t xml:space="preserve"> le fueron proporcionados a fin de que pueda apreciar la veracidad y suficiencia de dicha </w:t>
      </w:r>
      <w:r w:rsidRPr="00D631CA">
        <w:rPr>
          <w:rFonts w:ascii="ITC Avant Garde" w:eastAsia="Times New Roman" w:hAnsi="ITC Avant Garde" w:cs="Arial"/>
          <w:lang w:val="es-ES" w:eastAsia="es-MX"/>
        </w:rPr>
        <w:lastRenderedPageBreak/>
        <w:t xml:space="preserve">metodología, limitándose a referenciar la página de Internet de dichas empresas. Indica que esa omisión por parte de la Comisión afecta sustancialmente su defensa en el desacuerdo de interconexión, por lo que trasciende tal vicio a la Resolución recurrida por estar la misma fundada en un documento diverso que no le fue entregado a la Recurrente dejándola en completo estado de indefensión. </w:t>
      </w:r>
    </w:p>
    <w:p w14:paraId="7223FE6F"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Al respecto, se considera que el argumento de la Recurrente es infundado, toda vez que en la Resolución recurrida se expuso tanto la metodología como el modelo de costos utilizado por la extinta Comisión para determinar las tarifas de interconexión. De ahí que la Recurrente se hizo conocedora del modelo de costos, tan es así que hace valer agravios en contra de aspectos concretos del modelo de costos.</w:t>
      </w:r>
    </w:p>
    <w:p w14:paraId="0B8E8DD4"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Respecto al numeral III del Primer Agravio, denominado Partes Integrantes del Modelo de Costos, la Recurrente hace una descripción de la primer parte del modelo de costos utilizado por la Comisión en la Resolución recurrida y menciona que la explicación del origen de los valores utilizados por la Comisión es insuficiente para justificar la veracidad de los mismos y contradictoria con otros parámetros, como indica a continuación.</w:t>
      </w:r>
    </w:p>
    <w:p w14:paraId="18989AE3" w14:textId="77777777" w:rsidR="00D631CA" w:rsidRPr="00D631CA" w:rsidRDefault="00382941" w:rsidP="00D631CA">
      <w:pPr>
        <w:numPr>
          <w:ilvl w:val="0"/>
          <w:numId w:val="10"/>
        </w:numPr>
        <w:spacing w:before="240"/>
        <w:ind w:left="284" w:hanging="284"/>
        <w:contextualSpacing/>
        <w:jc w:val="both"/>
        <w:rPr>
          <w:rFonts w:ascii="ITC Avant Garde" w:eastAsia="Calibri" w:hAnsi="ITC Avant Garde" w:cs="Arial"/>
        </w:rPr>
      </w:pPr>
      <w:r w:rsidRPr="00D631CA">
        <w:rPr>
          <w:rFonts w:ascii="ITC Avant Garde" w:eastAsia="Calibri" w:hAnsi="ITC Avant Garde" w:cs="Arial"/>
        </w:rPr>
        <w:t>La Recurrente señala que los minutos de salida son estimados con base en proyecciones cuyos cálculos en el modelo de costos carecen de fundamentación y motivación por parte de la Comisión. Además, menciona la existencia de una contradicción entre las fuentes empleadas, entre el Anexo de la Resolución recurrida y la Tabla 2 del cuerpo de la propia Resolución recurrida.</w:t>
      </w:r>
    </w:p>
    <w:p w14:paraId="4BF87BA6"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Al respecto, esta autoridad considera que no existe ninguna contradicción sobre la tabla 2 del cuerpo de la Resolución y el Anexo del Modelo, derivado de que primeramente en la Tabla 2 se señaló que se realizó una estimación por parte de la extinta Comisión con base en la información de una empresa y se realizaron proyecciones de crecimiento. Asimismo se señaló que el tráfico, es decir los minutos de salida fueron medido en tiempo real o segundo. Por lo anterior, la fuente fue la propia Comisión.</w:t>
      </w:r>
    </w:p>
    <w:p w14:paraId="729D5BD4"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 xml:space="preserve">Asimismo, en el Anexo de Modelo se señaló que se realizaron estimaciones con base en los minutos reportados por </w:t>
      </w:r>
      <w:proofErr w:type="spellStart"/>
      <w:r w:rsidRPr="00D631CA">
        <w:rPr>
          <w:rFonts w:ascii="ITC Avant Garde" w:eastAsia="Calibri" w:hAnsi="ITC Avant Garde" w:cs="Arial"/>
        </w:rPr>
        <w:t>Merry</w:t>
      </w:r>
      <w:proofErr w:type="spellEnd"/>
      <w:r w:rsidRPr="00D631CA">
        <w:rPr>
          <w:rFonts w:ascii="ITC Avant Garde" w:eastAsia="Calibri" w:hAnsi="ITC Avant Garde" w:cs="Arial"/>
        </w:rPr>
        <w:t xml:space="preserve"> Lynch, Global Wireless </w:t>
      </w:r>
      <w:proofErr w:type="spellStart"/>
      <w:r w:rsidRPr="00D631CA">
        <w:rPr>
          <w:rFonts w:ascii="ITC Avant Garde" w:eastAsia="Calibri" w:hAnsi="ITC Avant Garde" w:cs="Arial"/>
        </w:rPr>
        <w:t>Matrix</w:t>
      </w:r>
      <w:proofErr w:type="spellEnd"/>
      <w:r w:rsidRPr="00D631CA">
        <w:rPr>
          <w:rFonts w:ascii="ITC Avant Garde" w:eastAsia="Calibri" w:hAnsi="ITC Avant Garde" w:cs="Arial"/>
        </w:rPr>
        <w:t xml:space="preserve">, pero que se debió realizar un ajuste considerando la relación minutos de salida y de entrada, posteriormente se ajustaron los datos para eliminar ajustes por redondeo y reflejar la duración de tiempo real. Por lo cual, la fuente de los datos fue la propia Comisión, quien fue la que estimó los minutos de salida y realizó los ajustes pertinentes. </w:t>
      </w:r>
    </w:p>
    <w:p w14:paraId="2F6BED6B" w14:textId="77777777" w:rsidR="00D631CA" w:rsidRPr="00D631CA" w:rsidRDefault="00382941" w:rsidP="00D631CA">
      <w:pPr>
        <w:numPr>
          <w:ilvl w:val="0"/>
          <w:numId w:val="10"/>
        </w:numPr>
        <w:spacing w:before="240"/>
        <w:ind w:left="284" w:hanging="284"/>
        <w:contextualSpacing/>
        <w:jc w:val="both"/>
        <w:rPr>
          <w:rFonts w:ascii="ITC Avant Garde" w:eastAsia="Calibri" w:hAnsi="ITC Avant Garde" w:cs="Arial"/>
        </w:rPr>
      </w:pPr>
      <w:r w:rsidRPr="00D631CA">
        <w:rPr>
          <w:rFonts w:ascii="ITC Avant Garde" w:eastAsia="Calibri" w:hAnsi="ITC Avant Garde" w:cs="Arial"/>
        </w:rPr>
        <w:t>No le parece claro la fuente utilizada por la Comisión para determinar la relación entre minutos de salida y minutos de entrada (con un valor de 93%).</w:t>
      </w:r>
    </w:p>
    <w:p w14:paraId="78DA3E74"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lastRenderedPageBreak/>
        <w:t>Al respecto, es de manifestarse que este valor es un supuesto realizado por la extinta Comisión tomando en consideración la información presentada por las propias empresas sobre los minutos de entrada y salida.</w:t>
      </w:r>
    </w:p>
    <w:p w14:paraId="3AC80133"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 xml:space="preserve">Asimismo, en relación al señalamiento de la </w:t>
      </w:r>
      <w:r w:rsidR="00180CC9" w:rsidRPr="00D631CA">
        <w:rPr>
          <w:rFonts w:ascii="ITC Avant Garde" w:eastAsia="Calibri" w:hAnsi="ITC Avant Garde" w:cs="Arial"/>
        </w:rPr>
        <w:t>Recurrente</w:t>
      </w:r>
      <w:r w:rsidRPr="00D631CA">
        <w:rPr>
          <w:rFonts w:ascii="ITC Avant Garde" w:eastAsia="Calibri" w:hAnsi="ITC Avant Garde" w:cs="Arial"/>
        </w:rPr>
        <w:t xml:space="preserve"> sobre que no se encuentra evidencia de que se haya aplicado efectivamente un modelo “</w:t>
      </w:r>
      <w:proofErr w:type="spellStart"/>
      <w:r w:rsidRPr="00D631CA">
        <w:rPr>
          <w:rFonts w:ascii="ITC Avant Garde" w:eastAsia="Calibri" w:hAnsi="ITC Avant Garde" w:cs="Arial"/>
        </w:rPr>
        <w:t>Scorched</w:t>
      </w:r>
      <w:proofErr w:type="spellEnd"/>
      <w:r w:rsidRPr="00D631CA">
        <w:rPr>
          <w:rFonts w:ascii="ITC Avant Garde" w:eastAsia="Calibri" w:hAnsi="ITC Avant Garde" w:cs="Arial"/>
        </w:rPr>
        <w:t xml:space="preserve"> </w:t>
      </w:r>
      <w:proofErr w:type="spellStart"/>
      <w:r w:rsidRPr="00D631CA">
        <w:rPr>
          <w:rFonts w:ascii="ITC Avant Garde" w:eastAsia="Calibri" w:hAnsi="ITC Avant Garde" w:cs="Arial"/>
        </w:rPr>
        <w:t>Earth</w:t>
      </w:r>
      <w:proofErr w:type="spellEnd"/>
      <w:r w:rsidRPr="00D631CA">
        <w:rPr>
          <w:rFonts w:ascii="ITC Avant Garde" w:eastAsia="Calibri" w:hAnsi="ITC Avant Garde" w:cs="Arial"/>
        </w:rPr>
        <w:t xml:space="preserve">”, ni que se haya utilizado información sobre la topografía mexicana y la distribución poblacional que se observa en este mercado conforme a los Lineamientos publicados en el DOF el 12 de abril de 2012. En primer </w:t>
      </w:r>
      <w:r w:rsidR="001B298F" w:rsidRPr="00D631CA">
        <w:rPr>
          <w:rFonts w:ascii="ITC Avant Garde" w:eastAsia="Calibri" w:hAnsi="ITC Avant Garde" w:cs="Arial"/>
        </w:rPr>
        <w:t xml:space="preserve">lugar </w:t>
      </w:r>
      <w:r w:rsidRPr="00D631CA">
        <w:rPr>
          <w:rFonts w:ascii="ITC Avant Garde" w:eastAsia="Calibri" w:hAnsi="ITC Avant Garde" w:cs="Arial"/>
        </w:rPr>
        <w:t>se precisa que la resolución reclamada no se fundamentó en los citados Lineamientos ya que el periodo de vigencia de estos discurrió del primero de enero de 2012 al 31 de diciembre de 2014.</w:t>
      </w:r>
    </w:p>
    <w:p w14:paraId="7205B860" w14:textId="679ADAC7" w:rsidR="00382941"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 xml:space="preserve">Asimismo, se señala que no obstante que dicha resolución no se sustenta en los Lineamientos, si se aplicó un enfoque </w:t>
      </w:r>
      <w:proofErr w:type="spellStart"/>
      <w:r w:rsidRPr="00D631CA">
        <w:rPr>
          <w:rFonts w:ascii="ITC Avant Garde" w:eastAsia="Calibri" w:hAnsi="ITC Avant Garde" w:cs="Arial"/>
        </w:rPr>
        <w:t>Bottom</w:t>
      </w:r>
      <w:proofErr w:type="spellEnd"/>
      <w:r w:rsidRPr="00D631CA">
        <w:rPr>
          <w:rFonts w:ascii="ITC Avant Garde" w:eastAsia="Calibri" w:hAnsi="ITC Avant Garde" w:cs="Arial"/>
        </w:rPr>
        <w:t xml:space="preserve">-Up y subsecuentemente un diseño </w:t>
      </w:r>
      <w:proofErr w:type="spellStart"/>
      <w:r w:rsidRPr="00D631CA">
        <w:rPr>
          <w:rFonts w:ascii="ITC Avant Garde" w:eastAsia="Calibri" w:hAnsi="ITC Avant Garde" w:cs="Arial"/>
        </w:rPr>
        <w:t>Scorched</w:t>
      </w:r>
      <w:proofErr w:type="spellEnd"/>
      <w:r w:rsidRPr="00D631CA">
        <w:rPr>
          <w:rFonts w:ascii="ITC Avant Garde" w:eastAsia="Calibri" w:hAnsi="ITC Avant Garde" w:cs="Arial"/>
        </w:rPr>
        <w:t xml:space="preserve"> </w:t>
      </w:r>
      <w:proofErr w:type="spellStart"/>
      <w:r w:rsidRPr="00D631CA">
        <w:rPr>
          <w:rFonts w:ascii="ITC Avant Garde" w:eastAsia="Calibri" w:hAnsi="ITC Avant Garde" w:cs="Arial"/>
        </w:rPr>
        <w:t>Earth</w:t>
      </w:r>
      <w:proofErr w:type="spellEnd"/>
      <w:r w:rsidRPr="00D631CA">
        <w:rPr>
          <w:rFonts w:ascii="ITC Avant Garde" w:eastAsia="Calibri" w:hAnsi="ITC Avant Garde" w:cs="Arial"/>
        </w:rPr>
        <w:t xml:space="preserve"> como se explica de manera amplia en la propia resolución.</w:t>
      </w:r>
    </w:p>
    <w:p w14:paraId="09D8A467"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Particularmente en lo que corresponde a la red móvil, de fojas 61 a 63 de la resolución recurrida se menciona lo siguiente:</w:t>
      </w:r>
    </w:p>
    <w:p w14:paraId="2B2A0F26" w14:textId="77777777" w:rsidR="00D631CA" w:rsidRPr="00D631CA" w:rsidRDefault="00382941" w:rsidP="00D631CA">
      <w:pPr>
        <w:spacing w:before="240"/>
        <w:ind w:left="567" w:right="902"/>
        <w:jc w:val="both"/>
        <w:rPr>
          <w:rFonts w:ascii="ITC Avant Garde" w:eastAsia="Calibri" w:hAnsi="ITC Avant Garde" w:cs="Arial"/>
        </w:rPr>
      </w:pPr>
      <w:r w:rsidRPr="00D631CA">
        <w:rPr>
          <w:rFonts w:ascii="ITC Avant Garde" w:eastAsia="Calibri" w:hAnsi="ITC Avant Garde" w:cs="Arial"/>
        </w:rPr>
        <w:t>“Al dimensionar la red del operador representativo, se utilizó información que refleja las condiciones bajo las cuales operan los operadores de telefonía móvil en México. Asimismo, se estimaron todos los elementos necesarios para satisfacer dicha demanda con la calidad de servicio especificada. Cabe señalar que la demanda toma en consideración tanto el número de subscriptores como la utilización de los servicios.</w:t>
      </w:r>
    </w:p>
    <w:p w14:paraId="4F6CA1DA" w14:textId="77777777" w:rsidR="00D631CA" w:rsidRPr="00D631CA" w:rsidRDefault="00382941" w:rsidP="00D631CA">
      <w:pPr>
        <w:spacing w:before="240"/>
        <w:ind w:left="567" w:right="902"/>
        <w:jc w:val="both"/>
        <w:rPr>
          <w:rFonts w:ascii="ITC Avant Garde" w:eastAsia="Calibri" w:hAnsi="ITC Avant Garde" w:cs="Arial"/>
        </w:rPr>
      </w:pPr>
      <w:r w:rsidRPr="00D631CA">
        <w:rPr>
          <w:rFonts w:ascii="ITC Avant Garde" w:eastAsia="Calibri" w:hAnsi="ITC Avant Garde" w:cs="Arial"/>
        </w:rPr>
        <w:t>En el modelo de CITLP la demanda actual y su proyección se obtienen con información públicamente disponible de variables tales como población, niveles de penetración, características de uso, entre otras. En este caso, para definir el número de suscriptores de servicios de telefonía móvil, se utilizaron las proyecciones demográficas del Consejo Nacional de Población (CONAPO) y estimaciones de la penetración de los servicios de telecomunicaciones en la población.</w:t>
      </w:r>
    </w:p>
    <w:p w14:paraId="6AD04130" w14:textId="77777777" w:rsidR="00D631CA" w:rsidRPr="00D631CA" w:rsidRDefault="00382941" w:rsidP="00D631CA">
      <w:pPr>
        <w:spacing w:before="240"/>
        <w:ind w:left="567" w:right="902"/>
        <w:jc w:val="both"/>
        <w:rPr>
          <w:rFonts w:ascii="ITC Avant Garde" w:eastAsia="Calibri" w:hAnsi="ITC Avant Garde" w:cs="Arial"/>
        </w:rPr>
      </w:pPr>
      <w:r w:rsidRPr="00D631CA">
        <w:rPr>
          <w:rFonts w:ascii="ITC Avant Garde" w:eastAsia="Calibri" w:hAnsi="ITC Avant Garde" w:cs="Arial"/>
        </w:rPr>
        <w:t xml:space="preserve">Las estimaciones de la penetración de dichos servicios se obtuvieron a través del ajuste de una curva de tipo logístico (denominada frecuentemente curva o función S), que es una función matemática comúnmente utilizada para estos fines, porque sirve para generar escenarios que reflejan posibilidades de crecimiento de población, o de difusión en diversos contextos, en este caso en las telecomunicaciones. Los parámetros que se requieren para especificar una </w:t>
      </w:r>
      <w:r w:rsidRPr="00D631CA">
        <w:rPr>
          <w:rFonts w:ascii="ITC Avant Garde" w:eastAsia="Calibri" w:hAnsi="ITC Avant Garde" w:cs="Arial"/>
        </w:rPr>
        <w:lastRenderedPageBreak/>
        <w:t>Curva logística S son el nivel máximo que se estima alcanzará la variable bajo estudio (denominado nivel de saturación), la velocidad y la forma con que evoluciona el fenómeno que se pretende modelar. Los parámetros utilizados se muestran en la Tabla 1.</w:t>
      </w:r>
    </w:p>
    <w:p w14:paraId="0C8663CF" w14:textId="77777777" w:rsidR="00D631CA" w:rsidRPr="00D631CA" w:rsidRDefault="00382941" w:rsidP="00D631CA">
      <w:pPr>
        <w:spacing w:before="240"/>
        <w:ind w:left="567" w:right="902"/>
        <w:jc w:val="both"/>
        <w:rPr>
          <w:rFonts w:ascii="ITC Avant Garde" w:eastAsia="Calibri" w:hAnsi="ITC Avant Garde" w:cs="Arial"/>
        </w:rPr>
      </w:pPr>
      <w:r w:rsidRPr="00D631CA">
        <w:rPr>
          <w:rFonts w:ascii="ITC Avant Garde" w:eastAsia="Calibri" w:hAnsi="ITC Avant Garde" w:cs="Arial"/>
        </w:rPr>
        <w:t>[…]</w:t>
      </w:r>
    </w:p>
    <w:p w14:paraId="62DEDB67" w14:textId="77777777" w:rsidR="00D631CA" w:rsidRPr="00D631CA" w:rsidRDefault="00382941" w:rsidP="00D631CA">
      <w:pPr>
        <w:spacing w:before="240"/>
        <w:ind w:left="567" w:right="902"/>
        <w:jc w:val="both"/>
        <w:rPr>
          <w:rFonts w:ascii="ITC Avant Garde" w:eastAsia="Calibri" w:hAnsi="ITC Avant Garde" w:cs="Arial"/>
        </w:rPr>
      </w:pPr>
      <w:r w:rsidRPr="00D631CA">
        <w:rPr>
          <w:rFonts w:ascii="ITC Avant Garde" w:eastAsia="Calibri" w:hAnsi="ITC Avant Garde" w:cs="Arial"/>
        </w:rPr>
        <w:t>Con base en la estimación de población y de penetración se realizó la proyección del número de suscriptores a través del tiempo. Lo anterior, reviste suma importancia para la estimación de la demanda en el Modelo CITLP, debido a que, en conjunto con los estimados de números de llamadas y sus duraciones, se generan las estimaciones del tráfico que constituyen uno de los elementos críticos para dimensionar la red.</w:t>
      </w:r>
    </w:p>
    <w:p w14:paraId="386B64A7" w14:textId="77777777" w:rsidR="00D631CA" w:rsidRPr="00D631CA" w:rsidRDefault="00382941" w:rsidP="00D631CA">
      <w:pPr>
        <w:spacing w:before="240"/>
        <w:ind w:left="567" w:right="902"/>
        <w:jc w:val="both"/>
        <w:rPr>
          <w:rFonts w:ascii="ITC Avant Garde" w:eastAsia="Calibri" w:hAnsi="ITC Avant Garde" w:cs="Arial"/>
        </w:rPr>
      </w:pPr>
      <w:r w:rsidRPr="00D631CA">
        <w:rPr>
          <w:rFonts w:ascii="ITC Avant Garde" w:eastAsia="Calibri" w:hAnsi="ITC Avant Garde" w:cs="Arial"/>
        </w:rPr>
        <w:t>Para calcular los minutos por usuarios a utilizase en el Modelo CITLP, se analizó la información entregada por los concesionarios a la Comisión, y la información pública que dichos concesionarios publican en sus informes anuales. Dentro del análisis se encontró que existe discrepancia entre ambas fuentes de información, lo anterior debido a que los minutos reportados a la Comisión son minutos facturados, por lo que esta información no contabiliza a los minutos que son incluidos a través de algunas promociones. Debido a ello, la Comisión decidió utilizar la información de un concesionario en particular.</w:t>
      </w:r>
    </w:p>
    <w:p w14:paraId="07BCE745" w14:textId="1A93F003" w:rsidR="00382941" w:rsidRPr="00D631CA" w:rsidRDefault="00382941" w:rsidP="00D631CA">
      <w:pPr>
        <w:spacing w:before="240"/>
        <w:ind w:left="567" w:right="902"/>
        <w:jc w:val="both"/>
        <w:rPr>
          <w:rFonts w:ascii="ITC Avant Garde" w:eastAsia="Calibri" w:hAnsi="ITC Avant Garde" w:cs="Arial"/>
        </w:rPr>
      </w:pPr>
      <w:r w:rsidRPr="00D631CA">
        <w:rPr>
          <w:rFonts w:ascii="ITC Avant Garde" w:eastAsia="Calibri" w:hAnsi="ITC Avant Garde" w:cs="Arial"/>
        </w:rPr>
        <w:t>[…]</w:t>
      </w:r>
    </w:p>
    <w:p w14:paraId="47E9552A" w14:textId="77777777" w:rsidR="00D631CA" w:rsidRPr="00D631CA" w:rsidRDefault="00382941" w:rsidP="00D631CA">
      <w:pPr>
        <w:spacing w:before="240"/>
        <w:ind w:left="567" w:right="902"/>
        <w:jc w:val="both"/>
        <w:rPr>
          <w:rFonts w:ascii="ITC Avant Garde" w:eastAsia="Calibri" w:hAnsi="ITC Avant Garde" w:cs="Arial"/>
        </w:rPr>
      </w:pPr>
      <w:r w:rsidRPr="00D631CA">
        <w:rPr>
          <w:rFonts w:ascii="ITC Avant Garde" w:eastAsia="Calibri" w:hAnsi="ITC Avant Garde" w:cs="Arial"/>
        </w:rPr>
        <w:t>La demanda se estimó con los siguientes pasos:</w:t>
      </w:r>
    </w:p>
    <w:p w14:paraId="1E444CB3" w14:textId="0B01320A" w:rsidR="00382941" w:rsidRPr="00D631CA" w:rsidRDefault="00382941" w:rsidP="00D631CA">
      <w:pPr>
        <w:numPr>
          <w:ilvl w:val="0"/>
          <w:numId w:val="23"/>
        </w:numPr>
        <w:spacing w:before="240"/>
        <w:ind w:left="567" w:right="902"/>
        <w:contextualSpacing/>
        <w:jc w:val="both"/>
        <w:rPr>
          <w:rFonts w:ascii="ITC Avant Garde" w:eastAsia="Calibri" w:hAnsi="ITC Avant Garde" w:cs="Arial"/>
        </w:rPr>
      </w:pPr>
      <w:r w:rsidRPr="00D631CA">
        <w:rPr>
          <w:rFonts w:ascii="ITC Avant Garde" w:eastAsia="Calibri" w:hAnsi="ITC Avant Garde" w:cs="Arial"/>
        </w:rPr>
        <w:t>A partir de las proyecciones de población y de penetración (Curva S) se estimó el número de suscriptores.</w:t>
      </w:r>
    </w:p>
    <w:p w14:paraId="3D3F3888" w14:textId="77777777" w:rsidR="00382941" w:rsidRPr="00D631CA" w:rsidRDefault="00382941" w:rsidP="00D631CA">
      <w:pPr>
        <w:numPr>
          <w:ilvl w:val="0"/>
          <w:numId w:val="23"/>
        </w:numPr>
        <w:spacing w:before="240"/>
        <w:ind w:left="567" w:right="902"/>
        <w:contextualSpacing/>
        <w:jc w:val="both"/>
        <w:rPr>
          <w:rFonts w:ascii="ITC Avant Garde" w:eastAsia="Calibri" w:hAnsi="ITC Avant Garde" w:cs="Arial"/>
        </w:rPr>
      </w:pPr>
      <w:r w:rsidRPr="00D631CA">
        <w:rPr>
          <w:rFonts w:ascii="ITC Avant Garde" w:eastAsia="Calibri" w:hAnsi="ITC Avant Garde" w:cs="Arial"/>
        </w:rPr>
        <w:t>Para los suscriptores, se determinó el tráfico de servicios de telefonía con base en el promedio de minutos de entrada y de salida (Tabla 2).</w:t>
      </w:r>
    </w:p>
    <w:p w14:paraId="3D689A84" w14:textId="77777777" w:rsidR="00382941" w:rsidRPr="00D631CA" w:rsidRDefault="00382941" w:rsidP="00D631CA">
      <w:pPr>
        <w:numPr>
          <w:ilvl w:val="0"/>
          <w:numId w:val="23"/>
        </w:numPr>
        <w:spacing w:before="240"/>
        <w:ind w:left="567" w:right="902"/>
        <w:contextualSpacing/>
        <w:jc w:val="both"/>
        <w:rPr>
          <w:rFonts w:ascii="ITC Avant Garde" w:eastAsia="Calibri" w:hAnsi="ITC Avant Garde" w:cs="Arial"/>
        </w:rPr>
      </w:pPr>
      <w:r w:rsidRPr="00D631CA">
        <w:rPr>
          <w:rFonts w:ascii="ITC Avant Garde" w:eastAsia="Calibri" w:hAnsi="ITC Avant Garde" w:cs="Arial"/>
        </w:rPr>
        <w:t>Los minutos de entrada y de salida se dividieron entre aquéllos que son locales y de larga distancia (Tabla 2).</w:t>
      </w:r>
    </w:p>
    <w:p w14:paraId="70FC7D03" w14:textId="77777777" w:rsidR="00382941" w:rsidRPr="00D631CA" w:rsidRDefault="00382941" w:rsidP="00D631CA">
      <w:pPr>
        <w:numPr>
          <w:ilvl w:val="0"/>
          <w:numId w:val="23"/>
        </w:numPr>
        <w:spacing w:before="240"/>
        <w:ind w:left="567" w:right="902"/>
        <w:contextualSpacing/>
        <w:jc w:val="both"/>
        <w:rPr>
          <w:rFonts w:ascii="ITC Avant Garde" w:eastAsia="Calibri" w:hAnsi="ITC Avant Garde" w:cs="Arial"/>
        </w:rPr>
      </w:pPr>
      <w:r w:rsidRPr="00D631CA">
        <w:rPr>
          <w:rFonts w:ascii="ITC Avant Garde" w:eastAsia="Calibri" w:hAnsi="ITC Avant Garde" w:cs="Arial"/>
        </w:rPr>
        <w:t>Los minutos de salida (locales y de larga distancia) se subdividieron en, terminados dentro de la misma red, '</w:t>
      </w:r>
      <w:proofErr w:type="spellStart"/>
      <w:r w:rsidRPr="00D631CA">
        <w:rPr>
          <w:rFonts w:ascii="ITC Avant Garde" w:eastAsia="Calibri" w:hAnsi="ITC Avant Garde" w:cs="Arial"/>
        </w:rPr>
        <w:t>intrared</w:t>
      </w:r>
      <w:proofErr w:type="spellEnd"/>
      <w:r w:rsidRPr="00D631CA">
        <w:rPr>
          <w:rFonts w:ascii="ITC Avant Garde" w:eastAsia="Calibri" w:hAnsi="ITC Avant Garde" w:cs="Arial"/>
        </w:rPr>
        <w:t>'; y terminados en otras redes, 'fuera de red' (Tabla 2).</w:t>
      </w:r>
    </w:p>
    <w:p w14:paraId="2154CBBC" w14:textId="77777777" w:rsidR="00382941" w:rsidRPr="00D631CA" w:rsidRDefault="00382941" w:rsidP="00D631CA">
      <w:pPr>
        <w:numPr>
          <w:ilvl w:val="0"/>
          <w:numId w:val="23"/>
        </w:numPr>
        <w:spacing w:before="240"/>
        <w:ind w:left="567" w:right="902"/>
        <w:contextualSpacing/>
        <w:jc w:val="both"/>
        <w:rPr>
          <w:rFonts w:ascii="ITC Avant Garde" w:eastAsia="Calibri" w:hAnsi="ITC Avant Garde" w:cs="Arial"/>
        </w:rPr>
      </w:pPr>
      <w:r w:rsidRPr="00D631CA">
        <w:rPr>
          <w:rFonts w:ascii="ITC Avant Garde" w:eastAsia="Calibri" w:hAnsi="ITC Avant Garde" w:cs="Arial"/>
        </w:rPr>
        <w:t>Posteriormente, para determinar el número de llamadas se utilizaron los supuestos de duración promedio de llamada (Tabla 3).</w:t>
      </w:r>
    </w:p>
    <w:p w14:paraId="70887B72" w14:textId="77777777" w:rsidR="00D631CA" w:rsidRPr="00D631CA" w:rsidRDefault="00382941" w:rsidP="00D631CA">
      <w:pPr>
        <w:numPr>
          <w:ilvl w:val="0"/>
          <w:numId w:val="23"/>
        </w:numPr>
        <w:spacing w:before="240"/>
        <w:ind w:left="567" w:right="902"/>
        <w:contextualSpacing/>
        <w:jc w:val="both"/>
        <w:rPr>
          <w:rFonts w:ascii="ITC Avant Garde" w:eastAsia="Calibri" w:hAnsi="ITC Avant Garde" w:cs="Arial"/>
        </w:rPr>
      </w:pPr>
      <w:r w:rsidRPr="00D631CA">
        <w:rPr>
          <w:rFonts w:ascii="ITC Avant Garde" w:eastAsia="Calibri" w:hAnsi="ITC Avant Garde" w:cs="Arial"/>
        </w:rPr>
        <w:t xml:space="preserve">Con ello, se estimó la distribución de los distintos tipos de llamadas  terminadas en una red móvil: a) Llamada local desde un teléfono fijo a un teléfono móvil; </w:t>
      </w:r>
      <w:r w:rsidRPr="00D631CA">
        <w:rPr>
          <w:rFonts w:ascii="ITC Avant Garde" w:eastAsia="Calibri" w:hAnsi="ITC Avant Garde" w:cs="Arial"/>
        </w:rPr>
        <w:lastRenderedPageBreak/>
        <w:t>b) Llamada de larga distancia desde un teléfono fijo a un teléfono móvil; e) Llamada local desde un teléfono móvil a un teléfono fijo o a un móvil; d) Llamada de larga distancia desde un teléfono móvil a un teléfono fijo o móvil; e) Llamada local desde un teléfono móvil a otro teléfono móvil de la misma red (</w:t>
      </w:r>
      <w:proofErr w:type="spellStart"/>
      <w:r w:rsidRPr="00D631CA">
        <w:rPr>
          <w:rFonts w:ascii="ITC Avant Garde" w:eastAsia="Calibri" w:hAnsi="ITC Avant Garde" w:cs="Arial"/>
        </w:rPr>
        <w:t>intrared</w:t>
      </w:r>
      <w:proofErr w:type="spellEnd"/>
      <w:r w:rsidRPr="00D631CA">
        <w:rPr>
          <w:rFonts w:ascii="ITC Avant Garde" w:eastAsia="Calibri" w:hAnsi="ITC Avant Garde" w:cs="Arial"/>
        </w:rPr>
        <w:t>); f) Llamada de larga distancia desde un teléfono móvil a otro teléfono móvil de la misma red (</w:t>
      </w:r>
      <w:proofErr w:type="spellStart"/>
      <w:r w:rsidRPr="00D631CA">
        <w:rPr>
          <w:rFonts w:ascii="ITC Avant Garde" w:eastAsia="Calibri" w:hAnsi="ITC Avant Garde" w:cs="Arial"/>
        </w:rPr>
        <w:t>intrared</w:t>
      </w:r>
      <w:proofErr w:type="spellEnd"/>
      <w:r w:rsidRPr="00D631CA">
        <w:rPr>
          <w:rFonts w:ascii="ITC Avant Garde" w:eastAsia="Calibri" w:hAnsi="ITC Avant Garde" w:cs="Arial"/>
        </w:rPr>
        <w:t>).</w:t>
      </w:r>
    </w:p>
    <w:p w14:paraId="4D366998" w14:textId="77777777" w:rsidR="00D631CA" w:rsidRPr="00D631CA" w:rsidRDefault="00382941" w:rsidP="00D631CA">
      <w:pPr>
        <w:spacing w:before="240"/>
        <w:ind w:left="567" w:right="902"/>
        <w:jc w:val="both"/>
        <w:rPr>
          <w:rFonts w:ascii="ITC Avant Garde" w:eastAsia="Calibri" w:hAnsi="ITC Avant Garde" w:cs="Arial"/>
        </w:rPr>
      </w:pPr>
      <w:r w:rsidRPr="00D631CA">
        <w:rPr>
          <w:rFonts w:ascii="ITC Avant Garde" w:eastAsia="Calibri" w:hAnsi="ITC Avant Garde" w:cs="Arial"/>
        </w:rPr>
        <w:t>Para dimensionar la red del operador representativo en el Modelo CITLP se considera que las cantidades de elementos de red que el operador debe considerar para la operación eficiente de su red están en función de la demanda esperada del servicio.</w:t>
      </w:r>
    </w:p>
    <w:p w14:paraId="62C52363" w14:textId="77777777" w:rsidR="00D631CA" w:rsidRPr="00D631CA" w:rsidRDefault="00382941" w:rsidP="00D631CA">
      <w:pPr>
        <w:spacing w:before="240"/>
        <w:ind w:left="567" w:right="902"/>
        <w:jc w:val="both"/>
        <w:rPr>
          <w:rFonts w:ascii="ITC Avant Garde" w:eastAsia="Calibri" w:hAnsi="ITC Avant Garde" w:cs="Arial"/>
        </w:rPr>
      </w:pPr>
      <w:r w:rsidRPr="00D631CA">
        <w:rPr>
          <w:rFonts w:ascii="ITC Avant Garde" w:eastAsia="Calibri" w:hAnsi="ITC Avant Garde" w:cs="Arial"/>
        </w:rPr>
        <w:t>La cobertura de la red comprende cada una de las 9 regiones celulares o PCS en las que se encuentra dividido el país. Para efecto de que el operador representativo sea un proveedor de servicios de telefonía móvil a nivel nacional. La cobertura de la red se dividió en zonas urbanas y semiurbanas del país, así como las zonas carreteras. La información para determinar la distribución de la red por tipo de cobertura demográfica se basa en el Censo de Población y Vivienda para 2005 elaborado por INEGI. Así, la red da cobertura al 90.55% de la población que se encuentra distribuida en el 30.97% de área geográfica del país. No obstante que las zonas rurales no fueron incluidas en el modelo, ello es consistente con la situación actual de un operador de tamaño medio.</w:t>
      </w:r>
    </w:p>
    <w:p w14:paraId="47E47B34" w14:textId="77777777" w:rsidR="00D631CA" w:rsidRPr="00D631CA" w:rsidRDefault="00382941" w:rsidP="00D631CA">
      <w:pPr>
        <w:spacing w:before="240"/>
        <w:ind w:left="567" w:right="902"/>
        <w:jc w:val="both"/>
        <w:rPr>
          <w:rFonts w:ascii="ITC Avant Garde" w:eastAsia="Calibri" w:hAnsi="ITC Avant Garde" w:cs="Arial"/>
        </w:rPr>
      </w:pPr>
      <w:r w:rsidRPr="00D631CA">
        <w:rPr>
          <w:rFonts w:ascii="ITC Avant Garde" w:eastAsia="Calibri" w:hAnsi="ITC Avant Garde" w:cs="Arial"/>
        </w:rPr>
        <w:t>En este sentido, un elemento importante en el desarrollo del modelo es el diseño de la red, en el que los usuarios pueden acceder a los servicios de la red desde cualquier punto del área de cobertura donde sea técnicamente factible. Si un número suficiente de usuarios demandan el servicio en un determinado punto, entonces el concesionario proporcionará la cobertura en esa localización. En la medida en que se incrementa el número de localizaciones, la cobertura se extiende geográficamente</w:t>
      </w:r>
    </w:p>
    <w:p w14:paraId="6642B4FA" w14:textId="77777777" w:rsidR="00D631CA" w:rsidRPr="00D631CA" w:rsidRDefault="00382941" w:rsidP="00D631CA">
      <w:pPr>
        <w:spacing w:before="240"/>
        <w:ind w:left="567" w:right="902"/>
        <w:jc w:val="both"/>
        <w:rPr>
          <w:rFonts w:ascii="ITC Avant Garde" w:eastAsia="Calibri" w:hAnsi="ITC Avant Garde" w:cs="Arial"/>
        </w:rPr>
      </w:pPr>
      <w:r w:rsidRPr="00D631CA">
        <w:rPr>
          <w:rFonts w:ascii="ITC Avant Garde" w:eastAsia="Calibri" w:hAnsi="ITC Avant Garde" w:cs="Arial"/>
        </w:rPr>
        <w:t>Asimismo, en el diseño de la red se aprecia que los usuarios tienen movilidad y por lo tanto, a medida que se incrementa el número de usuarios en una determinada localización y en una hora determinada, el concesionario deberá tomar en cuenta este hecho con el fin de determinar el número de elementos de red que son necesarios para la prestación de un servicio en esa área de cobertura y con un nivel de calidad aceptable.</w:t>
      </w:r>
    </w:p>
    <w:p w14:paraId="4CDAC32C" w14:textId="77777777" w:rsidR="00D631CA" w:rsidRPr="00D631CA" w:rsidRDefault="00382941" w:rsidP="00D631CA">
      <w:pPr>
        <w:spacing w:before="240"/>
        <w:ind w:left="567" w:right="902"/>
        <w:jc w:val="both"/>
        <w:rPr>
          <w:rFonts w:ascii="ITC Avant Garde" w:eastAsia="Calibri" w:hAnsi="ITC Avant Garde" w:cs="Arial"/>
        </w:rPr>
      </w:pPr>
      <w:r w:rsidRPr="00D631CA">
        <w:rPr>
          <w:rFonts w:ascii="ITC Avant Garde" w:eastAsia="Calibri" w:hAnsi="ITC Avant Garde" w:cs="Arial"/>
        </w:rPr>
        <w:t xml:space="preserve">De esta forma el modelo reconoce que las principales variables que determinan el diseño y el número de elementos de la red móvil son el nivel de cobertura </w:t>
      </w:r>
      <w:r w:rsidRPr="00D631CA">
        <w:rPr>
          <w:rFonts w:ascii="ITC Avant Garde" w:eastAsia="Calibri" w:hAnsi="ITC Avant Garde" w:cs="Arial"/>
        </w:rPr>
        <w:lastRenderedPageBreak/>
        <w:t>alcanzado por un concesionario, el número de usuarios a quienes proporciona el servicio y su localización, la cantidad de tráfico que es cursado en la red, y la calidad del servicio ofrecida a los usuarios.</w:t>
      </w:r>
    </w:p>
    <w:p w14:paraId="2DB09650" w14:textId="77777777" w:rsidR="00D631CA" w:rsidRPr="00D631CA" w:rsidRDefault="00382941" w:rsidP="00D631CA">
      <w:pPr>
        <w:spacing w:before="240"/>
        <w:ind w:left="567" w:right="902"/>
        <w:jc w:val="both"/>
        <w:rPr>
          <w:rFonts w:ascii="ITC Avant Garde" w:eastAsia="Calibri" w:hAnsi="ITC Avant Garde" w:cs="Arial"/>
        </w:rPr>
      </w:pPr>
      <w:r w:rsidRPr="00D631CA">
        <w:rPr>
          <w:rFonts w:ascii="ITC Avant Garde" w:eastAsia="Calibri" w:hAnsi="ITC Avant Garde" w:cs="Arial"/>
        </w:rPr>
        <w:t>[…]”</w:t>
      </w:r>
    </w:p>
    <w:p w14:paraId="49DBC4EB"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Asimismo en lo referente a le red fija de foja 35 a 39 se señala lo siguiente:</w:t>
      </w:r>
    </w:p>
    <w:p w14:paraId="198560F2" w14:textId="77777777" w:rsidR="00D631CA" w:rsidRPr="00D631CA" w:rsidRDefault="00382941" w:rsidP="00D631CA">
      <w:pPr>
        <w:spacing w:before="240"/>
        <w:ind w:left="567" w:right="902"/>
        <w:jc w:val="both"/>
        <w:rPr>
          <w:rFonts w:ascii="ITC Avant Garde" w:eastAsia="Calibri" w:hAnsi="ITC Avant Garde" w:cs="Arial"/>
        </w:rPr>
      </w:pPr>
      <w:r w:rsidRPr="00D631CA">
        <w:rPr>
          <w:rFonts w:ascii="ITC Avant Garde" w:eastAsia="Calibri" w:hAnsi="ITC Avant Garde" w:cs="Arial"/>
        </w:rPr>
        <w:t>“El diseño de la red están besado en una empresa hipotética que presta servicios de voz y datos, y que por lo tanto debe de elegir aquella tecnología que permita en satisfacer la demanda de servicios de telecomunicaciones en el horizonte de tiempo considerado por el modelo. Como se ha señalado anteriormente, la demanda por servicios de datos y el número de usuarios de internet de banda ancha se han incrementado de manera significativa, por lo que la forma eficiente de proporcionar los servicios mencionados es por medio de una red que utiliza tecnologías modernas de conmutación y de transmisión basadas en el protocolo Ethernet; el cual además de tener costos menores de los de una red tradicional, se beneficia del uso compartido de activos para la prestación de servicios de voz y datos.</w:t>
      </w:r>
    </w:p>
    <w:p w14:paraId="61C62D65" w14:textId="77777777" w:rsidR="00D631CA" w:rsidRPr="00D631CA" w:rsidRDefault="00382941" w:rsidP="00D631CA">
      <w:pPr>
        <w:spacing w:before="240"/>
        <w:ind w:left="567" w:right="902"/>
        <w:jc w:val="both"/>
        <w:rPr>
          <w:rFonts w:ascii="ITC Avant Garde" w:eastAsia="Calibri" w:hAnsi="ITC Avant Garde" w:cs="Arial"/>
        </w:rPr>
      </w:pPr>
      <w:r w:rsidRPr="00D631CA">
        <w:rPr>
          <w:rFonts w:ascii="ITC Avant Garde" w:eastAsia="Calibri" w:hAnsi="ITC Avant Garde" w:cs="Arial"/>
        </w:rPr>
        <w:t>La arquitectura de la red perteneciente a la empresa hipotética, debe ser acorde a las características propias de la tecnología elegida, en el caso que nos ocupa la red a modelar debe estar basada en una plataforma centralizada en vez de en une estructura jerárquica, respecto a la conmutación de tráfico. La red hipotética consta de un conjunto de nodos centrales (</w:t>
      </w:r>
      <w:proofErr w:type="spellStart"/>
      <w:r w:rsidRPr="00D631CA">
        <w:rPr>
          <w:rFonts w:ascii="ITC Avant Garde" w:eastAsia="Calibri" w:hAnsi="ITC Avant Garde" w:cs="Arial"/>
        </w:rPr>
        <w:t>core</w:t>
      </w:r>
      <w:proofErr w:type="spellEnd"/>
      <w:r w:rsidRPr="00D631CA">
        <w:rPr>
          <w:rFonts w:ascii="ITC Avant Garde" w:eastAsia="Calibri" w:hAnsi="ITC Avant Garde" w:cs="Arial"/>
        </w:rPr>
        <w:t xml:space="preserve"> </w:t>
      </w:r>
      <w:proofErr w:type="spellStart"/>
      <w:r w:rsidRPr="00D631CA">
        <w:rPr>
          <w:rFonts w:ascii="ITC Avant Garde" w:eastAsia="Calibri" w:hAnsi="ITC Avant Garde" w:cs="Arial"/>
        </w:rPr>
        <w:t>node</w:t>
      </w:r>
      <w:proofErr w:type="spellEnd"/>
      <w:r w:rsidRPr="00D631CA">
        <w:rPr>
          <w:rFonts w:ascii="ITC Avant Garde" w:eastAsia="Calibri" w:hAnsi="ITC Avant Garde" w:cs="Arial"/>
        </w:rPr>
        <w:t>), los cuales realizan las funciones de inteligencia de la red, como es la identificación del destino del tráfico, la facturación, el acceso a la red de datos entre otras; cada nodo central se encuentra conectado a un conjunto de nodos regionales.</w:t>
      </w:r>
    </w:p>
    <w:p w14:paraId="4634E9A9" w14:textId="77777777" w:rsidR="00D631CA" w:rsidRPr="00D631CA" w:rsidRDefault="00382941" w:rsidP="00D631CA">
      <w:pPr>
        <w:spacing w:before="240"/>
        <w:ind w:left="567" w:right="902"/>
        <w:jc w:val="both"/>
        <w:rPr>
          <w:rFonts w:ascii="ITC Avant Garde" w:eastAsia="Calibri" w:hAnsi="ITC Avant Garde" w:cs="Arial"/>
        </w:rPr>
      </w:pPr>
      <w:r w:rsidRPr="00D631CA">
        <w:rPr>
          <w:rFonts w:ascii="ITC Avant Garde" w:eastAsia="Calibri" w:hAnsi="ITC Avant Garde" w:cs="Arial"/>
        </w:rPr>
        <w:t>En los nodos regionales se encuentra la infraestructura necesaria para intercambiar el tráfico terminado u originado en otras redes públicas de telecomunicaciones; los cuales tienen la capacidad de convertir las señales IP en TDM. Asimismo, los nodos regionales manejan el tráfico originado por los nodos de acceso, los cuales están jerarquizados en dos niveles: tos nodos de nivel 1 (</w:t>
      </w:r>
      <w:proofErr w:type="spellStart"/>
      <w:r w:rsidRPr="00D631CA">
        <w:rPr>
          <w:rFonts w:ascii="ITC Avant Garde" w:eastAsia="Calibri" w:hAnsi="ITC Avant Garde" w:cs="Arial"/>
        </w:rPr>
        <w:t>tier</w:t>
      </w:r>
      <w:proofErr w:type="spellEnd"/>
      <w:r w:rsidRPr="00D631CA">
        <w:rPr>
          <w:rFonts w:ascii="ITC Avant Garde" w:eastAsia="Calibri" w:hAnsi="ITC Avant Garde" w:cs="Arial"/>
        </w:rPr>
        <w:t xml:space="preserve"> 1) mismos que se conectan directamente a los nodos regionales, y los nodos de nivel 2 (</w:t>
      </w:r>
      <w:proofErr w:type="spellStart"/>
      <w:r w:rsidRPr="00D631CA">
        <w:rPr>
          <w:rFonts w:ascii="ITC Avant Garde" w:eastAsia="Calibri" w:hAnsi="ITC Avant Garde" w:cs="Arial"/>
        </w:rPr>
        <w:t>tier</w:t>
      </w:r>
      <w:proofErr w:type="spellEnd"/>
      <w:r w:rsidRPr="00D631CA">
        <w:rPr>
          <w:rFonts w:ascii="ITC Avant Garde" w:eastAsia="Calibri" w:hAnsi="ITC Avant Garde" w:cs="Arial"/>
        </w:rPr>
        <w:t xml:space="preserve"> 2) que se encuentran conectados a nodos de nivel 1.</w:t>
      </w:r>
    </w:p>
    <w:p w14:paraId="27C7E9C4" w14:textId="77777777" w:rsidR="00D631CA" w:rsidRPr="00D631CA" w:rsidRDefault="00382941" w:rsidP="00D631CA">
      <w:pPr>
        <w:spacing w:before="240"/>
        <w:ind w:left="567" w:right="902"/>
        <w:jc w:val="both"/>
        <w:rPr>
          <w:rFonts w:ascii="ITC Avant Garde" w:eastAsia="Calibri" w:hAnsi="ITC Avant Garde" w:cs="Arial"/>
        </w:rPr>
      </w:pPr>
      <w:r w:rsidRPr="00D631CA">
        <w:rPr>
          <w:rFonts w:ascii="ITC Avant Garde" w:eastAsia="Calibri" w:hAnsi="ITC Avant Garde" w:cs="Arial"/>
        </w:rPr>
        <w:t xml:space="preserve">Las líneas de los usuarios se conectan con la red de conmutación y transporte mediante un Nodo de Acceso Multiservicio (MSAN), en el cual se maneja el tráfico de voz y datos bajo el protocolo IP para transmitirlo hacia otros puntos </w:t>
      </w:r>
      <w:r w:rsidRPr="00D631CA">
        <w:rPr>
          <w:rFonts w:ascii="ITC Avant Garde" w:eastAsia="Calibri" w:hAnsi="ITC Avant Garde" w:cs="Arial"/>
        </w:rPr>
        <w:lastRenderedPageBreak/>
        <w:t xml:space="preserve">de la red, ya sea para comunicarse con usuarios de la misma red o de otra red, o acceder a servicios prestados por las redes. Los MSAN se encuentran distribuidos en cada uno de los nodos de niveles 1 y 2, así como en los </w:t>
      </w:r>
      <w:r w:rsidR="004E66BE" w:rsidRPr="00D631CA">
        <w:rPr>
          <w:rFonts w:ascii="ITC Avant Garde" w:eastAsia="Calibri" w:hAnsi="ITC Avant Garde" w:cs="Arial"/>
        </w:rPr>
        <w:t xml:space="preserve">nodos </w:t>
      </w:r>
      <w:r w:rsidRPr="00D631CA">
        <w:rPr>
          <w:rFonts w:ascii="ITC Avant Garde" w:eastAsia="Calibri" w:hAnsi="ITC Avant Garde" w:cs="Arial"/>
        </w:rPr>
        <w:t>regionales. Para conectar los distintos nodos de la red se utiliza una combinación de topologías de anillo, así como de enlaces redundantes (</w:t>
      </w:r>
      <w:proofErr w:type="spellStart"/>
      <w:r w:rsidRPr="00D631CA">
        <w:rPr>
          <w:rFonts w:ascii="ITC Avant Garde" w:eastAsia="Calibri" w:hAnsi="ITC Avant Garde" w:cs="Arial"/>
        </w:rPr>
        <w:t>resilient</w:t>
      </w:r>
      <w:proofErr w:type="spellEnd"/>
      <w:r w:rsidRPr="00D631CA">
        <w:rPr>
          <w:rFonts w:ascii="ITC Avant Garde" w:eastAsia="Calibri" w:hAnsi="ITC Avant Garde" w:cs="Arial"/>
        </w:rPr>
        <w:t xml:space="preserve"> link).</w:t>
      </w:r>
    </w:p>
    <w:p w14:paraId="6518BD39" w14:textId="77777777" w:rsidR="00D631CA" w:rsidRPr="00D631CA" w:rsidRDefault="00382941" w:rsidP="00D631CA">
      <w:pPr>
        <w:spacing w:before="240"/>
        <w:ind w:left="567" w:right="902"/>
        <w:jc w:val="both"/>
        <w:rPr>
          <w:rFonts w:ascii="ITC Avant Garde" w:eastAsia="Calibri" w:hAnsi="ITC Avant Garde" w:cs="Arial"/>
        </w:rPr>
      </w:pPr>
      <w:r w:rsidRPr="00D631CA">
        <w:rPr>
          <w:rFonts w:ascii="ITC Avant Garde" w:eastAsia="Calibri" w:hAnsi="ITC Avant Garde" w:cs="Arial"/>
        </w:rPr>
        <w:t xml:space="preserve">En cada uno de los nodos regionales y centrales existen </w:t>
      </w:r>
      <w:proofErr w:type="spellStart"/>
      <w:r w:rsidRPr="00D631CA">
        <w:rPr>
          <w:rFonts w:ascii="ITC Avant Garde" w:eastAsia="Calibri" w:hAnsi="ITC Avant Garde" w:cs="Arial"/>
        </w:rPr>
        <w:t>switches</w:t>
      </w:r>
      <w:proofErr w:type="spellEnd"/>
      <w:r w:rsidRPr="00D631CA">
        <w:rPr>
          <w:rFonts w:ascii="ITC Avant Garde" w:eastAsia="Calibri" w:hAnsi="ITC Avant Garde" w:cs="Arial"/>
        </w:rPr>
        <w:t xml:space="preserve"> Ethernet para agregar el tráfico y enrutadores para enviar el tráfico entre los nodos regionales y centrales. La red también incluye una arquitectura de transporte subyacente que consiste en una mezcla de Ethernet sobre Jerarquía Digital Sincrónica (SDH), soportada por plataformas de aprovisionamiento multiservicio (MSPP) y sistemas de </w:t>
      </w:r>
      <w:proofErr w:type="spellStart"/>
      <w:r w:rsidRPr="00D631CA">
        <w:rPr>
          <w:rFonts w:ascii="ITC Avant Garde" w:eastAsia="Calibri" w:hAnsi="ITC Avant Garde" w:cs="Arial"/>
        </w:rPr>
        <w:t>Multiplexión</w:t>
      </w:r>
      <w:proofErr w:type="spellEnd"/>
      <w:r w:rsidRPr="00D631CA">
        <w:rPr>
          <w:rFonts w:ascii="ITC Avant Garde" w:eastAsia="Calibri" w:hAnsi="ITC Avant Garde" w:cs="Arial"/>
        </w:rPr>
        <w:t xml:space="preserve"> por División de Onda (WDM).</w:t>
      </w:r>
    </w:p>
    <w:p w14:paraId="46D9B857" w14:textId="77777777" w:rsidR="00D631CA" w:rsidRPr="00D631CA" w:rsidRDefault="00382941" w:rsidP="00D631CA">
      <w:pPr>
        <w:spacing w:before="240"/>
        <w:ind w:left="567" w:right="902"/>
        <w:jc w:val="both"/>
        <w:rPr>
          <w:rFonts w:ascii="ITC Avant Garde" w:eastAsia="Calibri" w:hAnsi="ITC Avant Garde" w:cs="Arial"/>
        </w:rPr>
      </w:pPr>
      <w:r w:rsidRPr="00D631CA">
        <w:rPr>
          <w:rFonts w:ascii="ITC Avant Garde" w:eastAsia="Calibri" w:hAnsi="ITC Avant Garde" w:cs="Arial"/>
        </w:rPr>
        <w:t>[…]</w:t>
      </w:r>
    </w:p>
    <w:p w14:paraId="712EDF7A" w14:textId="77777777" w:rsidR="00D631CA" w:rsidRPr="00D631CA" w:rsidRDefault="00382941" w:rsidP="00D631CA">
      <w:pPr>
        <w:spacing w:before="240"/>
        <w:ind w:left="567" w:right="902"/>
        <w:jc w:val="both"/>
        <w:rPr>
          <w:rFonts w:ascii="ITC Avant Garde" w:eastAsia="Calibri" w:hAnsi="ITC Avant Garde" w:cs="Arial"/>
        </w:rPr>
      </w:pPr>
      <w:r w:rsidRPr="00D631CA">
        <w:rPr>
          <w:rFonts w:ascii="ITC Avant Garde" w:eastAsia="Calibri" w:hAnsi="ITC Avant Garde" w:cs="Arial"/>
        </w:rPr>
        <w:t>Cuando se calcula el costo de interconexión por la terminación de tráfico de voz en un usuario, un punto clave es el número de elementos de red que son necesarios para prestar el servicio, el cual está relacionado con el punto donde es entregada la llamada por otro operador, es decir el punto de interconexión y el punto de la red en que se encuentre el usuario de destino.</w:t>
      </w:r>
    </w:p>
    <w:p w14:paraId="73F7417D" w14:textId="77777777" w:rsidR="00D631CA" w:rsidRPr="00D631CA" w:rsidRDefault="00382941" w:rsidP="00D631CA">
      <w:pPr>
        <w:spacing w:before="240"/>
        <w:ind w:left="567" w:right="902"/>
        <w:jc w:val="both"/>
        <w:rPr>
          <w:rFonts w:ascii="ITC Avant Garde" w:eastAsia="Calibri" w:hAnsi="ITC Avant Garde" w:cs="Arial"/>
        </w:rPr>
      </w:pPr>
      <w:r w:rsidRPr="00D631CA">
        <w:rPr>
          <w:rFonts w:ascii="ITC Avant Garde" w:eastAsia="Calibri" w:hAnsi="ITC Avant Garde" w:cs="Arial"/>
        </w:rPr>
        <w:t>[…]”</w:t>
      </w:r>
    </w:p>
    <w:p w14:paraId="42ABEF6F"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 xml:space="preserve">Como se observa, a diferencia de los señalamientos de la </w:t>
      </w:r>
      <w:r w:rsidR="00180CC9" w:rsidRPr="00D631CA">
        <w:rPr>
          <w:rFonts w:ascii="ITC Avant Garde" w:eastAsia="Calibri" w:hAnsi="ITC Avant Garde" w:cs="Arial"/>
        </w:rPr>
        <w:t>Recurrente</w:t>
      </w:r>
      <w:r w:rsidRPr="00D631CA">
        <w:rPr>
          <w:rFonts w:ascii="ITC Avant Garde" w:eastAsia="Calibri" w:hAnsi="ITC Avant Garde" w:cs="Arial"/>
        </w:rPr>
        <w:t xml:space="preserve"> el modelo de costos implementado en la resolución recurrida si tomó en cuenta la información sobre la topografía del territorio nacional, la distribución poblacional y todos los elementos necesarios para costear de manera adecuada los servicios modelados.</w:t>
      </w:r>
    </w:p>
    <w:p w14:paraId="6F9FC48C"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 xml:space="preserve">Finalmente es importante reiterar que el tipo de enfoque y metodología que se instrumente en los modelos de costos de servicios de telecomunicaciones, corresponde a una decisión de política regulatoria que entra dentro del ámbito de discrecionalidad del órgano regulador. </w:t>
      </w:r>
    </w:p>
    <w:p w14:paraId="53222957" w14:textId="77777777" w:rsidR="00D631CA" w:rsidRPr="00D631CA" w:rsidRDefault="00382941" w:rsidP="00D631CA">
      <w:pPr>
        <w:numPr>
          <w:ilvl w:val="0"/>
          <w:numId w:val="10"/>
        </w:numPr>
        <w:spacing w:before="240"/>
        <w:ind w:left="284" w:hanging="284"/>
        <w:contextualSpacing/>
        <w:jc w:val="both"/>
        <w:rPr>
          <w:rFonts w:ascii="ITC Avant Garde" w:eastAsia="Calibri" w:hAnsi="ITC Avant Garde" w:cs="Arial"/>
        </w:rPr>
      </w:pPr>
      <w:r w:rsidRPr="00D631CA">
        <w:rPr>
          <w:rFonts w:ascii="ITC Avant Garde" w:eastAsia="Calibri" w:hAnsi="ITC Avant Garde" w:cs="Arial"/>
        </w:rPr>
        <w:t>Señala que el modelo no especifica la estimación de llamadas “</w:t>
      </w:r>
      <w:proofErr w:type="spellStart"/>
      <w:r w:rsidRPr="00D631CA">
        <w:rPr>
          <w:rFonts w:ascii="ITC Avant Garde" w:eastAsia="Calibri" w:hAnsi="ITC Avant Garde" w:cs="Arial"/>
        </w:rPr>
        <w:t>intrared</w:t>
      </w:r>
      <w:proofErr w:type="spellEnd"/>
      <w:r w:rsidRPr="00D631CA">
        <w:rPr>
          <w:rFonts w:ascii="ITC Avant Garde" w:eastAsia="Calibri" w:hAnsi="ITC Avant Garde" w:cs="Arial"/>
        </w:rPr>
        <w:t>” (llamadas entre usuarios de la misma empresa); dicho fundamento es un supuesto de mercado de la OCDE, cuyo documento de origen no fue proporcionado. Lo anterior resulta en un estado de indefensión contra la estimación referida. Además, señala que la proporción estimada (47% para 2011) no corresponde al porcentaje observado por sus usuarios.</w:t>
      </w:r>
    </w:p>
    <w:p w14:paraId="5ECA808B"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 xml:space="preserve">Al respecto, el argumento de la Recurrente es infundado toda vez que la extinta Comisión utilizó en todo momento la mejor información disponible; en este sentido, ante la carencia </w:t>
      </w:r>
      <w:r w:rsidRPr="00D631CA">
        <w:rPr>
          <w:rFonts w:ascii="ITC Avant Garde" w:eastAsia="Calibri" w:hAnsi="ITC Avant Garde" w:cs="Arial"/>
        </w:rPr>
        <w:lastRenderedPageBreak/>
        <w:t>de información de las matrices de tráfico entre los diferentes concesionarios del mercado mexicano, y a efecto de no utilizar un dato arbitrario en el modelo, se utilizó la información de las canastas de consumo de la OCDE contenidas en el documento “REVISED OECD TELECOMMUNICATION PRICE COMPARISON METHODOLOGY, 2006”, las cuales son información pública y de amplio conocimiento para los actores de la industria de telecomunicaciones en México y a nivel internacional.</w:t>
      </w:r>
    </w:p>
    <w:p w14:paraId="3C3B920F" w14:textId="6098BE54" w:rsidR="00382941"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Cabe señalar que dichas canastas son construidas con información de los países miembros de la OCDE y de operadores de telecomunicaciones, por lo que están sustentadas en datos reales.</w:t>
      </w:r>
    </w:p>
    <w:p w14:paraId="6679EA74"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 xml:space="preserve">A manera de ilustrar la falta de información, se menciona el propio argumento de la Recurrente, quien señala que dicho porcentaje de llamadas no corresponde al observado por sus usuarios, sin embargo, no proporciona la información correspondiente ni mucho menos la sustenta. </w:t>
      </w:r>
    </w:p>
    <w:p w14:paraId="7F8FF62C" w14:textId="77777777" w:rsidR="00D631CA" w:rsidRPr="00D631CA" w:rsidRDefault="00382941" w:rsidP="00D631CA">
      <w:pPr>
        <w:numPr>
          <w:ilvl w:val="0"/>
          <w:numId w:val="10"/>
        </w:numPr>
        <w:spacing w:before="240"/>
        <w:ind w:left="284" w:hanging="284"/>
        <w:contextualSpacing/>
        <w:jc w:val="both"/>
        <w:rPr>
          <w:rFonts w:ascii="ITC Avant Garde" w:eastAsia="Calibri" w:hAnsi="ITC Avant Garde" w:cs="Arial"/>
        </w:rPr>
      </w:pPr>
      <w:r w:rsidRPr="00D631CA">
        <w:rPr>
          <w:rFonts w:ascii="ITC Avant Garde" w:eastAsia="Calibri" w:hAnsi="ITC Avant Garde" w:cs="Arial"/>
        </w:rPr>
        <w:t>Sobre el supuesto de la duración promedio de la llamada, la Recurrente menciona que la Comisión no proporcionó el documento soporte ni expuso las razones para encuadrar este en la realidad del mercado mexicano.</w:t>
      </w:r>
    </w:p>
    <w:p w14:paraId="52127C15"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En términos generales, la Recurrente argumenta violaciones a los principios de adecuada fundamentación y motivación, en razón de que la Comisión, al elaborar el Modelo de Costos, no proporciona razones o motivos para emplear los valores que utiliza, cita fuentes de documentos que nunca le fueron proporcionados e incurre en contradicciones o emplea valores que no encuentran explicación alguna en el propio modelo de costos de la Resolución impugnada. Además, resulta violatorio del artículo 16 de la Constitución.</w:t>
      </w:r>
    </w:p>
    <w:p w14:paraId="6CCBCA40"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Al respecto, nuevamente se señala que la extinta Comisión utilizó en todo momento la mejor información disponible; en este sentido, ante la carencia de información de la duración promedio de las llamadas entre los diferentes destinos de tráfico entre los concesionarios del mercado mexicano, de esta forma las duraciones promedio utilizadas en el modelo de costos se encuentran en línea con las utilizadas en las canastas de la OCDE, las cuales son información pública y de amplio conocimiento para los actores de la industria de telecomunicaciones en México y a nivel internacional.</w:t>
      </w:r>
    </w:p>
    <w:p w14:paraId="615C9A45"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 xml:space="preserve">A manera de ilustrar la falta de información a que se enfrentó esta autoridad, se menciona el propio argumento de la Recurrente, quien cuestiona que la duración promedio utilizada corresponda al mercado mexicano, sin embargo, no sustenta sus dichos, de ahí que se consideren como improcedentes por infundados sus argumentos. </w:t>
      </w:r>
    </w:p>
    <w:p w14:paraId="1BF46F7F" w14:textId="77777777" w:rsidR="00D631CA" w:rsidRPr="00D631CA" w:rsidRDefault="00382941" w:rsidP="00D631CA">
      <w:pPr>
        <w:numPr>
          <w:ilvl w:val="0"/>
          <w:numId w:val="10"/>
        </w:numPr>
        <w:spacing w:before="240"/>
        <w:ind w:left="284" w:hanging="284"/>
        <w:contextualSpacing/>
        <w:jc w:val="both"/>
        <w:rPr>
          <w:rFonts w:ascii="ITC Avant Garde" w:eastAsia="Calibri" w:hAnsi="ITC Avant Garde" w:cs="Arial"/>
        </w:rPr>
      </w:pPr>
      <w:r w:rsidRPr="00D631CA">
        <w:rPr>
          <w:rFonts w:ascii="ITC Avant Garde" w:eastAsia="Calibri" w:hAnsi="ITC Avant Garde" w:cs="Arial"/>
        </w:rPr>
        <w:lastRenderedPageBreak/>
        <w:t>Menciona que el modelo estima el número de estaciones de base únicamente a partir de la información de tráfico, sin considerar variables geográficas o de distribución demográfica para alcanzar una cobertura determinada. Lo anterior implica una deficiencia técnica en la Resolución.</w:t>
      </w:r>
    </w:p>
    <w:p w14:paraId="6570CD06"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Sobre este particular, se considera que los usuarios móviles buscan que el prestador de servicios móviles cuente con cobertura de servicios en ciertas partes del territorio, en ese sentido, las empresas de telecomunicaciones comienzan el diseño de la red tomando en cuenta esta consideración, por lo que en las primeras etapas de desarrollo las empresas del servicio móvil buscan cubrir las principales ciudades y van ampliando su cobertura o poblaciones conforme aumentan usuarios y las necesidades de los mismos.</w:t>
      </w:r>
    </w:p>
    <w:p w14:paraId="5CDD3F4D"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Sin embargo, en las primeras etapas la infraestructura para cubrir cierto número de población o de territorio puede ser suficiente para satisfacer la demanda de servicios por parte de sus usuarios, pero conforme aumenta el número de usuarios o de tráfico es necesario instalar más infraestructura por lo cual el factor determinante en el diseño de la red no es el de cobertura si no el de capacidad de la red.</w:t>
      </w:r>
    </w:p>
    <w:p w14:paraId="567A2E23"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En este sentido, de conformidad con el número de equipos que arrojó el modelo de costos se puede observar que son suficientes para otorgar cobertura de servicios al 90.55% de la población que se encuentra distribuida en el 30.97% de área geográfica del país. No obstante que las zonas rurales no fueron incluidas en el modelo, ello es consistente con la situación actual de un operador de tamaño medio en el año 2011.</w:t>
      </w:r>
    </w:p>
    <w:p w14:paraId="0B1D9B4A"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 xml:space="preserve">Asimismo, de la información con la que contaba la extinta Comisión entregada por los mismos concesionarios del servicio local móvil, sobre su infraestructura instalada y su cobertura de servicios permiten constatar que el número de </w:t>
      </w:r>
      <w:proofErr w:type="spellStart"/>
      <w:r w:rsidRPr="00D631CA">
        <w:rPr>
          <w:rFonts w:ascii="ITC Avant Garde" w:eastAsia="Calibri" w:hAnsi="ITC Avant Garde" w:cs="Arial"/>
        </w:rPr>
        <w:t>radiobases</w:t>
      </w:r>
      <w:proofErr w:type="spellEnd"/>
      <w:r w:rsidRPr="00D631CA">
        <w:rPr>
          <w:rFonts w:ascii="ITC Avant Garde" w:eastAsia="Calibri" w:hAnsi="ITC Avant Garde" w:cs="Arial"/>
        </w:rPr>
        <w:t xml:space="preserve"> necesarios determinadas por el modelo de costos es suficiente para dar servicios al 90.55% de la población y ofrecer el servicio al 25% de los usuarios.</w:t>
      </w:r>
    </w:p>
    <w:p w14:paraId="35491184"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 xml:space="preserve">Ahora bien, respecto del señalamiento de la </w:t>
      </w:r>
      <w:r w:rsidR="00180CC9" w:rsidRPr="00D631CA">
        <w:rPr>
          <w:rFonts w:ascii="ITC Avant Garde" w:eastAsia="Calibri" w:hAnsi="ITC Avant Garde" w:cs="Arial"/>
        </w:rPr>
        <w:t>Recurrente</w:t>
      </w:r>
      <w:r w:rsidRPr="00D631CA">
        <w:rPr>
          <w:rFonts w:ascii="ITC Avant Garde" w:eastAsia="Calibri" w:hAnsi="ITC Avant Garde" w:cs="Arial"/>
        </w:rPr>
        <w:t xml:space="preserve"> sobre que carece de lógica que el Modelo de Costos este sustentado en los costos de una empresa que no existe en la realidad y sobre la supuesta doble definición de operador “eficiente” o “representativo” que menciona la recurrente, se menciona lo siguiente: </w:t>
      </w:r>
    </w:p>
    <w:p w14:paraId="45D1282B"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Los órganos reguladores de distintas regiones del mundo han considerado los siguientes tipos de concesionario para los modelos de costos que han implementado:</w:t>
      </w:r>
    </w:p>
    <w:p w14:paraId="2367DAA6" w14:textId="4F31D54F" w:rsidR="00382941" w:rsidRPr="00D631CA" w:rsidRDefault="00382941" w:rsidP="00D631CA">
      <w:pPr>
        <w:spacing w:before="240"/>
        <w:ind w:left="360"/>
        <w:jc w:val="both"/>
        <w:rPr>
          <w:rFonts w:ascii="ITC Avant Garde" w:eastAsia="Calibri" w:hAnsi="ITC Avant Garde" w:cs="Arial"/>
        </w:rPr>
      </w:pPr>
      <w:r w:rsidRPr="00D631CA">
        <w:rPr>
          <w:rFonts w:ascii="ITC Avant Garde" w:eastAsia="Calibri" w:hAnsi="ITC Avant Garde" w:cs="Arial"/>
        </w:rPr>
        <w:t>•</w:t>
      </w:r>
      <w:r w:rsidRPr="00D631CA">
        <w:rPr>
          <w:rFonts w:ascii="ITC Avant Garde" w:eastAsia="Calibri" w:hAnsi="ITC Avant Garde" w:cs="Arial"/>
        </w:rPr>
        <w:tab/>
        <w:t>Concesionarios reales – se calculan los costos de todos los concesionarios que prestan servicios en el mercado.</w:t>
      </w:r>
    </w:p>
    <w:p w14:paraId="623BD18B" w14:textId="77777777" w:rsidR="00382941" w:rsidRPr="00D631CA" w:rsidRDefault="00382941" w:rsidP="00D631CA">
      <w:pPr>
        <w:spacing w:before="240"/>
        <w:ind w:left="360"/>
        <w:jc w:val="both"/>
        <w:rPr>
          <w:rFonts w:ascii="ITC Avant Garde" w:eastAsia="Calibri" w:hAnsi="ITC Avant Garde" w:cs="Arial"/>
        </w:rPr>
      </w:pPr>
      <w:r w:rsidRPr="00D631CA">
        <w:rPr>
          <w:rFonts w:ascii="ITC Avant Garde" w:eastAsia="Calibri" w:hAnsi="ITC Avant Garde" w:cs="Arial"/>
        </w:rPr>
        <w:lastRenderedPageBreak/>
        <w:t>•</w:t>
      </w:r>
      <w:r w:rsidRPr="00D631CA">
        <w:rPr>
          <w:rFonts w:ascii="ITC Avant Garde" w:eastAsia="Calibri" w:hAnsi="ITC Avant Garde" w:cs="Arial"/>
        </w:rPr>
        <w:tab/>
        <w:t>Concesionario promedio – se promedian los costos de todos los concesionarios que prestan servicios para el mercado móvil para definir un operador ‘típico’.</w:t>
      </w:r>
    </w:p>
    <w:p w14:paraId="2BE2A707" w14:textId="77777777" w:rsidR="00382941" w:rsidRPr="00D631CA" w:rsidRDefault="00382941" w:rsidP="00D631CA">
      <w:pPr>
        <w:spacing w:before="240"/>
        <w:ind w:left="360"/>
        <w:jc w:val="both"/>
        <w:rPr>
          <w:rFonts w:ascii="ITC Avant Garde" w:eastAsia="Calibri" w:hAnsi="ITC Avant Garde" w:cs="Arial"/>
        </w:rPr>
      </w:pPr>
      <w:r w:rsidRPr="00D631CA">
        <w:rPr>
          <w:rFonts w:ascii="ITC Avant Garde" w:eastAsia="Calibri" w:hAnsi="ITC Avant Garde" w:cs="Arial"/>
        </w:rPr>
        <w:t>•</w:t>
      </w:r>
      <w:r w:rsidRPr="00D631CA">
        <w:rPr>
          <w:rFonts w:ascii="ITC Avant Garde" w:eastAsia="Calibri" w:hAnsi="ITC Avant Garde" w:cs="Arial"/>
        </w:rPr>
        <w:tab/>
        <w:t>Concesionario hipotético– se define un concesionario con características similares a, o derivadas de, los concesionarios existentes en el mercado pero se ajustan ciertos aspectos hipotéticos como puede ser la fecha de entrada al mercado, la cuota de mercado, la tecnología utilizada el diseño de red, entre otros, y que alcanza la cuota de mercado antes del periodo regulatorio para el cual se calculan los costos.</w:t>
      </w:r>
    </w:p>
    <w:p w14:paraId="5FF51F34" w14:textId="77777777" w:rsidR="00D631CA" w:rsidRPr="00D631CA" w:rsidRDefault="00382941" w:rsidP="00D631CA">
      <w:pPr>
        <w:spacing w:before="240"/>
        <w:ind w:left="360"/>
        <w:jc w:val="both"/>
        <w:rPr>
          <w:rFonts w:ascii="ITC Avant Garde" w:eastAsia="Calibri" w:hAnsi="ITC Avant Garde" w:cs="Arial"/>
        </w:rPr>
      </w:pPr>
      <w:r w:rsidRPr="00D631CA">
        <w:rPr>
          <w:rFonts w:ascii="ITC Avant Garde" w:eastAsia="Calibri" w:hAnsi="ITC Avant Garde" w:cs="Arial"/>
        </w:rPr>
        <w:t>•</w:t>
      </w:r>
      <w:r w:rsidRPr="00D631CA">
        <w:rPr>
          <w:rFonts w:ascii="ITC Avant Garde" w:eastAsia="Calibri" w:hAnsi="ITC Avant Garde" w:cs="Arial"/>
        </w:rPr>
        <w:tab/>
        <w:t>Nuevo entrante hipotético – se define un nuevo concesionario que entra al mercado, con una arquitectura de red moderna y que alcanza la cuota de mercado eficiente del operador representativo en un plazo determinado.</w:t>
      </w:r>
    </w:p>
    <w:p w14:paraId="761037CC"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En este sentido, la experiencia internacional muestra que cuando se utiliza la información disponible de un operador real (costos históricos) como insumo para el modelo de costos se generan distorsiones que ocasionan que las tarifas de interconexión determinadas no sean eficientes, por las siguientes razones:</w:t>
      </w:r>
    </w:p>
    <w:p w14:paraId="70FDB106" w14:textId="59BB0088" w:rsidR="00382941" w:rsidRPr="00D631CA" w:rsidRDefault="00382941" w:rsidP="00D631CA">
      <w:pPr>
        <w:numPr>
          <w:ilvl w:val="0"/>
          <w:numId w:val="25"/>
        </w:numPr>
        <w:spacing w:before="240"/>
        <w:jc w:val="both"/>
        <w:rPr>
          <w:rFonts w:ascii="ITC Avant Garde" w:eastAsia="Calibri" w:hAnsi="ITC Avant Garde" w:cs="Arial"/>
        </w:rPr>
      </w:pPr>
      <w:r w:rsidRPr="00D631CA">
        <w:rPr>
          <w:rFonts w:ascii="ITC Avant Garde" w:eastAsia="Calibri" w:hAnsi="ITC Avant Garde" w:cs="Arial"/>
        </w:rPr>
        <w:t>Se reduce la transparencia en costos y precios.</w:t>
      </w:r>
    </w:p>
    <w:p w14:paraId="22AA8D5F" w14:textId="77777777" w:rsidR="00D631CA" w:rsidRPr="00D631CA" w:rsidRDefault="00382941" w:rsidP="00D631CA">
      <w:pPr>
        <w:numPr>
          <w:ilvl w:val="0"/>
          <w:numId w:val="25"/>
        </w:numPr>
        <w:spacing w:before="240"/>
        <w:jc w:val="both"/>
        <w:rPr>
          <w:rFonts w:ascii="ITC Avant Garde" w:eastAsia="Calibri" w:hAnsi="ITC Avant Garde" w:cs="Arial"/>
        </w:rPr>
      </w:pPr>
      <w:r w:rsidRPr="00D631CA">
        <w:rPr>
          <w:rFonts w:ascii="ITC Avant Garde" w:eastAsia="Calibri" w:hAnsi="ITC Avant Garde" w:cs="Arial"/>
        </w:rPr>
        <w:t>Aumenta la dificultad para asegurar cumplir con el principio de eficiencia.</w:t>
      </w:r>
    </w:p>
    <w:p w14:paraId="49E45328"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La transparencia en costos y precios disminuye, toda vez que gran parte de la información necesaria para construir el modelo provendría de la red del operador modelado. Al utilizar información completamente real de los concesionarios para el modelo el cálculo se torna complejo, ya que los costos reales de la red de los operadores son únicamente conocidos por dichos operadores, y forman parte de los secretos industriales que toda empresa resguarda a efecto de mantener su ventaja competitiva en el mercado.</w:t>
      </w:r>
    </w:p>
    <w:p w14:paraId="418C7A4B"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Lo anterior no es un problema exclusivo de la industria de telecomunicaciones en México, si no que forma parte de la relación entre el órgano regulador y las empresas reguladas a lo largo de todo el mundo; basta mirar la literatura especializada en el tema la cual señala</w:t>
      </w:r>
      <w:r w:rsidRPr="00D631CA">
        <w:rPr>
          <w:rFonts w:ascii="ITC Avant Garde" w:eastAsia="Calibri" w:hAnsi="ITC Avant Garde" w:cs="Arial"/>
          <w:vertAlign w:val="superscript"/>
        </w:rPr>
        <w:footnoteReference w:id="16"/>
      </w:r>
      <w:r w:rsidRPr="00D631CA">
        <w:rPr>
          <w:rFonts w:ascii="ITC Avant Garde" w:eastAsia="Calibri" w:hAnsi="ITC Avant Garde" w:cs="Arial"/>
        </w:rPr>
        <w:t xml:space="preserve">: </w:t>
      </w:r>
    </w:p>
    <w:p w14:paraId="1F1EC9DC" w14:textId="57570CA2" w:rsidR="00382941" w:rsidRPr="00D631CA" w:rsidRDefault="00382941" w:rsidP="00D631CA">
      <w:pPr>
        <w:tabs>
          <w:tab w:val="left" w:pos="7936"/>
        </w:tabs>
        <w:spacing w:before="240"/>
        <w:ind w:left="567" w:right="902"/>
        <w:jc w:val="both"/>
        <w:rPr>
          <w:rFonts w:ascii="ITC Avant Garde" w:eastAsia="Calibri" w:hAnsi="ITC Avant Garde" w:cs="Arial"/>
        </w:rPr>
      </w:pPr>
      <w:r w:rsidRPr="00D631CA">
        <w:rPr>
          <w:rFonts w:ascii="ITC Avant Garde" w:eastAsia="Calibri" w:hAnsi="ITC Avant Garde" w:cs="Arial"/>
        </w:rPr>
        <w:t xml:space="preserve">“No es sorprendente que el regulado posea más información que el regulador. Aun cuando el monopolista regulado es obligado por la ley a proveer información a los funcionarios del gobierno, es difícil para ellos comprobar su </w:t>
      </w:r>
      <w:r w:rsidRPr="00D631CA">
        <w:rPr>
          <w:rFonts w:ascii="ITC Avant Garde" w:eastAsia="Calibri" w:hAnsi="ITC Avant Garde" w:cs="Arial"/>
        </w:rPr>
        <w:lastRenderedPageBreak/>
        <w:t xml:space="preserve">exactitud. Según la teoría de </w:t>
      </w:r>
      <w:proofErr w:type="spellStart"/>
      <w:r w:rsidRPr="00D631CA">
        <w:rPr>
          <w:rFonts w:ascii="ITC Avant Garde" w:eastAsia="Calibri" w:hAnsi="ITC Avant Garde" w:cs="Arial"/>
        </w:rPr>
        <w:t>Akerlof</w:t>
      </w:r>
      <w:proofErr w:type="spellEnd"/>
      <w:r w:rsidRPr="00D631CA">
        <w:rPr>
          <w:rFonts w:ascii="ITC Avant Garde" w:eastAsia="Calibri" w:hAnsi="ITC Avant Garde" w:cs="Arial"/>
        </w:rPr>
        <w:t xml:space="preserve">, la principal falla de mercado es la información oculta, mientras que en un mercado monopolizado el ocultamiento de información es sólo un aspecto. El monopolista, sabiendo que un regulador no sería capaz de verificar la exactitud de la información, puede manipular los datos a su favor. </w:t>
      </w:r>
    </w:p>
    <w:p w14:paraId="7B32CCA4" w14:textId="77777777" w:rsidR="00382941" w:rsidRPr="00D631CA" w:rsidRDefault="00382941" w:rsidP="00D631CA">
      <w:pPr>
        <w:tabs>
          <w:tab w:val="left" w:pos="7936"/>
        </w:tabs>
        <w:spacing w:before="240"/>
        <w:ind w:left="567" w:right="902"/>
        <w:jc w:val="both"/>
        <w:rPr>
          <w:rFonts w:ascii="ITC Avant Garde" w:eastAsia="Calibri" w:hAnsi="ITC Avant Garde" w:cs="Arial"/>
        </w:rPr>
      </w:pPr>
      <w:r w:rsidRPr="00D631CA">
        <w:rPr>
          <w:rFonts w:ascii="ITC Avant Garde" w:eastAsia="Calibri" w:hAnsi="ITC Avant Garde" w:cs="Arial"/>
        </w:rPr>
        <w:t>[…]</w:t>
      </w:r>
    </w:p>
    <w:p w14:paraId="3972E459" w14:textId="77777777" w:rsidR="00D631CA" w:rsidRPr="00D631CA" w:rsidRDefault="00382941" w:rsidP="00D631CA">
      <w:pPr>
        <w:tabs>
          <w:tab w:val="left" w:pos="7936"/>
        </w:tabs>
        <w:spacing w:before="240"/>
        <w:ind w:left="567" w:right="902"/>
        <w:jc w:val="both"/>
        <w:rPr>
          <w:rFonts w:ascii="ITC Avant Garde" w:eastAsia="Calibri" w:hAnsi="ITC Avant Garde" w:cs="Arial"/>
        </w:rPr>
      </w:pPr>
      <w:r w:rsidRPr="00D631CA">
        <w:rPr>
          <w:rFonts w:ascii="ITC Avant Garde" w:eastAsia="Calibri" w:hAnsi="ITC Avant Garde" w:cs="Arial"/>
        </w:rPr>
        <w:t>En un mercado monopolizado, por lo tanto, el regulador se enfrenta a dos problemas: la información asimétrica y la información manipulada. El efecto en el mercado se continúa la dominación por el monopolista.”</w:t>
      </w:r>
    </w:p>
    <w:p w14:paraId="5CB66664"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En este sentido se observa que uno de los principales aspectos a los que se enfrentan los reguladores de telecomunicaciones de todo el mundo es la asimetría entre la información que posee la autoridad y la que poseen las empresas reguladas, así como los fuertes incentivos de la empresa regulada a entregar a la autoridad información manipulada.</w:t>
      </w:r>
    </w:p>
    <w:p w14:paraId="29380097"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Por otro lado, el calcular tarifas de interconexión con información real de los operadores dificultaría cumplir con el principio de eficiencia, toda vez que reflejaría las ineficiencias históricas asociadas a la red modelada.</w:t>
      </w:r>
    </w:p>
    <w:p w14:paraId="6D86CE35"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En este sentido, el utilizar costos históricos o costos de los operadores reales provoca que se incluya en el cálculo de los costos ineficiencias derivadas de decisiones que no se tomarían por una empresa racional y eficiente que opera en un mercado competitivo.</w:t>
      </w:r>
    </w:p>
    <w:p w14:paraId="434B5263"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Lo anterior toma mayor relevancia en mercados con elevadas barreras de entrada, como el de las telecomunicaciones, toda vez que las empresas establecidas tienen la posibilidad de incurrir en ineficiencias por un periodo de tiempo considerable, ya que no enfrentan el riesgo latente de entrada de nuevos competidores al mercado.</w:t>
      </w:r>
    </w:p>
    <w:p w14:paraId="3109B830"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Por consiguiente, el considerar los costos incurridos por un operador real no es acorde con el mandato a cargo de esta autoridad reguladora de garantizar la eficiente prestación de los servicios públicos de interés general de telecomunicaciones y para tales efectos, establecer condiciones de competencia efectiva en la prestación de dichos servicios.</w:t>
      </w:r>
    </w:p>
    <w:p w14:paraId="600AD182"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 xml:space="preserve">Por lo tanto, este ente regulador considera que entre las distintas opciones de concesionarios que se pudiesen modelar para la determinación de tarifas de interconexión, la elección de un operador hipotético que se desenvuelve en un mercado competitivo, o lo que es lo mismo, un operador representativo eficiente, es la que otorga mayores beneficios, ya que permite determinar costos de interconexión que promueven un mayor </w:t>
      </w:r>
      <w:r w:rsidRPr="00D631CA">
        <w:rPr>
          <w:rFonts w:ascii="ITC Avant Garde" w:eastAsia="Calibri" w:hAnsi="ITC Avant Garde" w:cs="Arial"/>
        </w:rPr>
        <w:lastRenderedPageBreak/>
        <w:t>nivel de competencia dentro del sector al tiempo que incentivan a los operadores participantes a elevar su eficiencia en busca de conseguir más clientes, competitividad y eficiencia que se refleja en una gama de productos superior, que cuentan con mayor calidad y que se comercializan con un menor precio, en beneficio de los usuarios finales esto es, otorga mayor bienestar social.</w:t>
      </w:r>
    </w:p>
    <w:p w14:paraId="173CEC15"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 xml:space="preserve">Asimismo, es importante resaltar que esta opción permite determinar un costo que tiene en cuenta las características técnicas y económicas reales de las redes de los principales operadores fijos del mercado mexicano. Esto se consigue mediante un proceso de calibración con los datos proporcionados por los propios operadores por medio del enfoque </w:t>
      </w:r>
      <w:proofErr w:type="spellStart"/>
      <w:r w:rsidRPr="00D631CA">
        <w:rPr>
          <w:rFonts w:ascii="ITC Avant Garde" w:eastAsia="Calibri" w:hAnsi="ITC Avant Garde" w:cs="Arial"/>
        </w:rPr>
        <w:t>Scorched</w:t>
      </w:r>
      <w:proofErr w:type="spellEnd"/>
      <w:r w:rsidRPr="00D631CA">
        <w:rPr>
          <w:rFonts w:ascii="ITC Avant Garde" w:eastAsia="Calibri" w:hAnsi="ITC Avant Garde" w:cs="Arial"/>
        </w:rPr>
        <w:t xml:space="preserve"> </w:t>
      </w:r>
      <w:proofErr w:type="spellStart"/>
      <w:r w:rsidRPr="00D631CA">
        <w:rPr>
          <w:rFonts w:ascii="ITC Avant Garde" w:eastAsia="Calibri" w:hAnsi="ITC Avant Garde" w:cs="Arial"/>
        </w:rPr>
        <w:t>Earth</w:t>
      </w:r>
      <w:proofErr w:type="spellEnd"/>
      <w:r w:rsidRPr="00D631CA">
        <w:rPr>
          <w:rFonts w:ascii="ITC Avant Garde" w:eastAsia="Calibri" w:hAnsi="ITC Avant Garde" w:cs="Arial"/>
        </w:rPr>
        <w:t>, por lo que las tarifas de interconexión resultantes son compatibles y representativos del mercado mexicano</w:t>
      </w:r>
    </w:p>
    <w:p w14:paraId="18535063"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En ese orden de ideas, se considera que la elección de un operador representativo eficiente permite la determinación de costos de acuerdo a condiciones de mercados competitivas al tiempo que la calibración de los resultados con información de los operadores actuales es acorde con la realidad del mercado nacional.</w:t>
      </w:r>
    </w:p>
    <w:p w14:paraId="5789633A" w14:textId="77777777" w:rsidR="00D631CA" w:rsidRPr="00D631CA" w:rsidRDefault="00382941" w:rsidP="00D631CA">
      <w:pPr>
        <w:spacing w:before="240"/>
        <w:jc w:val="both"/>
        <w:rPr>
          <w:rFonts w:ascii="ITC Avant Garde" w:eastAsia="Calibri" w:hAnsi="ITC Avant Garde" w:cs="Arial"/>
        </w:rPr>
      </w:pPr>
      <w:r w:rsidRPr="00D631CA">
        <w:rPr>
          <w:rFonts w:ascii="ITC Avant Garde" w:eastAsia="Calibri" w:hAnsi="ITC Avant Garde" w:cs="Arial"/>
        </w:rPr>
        <w:t>Adicionalmente, la Recurrente también se refiere a los siguientes elementos del Modelo:</w:t>
      </w:r>
    </w:p>
    <w:p w14:paraId="2E0F4FCE" w14:textId="77777777" w:rsidR="00D631CA" w:rsidRPr="00D631CA" w:rsidRDefault="00382941" w:rsidP="00D631CA">
      <w:pPr>
        <w:numPr>
          <w:ilvl w:val="0"/>
          <w:numId w:val="10"/>
        </w:numPr>
        <w:spacing w:before="240"/>
        <w:ind w:left="284" w:hanging="284"/>
        <w:contextualSpacing/>
        <w:jc w:val="both"/>
        <w:rPr>
          <w:rFonts w:ascii="ITC Avant Garde" w:eastAsia="Calibri" w:hAnsi="ITC Avant Garde" w:cs="Arial"/>
        </w:rPr>
      </w:pPr>
      <w:r w:rsidRPr="00D631CA">
        <w:rPr>
          <w:rFonts w:ascii="ITC Avant Garde" w:eastAsia="Calibri" w:hAnsi="ITC Avant Garde" w:cs="Arial"/>
          <w:u w:val="single"/>
        </w:rPr>
        <w:t>Enunciación de los conceptos de costos operativos tomados en consideración</w:t>
      </w:r>
      <w:r w:rsidRPr="00D631CA">
        <w:rPr>
          <w:rFonts w:ascii="ITC Avant Garde" w:eastAsia="Calibri" w:hAnsi="ITC Avant Garde" w:cs="Arial"/>
        </w:rPr>
        <w:t xml:space="preserve">. Menciona que en el Modelo de Costos nunca se presenta el desglose claro y detallado de cuáles son los elementos que integran los costos operativos (OPEX). Esto es, que no considera como parte del costo de interconexión un conjunto de activos o servicios que resultan necesarios para la provisión de servicios de interconexión (renta de inmuebles para implementar cada </w:t>
      </w:r>
      <w:proofErr w:type="spellStart"/>
      <w:r w:rsidRPr="00D631CA">
        <w:rPr>
          <w:rFonts w:ascii="ITC Avant Garde" w:eastAsia="Calibri" w:hAnsi="ITC Avant Garde" w:cs="Arial"/>
        </w:rPr>
        <w:t>radiobase</w:t>
      </w:r>
      <w:proofErr w:type="spellEnd"/>
      <w:r w:rsidRPr="00D631CA">
        <w:rPr>
          <w:rFonts w:ascii="ITC Avant Garde" w:eastAsia="Calibri" w:hAnsi="ITC Avant Garde" w:cs="Arial"/>
        </w:rPr>
        <w:t>, mantenimiento de equipos y programas de computación, costo de energía eléctrica y pago de costo de mano de obra).</w:t>
      </w:r>
    </w:p>
    <w:p w14:paraId="5CD95E3D"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Sobre este particular, se considera que en la Resolución recurrida se presenta etapa por etapa como se determinó el monto de las inversiones totales, las cuales son resultado de una simple multiplicación del número de elementos o equipos de red necesarios para la prestación de servicios y el costo unitario de los mismo, ello de acuerdo con el valor de mercado</w:t>
      </w:r>
      <w:r w:rsidRPr="00D631CA">
        <w:rPr>
          <w:rFonts w:ascii="ITC Avant Garde" w:eastAsia="Calibri" w:hAnsi="ITC Avant Garde" w:cs="Arial"/>
          <w:vertAlign w:val="superscript"/>
        </w:rPr>
        <w:footnoteReference w:id="17"/>
      </w:r>
      <w:r w:rsidRPr="00D631CA">
        <w:rPr>
          <w:rFonts w:ascii="ITC Avant Garde" w:eastAsia="Calibri" w:hAnsi="ITC Avant Garde" w:cs="Arial"/>
          <w:vertAlign w:val="superscript"/>
        </w:rPr>
        <w:t xml:space="preserve"> </w:t>
      </w:r>
      <w:r w:rsidRPr="00D631CA">
        <w:rPr>
          <w:rFonts w:ascii="ITC Avant Garde" w:eastAsia="Calibri" w:hAnsi="ITC Avant Garde" w:cs="Arial"/>
        </w:rPr>
        <w:t>que hubieran tenido las cantidades estimadas de elementos de red necesarios para desplegar la red.</w:t>
      </w:r>
    </w:p>
    <w:p w14:paraId="39C33AAE"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A partir de la estimación de la inversión total, los costos operativos (</w:t>
      </w:r>
      <w:proofErr w:type="spellStart"/>
      <w:r w:rsidRPr="00D631CA">
        <w:rPr>
          <w:rFonts w:ascii="ITC Avant Garde" w:eastAsia="Calibri" w:hAnsi="ITC Avant Garde" w:cs="Arial"/>
        </w:rPr>
        <w:t>opex</w:t>
      </w:r>
      <w:proofErr w:type="spellEnd"/>
      <w:r w:rsidRPr="00D631CA">
        <w:rPr>
          <w:rFonts w:ascii="ITC Avant Garde" w:eastAsia="Calibri" w:hAnsi="ITC Avant Garde" w:cs="Arial"/>
        </w:rPr>
        <w:t xml:space="preserve">) se calculan como un porcentaje de este monto. Se consideró que los costos operativos equivalen al 15 por </w:t>
      </w:r>
      <w:r w:rsidRPr="00D631CA">
        <w:rPr>
          <w:rFonts w:ascii="ITC Avant Garde" w:eastAsia="Calibri" w:hAnsi="ITC Avant Garde" w:cs="Arial"/>
        </w:rPr>
        <w:lastRenderedPageBreak/>
        <w:t>ciento de la inversión total. Estos costos incluyen los asociados a los costos laborales, dentro de los cuales están incluidos los relacionados con el pago de la Participación de los Trabajadores en las Utilidades (PTU).</w:t>
      </w:r>
    </w:p>
    <w:p w14:paraId="00A990D7"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 xml:space="preserve">Cabe mencionar que se incluyó dentro de los </w:t>
      </w:r>
      <w:proofErr w:type="spellStart"/>
      <w:r w:rsidRPr="00D631CA">
        <w:rPr>
          <w:rFonts w:ascii="ITC Avant Garde" w:eastAsia="Calibri" w:hAnsi="ITC Avant Garde" w:cs="Arial"/>
        </w:rPr>
        <w:t>opex</w:t>
      </w:r>
      <w:proofErr w:type="spellEnd"/>
      <w:r w:rsidRPr="00D631CA">
        <w:rPr>
          <w:rFonts w:ascii="ITC Avant Garde" w:eastAsia="Calibri" w:hAnsi="ITC Avant Garde" w:cs="Arial"/>
        </w:rPr>
        <w:t xml:space="preserve"> el pago por derecho que de conformidad con la Ley Federal de Derechos del 2011, los concesionarios deben pagar por cada MHz, en la tabla 5 de la Resolución que a continuación se reproduce se observa los costos de operación anuales en dólares, estos costos de operación ya incluye la mano de obra para dar servicios y mantenimiento al mismo o para la operación de la red, todos aquellos costos de operación de la red, energía, seguridad, mantenimiento, entre otros.</w:t>
      </w:r>
    </w:p>
    <w:p w14:paraId="0B079EA1"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Cabe mencionar, que las mejores prácticas internacionales en la elaboración de modelos de costos utilizan como costos de operación y mantenimiento un porcentaje de la inversión total, esto es consistente con el cobro que realizan los mismos fabricantes de equipo cuando la empresa contrata el servicio de mantenimiento con los mismos fabricantes, es decir establecen un cargo anual de la inversión realizada.</w:t>
      </w:r>
    </w:p>
    <w:p w14:paraId="0D1F49E7" w14:textId="67FA5E7C" w:rsidR="00382941" w:rsidRPr="00D631CA" w:rsidRDefault="00382941" w:rsidP="00D631CA">
      <w:pPr>
        <w:spacing w:before="240"/>
        <w:jc w:val="center"/>
        <w:rPr>
          <w:rFonts w:ascii="ITC Avant Garde" w:eastAsia="Calibri" w:hAnsi="ITC Avant Garde" w:cs="Arial"/>
        </w:rPr>
      </w:pPr>
      <w:r w:rsidRPr="00D631CA">
        <w:rPr>
          <w:rFonts w:ascii="ITC Avant Garde" w:eastAsia="Calibri" w:hAnsi="ITC Avant Garde" w:cs="Arial"/>
        </w:rPr>
        <w:t>Tabla 5</w:t>
      </w:r>
    </w:p>
    <w:p w14:paraId="44119A0D" w14:textId="77777777" w:rsidR="00D631CA" w:rsidRPr="00D631CA" w:rsidRDefault="00382941" w:rsidP="00D631CA">
      <w:pPr>
        <w:spacing w:before="240"/>
        <w:jc w:val="center"/>
        <w:rPr>
          <w:rFonts w:ascii="ITC Avant Garde" w:eastAsia="Calibri" w:hAnsi="ITC Avant Garde" w:cs="Arial"/>
        </w:rPr>
      </w:pPr>
      <w:r w:rsidRPr="00D631CA">
        <w:rPr>
          <w:rFonts w:ascii="ITC Avant Garde" w:eastAsia="Calibri" w:hAnsi="ITC Avant Garde" w:cs="Arial"/>
        </w:rPr>
        <w:t>Costo de Operación de la red 2011</w:t>
      </w:r>
    </w:p>
    <w:p w14:paraId="1BD2CFE5" w14:textId="77777777" w:rsidR="00D631CA" w:rsidRPr="00D631CA" w:rsidRDefault="00382941" w:rsidP="00D631CA">
      <w:pPr>
        <w:spacing w:before="240" w:line="360" w:lineRule="auto"/>
        <w:rPr>
          <w:rFonts w:ascii="Arial" w:eastAsia="Calibri" w:hAnsi="Arial" w:cs="Arial"/>
          <w:sz w:val="24"/>
          <w:szCs w:val="24"/>
        </w:rPr>
      </w:pPr>
      <w:r w:rsidRPr="00D631CA">
        <w:rPr>
          <w:rFonts w:ascii="Arial" w:eastAsia="Calibri" w:hAnsi="Arial" w:cs="Arial"/>
          <w:noProof/>
          <w:sz w:val="24"/>
          <w:szCs w:val="24"/>
          <w:lang w:eastAsia="es-MX"/>
        </w:rPr>
        <w:drawing>
          <wp:inline distT="0" distB="0" distL="0" distR="0" wp14:anchorId="1886BF6B" wp14:editId="03E75278">
            <wp:extent cx="6461760" cy="2887169"/>
            <wp:effectExtent l="0" t="0" r="0" b="8890"/>
            <wp:docPr id="2" name="Imagen 2" descr="La imagen se rfiere a una tabla que muestra los costos de operación de los elementos de la red del año 2011." titl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6108" cy="2893580"/>
                    </a:xfrm>
                    <a:prstGeom prst="rect">
                      <a:avLst/>
                    </a:prstGeom>
                    <a:noFill/>
                    <a:ln>
                      <a:noFill/>
                    </a:ln>
                  </pic:spPr>
                </pic:pic>
              </a:graphicData>
            </a:graphic>
          </wp:inline>
        </w:drawing>
      </w:r>
    </w:p>
    <w:p w14:paraId="4626CDF3" w14:textId="3E5D4953" w:rsidR="00382941" w:rsidRPr="00D631CA" w:rsidRDefault="00382941" w:rsidP="00D631CA">
      <w:pPr>
        <w:numPr>
          <w:ilvl w:val="0"/>
          <w:numId w:val="10"/>
        </w:numPr>
        <w:spacing w:before="240"/>
        <w:ind w:left="284" w:hanging="284"/>
        <w:contextualSpacing/>
        <w:jc w:val="both"/>
        <w:rPr>
          <w:rFonts w:ascii="ITC Avant Garde" w:eastAsia="Calibri" w:hAnsi="ITC Avant Garde" w:cs="Arial"/>
        </w:rPr>
      </w:pPr>
      <w:r w:rsidRPr="00D631CA">
        <w:rPr>
          <w:rFonts w:ascii="ITC Avant Garde" w:eastAsia="Calibri" w:hAnsi="ITC Avant Garde" w:cs="Arial"/>
          <w:u w:val="single"/>
        </w:rPr>
        <w:t xml:space="preserve">Redes 2G. </w:t>
      </w:r>
      <w:r w:rsidRPr="00D631CA">
        <w:rPr>
          <w:rFonts w:ascii="ITC Avant Garde" w:eastAsia="Calibri" w:hAnsi="ITC Avant Garde" w:cs="Arial"/>
        </w:rPr>
        <w:t xml:space="preserve">En relación al señalamiento de que únicamente se consideran las redes 2G, ya se ha mencionado anteriormente que ello se debió a una decisión de modelado, en donde </w:t>
      </w:r>
      <w:r w:rsidRPr="00D631CA">
        <w:rPr>
          <w:rFonts w:ascii="ITC Avant Garde" w:eastAsia="Calibri" w:hAnsi="ITC Avant Garde" w:cs="Arial"/>
        </w:rPr>
        <w:lastRenderedPageBreak/>
        <w:t xml:space="preserve">se consideró que al momento de elaboración del modelo, era la tecnología más ampliamente utilizada en México. </w:t>
      </w:r>
    </w:p>
    <w:p w14:paraId="29822487" w14:textId="77777777" w:rsidR="00D631CA" w:rsidRPr="00D631CA" w:rsidRDefault="00382941" w:rsidP="00D631CA">
      <w:pPr>
        <w:spacing w:before="240"/>
        <w:ind w:left="284"/>
        <w:contextualSpacing/>
        <w:jc w:val="both"/>
        <w:rPr>
          <w:rFonts w:ascii="ITC Avant Garde" w:eastAsia="Calibri" w:hAnsi="ITC Avant Garde" w:cs="Arial"/>
        </w:rPr>
      </w:pPr>
      <w:r w:rsidRPr="00D631CA">
        <w:rPr>
          <w:rFonts w:ascii="ITC Avant Garde" w:eastAsia="Calibri" w:hAnsi="ITC Avant Garde" w:cs="Arial"/>
        </w:rPr>
        <w:t>Cabe mencionar que considerar la tecnología 3G no necesariamente hubiese implicado que se compensara con una remuneración más alta como lo pretende implicar la recurrente, ya que de la misma forma, al considerar el tráfico de datos, los elementos de red se distribuirían entre un tráfico mayor.</w:t>
      </w:r>
    </w:p>
    <w:p w14:paraId="61DCD219" w14:textId="77777777" w:rsidR="00D631CA" w:rsidRPr="00D631CA" w:rsidRDefault="00382941" w:rsidP="00D631CA">
      <w:pPr>
        <w:numPr>
          <w:ilvl w:val="0"/>
          <w:numId w:val="10"/>
        </w:numPr>
        <w:spacing w:before="240"/>
        <w:ind w:left="284" w:hanging="284"/>
        <w:contextualSpacing/>
        <w:jc w:val="both"/>
        <w:rPr>
          <w:rFonts w:ascii="ITC Avant Garde" w:eastAsia="Calibri" w:hAnsi="ITC Avant Garde" w:cs="Arial"/>
          <w:u w:val="single"/>
        </w:rPr>
      </w:pPr>
      <w:r w:rsidRPr="00D631CA">
        <w:rPr>
          <w:rFonts w:ascii="ITC Avant Garde" w:eastAsia="Calibri" w:hAnsi="ITC Avant Garde" w:cs="Arial"/>
          <w:u w:val="single"/>
        </w:rPr>
        <w:t>El valor del espectro. Señala que la estimación del valor del espectro</w:t>
      </w:r>
      <w:r w:rsidRPr="00D631CA">
        <w:rPr>
          <w:rFonts w:ascii="ITC Avant Garde" w:eastAsia="Calibri" w:hAnsi="ITC Avant Garde" w:cs="Arial"/>
          <w:color w:val="00B0F0"/>
        </w:rPr>
        <w:t xml:space="preserve"> </w:t>
      </w:r>
      <w:r w:rsidRPr="00D631CA">
        <w:rPr>
          <w:rFonts w:ascii="ITC Avant Garde" w:eastAsia="Calibri" w:hAnsi="ITC Avant Garde" w:cs="Arial"/>
          <w:u w:val="single"/>
        </w:rPr>
        <w:t>radioeléctrico es violatoria de los principios de debida fundamentación y motivación por tomar en consideración las contraprestaciones y derechos que esta ha pagado al Gobierno Federal por el espectro radioeléctrico que tiene concesionado. Utilizando la metodología de la Comisión, la Recurrente estiman un valor de US$ 450 MM, diferente al valor de US$355 MM señalado en la Resolución Impugnada.</w:t>
      </w:r>
    </w:p>
    <w:p w14:paraId="74B35807" w14:textId="77777777" w:rsidR="00D631CA" w:rsidRPr="00D631CA" w:rsidRDefault="00382941" w:rsidP="00D631CA">
      <w:pPr>
        <w:spacing w:before="240"/>
        <w:ind w:left="284"/>
        <w:jc w:val="both"/>
        <w:rPr>
          <w:rFonts w:ascii="ITC Avant Garde" w:eastAsia="Calibri" w:hAnsi="ITC Avant Garde" w:cs="Arial"/>
          <w:u w:val="single"/>
        </w:rPr>
      </w:pPr>
      <w:r w:rsidRPr="00D631CA">
        <w:rPr>
          <w:rFonts w:ascii="ITC Avant Garde" w:eastAsia="Calibri" w:hAnsi="ITC Avant Garde" w:cs="Arial"/>
          <w:u w:val="single"/>
        </w:rPr>
        <w:t>Al respecto, en la Resolución recurrida se explica claramente cuáles fueron los elementos tomados en cuenta para determinar primeramente la cantidad de espectro con lo que contaban los operadores participantes en el mercado La cantidad de espectro considerada fue de 50 MHz en la banda 800 MHz y de 120 MHz en la banda 1.9 GHz o PCS. No se consideraron otras bandas de frecuencias porque están son utilizadas para desarrollar otras tecnologías y proveer servicios de datos y no únicamente de voz, que fue el supuesto que la Comisión consideró determinar los costos de un operado hipotético eficiente que únicamente provee el servicio de voz y utiliza la tecnología GSM.</w:t>
      </w:r>
    </w:p>
    <w:p w14:paraId="34D6F084" w14:textId="77777777" w:rsidR="00D631CA" w:rsidRPr="00D631CA" w:rsidRDefault="00382941" w:rsidP="00D631CA">
      <w:pPr>
        <w:spacing w:before="240"/>
        <w:ind w:left="284"/>
        <w:jc w:val="both"/>
        <w:rPr>
          <w:rFonts w:ascii="ITC Avant Garde" w:eastAsia="Calibri" w:hAnsi="ITC Avant Garde" w:cs="Arial"/>
          <w:u w:val="single"/>
        </w:rPr>
      </w:pPr>
      <w:r w:rsidRPr="00D631CA">
        <w:rPr>
          <w:rFonts w:ascii="ITC Avant Garde" w:eastAsia="Calibri" w:hAnsi="ITC Avant Garde" w:cs="Arial"/>
          <w:u w:val="single"/>
        </w:rPr>
        <w:t>Asimismo para tomar en cuenta el valor del espectro, este fue calculado considerando que dicho operador utiliza de manera eficiente el espectro para el despliegue de una red GSM en las 9 Regiones en que se divide el país, por lo que se utilizó la información del costo del pago que realizaron los concesionarios que participaron en la Licitación No. 20, así como el monto pagado en la Región 8 de la Licitación No. 21, ajustando dicho valor por las diferencias en las valoraciones que realizaron por las bandas de frecuencias en las distintas licitaciones. Este monto ascendió a 355</w:t>
      </w:r>
      <w:proofErr w:type="gramStart"/>
      <w:r w:rsidRPr="00D631CA">
        <w:rPr>
          <w:rFonts w:ascii="ITC Avant Garde" w:eastAsia="Calibri" w:hAnsi="ITC Avant Garde" w:cs="Arial"/>
          <w:u w:val="single"/>
        </w:rPr>
        <w:t>,586,489</w:t>
      </w:r>
      <w:proofErr w:type="gramEnd"/>
      <w:r w:rsidRPr="00D631CA">
        <w:rPr>
          <w:rFonts w:ascii="ITC Avant Garde" w:eastAsia="Calibri" w:hAnsi="ITC Avant Garde" w:cs="Arial"/>
          <w:u w:val="single"/>
        </w:rPr>
        <w:t xml:space="preserve"> dólares de los Estados Unidos de América, el cual se considera como una inversión. </w:t>
      </w:r>
    </w:p>
    <w:p w14:paraId="61F98EFD" w14:textId="77777777" w:rsidR="00D631CA" w:rsidRPr="00D631CA" w:rsidRDefault="00382941" w:rsidP="00D631CA">
      <w:pPr>
        <w:spacing w:before="240"/>
        <w:ind w:left="284"/>
        <w:jc w:val="both"/>
        <w:rPr>
          <w:rFonts w:ascii="ITC Avant Garde" w:eastAsia="Calibri" w:hAnsi="ITC Avant Garde" w:cs="Arial"/>
          <w:u w:val="single"/>
        </w:rPr>
      </w:pPr>
      <w:r w:rsidRPr="00D631CA">
        <w:rPr>
          <w:rFonts w:ascii="ITC Avant Garde" w:eastAsia="Calibri" w:hAnsi="ITC Avant Garde" w:cs="Arial"/>
          <w:u w:val="single"/>
        </w:rPr>
        <w:t>Por otra parte, conforme a la Ley Federal de Derechos de 2011 los concesionarios de redes públicas de telecomunicaciones que hacen uso de ciertas bandas de frecuencias están obligados a pagar un derecho por el mismo, el cual está en función de los MHz, este pago se realiza anualmente, con lo cual es considerado como un costo que es parte de la operación.</w:t>
      </w:r>
    </w:p>
    <w:p w14:paraId="5C09756E" w14:textId="017E3666" w:rsidR="00D631CA" w:rsidRPr="00D631CA" w:rsidRDefault="00382941" w:rsidP="00D631CA">
      <w:pPr>
        <w:spacing w:before="240"/>
        <w:ind w:left="284"/>
        <w:jc w:val="both"/>
        <w:rPr>
          <w:rFonts w:ascii="ITC Avant Garde" w:eastAsia="Calibri" w:hAnsi="ITC Avant Garde" w:cs="Arial"/>
          <w:u w:val="single"/>
        </w:rPr>
      </w:pPr>
      <w:r w:rsidRPr="00D631CA">
        <w:rPr>
          <w:rFonts w:ascii="ITC Avant Garde" w:eastAsia="Calibri" w:hAnsi="ITC Avant Garde" w:cs="Arial"/>
          <w:u w:val="single"/>
        </w:rPr>
        <w:t>Por lo anterior, no le asiste la razón a la Recurrente de que no se realizó una adecuada estimación del valor del espectro por parte de la extinta Comisión.</w:t>
      </w:r>
    </w:p>
    <w:p w14:paraId="5B41D0FE" w14:textId="77777777" w:rsidR="00D631CA" w:rsidRPr="00D631CA" w:rsidRDefault="00382941" w:rsidP="00D631CA">
      <w:pPr>
        <w:numPr>
          <w:ilvl w:val="0"/>
          <w:numId w:val="10"/>
        </w:numPr>
        <w:spacing w:before="240"/>
        <w:ind w:left="284" w:hanging="284"/>
        <w:contextualSpacing/>
        <w:jc w:val="both"/>
        <w:rPr>
          <w:rFonts w:ascii="ITC Avant Garde" w:eastAsia="Calibri" w:hAnsi="ITC Avant Garde" w:cs="Arial"/>
        </w:rPr>
      </w:pPr>
      <w:r w:rsidRPr="00D631CA">
        <w:rPr>
          <w:rFonts w:ascii="ITC Avant Garde" w:eastAsia="Calibri" w:hAnsi="ITC Avant Garde" w:cs="Arial"/>
          <w:u w:val="single"/>
        </w:rPr>
        <w:lastRenderedPageBreak/>
        <w:t xml:space="preserve">La Tasa de Retorno. </w:t>
      </w:r>
      <w:r w:rsidRPr="00D631CA">
        <w:rPr>
          <w:rFonts w:ascii="ITC Avant Garde" w:eastAsia="Calibri" w:hAnsi="ITC Avant Garde" w:cs="Arial"/>
        </w:rPr>
        <w:t xml:space="preserve">La Recurrente señala que la tasa denominada Costo Promedio de Capital Ponderado (WAAC, por sus siglas en inglés) adolece de múltiples vicios de adecuada motivación, es decir: no justifica por qué el cálculo del Costo de Capital Promedio Ponderado es la mejor forma de evaluar el rendimiento que tienen derecho a percibir; además, considera adecuado que la Comisión explique las razones para asignar valores a las variables: “Beta </w:t>
      </w:r>
      <w:proofErr w:type="spellStart"/>
      <w:r w:rsidRPr="00D631CA">
        <w:rPr>
          <w:rFonts w:ascii="ITC Avant Garde" w:eastAsia="Calibri" w:hAnsi="ITC Avant Garde" w:cs="Arial"/>
        </w:rPr>
        <w:t>desapalancada</w:t>
      </w:r>
      <w:proofErr w:type="spellEnd"/>
      <w:r w:rsidRPr="00D631CA">
        <w:rPr>
          <w:rFonts w:ascii="ITC Avant Garde" w:eastAsia="Calibri" w:hAnsi="ITC Avant Garde" w:cs="Arial"/>
        </w:rPr>
        <w:t xml:space="preserve"> de comparables”, la tasa de impuestos, la proporción deuda-capital de comparables, la prima de riesgo de mercado y el costo de la deuda.</w:t>
      </w:r>
    </w:p>
    <w:p w14:paraId="7CE989C4"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Al respecto se señala que el Costo Promedio Ponderado de Capital (WACC, por sus siglas en inglés), es una metodología estándar y ampliamente utilizada a nivel internacional para la valuación de activos, así como para el cálculo del rendimiento requerido por una empresa por emprender un proyecto.</w:t>
      </w:r>
    </w:p>
    <w:p w14:paraId="78A67551"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La WACC permite calcular el costo en que incurre una empresa por cada una de las diferentes formas de financiamiento que utiliza para financiar un proyecto, y de la misma forma reconoce que el costo de capital asociado a una inversión depende del riesgo de la misma.</w:t>
      </w:r>
    </w:p>
    <w:p w14:paraId="189FA568"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De esta forma, si bien existen otras formas de calcular el costo de capital, es preciso señalar que el Modelo de Valuación de Activos Financieros (CAPM por sus siglas en inglés) y la Teoría de Valuación por Arbitraje (APT, por sus siglas en inglés), son las más comúnmente aceptadas y utilizadas en el ámbito financiero, y ambas pueden ser representadas por la WACC.</w:t>
      </w:r>
    </w:p>
    <w:p w14:paraId="77CF3FF1"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En este sentido la fórmula utilizada para el cálculo de la WACC, así como el significado de cada uno de sus componentes forman parte de la teoría financiera, por lo que está más allá del alcance de la resolución su explicación.</w:t>
      </w:r>
    </w:p>
    <w:p w14:paraId="5A991D23"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 xml:space="preserve">En relación al cálculo de los valores de cada una de las variables que componen la WACC, como son la beta </w:t>
      </w:r>
      <w:proofErr w:type="spellStart"/>
      <w:r w:rsidRPr="00D631CA">
        <w:rPr>
          <w:rFonts w:ascii="ITC Avant Garde" w:eastAsia="Calibri" w:hAnsi="ITC Avant Garde" w:cs="Arial"/>
        </w:rPr>
        <w:t>desapalancada</w:t>
      </w:r>
      <w:proofErr w:type="spellEnd"/>
      <w:r w:rsidRPr="00D631CA">
        <w:rPr>
          <w:rFonts w:ascii="ITC Avant Garde" w:eastAsia="Calibri" w:hAnsi="ITC Avant Garde" w:cs="Arial"/>
        </w:rPr>
        <w:t>, la proporción de deuda-capital, la tasa de impuestos, la prima de riesgo de mercado, entre otros; es preciso señalar que existen diversas formas de realizar su cálculo.</w:t>
      </w:r>
    </w:p>
    <w:p w14:paraId="727D9861"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A manera de ejemplo, la tasa libre de riesgo puede ser calculada mediante los bonos del estado del gobierno local, o mediante los bonos del estado de otro país, adicionando el riesgo asociado al país en cuestión; de este modo en la Resolución se explica en todo momento las variables utilizadas, así como la fuente de los datos:</w:t>
      </w:r>
    </w:p>
    <w:p w14:paraId="1148B237" w14:textId="77777777" w:rsidR="00D631CA" w:rsidRPr="00D631CA" w:rsidRDefault="00382941" w:rsidP="00D631CA">
      <w:pPr>
        <w:tabs>
          <w:tab w:val="left" w:pos="7938"/>
        </w:tabs>
        <w:spacing w:before="240"/>
        <w:ind w:left="567" w:right="900"/>
        <w:jc w:val="both"/>
        <w:rPr>
          <w:rFonts w:ascii="ITC Avant Garde" w:hAnsi="ITC Avant Garde" w:cs="Arial"/>
        </w:rPr>
      </w:pPr>
      <w:r w:rsidRPr="00D631CA">
        <w:rPr>
          <w:rFonts w:ascii="ITC Avant Garde" w:hAnsi="ITC Avant Garde" w:cs="Arial"/>
        </w:rPr>
        <w:t xml:space="preserve">“La tasa libre de riesgo de largo plazo corresponde a una de mercados internacionales. Los inversionistas en el sector de telecomunicaciones tienen </w:t>
      </w:r>
      <w:r w:rsidRPr="00D631CA">
        <w:rPr>
          <w:rFonts w:ascii="ITC Avant Garde" w:hAnsi="ITC Avant Garde" w:cs="Arial"/>
        </w:rPr>
        <w:lastRenderedPageBreak/>
        <w:t>acceso a este tipo de tasas, por ende se utilizó la tasa de bonos del Tesoro de Estados Unidos (</w:t>
      </w:r>
      <w:proofErr w:type="spellStart"/>
      <w:r w:rsidRPr="00D631CA">
        <w:rPr>
          <w:rFonts w:ascii="ITC Avant Garde" w:hAnsi="ITC Avant Garde" w:cs="Arial"/>
        </w:rPr>
        <w:t>Treasury</w:t>
      </w:r>
      <w:proofErr w:type="spellEnd"/>
      <w:r w:rsidRPr="00D631CA">
        <w:rPr>
          <w:rFonts w:ascii="ITC Avant Garde" w:hAnsi="ITC Avant Garde" w:cs="Arial"/>
        </w:rPr>
        <w:t xml:space="preserve"> bond </w:t>
      </w:r>
      <w:proofErr w:type="spellStart"/>
      <w:r w:rsidRPr="00D631CA">
        <w:rPr>
          <w:rFonts w:ascii="ITC Avant Garde" w:hAnsi="ITC Avant Garde" w:cs="Arial"/>
        </w:rPr>
        <w:t>rate</w:t>
      </w:r>
      <w:proofErr w:type="spellEnd"/>
      <w:r w:rsidRPr="00D631CA">
        <w:rPr>
          <w:rFonts w:ascii="ITC Avant Garde" w:hAnsi="ITC Avant Garde" w:cs="Arial"/>
        </w:rPr>
        <w:t>) a 20 años, promedio de 2007 (</w:t>
      </w:r>
      <w:r w:rsidRPr="00D631CA">
        <w:rPr>
          <w:rFonts w:ascii="ITC Avant Garde" w:hAnsi="ITC Avant Garde" w:cs="Arial"/>
          <w:u w:val="single"/>
        </w:rPr>
        <w:t>http://research.stlouisfed.org/fred2/</w:t>
      </w:r>
      <w:proofErr w:type="spellStart"/>
      <w:r w:rsidRPr="00D631CA">
        <w:rPr>
          <w:rFonts w:ascii="ITC Avant Garde" w:hAnsi="ITC Avant Garde" w:cs="Arial"/>
          <w:u w:val="single"/>
        </w:rPr>
        <w:t>categories</w:t>
      </w:r>
      <w:proofErr w:type="spellEnd"/>
      <w:r w:rsidRPr="00D631CA">
        <w:rPr>
          <w:rFonts w:ascii="ITC Avant Garde" w:hAnsi="ITC Avant Garde" w:cs="Arial"/>
          <w:u w:val="single"/>
        </w:rPr>
        <w:t>/115</w:t>
      </w:r>
      <w:r w:rsidRPr="00D631CA">
        <w:rPr>
          <w:rFonts w:ascii="ITC Avant Garde" w:hAnsi="ITC Avant Garde" w:cs="Arial"/>
        </w:rPr>
        <w:t>).”</w:t>
      </w:r>
    </w:p>
    <w:p w14:paraId="1B732CDB" w14:textId="77777777" w:rsidR="00D631CA" w:rsidRPr="00D631CA" w:rsidRDefault="00382941" w:rsidP="00D631CA">
      <w:pPr>
        <w:tabs>
          <w:tab w:val="left" w:pos="7938"/>
        </w:tabs>
        <w:spacing w:before="240"/>
        <w:ind w:left="567" w:right="900"/>
        <w:jc w:val="both"/>
        <w:rPr>
          <w:rFonts w:ascii="ITC Avant Garde" w:hAnsi="ITC Avant Garde" w:cs="Arial"/>
        </w:rPr>
      </w:pPr>
      <w:r w:rsidRPr="00D631CA">
        <w:rPr>
          <w:rFonts w:ascii="ITC Avant Garde" w:hAnsi="ITC Avant Garde" w:cs="Arial"/>
        </w:rPr>
        <w:t>“La tasa de impuesto representa la tasa mínima que deberán pagar las empresas mexicanas a partir del año fiscal 2010, lo cual es consistente con el enfoque prospectivo del modelo de CILP.”</w:t>
      </w:r>
    </w:p>
    <w:p w14:paraId="27E8494B" w14:textId="77777777" w:rsidR="00D631CA" w:rsidRPr="00D631CA" w:rsidRDefault="00382941" w:rsidP="00D631CA">
      <w:pPr>
        <w:tabs>
          <w:tab w:val="left" w:pos="7938"/>
        </w:tabs>
        <w:spacing w:before="240"/>
        <w:ind w:left="567" w:right="900"/>
        <w:jc w:val="both"/>
        <w:rPr>
          <w:rFonts w:ascii="ITC Avant Garde" w:hAnsi="ITC Avant Garde" w:cs="Arial"/>
        </w:rPr>
      </w:pPr>
      <w:r w:rsidRPr="00D631CA">
        <w:rPr>
          <w:rFonts w:ascii="ITC Avant Garde" w:hAnsi="ITC Avant Garde" w:cs="Arial"/>
        </w:rPr>
        <w:t xml:space="preserve">“La prima por riesgo de mercado considera el riesgo país de México, 1.50%; y la tasa de riesgo de mercados internacionales, 4.91%, esta información es publicada por el Dr. </w:t>
      </w:r>
      <w:proofErr w:type="spellStart"/>
      <w:r w:rsidRPr="00D631CA">
        <w:rPr>
          <w:rFonts w:ascii="ITC Avant Garde" w:hAnsi="ITC Avant Garde" w:cs="Arial"/>
        </w:rPr>
        <w:t>Aswath</w:t>
      </w:r>
      <w:proofErr w:type="spellEnd"/>
      <w:r w:rsidRPr="00D631CA">
        <w:rPr>
          <w:rFonts w:ascii="ITC Avant Garde" w:hAnsi="ITC Avant Garde" w:cs="Arial"/>
        </w:rPr>
        <w:t xml:space="preserve"> </w:t>
      </w:r>
      <w:proofErr w:type="spellStart"/>
      <w:r w:rsidRPr="00D631CA">
        <w:rPr>
          <w:rFonts w:ascii="ITC Avant Garde" w:hAnsi="ITC Avant Garde" w:cs="Arial"/>
        </w:rPr>
        <w:t>Damodaran</w:t>
      </w:r>
      <w:proofErr w:type="spellEnd"/>
      <w:r w:rsidRPr="00D631CA">
        <w:rPr>
          <w:rFonts w:ascii="ITC Avant Garde" w:hAnsi="ITC Avant Garde" w:cs="Arial"/>
        </w:rPr>
        <w:t xml:space="preserve"> en http</w:t>
      </w:r>
      <w:proofErr w:type="gramStart"/>
      <w:r w:rsidRPr="00D631CA">
        <w:rPr>
          <w:rFonts w:ascii="ITC Avant Garde" w:hAnsi="ITC Avant Garde" w:cs="Arial"/>
        </w:rPr>
        <w:t>:/</w:t>
      </w:r>
      <w:proofErr w:type="gramEnd"/>
      <w:r w:rsidRPr="00D631CA">
        <w:rPr>
          <w:rFonts w:ascii="ITC Avant Garde" w:hAnsi="ITC Avant Garde" w:cs="Arial"/>
        </w:rPr>
        <w:t>/pages.stern.nyu.edu/~adamodar/, la cual es una referencia comúnmente empleada en este tipo de análisis.”</w:t>
      </w:r>
    </w:p>
    <w:p w14:paraId="4DCC08D5"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De esta forma es importante señalar que la extinta Comisión adoptó en todo momento un enfoque conservador, puesto que asume un valor de la WACC de 15.52% el cual se encuentra dentro de los valores más altos a nivel internacional.</w:t>
      </w:r>
    </w:p>
    <w:p w14:paraId="4EA7D99B" w14:textId="15508A08" w:rsidR="00382941"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A manera de ejemplo se presenta el siguiente cuadro en el que se señalan los distintos valores de la WACC utilizados por las distintas autoridades reguladoras de telecomunicaciones a nivel internacional, así como la WACC utilizada en la resolución recurrida:</w:t>
      </w:r>
    </w:p>
    <w:p w14:paraId="63BA99CC" w14:textId="08AB25F7" w:rsidR="00D631CA" w:rsidRPr="00D631CA" w:rsidRDefault="00D631CA" w:rsidP="00D631CA">
      <w:pPr>
        <w:spacing w:before="240"/>
        <w:ind w:left="284"/>
        <w:jc w:val="center"/>
        <w:rPr>
          <w:rFonts w:ascii="ITC Avant Garde" w:eastAsia="Calibri" w:hAnsi="ITC Avant Garde" w:cs="Arial"/>
        </w:rPr>
      </w:pPr>
      <w:r w:rsidRPr="00D631CA">
        <w:rPr>
          <w:rFonts w:ascii="Arial" w:hAnsi="Arial" w:cs="Arial"/>
          <w:b/>
          <w:bCs/>
          <w:sz w:val="20"/>
          <w:szCs w:val="20"/>
        </w:rPr>
        <w:t>Comparativo internacional de Costo de Capital</w:t>
      </w:r>
    </w:p>
    <w:tbl>
      <w:tblPr>
        <w:tblStyle w:val="Tablaconcuadrcula"/>
        <w:tblW w:w="8789" w:type="dxa"/>
        <w:jc w:val="center"/>
        <w:tblLook w:val="04A0" w:firstRow="1" w:lastRow="0" w:firstColumn="1" w:lastColumn="0" w:noHBand="0" w:noVBand="1"/>
        <w:tblCaption w:val="Comparativo internacional de Costo de Capital"/>
        <w:tblDescription w:val="En una tabla de 3 columnas, se proporciona por país, la tasa nominal de impuesto y la decisión de la Autoridad Nacional Reguladora."/>
      </w:tblPr>
      <w:tblGrid>
        <w:gridCol w:w="1985"/>
        <w:gridCol w:w="1701"/>
        <w:gridCol w:w="5103"/>
      </w:tblGrid>
      <w:tr w:rsidR="00382941" w:rsidRPr="00D631CA" w14:paraId="570388C0" w14:textId="77777777" w:rsidTr="00D631CA">
        <w:trPr>
          <w:trHeight w:val="600"/>
          <w:tblHeader/>
          <w:jc w:val="center"/>
        </w:trPr>
        <w:tc>
          <w:tcPr>
            <w:tcW w:w="1985" w:type="dxa"/>
            <w:shd w:val="clear" w:color="auto" w:fill="BFBFBF" w:themeFill="background1" w:themeFillShade="BF"/>
            <w:noWrap/>
            <w:vAlign w:val="center"/>
            <w:hideMark/>
          </w:tcPr>
          <w:p w14:paraId="1854DC0A" w14:textId="77777777" w:rsidR="00382941" w:rsidRPr="00D631CA" w:rsidRDefault="00382941" w:rsidP="00000B03">
            <w:pPr>
              <w:ind w:left="360"/>
              <w:jc w:val="center"/>
              <w:rPr>
                <w:rFonts w:ascii="Arial" w:hAnsi="Arial" w:cs="Arial"/>
                <w:b/>
                <w:bCs/>
                <w:sz w:val="20"/>
                <w:szCs w:val="20"/>
              </w:rPr>
            </w:pPr>
            <w:r w:rsidRPr="00D631CA">
              <w:rPr>
                <w:rFonts w:ascii="Arial" w:hAnsi="Arial" w:cs="Arial"/>
                <w:b/>
                <w:bCs/>
                <w:sz w:val="20"/>
                <w:szCs w:val="20"/>
              </w:rPr>
              <w:t>País</w:t>
            </w:r>
          </w:p>
        </w:tc>
        <w:tc>
          <w:tcPr>
            <w:tcW w:w="1701" w:type="dxa"/>
            <w:shd w:val="clear" w:color="auto" w:fill="BFBFBF" w:themeFill="background1" w:themeFillShade="BF"/>
            <w:vAlign w:val="center"/>
            <w:hideMark/>
          </w:tcPr>
          <w:p w14:paraId="0A8A23FC" w14:textId="77777777" w:rsidR="00382941" w:rsidRPr="00D631CA" w:rsidRDefault="00382941" w:rsidP="00000B03">
            <w:pPr>
              <w:ind w:left="28"/>
              <w:jc w:val="center"/>
              <w:rPr>
                <w:rFonts w:ascii="Arial" w:hAnsi="Arial" w:cs="Arial"/>
                <w:b/>
                <w:bCs/>
                <w:sz w:val="20"/>
                <w:szCs w:val="20"/>
              </w:rPr>
            </w:pPr>
            <w:r w:rsidRPr="00D631CA">
              <w:rPr>
                <w:rFonts w:ascii="Arial" w:hAnsi="Arial" w:cs="Arial"/>
                <w:b/>
                <w:bCs/>
                <w:sz w:val="20"/>
                <w:szCs w:val="20"/>
              </w:rPr>
              <w:t>Tasa nominal antes de impuesto (%)</w:t>
            </w:r>
          </w:p>
        </w:tc>
        <w:tc>
          <w:tcPr>
            <w:tcW w:w="5103" w:type="dxa"/>
            <w:shd w:val="clear" w:color="auto" w:fill="BFBFBF" w:themeFill="background1" w:themeFillShade="BF"/>
            <w:noWrap/>
            <w:vAlign w:val="center"/>
            <w:hideMark/>
          </w:tcPr>
          <w:p w14:paraId="70931E6F" w14:textId="77777777" w:rsidR="00382941" w:rsidRPr="00D631CA" w:rsidRDefault="00382941" w:rsidP="00000B03">
            <w:pPr>
              <w:jc w:val="center"/>
              <w:rPr>
                <w:rFonts w:ascii="Arial" w:hAnsi="Arial" w:cs="Arial"/>
                <w:b/>
                <w:bCs/>
                <w:sz w:val="20"/>
                <w:szCs w:val="20"/>
              </w:rPr>
            </w:pPr>
            <w:r w:rsidRPr="00D631CA">
              <w:rPr>
                <w:rFonts w:ascii="Arial" w:hAnsi="Arial" w:cs="Arial"/>
                <w:b/>
                <w:bCs/>
                <w:sz w:val="20"/>
                <w:szCs w:val="20"/>
              </w:rPr>
              <w:t>Decisión de la Autoridad Nacional Regulatoria</w:t>
            </w:r>
          </w:p>
        </w:tc>
      </w:tr>
      <w:tr w:rsidR="00382941" w:rsidRPr="00D631CA" w14:paraId="2D003C6D" w14:textId="77777777" w:rsidTr="00D631CA">
        <w:trPr>
          <w:trHeight w:val="480"/>
          <w:jc w:val="center"/>
        </w:trPr>
        <w:tc>
          <w:tcPr>
            <w:tcW w:w="1985" w:type="dxa"/>
            <w:noWrap/>
            <w:hideMark/>
          </w:tcPr>
          <w:p w14:paraId="3DA2147A" w14:textId="77777777" w:rsidR="00382941" w:rsidRPr="00D631CA" w:rsidRDefault="00382941" w:rsidP="00000B03">
            <w:pPr>
              <w:ind w:left="360"/>
              <w:rPr>
                <w:rFonts w:ascii="Arial" w:hAnsi="Arial" w:cs="Arial"/>
                <w:sz w:val="20"/>
                <w:szCs w:val="20"/>
              </w:rPr>
            </w:pPr>
            <w:r w:rsidRPr="00D631CA">
              <w:rPr>
                <w:rFonts w:ascii="Arial" w:hAnsi="Arial" w:cs="Arial"/>
                <w:sz w:val="20"/>
                <w:szCs w:val="20"/>
              </w:rPr>
              <w:t>Bélgica</w:t>
            </w:r>
          </w:p>
        </w:tc>
        <w:tc>
          <w:tcPr>
            <w:tcW w:w="1701" w:type="dxa"/>
            <w:noWrap/>
            <w:hideMark/>
          </w:tcPr>
          <w:p w14:paraId="0DF86749" w14:textId="77777777" w:rsidR="00382941" w:rsidRPr="00D631CA" w:rsidRDefault="00382941" w:rsidP="00000B03">
            <w:pPr>
              <w:ind w:left="360"/>
              <w:rPr>
                <w:rFonts w:ascii="Arial" w:hAnsi="Arial" w:cs="Arial"/>
                <w:sz w:val="20"/>
                <w:szCs w:val="20"/>
              </w:rPr>
            </w:pPr>
            <w:r w:rsidRPr="00D631CA">
              <w:rPr>
                <w:rFonts w:ascii="Arial" w:hAnsi="Arial" w:cs="Arial"/>
                <w:sz w:val="20"/>
                <w:szCs w:val="20"/>
              </w:rPr>
              <w:t>10.05</w:t>
            </w:r>
          </w:p>
        </w:tc>
        <w:tc>
          <w:tcPr>
            <w:tcW w:w="5103" w:type="dxa"/>
            <w:hideMark/>
          </w:tcPr>
          <w:p w14:paraId="0D9F22A1" w14:textId="77777777" w:rsidR="00382941" w:rsidRPr="00D631CA" w:rsidRDefault="00382941" w:rsidP="00000B03">
            <w:pPr>
              <w:rPr>
                <w:rFonts w:ascii="Arial" w:hAnsi="Arial" w:cs="Arial"/>
                <w:sz w:val="20"/>
                <w:szCs w:val="20"/>
              </w:rPr>
            </w:pPr>
            <w:r w:rsidRPr="00D631CA">
              <w:rPr>
                <w:rFonts w:ascii="Arial" w:hAnsi="Arial" w:cs="Arial"/>
                <w:sz w:val="20"/>
                <w:szCs w:val="20"/>
              </w:rPr>
              <w:t>Decisión de la BIPT, de 4 de mayo de 2010, sobre el costo de capital para operadores con poder sustancial en el mercado, 2010-2013.</w:t>
            </w:r>
          </w:p>
        </w:tc>
      </w:tr>
      <w:tr w:rsidR="00382941" w:rsidRPr="00D631CA" w14:paraId="51A0544F" w14:textId="77777777" w:rsidTr="00D631CA">
        <w:trPr>
          <w:trHeight w:val="720"/>
          <w:jc w:val="center"/>
        </w:trPr>
        <w:tc>
          <w:tcPr>
            <w:tcW w:w="1985" w:type="dxa"/>
            <w:noWrap/>
            <w:hideMark/>
          </w:tcPr>
          <w:p w14:paraId="7D1AF570" w14:textId="77777777" w:rsidR="00382941" w:rsidRPr="00D631CA" w:rsidRDefault="00382941" w:rsidP="00000B03">
            <w:pPr>
              <w:ind w:left="360"/>
              <w:rPr>
                <w:rFonts w:ascii="Arial" w:hAnsi="Arial" w:cs="Arial"/>
                <w:sz w:val="20"/>
                <w:szCs w:val="20"/>
              </w:rPr>
            </w:pPr>
            <w:r w:rsidRPr="00D631CA">
              <w:rPr>
                <w:rFonts w:ascii="Arial" w:hAnsi="Arial" w:cs="Arial"/>
                <w:sz w:val="20"/>
                <w:szCs w:val="20"/>
              </w:rPr>
              <w:t>Dinamarca</w:t>
            </w:r>
          </w:p>
        </w:tc>
        <w:tc>
          <w:tcPr>
            <w:tcW w:w="1701" w:type="dxa"/>
            <w:noWrap/>
            <w:hideMark/>
          </w:tcPr>
          <w:p w14:paraId="0E46D3B5" w14:textId="77777777" w:rsidR="00382941" w:rsidRPr="00D631CA" w:rsidRDefault="00382941" w:rsidP="00000B03">
            <w:pPr>
              <w:ind w:left="360"/>
              <w:rPr>
                <w:rFonts w:ascii="Arial" w:hAnsi="Arial" w:cs="Arial"/>
                <w:sz w:val="20"/>
                <w:szCs w:val="20"/>
              </w:rPr>
            </w:pPr>
            <w:r w:rsidRPr="00D631CA">
              <w:rPr>
                <w:rFonts w:ascii="Arial" w:hAnsi="Arial" w:cs="Arial"/>
                <w:sz w:val="20"/>
                <w:szCs w:val="20"/>
              </w:rPr>
              <w:t>8.51</w:t>
            </w:r>
          </w:p>
        </w:tc>
        <w:tc>
          <w:tcPr>
            <w:tcW w:w="5103" w:type="dxa"/>
            <w:hideMark/>
          </w:tcPr>
          <w:p w14:paraId="4E3490B5" w14:textId="77777777" w:rsidR="00382941" w:rsidRPr="00D631CA" w:rsidRDefault="00382941" w:rsidP="00000B03">
            <w:pPr>
              <w:rPr>
                <w:rFonts w:ascii="Arial" w:hAnsi="Arial" w:cs="Arial"/>
                <w:sz w:val="20"/>
                <w:szCs w:val="20"/>
              </w:rPr>
            </w:pPr>
            <w:r w:rsidRPr="00D631CA">
              <w:rPr>
                <w:rFonts w:ascii="Arial" w:hAnsi="Arial" w:cs="Arial"/>
                <w:sz w:val="20"/>
                <w:szCs w:val="20"/>
              </w:rPr>
              <w:t>El 28 de octubre de 2010, NITA fijó un nivel máximo de tarifas de interconexión móvil y acordó el nivel de WACC para operadores con poder sustancial en el mercado, durante el año 2011.</w:t>
            </w:r>
          </w:p>
        </w:tc>
      </w:tr>
      <w:tr w:rsidR="00382941" w:rsidRPr="00D631CA" w14:paraId="34A4D98F" w14:textId="77777777" w:rsidTr="00D631CA">
        <w:trPr>
          <w:trHeight w:val="730"/>
          <w:jc w:val="center"/>
        </w:trPr>
        <w:tc>
          <w:tcPr>
            <w:tcW w:w="1985" w:type="dxa"/>
            <w:noWrap/>
            <w:hideMark/>
          </w:tcPr>
          <w:p w14:paraId="0ECF2B66" w14:textId="77777777" w:rsidR="00382941" w:rsidRPr="00D631CA" w:rsidRDefault="00382941" w:rsidP="00000B03">
            <w:pPr>
              <w:ind w:left="360"/>
              <w:rPr>
                <w:rFonts w:ascii="Arial" w:hAnsi="Arial" w:cs="Arial"/>
                <w:sz w:val="20"/>
                <w:szCs w:val="20"/>
              </w:rPr>
            </w:pPr>
            <w:r w:rsidRPr="00D631CA">
              <w:rPr>
                <w:rFonts w:ascii="Arial" w:hAnsi="Arial" w:cs="Arial"/>
                <w:sz w:val="20"/>
                <w:szCs w:val="20"/>
              </w:rPr>
              <w:t>Finlandia</w:t>
            </w:r>
          </w:p>
        </w:tc>
        <w:tc>
          <w:tcPr>
            <w:tcW w:w="1701" w:type="dxa"/>
            <w:noWrap/>
            <w:hideMark/>
          </w:tcPr>
          <w:p w14:paraId="3CC0B395" w14:textId="77777777" w:rsidR="00382941" w:rsidRPr="00D631CA" w:rsidRDefault="00382941" w:rsidP="00000B03">
            <w:pPr>
              <w:ind w:left="360"/>
              <w:rPr>
                <w:rFonts w:ascii="Arial" w:hAnsi="Arial" w:cs="Arial"/>
                <w:sz w:val="20"/>
                <w:szCs w:val="20"/>
              </w:rPr>
            </w:pPr>
            <w:r w:rsidRPr="00D631CA">
              <w:rPr>
                <w:rFonts w:ascii="Arial" w:hAnsi="Arial" w:cs="Arial"/>
                <w:sz w:val="20"/>
                <w:szCs w:val="20"/>
              </w:rPr>
              <w:t>12.42-14.20</w:t>
            </w:r>
          </w:p>
        </w:tc>
        <w:tc>
          <w:tcPr>
            <w:tcW w:w="5103" w:type="dxa"/>
            <w:hideMark/>
          </w:tcPr>
          <w:p w14:paraId="47B63890" w14:textId="77777777" w:rsidR="00382941" w:rsidRPr="00D631CA" w:rsidRDefault="00382941" w:rsidP="00000B03">
            <w:pPr>
              <w:rPr>
                <w:rFonts w:ascii="Arial" w:hAnsi="Arial" w:cs="Arial"/>
                <w:sz w:val="20"/>
                <w:szCs w:val="20"/>
              </w:rPr>
            </w:pPr>
            <w:r w:rsidRPr="00D631CA">
              <w:rPr>
                <w:rFonts w:ascii="Arial" w:hAnsi="Arial" w:cs="Arial"/>
                <w:sz w:val="20"/>
                <w:szCs w:val="20"/>
              </w:rPr>
              <w:t>Memorándum FICORA de 15 de marzo de 2011.</w:t>
            </w:r>
          </w:p>
        </w:tc>
      </w:tr>
      <w:tr w:rsidR="00382941" w:rsidRPr="00D631CA" w14:paraId="1BADAA2F" w14:textId="77777777" w:rsidTr="00D631CA">
        <w:trPr>
          <w:trHeight w:val="285"/>
          <w:jc w:val="center"/>
        </w:trPr>
        <w:tc>
          <w:tcPr>
            <w:tcW w:w="1985" w:type="dxa"/>
            <w:noWrap/>
            <w:hideMark/>
          </w:tcPr>
          <w:p w14:paraId="333B1658" w14:textId="77777777" w:rsidR="00382941" w:rsidRPr="00D631CA" w:rsidRDefault="00382941" w:rsidP="00000B03">
            <w:pPr>
              <w:ind w:left="360"/>
              <w:rPr>
                <w:rFonts w:ascii="Arial" w:hAnsi="Arial" w:cs="Arial"/>
                <w:sz w:val="20"/>
                <w:szCs w:val="20"/>
              </w:rPr>
            </w:pPr>
            <w:r w:rsidRPr="00D631CA">
              <w:rPr>
                <w:rFonts w:ascii="Arial" w:hAnsi="Arial" w:cs="Arial"/>
                <w:sz w:val="20"/>
                <w:szCs w:val="20"/>
              </w:rPr>
              <w:t>Francia</w:t>
            </w:r>
          </w:p>
        </w:tc>
        <w:tc>
          <w:tcPr>
            <w:tcW w:w="1701" w:type="dxa"/>
            <w:noWrap/>
            <w:hideMark/>
          </w:tcPr>
          <w:p w14:paraId="7CD50E2C" w14:textId="77777777" w:rsidR="00382941" w:rsidRPr="00D631CA" w:rsidRDefault="00382941" w:rsidP="00000B03">
            <w:pPr>
              <w:ind w:left="360"/>
              <w:rPr>
                <w:rFonts w:ascii="Arial" w:hAnsi="Arial" w:cs="Arial"/>
                <w:sz w:val="20"/>
                <w:szCs w:val="20"/>
              </w:rPr>
            </w:pPr>
            <w:r w:rsidRPr="00D631CA">
              <w:rPr>
                <w:rFonts w:ascii="Arial" w:hAnsi="Arial" w:cs="Arial"/>
                <w:sz w:val="20"/>
                <w:szCs w:val="20"/>
              </w:rPr>
              <w:t>11.78</w:t>
            </w:r>
          </w:p>
        </w:tc>
        <w:tc>
          <w:tcPr>
            <w:tcW w:w="5103" w:type="dxa"/>
            <w:hideMark/>
          </w:tcPr>
          <w:p w14:paraId="148DB6E2" w14:textId="77777777" w:rsidR="00382941" w:rsidRPr="00D631CA" w:rsidRDefault="00382941" w:rsidP="00000B03">
            <w:pPr>
              <w:rPr>
                <w:rFonts w:ascii="Arial" w:hAnsi="Arial" w:cs="Arial"/>
                <w:sz w:val="20"/>
                <w:szCs w:val="20"/>
              </w:rPr>
            </w:pPr>
            <w:r w:rsidRPr="00D631CA">
              <w:rPr>
                <w:rFonts w:ascii="Arial" w:hAnsi="Arial" w:cs="Arial"/>
                <w:sz w:val="20"/>
                <w:szCs w:val="20"/>
              </w:rPr>
              <w:t>Decisión de ARCEP para el periodo 2010-2012, de fecha 21 de enero de 2010.</w:t>
            </w:r>
          </w:p>
        </w:tc>
      </w:tr>
      <w:tr w:rsidR="00382941" w:rsidRPr="00D631CA" w14:paraId="5A0B7FD4" w14:textId="77777777" w:rsidTr="00D631CA">
        <w:trPr>
          <w:trHeight w:val="285"/>
          <w:jc w:val="center"/>
        </w:trPr>
        <w:tc>
          <w:tcPr>
            <w:tcW w:w="1985" w:type="dxa"/>
            <w:noWrap/>
            <w:hideMark/>
          </w:tcPr>
          <w:p w14:paraId="70669BBF" w14:textId="77777777" w:rsidR="00382941" w:rsidRPr="00D631CA" w:rsidRDefault="00382941" w:rsidP="00000B03">
            <w:pPr>
              <w:ind w:left="360"/>
              <w:rPr>
                <w:rFonts w:ascii="Arial" w:hAnsi="Arial" w:cs="Arial"/>
                <w:sz w:val="20"/>
                <w:szCs w:val="20"/>
              </w:rPr>
            </w:pPr>
            <w:r w:rsidRPr="00D631CA">
              <w:rPr>
                <w:rFonts w:ascii="Arial" w:hAnsi="Arial" w:cs="Arial"/>
                <w:sz w:val="20"/>
                <w:szCs w:val="20"/>
              </w:rPr>
              <w:t>Grecia</w:t>
            </w:r>
          </w:p>
        </w:tc>
        <w:tc>
          <w:tcPr>
            <w:tcW w:w="1701" w:type="dxa"/>
            <w:noWrap/>
            <w:hideMark/>
          </w:tcPr>
          <w:p w14:paraId="2B71E3F3" w14:textId="77777777" w:rsidR="00382941" w:rsidRPr="00D631CA" w:rsidRDefault="00382941" w:rsidP="00000B03">
            <w:pPr>
              <w:ind w:left="360"/>
              <w:rPr>
                <w:rFonts w:ascii="Arial" w:hAnsi="Arial" w:cs="Arial"/>
                <w:sz w:val="20"/>
                <w:szCs w:val="20"/>
              </w:rPr>
            </w:pPr>
            <w:r w:rsidRPr="00D631CA">
              <w:rPr>
                <w:rFonts w:ascii="Arial" w:hAnsi="Arial" w:cs="Arial"/>
                <w:sz w:val="20"/>
                <w:szCs w:val="20"/>
              </w:rPr>
              <w:t>14.81</w:t>
            </w:r>
          </w:p>
        </w:tc>
        <w:tc>
          <w:tcPr>
            <w:tcW w:w="5103" w:type="dxa"/>
            <w:hideMark/>
          </w:tcPr>
          <w:p w14:paraId="4B42BAF7" w14:textId="77777777" w:rsidR="00382941" w:rsidRPr="00D631CA" w:rsidRDefault="00382941" w:rsidP="00000B03">
            <w:pPr>
              <w:rPr>
                <w:rFonts w:ascii="Arial" w:hAnsi="Arial" w:cs="Arial"/>
                <w:sz w:val="20"/>
                <w:szCs w:val="20"/>
              </w:rPr>
            </w:pPr>
            <w:r w:rsidRPr="00D631CA">
              <w:rPr>
                <w:rFonts w:ascii="Arial" w:hAnsi="Arial" w:cs="Arial"/>
                <w:sz w:val="20"/>
                <w:szCs w:val="20"/>
              </w:rPr>
              <w:t>Mencionado en la decisión preliminar de la EETT, M72007, de 4 de julio de 2008.</w:t>
            </w:r>
          </w:p>
        </w:tc>
      </w:tr>
      <w:tr w:rsidR="00382941" w:rsidRPr="00D631CA" w14:paraId="4724B1F7" w14:textId="77777777" w:rsidTr="00D631CA">
        <w:trPr>
          <w:trHeight w:val="285"/>
          <w:jc w:val="center"/>
        </w:trPr>
        <w:tc>
          <w:tcPr>
            <w:tcW w:w="1985" w:type="dxa"/>
            <w:noWrap/>
            <w:hideMark/>
          </w:tcPr>
          <w:p w14:paraId="0633C9A7" w14:textId="77777777" w:rsidR="00382941" w:rsidRPr="00D631CA" w:rsidRDefault="00382941" w:rsidP="00000B03">
            <w:pPr>
              <w:ind w:left="360"/>
              <w:rPr>
                <w:rFonts w:ascii="Arial" w:hAnsi="Arial" w:cs="Arial"/>
                <w:sz w:val="20"/>
                <w:szCs w:val="20"/>
              </w:rPr>
            </w:pPr>
            <w:r w:rsidRPr="00D631CA">
              <w:rPr>
                <w:rFonts w:ascii="Arial" w:hAnsi="Arial" w:cs="Arial"/>
                <w:sz w:val="20"/>
                <w:szCs w:val="20"/>
              </w:rPr>
              <w:t>Italia</w:t>
            </w:r>
          </w:p>
        </w:tc>
        <w:tc>
          <w:tcPr>
            <w:tcW w:w="1701" w:type="dxa"/>
            <w:noWrap/>
            <w:hideMark/>
          </w:tcPr>
          <w:p w14:paraId="0BCBB2C9" w14:textId="77777777" w:rsidR="00382941" w:rsidRPr="00D631CA" w:rsidRDefault="00382941" w:rsidP="00000B03">
            <w:pPr>
              <w:ind w:left="360"/>
              <w:rPr>
                <w:rFonts w:ascii="Arial" w:hAnsi="Arial" w:cs="Arial"/>
                <w:sz w:val="20"/>
                <w:szCs w:val="20"/>
              </w:rPr>
            </w:pPr>
            <w:r w:rsidRPr="00D631CA">
              <w:rPr>
                <w:rFonts w:ascii="Arial" w:hAnsi="Arial" w:cs="Arial"/>
                <w:sz w:val="20"/>
                <w:szCs w:val="20"/>
              </w:rPr>
              <w:t>10.4</w:t>
            </w:r>
          </w:p>
        </w:tc>
        <w:tc>
          <w:tcPr>
            <w:tcW w:w="5103" w:type="dxa"/>
            <w:hideMark/>
          </w:tcPr>
          <w:p w14:paraId="20967574" w14:textId="77777777" w:rsidR="00382941" w:rsidRPr="00D631CA" w:rsidRDefault="00382941" w:rsidP="00000B03">
            <w:pPr>
              <w:rPr>
                <w:rFonts w:ascii="Arial" w:hAnsi="Arial" w:cs="Arial"/>
                <w:sz w:val="20"/>
                <w:szCs w:val="20"/>
              </w:rPr>
            </w:pPr>
            <w:r w:rsidRPr="00D631CA">
              <w:rPr>
                <w:rFonts w:ascii="Arial" w:hAnsi="Arial" w:cs="Arial"/>
                <w:sz w:val="20"/>
                <w:szCs w:val="20"/>
              </w:rPr>
              <w:t>Decisión AGCOM 60/2011/CONS, de fecha 16 de mayo de 2011.</w:t>
            </w:r>
          </w:p>
        </w:tc>
      </w:tr>
      <w:tr w:rsidR="00382941" w:rsidRPr="00D631CA" w14:paraId="53DFE95F" w14:textId="77777777" w:rsidTr="00D631CA">
        <w:trPr>
          <w:trHeight w:val="670"/>
          <w:jc w:val="center"/>
        </w:trPr>
        <w:tc>
          <w:tcPr>
            <w:tcW w:w="1985" w:type="dxa"/>
            <w:noWrap/>
            <w:hideMark/>
          </w:tcPr>
          <w:p w14:paraId="65CC2DDD" w14:textId="77777777" w:rsidR="00382941" w:rsidRPr="00D631CA" w:rsidRDefault="00382941" w:rsidP="00000B03">
            <w:pPr>
              <w:ind w:left="360"/>
              <w:rPr>
                <w:rFonts w:ascii="Arial" w:hAnsi="Arial" w:cs="Arial"/>
                <w:sz w:val="20"/>
                <w:szCs w:val="20"/>
              </w:rPr>
            </w:pPr>
            <w:r w:rsidRPr="00D631CA">
              <w:rPr>
                <w:rFonts w:ascii="Arial" w:hAnsi="Arial" w:cs="Arial"/>
                <w:sz w:val="20"/>
                <w:szCs w:val="20"/>
              </w:rPr>
              <w:lastRenderedPageBreak/>
              <w:t>México</w:t>
            </w:r>
          </w:p>
        </w:tc>
        <w:tc>
          <w:tcPr>
            <w:tcW w:w="1701" w:type="dxa"/>
            <w:noWrap/>
            <w:hideMark/>
          </w:tcPr>
          <w:p w14:paraId="65086F05" w14:textId="77777777" w:rsidR="00382941" w:rsidRPr="00D631CA" w:rsidRDefault="00382941" w:rsidP="00000B03">
            <w:pPr>
              <w:ind w:left="360"/>
              <w:rPr>
                <w:rFonts w:ascii="Arial" w:hAnsi="Arial" w:cs="Arial"/>
                <w:sz w:val="20"/>
                <w:szCs w:val="20"/>
              </w:rPr>
            </w:pPr>
            <w:r w:rsidRPr="00D631CA">
              <w:rPr>
                <w:rFonts w:ascii="Arial" w:hAnsi="Arial" w:cs="Arial"/>
                <w:sz w:val="20"/>
                <w:szCs w:val="20"/>
              </w:rPr>
              <w:t>15.52</w:t>
            </w:r>
          </w:p>
        </w:tc>
        <w:tc>
          <w:tcPr>
            <w:tcW w:w="5103" w:type="dxa"/>
            <w:hideMark/>
          </w:tcPr>
          <w:p w14:paraId="0F97F6B3" w14:textId="77777777" w:rsidR="00382941" w:rsidRPr="00D631CA" w:rsidRDefault="00382941" w:rsidP="00000B03">
            <w:pPr>
              <w:rPr>
                <w:rFonts w:ascii="Arial" w:hAnsi="Arial" w:cs="Arial"/>
                <w:sz w:val="20"/>
                <w:szCs w:val="20"/>
              </w:rPr>
            </w:pPr>
            <w:r w:rsidRPr="00D631CA">
              <w:rPr>
                <w:rFonts w:ascii="Arial" w:hAnsi="Arial" w:cs="Arial"/>
                <w:sz w:val="20"/>
                <w:szCs w:val="20"/>
              </w:rPr>
              <w:t>Resolución recurrida.</w:t>
            </w:r>
          </w:p>
        </w:tc>
      </w:tr>
      <w:tr w:rsidR="00382941" w:rsidRPr="00D631CA" w14:paraId="46847213" w14:textId="77777777" w:rsidTr="00D631CA">
        <w:trPr>
          <w:trHeight w:val="480"/>
          <w:jc w:val="center"/>
        </w:trPr>
        <w:tc>
          <w:tcPr>
            <w:tcW w:w="1985" w:type="dxa"/>
            <w:noWrap/>
            <w:hideMark/>
          </w:tcPr>
          <w:p w14:paraId="5008D221" w14:textId="77777777" w:rsidR="00382941" w:rsidRPr="00D631CA" w:rsidRDefault="00382941" w:rsidP="00000B03">
            <w:pPr>
              <w:ind w:left="360"/>
              <w:rPr>
                <w:rFonts w:ascii="Arial" w:hAnsi="Arial" w:cs="Arial"/>
                <w:sz w:val="20"/>
                <w:szCs w:val="20"/>
              </w:rPr>
            </w:pPr>
            <w:r w:rsidRPr="00D631CA">
              <w:rPr>
                <w:rFonts w:ascii="Arial" w:hAnsi="Arial" w:cs="Arial"/>
                <w:sz w:val="20"/>
                <w:szCs w:val="20"/>
              </w:rPr>
              <w:t>Noruega</w:t>
            </w:r>
          </w:p>
        </w:tc>
        <w:tc>
          <w:tcPr>
            <w:tcW w:w="1701" w:type="dxa"/>
            <w:noWrap/>
            <w:hideMark/>
          </w:tcPr>
          <w:p w14:paraId="7D72160C" w14:textId="77777777" w:rsidR="00382941" w:rsidRPr="00D631CA" w:rsidRDefault="00382941" w:rsidP="00000B03">
            <w:pPr>
              <w:ind w:left="360"/>
              <w:rPr>
                <w:rFonts w:ascii="Arial" w:hAnsi="Arial" w:cs="Arial"/>
                <w:sz w:val="20"/>
                <w:szCs w:val="20"/>
              </w:rPr>
            </w:pPr>
            <w:r w:rsidRPr="00D631CA">
              <w:rPr>
                <w:rFonts w:ascii="Arial" w:hAnsi="Arial" w:cs="Arial"/>
                <w:sz w:val="20"/>
                <w:szCs w:val="20"/>
              </w:rPr>
              <w:t>13.5</w:t>
            </w:r>
          </w:p>
        </w:tc>
        <w:tc>
          <w:tcPr>
            <w:tcW w:w="5103" w:type="dxa"/>
            <w:hideMark/>
          </w:tcPr>
          <w:p w14:paraId="1CC4D74D" w14:textId="77777777" w:rsidR="00382941" w:rsidRPr="00D631CA" w:rsidRDefault="00382941" w:rsidP="00000B03">
            <w:pPr>
              <w:rPr>
                <w:rFonts w:ascii="Arial" w:hAnsi="Arial" w:cs="Arial"/>
                <w:sz w:val="20"/>
                <w:szCs w:val="20"/>
              </w:rPr>
            </w:pPr>
            <w:r w:rsidRPr="00D631CA">
              <w:rPr>
                <w:rFonts w:ascii="Arial" w:hAnsi="Arial" w:cs="Arial"/>
                <w:sz w:val="20"/>
                <w:szCs w:val="20"/>
              </w:rPr>
              <w:t>Tasa válida para el año contable 2011. Decisión de la NPT de 14 de octubre de 2010.</w:t>
            </w:r>
          </w:p>
        </w:tc>
      </w:tr>
      <w:tr w:rsidR="00382941" w:rsidRPr="00D631CA" w14:paraId="5CB681EE" w14:textId="77777777" w:rsidTr="00D631CA">
        <w:trPr>
          <w:trHeight w:val="285"/>
          <w:jc w:val="center"/>
        </w:trPr>
        <w:tc>
          <w:tcPr>
            <w:tcW w:w="1985" w:type="dxa"/>
            <w:noWrap/>
            <w:hideMark/>
          </w:tcPr>
          <w:p w14:paraId="62191938" w14:textId="77777777" w:rsidR="00382941" w:rsidRPr="00D631CA" w:rsidRDefault="00382941" w:rsidP="00000B03">
            <w:pPr>
              <w:ind w:left="360"/>
              <w:rPr>
                <w:rFonts w:ascii="Arial" w:hAnsi="Arial" w:cs="Arial"/>
                <w:sz w:val="20"/>
                <w:szCs w:val="20"/>
              </w:rPr>
            </w:pPr>
            <w:r w:rsidRPr="00D631CA">
              <w:rPr>
                <w:rFonts w:ascii="Arial" w:hAnsi="Arial" w:cs="Arial"/>
                <w:sz w:val="20"/>
                <w:szCs w:val="20"/>
              </w:rPr>
              <w:t>España</w:t>
            </w:r>
          </w:p>
        </w:tc>
        <w:tc>
          <w:tcPr>
            <w:tcW w:w="1701" w:type="dxa"/>
            <w:noWrap/>
            <w:hideMark/>
          </w:tcPr>
          <w:p w14:paraId="77E95CC5" w14:textId="77777777" w:rsidR="00382941" w:rsidRPr="00D631CA" w:rsidRDefault="00382941" w:rsidP="00000B03">
            <w:pPr>
              <w:ind w:left="360"/>
              <w:rPr>
                <w:rFonts w:ascii="Arial" w:hAnsi="Arial" w:cs="Arial"/>
                <w:sz w:val="20"/>
                <w:szCs w:val="20"/>
              </w:rPr>
            </w:pPr>
            <w:r w:rsidRPr="00D631CA">
              <w:rPr>
                <w:rFonts w:ascii="Arial" w:hAnsi="Arial" w:cs="Arial"/>
                <w:sz w:val="20"/>
                <w:szCs w:val="20"/>
              </w:rPr>
              <w:t>11.23</w:t>
            </w:r>
          </w:p>
        </w:tc>
        <w:tc>
          <w:tcPr>
            <w:tcW w:w="5103" w:type="dxa"/>
            <w:hideMark/>
          </w:tcPr>
          <w:p w14:paraId="4E98F331" w14:textId="77777777" w:rsidR="00382941" w:rsidRPr="00D631CA" w:rsidRDefault="00382941" w:rsidP="00000B03">
            <w:pPr>
              <w:rPr>
                <w:rFonts w:ascii="Arial" w:hAnsi="Arial" w:cs="Arial"/>
                <w:sz w:val="20"/>
                <w:szCs w:val="20"/>
              </w:rPr>
            </w:pPr>
            <w:r w:rsidRPr="00D631CA">
              <w:rPr>
                <w:rFonts w:ascii="Arial" w:hAnsi="Arial" w:cs="Arial"/>
                <w:sz w:val="20"/>
                <w:szCs w:val="20"/>
              </w:rPr>
              <w:t>CMT definió a Telefónica Móviles, el 29 de julio de 2010, para el periodo 2010.</w:t>
            </w:r>
          </w:p>
        </w:tc>
      </w:tr>
      <w:tr w:rsidR="00D631CA" w:rsidRPr="00D631CA" w14:paraId="383F1A58" w14:textId="77777777" w:rsidTr="00D631CA">
        <w:trPr>
          <w:trHeight w:val="285"/>
          <w:jc w:val="center"/>
        </w:trPr>
        <w:tc>
          <w:tcPr>
            <w:tcW w:w="1985" w:type="dxa"/>
            <w:hideMark/>
          </w:tcPr>
          <w:p w14:paraId="60A36D36" w14:textId="5A88C88D" w:rsidR="00D631CA" w:rsidRPr="00D631CA" w:rsidRDefault="00D631CA" w:rsidP="00000B03">
            <w:pPr>
              <w:ind w:left="360"/>
              <w:rPr>
                <w:rFonts w:ascii="Arial" w:hAnsi="Arial" w:cs="Arial"/>
                <w:sz w:val="20"/>
                <w:szCs w:val="20"/>
              </w:rPr>
            </w:pPr>
            <w:r w:rsidRPr="00D631CA">
              <w:rPr>
                <w:rFonts w:ascii="Arial" w:hAnsi="Arial" w:cs="Arial"/>
                <w:sz w:val="20"/>
                <w:szCs w:val="20"/>
              </w:rPr>
              <w:t>España</w:t>
            </w:r>
          </w:p>
        </w:tc>
        <w:tc>
          <w:tcPr>
            <w:tcW w:w="1701" w:type="dxa"/>
            <w:noWrap/>
            <w:hideMark/>
          </w:tcPr>
          <w:p w14:paraId="78A1A414" w14:textId="77777777" w:rsidR="00D631CA" w:rsidRPr="00D631CA" w:rsidRDefault="00D631CA" w:rsidP="00000B03">
            <w:pPr>
              <w:ind w:left="360"/>
              <w:rPr>
                <w:rFonts w:ascii="Arial" w:hAnsi="Arial" w:cs="Arial"/>
                <w:sz w:val="20"/>
                <w:szCs w:val="20"/>
              </w:rPr>
            </w:pPr>
            <w:r w:rsidRPr="00D631CA">
              <w:rPr>
                <w:rFonts w:ascii="Arial" w:hAnsi="Arial" w:cs="Arial"/>
                <w:sz w:val="20"/>
                <w:szCs w:val="20"/>
              </w:rPr>
              <w:t>11.21</w:t>
            </w:r>
          </w:p>
        </w:tc>
        <w:tc>
          <w:tcPr>
            <w:tcW w:w="5103" w:type="dxa"/>
            <w:hideMark/>
          </w:tcPr>
          <w:p w14:paraId="6C208FF2" w14:textId="77777777" w:rsidR="00D631CA" w:rsidRPr="00D631CA" w:rsidRDefault="00D631CA" w:rsidP="00000B03">
            <w:pPr>
              <w:rPr>
                <w:rFonts w:ascii="Arial" w:hAnsi="Arial" w:cs="Arial"/>
                <w:sz w:val="20"/>
                <w:szCs w:val="20"/>
              </w:rPr>
            </w:pPr>
            <w:r w:rsidRPr="00D631CA">
              <w:rPr>
                <w:rFonts w:ascii="Arial" w:hAnsi="Arial" w:cs="Arial"/>
                <w:sz w:val="20"/>
                <w:szCs w:val="20"/>
              </w:rPr>
              <w:t>CMT definió a Vodafone, el 29 de julio de 2010, para el periodo 2010.</w:t>
            </w:r>
          </w:p>
        </w:tc>
      </w:tr>
      <w:tr w:rsidR="00D631CA" w:rsidRPr="00D631CA" w14:paraId="4FE6A2C6" w14:textId="77777777" w:rsidTr="00D631CA">
        <w:trPr>
          <w:trHeight w:val="285"/>
          <w:jc w:val="center"/>
        </w:trPr>
        <w:tc>
          <w:tcPr>
            <w:tcW w:w="1985" w:type="dxa"/>
            <w:hideMark/>
          </w:tcPr>
          <w:p w14:paraId="67E27D4E" w14:textId="4C82A263" w:rsidR="00D631CA" w:rsidRPr="00D631CA" w:rsidRDefault="00D631CA" w:rsidP="00000B03">
            <w:pPr>
              <w:ind w:left="360"/>
              <w:rPr>
                <w:rFonts w:ascii="Arial" w:hAnsi="Arial" w:cs="Arial"/>
                <w:sz w:val="20"/>
                <w:szCs w:val="20"/>
              </w:rPr>
            </w:pPr>
            <w:r w:rsidRPr="00D631CA">
              <w:rPr>
                <w:rFonts w:ascii="Arial" w:hAnsi="Arial" w:cs="Arial"/>
                <w:sz w:val="20"/>
                <w:szCs w:val="20"/>
              </w:rPr>
              <w:t>España</w:t>
            </w:r>
          </w:p>
        </w:tc>
        <w:tc>
          <w:tcPr>
            <w:tcW w:w="1701" w:type="dxa"/>
            <w:noWrap/>
            <w:hideMark/>
          </w:tcPr>
          <w:p w14:paraId="76EE0348" w14:textId="77777777" w:rsidR="00D631CA" w:rsidRPr="00D631CA" w:rsidRDefault="00D631CA" w:rsidP="00000B03">
            <w:pPr>
              <w:ind w:left="360"/>
              <w:rPr>
                <w:rFonts w:ascii="Arial" w:hAnsi="Arial" w:cs="Arial"/>
                <w:sz w:val="20"/>
                <w:szCs w:val="20"/>
              </w:rPr>
            </w:pPr>
            <w:r w:rsidRPr="00D631CA">
              <w:rPr>
                <w:rFonts w:ascii="Arial" w:hAnsi="Arial" w:cs="Arial"/>
                <w:sz w:val="20"/>
                <w:szCs w:val="20"/>
              </w:rPr>
              <w:t>10.17</w:t>
            </w:r>
          </w:p>
        </w:tc>
        <w:tc>
          <w:tcPr>
            <w:tcW w:w="5103" w:type="dxa"/>
            <w:hideMark/>
          </w:tcPr>
          <w:p w14:paraId="2400DB37" w14:textId="77777777" w:rsidR="00D631CA" w:rsidRPr="00D631CA" w:rsidRDefault="00D631CA" w:rsidP="00000B03">
            <w:pPr>
              <w:rPr>
                <w:rFonts w:ascii="Arial" w:hAnsi="Arial" w:cs="Arial"/>
                <w:sz w:val="20"/>
                <w:szCs w:val="20"/>
              </w:rPr>
            </w:pPr>
            <w:r w:rsidRPr="00D631CA">
              <w:rPr>
                <w:rFonts w:ascii="Arial" w:hAnsi="Arial" w:cs="Arial"/>
                <w:sz w:val="20"/>
                <w:szCs w:val="20"/>
              </w:rPr>
              <w:t>CMT definió a France Telecom, el 29 de julio de 2010, para el periodo 2010.</w:t>
            </w:r>
          </w:p>
        </w:tc>
      </w:tr>
      <w:tr w:rsidR="00382941" w:rsidRPr="00D631CA" w14:paraId="36139038" w14:textId="77777777" w:rsidTr="00D631CA">
        <w:trPr>
          <w:trHeight w:val="720"/>
          <w:jc w:val="center"/>
        </w:trPr>
        <w:tc>
          <w:tcPr>
            <w:tcW w:w="1985" w:type="dxa"/>
            <w:noWrap/>
            <w:hideMark/>
          </w:tcPr>
          <w:p w14:paraId="5DFF5EF1" w14:textId="77777777" w:rsidR="00382941" w:rsidRPr="00D631CA" w:rsidRDefault="00382941" w:rsidP="00000B03">
            <w:pPr>
              <w:ind w:left="360"/>
              <w:rPr>
                <w:rFonts w:ascii="Arial" w:hAnsi="Arial" w:cs="Arial"/>
                <w:sz w:val="20"/>
                <w:szCs w:val="20"/>
              </w:rPr>
            </w:pPr>
            <w:r w:rsidRPr="00D631CA">
              <w:rPr>
                <w:rFonts w:ascii="Arial" w:hAnsi="Arial" w:cs="Arial"/>
                <w:sz w:val="20"/>
                <w:szCs w:val="20"/>
              </w:rPr>
              <w:t>Suecia</w:t>
            </w:r>
          </w:p>
        </w:tc>
        <w:tc>
          <w:tcPr>
            <w:tcW w:w="1701" w:type="dxa"/>
            <w:noWrap/>
            <w:hideMark/>
          </w:tcPr>
          <w:p w14:paraId="28EA3BAA" w14:textId="77777777" w:rsidR="00382941" w:rsidRPr="00D631CA" w:rsidRDefault="00382941" w:rsidP="00000B03">
            <w:pPr>
              <w:ind w:left="360"/>
              <w:rPr>
                <w:rFonts w:ascii="Arial" w:hAnsi="Arial" w:cs="Arial"/>
                <w:sz w:val="20"/>
                <w:szCs w:val="20"/>
              </w:rPr>
            </w:pPr>
            <w:r w:rsidRPr="00D631CA">
              <w:rPr>
                <w:rFonts w:ascii="Arial" w:hAnsi="Arial" w:cs="Arial"/>
                <w:sz w:val="20"/>
                <w:szCs w:val="20"/>
              </w:rPr>
              <w:t>9.4</w:t>
            </w:r>
          </w:p>
        </w:tc>
        <w:tc>
          <w:tcPr>
            <w:tcW w:w="5103" w:type="dxa"/>
            <w:hideMark/>
          </w:tcPr>
          <w:p w14:paraId="3CFFA2C1" w14:textId="77777777" w:rsidR="00382941" w:rsidRPr="00D631CA" w:rsidRDefault="00382941" w:rsidP="00000B03">
            <w:pPr>
              <w:rPr>
                <w:rFonts w:ascii="Arial" w:hAnsi="Arial" w:cs="Arial"/>
                <w:sz w:val="20"/>
                <w:szCs w:val="20"/>
              </w:rPr>
            </w:pPr>
            <w:r w:rsidRPr="00D631CA">
              <w:rPr>
                <w:rFonts w:ascii="Arial" w:hAnsi="Arial" w:cs="Arial"/>
                <w:sz w:val="20"/>
                <w:szCs w:val="20"/>
              </w:rPr>
              <w:t>El 9 de febrero de 2011, PTS publicó la revisión a la WACC que será utilizada en el modelo LRIC de redes móviles. Esta nueva tasa se redujo del nivel fijado en 2008 (12.9%).</w:t>
            </w:r>
          </w:p>
        </w:tc>
      </w:tr>
      <w:tr w:rsidR="00382941" w:rsidRPr="00D631CA" w14:paraId="14446591" w14:textId="77777777" w:rsidTr="00D631CA">
        <w:trPr>
          <w:trHeight w:val="635"/>
          <w:jc w:val="center"/>
        </w:trPr>
        <w:tc>
          <w:tcPr>
            <w:tcW w:w="1985" w:type="dxa"/>
            <w:noWrap/>
            <w:hideMark/>
          </w:tcPr>
          <w:p w14:paraId="27908079" w14:textId="77777777" w:rsidR="00382941" w:rsidRPr="00D631CA" w:rsidRDefault="00382941" w:rsidP="00000B03">
            <w:pPr>
              <w:ind w:left="360"/>
              <w:rPr>
                <w:rFonts w:ascii="Arial" w:hAnsi="Arial" w:cs="Arial"/>
                <w:sz w:val="20"/>
                <w:szCs w:val="20"/>
              </w:rPr>
            </w:pPr>
            <w:r w:rsidRPr="00D631CA">
              <w:rPr>
                <w:rFonts w:ascii="Arial" w:hAnsi="Arial" w:cs="Arial"/>
                <w:sz w:val="20"/>
                <w:szCs w:val="20"/>
              </w:rPr>
              <w:t>Reino Unido</w:t>
            </w:r>
          </w:p>
        </w:tc>
        <w:tc>
          <w:tcPr>
            <w:tcW w:w="1701" w:type="dxa"/>
            <w:noWrap/>
            <w:hideMark/>
          </w:tcPr>
          <w:p w14:paraId="6D9D6A69" w14:textId="77777777" w:rsidR="00382941" w:rsidRPr="00D631CA" w:rsidRDefault="00382941" w:rsidP="00000B03">
            <w:pPr>
              <w:ind w:left="360"/>
              <w:rPr>
                <w:rFonts w:ascii="Arial" w:hAnsi="Arial" w:cs="Arial"/>
                <w:sz w:val="20"/>
                <w:szCs w:val="20"/>
              </w:rPr>
            </w:pPr>
            <w:r w:rsidRPr="00D631CA">
              <w:rPr>
                <w:rFonts w:ascii="Arial" w:hAnsi="Arial" w:cs="Arial"/>
                <w:sz w:val="20"/>
                <w:szCs w:val="20"/>
              </w:rPr>
              <w:t>8.9</w:t>
            </w:r>
          </w:p>
        </w:tc>
        <w:tc>
          <w:tcPr>
            <w:tcW w:w="5103" w:type="dxa"/>
            <w:hideMark/>
          </w:tcPr>
          <w:p w14:paraId="4B0830C9" w14:textId="77777777" w:rsidR="00382941" w:rsidRPr="00D631CA" w:rsidRDefault="00382941" w:rsidP="00000B03">
            <w:pPr>
              <w:rPr>
                <w:rFonts w:ascii="Arial" w:hAnsi="Arial" w:cs="Arial"/>
                <w:sz w:val="20"/>
                <w:szCs w:val="20"/>
              </w:rPr>
            </w:pPr>
            <w:r w:rsidRPr="00D631CA">
              <w:rPr>
                <w:rFonts w:ascii="Arial" w:hAnsi="Arial" w:cs="Arial"/>
                <w:sz w:val="20"/>
                <w:szCs w:val="20"/>
              </w:rPr>
              <w:t xml:space="preserve">Decisión de </w:t>
            </w:r>
            <w:proofErr w:type="spellStart"/>
            <w:r w:rsidRPr="00D631CA">
              <w:rPr>
                <w:rFonts w:ascii="Arial" w:hAnsi="Arial" w:cs="Arial"/>
                <w:sz w:val="20"/>
                <w:szCs w:val="20"/>
              </w:rPr>
              <w:t>Ofcom</w:t>
            </w:r>
            <w:proofErr w:type="spellEnd"/>
            <w:r w:rsidRPr="00D631CA">
              <w:rPr>
                <w:rFonts w:ascii="Arial" w:hAnsi="Arial" w:cs="Arial"/>
                <w:sz w:val="20"/>
                <w:szCs w:val="20"/>
              </w:rPr>
              <w:t xml:space="preserve"> de marzo de 2011.</w:t>
            </w:r>
          </w:p>
        </w:tc>
      </w:tr>
    </w:tbl>
    <w:p w14:paraId="20CDA49E" w14:textId="77777777" w:rsidR="00D631CA" w:rsidRPr="00D631CA" w:rsidRDefault="00D631CA" w:rsidP="00000B03">
      <w:pPr>
        <w:spacing w:after="0" w:line="360" w:lineRule="auto"/>
        <w:ind w:left="709"/>
        <w:jc w:val="both"/>
        <w:rPr>
          <w:rFonts w:ascii="Arial" w:hAnsi="Arial" w:cs="Arial"/>
          <w:sz w:val="16"/>
          <w:szCs w:val="16"/>
        </w:rPr>
      </w:pPr>
      <w:r w:rsidRPr="00D631CA">
        <w:rPr>
          <w:rFonts w:ascii="Arial" w:hAnsi="Arial" w:cs="Arial"/>
          <w:sz w:val="16"/>
          <w:szCs w:val="16"/>
        </w:rPr>
        <w:t xml:space="preserve">Fuente: </w:t>
      </w:r>
      <w:proofErr w:type="spellStart"/>
      <w:r w:rsidRPr="00D631CA">
        <w:rPr>
          <w:rFonts w:ascii="Arial" w:hAnsi="Arial" w:cs="Arial"/>
          <w:sz w:val="16"/>
          <w:szCs w:val="16"/>
        </w:rPr>
        <w:t>Cullen</w:t>
      </w:r>
      <w:proofErr w:type="spellEnd"/>
      <w:r w:rsidRPr="00D631CA">
        <w:rPr>
          <w:rFonts w:ascii="Arial" w:hAnsi="Arial" w:cs="Arial"/>
          <w:sz w:val="16"/>
          <w:szCs w:val="16"/>
        </w:rPr>
        <w:t xml:space="preserve"> International, </w:t>
      </w:r>
    </w:p>
    <w:p w14:paraId="3DEF78FF" w14:textId="0C30F2EE" w:rsidR="00D631CA" w:rsidRPr="00D631CA" w:rsidRDefault="00D631CA" w:rsidP="00000B03">
      <w:pPr>
        <w:spacing w:before="240" w:after="0" w:line="360" w:lineRule="auto"/>
        <w:ind w:left="709"/>
        <w:jc w:val="both"/>
        <w:rPr>
          <w:rFonts w:ascii="Arial" w:hAnsi="Arial" w:cs="Arial"/>
          <w:b/>
          <w:sz w:val="24"/>
          <w:szCs w:val="24"/>
        </w:rPr>
      </w:pPr>
      <w:r w:rsidRPr="00D631CA">
        <w:rPr>
          <w:rFonts w:ascii="Arial" w:hAnsi="Arial" w:cs="Arial"/>
          <w:sz w:val="16"/>
          <w:szCs w:val="16"/>
        </w:rPr>
        <w:t>Junio 2011.</w:t>
      </w:r>
    </w:p>
    <w:p w14:paraId="5645D6BB"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Cabe señalar que el costo de capital de Telefónica Móviles utilizado por el órgano regulador de España en 2010 fue de 11.23%, notablemente inferior al utilizado en la resolución recurrida; este dato es importante en virtud de que dicha empresa se financia en los mercados internacionales, por lo que puede obtener fondos a un costo mucho menor del utilizado en el modelo de costos.</w:t>
      </w:r>
    </w:p>
    <w:p w14:paraId="0069412D"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Por tanto, la Resolución recurrida se encuentra debidamente fundada y motivada, de ahí que sean improcedentes por infundados los argumentos de la Recurrente.</w:t>
      </w:r>
    </w:p>
    <w:p w14:paraId="57A128FC" w14:textId="77777777" w:rsidR="00D631CA" w:rsidRPr="00D631CA" w:rsidRDefault="00382941" w:rsidP="00D631CA">
      <w:pPr>
        <w:numPr>
          <w:ilvl w:val="0"/>
          <w:numId w:val="10"/>
        </w:numPr>
        <w:spacing w:before="240"/>
        <w:ind w:left="284" w:hanging="284"/>
        <w:contextualSpacing/>
        <w:jc w:val="both"/>
        <w:rPr>
          <w:rFonts w:ascii="ITC Avant Garde" w:eastAsia="Calibri" w:hAnsi="ITC Avant Garde" w:cs="Arial"/>
        </w:rPr>
      </w:pPr>
      <w:r w:rsidRPr="00D631CA">
        <w:rPr>
          <w:rFonts w:ascii="ITC Avant Garde" w:eastAsia="Calibri" w:hAnsi="ITC Avant Garde" w:cs="Arial"/>
          <w:u w:val="single"/>
        </w:rPr>
        <w:t xml:space="preserve">La sustitución de los valores y el desglose de las fórmulas. </w:t>
      </w:r>
      <w:r w:rsidRPr="00D631CA">
        <w:rPr>
          <w:rFonts w:ascii="ITC Avant Garde" w:eastAsia="Calibri" w:hAnsi="ITC Avant Garde" w:cs="Arial"/>
        </w:rPr>
        <w:t>La Recurrente argumenta que dicho problema radica en que, por la complejidad de las fórmulas empleadas, es prácticamente imposible verificar los cálculos que se encuentran debidamente efectuados. Configura una violación más a la garantía de debida motivación de los actos de autoridad.</w:t>
      </w:r>
    </w:p>
    <w:p w14:paraId="20BD4E8D"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 xml:space="preserve">Al respecto, esta Autoridad revisora considera que los argumentos de la Recurrente resultan improcedentes en virtud de que la extinta Comisión hizo precisión de la metodología y aplicación de la información que utilizó para la determinación de las tarifas de interconexión señaladas en el Resolución Recurrida, incluyendo las fórmulas y modelos aplicados, por lo tanto es infundada e insuficiente la manifestación de la Recurrente al </w:t>
      </w:r>
      <w:r w:rsidRPr="00D631CA">
        <w:rPr>
          <w:rFonts w:ascii="ITC Avant Garde" w:eastAsia="Calibri" w:hAnsi="ITC Avant Garde" w:cs="Arial"/>
        </w:rPr>
        <w:lastRenderedPageBreak/>
        <w:t>señalar que la Comisión la dejó en estado de incertidumbre jurídica porque no incluyó todas y cada una de las operaciones aritméticas referidas.</w:t>
      </w:r>
    </w:p>
    <w:p w14:paraId="04AF0D3F"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A mayor abundamiento, a fojas 58 a 73 de la Resolución recurrida, mismas que para evitar repeticiones innecesarias se tienen aquí por reproducidas como si a la letra se insertasen, la extinta Comisión estableció las fórmulas y metodología utilizadas para los cálculos realizados conforme al Modelo CITLP para determinar la tarifa de interconexión para el 1 de enero de 2011 al 31 de diciembre de 2011 de $0.3912 pesos por minuto, considerando que dicha tarifa incluye el costo correspondiente a los puertos necesarios para la interconexión. Asimismo, la Comisión consideró que las funciones básicas que realiza la red pública de telecomunicaciones de un concesionario de servicio móvil para la terminación de una llamada consisten en la conmutación y la transmisión para efectos de cursarla y la señalización para establecerla, mantenerla y liberarla, dichas funciones son independientes de la infraestructura y componentes de la red pública de telecomunicaciones del concesionario que entrega el tráfico.</w:t>
      </w:r>
    </w:p>
    <w:p w14:paraId="297BA85C" w14:textId="2701A1F5" w:rsidR="00D631CA" w:rsidRPr="00D631CA" w:rsidRDefault="00382941" w:rsidP="00D631CA">
      <w:pPr>
        <w:spacing w:before="240"/>
        <w:ind w:left="284"/>
        <w:contextualSpacing/>
        <w:jc w:val="both"/>
        <w:rPr>
          <w:rFonts w:ascii="ITC Avant Garde" w:eastAsia="Calibri" w:hAnsi="ITC Avant Garde" w:cs="Arial"/>
        </w:rPr>
      </w:pPr>
      <w:r w:rsidRPr="00D631CA">
        <w:rPr>
          <w:rFonts w:ascii="ITC Avant Garde" w:eastAsia="Calibri" w:hAnsi="ITC Avant Garde" w:cs="Arial"/>
        </w:rPr>
        <w:t>De igual forma, las foja 76 a 93 de la Resolución recurrida se encuentra el ANEXO DEL MODELO DE COSTOS INCREMENTALES TOTALES DE LARGO PLAZO en el cual se ilustran los procedimientos utilizados para realizar las estimaciones y cálculos, así como los parámetros y diagramas genéricos para cada uno de los procedimientos llevados a cabo en el cálculo de la demanda estimada y los elementos necesarios para dimensionar la red del operador representativo.</w:t>
      </w:r>
    </w:p>
    <w:p w14:paraId="1D097B88" w14:textId="77777777" w:rsidR="00D631CA" w:rsidRPr="00D631CA" w:rsidRDefault="00382941" w:rsidP="00D631CA">
      <w:pPr>
        <w:numPr>
          <w:ilvl w:val="0"/>
          <w:numId w:val="10"/>
        </w:numPr>
        <w:spacing w:before="240"/>
        <w:ind w:left="284" w:hanging="284"/>
        <w:contextualSpacing/>
        <w:jc w:val="both"/>
        <w:rPr>
          <w:rFonts w:ascii="ITC Avant Garde" w:eastAsia="Calibri" w:hAnsi="ITC Avant Garde" w:cs="Arial"/>
          <w:u w:val="single"/>
        </w:rPr>
      </w:pPr>
      <w:r w:rsidRPr="00D631CA">
        <w:rPr>
          <w:rFonts w:ascii="ITC Avant Garde" w:eastAsia="Calibri" w:hAnsi="ITC Avant Garde" w:cs="Arial"/>
          <w:u w:val="single"/>
        </w:rPr>
        <w:t xml:space="preserve">El tipo de cambio. </w:t>
      </w:r>
      <w:r w:rsidRPr="00D631CA">
        <w:rPr>
          <w:rFonts w:ascii="ITC Avant Garde" w:eastAsia="Calibri" w:hAnsi="ITC Avant Garde" w:cs="Arial"/>
        </w:rPr>
        <w:t>La Comisión utilizó arbitrariamente un promedio del tipo de cambio para determinar la tarifa de interconexión, lo cual acusa una notoria indebida motivación</w:t>
      </w:r>
      <w:r w:rsidRPr="00D631CA">
        <w:rPr>
          <w:rFonts w:ascii="ITC Avant Garde" w:eastAsia="Calibri" w:hAnsi="ITC Avant Garde" w:cs="Arial"/>
          <w:u w:val="single"/>
        </w:rPr>
        <w:t>.</w:t>
      </w:r>
    </w:p>
    <w:p w14:paraId="72D2AB18" w14:textId="77777777" w:rsidR="00D631CA" w:rsidRPr="00D631CA" w:rsidRDefault="00382941" w:rsidP="00D631CA">
      <w:pPr>
        <w:spacing w:before="240"/>
        <w:ind w:left="284"/>
        <w:contextualSpacing/>
        <w:jc w:val="both"/>
        <w:rPr>
          <w:rFonts w:ascii="ITC Avant Garde" w:eastAsia="Calibri" w:hAnsi="ITC Avant Garde" w:cs="Arial"/>
        </w:rPr>
      </w:pPr>
      <w:r w:rsidRPr="00D631CA">
        <w:rPr>
          <w:rFonts w:ascii="ITC Avant Garde" w:eastAsia="Calibri" w:hAnsi="ITC Avant Garde" w:cs="Arial"/>
        </w:rPr>
        <w:t>Al respecto se señala que se utilizó la mejor información disponible, por lo que se utilizaron los valores observados hasta marzo de 2011, y en adelante las expectativas del mercado, representadas mediante la “Encuesta sobre las expectativas de los especialistas en economía del sector privado: febrero 2011” que aplica el Banco de México; cabe señalar que la Recurrente no señala cual pueda ser una mejor fuente de información, de ahí que sea improcedente por infundado su argumento.</w:t>
      </w:r>
    </w:p>
    <w:p w14:paraId="2B6EAA7C" w14:textId="77777777" w:rsidR="00D631CA" w:rsidRPr="00D631CA" w:rsidRDefault="00382941" w:rsidP="00D631CA">
      <w:pPr>
        <w:numPr>
          <w:ilvl w:val="0"/>
          <w:numId w:val="10"/>
        </w:numPr>
        <w:spacing w:before="240"/>
        <w:ind w:left="284" w:hanging="284"/>
        <w:contextualSpacing/>
        <w:jc w:val="both"/>
        <w:rPr>
          <w:rFonts w:ascii="ITC Avant Garde" w:eastAsia="Calibri" w:hAnsi="ITC Avant Garde" w:cs="Arial"/>
        </w:rPr>
      </w:pPr>
      <w:r w:rsidRPr="00D631CA">
        <w:rPr>
          <w:rFonts w:ascii="ITC Avant Garde" w:eastAsia="Calibri" w:hAnsi="ITC Avant Garde" w:cs="Arial"/>
          <w:u w:val="single"/>
        </w:rPr>
        <w:t>La Intensidad de Uso o “</w:t>
      </w:r>
      <w:proofErr w:type="spellStart"/>
      <w:r w:rsidRPr="00D631CA">
        <w:rPr>
          <w:rFonts w:ascii="ITC Avant Garde" w:eastAsia="Calibri" w:hAnsi="ITC Avant Garde" w:cs="Arial"/>
          <w:u w:val="single"/>
        </w:rPr>
        <w:t>Ruteamiento</w:t>
      </w:r>
      <w:proofErr w:type="spellEnd"/>
      <w:r w:rsidRPr="00D631CA">
        <w:rPr>
          <w:rFonts w:ascii="ITC Avant Garde" w:eastAsia="Calibri" w:hAnsi="ITC Avant Garde" w:cs="Arial"/>
          <w:u w:val="single"/>
        </w:rPr>
        <w:t>” de los Elementos de Red. Señala que la</w:t>
      </w:r>
      <w:r w:rsidRPr="00D631CA">
        <w:rPr>
          <w:rFonts w:ascii="ITC Avant Garde" w:eastAsia="Calibri" w:hAnsi="ITC Avant Garde" w:cs="Arial"/>
        </w:rPr>
        <w:t xml:space="preserve"> fijación del factor de intensidad de uso o “</w:t>
      </w:r>
      <w:proofErr w:type="spellStart"/>
      <w:r w:rsidRPr="00D631CA">
        <w:rPr>
          <w:rFonts w:ascii="ITC Avant Garde" w:eastAsia="Calibri" w:hAnsi="ITC Avant Garde" w:cs="Arial"/>
        </w:rPr>
        <w:t>ruteamiento</w:t>
      </w:r>
      <w:proofErr w:type="spellEnd"/>
      <w:r w:rsidRPr="00D631CA">
        <w:rPr>
          <w:rFonts w:ascii="ITC Avant Garde" w:eastAsia="Calibri" w:hAnsi="ITC Avant Garde" w:cs="Arial"/>
        </w:rPr>
        <w:t>” de la red (Tabla 8 del Modelo de Costos) son violatorios del principio de adecuada motivación, lo cual es violatorio del artículo 16 de la Constitución.</w:t>
      </w:r>
    </w:p>
    <w:p w14:paraId="5A739457"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 xml:space="preserve">Al respecto, no le asiste la razón a la Recurrente debido a que se estableció claramente que significa el factor de uso es decir, se obtuvo lo que se denomina intensidad de uso de la red con base en los factores de enrutamiento de los servicios, y el cual solamente se puede observar que para realizar una llamada de fijo a móvil, que elementos en promedio </w:t>
      </w:r>
      <w:r w:rsidRPr="00D631CA">
        <w:rPr>
          <w:rFonts w:ascii="ITC Avant Garde" w:eastAsia="Calibri" w:hAnsi="ITC Avant Garde" w:cs="Arial"/>
        </w:rPr>
        <w:lastRenderedPageBreak/>
        <w:t>utiliza con cierta intensidad. Asimismo, en la Resolución se incluyó una tabla con cada uno de los factores o intensidad de uso de los elementos de red por cada tipo de llamada.</w:t>
      </w:r>
    </w:p>
    <w:p w14:paraId="01E6593C" w14:textId="4A9BEA2D" w:rsidR="00382941" w:rsidRPr="00D631CA" w:rsidRDefault="00382941" w:rsidP="00D631CA">
      <w:pPr>
        <w:spacing w:before="240"/>
        <w:jc w:val="center"/>
        <w:rPr>
          <w:rFonts w:ascii="ITC Avant Garde" w:eastAsia="Calibri" w:hAnsi="ITC Avant Garde" w:cs="Arial"/>
        </w:rPr>
      </w:pPr>
      <w:r w:rsidRPr="00D631CA">
        <w:rPr>
          <w:rFonts w:ascii="ITC Avant Garde" w:eastAsia="Calibri" w:hAnsi="ITC Avant Garde" w:cs="Arial"/>
        </w:rPr>
        <w:t>Tabla 8</w:t>
      </w:r>
    </w:p>
    <w:p w14:paraId="7CF9F449" w14:textId="77777777" w:rsidR="00382941" w:rsidRPr="00D631CA" w:rsidRDefault="00382941" w:rsidP="00D631CA">
      <w:pPr>
        <w:spacing w:before="240"/>
        <w:ind w:firstLine="708"/>
        <w:jc w:val="both"/>
        <w:rPr>
          <w:rFonts w:ascii="ITC Avant Garde" w:eastAsia="Calibri" w:hAnsi="ITC Avant Garde" w:cs="Arial"/>
        </w:rPr>
      </w:pPr>
      <w:r w:rsidRPr="00D631CA">
        <w:rPr>
          <w:rFonts w:ascii="ITC Avant Garde" w:eastAsia="Calibri" w:hAnsi="ITC Avant Garde" w:cs="Arial"/>
        </w:rPr>
        <w:t>Intensidad de uso (</w:t>
      </w:r>
      <w:proofErr w:type="spellStart"/>
      <w:r w:rsidRPr="00D631CA">
        <w:rPr>
          <w:rFonts w:ascii="ITC Avant Garde" w:eastAsia="Calibri" w:hAnsi="ITC Avant Garde" w:cs="Arial"/>
        </w:rPr>
        <w:t>ruteamiento</w:t>
      </w:r>
      <w:proofErr w:type="spellEnd"/>
      <w:r w:rsidRPr="00D631CA">
        <w:rPr>
          <w:rFonts w:ascii="ITC Avant Garde" w:eastAsia="Calibri" w:hAnsi="ITC Avant Garde" w:cs="Arial"/>
        </w:rPr>
        <w:t>) de los elementos de red por tipo de llamada.</w:t>
      </w:r>
    </w:p>
    <w:p w14:paraId="379261DC" w14:textId="77777777" w:rsidR="00D631CA" w:rsidRPr="00D631CA" w:rsidRDefault="00382941" w:rsidP="00D631CA">
      <w:pPr>
        <w:spacing w:before="240" w:line="360" w:lineRule="auto"/>
        <w:jc w:val="both"/>
        <w:rPr>
          <w:rFonts w:ascii="Arial" w:eastAsia="Calibri" w:hAnsi="Arial" w:cs="Arial"/>
          <w:sz w:val="24"/>
          <w:szCs w:val="24"/>
        </w:rPr>
      </w:pPr>
      <w:r w:rsidRPr="00D631CA">
        <w:rPr>
          <w:rFonts w:ascii="Arial" w:eastAsia="Calibri" w:hAnsi="Arial" w:cs="Arial"/>
          <w:noProof/>
          <w:color w:val="00B0F0"/>
          <w:sz w:val="24"/>
          <w:szCs w:val="24"/>
          <w:lang w:eastAsia="es-MX"/>
        </w:rPr>
        <w:drawing>
          <wp:inline distT="0" distB="0" distL="0" distR="0" wp14:anchorId="77D6B8C4" wp14:editId="7141D91D">
            <wp:extent cx="6036945" cy="4191000"/>
            <wp:effectExtent l="0" t="0" r="1905" b="0"/>
            <wp:docPr id="3" name="Imagen 27" descr="La imagen se refiere a una tabla de datos que relacionada con la intensidad del ruteamiento de los elementos de red por el tipo de llamada." titl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6945" cy="4191000"/>
                    </a:xfrm>
                    <a:prstGeom prst="rect">
                      <a:avLst/>
                    </a:prstGeom>
                    <a:noFill/>
                    <a:ln>
                      <a:noFill/>
                    </a:ln>
                  </pic:spPr>
                </pic:pic>
              </a:graphicData>
            </a:graphic>
          </wp:inline>
        </w:drawing>
      </w:r>
    </w:p>
    <w:p w14:paraId="5857D7EB" w14:textId="77777777" w:rsidR="00D631CA" w:rsidRPr="00D631CA" w:rsidRDefault="00382941" w:rsidP="00D631CA">
      <w:pPr>
        <w:numPr>
          <w:ilvl w:val="0"/>
          <w:numId w:val="10"/>
        </w:numPr>
        <w:tabs>
          <w:tab w:val="left" w:pos="426"/>
        </w:tabs>
        <w:spacing w:before="240"/>
        <w:ind w:left="284" w:hanging="284"/>
        <w:contextualSpacing/>
        <w:jc w:val="both"/>
        <w:rPr>
          <w:rFonts w:ascii="ITC Avant Garde" w:eastAsia="Calibri" w:hAnsi="ITC Avant Garde" w:cs="Arial"/>
        </w:rPr>
      </w:pPr>
      <w:r w:rsidRPr="00D631CA">
        <w:rPr>
          <w:rFonts w:ascii="ITC Avant Garde" w:eastAsia="Calibri" w:hAnsi="ITC Avant Garde" w:cs="Arial"/>
        </w:rPr>
        <w:t>La Recurrente argumenta que el valor asignado a los costos comunes es incongruente y errático. Señala que es violatorio del artículo 16 de la Constitución porque la determinación es arbitraria y con un valor gradual y decreciente, y la motivación para hacer la determinación del porcentaje de costos comunes, sin citar de donde provienen dichos costos, no ofrecen explicación de cómo este porcentaje es aplicable a la situación de los involucrados.</w:t>
      </w:r>
    </w:p>
    <w:p w14:paraId="403F28B5" w14:textId="77777777" w:rsidR="00D631CA" w:rsidRPr="00D631CA" w:rsidRDefault="00382941" w:rsidP="00D631CA">
      <w:pPr>
        <w:spacing w:before="240"/>
        <w:ind w:left="284"/>
        <w:jc w:val="both"/>
        <w:rPr>
          <w:rFonts w:ascii="ITC Avant Garde" w:eastAsia="Calibri" w:hAnsi="ITC Avant Garde" w:cs="Arial"/>
        </w:rPr>
      </w:pPr>
      <w:r w:rsidRPr="00D631CA">
        <w:rPr>
          <w:rFonts w:ascii="ITC Avant Garde" w:eastAsia="Calibri" w:hAnsi="ITC Avant Garde" w:cs="Arial"/>
        </w:rPr>
        <w:t xml:space="preserve">Con relación a lo anterior, se considera infundado el argumento de la Recurrente toda vez que primeramente en consistencia con los modelos de costos utilizados por los órganos reguladores, para determinar las tarifas de interconexión del Modelo CITLP, a estos costos totales por llamada se les incorporó un margen adicional que para la recuperación de los </w:t>
      </w:r>
      <w:r w:rsidRPr="00D631CA">
        <w:rPr>
          <w:rFonts w:ascii="ITC Avant Garde" w:eastAsia="Calibri" w:hAnsi="ITC Avant Garde" w:cs="Arial"/>
        </w:rPr>
        <w:lastRenderedPageBreak/>
        <w:t>costos comunes de 10% el cual es consiste con lo aplicado por los órganos reguladores de las telecomunicaciones en Francia y Perú, con lo cual no le asiste la razón a la quejosa de que el valor se ajustó gradualmente y decreciente, siendo que únicamente se estableció un solo valor de 10%, asimismo se señaló que el mismo fue consistente con lo establecido por otros organismos internacionales.</w:t>
      </w:r>
    </w:p>
    <w:p w14:paraId="532A8577" w14:textId="77777777" w:rsidR="00D631CA" w:rsidRPr="00D631CA" w:rsidRDefault="00382941" w:rsidP="00D631CA">
      <w:pPr>
        <w:spacing w:before="240"/>
        <w:jc w:val="both"/>
        <w:rPr>
          <w:rFonts w:ascii="ITC Avant Garde" w:eastAsia="Calibri" w:hAnsi="ITC Avant Garde" w:cs="Arial"/>
        </w:rPr>
      </w:pPr>
      <w:r w:rsidRPr="00D631CA">
        <w:rPr>
          <w:rFonts w:ascii="ITC Avant Garde" w:eastAsia="Calibri" w:hAnsi="ITC Avant Garde" w:cs="Arial"/>
        </w:rPr>
        <w:t>La Recurrente concluye que el modelo de costos de la Comisión es un instrumento arbitrario que parte de supuestos que no coinciden en forma alguna con la realidad y que utiliza variables cuyos valores fueron en ocasiones artificialmente señalados, que se contradicen con el sentido de la Resolución recurrida y que se sustentan en documentos diversos que nunca tuvo a la vista.</w:t>
      </w:r>
    </w:p>
    <w:p w14:paraId="70BF4D51" w14:textId="77777777" w:rsidR="00D631CA" w:rsidRPr="00D631CA" w:rsidRDefault="00382941" w:rsidP="00D631CA">
      <w:pPr>
        <w:spacing w:before="240"/>
        <w:jc w:val="both"/>
        <w:rPr>
          <w:rFonts w:ascii="ITC Avant Garde" w:eastAsia="Calibri" w:hAnsi="ITC Avant Garde" w:cs="Arial"/>
        </w:rPr>
      </w:pPr>
      <w:r w:rsidRPr="00D631CA">
        <w:rPr>
          <w:rFonts w:ascii="ITC Avant Garde" w:eastAsia="Calibri" w:hAnsi="ITC Avant Garde" w:cs="Arial"/>
        </w:rPr>
        <w:t>Al respecto, los argumentos de la Recurrente resultan improcedentes, toda vez que como ya ha quedado acreditado en los párrafos anteriores, la Resolución recurrida se encuentra debidamente fundada y motivada en el sentido de que el modelo de costos utilizado por la extinta Comisión para determinar la tarifa de interconexión sometida a desacuerdo por las partes, está debidamente sustentado y fue desarrollado acorde a las mejores prácticas internacionales, por lo que los argumentos de la Recurrente resultan infundados.</w:t>
      </w:r>
    </w:p>
    <w:p w14:paraId="635FBFFD" w14:textId="77777777" w:rsidR="00D631CA" w:rsidRPr="00D631CA" w:rsidRDefault="00382941" w:rsidP="00D631CA">
      <w:pPr>
        <w:numPr>
          <w:ilvl w:val="0"/>
          <w:numId w:val="2"/>
        </w:numPr>
        <w:spacing w:before="240"/>
        <w:contextualSpacing/>
        <w:jc w:val="both"/>
        <w:rPr>
          <w:rFonts w:ascii="ITC Avant Garde" w:hAnsi="ITC Avant Garde" w:cs="Arial"/>
        </w:rPr>
      </w:pPr>
      <w:r w:rsidRPr="00D631CA">
        <w:rPr>
          <w:rFonts w:ascii="ITC Avant Garde" w:hAnsi="ITC Avant Garde" w:cs="Arial"/>
        </w:rPr>
        <w:t xml:space="preserve">En relación con lo manifestado por la Recurrente en el agravio </w:t>
      </w:r>
      <w:r w:rsidRPr="00D631CA">
        <w:rPr>
          <w:rFonts w:ascii="ITC Avant Garde" w:hAnsi="ITC Avant Garde" w:cs="Arial"/>
          <w:b/>
        </w:rPr>
        <w:t>SEGUNDO</w:t>
      </w:r>
      <w:r w:rsidRPr="00D631CA">
        <w:rPr>
          <w:rFonts w:ascii="ITC Avant Garde" w:hAnsi="ITC Avant Garde" w:cs="Arial"/>
        </w:rPr>
        <w:t xml:space="preserve">, en el que continúa invocando una indebida fundamentación y motivación de la Resolución Recurrida, ya que utiliza un "operador eficiente" en el Modelo de Costos, resulta infundado, pues se respetó lo dispuesto en el artículo 3, fracción V de la Ley Federal de Procedimiento Administrativo. </w:t>
      </w:r>
    </w:p>
    <w:p w14:paraId="410C33C3"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Lo manifestado por la Recurrente resulta inoperante, puesto que la utilización del “operador eficiente” constituye un parámetro técnico utilizado por el órgano regulador para la determinación de condiciones de interconexión, y como tal al ser un parámetro de naturaleza meramente técnica no puede calificarse a su existencia o inexistencia real como un elemento que permita determinar que la Resolución Recurrida se encuentra indebidamente fundada y motivada, puesto que ni la Constitución ni la Ley de la materia fijan dichos parámetros técnicos, por lo que la consideración de los mismos así como su elección en la determinación de condiciones de interconexión no convenidas entre concesionarios, queda a la discrecionalidad del órgano regulador. </w:t>
      </w:r>
    </w:p>
    <w:p w14:paraId="57DB0AF4"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Al efecto, resulta aplicable la siguiente tesis que al efecto establece:</w:t>
      </w:r>
    </w:p>
    <w:p w14:paraId="532CDD7F" w14:textId="0C2A8FCB"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 xml:space="preserve">Época: Décima Época </w:t>
      </w:r>
    </w:p>
    <w:p w14:paraId="7B3A2B59" w14:textId="77777777"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 xml:space="preserve">Registro: 2011689 </w:t>
      </w:r>
    </w:p>
    <w:p w14:paraId="019DE9DA" w14:textId="77777777"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 xml:space="preserve">Instancia: Tribunales Colegiados de Circuito </w:t>
      </w:r>
    </w:p>
    <w:p w14:paraId="2220EEB1" w14:textId="77777777"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lastRenderedPageBreak/>
        <w:t xml:space="preserve">Tipo de Tesis: Aislada </w:t>
      </w:r>
    </w:p>
    <w:p w14:paraId="6471D35E" w14:textId="77777777"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 xml:space="preserve">Fuente: Semanario Judicial de la Federación </w:t>
      </w:r>
    </w:p>
    <w:p w14:paraId="7DC6A508" w14:textId="77777777"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 xml:space="preserve">Publicación: viernes 20 de mayo de 2016 10:20 h </w:t>
      </w:r>
    </w:p>
    <w:p w14:paraId="48B6315F" w14:textId="77777777"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 xml:space="preserve">Materia(s): (Administrativa) </w:t>
      </w:r>
    </w:p>
    <w:p w14:paraId="7A22D13B" w14:textId="77777777" w:rsidR="00D631CA"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 xml:space="preserve">Tesis: I.2o.A.E.33 A (10a.) </w:t>
      </w:r>
    </w:p>
    <w:p w14:paraId="37318384" w14:textId="77777777" w:rsidR="00D631CA"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b/>
          <w:sz w:val="18"/>
          <w:szCs w:val="18"/>
        </w:rPr>
        <w:t xml:space="preserve">“TARIFAS DE INTERCONEXIÓN. SU DETERMINACIÓN QUEDA A LA DISCRECIONALIDAD DEL ÓRGANO REGULADOR. </w:t>
      </w:r>
      <w:r w:rsidRPr="00D631CA">
        <w:rPr>
          <w:rFonts w:ascii="ITC Avant Garde" w:hAnsi="ITC Avant Garde" w:cs="Arial"/>
          <w:sz w:val="18"/>
          <w:szCs w:val="18"/>
        </w:rPr>
        <w:t>En materia de interconexión, los artículos 25 y 28 de la Constitución Política de los Estados Unidos Mexicanos reconocen la rectoría del Estado y su potestad regulatoria, pero no establecen un diseño regulatorio particular, ni imponen lineamientos o límites específicos en materia de interconexión o tarifaria a la política regulatoria del Instituto Federal de Telecomunicaciones. Por su parte, los artículos 1, 2, 4, 7, 9-A, fracción X, 41, 44, 60 y 63 de la Ley Federal de Telecomunicaciones abrogada, no establecían reglas específicas para determinar la política tarifaria o en materia de interconexión, pues sólo preveían la facultad de la autoridad en telecomunicaciones, para establecer obligaciones específicas relacionadas con tarifas al concesionario que tuviera poder sustancial en cuanto al mercado, según la declaratoria que se emitiera por la autoridad competente. En este sentido, si ni la Constitución ni la ley indicada fijan los parámetros técnicos conforme a los cuales el órgano regulador debe fijar las tarifas de interconexión, debe entenderse que su elección queda a su discrecionalidad; de ahí que no pueda calificarse de inconstitucional o ilegal la decisión del regulador de adoptar la figura de un operador hipotético existente y de emplear modelos de costos para fijar dichas tarifas, pues esta decisión cae en el campo de su discrecionalidad y, en ese sentido, está sometida al escrutinio, aplicable a esta última, considerando, entre otros aspectos, la eficacia de los derechos fundamentales, la prohibición de arbitrariedad, la fundamentación y motivación, el principio de igualdad, la proporcionalidad y la razonabilidad.”</w:t>
      </w:r>
    </w:p>
    <w:p w14:paraId="6E0CBAB8" w14:textId="77777777" w:rsidR="00D631CA"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SEGUNDO TRIBUNAL COLEGIADO EN MATERIA ADMINISTRATIVA ESPECIALIZADO EN COMPETENCIA ECONÓMICA, RADIODIFUSIÓN Y TELECOMUNICACIONES, CON RESIDENCIA EN EL DISTRITO FEDERAL Y JURISDICCIÓN EN TODA LA REPÚBLICA.</w:t>
      </w:r>
    </w:p>
    <w:p w14:paraId="0E7022CB" w14:textId="77777777" w:rsidR="00D631CA"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 xml:space="preserve">Amparo en revisión 145/2015. 4 de febrero de 2016. Mayoría de votos. Disidente: Arturo </w:t>
      </w:r>
      <w:proofErr w:type="spellStart"/>
      <w:r w:rsidRPr="00D631CA">
        <w:rPr>
          <w:rFonts w:ascii="ITC Avant Garde" w:hAnsi="ITC Avant Garde" w:cs="Arial"/>
          <w:sz w:val="18"/>
          <w:szCs w:val="18"/>
        </w:rPr>
        <w:t>lturbe</w:t>
      </w:r>
      <w:proofErr w:type="spellEnd"/>
      <w:r w:rsidRPr="00D631CA">
        <w:rPr>
          <w:rFonts w:ascii="ITC Avant Garde" w:hAnsi="ITC Avant Garde" w:cs="Arial"/>
          <w:sz w:val="18"/>
          <w:szCs w:val="18"/>
        </w:rPr>
        <w:t xml:space="preserve"> Rivas. Ponente: Adriana Leticia Campuzano Gallegos. Secretario: Jorge Alberto Ramírez Hernández.</w:t>
      </w:r>
    </w:p>
    <w:p w14:paraId="5FA078CE" w14:textId="77777777" w:rsidR="00D631CA"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Nota: Con motivo de la entrada en vigor del Acuerdo General del Pleno del Consejo de la Judicatura Federal por el que se cambia la denominación de Distrito Federal por Ciudad de México en todo su cuerpo normativo, la denominación actual del órgano emisor es la de Segundo Tribunal Colegiado de Circuito en Materia Administrativa Especializado en Competencia Económica, Radiodifusión y Telecomunicaciones, con residencia en la Ciudad de México y jurisdicción en toda la República.</w:t>
      </w:r>
    </w:p>
    <w:p w14:paraId="1041A83E" w14:textId="77777777" w:rsidR="00D631CA"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Esta tesis se publicó el viernes 20 de mayo de 2016 a las 10:20 horas en el Semanario Judicial de la Federación.</w:t>
      </w:r>
    </w:p>
    <w:p w14:paraId="62DE4147" w14:textId="2A4766DB" w:rsidR="00382941"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En este contexto la Resolución Recurrida en su página 59 y 60, señala la conveniencia de la figura del operador eficiente, señalando los elementos que considera para su consideración con lo cual se cubre el requisito de escrutinio de prohibición de arbitrariedad, fundamentación y motivación, principio de igualdad, proporcionalidad y razonabilidad de la Resolución Recurrida, al efecto en la página 59 y 60 se señala en su parte conducente lo siguiente:</w:t>
      </w:r>
    </w:p>
    <w:p w14:paraId="4B6CB2FF" w14:textId="77777777" w:rsidR="00D631CA" w:rsidRPr="00D631CA" w:rsidRDefault="00382941" w:rsidP="00D631CA">
      <w:pPr>
        <w:spacing w:before="240"/>
        <w:ind w:left="567" w:right="900"/>
        <w:jc w:val="both"/>
        <w:rPr>
          <w:rFonts w:ascii="ITC Avant Garde" w:hAnsi="ITC Avant Garde" w:cs="Arial"/>
          <w:b/>
        </w:rPr>
      </w:pPr>
      <w:r w:rsidRPr="00D631CA">
        <w:rPr>
          <w:rFonts w:ascii="ITC Avant Garde" w:hAnsi="ITC Avant Garde" w:cs="Arial"/>
        </w:rPr>
        <w:t xml:space="preserve">“Es preciso señalar que es conveniente que la tarifa de interconexión cubra los costos en que incurre un operador eficiente por terminar las llamadas, y a la vez incluya un retorno al capital razonable por prestar este servicio. De lo contrario se podría desincentivar la provisión de los servicios de interconexión. </w:t>
      </w:r>
      <w:r w:rsidRPr="00D631CA">
        <w:rPr>
          <w:rFonts w:ascii="ITC Avant Garde" w:hAnsi="ITC Avant Garde" w:cs="Arial"/>
          <w:b/>
        </w:rPr>
        <w:t xml:space="preserve">Es importante que los costos recuperados sean los de un operador eficiente, pues en caso contrario, se permitiría que la ineficiencia del operador se traslade a otros operadores y en última instancia, a los usuarios. Adicionalmente, lo anterior es consistente con el proceso de competencia que debe existir en el mercado, esto es, en un mercado competido, un operador ineficiente se ve obligado a ajustar su operación para ser eficiente o deberá salir del mercado. Por ende, el modelo utilizado para la determinación de la tarifa de interconexión está basado en los costos de un operador eficiente. </w:t>
      </w:r>
    </w:p>
    <w:p w14:paraId="59740D78"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Para el diseño de la red del operador eficiente, el modelo de costos utiliza un modelo ascendente (</w:t>
      </w:r>
      <w:proofErr w:type="spellStart"/>
      <w:r w:rsidRPr="00D631CA">
        <w:rPr>
          <w:rFonts w:ascii="ITC Avant Garde" w:hAnsi="ITC Avant Garde" w:cs="Arial"/>
        </w:rPr>
        <w:t>Bottom</w:t>
      </w:r>
      <w:proofErr w:type="spellEnd"/>
      <w:r w:rsidRPr="00D631CA">
        <w:rPr>
          <w:rFonts w:ascii="ITC Avant Garde" w:hAnsi="ITC Avant Garde" w:cs="Arial"/>
        </w:rPr>
        <w:t>-Up) o de tipo ingenieril que se construye a partir de información de demanda esperada en términos de usuarios y tráfico, a partir de los cuales se realiza el diseño de la  red que presta diversos servicios de telecomunicaciones, incluyendo los de interconexión. Los costos de esta red, los cuales son valorados a precios de mercado o costos corrientes, incluyen los costos de capital (inversiones) y los gastos de operación y mantenimiento que son asignados a cada uno de los servicios que se considera que provee la red.</w:t>
      </w:r>
    </w:p>
    <w:p w14:paraId="294F1FD6"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La razón por la que los costos de la red son valorados a costos corrientes es porque en un mercado competitivo, las empresas son compensadas exclusivamente por estos costos, y no así por sus costos históricos. Es importante mencionar que en un mercado en competencia, cuando una empresa fija sus precios por encima de los costos actuales o corrientes, otra empresa podría entrar al mercado ofreciendo menores precios, lo que obligaría a la primera a bajar sus precios para evitar así perder clientes. Es decir, el mercado actuaría como mecanismo para alinear el precio de los servicios a sus costos corrientes. Es así que para impulsar el desarrollo del sector el regulador debe propiciar la eficiencia </w:t>
      </w:r>
      <w:proofErr w:type="spellStart"/>
      <w:r w:rsidRPr="00D631CA">
        <w:rPr>
          <w:rFonts w:ascii="ITC Avant Garde" w:hAnsi="ITC Avant Garde" w:cs="Arial"/>
        </w:rPr>
        <w:t>asignativa</w:t>
      </w:r>
      <w:proofErr w:type="spellEnd"/>
      <w:r w:rsidRPr="00D631CA">
        <w:rPr>
          <w:rFonts w:ascii="ITC Avant Garde" w:hAnsi="ITC Avant Garde" w:cs="Arial"/>
        </w:rPr>
        <w:t xml:space="preserve">, en el sentido de que se establezcan los precios lo más </w:t>
      </w:r>
      <w:r w:rsidRPr="00D631CA">
        <w:rPr>
          <w:rFonts w:ascii="ITC Avant Garde" w:hAnsi="ITC Avant Garde" w:cs="Arial"/>
        </w:rPr>
        <w:lastRenderedPageBreak/>
        <w:t>cercanamente posible a los observados en un mercado competitivo, ya que es generalmente aceptado que estos precios son los que maximizan el bienestar social.</w:t>
      </w:r>
      <w:r w:rsidRPr="00D631CA">
        <w:rPr>
          <w:rFonts w:ascii="ITC Avant Garde" w:hAnsi="ITC Avant Garde" w:cs="Arial"/>
          <w:vertAlign w:val="superscript"/>
        </w:rPr>
        <w:footnoteReference w:id="18"/>
      </w:r>
    </w:p>
    <w:p w14:paraId="1F2ADDDF"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b/>
        </w:rPr>
        <w:t>De igual forma, en un mercado competitivo las empresas son compensadas únicamente por los costos en que incurriría una empresa eficiente. Por ejemplo, si una empresa incurriera en ineficiencias, como en exceso de capacidad de red o en mantener una tecnología obsoleta, una empresa eficiente podría entrar al mercado ofreciendo un menor precio, por lo que en un mercado competitivo las empresas tienen incentivos a minimizar sus costos y de este modo evitar perder participación de mercado. Al mismo tiempo, la entrada del nuevo competidor obligaría a la empresa establecida a eliminar sus ineficiencias para mantener la viabilidad de su operación hacia adelante.</w:t>
      </w:r>
      <w:r w:rsidRPr="00D631CA">
        <w:rPr>
          <w:rFonts w:ascii="ITC Avant Garde" w:hAnsi="ITC Avant Garde" w:cs="Arial"/>
        </w:rPr>
        <w:t xml:space="preserve"> En este contexto, el regulador debe propiciar que se consiga la eficiencia productiva en el sentido de otorgar los suficientes incentivos para la minimización de costos.</w:t>
      </w:r>
      <w:r w:rsidRPr="00D631CA">
        <w:rPr>
          <w:rFonts w:ascii="ITC Avant Garde" w:hAnsi="ITC Avant Garde" w:cs="Arial"/>
          <w:vertAlign w:val="superscript"/>
        </w:rPr>
        <w:footnoteReference w:id="19"/>
      </w:r>
      <w:r w:rsidRPr="00D631CA">
        <w:rPr>
          <w:rFonts w:ascii="ITC Avant Garde" w:hAnsi="ITC Avant Garde" w:cs="Arial"/>
          <w:vertAlign w:val="superscript"/>
        </w:rPr>
        <w:t>.</w:t>
      </w:r>
    </w:p>
    <w:p w14:paraId="58358944"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b/>
        </w:rPr>
        <w:t xml:space="preserve">La determinación de las tarifas de interconexión con base en los costos corrientes de una empresa eficiente es particularmente relevante en el sector telecomunicaciones en razón de que los precios de los insumos muestran una tendencia decreciente a través del tiempo, lo cual es reflejo del constante avance tecnológico que vive el sector. </w:t>
      </w:r>
      <w:r w:rsidRPr="00D631CA">
        <w:rPr>
          <w:rFonts w:ascii="ITC Avant Garde" w:hAnsi="ITC Avant Garde" w:cs="Arial"/>
        </w:rPr>
        <w:t>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 [Énfasis añadido].</w:t>
      </w:r>
    </w:p>
    <w:p w14:paraId="5DBF5271"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En este sentido, de considerar el argumento de la Recurrente en cuanto a considerar sus propios costos, daría lugar a prácticas que reducirían la transparencia en lo que respecta a los costos y precios de cada uno de los operadores que se encuentran en el mercado, se incrementa el riesgo y la complejidad en asegurar que se apliquen principios idénticos y consistentes en el caso de que la metodología se aplicara a modelos individuales para cada operador móvil, se incrementa y dificulta cumplir con el principio de eficiencia, razón por la cual considerando las mejores prácticas internacionales, se modela un operador representativo, donde las referencias internacionales muestran que para determinar el valor </w:t>
      </w:r>
      <w:r w:rsidRPr="00D631CA">
        <w:rPr>
          <w:rFonts w:ascii="ITC Avant Garde" w:eastAsia="Times New Roman" w:hAnsi="ITC Avant Garde" w:cs="Arial"/>
          <w:lang w:val="es-ES" w:eastAsia="es-MX"/>
        </w:rPr>
        <w:lastRenderedPageBreak/>
        <w:t>de las tarifas de interconexión se hace con base en un operador representativo y no con base en costear la red de cada uno de los operadores que participan en el mercado.</w:t>
      </w:r>
    </w:p>
    <w:p w14:paraId="6BC22BDB"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Cabe señalar que un creciente número de países están adoptando modelos de costos tipo </w:t>
      </w:r>
      <w:proofErr w:type="spellStart"/>
      <w:r w:rsidRPr="00D631CA">
        <w:rPr>
          <w:rFonts w:ascii="ITC Avant Garde" w:eastAsia="Times New Roman" w:hAnsi="ITC Avant Garde" w:cs="Arial"/>
          <w:lang w:val="es-ES" w:eastAsia="es-MX"/>
        </w:rPr>
        <w:t>Bottom</w:t>
      </w:r>
      <w:proofErr w:type="spellEnd"/>
      <w:r w:rsidRPr="00D631CA">
        <w:rPr>
          <w:rFonts w:ascii="ITC Avant Garde" w:eastAsia="Times New Roman" w:hAnsi="ITC Avant Garde" w:cs="Arial"/>
          <w:lang w:val="es-ES" w:eastAsia="es-MX"/>
        </w:rPr>
        <w:t>-Up</w:t>
      </w:r>
      <w:proofErr w:type="gramStart"/>
      <w:r w:rsidRPr="00D631CA">
        <w:rPr>
          <w:rFonts w:ascii="ITC Avant Garde" w:eastAsia="Times New Roman" w:hAnsi="ITC Avant Garde" w:cs="Arial"/>
          <w:lang w:val="es-ES" w:eastAsia="es-MX"/>
        </w:rPr>
        <w:t>.</w:t>
      </w:r>
      <w:r w:rsidRPr="00D631CA">
        <w:rPr>
          <w:rFonts w:ascii="ITC Avant Garde" w:hAnsi="ITC Avant Garde" w:cs="Arial"/>
          <w:vertAlign w:val="superscript"/>
        </w:rPr>
        <w:t>.</w:t>
      </w:r>
      <w:proofErr w:type="gramEnd"/>
      <w:r w:rsidRPr="00D631CA">
        <w:rPr>
          <w:rFonts w:ascii="ITC Avant Garde" w:hAnsi="ITC Avant Garde" w:cs="Arial"/>
          <w:vertAlign w:val="superscript"/>
        </w:rPr>
        <w:footnoteReference w:id="20"/>
      </w:r>
      <w:r w:rsidRPr="00D631CA">
        <w:rPr>
          <w:rFonts w:ascii="ITC Avant Garde" w:hAnsi="ITC Avant Garde" w:cs="Arial"/>
          <w:vertAlign w:val="superscript"/>
        </w:rPr>
        <w:t xml:space="preserve"> </w:t>
      </w:r>
      <w:r w:rsidRPr="00D631CA">
        <w:rPr>
          <w:rFonts w:ascii="ITC Avant Garde" w:eastAsia="Times New Roman" w:hAnsi="ITC Avant Garde" w:cs="Arial"/>
          <w:lang w:val="es-ES" w:eastAsia="es-MX"/>
        </w:rPr>
        <w:t xml:space="preserve">Entre los países que ya utilizan este tipo de modelos se encuentran Corea, Israel, Australia, Nueva Zelanda, EE.UU., Colombia, Perú, Ecuador, Chile, Francia, Holanda, Hungría, Rumania, Eslovenia y Grecia. En tanto que los países que ya decidieron moverse de modelos híbridos a modelos </w:t>
      </w:r>
      <w:proofErr w:type="spellStart"/>
      <w:r w:rsidRPr="00D631CA">
        <w:rPr>
          <w:rFonts w:ascii="ITC Avant Garde" w:eastAsia="Times New Roman" w:hAnsi="ITC Avant Garde" w:cs="Arial"/>
          <w:lang w:val="es-ES" w:eastAsia="es-MX"/>
        </w:rPr>
        <w:t>Bottom</w:t>
      </w:r>
      <w:proofErr w:type="spellEnd"/>
      <w:r w:rsidRPr="00D631CA">
        <w:rPr>
          <w:rFonts w:ascii="ITC Avant Garde" w:eastAsia="Times New Roman" w:hAnsi="ITC Avant Garde" w:cs="Arial"/>
          <w:lang w:val="es-ES" w:eastAsia="es-MX"/>
        </w:rPr>
        <w:t>-Up son Bélgica, Dinamarca, Noruega, Suecia, Reino Unido, Bulgaria y República Checa.</w:t>
      </w:r>
    </w:p>
    <w:p w14:paraId="5138C3E6" w14:textId="77777777" w:rsidR="00D631CA" w:rsidRPr="00D631CA" w:rsidRDefault="00382941" w:rsidP="00D631CA">
      <w:pPr>
        <w:spacing w:before="240"/>
        <w:jc w:val="both"/>
        <w:rPr>
          <w:rFonts w:ascii="ITC Avant Garde" w:hAnsi="ITC Avant Garde" w:cs="Arial"/>
        </w:rPr>
      </w:pPr>
      <w:r w:rsidRPr="00D631CA">
        <w:rPr>
          <w:rFonts w:ascii="ITC Avant Garde" w:eastAsia="Times New Roman" w:hAnsi="ITC Avant Garde" w:cs="Arial"/>
          <w:lang w:val="es-ES" w:eastAsia="es-MX"/>
        </w:rPr>
        <w:t>Asimismo, la Unión Internacional de Telecomunicaciones</w:t>
      </w:r>
      <w:r w:rsidRPr="00D631CA">
        <w:rPr>
          <w:rFonts w:ascii="ITC Avant Garde" w:hAnsi="ITC Avant Garde" w:cs="Arial"/>
          <w:vertAlign w:val="superscript"/>
        </w:rPr>
        <w:footnoteReference w:id="21"/>
      </w:r>
      <w:r w:rsidRPr="00D631CA">
        <w:rPr>
          <w:rFonts w:ascii="ITC Avant Garde" w:eastAsia="Times New Roman" w:hAnsi="ITC Avant Garde" w:cs="Arial"/>
          <w:lang w:val="es-ES" w:eastAsia="es-MX"/>
        </w:rPr>
        <w:t xml:space="preserve"> realiza una encuesta entre los reguladores a nivel internacional que permite recabar información acerca de la regulación que se ha establecido para los servicios mayoristas y minoristas, de dicho estudio se puede observar que en 2009 el</w:t>
      </w:r>
      <w:r w:rsidRPr="00D631CA">
        <w:rPr>
          <w:rFonts w:ascii="ITC Avant Garde" w:hAnsi="ITC Avant Garde" w:cs="Arial"/>
          <w:color w:val="00B0F0"/>
        </w:rPr>
        <w:t xml:space="preserve"> </w:t>
      </w:r>
      <w:r w:rsidRPr="00D631CA">
        <w:rPr>
          <w:rFonts w:ascii="ITC Avant Garde" w:hAnsi="ITC Avant Garde" w:cs="Arial"/>
        </w:rPr>
        <w:t xml:space="preserve">56.1 por ciento de los países que respondieron las encuestas han adoptado los modelos </w:t>
      </w:r>
      <w:proofErr w:type="spellStart"/>
      <w:r w:rsidRPr="00D631CA">
        <w:rPr>
          <w:rFonts w:ascii="ITC Avant Garde" w:hAnsi="ITC Avant Garde" w:cs="Arial"/>
        </w:rPr>
        <w:t>Bottom</w:t>
      </w:r>
      <w:proofErr w:type="spellEnd"/>
      <w:r w:rsidRPr="00D631CA">
        <w:rPr>
          <w:rFonts w:ascii="ITC Avant Garde" w:hAnsi="ITC Avant Garde" w:cs="Arial"/>
        </w:rPr>
        <w:t>-Up como la metodología de estimación de costos de los servicios que se prestan entre concesionarios, sobre otras metodologías, incluyendo los modelos híbridos.</w:t>
      </w:r>
    </w:p>
    <w:p w14:paraId="2B4DA2B4"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Comisión Europea recomendó, en mayo de 2009,</w:t>
      </w:r>
      <w:r w:rsidRPr="00D631CA">
        <w:rPr>
          <w:rFonts w:ascii="ITC Avant Garde" w:hAnsi="ITC Avant Garde" w:cs="Arial"/>
          <w:vertAlign w:val="superscript"/>
        </w:rPr>
        <w:footnoteReference w:id="22"/>
      </w:r>
      <w:r w:rsidRPr="00D631CA">
        <w:rPr>
          <w:rFonts w:ascii="ITC Avant Garde" w:hAnsi="ITC Avant Garde" w:cs="Arial"/>
        </w:rPr>
        <w:t xml:space="preserve"> la implementación de modelos ascendentes (</w:t>
      </w:r>
      <w:proofErr w:type="spellStart"/>
      <w:r w:rsidRPr="00D631CA">
        <w:rPr>
          <w:rFonts w:ascii="ITC Avant Garde" w:hAnsi="ITC Avant Garde" w:cs="Arial"/>
        </w:rPr>
        <w:t>Bottom</w:t>
      </w:r>
      <w:proofErr w:type="spellEnd"/>
      <w:r w:rsidRPr="00D631CA">
        <w:rPr>
          <w:rFonts w:ascii="ITC Avant Garde" w:hAnsi="ITC Avant Garde" w:cs="Arial"/>
        </w:rPr>
        <w:t>-Up) para la determinación de tarifas de interconexión por parte de las autoridades nacionales antes de diciembre de 2012, argumentando que:</w:t>
      </w:r>
    </w:p>
    <w:p w14:paraId="0C2093A4"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“La aplicación de un modelo ascendente es coherente con el concepto de desarrollo de la red para un operador eficiente según el cual se construye un modelo económico/técnico de red eficiente utilizando los costes actuales. El modelo refleja la cantidad de equipo necesaria, más que la efectivamente proporcionada, y hace caso omiso de los costes heredados.”</w:t>
      </w:r>
    </w:p>
    <w:p w14:paraId="14AB8FED" w14:textId="5C679088" w:rsidR="00382941"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Es importante recalcar que el uso de un modelo Top-Down como lo propone la Recurrente en el sentido de utilizar su información, es decir, utilizar la información contable restaría transparencia a la decisión al no poderse hacer público el modelo, en cambio, el uso de un </w:t>
      </w:r>
      <w:r w:rsidRPr="00D631CA">
        <w:rPr>
          <w:rFonts w:ascii="ITC Avant Garde" w:hAnsi="ITC Avant Garde" w:cs="Arial"/>
        </w:rPr>
        <w:lastRenderedPageBreak/>
        <w:t xml:space="preserve">modelo </w:t>
      </w:r>
      <w:proofErr w:type="spellStart"/>
      <w:r w:rsidRPr="00D631CA">
        <w:rPr>
          <w:rFonts w:ascii="ITC Avant Garde" w:hAnsi="ITC Avant Garde" w:cs="Arial"/>
        </w:rPr>
        <w:t>Bottom</w:t>
      </w:r>
      <w:proofErr w:type="spellEnd"/>
      <w:r w:rsidRPr="00D631CA">
        <w:rPr>
          <w:rFonts w:ascii="ITC Avant Garde" w:hAnsi="ITC Avant Garde" w:cs="Arial"/>
        </w:rPr>
        <w:t xml:space="preserve">-Up que sea público y replicable por todos los concesionarios otorga certeza jurídica a todos los involucrados. </w:t>
      </w:r>
    </w:p>
    <w:p w14:paraId="3FFEB818"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Aunado a lo anterior, es importante señalar que utilizar un Modelo </w:t>
      </w:r>
      <w:proofErr w:type="spellStart"/>
      <w:r w:rsidRPr="00D631CA">
        <w:rPr>
          <w:rFonts w:ascii="ITC Avant Garde" w:hAnsi="ITC Avant Garde" w:cs="Arial"/>
        </w:rPr>
        <w:t>Bottom</w:t>
      </w:r>
      <w:proofErr w:type="spellEnd"/>
      <w:r w:rsidRPr="00D631CA">
        <w:rPr>
          <w:rFonts w:ascii="ITC Avant Garde" w:hAnsi="ITC Avant Garde" w:cs="Arial"/>
        </w:rPr>
        <w:t xml:space="preserve">-Up que diseña a un operador representativo permite en lo que respecta a la fecha de lanzamiento, ser establecida de forma consistente en el Modelo de Costos, ya que considera aspectos claves en el despliegue de las redes reales de los concesionarios que participan en el mercado, en lo que respecta a la tecnología que utiliza el operador representativo, la tecnología utilizada se define de forma específica, tomando en consideración componentes relevantes de las redes existentes. En lo que respecta a la migración a tecnología moderna, utilizando el operador representativo, la evolución y migración de este operador puede definirse de forma específica, teniendo en cuenta las redes existentes. En lo que respecta a la eficiencia, estos aspectos pueden ser definidos, con un operador representativo, y en lo que respecta a la transparencia en la utilización del Modelo de Costos </w:t>
      </w:r>
      <w:proofErr w:type="spellStart"/>
      <w:r w:rsidRPr="00D631CA">
        <w:rPr>
          <w:rFonts w:ascii="ITC Avant Garde" w:hAnsi="ITC Avant Garde" w:cs="Arial"/>
        </w:rPr>
        <w:t>Bottom</w:t>
      </w:r>
      <w:proofErr w:type="spellEnd"/>
      <w:r w:rsidRPr="00D631CA">
        <w:rPr>
          <w:rFonts w:ascii="ITC Avant Garde" w:hAnsi="ITC Avant Garde" w:cs="Arial"/>
        </w:rPr>
        <w:t>-Up, la transparencia aumenta debido a las semejanzas entre los operadores móviles, por lo que este enfoque es transparente y un buen reflejo de la realidad de los operadores.</w:t>
      </w:r>
    </w:p>
    <w:p w14:paraId="74AA8F75"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Asimismo, esta Autoridad revisora considera que los argumentos de la Recurrente resultan improcedentes en virtud de que la Recurrente incurre en un error, o en todo caso confusión, al considerar que los atributos “eficiente” y “representativo” son contradictorios, en virtud de que el término “representativo” se refiere exclusivamente a una característica de la demanda que el operador modelado enfrenta, a saber, su participación de mercado; mientras el término “eficiente” se refiere a la forma en la que el operador modelado satisface dicha demanda, expresando que dicha demanda debe ser satisfecha de forma que sea empleada la menor cantidad de recursos posible, dados los parámetros de calidad y cobertura tomados en cuenta.</w:t>
      </w:r>
    </w:p>
    <w:p w14:paraId="30F2E2D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Por lo expuesto en el párrafo anterior resulta perfectamente congruente calificar a un mismo operador modelado como “eficiente” y como “representativo”.</w:t>
      </w:r>
    </w:p>
    <w:p w14:paraId="1317DC30" w14:textId="77777777" w:rsidR="00D631CA" w:rsidRPr="00D631CA" w:rsidRDefault="00382941" w:rsidP="00D631CA">
      <w:pPr>
        <w:numPr>
          <w:ilvl w:val="0"/>
          <w:numId w:val="2"/>
        </w:numPr>
        <w:spacing w:before="240"/>
        <w:contextualSpacing/>
        <w:jc w:val="both"/>
        <w:rPr>
          <w:rFonts w:ascii="ITC Avant Garde" w:hAnsi="ITC Avant Garde" w:cs="Arial"/>
        </w:rPr>
      </w:pPr>
      <w:r w:rsidRPr="00D631CA">
        <w:rPr>
          <w:rFonts w:ascii="ITC Avant Garde" w:eastAsia="Times New Roman" w:hAnsi="ITC Avant Garde" w:cs="Arial"/>
          <w:lang w:val="es-ES" w:eastAsia="es-MX"/>
        </w:rPr>
        <w:t xml:space="preserve">En relación con lo manifestado por la Recurrente en el agravio </w:t>
      </w:r>
      <w:r w:rsidRPr="00D631CA">
        <w:rPr>
          <w:rFonts w:ascii="ITC Avant Garde" w:eastAsia="Times New Roman" w:hAnsi="ITC Avant Garde" w:cs="Arial"/>
          <w:b/>
          <w:lang w:val="es-ES" w:eastAsia="es-MX"/>
        </w:rPr>
        <w:t>TERCERO</w:t>
      </w:r>
      <w:r w:rsidRPr="00D631CA">
        <w:rPr>
          <w:rFonts w:ascii="ITC Avant Garde" w:eastAsia="Times New Roman" w:hAnsi="ITC Avant Garde" w:cs="Arial"/>
          <w:lang w:val="es-ES" w:eastAsia="es-MX"/>
        </w:rPr>
        <w:t>, en el que continúa invocando una indebida fundamentación y motivación de la Resolución Recurrida, ya que omite señalar las operaciones aritméticas para determinar la tarifa de interconexión, resulta infundado, pues se respetó lo dispuesto en el artículo 3, fracción V de la Ley Federal de Procedimiento Administrativo</w:t>
      </w:r>
      <w:r w:rsidRPr="00D631CA">
        <w:rPr>
          <w:rFonts w:ascii="ITC Avant Garde" w:hAnsi="ITC Avant Garde" w:cs="Arial"/>
        </w:rPr>
        <w:t>.</w:t>
      </w:r>
    </w:p>
    <w:p w14:paraId="244CB3FA"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Al respecto, esta Autoridad revisora considera que los argumentos de la Recurrente resultan improcedentes en virtud de que la extinta Comisión hizo precisión de la metodología y aplicación de la información que utilizó para la determinación de las tarifas de interconexión señaladas en el Resolución Recurrida, incluyendo las fórmulas y modelos aplicados, por lo </w:t>
      </w:r>
      <w:r w:rsidRPr="00D631CA">
        <w:rPr>
          <w:rFonts w:ascii="ITC Avant Garde" w:eastAsia="Times New Roman" w:hAnsi="ITC Avant Garde" w:cs="Arial"/>
          <w:lang w:val="es-ES" w:eastAsia="es-MX"/>
        </w:rPr>
        <w:lastRenderedPageBreak/>
        <w:t>tanto es infundada e insuficiente la manifestación de la Recurrente al señalar que la Comisión la dejó en estado de incertidumbre jurídica porque no incluyó todas y cada una de las operaciones aritméticas referidas.</w:t>
      </w:r>
    </w:p>
    <w:p w14:paraId="1C48FE25"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A mayor abundamiento, a fojas 76 a 93 de la Resolución recurrida, mismas que para evitar repeticiones innecesarias se tienen aquí por reproducidas como si a la letra se insertasen, la Comisión estableció las fórmulas y metodología utilizadas para los cálculos realizados conforme al Modelo CITLP para determinar la tarifa de interconexión para el 1 de enero de 2011 al 31 de diciembre de 2011 de $0.3912 pesos por minuto, considerando que dicha tarifa incluye el costo correspondiente a los puertos necesarios para la interconexión. </w:t>
      </w:r>
    </w:p>
    <w:p w14:paraId="44049893"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Asimismo, la Comisión consideró que las funciones básicas que realiza la red pública de telecomunicaciones de un concesionario de servicio móvil para la terminación de una llamada consisten en la conmutación y la transmisión para efectos de cursarla y la señalización para establecerla, mantenerla y liberarla, dichas funciones son independientes de la infraestructura y componentes de la red pública de telecomunicaciones del concesionario que entrega el tráfico.</w:t>
      </w:r>
    </w:p>
    <w:p w14:paraId="563AC55E"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De igual forma, a foja 76 de la Resolución recurrida se encuentra el ANEXO DEL MODELO DE COSTOS INCREMENTALES TOTALES DE LARGO PLAZO en el cual se ilustran los procedimientos utilizados para realizar las estimaciones y cálculos, así como los parámetros y diagramas genéricos para cada uno de los procedimientos llevados a cabo en el cálculo de la demanda estimada y los elementos necesarios para dimensionar la red del operador representativo.</w:t>
      </w:r>
    </w:p>
    <w:p w14:paraId="0A5B09ED" w14:textId="77777777" w:rsidR="00D631CA" w:rsidRPr="00D631CA" w:rsidRDefault="00382941" w:rsidP="00D631CA">
      <w:pPr>
        <w:numPr>
          <w:ilvl w:val="0"/>
          <w:numId w:val="2"/>
        </w:numPr>
        <w:spacing w:before="240"/>
        <w:contextualSpacing/>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En relación con lo manifestado por la Recurrente en el agravio </w:t>
      </w:r>
      <w:r w:rsidRPr="00D631CA">
        <w:rPr>
          <w:rFonts w:ascii="ITC Avant Garde" w:eastAsia="Times New Roman" w:hAnsi="ITC Avant Garde" w:cs="Arial"/>
          <w:b/>
          <w:lang w:val="es-ES" w:eastAsia="es-MX"/>
        </w:rPr>
        <w:t>CUARTO</w:t>
      </w:r>
      <w:r w:rsidRPr="00D631CA">
        <w:rPr>
          <w:rFonts w:ascii="ITC Avant Garde" w:eastAsia="Times New Roman" w:hAnsi="ITC Avant Garde" w:cs="Arial"/>
          <w:lang w:val="es-ES" w:eastAsia="es-MX"/>
        </w:rPr>
        <w:t>, en el que continúa invocando una indebida fundamentación y motivación de la Resolución Recurrida, ya que determina la medición del tráfico y el esquema de facturación de los servicios de interconexión aduciendo supuestos beneficios al público usuario final, violando el principio de libertad tarifaria en perjuicio de la Recurrente, resulta infundado, pues se respetó lo dispuesto en el artículo 3, fracción V de la Ley Federal de Procedimiento Administrativo.</w:t>
      </w:r>
    </w:p>
    <w:p w14:paraId="306EB668"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Al respecto, esta Autoridad revisora considera que los argumentos de la Recurrente resultan infundados en virtud de que la Comisión en la Resolución impugnada estableció la debida motivación y fundamentación para determinar la medición del tráfico como se desprende de fojas 94 a 96 de la Resolución recurrida que establecen lo siguiente:</w:t>
      </w:r>
    </w:p>
    <w:p w14:paraId="36B1874D"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“Respecto a la medición del tráfico terminado en la red pública de telecomunicaciones de Grupo Telefónica, la Comisión considera que los costos determinados por el Modelo de CITLP están calculados con base en un pronóstico del uso real de la infraestructura de interconexión, por lo que las </w:t>
      </w:r>
      <w:r w:rsidRPr="00D631CA">
        <w:rPr>
          <w:rFonts w:ascii="ITC Avant Garde" w:hAnsi="ITC Avant Garde" w:cs="Arial"/>
        </w:rPr>
        <w:lastRenderedPageBreak/>
        <w:t>tarifas determinadas permiten a Grupo Telefónica recuperar los costos en los que incurre para la prestación del servicio de interconexión.</w:t>
      </w:r>
    </w:p>
    <w:p w14:paraId="4C6637A2"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En este sentido, es importante señalar que desde un punto de vista económico, resulta eficiente que un concesionario pague por el uso de la infraestructura en función de su utilización real. A mayor abundamiento, a juicio de esta Comisión, no sólo resulta económicamente eficiente para el caso de la provisión de servicios de interconexión entre concesionarios, sino que aplica, de igual forma, a la provisión de servicios de telecomunicaciones al usuario final. Al respecto, esta Comisión considera, de manera congruente con lo expresado sobre diversos aspectos relativos a la interconexión de redes a lo largo de la presente Resolución, que se deben adoptar medidas para eliminar los cargos para la provisión de servicios de telecomunicaciones en general que transparenten el cobro del servicio prestado y que, en el caso de la interconexión, dicha transparencia producto de una eventual modificación de los mecanismos de medición y tasación podría fomentar, inclusive, que aquellos costos o elementos que no son utilizados para la prestación del servicio no sean considerados dentro de la tarifa respectiva.</w:t>
      </w:r>
    </w:p>
    <w:p w14:paraId="742F3EC4"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En este sentido, el esquema de facturación por redondeo es ineficiente y genera un sobrepago por infraestructura no utilizada cuando económicamente resulta eficiente que los concesionarios paguen únicamente por la infraestructura utilizada por el servicio de que se trate.</w:t>
      </w:r>
    </w:p>
    <w:p w14:paraId="1E0E68D3"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Por lo que, en cumplimiento del artículo 7 de la LFT, de la Regla Novena Transitoria de las </w:t>
      </w:r>
      <w:proofErr w:type="spellStart"/>
      <w:r w:rsidRPr="00D631CA">
        <w:rPr>
          <w:rFonts w:ascii="ITC Avant Garde" w:hAnsi="ITC Avant Garde" w:cs="Arial"/>
        </w:rPr>
        <w:t>RdSL</w:t>
      </w:r>
      <w:proofErr w:type="spellEnd"/>
      <w:r w:rsidRPr="00D631CA">
        <w:rPr>
          <w:rFonts w:ascii="ITC Avant Garde" w:hAnsi="ITC Avant Garde" w:cs="Arial"/>
        </w:rPr>
        <w:t xml:space="preserve"> y la Regla 53 de las RSLD, los concesionarios únicamente deberán pagar por la infraestructura utilizada y, que por consecuencia, se deberán pagar las tarifas de interconexión en base al tiempo real de uso de la infraestructura requerida para la prestación de dicho servicio, </w:t>
      </w:r>
    </w:p>
    <w:p w14:paraId="667CE6F9"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Aunado a lo anterior, no existe razón técnica alguna que impida que la terminación de llamadas provenientes de otro operador, recibidas en la red del operador móvil mediante enlaces de interconexión, sea facturada de acuerdo con su duración real, máxime cuando las modificaciones en un sistema de facturación, para cobrar agregados de duraciones reales en lugar de agregados en duraciones completas al minuto superior no requiere de mayores inversiones.</w:t>
      </w:r>
    </w:p>
    <w:p w14:paraId="379F9F72"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Al ser la tarifa de interconexión cobrada por los concesionarios fijos y los operadores del servicio de larga distancia a sus usuarios, y ser la medición de </w:t>
      </w:r>
      <w:r w:rsidRPr="00D631CA">
        <w:rPr>
          <w:rFonts w:ascii="ITC Avant Garde" w:hAnsi="ITC Avant Garde" w:cs="Arial"/>
        </w:rPr>
        <w:lastRenderedPageBreak/>
        <w:t>ésta pactada en tiempo real, así deberá ser cobrada al usuario, sin permitir de forma alguna el cobro a minutos redondeados, ya que sería una práctica abusiva y no justificada en contra del usuario.</w:t>
      </w:r>
    </w:p>
    <w:p w14:paraId="093EBAC9"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De todo lo expuesto, esta Comisión considera que, con fundamento en todas y cada una de las disposiciones mencionadas con anterioridad, en la aplicación de las tarifas de interconexión por servicios de terminación conmutada en usuarios móviles para la modalidad “el que llama paga”, Grupo Telefónica deberá calcular la contraprestación que </w:t>
      </w:r>
      <w:proofErr w:type="spellStart"/>
      <w:r w:rsidRPr="00D631CA">
        <w:rPr>
          <w:rFonts w:ascii="ITC Avant Garde" w:hAnsi="ITC Avant Garde" w:cs="Arial"/>
        </w:rPr>
        <w:t>Marcatel</w:t>
      </w:r>
      <w:proofErr w:type="spellEnd"/>
      <w:r w:rsidRPr="00D631CA">
        <w:rPr>
          <w:rFonts w:ascii="ITC Avant Garde" w:hAnsi="ITC Avant Garde" w:cs="Arial"/>
        </w:rPr>
        <w:t xml:space="preserve"> deberá pagarle, con base en la duración real de las llamadas, sin redondear al minuto, debiendo para tal efecto sumar la duración de todas las llamadas completadas en el período de facturación correspondiente, medidas en segundos, y multiplicar los minutos equivalentes a dicha suma, por la tarifa  correspondiente.”</w:t>
      </w:r>
    </w:p>
    <w:p w14:paraId="2B557159"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Asimismo, el argumento de la Recurrente carece de sustento, toda vez que la consideración de la Comisión respecto a que “la tarifa de interconexión cobrada por los concesionarios a sus usuarios, y ser la medición de ésta pactada en tiempo real, así deberá ser cobrada al usuario, sin permitir de forma alguna el cobro a minutos redondeados, ya que sería una práctica abusiva y no justificada en contra del usuario”, resulta fundada en el hecho de que la tarifa de interconexión es un insumo en la estructura de precios que el concesionario oferta al público en general, en tal sentido, si la tarifa de interconexión es cobrada en segundo resulta lógico que dicha medición sea traslada a los usuarios finales de los servicios de telecomunicaciones a efecto de que tengan la oportunidad de que les sean cobrados los mismos con base en su duración real, es decir, en segundos.</w:t>
      </w:r>
    </w:p>
    <w:p w14:paraId="3EEC21A9"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Lo anterior, incluso ya estaba considerado en el párrafo segundo del artículo 60 de la Ley Federal de Telecomunicaciones que establece lo siguiente:</w:t>
      </w:r>
    </w:p>
    <w:p w14:paraId="7A3A75EF"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“En el caso de servicios de telecomunicaciones que se ofrecen al público consumidor con cargos por concepto de la duración de las comunicaciones, los concesionarios y permisionarios deberán incluir dentro de su oferta comercial planes y tarifas, el cobro por segundo, sin perjuicio de otros planes que se basen en el cobro por minuto, por evento, por capacidad o cualquier otra modalidad.”</w:t>
      </w:r>
    </w:p>
    <w:p w14:paraId="27B495AB" w14:textId="77777777" w:rsidR="00D631CA" w:rsidRPr="00D631CA" w:rsidRDefault="00382941" w:rsidP="00D631CA">
      <w:pPr>
        <w:spacing w:before="240"/>
        <w:ind w:right="49"/>
        <w:jc w:val="both"/>
        <w:rPr>
          <w:rFonts w:ascii="ITC Avant Garde" w:hAnsi="ITC Avant Garde" w:cs="Arial"/>
        </w:rPr>
      </w:pPr>
      <w:r w:rsidRPr="00D631CA">
        <w:rPr>
          <w:rFonts w:ascii="ITC Avant Garde" w:hAnsi="ITC Avant Garde" w:cs="Arial"/>
        </w:rPr>
        <w:t>En este sentido, la Recurrente incluso ya ofrece y ofrecía planes tarifarios por segundo, como se desprende de la dirección electrónica: http://www.movistar.com.mx/movil-planes-por-segundo.</w:t>
      </w:r>
    </w:p>
    <w:p w14:paraId="5633D4D3" w14:textId="77777777" w:rsidR="00D631CA" w:rsidRPr="00D631CA" w:rsidRDefault="00382941" w:rsidP="00D631CA">
      <w:pPr>
        <w:spacing w:before="240"/>
        <w:ind w:right="49"/>
        <w:jc w:val="both"/>
        <w:rPr>
          <w:rFonts w:ascii="ITC Avant Garde" w:hAnsi="ITC Avant Garde" w:cs="Arial"/>
        </w:rPr>
      </w:pPr>
      <w:r w:rsidRPr="00D631CA">
        <w:rPr>
          <w:rFonts w:ascii="ITC Avant Garde" w:hAnsi="ITC Avant Garde" w:cs="Arial"/>
        </w:rPr>
        <w:lastRenderedPageBreak/>
        <w:t>Por tanto la Resolución recurrida no le causa perjuicio a la Recurrente en virtud de que ya ofrece dichos planes tarifarios de conformidad con el artículo 60 de la LFT que prevé la libertad tarifaria, de ahí que su argumento resulte infundado.</w:t>
      </w:r>
    </w:p>
    <w:p w14:paraId="34BC8362" w14:textId="77777777" w:rsidR="00D631CA" w:rsidRPr="00D631CA" w:rsidRDefault="00382941" w:rsidP="00D631CA">
      <w:pPr>
        <w:numPr>
          <w:ilvl w:val="0"/>
          <w:numId w:val="2"/>
        </w:numPr>
        <w:spacing w:before="240"/>
        <w:contextualSpacing/>
        <w:jc w:val="both"/>
        <w:rPr>
          <w:rFonts w:ascii="ITC Avant Garde" w:hAnsi="ITC Avant Garde" w:cs="Arial"/>
        </w:rPr>
      </w:pPr>
      <w:r w:rsidRPr="00D631CA">
        <w:rPr>
          <w:rFonts w:ascii="ITC Avant Garde" w:hAnsi="ITC Avant Garde" w:cs="Arial"/>
        </w:rPr>
        <w:t xml:space="preserve">En relación con lo manifestado por la Recurrente en el agravio </w:t>
      </w:r>
      <w:r w:rsidRPr="00D631CA">
        <w:rPr>
          <w:rFonts w:ascii="ITC Avant Garde" w:hAnsi="ITC Avant Garde" w:cs="Arial"/>
          <w:b/>
        </w:rPr>
        <w:t>QUINTO</w:t>
      </w:r>
      <w:r w:rsidRPr="00D631CA">
        <w:rPr>
          <w:rFonts w:ascii="ITC Avant Garde" w:hAnsi="ITC Avant Garde" w:cs="Arial"/>
        </w:rPr>
        <w:t>, en el que continúa invocando una indebida fundamentación y motivación de la Resolución Recurrida, invocando diversas supuestas deficiencias, resulta infundado, resulta infundado, pues se respetó lo dispuesto en el artículo 3, fracción V de la Ley Federal de Procedimiento Administrativo.</w:t>
      </w:r>
    </w:p>
    <w:p w14:paraId="5A54160F"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Al respecto, esta Autoridad revisora considera que los argumentos de la Recurrente resultan improcedentes en virtud de que la Comisión a lo largo de las páginas 52 a 55 de la Resolución recurrida, mismas que para evitar repeticiones innecesarias se tienen aquí por reproducidas como si a la letra se insertasen, funda y motiva debidamente en la legislación nacional vigente y aplicable, es decir entre otros, en los artículos 7, fracciones II, y 41 de la LFT; la Regla Novena Transitoria de las </w:t>
      </w:r>
      <w:proofErr w:type="spellStart"/>
      <w:r w:rsidRPr="00D631CA">
        <w:rPr>
          <w:rFonts w:ascii="ITC Avant Garde" w:hAnsi="ITC Avant Garde" w:cs="Arial"/>
        </w:rPr>
        <w:t>RdSL</w:t>
      </w:r>
      <w:proofErr w:type="spellEnd"/>
      <w:r w:rsidRPr="00D631CA">
        <w:rPr>
          <w:rFonts w:ascii="ITC Avant Garde" w:hAnsi="ITC Avant Garde" w:cs="Arial"/>
        </w:rPr>
        <w:t xml:space="preserve"> y la Regla 53 de las RSLD el hecho de que las tarifas deben estar basadas en costos.</w:t>
      </w:r>
    </w:p>
    <w:p w14:paraId="1BA6745A"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este sentido, la extinta Comisión fundó el enfoque de las tarifas basadas en costos en la legislación nacional vigente y aplicable, la cual a su vez instruye que se debe emplear una metodología de costeo de acuerdo a bases internacionalmente reconocidas y es en ese tenor que la Comisión explicó que tanto la Organización Mundial de Comercio, el Banco Mundial y la Unión Internacional de Telecomunicaciones, consideran que el enfoque de tarifas basadas en costos, es el método más eficiente desde el punto de vista económico para fijar las tarifas de interconexión y, conjuntamente con la no discriminación y la transparencia como los principios básicos que deben regir en cualquier acuerdo de Interconexión. Adicionalmente, y con el fin de motivar la Resolución recurrida, la extinta Comisión apunta que son diversos los países cuyos reguladores han intervenido en los mercados de terminación de llamadas en las redes móviles e introducen diversos</w:t>
      </w:r>
      <w:r w:rsidRPr="00D631CA">
        <w:rPr>
          <w:rFonts w:ascii="ITC Avant Garde" w:eastAsia="Times New Roman" w:hAnsi="ITC Avant Garde" w:cs="Arial"/>
          <w:color w:val="00B0F0"/>
          <w:lang w:val="es-ES" w:eastAsia="es-MX"/>
        </w:rPr>
        <w:t xml:space="preserve"> </w:t>
      </w:r>
      <w:r w:rsidRPr="00D631CA">
        <w:rPr>
          <w:rFonts w:ascii="ITC Avant Garde" w:hAnsi="ITC Avant Garde" w:cs="Arial"/>
        </w:rPr>
        <w:t>esquemas de regulación de precios, para fomentar la competencia entre los operadores móviles. Es por ello que en la página 57 de la Resolución recurrida, la Comisión categóricamente señala:</w:t>
      </w:r>
    </w:p>
    <w:p w14:paraId="0086DA0F" w14:textId="77777777" w:rsidR="00D631CA" w:rsidRPr="00D631CA" w:rsidRDefault="00382941" w:rsidP="00D631CA">
      <w:pPr>
        <w:spacing w:before="240"/>
        <w:ind w:left="567" w:right="900"/>
        <w:jc w:val="both"/>
        <w:rPr>
          <w:rFonts w:ascii="ITC Avant Garde" w:eastAsia="Batang" w:hAnsi="ITC Avant Garde" w:cs="Arial"/>
          <w:iCs/>
        </w:rPr>
      </w:pPr>
      <w:r w:rsidRPr="00D631CA">
        <w:rPr>
          <w:rFonts w:ascii="ITC Avant Garde" w:eastAsia="Batang" w:hAnsi="ITC Avant Garde" w:cs="Arial"/>
          <w:iCs/>
        </w:rPr>
        <w:t>“Las resoluciones de tarifas de interconexión orientadas a costos eliminan las distorsiones tarifarias en el mercado de servicios móviles, y permite:</w:t>
      </w:r>
    </w:p>
    <w:p w14:paraId="2A0679A7" w14:textId="5BCA7211" w:rsidR="00382941" w:rsidRPr="00D631CA" w:rsidRDefault="00382941" w:rsidP="00D631CA">
      <w:pPr>
        <w:numPr>
          <w:ilvl w:val="0"/>
          <w:numId w:val="4"/>
        </w:numPr>
        <w:spacing w:before="240"/>
        <w:ind w:left="567" w:right="900"/>
        <w:jc w:val="both"/>
        <w:rPr>
          <w:rFonts w:ascii="ITC Avant Garde" w:eastAsia="Batang" w:hAnsi="ITC Avant Garde" w:cs="Arial"/>
          <w:iCs/>
        </w:rPr>
      </w:pPr>
      <w:r w:rsidRPr="00D631CA">
        <w:rPr>
          <w:rFonts w:ascii="ITC Avant Garde" w:eastAsia="Batang" w:hAnsi="ITC Avant Garde" w:cs="Arial"/>
          <w:iCs/>
        </w:rPr>
        <w:t>Manejar actuales condiciones de competencia, a través de una estructura de precios relativos finales más adecuada;</w:t>
      </w:r>
    </w:p>
    <w:p w14:paraId="4718415D" w14:textId="77777777" w:rsidR="00D631CA" w:rsidRPr="00D631CA" w:rsidRDefault="00382941" w:rsidP="00D631CA">
      <w:pPr>
        <w:numPr>
          <w:ilvl w:val="0"/>
          <w:numId w:val="4"/>
        </w:numPr>
        <w:spacing w:before="240"/>
        <w:ind w:left="567" w:right="900"/>
        <w:jc w:val="both"/>
        <w:rPr>
          <w:rFonts w:ascii="ITC Avant Garde" w:eastAsia="Batang" w:hAnsi="ITC Avant Garde" w:cs="Arial"/>
          <w:iCs/>
        </w:rPr>
      </w:pPr>
      <w:r w:rsidRPr="00D631CA">
        <w:rPr>
          <w:rFonts w:ascii="ITC Avant Garde" w:eastAsia="Batang" w:hAnsi="ITC Avant Garde" w:cs="Arial"/>
          <w:iCs/>
        </w:rPr>
        <w:t>Reduce costos de llamadas originadas en redes fijas.</w:t>
      </w:r>
    </w:p>
    <w:p w14:paraId="287E45A0" w14:textId="77777777" w:rsidR="00D631CA" w:rsidRPr="00D631CA" w:rsidRDefault="00382941" w:rsidP="00D631CA">
      <w:pPr>
        <w:spacing w:before="240"/>
        <w:ind w:left="567" w:right="900"/>
        <w:jc w:val="both"/>
        <w:rPr>
          <w:rFonts w:ascii="ITC Avant Garde" w:eastAsia="Batang" w:hAnsi="ITC Avant Garde" w:cs="Arial"/>
          <w:iCs/>
        </w:rPr>
      </w:pPr>
      <w:r w:rsidRPr="00D631CA">
        <w:rPr>
          <w:rFonts w:ascii="ITC Avant Garde" w:eastAsia="Batang" w:hAnsi="ITC Avant Garde" w:cs="Arial"/>
          <w:iCs/>
        </w:rPr>
        <w:lastRenderedPageBreak/>
        <w:t>De todo lo analizado con anterioridad, se determina que del marco jurídico Mexicano, encontrando como primer fundamento lo establecido en el artículo 7 de la LFT, contempla que las tarifas de interconexión deben determinarse de manera indubitable conforme a costos, debiéndose desarrollar para tal efecto un modelo de costos que permita fijar de manera clara y precisa la forma en cómo habrán de ser determinadas las tarifas, teniendo la Comisión plena libertad para desarrollar dicho modelo, con fundamento en el artículo 42 de la LFT.”</w:t>
      </w:r>
    </w:p>
    <w:p w14:paraId="698D1C5B"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Con relación al argumento de la Recurrente en el sentido de que la Comisión pretende motivar el modelo de costos únicamente señalando que el mismo se encuentra avalado por expertos internacionales y ha sido adoptado por la mayoría de los órganos reguladores sin sustentar dicha afirmación. Al respecto, esta Autoridad revisora considera que los argumentos de la Recurrente resultan improcedentes en virtud de que de conformidad con lo dispuesto en los artículos 7 fracción XII, 9-A y 42 de la LFT, en relación con el artículo 40 del Reglamento Interior de la Secretaría, la Comisión como órgano administrativo desconcentrado de la Secretaría encargado de regular, promover y supervisar el desarrollo eficiente y la cobertura social amplia de las telecomunicaciones y la radiodifusión en México, por mandato legal estaba facultada para resolver las condiciones de interconexión que no hayan sido convenidas entre las partes, así como para interpretar en la esfera administrativa, las disposiciones legales, reglamentarias y administrativas dentro de su ámbito de competencia por ser un órgano especializado en la materia.</w:t>
      </w:r>
    </w:p>
    <w:p w14:paraId="55793C89"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Resulta claro que el espíritu del legislador en el artículo 42 de la LFT, fue que la Comisión resolviera sobre cualquier condición que no hubieran podido convenir los concesionarios, sin imponerle ninguna restricción o limitante. Esto es, la Comisión podía o no recibir asesoría, resolver por sí o basándose en opiniones de expertos y en todos los casos la resolución será legal, toda vez que se encuentra colmada de la debida fundamentación y motivación.</w:t>
      </w:r>
    </w:p>
    <w:p w14:paraId="4B015889"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En este tenor, para la determinación de las tarifas de interconexión relacionadas con la función de terminación de tráfico público conmutado en las redes públicas de telecomunicaciones de servicio local móvil de la Recurrente para el 2011, la extinta Comisión consideró en la Resolución recurrida que los objetivos plasmados en los artículos 7 y 41 de la LFT establecen las bases para la fijación de las tarifas de interconexión con base a costos. Asimismo, las </w:t>
      </w:r>
      <w:proofErr w:type="spellStart"/>
      <w:r w:rsidRPr="00D631CA">
        <w:rPr>
          <w:rFonts w:ascii="ITC Avant Garde" w:eastAsia="Times New Roman" w:hAnsi="ITC Avant Garde" w:cs="Arial"/>
          <w:lang w:val="es-ES" w:eastAsia="es-MX"/>
        </w:rPr>
        <w:t>RdSL</w:t>
      </w:r>
      <w:proofErr w:type="spellEnd"/>
      <w:r w:rsidRPr="00D631CA">
        <w:rPr>
          <w:rFonts w:ascii="ITC Avant Garde" w:eastAsia="Times New Roman" w:hAnsi="ITC Avant Garde" w:cs="Arial"/>
          <w:lang w:val="es-ES" w:eastAsia="es-MX"/>
        </w:rPr>
        <w:t xml:space="preserve"> y las RSLD establecen los lineamientos que deberá seguir la autoridad para el establecimiento de dichas tarifas de interconexión en caso de un desacuerdo de interconexión al amparo del artículo 42 de la LFT, esto es, se deberán establecer para todos los casos tarifas que permitan recuperar los costos incrementales promedio de largo plazo del servicio y los costos comunes atribuibles a dicha función utilizando una metodología de costeo </w:t>
      </w:r>
      <w:r w:rsidRPr="00D631CA">
        <w:rPr>
          <w:rFonts w:ascii="ITC Avant Garde" w:eastAsia="Times New Roman" w:hAnsi="ITC Avant Garde" w:cs="Arial"/>
          <w:lang w:val="es-ES" w:eastAsia="es-MX"/>
        </w:rPr>
        <w:lastRenderedPageBreak/>
        <w:t>de acuerdo a bases internacionalmente reconocidas, la evolución de las referencias internacionales y el crecimiento y desarrollo de los mercados de telecomunicaciones en el país, de tal forma que se promueva una sana competencia entre los prestadores de servicio de telecomunicaciones, a efectos de que estos se presten con mejores precios, diversidad y calidad en beneficio de los usuarios.</w:t>
      </w:r>
    </w:p>
    <w:p w14:paraId="74600AF6"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Por tal motivo, la Comisión utilizó un modelo de costos incrementales totales de largo plazo el cual es el método idóneo y la manera más eficiente económicamente de determinar las tarifas de interconexión y que como ya se demostrado en la presente Resolución es el método más utilizado por los órganos reguladores de otros países y recomendado por organismos internacionales para determinar tarifas de interconexión.</w:t>
      </w:r>
    </w:p>
    <w:p w14:paraId="1FD2160C"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Por lo que hace a lo manifestado por la Recurrente que la foja 60 de la Resolución recurrida que dentro el modelo de costos se manifiesta sin fundamento alguno que el hecho de utilizar una participación de mercado de 25% para la determinación del costo de interconexión en la terminación de una llamada en la red móvil, es congruente con los participantes del mercado mexicano, sin sustentar dicha afirmación.</w:t>
      </w:r>
    </w:p>
    <w:p w14:paraId="13C9C918"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Al respecto, el argumento de la Recurrente es infundado, toda vez que la extinta Comisión claramente explicó y motivó el hecho de que se esté considerando una participación de mercado del 25% en diversas partes de la Resolución Recurrida. En este sentido, la Comisión abunda y plasma en la página 60 de la Resolución recurrida que internacionalmente se entiende por mercado competitivo en el caso de modelos de costos y que ello es congruente con la recomendación de la Comunidad Europea y con el número de participantes en el mercado mexicano.</w:t>
      </w:r>
    </w:p>
    <w:p w14:paraId="61CE98B9" w14:textId="1F0EBF33"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“En el Modelo CITLP se considera un mercado competitivo en el que participan 4 operadores con la misma participación de mercado, ofreciendo servicios de telefonía móvil, por lo que el operador representativo tiene una participación del 25% del mercado.</w:t>
      </w:r>
      <w:r w:rsidRPr="00D631CA">
        <w:rPr>
          <w:rFonts w:ascii="ITC Avant Garde" w:hAnsi="ITC Avant Garde" w:cs="Arial"/>
          <w:vertAlign w:val="superscript"/>
        </w:rPr>
        <w:footnoteReference w:id="23"/>
      </w:r>
      <w:r w:rsidRPr="00D631CA">
        <w:rPr>
          <w:rFonts w:ascii="ITC Avant Garde" w:hAnsi="ITC Avant Garde" w:cs="Arial"/>
        </w:rPr>
        <w:t xml:space="preserve"> El utilizar una participación de mercado del 25% para la determinación del costo de interconexión en la terminación de una llamada en la red móvil, es congruente con la recomendación de la Comunidad Europea</w:t>
      </w:r>
      <w:r w:rsidRPr="00D631CA">
        <w:rPr>
          <w:rFonts w:ascii="ITC Avant Garde" w:hAnsi="ITC Avant Garde" w:cs="Arial"/>
        </w:rPr>
        <w:footnoteReference w:id="24"/>
      </w:r>
      <w:r w:rsidRPr="00D631CA">
        <w:rPr>
          <w:rFonts w:ascii="ITC Avant Garde" w:hAnsi="ITC Avant Garde" w:cs="Arial"/>
        </w:rPr>
        <w:t xml:space="preserve">, y con los participantes en el mercado mexicano. Asimismo, este operador utiliza la tecnología GSM (Global </w:t>
      </w:r>
      <w:proofErr w:type="spellStart"/>
      <w:r w:rsidRPr="00D631CA">
        <w:rPr>
          <w:rFonts w:ascii="ITC Avant Garde" w:hAnsi="ITC Avant Garde" w:cs="Arial"/>
        </w:rPr>
        <w:t>System</w:t>
      </w:r>
      <w:proofErr w:type="spellEnd"/>
      <w:r w:rsidRPr="00D631CA">
        <w:rPr>
          <w:rFonts w:ascii="ITC Avant Garde" w:hAnsi="ITC Avant Garde" w:cs="Arial"/>
        </w:rPr>
        <w:t xml:space="preserve"> </w:t>
      </w:r>
      <w:proofErr w:type="spellStart"/>
      <w:r w:rsidRPr="00D631CA">
        <w:rPr>
          <w:rFonts w:ascii="ITC Avant Garde" w:hAnsi="ITC Avant Garde" w:cs="Arial"/>
        </w:rPr>
        <w:t>for</w:t>
      </w:r>
      <w:proofErr w:type="spellEnd"/>
      <w:r w:rsidRPr="00D631CA">
        <w:rPr>
          <w:rFonts w:ascii="ITC Avant Garde" w:hAnsi="ITC Avant Garde" w:cs="Arial"/>
        </w:rPr>
        <w:t xml:space="preserve"> Mobile </w:t>
      </w:r>
      <w:proofErr w:type="spellStart"/>
      <w:r w:rsidRPr="00D631CA">
        <w:rPr>
          <w:rFonts w:ascii="ITC Avant Garde" w:hAnsi="ITC Avant Garde" w:cs="Arial"/>
        </w:rPr>
        <w:t>Communications</w:t>
      </w:r>
      <w:proofErr w:type="spellEnd"/>
      <w:r w:rsidRPr="00D631CA">
        <w:rPr>
          <w:rFonts w:ascii="ITC Avant Garde" w:hAnsi="ITC Avant Garde" w:cs="Arial"/>
        </w:rPr>
        <w:t>) que es la tecnología predominantemente utilizada en México, por lo que no se puede considerar al Modelo CITLP totalmente prospectivo.”</w:t>
      </w:r>
    </w:p>
    <w:p w14:paraId="3B3318B1"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lastRenderedPageBreak/>
        <w:t>Inclusive, la extinta Comisión abundando reporta en la nota de pie 3 de la Resolución Recurrida, pagina 60 de la misma, que los resultados del modelo no cambian sustancialmente aun cuando se modele un mercado con 3 o 5 participantes.</w:t>
      </w:r>
    </w:p>
    <w:p w14:paraId="6B539BCF"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Con relación a los argumentos de la Recurrente sobre el valor del espectro, se considera que en la Resolución recurrida se explica claramente cuáles fueron los elementos tomados en cuenta para determinar primeramente la cantidad de espectro con lo que contaban los operadores participantes en el mercado. La cantidad de espectro considerada fue de 50 MHz en la banda 800 MHz y de 120 MHz en la banda 1.9 GHz o PCS. No se consideraron otras bandas de frecuencias porque están son utilizadas para desarrollar otras tecnologías y proveer servicios de datos y no únicamente de voz, que fue el supuesto que la Comisión consideró determinar los costos de un operado hipotético eficiente que únicamente provee el servicio de voz y utiliza la tecnología GSM.</w:t>
      </w:r>
    </w:p>
    <w:p w14:paraId="24FD2FD3"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Asimismo para tomar en cuenta el valor del espectro, este fue calculado considerando que dicho operador utiliza de manera eficiente el espectro para el despliegue de una red GSM en las 9 Regiones en que se divide el país, por lo que se utilizó la información del costo del pago que realizaron los concesionarios que participaron en la Licitación No. 20, así como el monto pagado en la Región 8 de la Licitación No. 21, ajustando dicho valor por las diferencias en las valoraciones que realizaron por las bandas de frecuencias en las distintas licitaciones. Este monto ascendió a 355</w:t>
      </w:r>
      <w:proofErr w:type="gramStart"/>
      <w:r w:rsidRPr="00D631CA">
        <w:rPr>
          <w:rFonts w:ascii="ITC Avant Garde" w:eastAsia="Times New Roman" w:hAnsi="ITC Avant Garde" w:cs="Arial"/>
          <w:lang w:val="es-ES" w:eastAsia="es-MX"/>
        </w:rPr>
        <w:t>,586,489</w:t>
      </w:r>
      <w:proofErr w:type="gramEnd"/>
      <w:r w:rsidRPr="00D631CA">
        <w:rPr>
          <w:rFonts w:ascii="ITC Avant Garde" w:eastAsia="Times New Roman" w:hAnsi="ITC Avant Garde" w:cs="Arial"/>
          <w:lang w:val="es-ES" w:eastAsia="es-MX"/>
        </w:rPr>
        <w:t xml:space="preserve"> dólares de los Estados Unidos de América, el cual se considera como una inversión. </w:t>
      </w:r>
    </w:p>
    <w:p w14:paraId="1B076449"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Por otra parte, conforme a la Ley Federal de Derechos de 2011 los concesionarios de redes públicas de telecomunicaciones que hacen uso de ciertas bandas de frecuencias están obligados a pagar un derecho por el mismo, el cual está en función de los MHz, este pago se realiza anualmente, con lo cual es considerado como un costo que es parte de la operación.</w:t>
      </w:r>
    </w:p>
    <w:p w14:paraId="42418958"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Por lo anterior, no le asiste la razón a la Recurrente de que no se realizó una adecuada estimación del valor del espectro por parte de la extinta Comisión.</w:t>
      </w:r>
    </w:p>
    <w:p w14:paraId="6D6FF557"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Es infundado el argumento de la Recurrente respecto a la información considerada del Regulador Francés, toda vez que la Comisión tomó en consideración los precios mercado a precios corrientes del modelo de costos del órgano regulador de Francia, y con ellos determinó los costos que se originarían para una empresa establecida que ostenta el 25 por ciento del mercado y que es eficiente es su operación. Como se señaló en la propia Resolución recurrida, la tarifa de interconexión por terminación de tráfico en la red móvil deberá de tomar en cuenta los precios corrientes derivado de que los precios de los insumos muestran una tendencia decreciente a través del tiempo, lo cual es reflejo del constante avance tecnológico que vive el sector. De utilizar los costos históricos o contables en el modelo </w:t>
      </w:r>
      <w:r w:rsidRPr="00D631CA">
        <w:rPr>
          <w:rFonts w:ascii="ITC Avant Garde" w:eastAsia="Times New Roman" w:hAnsi="ITC Avant Garde" w:cs="Arial"/>
          <w:lang w:val="es-ES" w:eastAsia="es-MX"/>
        </w:rPr>
        <w:lastRenderedPageBreak/>
        <w:t>de costos, la autoridad reguladora no incorporaría estas reducciones en precios, por lo que sobrestimaría los costos corrientes del servicio de interconexión y, por tanto, omitiría la continua innovación que existe en el sector, en perjuicio de los consumidores.</w:t>
      </w:r>
    </w:p>
    <w:p w14:paraId="2C756A5A"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Asimismo, como se señaló en la propia resolución para la determinación de los costos de proveer el servicio, es necesario primeramente asignar e identificar aquellos costos que están directamente asociado a la prestación del servicio, es decir si existe un costo que es recuperado a través del usuario final o que no es necesario para la prestación del servicio este no deberá de ser incluido en el mismo, este es el caso de aquellos costos originados por ejemplo por la publicidad y comercialización de servicios finales, asimismo como el servicio a costear es el servicio de terminación de voz en una red móvil, es necesario no incluir costos que estén directamente asociados a nuevos servicios o servicios distintos a los de voz, como sería el caso de transmisión de datos o acceso a internet o aplicaciones. Por lo cual, la extinta Comisión en su modelo identificó todos aquellos elementos necesarios para la prestación del servicio de voz en la cual el operador hipotético eficiente utilizará en su red la tecnología GSM.</w:t>
      </w:r>
    </w:p>
    <w:p w14:paraId="0559C5F4"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Como se mencionó en la Resolución recurrida, el Modelo de Costos desarrollado por la Comisión es de un operador eficiente que toma en cuenta los costos de la red para la prestación del servicio de interconexión y que se consideran a costos corrientes o a precios de mercado. La razón por la que los costos de la red son valorados a costos corrientes es porque en un mercado competitivo, las empresas son compensadas exclusivamente por estos costos, y no así por sus costos históricos. Es importante mencionar que en un mercado en competencia, cuando una empresa fija sus precios por encima de los costos actuales o corrientes, otra empresa podría entrar al mercado ofreciendo menores precios, lo que obligaría a la primera a bajar sus precios para evitar así perder clientes. Es decir, el mercado actuaría como mecanismo para alinear el precio de los servicios a sus costos corrientes. Es así que para impulsar el desarrollo del sector el regulador debe propiciar la eficiencia </w:t>
      </w:r>
      <w:proofErr w:type="spellStart"/>
      <w:r w:rsidRPr="00D631CA">
        <w:rPr>
          <w:rFonts w:ascii="ITC Avant Garde" w:eastAsia="Times New Roman" w:hAnsi="ITC Avant Garde" w:cs="Arial"/>
          <w:lang w:val="es-ES" w:eastAsia="es-MX"/>
        </w:rPr>
        <w:t>asignativa</w:t>
      </w:r>
      <w:proofErr w:type="spellEnd"/>
      <w:r w:rsidRPr="00D631CA">
        <w:rPr>
          <w:rFonts w:ascii="ITC Avant Garde" w:eastAsia="Times New Roman" w:hAnsi="ITC Avant Garde" w:cs="Arial"/>
          <w:lang w:val="es-ES" w:eastAsia="es-MX"/>
        </w:rPr>
        <w:t xml:space="preserve">, en el sentido de que se establezcan los precios lo más cercanamente posible a los observados en un mercado competitivo, ya que es generalmente aceptado que estos precios son los que maximizan el bienestar social. </w:t>
      </w:r>
    </w:p>
    <w:p w14:paraId="3EB14BF4"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De igual forma, en un mercado competitivo las empresas son compensadas únicamente por los costos en que incurriría una empresa eficiente. Por ejemplo, si una empresa incurriera en ineficiencias, como en exceso de capacidad de red o en mantener una tecnología obsoleta, una empresa eficiente podría entrar al mercado ofreciendo un menor precio, por lo que en un mercado competitivo las empresas tienen incentivos a minimizar sus costos y de este modo evitar perder participación de mercado. Al mismo tiempo, la entrada del nuevo competidor obligaría a la empresa establecida a eliminar sus ineficiencias para mantener la viabilidad de su operación hacia adelante. En este contexto, el regulador debe propiciar que se consiga la </w:t>
      </w:r>
      <w:r w:rsidRPr="00D631CA">
        <w:rPr>
          <w:rFonts w:ascii="ITC Avant Garde" w:eastAsia="Times New Roman" w:hAnsi="ITC Avant Garde" w:cs="Arial"/>
          <w:lang w:val="es-ES" w:eastAsia="es-MX"/>
        </w:rPr>
        <w:lastRenderedPageBreak/>
        <w:t>eficiencia productiva en el sentido de otorgar los suficientes incentivos para la minimización de costos.</w:t>
      </w:r>
    </w:p>
    <w:p w14:paraId="63D1EBD2"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La determinación de las tarifas de interconexión con base en los costos corrientes de una empresa eficiente es particularmente relevante en el sector telecomunicaciones en razón de que los precios de los insumos muestran una tendencia decreciente a través del tiempo, lo cual es reflejo del constante avance tecnológico que vive el sector. 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w:t>
      </w:r>
    </w:p>
    <w:p w14:paraId="54BCE11A" w14:textId="77777777" w:rsidR="00D631CA" w:rsidRPr="00D631CA" w:rsidRDefault="00382941" w:rsidP="00D631CA">
      <w:pPr>
        <w:numPr>
          <w:ilvl w:val="0"/>
          <w:numId w:val="2"/>
        </w:numPr>
        <w:spacing w:before="240"/>
        <w:contextualSpacing/>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En relación con lo manifestado por la Recurrente en el agravio </w:t>
      </w:r>
      <w:r w:rsidRPr="00D631CA">
        <w:rPr>
          <w:rFonts w:ascii="ITC Avant Garde" w:eastAsia="Times New Roman" w:hAnsi="ITC Avant Garde" w:cs="Arial"/>
          <w:b/>
          <w:lang w:val="es-ES" w:eastAsia="es-MX"/>
        </w:rPr>
        <w:t>SEXTO</w:t>
      </w:r>
      <w:r w:rsidRPr="00D631CA">
        <w:rPr>
          <w:rFonts w:ascii="ITC Avant Garde" w:eastAsia="Times New Roman" w:hAnsi="ITC Avant Garde" w:cs="Arial"/>
          <w:lang w:val="es-ES" w:eastAsia="es-MX"/>
        </w:rPr>
        <w:t>, en el que continúa invocando una indebida fundamentación y motivación de la Resolución Recurrida, pues el Modelo de Costos no toma en cuenta la cobertura ni los minutos no facturados, resulta infundado, pues se respetó lo dispuesto en el artículo 3, fracción V de la Ley Federal de Procedimiento Administrativo.</w:t>
      </w:r>
    </w:p>
    <w:p w14:paraId="6E2F1E8D" w14:textId="3F344EB9"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Por lo que hace a los argumentos sobre el tráfico utilizado en el modelo de costos, los mismos son en esencia idénticos a los señalados en los incisos </w:t>
      </w:r>
      <w:r w:rsidRPr="00D631CA">
        <w:rPr>
          <w:rFonts w:ascii="ITC Avant Garde" w:hAnsi="ITC Avant Garde" w:cs="Arial"/>
          <w:b/>
        </w:rPr>
        <w:t>a), b), c) y d) del numeral III del primer Agravio</w:t>
      </w:r>
      <w:r w:rsidRPr="00D631CA">
        <w:rPr>
          <w:rFonts w:ascii="ITC Avant Garde" w:hAnsi="ITC Avant Garde" w:cs="Arial"/>
        </w:rPr>
        <w:t>, por lo que en apego al principio de economía procesal a la que se debe sujetar el procedimiento administrativo se tiene aquí por reproducidas las respuesta del Instituto al respecto como si a la letra se insertasen.</w:t>
      </w:r>
    </w:p>
    <w:p w14:paraId="3412436B"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En relación al módulo de cobertura, si bien el incluir un módulo de despliegue de red de cobertura está considerado mejores prácticas, la inclusión de este módulo en un modelo de un solo año no es un requisito fundamental siempre y cuando el número de </w:t>
      </w:r>
      <w:proofErr w:type="spellStart"/>
      <w:r w:rsidRPr="00D631CA">
        <w:rPr>
          <w:rFonts w:ascii="ITC Avant Garde" w:hAnsi="ITC Avant Garde" w:cs="Arial"/>
        </w:rPr>
        <w:t>radiobases</w:t>
      </w:r>
      <w:proofErr w:type="spellEnd"/>
      <w:r w:rsidRPr="00D631CA">
        <w:rPr>
          <w:rFonts w:ascii="ITC Avant Garde" w:hAnsi="ITC Avant Garde" w:cs="Arial"/>
        </w:rPr>
        <w:t xml:space="preserve"> y sitios del operador sea suficiente para cubrir el porcentaje de población necesaria y cursar el volumen de tráfico del operador con la calidad de servicio adecuada. Como vimos en el informe pericial, el número de </w:t>
      </w:r>
      <w:proofErr w:type="spellStart"/>
      <w:r w:rsidRPr="00D631CA">
        <w:rPr>
          <w:rFonts w:ascii="ITC Avant Garde" w:hAnsi="ITC Avant Garde" w:cs="Arial"/>
        </w:rPr>
        <w:t>radiobases</w:t>
      </w:r>
      <w:proofErr w:type="spellEnd"/>
      <w:r w:rsidRPr="00D631CA">
        <w:rPr>
          <w:rFonts w:ascii="ITC Avant Garde" w:hAnsi="ITC Avant Garde" w:cs="Arial"/>
        </w:rPr>
        <w:t xml:space="preserve"> incluido en el modelo 2011 es más que suficiente para cursar el tráfico del operador y es superior al número de </w:t>
      </w:r>
      <w:proofErr w:type="spellStart"/>
      <w:r w:rsidRPr="00D631CA">
        <w:rPr>
          <w:rFonts w:ascii="ITC Avant Garde" w:hAnsi="ITC Avant Garde" w:cs="Arial"/>
        </w:rPr>
        <w:t>radiobases</w:t>
      </w:r>
      <w:proofErr w:type="spellEnd"/>
      <w:r w:rsidRPr="00D631CA">
        <w:rPr>
          <w:rFonts w:ascii="ITC Avant Garde" w:hAnsi="ITC Avant Garde" w:cs="Arial"/>
        </w:rPr>
        <w:t xml:space="preserve"> que tenía desplegadas la Recurrente ese mismo año.</w:t>
      </w:r>
    </w:p>
    <w:p w14:paraId="154297DC"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En relación con el capítulo denominado AGRAVIOS, respecto de la segunda parte denominada </w:t>
      </w:r>
      <w:r w:rsidRPr="00D631CA">
        <w:rPr>
          <w:rFonts w:ascii="ITC Avant Garde" w:hAnsi="ITC Avant Garde" w:cs="Arial"/>
          <w:b/>
        </w:rPr>
        <w:t>AGRAVIOS GENERALES RESPECTO DEL RESOLUTIVO TERCERO DE LA RESOLUCIÓN IMPUGNADA</w:t>
      </w:r>
      <w:r w:rsidRPr="00D631CA">
        <w:rPr>
          <w:rFonts w:ascii="ITC Avant Garde" w:hAnsi="ITC Avant Garde" w:cs="Arial"/>
        </w:rPr>
        <w:t>, se entra a su estudio en los siguientes términos:</w:t>
      </w:r>
    </w:p>
    <w:p w14:paraId="447738A2" w14:textId="77777777" w:rsidR="00D631CA" w:rsidRPr="00D631CA" w:rsidRDefault="00382941" w:rsidP="00D631CA">
      <w:pPr>
        <w:numPr>
          <w:ilvl w:val="0"/>
          <w:numId w:val="2"/>
        </w:numPr>
        <w:spacing w:before="240"/>
        <w:contextualSpacing/>
        <w:jc w:val="both"/>
        <w:rPr>
          <w:rFonts w:ascii="ITC Avant Garde" w:hAnsi="ITC Avant Garde" w:cs="Arial"/>
        </w:rPr>
      </w:pPr>
      <w:r w:rsidRPr="00D631CA">
        <w:rPr>
          <w:rFonts w:ascii="ITC Avant Garde" w:hAnsi="ITC Avant Garde" w:cs="Arial"/>
        </w:rPr>
        <w:t xml:space="preserve">En relación con lo manifestado por la Recurrente en el agravio </w:t>
      </w:r>
      <w:r w:rsidRPr="00D631CA">
        <w:rPr>
          <w:rFonts w:ascii="ITC Avant Garde" w:hAnsi="ITC Avant Garde" w:cs="Arial"/>
          <w:b/>
        </w:rPr>
        <w:t>SÉPTIMO</w:t>
      </w:r>
      <w:r w:rsidRPr="00D631CA">
        <w:rPr>
          <w:rFonts w:ascii="ITC Avant Garde" w:hAnsi="ITC Avant Garde" w:cs="Arial"/>
        </w:rPr>
        <w:t xml:space="preserve">, en el que invoca que no existe disposición jurídica que faculte a la Comisión para fijar a la Recurrente las tarifas de interconexión con base en costos, resulta infundado, pues </w:t>
      </w:r>
      <w:r w:rsidRPr="00D631CA">
        <w:rPr>
          <w:rFonts w:ascii="ITC Avant Garde" w:hAnsi="ITC Avant Garde" w:cs="Arial"/>
        </w:rPr>
        <w:lastRenderedPageBreak/>
        <w:t>se respetó lo dispuesto en el artículo 3, fracción V de la Ley Federal de Procedimiento Administrativo.</w:t>
      </w:r>
    </w:p>
    <w:p w14:paraId="097F02A8"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Contrario a lo que la Recurrente aduce, en la Resolución Recurrida se fundamentó debidamente que la Comisión podía fijar tarifas de interconexión con base en costos, en los siguientes términos:</w:t>
      </w:r>
    </w:p>
    <w:p w14:paraId="4DE523F1"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“Por su parte, la Regla 53 de las Reglas del Servicio de Larga Distancia (en lo sucesivo, las “RSLD”) y la Reglas Novena Transitoria de las Reglas del Servicio Local (en lo sucesivo, las “</w:t>
      </w:r>
      <w:proofErr w:type="spellStart"/>
      <w:r w:rsidRPr="00D631CA">
        <w:rPr>
          <w:rFonts w:ascii="ITC Avant Garde" w:hAnsi="ITC Avant Garde" w:cs="Arial"/>
        </w:rPr>
        <w:t>RdSL</w:t>
      </w:r>
      <w:proofErr w:type="spellEnd"/>
      <w:r w:rsidRPr="00D631CA">
        <w:rPr>
          <w:rFonts w:ascii="ITC Avant Garde" w:hAnsi="ITC Avant Garde" w:cs="Arial"/>
        </w:rPr>
        <w:t>”), establecen que la Comisión resolverá las tarifas relacionadas a la función de terminación de tráfico público conmutado en las redes autorizadas para prestar el servicio local, analizando las posiciones y elementos aportados por las partes, sobre el establecimiento de tarifas que permitan recuperar el costo incremental promedio de largo plazo (en lo sucesivo, el “CIPLPS“) y los costos comunes atribuibles a dicha función que se determinan utilizando una metodología de costeo de acuerdo a bases internacionalmente reconocidas, la evolución de las referencias internacionales y el crecimiento y desarrollo de los mercados de telecomunicaciones en el país, de tal forma que se promueva una sana competencia entre los prestadores de servicio de telecomunicaciones, a efectos de que estos se presten con mejores precios, diversidad y calidad en beneficio de los usuarios.</w:t>
      </w:r>
    </w:p>
    <w:p w14:paraId="3254983C"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Por otra parte, la Condición 2.1 de las Concesiones Celulares de Grupo Telefónica señala la obligación de prestar los servicios comprendidos en dichas concesiones en forma continua y eficiente, cumpliendo con los estándares de calidad y garantizando en todo momento la interoperabilidad e interconexión con otras redes públicas de telecomunicaciones, de conformidad con las disposiciones legales, reglamentarias y administrativas aplicables.</w:t>
      </w:r>
    </w:p>
    <w:p w14:paraId="0C1B4602"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Asimismo, la condición 2.2. de la Concesión de Pegaso establece que: (i) de conformidad con los artículos 41, 42 y 43 de la LFT, dicho concesionario deberá celebrar los convenios de interconexión con cualquier otro concesionario de red pública de telecomunicaciones que se lo solicite y (ii) de conformidad con las leyes, reglamentos, reglas, planes fundamentales y demás disposiciones administrativas de carácter general aplicables, deberá interconectar su red con otras redes autorizadas por la Secretaría que así lo soliciten, de manera no discriminatoria.</w:t>
      </w:r>
    </w:p>
    <w:p w14:paraId="3C837FF1"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En virtud de lo anterior, se concluye que: (i) la interconexión es el mecanismo que materializa la interoperabilidad de las redes y de los servicios, esto es, que </w:t>
      </w:r>
      <w:r w:rsidRPr="00D631CA">
        <w:rPr>
          <w:rFonts w:ascii="ITC Avant Garde" w:hAnsi="ITC Avant Garde" w:cs="Arial"/>
        </w:rPr>
        <w:lastRenderedPageBreak/>
        <w:t xml:space="preserve">los usuarios de una de las redes públicas de telecomunicaciones puedan conectarse e intercambiar tráfico con los usuarios de la otra red pública de telecomunicaciones y viceversa; (ii) los concesionarios están obligados a interconectar sus redes y, a tal efecto, suscribir un convenio en un plazo no mayor de sesenta (60) días naturales contados a partir de que alguno de ellos lo solicite; (iii) en caso de desacuerdo entre las partes, la Comisión, a solicitud de éstas resolverá los términos, condiciones y tarifas de interconexión no convenidos, (iv) la obligatoriedad de la interconexión incluye el ofrecer de manera no discriminatoria aquellas funciones necesarias para llevar a cabo la interconexión, en las mismas condiciones y con cuando menos la misma calidad de servicio con que se presten a la propia operación, a las filiales y subsidiarias, y (v) los elementos que en términos de las RSLD y </w:t>
      </w:r>
      <w:proofErr w:type="spellStart"/>
      <w:r w:rsidRPr="00D631CA">
        <w:rPr>
          <w:rFonts w:ascii="ITC Avant Garde" w:hAnsi="ITC Avant Garde" w:cs="Arial"/>
        </w:rPr>
        <w:t>RdSL</w:t>
      </w:r>
      <w:proofErr w:type="spellEnd"/>
      <w:r w:rsidRPr="00D631CA">
        <w:rPr>
          <w:rFonts w:ascii="ITC Avant Garde" w:hAnsi="ITC Avant Garde" w:cs="Arial"/>
        </w:rPr>
        <w:t>, la Comisión debe considerar para determinar las tarifas de interconexión.”</w:t>
      </w:r>
    </w:p>
    <w:p w14:paraId="16CE1FD1"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De la cita realizada de la Resolución Recurrida, se advierte que conforme a las Reglas del Servicio de Larga Distancia y a las Reglas del Servicio Local, la Comisión estaba obligada a fijar tarifas de interconexión “… que permitan recuperar el costo incremental promedio de largo plazo (en lo sucesivo, el “CIPLPS“) y los costos comunes atribuibles a dicha función que se determinan utilizando una metodología de costeo de acuerdo a bases internacionalmente reconocidas, la evolución de las referencias internacionales y el crecimiento y desarrollo de los mercados de telecomunicaciones en el país…”, por lo que en la Resolución Recurrida se invocaron los fundamentos que justificaron la actuación de la Comisión.</w:t>
      </w:r>
    </w:p>
    <w:p w14:paraId="3AF2CDAC"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este sentido, si bien en la Ley Federal de Telecomunicaciones no se prevé la determinación de tarifas de interconexión con base en costos, es en disposiciones administradas emanadas de ella que se previó la definición de esas tarifas con base en costos.</w:t>
      </w:r>
    </w:p>
    <w:p w14:paraId="321F4857"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Considerando lo anterior, resulta infundado que se haya pretendido asumir que la Recurrente perpetra prácticas monopólicas sean relativas o absolutas, ni que tenga poder sustancial en el mercado relevante, puesto que la actuación de la autoridad no se fundamentó en el artículo 63 de la Ley Federal de Telecomunicaciones, sino en las normas antes citadas, que se señaló en la Resolución Recurrida contienen “…los elementos que en términos de las RSLD y </w:t>
      </w:r>
      <w:proofErr w:type="spellStart"/>
      <w:r w:rsidRPr="00D631CA">
        <w:rPr>
          <w:rFonts w:ascii="ITC Avant Garde" w:hAnsi="ITC Avant Garde" w:cs="Arial"/>
        </w:rPr>
        <w:t>RdSL</w:t>
      </w:r>
      <w:proofErr w:type="spellEnd"/>
      <w:r w:rsidRPr="00D631CA">
        <w:rPr>
          <w:rFonts w:ascii="ITC Avant Garde" w:hAnsi="ITC Avant Garde" w:cs="Arial"/>
        </w:rPr>
        <w:t>, la Comisión debe considerar para determinar las tarifas de interconexión.”</w:t>
      </w:r>
    </w:p>
    <w:p w14:paraId="75AFA8EE"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En el mismo orden de ideas, de las referidas Reglas del Servicio de Larga Distancia y de las Reglas del Servicio Local, se advierte que la Comisión determinará las tarifas de interconexión “… utilizando una metodología de costeo de acuerdo a bases internacionalmente reconocidas…”, por lo que las referencias realizadas en la Resolución Recurrida en relación con el reconocimiento y uso internacional tanto por organismos internacionales, como por </w:t>
      </w:r>
      <w:r w:rsidRPr="00D631CA">
        <w:rPr>
          <w:rFonts w:ascii="ITC Avant Garde" w:hAnsi="ITC Avant Garde" w:cs="Arial"/>
        </w:rPr>
        <w:lastRenderedPageBreak/>
        <w:t>órganos reguladores de otros países, al Modelo de Costos Incrementales Totales de Largo Plazo, que fue el empleado por la Comisión, son suficientes para colmar la exigencia de las Reglas con base en las cuales se utilizó dicho modelo de costos para definir las tarifas de interconexión en cuestión.</w:t>
      </w:r>
    </w:p>
    <w:p w14:paraId="1F48A071"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Cabe reiterar, que contrario a lo que aduce la Recurrente, en el marco jurídico mexicano, específicamente en la Regla 53 de las Reglas del Servicio de Larga Distancia se establece la utilización del modelo de costos para fijar las tarifas de interconexión de un operador, tenga o no poder sustancial en el mercado relevante. </w:t>
      </w:r>
    </w:p>
    <w:p w14:paraId="6DE4CF5C"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De lo anterior, resultan inoperantes los argumentos que la Recurrente desarrolla en torno al artículo 63 de la Ley Federal de Telecomunicaciones, pues dicho precepto no fue el fundamento para que la Comisión fijara las tarifas de interconexión previstas en la Resolución Recurrida con base en costos, mediante el empleo del Modelo de Costos Incrementales Totales de Largo Plazo, el cual como se ha reiterado en esta resolución, era el reconocido internacionalmente como el idóneo para definir tarifas de interconexión aplicables en el año 2011, sino que se utilizó dicho modelo de costos atendiendo a lo previsto en las Reglas del Servicio Local y la Reglas del Servicio de Larga Distancia invocadas en la Resolución Recurrida, y citadas con anterioridad en esta resolución.</w:t>
      </w:r>
    </w:p>
    <w:p w14:paraId="1440971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Sin perjuicio de lo anterior, también resulta infundado lo manifestado por la Recurrente en relación con el artículo 63 de la Ley Federal de Telecomunicaciones, ya que dicho precepto si establece una obligación tanto para el agente económico dominante, como para la autoridad, de que las tarifas por servicios sean fijadas considerando por lo menos la recuperación del costo incremental promedio de largo plazo, de forma que el dominante no fije tarifas por debajo de costos, afectando la sana competencia, pues al ser el dominante no habrá competidor que pueda ofrecer tarifas </w:t>
      </w:r>
      <w:r w:rsidR="00125C9B" w:rsidRPr="00D631CA">
        <w:rPr>
          <w:rFonts w:ascii="ITC Avant Garde" w:hAnsi="ITC Avant Garde" w:cs="Arial"/>
        </w:rPr>
        <w:t>más</w:t>
      </w:r>
      <w:r w:rsidRPr="00D631CA">
        <w:rPr>
          <w:rFonts w:ascii="ITC Avant Garde" w:hAnsi="ITC Avant Garde" w:cs="Arial"/>
        </w:rPr>
        <w:t xml:space="preserve"> bajas y continuar operando en el largo plazo, atendiendo al concepto mismo del “costo incremental promedio de largo plazo”.</w:t>
      </w:r>
    </w:p>
    <w:p w14:paraId="234155B5"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Así, esa disposición legal no prevé un derecho para el agente dominante, sino una obligación de no ofrecer tarifas por debajo del costo incremental promedio de largo plazo, por lo que los argumentos de la Recurrente al partir de una interpretación indebida del artículo 63 de la Ley invocada, el que además no fue aplicado en la Resolución Recurrida, son infundados e inoperantes.</w:t>
      </w:r>
    </w:p>
    <w:p w14:paraId="36D50E24"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Ahora bien, respecto de lo manifestado por la Recurrente en el sentido que en la Resolución Recurrida se pretende darle infundadamente a la Recurrente el carácter de un operador con poder sustancial en el mercado, al basar el modelo en un operador "eficiente" que mantiene el control del 25% del mercado relevante, cuando que en la realidad la Recurrente ostenta una cuota de accesos en el mercado del orden del 21%, es infundado, ya que el modelo de </w:t>
      </w:r>
      <w:r w:rsidRPr="00D631CA">
        <w:rPr>
          <w:rFonts w:ascii="ITC Avant Garde" w:hAnsi="ITC Avant Garde" w:cs="Arial"/>
        </w:rPr>
        <w:lastRenderedPageBreak/>
        <w:t>costos desarrollado acude a un operador hipotético, tal y como que quedado expuesto en esta resolución, por lo que las manifestaciones de la Recurrente son infundadas.</w:t>
      </w:r>
    </w:p>
    <w:p w14:paraId="6FC25721" w14:textId="77777777" w:rsidR="00D631CA" w:rsidRPr="00D631CA" w:rsidRDefault="00382941" w:rsidP="00D631CA">
      <w:pPr>
        <w:tabs>
          <w:tab w:val="left" w:pos="0"/>
        </w:tabs>
        <w:spacing w:before="240"/>
        <w:jc w:val="both"/>
        <w:rPr>
          <w:rFonts w:ascii="ITC Avant Garde" w:eastAsia="Times New Roman" w:hAnsi="ITC Avant Garde" w:cs="Arial"/>
          <w:lang w:val="es-ES_tradnl" w:eastAsia="es-MX"/>
        </w:rPr>
      </w:pPr>
      <w:r w:rsidRPr="00D631CA">
        <w:rPr>
          <w:rFonts w:ascii="ITC Avant Garde" w:eastAsia="Times New Roman" w:hAnsi="ITC Avant Garde" w:cs="Arial"/>
          <w:lang w:val="es-ES_tradnl" w:eastAsia="es-MX"/>
        </w:rPr>
        <w:t>Por cuanto a que con el cálculo de las tarifas de interconexión en base a costos esta Comisión incumple con lo establecido en el artículo 7 de la LFT, en específico lo referente a continuar con la promoción de la cobertura social a que está obligada la Recurrente en términos de la Ley y de su Título de Concesión, resultan en meras suposiciones los argumentos de la Recurrente que se desestiman por infundadas, ya que su viabilidad financiera no depende únicamente de las tarifas de interconexión.</w:t>
      </w:r>
    </w:p>
    <w:p w14:paraId="39B30C73" w14:textId="77777777" w:rsidR="00D631CA" w:rsidRPr="00D631CA" w:rsidRDefault="00382941" w:rsidP="00D631CA">
      <w:pPr>
        <w:tabs>
          <w:tab w:val="left" w:pos="0"/>
        </w:tabs>
        <w:spacing w:before="240"/>
        <w:jc w:val="both"/>
        <w:rPr>
          <w:rFonts w:ascii="ITC Avant Garde" w:eastAsia="Times New Roman" w:hAnsi="ITC Avant Garde" w:cs="Arial"/>
          <w:lang w:val="es-ES_tradnl" w:eastAsia="es-MX"/>
        </w:rPr>
      </w:pPr>
      <w:r w:rsidRPr="00D631CA">
        <w:rPr>
          <w:rFonts w:ascii="ITC Avant Garde" w:eastAsia="Times New Roman" w:hAnsi="ITC Avant Garde" w:cs="Arial"/>
          <w:lang w:val="es-ES_tradnl" w:eastAsia="es-MX"/>
        </w:rPr>
        <w:t>A su vez, la forma de determinar las tarifas en nada transgrede lo que establece el artículo 7 de la LFT, pues los objetivos que dicho artículo consagra, sí fueron tomados en cuenta por esta Comisión al emitirse la Resolución recurrida, precisamente el método de costeo en este momento, permite fomentar una sana competencia entre los concesionarios, así como permitir un desarrollo eficiente en las telecomunicaciones, siendo que con ello se promueve una adecuada cobertura social.</w:t>
      </w:r>
    </w:p>
    <w:p w14:paraId="5D7B2DC0" w14:textId="77777777" w:rsidR="00D631CA" w:rsidRPr="00D631CA" w:rsidRDefault="00382941" w:rsidP="00D631CA">
      <w:pPr>
        <w:spacing w:before="240"/>
        <w:jc w:val="both"/>
        <w:rPr>
          <w:rFonts w:ascii="ITC Avant Garde" w:eastAsia="Times New Roman" w:hAnsi="ITC Avant Garde" w:cs="Arial"/>
          <w:lang w:val="es-ES_tradnl" w:eastAsia="es-MX"/>
        </w:rPr>
      </w:pPr>
      <w:r w:rsidRPr="00D631CA">
        <w:rPr>
          <w:rFonts w:ascii="ITC Avant Garde" w:eastAsia="Times New Roman" w:hAnsi="ITC Avant Garde" w:cs="Arial"/>
          <w:lang w:val="es-ES_tradnl" w:eastAsia="es-MX"/>
        </w:rPr>
        <w:t>En efecto, como puede apreciarse de la redacción de la Recurrente, son meras suposiciones que se desestiman por infundadas, ya que sólo se enfocan a determinar que el método de costeo para determinar las tarifas de interconexión afecta al desarrollo de una cobertura social, más sin embargo nunca manifiesta o indica con qué método si se beneficia dicho desarrollo, además de que nunca prueba el impedimento para el desarrollo de la cobertura social.</w:t>
      </w:r>
    </w:p>
    <w:p w14:paraId="1201D10E" w14:textId="77777777" w:rsidR="00D631CA" w:rsidRPr="00D631CA" w:rsidRDefault="00382941" w:rsidP="00D631CA">
      <w:pPr>
        <w:spacing w:before="240"/>
        <w:jc w:val="both"/>
        <w:rPr>
          <w:rFonts w:ascii="ITC Avant Garde" w:eastAsia="Times New Roman" w:hAnsi="ITC Avant Garde" w:cs="Arial"/>
          <w:lang w:val="es-ES_tradnl" w:eastAsia="es-MX"/>
        </w:rPr>
      </w:pPr>
      <w:r w:rsidRPr="00D631CA">
        <w:rPr>
          <w:rFonts w:ascii="ITC Avant Garde" w:eastAsia="Times New Roman" w:hAnsi="ITC Avant Garde" w:cs="Arial"/>
          <w:lang w:val="es-ES_tradnl" w:eastAsia="es-MX"/>
        </w:rPr>
        <w:t>Respecto de los argumentos que la Recurrente expone en relación con el principio de libertad tarifaria en el sector de las telecomunicaciones, tenemos que de acuerdo con el principio de libertad tarifaria, los concesionarios de redes públicas de telecomunicaciones pueden convenir voluntariamente las tarifas correspondientes a los servicios de interconexión, con la posibilidad de que el órgano regulador intervenga, ante el eventual desacuerdo entre las partes, y en este último caso, es que la Comisión contaba con límites a su actuación, definidos en las Reglas del Servicio Local y las Reglas del Servicio de Larga Distancia, conforme a los que debía definir “…el establecimiento de tarifas que permitan recuperar el costo incremental promedio de largo plazo (en lo sucesivo, el “CIPLPS“) y los costos comunes atribuibles a dicha función que se determinan utilizando una metodología de costeo de acuerdo a bases internacionalmente reconocidas…”</w:t>
      </w:r>
    </w:p>
    <w:p w14:paraId="0A84C67F" w14:textId="77777777" w:rsidR="00D631CA" w:rsidRPr="00D631CA" w:rsidRDefault="00382941" w:rsidP="00D631CA">
      <w:pPr>
        <w:spacing w:before="240"/>
        <w:ind w:right="23"/>
        <w:jc w:val="both"/>
        <w:rPr>
          <w:rFonts w:ascii="ITC Avant Garde" w:eastAsia="Times New Roman" w:hAnsi="ITC Avant Garde" w:cs="Arial"/>
          <w:lang w:val="es-ES_tradnl" w:eastAsia="es-MX"/>
        </w:rPr>
      </w:pPr>
      <w:r w:rsidRPr="00D631CA">
        <w:rPr>
          <w:rFonts w:ascii="ITC Avant Garde" w:eastAsia="Times New Roman" w:hAnsi="ITC Avant Garde" w:cs="Arial"/>
          <w:lang w:val="es-ES_tradnl" w:eastAsia="es-MX"/>
        </w:rPr>
        <w:t xml:space="preserve">Por cuanto a que con las tarifas fijadas en costos no es posible que la Recurrente pueda continuar prestando los servicios de interconexión en condiciones satisfactorias de calidad, competitividad, seguridad y permanencia ya que no le es posible recuperar siquiera las </w:t>
      </w:r>
      <w:r w:rsidRPr="00D631CA">
        <w:rPr>
          <w:rFonts w:ascii="ITC Avant Garde" w:eastAsia="Times New Roman" w:hAnsi="ITC Avant Garde" w:cs="Arial"/>
          <w:lang w:val="es-ES_tradnl" w:eastAsia="es-MX"/>
        </w:rPr>
        <w:lastRenderedPageBreak/>
        <w:t>inversiones de capital, es de manifestarse que no le asiste la razón ya que se trata de meras suposiciones sin sustento alguno, por lo que las mismas resultan infundadas.</w:t>
      </w:r>
    </w:p>
    <w:p w14:paraId="3102795E" w14:textId="77777777" w:rsidR="00D631CA" w:rsidRPr="00D631CA" w:rsidRDefault="00382941" w:rsidP="00D631CA">
      <w:pPr>
        <w:spacing w:before="240"/>
        <w:jc w:val="both"/>
        <w:rPr>
          <w:rFonts w:ascii="ITC Avant Garde" w:eastAsia="Times New Roman" w:hAnsi="ITC Avant Garde" w:cs="Arial"/>
          <w:lang w:val="es-ES_tradnl" w:eastAsia="es-MX"/>
        </w:rPr>
      </w:pPr>
      <w:r w:rsidRPr="00D631CA">
        <w:rPr>
          <w:rFonts w:ascii="ITC Avant Garde" w:eastAsia="Times New Roman" w:hAnsi="ITC Avant Garde" w:cs="Arial"/>
          <w:lang w:val="es-ES_tradnl" w:eastAsia="es-MX"/>
        </w:rPr>
        <w:t>Por otra parte, respecto de lo manifestado por la Recurrente en el sentido que no obstante la existencia de un amparo en favor de la Recurrente, de la Resolución Recurrida (foja 52 a 54) se desprende que la Comisión aplica principios derivados del Plan de Interconexión pretendiendo fundar su resolución, es infundado.</w:t>
      </w:r>
    </w:p>
    <w:p w14:paraId="07993CA6" w14:textId="77777777" w:rsidR="00D631CA" w:rsidRPr="00D631CA" w:rsidRDefault="00382941" w:rsidP="00D631CA">
      <w:pPr>
        <w:spacing w:before="240"/>
        <w:jc w:val="both"/>
        <w:rPr>
          <w:rFonts w:ascii="ITC Avant Garde" w:eastAsia="Times New Roman" w:hAnsi="ITC Avant Garde" w:cs="Arial"/>
          <w:lang w:val="es-ES_tradnl" w:eastAsia="es-MX"/>
        </w:rPr>
      </w:pPr>
      <w:r w:rsidRPr="00D631CA">
        <w:rPr>
          <w:rFonts w:ascii="ITC Avant Garde" w:eastAsia="Times New Roman" w:hAnsi="ITC Avant Garde" w:cs="Arial"/>
          <w:lang w:val="es-ES_tradnl" w:eastAsia="es-MX"/>
        </w:rPr>
        <w:t>Lo anterior, ya que la consideración a que la Recurrente pretende aludir es del tenor literal siguiente:</w:t>
      </w:r>
    </w:p>
    <w:p w14:paraId="6750B80F"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“En este tenor, para la determinación de las tarifas de interconexión relacionadas con la función de terminación de tráfico público conmutado en las redes públicas de telecomunicaciones de servicio local móvil de Grupo Telefónica, esta Comisión considera que los objetivos plasmados en el artículo 7 de la LFT establecen las bases para la fijación de las tarifas de interconexión con base a costos. Asimismo, las </w:t>
      </w:r>
      <w:proofErr w:type="spellStart"/>
      <w:r w:rsidRPr="00D631CA">
        <w:rPr>
          <w:rFonts w:ascii="ITC Avant Garde" w:hAnsi="ITC Avant Garde" w:cs="Arial"/>
        </w:rPr>
        <w:t>RdSL</w:t>
      </w:r>
      <w:proofErr w:type="spellEnd"/>
      <w:r w:rsidRPr="00D631CA">
        <w:rPr>
          <w:rFonts w:ascii="ITC Avant Garde" w:hAnsi="ITC Avant Garde" w:cs="Arial"/>
        </w:rPr>
        <w:t xml:space="preserve"> y las RSLD establecen claramente los lineamientos que deberá seguir la autoridad para el establecimiento de dichas tarifas de interconexión en caso de un desacuerdo de interconexión al amparo del artículo 42 de la LFT, esto es, se deberán establecer para todos los casos tarifas que permitan recuperar los CIPLPS y los costos comunes atribuibles a dicha función utilizando una metodología de costeo de acuerdo a bases internacionalmente reconocidas, la evolución de las referencias internacionales y el crecimiento y desarrollo de los mercados de telecomunicaciones en el país, de tal forma que se promueva una sana competencia entre los prestadores de servicio de telecomunicaciones, a efectos de que estos se presten con mejores precios, diversidad y calidad en beneficio de los usuarios.</w:t>
      </w:r>
    </w:p>
    <w:p w14:paraId="30B559AE"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En este sentido de la interpretación y aplicación de los artículos 7 y 41 de la LFT, se desprende que la Comisión deberá seguir la metodología indicada en el párrafo anterior.</w:t>
      </w:r>
    </w:p>
    <w:p w14:paraId="432BCFED"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Al efecto, el artículo 7 de la LFT establece lo siguiente:</w:t>
      </w:r>
    </w:p>
    <w:p w14:paraId="3089B032"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w:t>
      </w:r>
    </w:p>
    <w:p w14:paraId="0858A4E1"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Asimismo, el artículo 41 de la LFT establece lo siguiente:</w:t>
      </w:r>
    </w:p>
    <w:p w14:paraId="3AEAE25C"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w:t>
      </w:r>
    </w:p>
    <w:p w14:paraId="7413C2CA" w14:textId="4BBA08A8" w:rsidR="00382941"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lastRenderedPageBreak/>
        <w:t>Cabe reiterar que no obstante que los objetivos contenidos en las fracciones del artículo 41 de la LFT se refieren a la emisión de planes fundamentales, dichos planes se encuentran íntimamente ligados con la interconexión pues facilitan la implementación de la misma.  En tal virtud, dichos principios se hacen extensivos como principios interpretadores para la determinación de condiciones de interconexión no convenidas por los concesionarios.</w:t>
      </w:r>
    </w:p>
    <w:p w14:paraId="2E16A939"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Según se desprende de los preceptos arriba citados, el desarrollo eficiente de las telecomunicaciones y el fomento de una sana competencia entre los prestadores de servicios de telecomunicaciones, son dos principios esenciales, entre otros, que deben regir el actuar administrativo de la Comisión.</w:t>
      </w:r>
    </w:p>
    <w:p w14:paraId="20B08D23"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Como se desprende de los articulas 7 fracciones II y III, 9-A fracción I y 41 de la LFT, así como de la fracción II, del artículo 9 del Reglamento Interior de la Comisión, esta última está obligada a promover el desarrollo eficiente de las telecomunicaciones fomentando una sana competencia entre los prestadores de servicios de telecomunicaciones, para que dichos servicios se presten con mejores precios, diversidad y calidad en beneficio de todos los que los usamos. La Comisión debe, como órgano regulador técnico, en términos de la fracción II del artículo citado, promover y vigilar la eficiente interconexión de los diferentes equipos y redes de telecomunicación y para tal efecto puede, en términos de la fracción III del precepto citado, expedir las disposiciones administrativas para cumplir tal encomienda, ya sea vía acto administrativo de carácter particular o general, en términos del artículo 4º de la LFPA.”</w:t>
      </w:r>
    </w:p>
    <w:p w14:paraId="522B323A"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De la cita realizada, no se desprende que en la Resolución Recurrida se haya invocado ni aplicado el Plan de Interconexión, respecto de cuya aplicación la Recurrente tiene una sentencia de amparo a su favor, sino que únicamente se hace alusión genérica a los objetivos y principios que la Ley Federal de Telecomunicaciones establecía para los planes técnicos fundamentales, por lo que su argumento es infundado.</w:t>
      </w:r>
    </w:p>
    <w:p w14:paraId="5D443E6E"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Asimismo, resulta infundado e inoperante el argumento de la Recurrente en que sostiene que la fijación de tarifas de interconexión con base en costos no tiene fundamento en diversas normas invocadas en la Resolución Recurrida.</w:t>
      </w:r>
    </w:p>
    <w:p w14:paraId="32A5E147"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En efecto, de la revisión de la Resolución Recurrida se advierte que los artículos 7, 41 y 42 de la Ley Federal de Telecomunicaciones fueron invocados en tanto que el primero de ellos establece los objetivos de la misma Ley, y los últimos regulan fundamentalmente la interconexión. </w:t>
      </w:r>
    </w:p>
    <w:p w14:paraId="072F0634"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 xml:space="preserve">Por su parte, si bien es cierto que la Regla Novena Transitoria de las Reglas del Servicio Local se refiere a “tarifas por llevar a cabo la función de terminación conmutada entre redes autorizadas para prestar el servicio local fijo”, esto es, alude a la clase de servicios autorizados en las concesiones, resultando que los títulos de concesión de la Recurrente y de una de las </w:t>
      </w:r>
      <w:r w:rsidR="00C67299" w:rsidRPr="00D631CA">
        <w:rPr>
          <w:rFonts w:ascii="ITC Avant Garde" w:hAnsi="ITC Avant Garde" w:cs="Arial"/>
        </w:rPr>
        <w:t>tercero perjudicada</w:t>
      </w:r>
      <w:r w:rsidRPr="00D631CA">
        <w:rPr>
          <w:rFonts w:ascii="ITC Avant Garde" w:hAnsi="ITC Avant Garde" w:cs="Arial"/>
        </w:rPr>
        <w:t>s son títulos de concesión para instalar, operar y explotar una red pública de telecomunicaciones para prestar el servicio de acceso inalámbrico fijo o móvil, por lo que resulta aplicable la regla invocada, contrario a lo que invoca la Recurrente.</w:t>
      </w:r>
    </w:p>
    <w:p w14:paraId="5177E55F"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En cuanto a lo manifestado respecto de la Regla 53 de las Reglas de Larga Distancia, de la lectura de la misma y de la revisión integral de las Reglas de Larga Distancia, </w:t>
      </w:r>
      <w:r w:rsidRPr="00D631CA">
        <w:rPr>
          <w:rFonts w:ascii="ITC Avant Garde" w:hAnsi="ITC Avant Garde" w:cs="Arial"/>
          <w:b/>
        </w:rPr>
        <w:t>no se advierte que sea aplicable exclusivamente</w:t>
      </w:r>
      <w:r w:rsidRPr="00D631CA">
        <w:rPr>
          <w:rFonts w:ascii="ITC Avant Garde" w:hAnsi="ITC Avant Garde" w:cs="Arial"/>
        </w:rPr>
        <w:t xml:space="preserve"> en tratándose de operadores con poder sustancial en el mercado relevante, contrario a lo que aduce la Recurrente.</w:t>
      </w:r>
    </w:p>
    <w:p w14:paraId="51014701"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Respecto de lo manifestado por la Recurrente en cuanto a la inaplicabilidad del Plan Técnico Fundamental de Interconexión, como se ha establecido en líneas precedentes, la referencia en la página 54 de la Resolución Recurrida se realizó respecto de los objetivos y principios de los planes técnicos fundamentales en general, y no en particular respecto del Plan Técnico Fundamental de Interconexión que fue respecto del cual se concedió el amparo a la Recurrente, por lo que sus manifestaciones son inoperantes.</w:t>
      </w:r>
    </w:p>
    <w:p w14:paraId="5FB26D2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Lo anterior, sin perjuicio que la Recurrente no precisó qué principio concreto del Plan Técnico Fundamental de Interconexión considera le fue aplicado en la Resolución Recurrida, para acreditar una indebida aplicación de dicho plan, por lo que al no demostrar que efectivamente le fue aplicado el plan invocado ni alguno de sus principios, sus argumentos devienen inoperantes.</w:t>
      </w:r>
    </w:p>
    <w:p w14:paraId="6584380A"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Por lo que se refiere a las referencias internacionales que se realizan en la Resolución Recurrida, bien sea invocando las opiniones de organismos internacionales, o la postura adoptada por órganos reguladores de otros países, no se realizan como si se tratara de cuerpos normativos aplicables en México, sino para demostrar cuáles son las bases internacionalmente reconocidas, conforme a uno de los elementos exigidos por las Reglas multicitadas para elegir la metodología de costos aplicable. En consecuencia, lo argumentado por la Recurrente es infundado.</w:t>
      </w:r>
    </w:p>
    <w:p w14:paraId="2B5FB8DF"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relación con lo manifestado por la Recurrente en el sentido que no existe a la fecha determinación definitiva y firme de poder sustancial en el mercado relevante en contra de la Recurrente, es inoperante, ya que como se ha expuesto en líneas precedentes no se aplicó el artículo 63 de la Ley Federal de Telecomunicaciones a la Recurrente, y las interpretaciones de la Recurrente respecto de dicho precepto son indebidas.</w:t>
      </w:r>
    </w:p>
    <w:p w14:paraId="57730721"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Por lo que se refiere a que se debió utilizar el artículo 95 del Reglamento de Telecomunicaciones, es infundado, ya que existen normas posteriores y emanadas de la Ley Federal de Telecomunicaciones, como son las Reglas del Servicio Local y las Reglas de Larga Distancia, que prevén los elementos que debían considerarse para determinar tarifas de interconexión por la autoridad.</w:t>
      </w:r>
    </w:p>
    <w:p w14:paraId="63F8CC6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Por lo que se refiere a la ausencia de declaración de poder sustancial respecto de la Recurrente, por parte de la Comisión Federal de Telecomunicaciones, máxime que la aplicabilidad del modelo de costos se encuentra supeditado a la detentación de un poder sustancial en el mercado relevante en términos del artículo 63 de la Ley Federal de Telecomunicaciones, dicho argumento es infundado.</w:t>
      </w:r>
    </w:p>
    <w:p w14:paraId="14535A7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Lo anterior, al reiterarse que la Resolución recurrida hace referencia a la Regla 53 de las Reglas de Larga Distancia, y en ese sentido no puede señalarse una aplicación del artículo 63 invocado por la Recurrente, aunado al hecho de que la Regla 53 de las Reglas de Larga Distancia, de la lectura de la misma y de la revisión integral de las Reglas de Larga Distancia, </w:t>
      </w:r>
      <w:r w:rsidRPr="00D631CA">
        <w:rPr>
          <w:rFonts w:ascii="ITC Avant Garde" w:hAnsi="ITC Avant Garde" w:cs="Arial"/>
          <w:b/>
        </w:rPr>
        <w:t>no se advierte que sea aplicable exclusivamente</w:t>
      </w:r>
      <w:r w:rsidRPr="00D631CA">
        <w:rPr>
          <w:rFonts w:ascii="ITC Avant Garde" w:hAnsi="ITC Avant Garde" w:cs="Arial"/>
        </w:rPr>
        <w:t xml:space="preserve"> en tratándose de operadores con poder sustancial en el mercado relevante, contrario a lo que aduce la Recurrente, por lo que su argumento se torna en infundado.</w:t>
      </w:r>
    </w:p>
    <w:p w14:paraId="1FB261B1" w14:textId="77777777" w:rsidR="00D631CA" w:rsidRPr="00D631CA" w:rsidRDefault="00382941" w:rsidP="00D631CA">
      <w:pPr>
        <w:numPr>
          <w:ilvl w:val="0"/>
          <w:numId w:val="2"/>
        </w:numPr>
        <w:spacing w:before="240"/>
        <w:contextualSpacing/>
        <w:jc w:val="both"/>
        <w:rPr>
          <w:rFonts w:ascii="ITC Avant Garde" w:hAnsi="ITC Avant Garde" w:cs="Arial"/>
        </w:rPr>
      </w:pPr>
      <w:r w:rsidRPr="00D631CA">
        <w:rPr>
          <w:rFonts w:ascii="ITC Avant Garde" w:hAnsi="ITC Avant Garde" w:cs="Arial"/>
        </w:rPr>
        <w:t xml:space="preserve">En relación con lo manifestado por la Recurrente en el agravio </w:t>
      </w:r>
      <w:r w:rsidRPr="00D631CA">
        <w:rPr>
          <w:rFonts w:ascii="ITC Avant Garde" w:hAnsi="ITC Avant Garde" w:cs="Arial"/>
          <w:b/>
        </w:rPr>
        <w:t>OCTAVO</w:t>
      </w:r>
      <w:r w:rsidRPr="00D631CA">
        <w:rPr>
          <w:rFonts w:ascii="ITC Avant Garde" w:hAnsi="ITC Avant Garde" w:cs="Arial"/>
        </w:rPr>
        <w:t>, en el que invoca que la Resolución Recurrida no fija una justa retribución y restringe la libertad de trabajo, por lo que está viciada de una indebida motivación al no acatar lo dispuesto por el artículo 5 de la Constitución en relación con el artículo 3, fracción V, de la Ley Federal de Procedimiento Administrativo, es infundado.</w:t>
      </w:r>
    </w:p>
    <w:p w14:paraId="3F4379B0" w14:textId="77777777" w:rsidR="00D631CA" w:rsidRPr="00D631CA" w:rsidRDefault="00382941" w:rsidP="00D631CA">
      <w:pPr>
        <w:spacing w:before="240"/>
        <w:jc w:val="both"/>
        <w:rPr>
          <w:rFonts w:ascii="ITC Avant Garde" w:eastAsia="Calibri" w:hAnsi="ITC Avant Garde" w:cs="Arial"/>
        </w:rPr>
      </w:pPr>
      <w:r w:rsidRPr="00D631CA">
        <w:rPr>
          <w:rFonts w:ascii="ITC Avant Garde" w:eastAsia="Calibri" w:hAnsi="ITC Avant Garde" w:cs="Arial"/>
        </w:rPr>
        <w:t xml:space="preserve">Los argumentos de la Recurrente resultan infundados, si tenemos que la libertad de comercio y la libertad contractual, reconocida en el artículo 5 Constitucional, han sido interpretadas, entre otros, en los siguientes criterios: </w:t>
      </w:r>
    </w:p>
    <w:p w14:paraId="62F92582" w14:textId="195A7B93" w:rsidR="00382941" w:rsidRPr="00D631CA" w:rsidRDefault="00382941" w:rsidP="00D631CA">
      <w:pPr>
        <w:spacing w:before="240"/>
        <w:ind w:left="567" w:right="900"/>
        <w:jc w:val="both"/>
        <w:rPr>
          <w:rFonts w:ascii="ITC Avant Garde" w:eastAsia="Calibri" w:hAnsi="ITC Avant Garde" w:cs="Arial"/>
          <w:sz w:val="18"/>
          <w:szCs w:val="18"/>
        </w:rPr>
      </w:pPr>
      <w:r w:rsidRPr="00D631CA">
        <w:rPr>
          <w:rFonts w:ascii="ITC Avant Garde" w:eastAsia="Calibri" w:hAnsi="ITC Avant Garde" w:cs="Arial"/>
          <w:sz w:val="18"/>
          <w:szCs w:val="18"/>
        </w:rPr>
        <w:t xml:space="preserve">Época: Novena Época </w:t>
      </w:r>
    </w:p>
    <w:p w14:paraId="0B20DB59" w14:textId="77777777" w:rsidR="00382941" w:rsidRPr="00D631CA" w:rsidRDefault="00382941" w:rsidP="00D631CA">
      <w:pPr>
        <w:spacing w:before="240"/>
        <w:ind w:left="567" w:right="900"/>
        <w:jc w:val="both"/>
        <w:rPr>
          <w:rFonts w:ascii="ITC Avant Garde" w:eastAsia="Calibri" w:hAnsi="ITC Avant Garde" w:cs="Arial"/>
          <w:sz w:val="18"/>
          <w:szCs w:val="18"/>
        </w:rPr>
      </w:pPr>
      <w:r w:rsidRPr="00D631CA">
        <w:rPr>
          <w:rFonts w:ascii="ITC Avant Garde" w:eastAsia="Calibri" w:hAnsi="ITC Avant Garde" w:cs="Arial"/>
          <w:sz w:val="18"/>
          <w:szCs w:val="18"/>
        </w:rPr>
        <w:t xml:space="preserve">Registro: 191691 </w:t>
      </w:r>
    </w:p>
    <w:p w14:paraId="068BA71F" w14:textId="77777777" w:rsidR="00382941" w:rsidRPr="00D631CA" w:rsidRDefault="00382941" w:rsidP="00D631CA">
      <w:pPr>
        <w:spacing w:before="240"/>
        <w:ind w:left="567" w:right="900"/>
        <w:jc w:val="both"/>
        <w:rPr>
          <w:rFonts w:ascii="ITC Avant Garde" w:eastAsia="Calibri" w:hAnsi="ITC Avant Garde" w:cs="Arial"/>
          <w:sz w:val="18"/>
          <w:szCs w:val="18"/>
        </w:rPr>
      </w:pPr>
      <w:r w:rsidRPr="00D631CA">
        <w:rPr>
          <w:rFonts w:ascii="ITC Avant Garde" w:eastAsia="Calibri" w:hAnsi="ITC Avant Garde" w:cs="Arial"/>
          <w:sz w:val="18"/>
          <w:szCs w:val="18"/>
        </w:rPr>
        <w:t xml:space="preserve">Instancia: Pleno </w:t>
      </w:r>
    </w:p>
    <w:p w14:paraId="3697162C" w14:textId="77777777" w:rsidR="00382941" w:rsidRPr="00D631CA" w:rsidRDefault="00382941" w:rsidP="00D631CA">
      <w:pPr>
        <w:spacing w:before="240"/>
        <w:ind w:left="567" w:right="900"/>
        <w:jc w:val="both"/>
        <w:rPr>
          <w:rFonts w:ascii="ITC Avant Garde" w:eastAsia="Calibri" w:hAnsi="ITC Avant Garde" w:cs="Arial"/>
          <w:sz w:val="18"/>
          <w:szCs w:val="18"/>
        </w:rPr>
      </w:pPr>
      <w:r w:rsidRPr="00D631CA">
        <w:rPr>
          <w:rFonts w:ascii="ITC Avant Garde" w:eastAsia="Calibri" w:hAnsi="ITC Avant Garde" w:cs="Arial"/>
          <w:sz w:val="18"/>
          <w:szCs w:val="18"/>
        </w:rPr>
        <w:t xml:space="preserve">Tipo de Tesis: Aislada </w:t>
      </w:r>
    </w:p>
    <w:p w14:paraId="5D3A5B84" w14:textId="77777777" w:rsidR="00382941" w:rsidRPr="00D631CA" w:rsidRDefault="00382941" w:rsidP="00D631CA">
      <w:pPr>
        <w:spacing w:before="240"/>
        <w:ind w:left="567" w:right="900"/>
        <w:jc w:val="both"/>
        <w:rPr>
          <w:rFonts w:ascii="ITC Avant Garde" w:eastAsia="Calibri" w:hAnsi="ITC Avant Garde" w:cs="Arial"/>
          <w:sz w:val="18"/>
          <w:szCs w:val="18"/>
        </w:rPr>
      </w:pPr>
      <w:r w:rsidRPr="00D631CA">
        <w:rPr>
          <w:rFonts w:ascii="ITC Avant Garde" w:eastAsia="Calibri" w:hAnsi="ITC Avant Garde" w:cs="Arial"/>
          <w:sz w:val="18"/>
          <w:szCs w:val="18"/>
        </w:rPr>
        <w:t xml:space="preserve">Fuente: Semanario Judicial de la Federación y su Gaceta </w:t>
      </w:r>
    </w:p>
    <w:p w14:paraId="22D5C660" w14:textId="77777777" w:rsidR="00382941" w:rsidRPr="00D631CA" w:rsidRDefault="00382941" w:rsidP="00D631CA">
      <w:pPr>
        <w:spacing w:before="240"/>
        <w:ind w:left="567" w:right="900"/>
        <w:jc w:val="both"/>
        <w:rPr>
          <w:rFonts w:ascii="ITC Avant Garde" w:eastAsia="Calibri" w:hAnsi="ITC Avant Garde" w:cs="Arial"/>
          <w:sz w:val="18"/>
          <w:szCs w:val="18"/>
        </w:rPr>
      </w:pPr>
      <w:r w:rsidRPr="00D631CA">
        <w:rPr>
          <w:rFonts w:ascii="ITC Avant Garde" w:eastAsia="Calibri" w:hAnsi="ITC Avant Garde" w:cs="Arial"/>
          <w:sz w:val="18"/>
          <w:szCs w:val="18"/>
        </w:rPr>
        <w:t xml:space="preserve">Tomo XI, Junio de 2000 </w:t>
      </w:r>
    </w:p>
    <w:p w14:paraId="7E28082B" w14:textId="77777777" w:rsidR="00382941" w:rsidRPr="00D631CA" w:rsidRDefault="00382941" w:rsidP="00D631CA">
      <w:pPr>
        <w:spacing w:before="240"/>
        <w:ind w:left="567" w:right="900"/>
        <w:jc w:val="both"/>
        <w:rPr>
          <w:rFonts w:ascii="ITC Avant Garde" w:eastAsia="Calibri" w:hAnsi="ITC Avant Garde" w:cs="Arial"/>
          <w:sz w:val="18"/>
          <w:szCs w:val="18"/>
        </w:rPr>
      </w:pPr>
      <w:r w:rsidRPr="00D631CA">
        <w:rPr>
          <w:rFonts w:ascii="ITC Avant Garde" w:eastAsia="Calibri" w:hAnsi="ITC Avant Garde" w:cs="Arial"/>
          <w:sz w:val="18"/>
          <w:szCs w:val="18"/>
        </w:rPr>
        <w:t xml:space="preserve">Materia(s): Constitucional </w:t>
      </w:r>
    </w:p>
    <w:p w14:paraId="60CE5BC5" w14:textId="77777777" w:rsidR="00382941" w:rsidRPr="00D631CA" w:rsidRDefault="00382941" w:rsidP="00D631CA">
      <w:pPr>
        <w:spacing w:before="240"/>
        <w:ind w:left="567" w:right="900"/>
        <w:jc w:val="both"/>
        <w:rPr>
          <w:rFonts w:ascii="ITC Avant Garde" w:eastAsia="Calibri" w:hAnsi="ITC Avant Garde" w:cs="Arial"/>
          <w:sz w:val="18"/>
          <w:szCs w:val="18"/>
        </w:rPr>
      </w:pPr>
      <w:r w:rsidRPr="00D631CA">
        <w:rPr>
          <w:rFonts w:ascii="ITC Avant Garde" w:eastAsia="Calibri" w:hAnsi="ITC Avant Garde" w:cs="Arial"/>
          <w:sz w:val="18"/>
          <w:szCs w:val="18"/>
        </w:rPr>
        <w:lastRenderedPageBreak/>
        <w:t xml:space="preserve">Tesis: P. LXXXVIII/2000 </w:t>
      </w:r>
    </w:p>
    <w:p w14:paraId="0ED61278" w14:textId="77777777" w:rsidR="00D631CA" w:rsidRPr="00D631CA" w:rsidRDefault="00382941" w:rsidP="00D631CA">
      <w:pPr>
        <w:spacing w:before="240"/>
        <w:ind w:left="567" w:right="900"/>
        <w:jc w:val="both"/>
        <w:rPr>
          <w:rFonts w:ascii="ITC Avant Garde" w:eastAsia="Calibri" w:hAnsi="ITC Avant Garde" w:cs="Arial"/>
          <w:sz w:val="18"/>
          <w:szCs w:val="18"/>
        </w:rPr>
      </w:pPr>
      <w:r w:rsidRPr="00D631CA">
        <w:rPr>
          <w:rFonts w:ascii="ITC Avant Garde" w:eastAsia="Calibri" w:hAnsi="ITC Avant Garde" w:cs="Arial"/>
          <w:sz w:val="18"/>
          <w:szCs w:val="18"/>
        </w:rPr>
        <w:t xml:space="preserve">Página: 28 </w:t>
      </w:r>
    </w:p>
    <w:p w14:paraId="2128C940" w14:textId="77777777" w:rsidR="00D631CA" w:rsidRPr="00D631CA" w:rsidRDefault="00382941" w:rsidP="00D631CA">
      <w:pPr>
        <w:spacing w:before="240"/>
        <w:ind w:left="567" w:right="900"/>
        <w:jc w:val="both"/>
        <w:rPr>
          <w:rFonts w:ascii="ITC Avant Garde" w:eastAsia="Calibri" w:hAnsi="ITC Avant Garde" w:cs="Arial"/>
          <w:sz w:val="18"/>
          <w:szCs w:val="18"/>
        </w:rPr>
      </w:pPr>
      <w:r w:rsidRPr="00D631CA">
        <w:rPr>
          <w:rFonts w:ascii="ITC Avant Garde" w:eastAsia="Calibri" w:hAnsi="ITC Avant Garde" w:cs="Arial"/>
          <w:sz w:val="18"/>
          <w:szCs w:val="18"/>
        </w:rPr>
        <w:t>“</w:t>
      </w:r>
      <w:r w:rsidRPr="00D631CA">
        <w:rPr>
          <w:rFonts w:ascii="ITC Avant Garde" w:eastAsia="Calibri" w:hAnsi="ITC Avant Garde" w:cs="Arial"/>
          <w:b/>
          <w:sz w:val="18"/>
          <w:szCs w:val="18"/>
        </w:rPr>
        <w:t>LIBERTAD DE COMERCIO. ALCANCES DE LO DISPUESTO EN EL ARTÍCULO 5°. DE LA CONSTITUCIÓN FEDERAL</w:t>
      </w:r>
      <w:r w:rsidRPr="00D631CA">
        <w:rPr>
          <w:rFonts w:ascii="ITC Avant Garde" w:eastAsia="Calibri" w:hAnsi="ITC Avant Garde" w:cs="Arial"/>
          <w:sz w:val="18"/>
          <w:szCs w:val="18"/>
        </w:rPr>
        <w:t>. De la interpretación que esta Suprema Corte de Justicia de la Nación ha establecido sobre el artículo 5o. de la Constitución Política de los Estados Unidos Mexicanos, se desprende que, por un lado, la garantía de libre comercio no es absoluta, irrestricta e ilimitada, sino que requiere que la actividad que realice el gobernado sea lícita, es decir, que esté permitida por la ley; y, por el otro, que el propio precepto establece que su ejercicio sólo puede limitarse en dos supuestos: por determinación judicial, cuando se lesionen los derechos de tercero, o bien, por resolución gubernativa en los casos específicos que marque la ley, siempre y cuando se ofendan los derechos de la sociedad. Lo anterior implica que la garantía en cuestión será exigible en aquellos casos en que la actividad, aunque lícita, no afecte el interés público, entendido éste como el imperativo que subyace frente al derecho de los gobernados en lo individual que se traduce en la convivencia y bienestar social. En ese sentido, cuando a través de una resolución gubernativa se limite el ejercicio de la citada garantía, se requiere, necesariamente, que el ordenamiento que la restringe contenga un principio de razón legítima que sustente el interés de la sociedad y que tienda a proteger sus derechos.”</w:t>
      </w:r>
    </w:p>
    <w:p w14:paraId="07C9B449" w14:textId="458F2FC7" w:rsidR="00382941" w:rsidRPr="00D631CA" w:rsidRDefault="00382941" w:rsidP="00D631CA">
      <w:pPr>
        <w:spacing w:before="240"/>
        <w:ind w:left="567" w:right="900"/>
        <w:jc w:val="both"/>
        <w:rPr>
          <w:rFonts w:ascii="ITC Avant Garde" w:eastAsia="Calibri" w:hAnsi="ITC Avant Garde" w:cs="Arial"/>
          <w:sz w:val="18"/>
          <w:szCs w:val="18"/>
        </w:rPr>
      </w:pPr>
      <w:r w:rsidRPr="00D631CA">
        <w:rPr>
          <w:rFonts w:ascii="ITC Avant Garde" w:eastAsia="Calibri" w:hAnsi="ITC Avant Garde" w:cs="Arial"/>
          <w:sz w:val="18"/>
          <w:szCs w:val="18"/>
        </w:rPr>
        <w:t xml:space="preserve">Amparo en revisión 2352/97. </w:t>
      </w:r>
      <w:proofErr w:type="spellStart"/>
      <w:r w:rsidRPr="00D631CA">
        <w:rPr>
          <w:rFonts w:ascii="ITC Avant Garde" w:eastAsia="Calibri" w:hAnsi="ITC Avant Garde" w:cs="Arial"/>
          <w:sz w:val="18"/>
          <w:szCs w:val="18"/>
        </w:rPr>
        <w:t>United</w:t>
      </w:r>
      <w:proofErr w:type="spellEnd"/>
      <w:r w:rsidRPr="00D631CA">
        <w:rPr>
          <w:rFonts w:ascii="ITC Avant Garde" w:eastAsia="Calibri" w:hAnsi="ITC Avant Garde" w:cs="Arial"/>
          <w:sz w:val="18"/>
          <w:szCs w:val="18"/>
        </w:rPr>
        <w:t xml:space="preserve"> International </w:t>
      </w:r>
      <w:proofErr w:type="spellStart"/>
      <w:r w:rsidRPr="00D631CA">
        <w:rPr>
          <w:rFonts w:ascii="ITC Avant Garde" w:eastAsia="Calibri" w:hAnsi="ITC Avant Garde" w:cs="Arial"/>
          <w:sz w:val="18"/>
          <w:szCs w:val="18"/>
        </w:rPr>
        <w:t>Pictures</w:t>
      </w:r>
      <w:proofErr w:type="spellEnd"/>
      <w:r w:rsidRPr="00D631CA">
        <w:rPr>
          <w:rFonts w:ascii="ITC Avant Garde" w:eastAsia="Calibri" w:hAnsi="ITC Avant Garde" w:cs="Arial"/>
          <w:sz w:val="18"/>
          <w:szCs w:val="18"/>
        </w:rPr>
        <w:t xml:space="preserve">, S. de R.L. 6 de marzo de 2000. Mayoría de ocho votos. Disidentes: Presidente Genaro David Góngora Pimentel, José Vicente </w:t>
      </w:r>
      <w:proofErr w:type="spellStart"/>
      <w:r w:rsidRPr="00D631CA">
        <w:rPr>
          <w:rFonts w:ascii="ITC Avant Garde" w:eastAsia="Calibri" w:hAnsi="ITC Avant Garde" w:cs="Arial"/>
          <w:sz w:val="18"/>
          <w:szCs w:val="18"/>
        </w:rPr>
        <w:t>Aguinaco</w:t>
      </w:r>
      <w:proofErr w:type="spellEnd"/>
      <w:r w:rsidRPr="00D631CA">
        <w:rPr>
          <w:rFonts w:ascii="ITC Avant Garde" w:eastAsia="Calibri" w:hAnsi="ITC Avant Garde" w:cs="Arial"/>
          <w:sz w:val="18"/>
          <w:szCs w:val="18"/>
        </w:rPr>
        <w:t xml:space="preserve"> Alemán y Olga Sánchez Cordero de García Villegas. Ponente: Sergio Salvador Aguirre Anguiano. Secretario: Eduardo Ferrer Mac </w:t>
      </w:r>
      <w:proofErr w:type="spellStart"/>
      <w:r w:rsidRPr="00D631CA">
        <w:rPr>
          <w:rFonts w:ascii="ITC Avant Garde" w:eastAsia="Calibri" w:hAnsi="ITC Avant Garde" w:cs="Arial"/>
          <w:sz w:val="18"/>
          <w:szCs w:val="18"/>
        </w:rPr>
        <w:t>Gregor</w:t>
      </w:r>
      <w:proofErr w:type="spellEnd"/>
      <w:r w:rsidRPr="00D631CA">
        <w:rPr>
          <w:rFonts w:ascii="ITC Avant Garde" w:eastAsia="Calibri" w:hAnsi="ITC Avant Garde" w:cs="Arial"/>
          <w:sz w:val="18"/>
          <w:szCs w:val="18"/>
        </w:rPr>
        <w:t xml:space="preserve"> </w:t>
      </w:r>
      <w:proofErr w:type="spellStart"/>
      <w:r w:rsidRPr="00D631CA">
        <w:rPr>
          <w:rFonts w:ascii="ITC Avant Garde" w:eastAsia="Calibri" w:hAnsi="ITC Avant Garde" w:cs="Arial"/>
          <w:sz w:val="18"/>
          <w:szCs w:val="18"/>
        </w:rPr>
        <w:t>Poisot</w:t>
      </w:r>
      <w:proofErr w:type="spellEnd"/>
      <w:r w:rsidRPr="00D631CA">
        <w:rPr>
          <w:rFonts w:ascii="ITC Avant Garde" w:eastAsia="Calibri" w:hAnsi="ITC Avant Garde" w:cs="Arial"/>
          <w:sz w:val="18"/>
          <w:szCs w:val="18"/>
        </w:rPr>
        <w:t>.</w:t>
      </w:r>
    </w:p>
    <w:p w14:paraId="5F6E8FCF" w14:textId="77777777" w:rsidR="00D631CA" w:rsidRPr="00D631CA" w:rsidRDefault="00382941" w:rsidP="00D631CA">
      <w:pPr>
        <w:spacing w:before="240"/>
        <w:ind w:left="567" w:right="900"/>
        <w:jc w:val="both"/>
        <w:rPr>
          <w:rFonts w:ascii="ITC Avant Garde" w:eastAsia="Calibri" w:hAnsi="ITC Avant Garde" w:cs="Arial"/>
          <w:sz w:val="18"/>
          <w:szCs w:val="18"/>
        </w:rPr>
      </w:pPr>
      <w:r w:rsidRPr="00D631CA">
        <w:rPr>
          <w:rFonts w:ascii="ITC Avant Garde" w:eastAsia="Calibri" w:hAnsi="ITC Avant Garde" w:cs="Arial"/>
          <w:sz w:val="18"/>
          <w:szCs w:val="18"/>
        </w:rPr>
        <w:t xml:space="preserve">Amparo en revisión 222/98. </w:t>
      </w:r>
      <w:proofErr w:type="spellStart"/>
      <w:r w:rsidRPr="00D631CA">
        <w:rPr>
          <w:rFonts w:ascii="ITC Avant Garde" w:eastAsia="Calibri" w:hAnsi="ITC Avant Garde" w:cs="Arial"/>
          <w:sz w:val="18"/>
          <w:szCs w:val="18"/>
        </w:rPr>
        <w:t>Twentieth</w:t>
      </w:r>
      <w:proofErr w:type="spellEnd"/>
      <w:r w:rsidRPr="00D631CA">
        <w:rPr>
          <w:rFonts w:ascii="ITC Avant Garde" w:eastAsia="Calibri" w:hAnsi="ITC Avant Garde" w:cs="Arial"/>
          <w:sz w:val="18"/>
          <w:szCs w:val="18"/>
        </w:rPr>
        <w:t xml:space="preserve"> Century Fox Film de México, S.A. 6 de marzo de 2000. Mayoría de ocho votos. Disidentes: Presidente Genaro David Góngora Pimentel, José Vicente </w:t>
      </w:r>
      <w:proofErr w:type="spellStart"/>
      <w:r w:rsidRPr="00D631CA">
        <w:rPr>
          <w:rFonts w:ascii="ITC Avant Garde" w:eastAsia="Calibri" w:hAnsi="ITC Avant Garde" w:cs="Arial"/>
          <w:sz w:val="18"/>
          <w:szCs w:val="18"/>
        </w:rPr>
        <w:t>Aguinaco</w:t>
      </w:r>
      <w:proofErr w:type="spellEnd"/>
      <w:r w:rsidRPr="00D631CA">
        <w:rPr>
          <w:rFonts w:ascii="ITC Avant Garde" w:eastAsia="Calibri" w:hAnsi="ITC Avant Garde" w:cs="Arial"/>
          <w:sz w:val="18"/>
          <w:szCs w:val="18"/>
        </w:rPr>
        <w:t xml:space="preserve"> Alemán y Olga Sánchez Cordero de García Villegas. Ponente: Guillermo I. Ortiz </w:t>
      </w:r>
      <w:proofErr w:type="spellStart"/>
      <w:r w:rsidRPr="00D631CA">
        <w:rPr>
          <w:rFonts w:ascii="ITC Avant Garde" w:eastAsia="Calibri" w:hAnsi="ITC Avant Garde" w:cs="Arial"/>
          <w:sz w:val="18"/>
          <w:szCs w:val="18"/>
        </w:rPr>
        <w:t>Mayagoitia</w:t>
      </w:r>
      <w:proofErr w:type="spellEnd"/>
      <w:r w:rsidRPr="00D631CA">
        <w:rPr>
          <w:rFonts w:ascii="ITC Avant Garde" w:eastAsia="Calibri" w:hAnsi="ITC Avant Garde" w:cs="Arial"/>
          <w:sz w:val="18"/>
          <w:szCs w:val="18"/>
        </w:rPr>
        <w:t>. Secretario: Alfredo E. Báez López.</w:t>
      </w:r>
    </w:p>
    <w:p w14:paraId="3B909A45" w14:textId="77777777" w:rsidR="00D631CA" w:rsidRPr="00D631CA" w:rsidRDefault="00382941" w:rsidP="00D631CA">
      <w:pPr>
        <w:spacing w:before="240"/>
        <w:ind w:left="567" w:right="900"/>
        <w:jc w:val="both"/>
        <w:rPr>
          <w:rFonts w:ascii="ITC Avant Garde" w:eastAsia="Calibri" w:hAnsi="ITC Avant Garde" w:cs="Arial"/>
          <w:sz w:val="18"/>
          <w:szCs w:val="18"/>
        </w:rPr>
      </w:pPr>
      <w:r w:rsidRPr="00D631CA">
        <w:rPr>
          <w:rFonts w:ascii="ITC Avant Garde" w:eastAsia="Calibri" w:hAnsi="ITC Avant Garde" w:cs="Arial"/>
          <w:sz w:val="18"/>
          <w:szCs w:val="18"/>
        </w:rPr>
        <w:t xml:space="preserve">Amparo en revisión 2231/98. Buena Vista Columbia </w:t>
      </w:r>
      <w:proofErr w:type="spellStart"/>
      <w:r w:rsidRPr="00D631CA">
        <w:rPr>
          <w:rFonts w:ascii="ITC Avant Garde" w:eastAsia="Calibri" w:hAnsi="ITC Avant Garde" w:cs="Arial"/>
          <w:sz w:val="18"/>
          <w:szCs w:val="18"/>
        </w:rPr>
        <w:t>Tristar</w:t>
      </w:r>
      <w:proofErr w:type="spellEnd"/>
      <w:r w:rsidRPr="00D631CA">
        <w:rPr>
          <w:rFonts w:ascii="ITC Avant Garde" w:eastAsia="Calibri" w:hAnsi="ITC Avant Garde" w:cs="Arial"/>
          <w:sz w:val="18"/>
          <w:szCs w:val="18"/>
        </w:rPr>
        <w:t xml:space="preserve"> Films de México, S. de R.L. de C.V. 6 de marzo de 2000. Mayoría de ocho votos. Disidentes: Presidente Genaro David Góngora Pimentel, José Vicente </w:t>
      </w:r>
      <w:proofErr w:type="spellStart"/>
      <w:r w:rsidRPr="00D631CA">
        <w:rPr>
          <w:rFonts w:ascii="ITC Avant Garde" w:eastAsia="Calibri" w:hAnsi="ITC Avant Garde" w:cs="Arial"/>
          <w:sz w:val="18"/>
          <w:szCs w:val="18"/>
        </w:rPr>
        <w:t>Aguinaco</w:t>
      </w:r>
      <w:proofErr w:type="spellEnd"/>
      <w:r w:rsidRPr="00D631CA">
        <w:rPr>
          <w:rFonts w:ascii="ITC Avant Garde" w:eastAsia="Calibri" w:hAnsi="ITC Avant Garde" w:cs="Arial"/>
          <w:sz w:val="18"/>
          <w:szCs w:val="18"/>
        </w:rPr>
        <w:t xml:space="preserve"> Alemán y Olga Sánchez Cordero de García Villegas. Ponente: Guillermo I. Ortiz </w:t>
      </w:r>
      <w:proofErr w:type="spellStart"/>
      <w:r w:rsidRPr="00D631CA">
        <w:rPr>
          <w:rFonts w:ascii="ITC Avant Garde" w:eastAsia="Calibri" w:hAnsi="ITC Avant Garde" w:cs="Arial"/>
          <w:sz w:val="18"/>
          <w:szCs w:val="18"/>
        </w:rPr>
        <w:t>Mayagoitia</w:t>
      </w:r>
      <w:proofErr w:type="spellEnd"/>
      <w:r w:rsidRPr="00D631CA">
        <w:rPr>
          <w:rFonts w:ascii="ITC Avant Garde" w:eastAsia="Calibri" w:hAnsi="ITC Avant Garde" w:cs="Arial"/>
          <w:sz w:val="18"/>
          <w:szCs w:val="18"/>
        </w:rPr>
        <w:t>. Secretario: Alfredo E. Báez López.</w:t>
      </w:r>
    </w:p>
    <w:p w14:paraId="50B4A76B" w14:textId="77777777" w:rsidR="00D631CA" w:rsidRPr="00D631CA" w:rsidRDefault="00382941" w:rsidP="00D631CA">
      <w:pPr>
        <w:spacing w:before="240"/>
        <w:ind w:left="567" w:right="900"/>
        <w:jc w:val="both"/>
        <w:rPr>
          <w:rFonts w:ascii="ITC Avant Garde" w:eastAsia="Calibri" w:hAnsi="ITC Avant Garde" w:cs="Arial"/>
          <w:sz w:val="18"/>
          <w:szCs w:val="18"/>
        </w:rPr>
      </w:pPr>
      <w:r w:rsidRPr="00D631CA">
        <w:rPr>
          <w:rFonts w:ascii="ITC Avant Garde" w:eastAsia="Calibri" w:hAnsi="ITC Avant Garde" w:cs="Arial"/>
          <w:sz w:val="18"/>
          <w:szCs w:val="18"/>
        </w:rPr>
        <w:t>El Tribunal Pleno, en su sesión privada celebrada hoy veintinueve de mayo en curso, aprobó, con el número LXXXVIII/2000, la tesis aislada que antecede; y determinó que la votación es idónea para integrar tesis jurisprudencial. México, Distrito Federal, a veintinueve de mayo de dos mil.</w:t>
      </w:r>
    </w:p>
    <w:p w14:paraId="13BED784" w14:textId="77777777" w:rsidR="00D631CA" w:rsidRPr="00D631CA" w:rsidRDefault="00382941" w:rsidP="00D631CA">
      <w:pPr>
        <w:spacing w:before="240"/>
        <w:jc w:val="both"/>
        <w:rPr>
          <w:rFonts w:ascii="ITC Avant Garde" w:eastAsia="Calibri" w:hAnsi="ITC Avant Garde" w:cs="Arial"/>
        </w:rPr>
      </w:pPr>
      <w:r w:rsidRPr="00D631CA">
        <w:rPr>
          <w:rFonts w:ascii="ITC Avant Garde" w:eastAsia="Calibri" w:hAnsi="ITC Avant Garde" w:cs="Arial"/>
        </w:rPr>
        <w:t>En consecuencia las libertades aludidas no son irrestrictas, menos aun tratándose de servicios públicos concesionados, al preverse restricciones se concluye que se trata de limitación más no privación, a la libertad contractual y a la libertad de comercio de la Recurrente se encuentra prevista desde la Constitución, por lo que no se vulnera el artículo 5 Constitucional en perjuicio de la Recurrente.</w:t>
      </w:r>
    </w:p>
    <w:p w14:paraId="1A0AE59D" w14:textId="77777777" w:rsidR="00D631CA" w:rsidRPr="00D631CA" w:rsidRDefault="00382941" w:rsidP="00D631CA">
      <w:pPr>
        <w:spacing w:before="240"/>
        <w:jc w:val="both"/>
        <w:rPr>
          <w:rFonts w:ascii="ITC Avant Garde" w:eastAsia="Calibri" w:hAnsi="ITC Avant Garde" w:cs="Arial"/>
        </w:rPr>
      </w:pPr>
      <w:r w:rsidRPr="00D631CA">
        <w:rPr>
          <w:rFonts w:ascii="ITC Avant Garde" w:eastAsia="Calibri" w:hAnsi="ITC Avant Garde" w:cs="Arial"/>
        </w:rPr>
        <w:lastRenderedPageBreak/>
        <w:t>Asimismo, cabe hacer notar que la Recurrente en su carácter de concesionario, siendo el acto jurídico de la concesión un acto administrativo por medio del cual se permite a los particulares el uso, explotación y goce de los bienes de dominio público o la prestación de un servicio público, acto administrativo que habilita al particular para la asunción de una actividad propia del estado o la explotación de un bien de dominio público, bajo determinadas condiciones y directrices a las que se encuentra sujeto necesariamente el concesionario derivado del acto mismo de la concesión, por lo que en caso de no ceñirse a los lineamientos y condiciones impuestos se encuentra ante una causal de revocación del títulos de concesión.</w:t>
      </w:r>
    </w:p>
    <w:p w14:paraId="32DA375D" w14:textId="77777777" w:rsidR="00D631CA" w:rsidRPr="00D631CA" w:rsidRDefault="00382941" w:rsidP="00D631CA">
      <w:pPr>
        <w:spacing w:before="240"/>
        <w:jc w:val="both"/>
        <w:rPr>
          <w:rFonts w:ascii="ITC Avant Garde" w:eastAsia="Calibri" w:hAnsi="ITC Avant Garde" w:cs="Arial"/>
        </w:rPr>
      </w:pPr>
      <w:r w:rsidRPr="00D631CA">
        <w:rPr>
          <w:rFonts w:ascii="ITC Avant Garde" w:eastAsia="Calibri" w:hAnsi="ITC Avant Garde" w:cs="Arial"/>
        </w:rPr>
        <w:t>En México la concesión no implica el condicionamiento de derechos subjetivos, sino la cesión a los particulares de ciertos bienes de dominio de la nación para su explotación por parte de particulares, o bien la cesión de servicios públicos propios del Estado, pero que no son de naturaleza exclusiva en cuanto a su prestación y tutoría.</w:t>
      </w:r>
    </w:p>
    <w:p w14:paraId="7C9AD755" w14:textId="77777777" w:rsidR="00D631CA" w:rsidRPr="00D631CA" w:rsidRDefault="00382941" w:rsidP="00D631CA">
      <w:pPr>
        <w:spacing w:before="240"/>
        <w:jc w:val="both"/>
        <w:rPr>
          <w:rFonts w:ascii="ITC Avant Garde" w:eastAsia="Calibri" w:hAnsi="ITC Avant Garde" w:cs="Arial"/>
        </w:rPr>
      </w:pPr>
      <w:r w:rsidRPr="00D631CA">
        <w:rPr>
          <w:rFonts w:ascii="ITC Avant Garde" w:eastAsia="Calibri" w:hAnsi="ITC Avant Garde" w:cs="Arial"/>
        </w:rPr>
        <w:t>En ese sentido se pueden distinguir la concesión de bienes del dominio de la nación y la concesión de servicios públicos aunque también existen concesiones mixtas es decir que implican la cesión de bienes de dominio de la nación y al mismo tiempo la prestación de servicios propios del Estado, pero no de manera exclusiva.</w:t>
      </w:r>
    </w:p>
    <w:p w14:paraId="521F0DE5" w14:textId="77777777" w:rsidR="00D631CA" w:rsidRPr="00D631CA" w:rsidRDefault="00382941" w:rsidP="00D631CA">
      <w:pPr>
        <w:spacing w:before="240"/>
        <w:jc w:val="both"/>
        <w:rPr>
          <w:rFonts w:ascii="ITC Avant Garde" w:eastAsia="Calibri" w:hAnsi="ITC Avant Garde" w:cs="Arial"/>
        </w:rPr>
      </w:pPr>
      <w:r w:rsidRPr="00D631CA">
        <w:rPr>
          <w:rFonts w:ascii="ITC Avant Garde" w:eastAsia="Calibri" w:hAnsi="ITC Avant Garde" w:cs="Arial"/>
        </w:rPr>
        <w:t>En ese orden de ideas, en el caso concreto la regulación de la interconexión de redes y la consecuente facultad de la entonces Comisión Federal de Telecomunicaciones para determinar condiciones de interconexión no convenidas entre los concesionarios para la interconexión de sus redes públicas de telecomunicaciones, constituye una serie de condicionamientos y lineamientos que en su caso deberán adoptarse por la parte Recurrente, en su calidad de concesionario, a fin de que evite cualquier afectación a la interconexión de redes en perjuicio de los usuarios de dichas redes.</w:t>
      </w:r>
    </w:p>
    <w:p w14:paraId="188C560D" w14:textId="77777777" w:rsidR="00D631CA" w:rsidRPr="00D631CA" w:rsidRDefault="00382941" w:rsidP="00D631CA">
      <w:pPr>
        <w:spacing w:before="240"/>
        <w:jc w:val="both"/>
        <w:rPr>
          <w:rFonts w:ascii="ITC Avant Garde" w:eastAsia="Calibri" w:hAnsi="ITC Avant Garde" w:cs="Arial"/>
        </w:rPr>
      </w:pPr>
      <w:r w:rsidRPr="00D631CA">
        <w:rPr>
          <w:rFonts w:ascii="ITC Avant Garde" w:eastAsia="Calibri" w:hAnsi="ITC Avant Garde" w:cs="Arial"/>
        </w:rPr>
        <w:t>Al respecto resulta aplicable la siguiente tesis jurisprudencial, que dispone:</w:t>
      </w:r>
    </w:p>
    <w:p w14:paraId="6BB12A95" w14:textId="0C64F80A"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Registro No. 170843</w:t>
      </w:r>
    </w:p>
    <w:p w14:paraId="06BB81A8" w14:textId="77777777"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 xml:space="preserve">Localización: </w:t>
      </w:r>
    </w:p>
    <w:p w14:paraId="6269B051" w14:textId="77777777"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Novena Época</w:t>
      </w:r>
    </w:p>
    <w:p w14:paraId="0B9E0CAA" w14:textId="77777777"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Instancia: Pleno</w:t>
      </w:r>
    </w:p>
    <w:p w14:paraId="49588530" w14:textId="77777777"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Fuente: Semanario Judicial de la Federación y su Gaceta XXVI, Diciembre de 2007</w:t>
      </w:r>
    </w:p>
    <w:p w14:paraId="63FA5B73" w14:textId="77777777"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Página: 960</w:t>
      </w:r>
    </w:p>
    <w:p w14:paraId="169342E4" w14:textId="77777777"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lastRenderedPageBreak/>
        <w:t>Tesis: P</w:t>
      </w:r>
      <w:proofErr w:type="gramStart"/>
      <w:r w:rsidRPr="00D631CA">
        <w:rPr>
          <w:rFonts w:ascii="ITC Avant Garde" w:hAnsi="ITC Avant Garde" w:cs="Arial"/>
          <w:sz w:val="18"/>
          <w:szCs w:val="18"/>
        </w:rPr>
        <w:t>./</w:t>
      </w:r>
      <w:proofErr w:type="gramEnd"/>
      <w:r w:rsidRPr="00D631CA">
        <w:rPr>
          <w:rFonts w:ascii="ITC Avant Garde" w:hAnsi="ITC Avant Garde" w:cs="Arial"/>
          <w:sz w:val="18"/>
          <w:szCs w:val="18"/>
        </w:rPr>
        <w:t>J. 50/2007</w:t>
      </w:r>
    </w:p>
    <w:p w14:paraId="297B95E6" w14:textId="77777777" w:rsidR="00D631CA"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Jurisprudencia</w:t>
      </w:r>
      <w:r w:rsidR="00704A65" w:rsidRPr="00D631CA">
        <w:rPr>
          <w:rFonts w:ascii="ITC Avant Garde" w:hAnsi="ITC Avant Garde" w:cs="Arial"/>
          <w:sz w:val="18"/>
          <w:szCs w:val="18"/>
        </w:rPr>
        <w:t xml:space="preserve"> </w:t>
      </w:r>
      <w:r w:rsidRPr="00D631CA">
        <w:rPr>
          <w:rFonts w:ascii="ITC Avant Garde" w:hAnsi="ITC Avant Garde" w:cs="Arial"/>
          <w:sz w:val="18"/>
          <w:szCs w:val="18"/>
        </w:rPr>
        <w:t>Materia(s): Constitucional, Administrativa</w:t>
      </w:r>
    </w:p>
    <w:p w14:paraId="7650B86D" w14:textId="77777777" w:rsidR="00D631CA"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b/>
          <w:sz w:val="18"/>
          <w:szCs w:val="18"/>
        </w:rPr>
        <w:t xml:space="preserve">“COMISIÓN FEDERAL DE TELECOMUNICACIONES. EL ARTÍCULO 9º.-A, FRACCIÓN XI, DE LA LEY FEDERAL DE TELECOMUNICACIONES, QUE PREVÉ SUS FACULTADES DISCRECIONALES PARA ESTABLECER OBLIGACIONES ESPECÍFICAS RELACIONADAS CON TARIFAS, CALIDAD DE SERVICIO E INFORMACIÓN A CIERTOS CONCESIONARIOS, NO VIOLA EL PRINCIPIO DE LEGALIDAD. </w:t>
      </w:r>
      <w:r w:rsidRPr="00D631CA">
        <w:rPr>
          <w:rFonts w:ascii="ITC Avant Garde" w:hAnsi="ITC Avant Garde" w:cs="Arial"/>
          <w:sz w:val="18"/>
          <w:szCs w:val="18"/>
        </w:rPr>
        <w:t>El mencionado principio, contenido en el artículo 16 de la Constitución Política de los Estados Unidos Mexicanos, establece que las autoridades sólo pueden actuar cuando la ley se los permite, en la forma y términos determinados por ésta. Ahora bien, las facultades discrecionales de la autoridad administrativa pueden estar expresamente señaladas en la ley, o bien, encontrarse implícitamente contenidas en el marco regulatorio que la rige, caracterizándose aquéllas por la libertad de apreciación que se otorga a la autoridad para actuar o abstenerse de hacerlo, con el propósito de lograr la finalidad que la ley señale. Esto es, la autoridad podrá elegir el tiempo y circunstancias en que aplica la ley, sin que ello suponga una autorización legislativa para una actuación arbitraria, pues sus actos estarán siempre acotados por los lineamientos que la ley establece y sujetos a los requisitos constitucionales de fundamentación y motivación. En tal virtud, el artículo 9o.-A, fracción XI, de la Ley Federal de Telecomunicaciones, que prevé la facultad discrecional de la Comisión Federal de Telecomunicaciones para establecer obligaciones específicas relacionadas con tarifas, calidad de servicio e información, no viola el mencionado principio de legalidad, pues dicha facultad se entiende acotada por la norma misma, que limita la materia respecto de la cual ésta se concede, esto es, tarifas, calidad de servicio e información, impidiendo con ello que los concesionarios queden en estado de incertidumbre respecto a los aspectos sobre los que se podrán imponer las obligaciones específicas.”</w:t>
      </w:r>
    </w:p>
    <w:p w14:paraId="153E797C" w14:textId="053250C1"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Acción de inconstitucionalidad 26/2006. Senadores integrantes de la Quincuagésima Novena Legislatura del Congreso de la Unión. 7 de junio de 2007. Unanimidad de nueve votos. Ausente: José de Jesús Gudiño Pelayo. Impedido: José Ramón Cossío Díaz. Ponente: Sergio Salvador Aguirre Anguiano. Secretarias: Andrea Zambrana Castañeda, Lourdes Ferrer Mac-</w:t>
      </w:r>
      <w:proofErr w:type="spellStart"/>
      <w:r w:rsidRPr="00D631CA">
        <w:rPr>
          <w:rFonts w:ascii="ITC Avant Garde" w:hAnsi="ITC Avant Garde" w:cs="Arial"/>
          <w:sz w:val="18"/>
          <w:szCs w:val="18"/>
        </w:rPr>
        <w:t>Gregor</w:t>
      </w:r>
      <w:proofErr w:type="spellEnd"/>
      <w:r w:rsidRPr="00D631CA">
        <w:rPr>
          <w:rFonts w:ascii="ITC Avant Garde" w:hAnsi="ITC Avant Garde" w:cs="Arial"/>
          <w:sz w:val="18"/>
          <w:szCs w:val="18"/>
        </w:rPr>
        <w:t xml:space="preserve"> </w:t>
      </w:r>
      <w:proofErr w:type="spellStart"/>
      <w:r w:rsidRPr="00D631CA">
        <w:rPr>
          <w:rFonts w:ascii="ITC Avant Garde" w:hAnsi="ITC Avant Garde" w:cs="Arial"/>
          <w:sz w:val="18"/>
          <w:szCs w:val="18"/>
        </w:rPr>
        <w:t>Poisot</w:t>
      </w:r>
      <w:proofErr w:type="spellEnd"/>
      <w:r w:rsidRPr="00D631CA">
        <w:rPr>
          <w:rFonts w:ascii="ITC Avant Garde" w:hAnsi="ITC Avant Garde" w:cs="Arial"/>
          <w:sz w:val="18"/>
          <w:szCs w:val="18"/>
        </w:rPr>
        <w:t xml:space="preserve"> y María Estela Ferrer Mac </w:t>
      </w:r>
      <w:proofErr w:type="spellStart"/>
      <w:r w:rsidRPr="00D631CA">
        <w:rPr>
          <w:rFonts w:ascii="ITC Avant Garde" w:hAnsi="ITC Avant Garde" w:cs="Arial"/>
          <w:sz w:val="18"/>
          <w:szCs w:val="18"/>
        </w:rPr>
        <w:t>Gregor</w:t>
      </w:r>
      <w:proofErr w:type="spellEnd"/>
      <w:r w:rsidRPr="00D631CA">
        <w:rPr>
          <w:rFonts w:ascii="ITC Avant Garde" w:hAnsi="ITC Avant Garde" w:cs="Arial"/>
          <w:sz w:val="18"/>
          <w:szCs w:val="18"/>
        </w:rPr>
        <w:t xml:space="preserve"> </w:t>
      </w:r>
      <w:proofErr w:type="spellStart"/>
      <w:r w:rsidRPr="00D631CA">
        <w:rPr>
          <w:rFonts w:ascii="ITC Avant Garde" w:hAnsi="ITC Avant Garde" w:cs="Arial"/>
          <w:sz w:val="18"/>
          <w:szCs w:val="18"/>
        </w:rPr>
        <w:t>Poisot</w:t>
      </w:r>
      <w:proofErr w:type="spellEnd"/>
      <w:r w:rsidRPr="00D631CA">
        <w:rPr>
          <w:rFonts w:ascii="ITC Avant Garde" w:hAnsi="ITC Avant Garde" w:cs="Arial"/>
          <w:sz w:val="18"/>
          <w:szCs w:val="18"/>
        </w:rPr>
        <w:t xml:space="preserve"> El Tribunal Pleno, el quince de octubre en curso, aprobó, con el número 50/2007, la tesis jurisprudencial que antecede. México, Distrito Federal, a quince de octubre de dos mil siete.</w:t>
      </w:r>
    </w:p>
    <w:p w14:paraId="18C73A14" w14:textId="77777777"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 xml:space="preserve">Ejecutoria: </w:t>
      </w:r>
    </w:p>
    <w:p w14:paraId="2E0BD54D" w14:textId="77777777"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 xml:space="preserve">1.- Registro No. </w:t>
      </w:r>
      <w:hyperlink r:id="rId15" w:history="1">
        <w:r w:rsidRPr="00D631CA">
          <w:rPr>
            <w:rFonts w:ascii="ITC Avant Garde" w:hAnsi="ITC Avant Garde" w:cs="Arial"/>
            <w:sz w:val="18"/>
            <w:szCs w:val="18"/>
          </w:rPr>
          <w:t>20382</w:t>
        </w:r>
      </w:hyperlink>
    </w:p>
    <w:p w14:paraId="1702C21E" w14:textId="77777777"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Asunto: ACCIÓN DE INCONSTITUCIONALIDAD 26/2006.</w:t>
      </w:r>
    </w:p>
    <w:p w14:paraId="5FDDB5E3" w14:textId="77777777" w:rsidR="00382941" w:rsidRPr="00D631CA" w:rsidRDefault="00382941" w:rsidP="00D631CA">
      <w:pPr>
        <w:spacing w:before="240"/>
        <w:ind w:left="567" w:right="900"/>
        <w:jc w:val="both"/>
        <w:rPr>
          <w:rFonts w:ascii="ITC Avant Garde" w:hAnsi="ITC Avant Garde" w:cs="Arial"/>
          <w:sz w:val="18"/>
          <w:szCs w:val="18"/>
        </w:rPr>
      </w:pPr>
      <w:proofErr w:type="spellStart"/>
      <w:r w:rsidRPr="00D631CA">
        <w:rPr>
          <w:rFonts w:ascii="ITC Avant Garde" w:hAnsi="ITC Avant Garde" w:cs="Arial"/>
          <w:sz w:val="18"/>
          <w:szCs w:val="18"/>
        </w:rPr>
        <w:t>Promovente</w:t>
      </w:r>
      <w:proofErr w:type="spellEnd"/>
      <w:r w:rsidRPr="00D631CA">
        <w:rPr>
          <w:rFonts w:ascii="ITC Avant Garde" w:hAnsi="ITC Avant Garde" w:cs="Arial"/>
          <w:sz w:val="18"/>
          <w:szCs w:val="18"/>
        </w:rPr>
        <w:t>: SENADORES INTEGRANTES DE LA QUINCUAGÉSIMA NOVENA LEGISLATURA DEL CONGRESO DE LA UNIÓN.</w:t>
      </w:r>
    </w:p>
    <w:p w14:paraId="15EEB489" w14:textId="77777777" w:rsidR="00D631CA"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Localización: 9a. Época; Pleno; S.J.F. y su Gaceta; XXVI, Septiembre de 2007; Pág. 1623.</w:t>
      </w:r>
    </w:p>
    <w:p w14:paraId="235CAF85" w14:textId="77777777" w:rsidR="00D631CA" w:rsidRPr="00D631CA" w:rsidRDefault="00382941" w:rsidP="00D631CA">
      <w:pPr>
        <w:spacing w:before="240"/>
        <w:jc w:val="both"/>
        <w:rPr>
          <w:rFonts w:ascii="ITC Avant Garde" w:eastAsia="Times New Roman" w:hAnsi="ITC Avant Garde" w:cs="Arial"/>
          <w:bCs/>
          <w:lang w:val="es-ES" w:eastAsia="es-MX"/>
        </w:rPr>
      </w:pPr>
      <w:r w:rsidRPr="00D631CA">
        <w:rPr>
          <w:rFonts w:ascii="ITC Avant Garde" w:eastAsia="Times New Roman" w:hAnsi="ITC Avant Garde" w:cs="Arial"/>
          <w:bCs/>
          <w:lang w:val="es-ES" w:eastAsia="es-MX"/>
        </w:rPr>
        <w:t>En la especie estamos ante una facultad discrecional que otorga el propio ordenamiento jurídico, al respecto resulta ilustrativa la siguiente tesis que a la letra dispone:</w:t>
      </w:r>
    </w:p>
    <w:p w14:paraId="11627BB9" w14:textId="77777777" w:rsidR="00D631CA" w:rsidRPr="00D631CA" w:rsidRDefault="00382941" w:rsidP="00D631CA">
      <w:pPr>
        <w:autoSpaceDE w:val="0"/>
        <w:autoSpaceDN w:val="0"/>
        <w:adjustRightInd w:val="0"/>
        <w:spacing w:before="240"/>
        <w:ind w:left="567" w:right="900"/>
        <w:jc w:val="both"/>
        <w:rPr>
          <w:rFonts w:ascii="ITC Avant Garde" w:hAnsi="ITC Avant Garde" w:cs="Arial"/>
          <w:bCs/>
          <w:sz w:val="18"/>
          <w:szCs w:val="18"/>
        </w:rPr>
      </w:pPr>
      <w:r w:rsidRPr="00D631CA">
        <w:rPr>
          <w:rFonts w:ascii="ITC Avant Garde" w:hAnsi="ITC Avant Garde" w:cs="Arial"/>
          <w:b/>
          <w:bCs/>
          <w:sz w:val="18"/>
          <w:szCs w:val="18"/>
        </w:rPr>
        <w:lastRenderedPageBreak/>
        <w:t xml:space="preserve">“FACULTADES DISCRECIONALES Y REGLADAS. DIFERENCIAS.- </w:t>
      </w:r>
      <w:r w:rsidRPr="00D631CA">
        <w:rPr>
          <w:rFonts w:ascii="ITC Avant Garde" w:hAnsi="ITC Avant Garde" w:cs="Arial"/>
          <w:bCs/>
          <w:sz w:val="18"/>
          <w:szCs w:val="18"/>
        </w:rPr>
        <w:t>Para determinar si la autoridad goza de facultades discrecionales o regladas debe atenderse al contenido de la norma legal que las confiere</w:t>
      </w:r>
      <w:r w:rsidRPr="00D631CA">
        <w:rPr>
          <w:rFonts w:ascii="ITC Avant Garde" w:hAnsi="ITC Avant Garde" w:cs="Arial"/>
          <w:b/>
          <w:bCs/>
          <w:sz w:val="18"/>
          <w:szCs w:val="18"/>
        </w:rPr>
        <w:t>.</w:t>
      </w:r>
      <w:r w:rsidRPr="00D631CA">
        <w:rPr>
          <w:rFonts w:ascii="ITC Avant Garde" w:hAnsi="ITC Avant Garde" w:cs="Arial"/>
          <w:bCs/>
          <w:sz w:val="18"/>
          <w:szCs w:val="18"/>
        </w:rPr>
        <w:t xml:space="preserve"> Si ésta prevé una hipótesis de hecho ante la cual la autoridad puede aplicar o no la consecuencia de derecho prevista en la misma, según su prudente arbitrio, debe afirmarse que la autoridad goza de facultades discrecionales. Empero, cuando la autoridad se encuentra vinculada por el dispositivo de la ley a actuar en cierto sentido sin que exista la posibilidad de determinar libremente el contenido de su posible actuación, debe concluirse que la autoridad no goza de facultades discrecionales sino regladas.</w:t>
      </w:r>
    </w:p>
    <w:p w14:paraId="6F640AB7" w14:textId="35C63EC2" w:rsidR="00382941" w:rsidRPr="00D631CA" w:rsidRDefault="00382941" w:rsidP="00D631CA">
      <w:pPr>
        <w:autoSpaceDE w:val="0"/>
        <w:autoSpaceDN w:val="0"/>
        <w:adjustRightInd w:val="0"/>
        <w:spacing w:before="240"/>
        <w:ind w:left="567" w:right="900"/>
        <w:jc w:val="both"/>
        <w:rPr>
          <w:rFonts w:ascii="ITC Avant Garde" w:hAnsi="ITC Avant Garde" w:cs="Arial"/>
          <w:bCs/>
          <w:sz w:val="18"/>
          <w:szCs w:val="18"/>
        </w:rPr>
      </w:pPr>
      <w:r w:rsidRPr="00D631CA">
        <w:rPr>
          <w:rFonts w:ascii="ITC Avant Garde" w:hAnsi="ITC Avant Garde" w:cs="Arial"/>
          <w:bCs/>
          <w:sz w:val="18"/>
          <w:szCs w:val="18"/>
        </w:rPr>
        <w:t xml:space="preserve">SEGUNDO TRIBUNAL COLEGIADO DEL DÉCIMO CUARTO CIRCUITO. </w:t>
      </w:r>
    </w:p>
    <w:p w14:paraId="197B74B0" w14:textId="77777777" w:rsidR="00D631CA" w:rsidRPr="00D631CA" w:rsidRDefault="00382941" w:rsidP="00D631CA">
      <w:pPr>
        <w:autoSpaceDE w:val="0"/>
        <w:autoSpaceDN w:val="0"/>
        <w:adjustRightInd w:val="0"/>
        <w:spacing w:before="240"/>
        <w:ind w:left="567" w:right="900"/>
        <w:jc w:val="both"/>
        <w:rPr>
          <w:rFonts w:ascii="ITC Avant Garde" w:hAnsi="ITC Avant Garde" w:cs="Arial"/>
          <w:bCs/>
          <w:sz w:val="18"/>
          <w:szCs w:val="18"/>
        </w:rPr>
      </w:pPr>
      <w:r w:rsidRPr="00D631CA">
        <w:rPr>
          <w:rFonts w:ascii="ITC Avant Garde" w:hAnsi="ITC Avant Garde" w:cs="Arial"/>
          <w:bCs/>
          <w:sz w:val="18"/>
          <w:szCs w:val="18"/>
        </w:rPr>
        <w:t xml:space="preserve">XIV.2o.44 K </w:t>
      </w:r>
    </w:p>
    <w:p w14:paraId="79D1F6BC" w14:textId="77777777" w:rsidR="00D631CA" w:rsidRPr="00D631CA" w:rsidRDefault="00382941" w:rsidP="00D631CA">
      <w:pPr>
        <w:autoSpaceDE w:val="0"/>
        <w:autoSpaceDN w:val="0"/>
        <w:adjustRightInd w:val="0"/>
        <w:spacing w:before="240"/>
        <w:ind w:left="567" w:right="900"/>
        <w:jc w:val="both"/>
        <w:rPr>
          <w:rFonts w:ascii="ITC Avant Garde" w:hAnsi="ITC Avant Garde" w:cs="Arial"/>
          <w:bCs/>
          <w:sz w:val="18"/>
          <w:szCs w:val="18"/>
        </w:rPr>
      </w:pPr>
      <w:r w:rsidRPr="00D631CA">
        <w:rPr>
          <w:rFonts w:ascii="ITC Avant Garde" w:hAnsi="ITC Avant Garde" w:cs="Arial"/>
          <w:bCs/>
          <w:sz w:val="18"/>
          <w:szCs w:val="18"/>
        </w:rPr>
        <w:t xml:space="preserve">Amparo directo 191/2002. Joaquín Pacheco Medina. 31 de mayo de 2002. Unanimidad de votos. Ponente: Alfonso Gabriel García Lanz, secretario de tribunal autorizado por la Comisión de Carrera Judicial del Consejo de la Judicatura Federal para desempeñar las funciones de Magistrado. Secretaria: Leticia Evelyn Córdova Ceballos. </w:t>
      </w:r>
    </w:p>
    <w:p w14:paraId="46465725" w14:textId="77777777" w:rsidR="00D631CA" w:rsidRPr="00D631CA" w:rsidRDefault="00382941" w:rsidP="00D631CA">
      <w:pPr>
        <w:autoSpaceDE w:val="0"/>
        <w:autoSpaceDN w:val="0"/>
        <w:adjustRightInd w:val="0"/>
        <w:spacing w:before="240"/>
        <w:ind w:left="567" w:right="900"/>
        <w:jc w:val="both"/>
        <w:rPr>
          <w:rFonts w:ascii="ITC Avant Garde" w:hAnsi="ITC Avant Garde" w:cs="Arial"/>
          <w:b/>
          <w:bCs/>
          <w:sz w:val="18"/>
          <w:szCs w:val="18"/>
        </w:rPr>
      </w:pPr>
      <w:r w:rsidRPr="00D631CA">
        <w:rPr>
          <w:rFonts w:ascii="ITC Avant Garde" w:hAnsi="ITC Avant Garde" w:cs="Arial"/>
          <w:b/>
          <w:bCs/>
          <w:sz w:val="18"/>
          <w:szCs w:val="18"/>
        </w:rPr>
        <w:t>Instancia</w:t>
      </w:r>
      <w:r w:rsidRPr="00D631CA">
        <w:rPr>
          <w:rFonts w:ascii="ITC Avant Garde" w:hAnsi="ITC Avant Garde" w:cs="Arial"/>
          <w:bCs/>
          <w:sz w:val="18"/>
          <w:szCs w:val="18"/>
        </w:rPr>
        <w:t xml:space="preserve">: Tribunales Colegiados de Circuito. </w:t>
      </w:r>
      <w:r w:rsidRPr="00D631CA">
        <w:rPr>
          <w:rFonts w:ascii="ITC Avant Garde" w:hAnsi="ITC Avant Garde" w:cs="Arial"/>
          <w:b/>
          <w:bCs/>
          <w:sz w:val="18"/>
          <w:szCs w:val="18"/>
        </w:rPr>
        <w:t>Fuente</w:t>
      </w:r>
      <w:r w:rsidRPr="00D631CA">
        <w:rPr>
          <w:rFonts w:ascii="ITC Avant Garde" w:hAnsi="ITC Avant Garde" w:cs="Arial"/>
          <w:bCs/>
          <w:sz w:val="18"/>
          <w:szCs w:val="18"/>
        </w:rPr>
        <w:t xml:space="preserve">: Semanario Judicial de la Federación y su Gaceta, Novena Época. Tomo XVII, Febrero de 2003. Pág. 1063. </w:t>
      </w:r>
      <w:r w:rsidRPr="00D631CA">
        <w:rPr>
          <w:rFonts w:ascii="ITC Avant Garde" w:hAnsi="ITC Avant Garde" w:cs="Arial"/>
          <w:b/>
          <w:bCs/>
          <w:sz w:val="18"/>
          <w:szCs w:val="18"/>
        </w:rPr>
        <w:t>Tesis Aislada.”</w:t>
      </w:r>
    </w:p>
    <w:p w14:paraId="2E31533D"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Ahora bien, la utilización de una facultad discrecional por parte de la autoridad administrativa al afectar la esfera jurídica del gobernado para que no se torne arbitraria, debe observar ciertos requisitos que son los siguientes, que se invoquen las circunstancias concretas al caso en estudio, que se razone adecuadamente su determinación, apreciar debidamente los hechos pertinentes y no violar las reglas de la lógica. En tal, como en la especie sucedió, la Resolución recurrida, se encuentra apegada a dichos principios, pues en la especie se consideró adecuadamente los puntos sometidos a resolución y de manera razonada determinó las condiciones no convenidas entre la parte Recurrente y las </w:t>
      </w:r>
      <w:r w:rsidR="00C67299" w:rsidRPr="00D631CA">
        <w:rPr>
          <w:rFonts w:ascii="ITC Avant Garde" w:eastAsia="Times New Roman" w:hAnsi="ITC Avant Garde" w:cs="Arial"/>
          <w:lang w:val="es-ES" w:eastAsia="es-MX"/>
        </w:rPr>
        <w:t>tercero perjudicada</w:t>
      </w:r>
      <w:r w:rsidRPr="00D631CA">
        <w:rPr>
          <w:rFonts w:ascii="ITC Avant Garde" w:eastAsia="Times New Roman" w:hAnsi="ITC Avant Garde" w:cs="Arial"/>
          <w:lang w:val="es-ES" w:eastAsia="es-MX"/>
        </w:rPr>
        <w:t>s, observando en todo momento los principios de promover un desarrollo eficiente de las telecomunicaciones, fomentar una sana competencia entre los diferentes prestadores de servicios de telecomunicaciones a fin de que éstos se presten con mejores precios, diversidad y calidad en beneficio de los usuarios, y promover una adecuada cobertura social, por lo que consideró con base en la lógica y la experiencia determinar las tarifas no convenidas por los concesionarios.</w:t>
      </w:r>
    </w:p>
    <w:p w14:paraId="4E7AC84E"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Derivado de lo expuesto, se desprende lo infundado e inoperante de los argumentos expuestos por la parte Recurrente.</w:t>
      </w:r>
    </w:p>
    <w:p w14:paraId="14F5C999"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Por cuanto a que la extinta Comisión con la Resolución recurrida restringió a la Recurrente a recibir una justa retribución, en virtud de que determina tarifas de interconexión que no toma en consideración el costo real de brindar el servicio de interconexión, toda vez que modela las mismas con base en parámetros que no se adecuan a la realidad de la Recurrente.</w:t>
      </w:r>
    </w:p>
    <w:p w14:paraId="2443283B"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lastRenderedPageBreak/>
        <w:t>Al respecto, esta Autoridad revisora reitera que el artículo 42 de la LFT a la letra señala:</w:t>
      </w:r>
    </w:p>
    <w:p w14:paraId="0F5BA5C9"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b/>
        </w:rPr>
        <w:t xml:space="preserve">Artículo 42. </w:t>
      </w:r>
      <w:r w:rsidRPr="00D631CA">
        <w:rPr>
          <w:rFonts w:ascii="ITC Avant Garde" w:hAnsi="ITC Avant Garde" w:cs="Arial"/>
        </w:rPr>
        <w:t>Los concesionarios de redes públicas de telecomunicaciones deberán interconectar sus redes, y a tal efecto suscribirán un convenio en un plazo no mayor de 60 días naturales contados a partir de que alguno de ellos lo solicite. Transcurrido dicho plazo sin que las partes hayan celebrado el convenio, o antes si así lo solicitan ambas partes, la Secretaría, dentro de los 60 días naturales siguientes, resolverá sobre las condiciones que no hayan podido convenirse.</w:t>
      </w:r>
    </w:p>
    <w:p w14:paraId="29D5F755"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En este punto es preciso resaltar que, el solo hecho de que un concesionario no pueda acordar con la Recurrente las tarifas de interconexión, significa que cada uno tiene diferentes percepciones acerca de cuáles son los “costos reales de proveer los servicios”; es decir un operador que provee servicios de telecomunicaciones y que tiene un conocimiento de los costos de equipos y despliegue de red no considera razonable la propuesta de tarifas de la Recurrente. </w:t>
      </w:r>
    </w:p>
    <w:p w14:paraId="5811FD0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autoridad al ser la encargada de resolver sobre las condiciones no convenidas, en este caso sobre la tarifa de interconexión, debe considerar elementos de convicción que le permitan determinar una tarifa de interconexión que permita al operador recuperar los costos de provisión del servicio.</w:t>
      </w:r>
    </w:p>
    <w:p w14:paraId="2D9CB22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Sin embargo, lo anterior no significa de manera alguna que se deba de pagar a la Recurrente las tarifas que dicha empresa reclama bajo el argumento de que representa los costos en los que incurre, ya que de ser así carecería de sentido la facultad otorgada a la autoridad para determinar las condiciones que no hubiesen podido ser convenidas, ya que su resolución estaría limitada a obligar al operador a pagar lo reclamado por la Recurrente, sin poder considerar elemento adicional alguno.</w:t>
      </w:r>
    </w:p>
    <w:p w14:paraId="7DD379AC"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Es así que la LFT no se dispone la forma en que deben ser calculadas las tarifas de interconexión, sin embargo la autoridad debe implementar las medidas que sean necesarias para lograr los objetivos de la ley, máxime que para ello la autoridad reguladora debe promover y vigilar la eficiente interconexión de las redes públicas de telecomunicaciones. </w:t>
      </w:r>
    </w:p>
    <w:p w14:paraId="6B146B4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este punto es necesario realizar unas precisiones sobre lo que la Recurrente considera que es el costo en el que incurre.</w:t>
      </w:r>
    </w:p>
    <w:p w14:paraId="7B621F4C"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En principio se comenta que los costos reales de la red de la Recurrente son únicamente conocidos por la Recurrente, ya que forman parte de los secretos industriales que toda empresa resguarda a efecto de mantener su ventaja competitiva en el mercado. </w:t>
      </w:r>
    </w:p>
    <w:p w14:paraId="04A16023"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Lo anterior no es un problema exclusivo de la industria de telecomunicaciones en México, sino que forma parte de la relación entre el órgano regulador y las empresas reguladas a lo largo de todo el mundo; basta mirar la literatura especializada en el tema la cual señala</w:t>
      </w:r>
      <w:r w:rsidRPr="00D631CA">
        <w:rPr>
          <w:rFonts w:ascii="ITC Avant Garde" w:hAnsi="ITC Avant Garde" w:cs="Arial"/>
          <w:vertAlign w:val="superscript"/>
        </w:rPr>
        <w:footnoteReference w:id="25"/>
      </w:r>
      <w:r w:rsidRPr="00D631CA">
        <w:rPr>
          <w:rFonts w:ascii="ITC Avant Garde" w:hAnsi="ITC Avant Garde" w:cs="Arial"/>
        </w:rPr>
        <w:t>:</w:t>
      </w:r>
    </w:p>
    <w:p w14:paraId="0124F2F6"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“No es sorprendente que el regulado posea más información que el regulador. Aun cuando el monopolista regulado es obligado por la ley a proveer información a los funcionarios del gobierno, es difícil para ellos comprobar su exactitud. Según la teoría de </w:t>
      </w:r>
      <w:proofErr w:type="spellStart"/>
      <w:r w:rsidRPr="00D631CA">
        <w:rPr>
          <w:rFonts w:ascii="ITC Avant Garde" w:hAnsi="ITC Avant Garde" w:cs="Arial"/>
        </w:rPr>
        <w:t>Akerlof</w:t>
      </w:r>
      <w:proofErr w:type="spellEnd"/>
      <w:r w:rsidRPr="00D631CA">
        <w:rPr>
          <w:rFonts w:ascii="ITC Avant Garde" w:hAnsi="ITC Avant Garde" w:cs="Arial"/>
        </w:rPr>
        <w:t xml:space="preserve">, la principal falla de mercado es la información oculta, mientras que en un mercado monopolizado el ocultamiento de información es sólo un aspecto. El monopolista, sabiendo que un regulador no sería capaz de verificar la exactitud de la información, puede manipular los datos a su favor. </w:t>
      </w:r>
    </w:p>
    <w:p w14:paraId="0FB0DF5F"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w:t>
      </w:r>
    </w:p>
    <w:p w14:paraId="3E37B924"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En un mercado monopolizado, por lo tanto, el regulador se enfrenta a dos problemas: la información asimétrica y la información manipulada. El efecto en el mercado se continúa la dominación por el monopolista.”</w:t>
      </w:r>
    </w:p>
    <w:p w14:paraId="283358C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este sentido se observa que uno de los principales aspectos a los que se enfrentan los reguladores de telecomunicaciones de todo el mundo es la asimetría entre la información que posee la autoridad y la que poseen las empresas reguladas, así como los fuertes incentivos de la empresa regulada a entregar a la autoridad información manipulada.</w:t>
      </w:r>
    </w:p>
    <w:p w14:paraId="6694E36A"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Es así que la Recurrente no señala cuáles son los supuestos costos en los que incurre, ni mucho menos respalda su dicho con documentación debidamente auditada, replicable y verificable que permita aportar elementos de convicción.</w:t>
      </w:r>
    </w:p>
    <w:p w14:paraId="0D20614C"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En este contexto, la LFT reconoce que las partes pueden tener posturas incompatibles en la negociación de las condiciones de interconexión, particularmente sobre las contraprestaciones por los servicios de interconexión prestados entre las partes, caso en el que se establece la facultad de la autoridad reguladora para establecer las condiciones no convenidas en beneficio de los usuarios de servicios de telecomunicaciones y del desarrollo del sector. </w:t>
      </w:r>
    </w:p>
    <w:p w14:paraId="1EB8F9D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De esta forma, el órgano regulador necesita utilizar elementos de convicción que le permitan determinar las tarifas aplicables a los servicios de interconexión materia de un desacuerdo; es </w:t>
      </w:r>
      <w:r w:rsidRPr="00D631CA">
        <w:rPr>
          <w:rFonts w:ascii="ITC Avant Garde" w:hAnsi="ITC Avant Garde" w:cs="Arial"/>
        </w:rPr>
        <w:lastRenderedPageBreak/>
        <w:t>así que una mejor práctica internacional es la utilización de modelos de costos mismos que han sido utilizados por los distintos órganos reguladores como una herramienta confiable para la determinación de las tarifas de interconexión.</w:t>
      </w:r>
    </w:p>
    <w:p w14:paraId="15178E7C"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Por lo tanto se puede señalar que los modelos de costos son una herramienta ampliamente utilizada por los reguladores a nivel internacional, que permite solventar el problema de asimetrías de información con la empresa regulada al permitir realizar una estimación razonable de los costos incurridos en la provisión del servicio de interconexión, al mismo tiempo que son auditables y son transparentes. </w:t>
      </w:r>
    </w:p>
    <w:p w14:paraId="0193748F"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Al mismo tiempo es importante reiterar que en la determinación de las tarifas de interconexión, el órgano regulador debe promover el desarrollo de una competencia equitativa en el mercado de las telecomunicaciones.</w:t>
      </w:r>
    </w:p>
    <w:p w14:paraId="2E1AE987"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Es así que las mejores prácticas internacionales en el establecimiento de las tarifas de interconexión, señalan que el cálculo de las mismas se debe realizar simulando los precios que se establecerían en un mercado competitivo, en virtud de que ello permite enviar las señales correctas al mercado, en el sentido de que los concesionarios realicen esfuerzos por minimizar costos, y permite el establecimiento de condiciones equitativas de competencia.</w:t>
      </w:r>
    </w:p>
    <w:p w14:paraId="478EB1FE"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Por lo que uno de los resultados que se observan en los mercados en competencia es que los precios de los bienes y/o servicios convergen a los costos; con lo cual existe consenso en el ámbito internacional en el sentido de que las tarifas de interconexión se deben de orientar a los costos de producción</w:t>
      </w:r>
      <w:r w:rsidRPr="00D631CA">
        <w:rPr>
          <w:rFonts w:ascii="ITC Avant Garde" w:eastAsia="Courier New" w:hAnsi="ITC Avant Garde" w:cs="Arial"/>
          <w:vertAlign w:val="superscript"/>
          <w:lang w:eastAsia="es-ES"/>
        </w:rPr>
        <w:footnoteReference w:id="26"/>
      </w:r>
      <w:r w:rsidRPr="00D631CA">
        <w:rPr>
          <w:rFonts w:ascii="ITC Avant Garde" w:hAnsi="ITC Avant Garde" w:cs="Arial"/>
        </w:rPr>
        <w:t>. Asimismo, en un entorno de competencia efectiva se asegura que los concesionarios obtengan una rentabilidad razonable sobre el capital invertido en el largo plazo, es decir, durante un periodo discreto de tiempo.</w:t>
      </w:r>
    </w:p>
    <w:p w14:paraId="2307B971"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determinación de una tarifa de terminación, con base en la red de un operador eficiente, envía las señales correctas al mercado al otorgar incentivos a los concesionarios para minimizar costos; de lo contrario se distorsionan las señales de precios y los operadores de alto costo trasladarán sus ineficiencias a los consumidores. Además, podría proporcionar a un concesionario una ventaja injustificada a la hora de competir contra otros concesionarios en el servicio al usuario final.</w:t>
      </w:r>
    </w:p>
    <w:p w14:paraId="17CF799F"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Por el contrario, al utilizar la red de un operador hipotético eficiente en la determinación de la tarifa de interconexión, los operadores tienen incentivos para reducir costos al tratar de obtener ganancias con relación a la tarifa establecida por la regulación; es importante </w:t>
      </w:r>
      <w:r w:rsidRPr="00D631CA">
        <w:rPr>
          <w:rFonts w:ascii="ITC Avant Garde" w:hAnsi="ITC Avant Garde" w:cs="Arial"/>
        </w:rPr>
        <w:lastRenderedPageBreak/>
        <w:t>mencionar que las reducciones en las tarifas de interconexión se trasladan al usuario final en la forma de menores precios por sus servicios finales.</w:t>
      </w:r>
    </w:p>
    <w:p w14:paraId="0A3DEF3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Considerando lo anterior, la extinta Comisión determinó en la Resolución recurrida que es conveniente que la tarifa de interconexión cubra los costos en que incurre un operador eficiente por terminar las llamadas, y a la vez incluya un retorno al capital razonable por prestar este servicio. De lo contrario se podría desincentivar la provisión de los servicios de interconexión. Es importante que los costos recuperados sean los de un operador eficiente, pues en caso contrario, se permitiría que la ineficiencia del operador se traslade a otros operadores y en última Instancia, a los usuarios. Adicionalmente, lo anterior es consistente con el proceso de competencia que debe existir en el mercado, esto es, en un mercado competido, un operador ineficiente se ve obligado a ajustar su operación para ser eficiente o deberá salir del mercado. Por ende, el modelo utilizado para la determinación de la tarifa de interconexión está basado en los costos de un operador eficiente.</w:t>
      </w:r>
    </w:p>
    <w:p w14:paraId="1FD06DFE"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Asimismo, para determinar los costos de operadores reales es necesario contar con un gran desglose de información en el cual es previsible que exista una reticencia de los concesionarios de proporcionar información del precio de los activos, de que se utilice y se divulgue su información, lo cual conllevaría a que el modelo carezca de transparencia, y por ende credibilidad, lo que particularmente haría difícil o inclusive imposible la verificación del modelo por terceros y a una serie de cuestionamientos sobre la calidad de los resultados del modelo. </w:t>
      </w:r>
    </w:p>
    <w:p w14:paraId="360C6801"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Por otra parte, los operadores tienen incentivos para establecer elevadas tarifas de terminación de llamadas ya que ello ocasiona que se incrementen los costos de sus competidores; y con ello se establezcan altos cargos para los clientes de los operadores de la competencia. En este sentido, cuando un operador reduce los costos de terminación de llamadas en su red debido a una operación más eficiente, quien se beneficia es el operador que adquiere un insumo a un precio menor y no así la empresa que ha reducido los costos de terminación. Por lo tanto el operador menos eficiente obtiene las ganancias de una ventaja competitiva. Este problema se solucionaría si se establecieran las tarifas por terminación con base en un operador representativo eficiente.</w:t>
      </w:r>
    </w:p>
    <w:p w14:paraId="0E8F7657"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Por consiguiente, el considerar los costos incurridos por un operador real, como lo pretende la Recurrente, no es acorde con el fomento de una sana competencia consagrado en el artículo 7 de la LFT ni con las mejores prácticas internacionales, por lo que lo argumentado por la Recurrente deviene de infundado.</w:t>
      </w:r>
    </w:p>
    <w:p w14:paraId="29363AEC" w14:textId="77777777" w:rsidR="00D631CA" w:rsidRPr="00D631CA" w:rsidRDefault="00382941" w:rsidP="00D631CA">
      <w:pPr>
        <w:numPr>
          <w:ilvl w:val="0"/>
          <w:numId w:val="2"/>
        </w:numPr>
        <w:spacing w:before="240"/>
        <w:contextualSpacing/>
        <w:jc w:val="both"/>
        <w:rPr>
          <w:rFonts w:ascii="ITC Avant Garde" w:hAnsi="ITC Avant Garde" w:cs="Arial"/>
        </w:rPr>
      </w:pPr>
      <w:r w:rsidRPr="00D631CA">
        <w:rPr>
          <w:rFonts w:ascii="ITC Avant Garde" w:hAnsi="ITC Avant Garde" w:cs="Arial"/>
        </w:rPr>
        <w:t xml:space="preserve">En relación con lo manifestado por la Recurrente en el agravio </w:t>
      </w:r>
      <w:r w:rsidRPr="00D631CA">
        <w:rPr>
          <w:rFonts w:ascii="ITC Avant Garde" w:hAnsi="ITC Avant Garde" w:cs="Arial"/>
          <w:b/>
        </w:rPr>
        <w:t>NOVENO</w:t>
      </w:r>
      <w:r w:rsidRPr="00D631CA">
        <w:rPr>
          <w:rFonts w:ascii="ITC Avant Garde" w:hAnsi="ITC Avant Garde" w:cs="Arial"/>
        </w:rPr>
        <w:t xml:space="preserve">, en el que invoca que la Resolución Recurrida contraviene el principio de congruencia </w:t>
      </w:r>
      <w:r w:rsidRPr="00D631CA">
        <w:rPr>
          <w:rFonts w:ascii="ITC Avant Garde" w:hAnsi="ITC Avant Garde" w:cs="Arial"/>
        </w:rPr>
        <w:lastRenderedPageBreak/>
        <w:t xml:space="preserve">procesal con motivo de la interpretación y aplicación de Principios derivados del Plan Técnico Fundamental de Interconexión e Interoperabilidad, contenido en el artículo 3, fracciones V y XVI, de la Ley Federal de Procedimiento Administrativo, es infundado. </w:t>
      </w:r>
    </w:p>
    <w:p w14:paraId="4B8A3CDA"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Lo manifestado por la Recurrente es infundado, ya que como ha quedado expuesto en la presente resolución, al estudiar el SÉPTIMO agravio que hizo valer la Recurrente, en la Resolución Recurrida no se invocó ni aplicó el Plan de Interconexión, respecto de cuya aplicación la Recurrente tiene una sentencia de amparo a su favor, sino que únicamente se hizo alusión genérica a los objetivos y principios que la Ley Federal de Telecomunicaciones establecía para los planes técnicos fundamentales.</w:t>
      </w:r>
    </w:p>
    <w:p w14:paraId="50A54D15" w14:textId="207F37BE" w:rsidR="00382941" w:rsidRPr="00D631CA" w:rsidRDefault="00382941" w:rsidP="00D631CA">
      <w:pPr>
        <w:spacing w:before="240"/>
        <w:jc w:val="both"/>
        <w:rPr>
          <w:rFonts w:ascii="ITC Avant Garde" w:hAnsi="ITC Avant Garde" w:cs="Arial"/>
        </w:rPr>
      </w:pPr>
      <w:r w:rsidRPr="00D631CA">
        <w:rPr>
          <w:rFonts w:ascii="ITC Avant Garde" w:hAnsi="ITC Avant Garde" w:cs="Arial"/>
        </w:rPr>
        <w:t>Inclusive la Recurrente si bien afirma que se le aplicaron los principios previstos en el Plan de Interconexión, no realiza precisión alguna respecto de qué principio le fue aplicado, en qué parte de la Resolución Recurrida, y en qué términos para que esta autoridad cuente con los elementos mínimos que le permitan estudiar dicho agravio, por lo que sus argumentos son además inoperantes por insuficientes.</w:t>
      </w:r>
    </w:p>
    <w:p w14:paraId="708B0295" w14:textId="77777777" w:rsidR="00382941" w:rsidRPr="00D631CA" w:rsidRDefault="00382941" w:rsidP="00D631CA">
      <w:pPr>
        <w:spacing w:before="240"/>
        <w:jc w:val="both"/>
        <w:rPr>
          <w:rFonts w:ascii="ITC Avant Garde" w:hAnsi="ITC Avant Garde" w:cs="Arial"/>
        </w:rPr>
      </w:pPr>
      <w:r w:rsidRPr="00D631CA">
        <w:rPr>
          <w:rFonts w:ascii="ITC Avant Garde" w:hAnsi="ITC Avant Garde" w:cs="Arial"/>
        </w:rPr>
        <w:t xml:space="preserve"> </w:t>
      </w:r>
    </w:p>
    <w:p w14:paraId="615AF336" w14:textId="77777777" w:rsidR="00D631CA" w:rsidRPr="00D631CA" w:rsidRDefault="00382941" w:rsidP="00D631CA">
      <w:pPr>
        <w:numPr>
          <w:ilvl w:val="0"/>
          <w:numId w:val="2"/>
        </w:numPr>
        <w:spacing w:before="240"/>
        <w:contextualSpacing/>
        <w:jc w:val="both"/>
        <w:rPr>
          <w:rFonts w:ascii="ITC Avant Garde" w:hAnsi="ITC Avant Garde" w:cs="Arial"/>
        </w:rPr>
      </w:pPr>
      <w:r w:rsidRPr="00D631CA">
        <w:rPr>
          <w:rFonts w:ascii="ITC Avant Garde" w:hAnsi="ITC Avant Garde" w:cs="Arial"/>
        </w:rPr>
        <w:t xml:space="preserve">En relación con lo manifestado por la Recurrente en el agravio </w:t>
      </w:r>
      <w:r w:rsidRPr="00D631CA">
        <w:rPr>
          <w:rFonts w:ascii="ITC Avant Garde" w:hAnsi="ITC Avant Garde" w:cs="Arial"/>
          <w:b/>
        </w:rPr>
        <w:t>DÉCIMO</w:t>
      </w:r>
      <w:r w:rsidRPr="00D631CA">
        <w:rPr>
          <w:rFonts w:ascii="ITC Avant Garde" w:hAnsi="ITC Avant Garde" w:cs="Arial"/>
        </w:rPr>
        <w:t>, en el que invoca que la Resolución Recurrida transgrede en perjuicio de la Recurrente la garantía de debida fundamentación y motivación en relación con el cálculo del tiempo de las llamadas, es infundado.</w:t>
      </w:r>
    </w:p>
    <w:p w14:paraId="7312D25C"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Lo manifestado por la Recurrente, no controvierte la totalidad de lo considerado en la Resolución Recurrida sobre el particular, en los siguientes términos:</w:t>
      </w:r>
    </w:p>
    <w:p w14:paraId="5802CFD7"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Al respecto, esta Autoridad revisora manifiesta que no le asiste la razón a la Recurrente, ello en virtud de que en la Resolución Recurrida, el Pleno de la Comisión motivó debidamente su actuar en relación al criterio para medir y tasar la interconexión por servicios móviles. En efecto a fojas 94 y 96 de la Resolución Recurrida, la Comisión argumento lo siguiente:</w:t>
      </w:r>
    </w:p>
    <w:p w14:paraId="4A73DA32"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w:t>
      </w:r>
    </w:p>
    <w:p w14:paraId="1A99CC54"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Respecto a la medición del tráfico terminado en la red pública de telecomunicaciones de Grupo Telefónica, la Comisión considera que los costos determinados por el Modelo de CITLP están calculados con base en un pronóstico del uso real de la infraestructura de interconexión, por lo que las tarifas determinadas permiten a Grupo Telefónica recuperar los costos en los que incurre para la prestación del servicio de interconexión. </w:t>
      </w:r>
    </w:p>
    <w:p w14:paraId="5A0AEB1D"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lastRenderedPageBreak/>
        <w:t xml:space="preserve">En este sentido, es importante señalar que desde un punto de vista económico, resulta eficiente que un concesionario pague por el uso de la infraestructura en función de su utilización real. A mayor abundamiento, a juicio de esta Comisión, no solo resulta económicamente eficiente para el caso de la provisión de servicios de telecomunicaciones al usuario final. Al respecto, esta Comisión considera, de manera congruente con lo expresado sobre diversos aspectos relativos a la interconexión de redes a lo largo de la presente Resolución, que se deben adoptar medidas para eliminar los cargos para la provisión de servicios de telecomunicaciones en general que trasparenten el cobro del servicio prestado y que, en el caso de la interconexión, dicha transparencia producto de una eventual modificación de los mecanismos de medición y tasación podría fomentar, inclusive, que aquellos costos o elementos que no son utilizados para la prestación del servicio no sean considerados dentro de la tarifa respectiva. </w:t>
      </w:r>
    </w:p>
    <w:p w14:paraId="14482804"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En este sentido, el esquema de facturación por redondeo es ineficiente y genera un sobrepago por infraestructura no utilizada cuando económicamente resulta eficiente que los concesionarios paguen únicamente por la infraestructura utilizada por el servicio de que se trate. </w:t>
      </w:r>
    </w:p>
    <w:p w14:paraId="748D6855"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Por lo que, en cumplimiento del artículo 7 de la LFT, de la Regla Novena Transitoria de las </w:t>
      </w:r>
      <w:proofErr w:type="spellStart"/>
      <w:r w:rsidRPr="00D631CA">
        <w:rPr>
          <w:rFonts w:ascii="ITC Avant Garde" w:hAnsi="ITC Avant Garde" w:cs="Arial"/>
        </w:rPr>
        <w:t>RdSL</w:t>
      </w:r>
      <w:proofErr w:type="spellEnd"/>
      <w:r w:rsidRPr="00D631CA">
        <w:rPr>
          <w:rFonts w:ascii="ITC Avant Garde" w:hAnsi="ITC Avant Garde" w:cs="Arial"/>
        </w:rPr>
        <w:t xml:space="preserve"> y la Regla 53 de las RSLD, los concesionarios únicamente deberán pagar por la infraestructura utilizada y, que por consecuencia, se deberán pagar las tarifas de interconexión en base al tiempo real de uso de la infraestructura requerida para la prestación de dicho servicio. </w:t>
      </w:r>
    </w:p>
    <w:p w14:paraId="478DF9A2"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Aunado a lo anterior, no existe razón técnica alguna que impida que la terminación de llamadas provenientes de otro operador, recibidas en la red del operador móvil mediante enlaces de interconexión, sea facturada de acuerdo con su duración real, máxime cuando las modificaciones en un sistema de facturación, para cobrar agregados de duraciones reales en lugar de agregados en duraciones completas al minuto superior no requiere de mayores inversiones. </w:t>
      </w:r>
    </w:p>
    <w:p w14:paraId="40443DE3"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Al ser la tarifa de interconexión cobrada por los concesionarios fijos y los operadores del servicio de larga distancia a sus usuarios, y ser la medición de ésta pactada en tiempo real, así deberá ser cobrada al usuario, sin permitir de forma alguna el cobro a minutos redondeados, ya que sería una práctica abusiva y no justificada en contra del usuario. </w:t>
      </w:r>
    </w:p>
    <w:p w14:paraId="4A17885A"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lastRenderedPageBreak/>
        <w:t>Esta Comisión, invoca como hecho notorio el que el redondeo ya ha sido eliminado casi en su totalidad en la Unión Europea, por constituir una práctica inaceptable, así como un cargo por servicio o infraestructura no prestados</w:t>
      </w:r>
    </w:p>
    <w:p w14:paraId="610A976C"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De todo lo expuesto, esta Comisión considera que, con fundamento en todas y cada una de las disposiciones mencionadas con anterioridad, en la aplicación de las tarifas de interconexión por servicios de terminación conmutada en usuarios móviles para la modalidad “el que llama paga”, Grupo Telefónica deberá calcular la contraprestación que </w:t>
      </w:r>
      <w:proofErr w:type="spellStart"/>
      <w:r w:rsidRPr="00D631CA">
        <w:rPr>
          <w:rFonts w:ascii="ITC Avant Garde" w:hAnsi="ITC Avant Garde" w:cs="Arial"/>
        </w:rPr>
        <w:t>Marcatel</w:t>
      </w:r>
      <w:proofErr w:type="spellEnd"/>
      <w:r w:rsidRPr="00D631CA">
        <w:rPr>
          <w:rFonts w:ascii="ITC Avant Garde" w:hAnsi="ITC Avant Garde" w:cs="Arial"/>
        </w:rPr>
        <w:t xml:space="preserve"> deberá pagarle,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71A068D8"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w:t>
      </w:r>
    </w:p>
    <w:p w14:paraId="71FEE9D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De lo anterior se desprende que la Resolución recurrida se encuentra determinada y fundada conforme a derecho, dado que con el cálculo con base en un pronóstico del uso real de la infraestructura de interconexión, los concesionarios pueden recuperar los costos en los que incurren para la prestación del servicio de interconexión. </w:t>
      </w:r>
    </w:p>
    <w:p w14:paraId="47850153"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Asimismo, desde un punto de vista económico, resulta eficiente que un concesionario de redes públicas pague por el uso sólo de la infraestructura en función de su utilización real, además de que no existe motivo, razón o circunstancia técnica alguna que impida que la terminación de llamadas provenientes de otro operador, recibidas en la red del operador móvil mediante enlaces de interconexión, sea facturada de acuerdo con su duración real, máxime cuando las modificaciones en un sistema de facturación, para cobrar agregados de duraciones reales en lugar de agregados en duraciones completas al minuto superior no requiere de mayores inversiones. </w:t>
      </w:r>
    </w:p>
    <w:p w14:paraId="49F36C02"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Es importante señalar que la Suprema Corte de Justicia de la Nación al resolver los amparos en revisión 426/2010 y 318/2011, indicó que la política pública adoptada por la Comisión en su momento de medir el tráfico de llamadas por redondeo en lugar de segundos, fue debidamente fundada y motivada al señalar en su momento que para mantener los beneficios que derivarán del ajuste gradual de la tarifa de interconexión, la modificación en la medición del tráfico en segundos debía hacerse gradualmente por ser un factor importante en la cuantificación de las contraprestaciones recibidas por los concesionarios móviles.</w:t>
      </w:r>
    </w:p>
    <w:p w14:paraId="3F20F290"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Agrega la Suprema Corte de Justicia de la Nación que cuando la Comisión, reconociendo que la finalidad última era hacer la medición de tráfico por segundo, indicó que en una </w:t>
      </w:r>
      <w:r w:rsidRPr="00D631CA">
        <w:rPr>
          <w:rFonts w:ascii="ITC Avant Garde" w:hAnsi="ITC Avant Garde" w:cs="Arial"/>
        </w:rPr>
        <w:lastRenderedPageBreak/>
        <w:t xml:space="preserve">política de reducción gradual de tarifas de interconexión para no afectar al mercado inclusive, para no crear una distorsión con otras empresas que estaban pagándolo de esa forma, se hizo gradualmente en esos años, para que finalmente se haga la medición por segundo. </w:t>
      </w:r>
    </w:p>
    <w:p w14:paraId="01DE5F7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Por tanto, la Resolución recurrida se encuentra debidamente fundada y motivada en la determinación de la medición de tráfico en segundos. Asimismo, en las consideraciones de esta Autoridad respecto a los primeros agravios del presente recurso de revisión se indicó la debida motivación relacionada con los cálculos llevados a cabo en el modelo de costos para determinar las tarifas de interconexión, por tanto resultan improcedentes los argumentos esgrimidos por la Recurrente.</w:t>
      </w:r>
    </w:p>
    <w:p w14:paraId="7A0F8DCC" w14:textId="77777777" w:rsidR="00D631CA" w:rsidRPr="00D631CA" w:rsidRDefault="00382941" w:rsidP="00D631CA">
      <w:pPr>
        <w:numPr>
          <w:ilvl w:val="0"/>
          <w:numId w:val="2"/>
        </w:numPr>
        <w:spacing w:before="240"/>
        <w:contextualSpacing/>
        <w:jc w:val="both"/>
        <w:rPr>
          <w:rFonts w:ascii="ITC Avant Garde" w:hAnsi="ITC Avant Garde" w:cs="Arial"/>
        </w:rPr>
      </w:pPr>
      <w:r w:rsidRPr="00D631CA">
        <w:rPr>
          <w:rFonts w:ascii="ITC Avant Garde" w:hAnsi="ITC Avant Garde" w:cs="Arial"/>
        </w:rPr>
        <w:t xml:space="preserve">En relación con lo manifestado por la Recurrente en el agravio </w:t>
      </w:r>
      <w:r w:rsidRPr="00D631CA">
        <w:rPr>
          <w:rFonts w:ascii="ITC Avant Garde" w:hAnsi="ITC Avant Garde" w:cs="Arial"/>
          <w:b/>
        </w:rPr>
        <w:t>DÉCIMO</w:t>
      </w:r>
      <w:r w:rsidRPr="00D631CA">
        <w:rPr>
          <w:rFonts w:ascii="ITC Avant Garde" w:hAnsi="ITC Avant Garde" w:cs="Arial"/>
        </w:rPr>
        <w:t xml:space="preserve"> </w:t>
      </w:r>
      <w:r w:rsidRPr="00D631CA">
        <w:rPr>
          <w:rFonts w:ascii="ITC Avant Garde" w:hAnsi="ITC Avant Garde" w:cs="Arial"/>
          <w:b/>
        </w:rPr>
        <w:t>PRIMERO</w:t>
      </w:r>
      <w:r w:rsidRPr="00D631CA">
        <w:rPr>
          <w:rFonts w:ascii="ITC Avant Garde" w:hAnsi="ITC Avant Garde" w:cs="Arial"/>
        </w:rPr>
        <w:t>, en el que invoca que en la elaboración del Modelo de Costos se violó la Ley Federal de Procedimiento Administrativo, pues no fue objeto del proceso de mejora regulatoria ni se publicó debidamente en el DOF, contraviniendo lo dispuesto en los artículos 69 y demás relativos de la Ley Federal de Procedimiento Administrativo, es infundado.</w:t>
      </w:r>
    </w:p>
    <w:p w14:paraId="76BF242F"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Lo manifestado por la Recurrente es infundado, ya que si bien es cierto que el modelo de costos CITLP es una metodología como se reconoce en la Resolución Recurrida, no se emitió acto alguno en que se determinara que dicha metodología sería de aplicación general, por lo que no se actualizan los supuestos del artículo 4 de la Ley Federal de Procedimiento Administrativo.</w:t>
      </w:r>
    </w:p>
    <w:p w14:paraId="1C9B074E"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Esto es, el artículo 4 de la Ley Federal de Procedimiento Administrativo prevé que los actos administrativos de carácter general, entre otros las metodologías deberán publicarse en el DOF para que produzcan efectos jurídicos, y conforme al Título Tercero A de la misma Ley, se observará el procedimiento de mejora regulatoria </w:t>
      </w:r>
      <w:r w:rsidR="00E55EA2" w:rsidRPr="00D631CA">
        <w:rPr>
          <w:rFonts w:ascii="ITC Avant Garde" w:hAnsi="ITC Avant Garde" w:cs="Arial"/>
        </w:rPr>
        <w:t xml:space="preserve"> antes de </w:t>
      </w:r>
      <w:r w:rsidRPr="00D631CA">
        <w:rPr>
          <w:rFonts w:ascii="ITC Avant Garde" w:hAnsi="ITC Avant Garde" w:cs="Arial"/>
        </w:rPr>
        <w:t xml:space="preserve"> la referida publicación.</w:t>
      </w:r>
    </w:p>
    <w:p w14:paraId="2BB0B5C1" w14:textId="1DDC043B" w:rsidR="00382941" w:rsidRPr="00D631CA" w:rsidRDefault="00382941" w:rsidP="00D631CA">
      <w:pPr>
        <w:spacing w:before="240"/>
        <w:jc w:val="both"/>
        <w:rPr>
          <w:rFonts w:ascii="ITC Avant Garde" w:hAnsi="ITC Avant Garde" w:cs="Arial"/>
        </w:rPr>
      </w:pPr>
      <w:r w:rsidRPr="00D631CA">
        <w:rPr>
          <w:rFonts w:ascii="ITC Avant Garde" w:hAnsi="ITC Avant Garde" w:cs="Arial"/>
        </w:rPr>
        <w:t>En el caso, el modelo de costos CITLP empleado para la emisión de la Resolución Recurrida no fue publicado en el Diario Oficial de la Federación, ya que el Pleno de la Comisión Federal de Telecomunicaciones ni siquiera emitió un acto administrativo, menos aún de carácter general en que determinara la observancia general de dicho modelo de costos, sino que para la emisión de la Resolución Recurrida determinó utilizar dicho modelo, atendiendo a lo previsto en las Reglas multicitadas.</w:t>
      </w:r>
    </w:p>
    <w:p w14:paraId="355E0A92"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Como consecuencia de lo anterior, es infundado que el Modelo de Costos incumple con la obligación establecida por los artículos 4, 69-A y demás relativos de la Ley Federal de Procedimiento Administrativo, pues la Comisión Federal de Telecomunicaciones no emitió un </w:t>
      </w:r>
      <w:r w:rsidRPr="00D631CA">
        <w:rPr>
          <w:rFonts w:ascii="ITC Avant Garde" w:hAnsi="ITC Avant Garde" w:cs="Arial"/>
        </w:rPr>
        <w:lastRenderedPageBreak/>
        <w:t>acto administrativo de carácter general en que se aprobara dicho modelo de costos, ni se ordenó su observancia general.</w:t>
      </w:r>
    </w:p>
    <w:p w14:paraId="676C7A40" w14:textId="77777777" w:rsidR="00D631CA" w:rsidRPr="00D631CA" w:rsidRDefault="00382941" w:rsidP="00D631CA">
      <w:pPr>
        <w:numPr>
          <w:ilvl w:val="0"/>
          <w:numId w:val="2"/>
        </w:numPr>
        <w:spacing w:before="240"/>
        <w:contextualSpacing/>
        <w:jc w:val="both"/>
        <w:rPr>
          <w:rFonts w:ascii="ITC Avant Garde" w:hAnsi="ITC Avant Garde" w:cs="Arial"/>
        </w:rPr>
      </w:pPr>
      <w:r w:rsidRPr="00D631CA">
        <w:rPr>
          <w:rFonts w:ascii="ITC Avant Garde" w:hAnsi="ITC Avant Garde" w:cs="Arial"/>
        </w:rPr>
        <w:t xml:space="preserve">En relación con lo manifestado por la Recurrente en el agravio </w:t>
      </w:r>
      <w:r w:rsidRPr="00D631CA">
        <w:rPr>
          <w:rFonts w:ascii="ITC Avant Garde" w:hAnsi="ITC Avant Garde" w:cs="Arial"/>
          <w:b/>
        </w:rPr>
        <w:t>DÉCIMO SEGUNDO</w:t>
      </w:r>
      <w:r w:rsidRPr="00D631CA">
        <w:rPr>
          <w:rFonts w:ascii="ITC Avant Garde" w:hAnsi="ITC Avant Garde" w:cs="Arial"/>
        </w:rPr>
        <w:t>, en el que invoca que la Resolución Recurrida resulta ilegal, dado el vicio de incongruencia externa que adolece, pues con el modelo de costos que utiliza, determina tarifas de interconexión diversas para varios operadores, violando con ello los requisitos de debida fundamentación y motivación previstos en el artículo 3 de la Ley Federal de Procedimiento Administrativo, es infundado.</w:t>
      </w:r>
    </w:p>
    <w:p w14:paraId="18AB0A7A"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La Resolución P/EXT/201010/492 correspondió a un procedimiento diverso del relacionado a la resolución recurrida, por lo que no es procedente entrar a su análisis en el presente recurso. </w:t>
      </w:r>
    </w:p>
    <w:p w14:paraId="2ABA1D01" w14:textId="77777777" w:rsidR="00D631CA" w:rsidRPr="00D631CA" w:rsidRDefault="00382941" w:rsidP="00D631CA">
      <w:pPr>
        <w:numPr>
          <w:ilvl w:val="0"/>
          <w:numId w:val="2"/>
        </w:numPr>
        <w:spacing w:before="240"/>
        <w:contextualSpacing/>
        <w:jc w:val="both"/>
        <w:rPr>
          <w:rFonts w:ascii="ITC Avant Garde" w:hAnsi="ITC Avant Garde" w:cs="Arial"/>
        </w:rPr>
      </w:pPr>
      <w:r w:rsidRPr="00D631CA">
        <w:rPr>
          <w:rFonts w:ascii="ITC Avant Garde" w:hAnsi="ITC Avant Garde" w:cs="Arial"/>
        </w:rPr>
        <w:t xml:space="preserve">En relación con lo manifestado por la Recurrente en el agravio </w:t>
      </w:r>
      <w:r w:rsidRPr="00D631CA">
        <w:rPr>
          <w:rFonts w:ascii="ITC Avant Garde" w:hAnsi="ITC Avant Garde" w:cs="Arial"/>
          <w:b/>
        </w:rPr>
        <w:t>DÉCIMO TERCERO</w:t>
      </w:r>
      <w:r w:rsidRPr="00D631CA">
        <w:rPr>
          <w:rFonts w:ascii="ITC Avant Garde" w:hAnsi="ITC Avant Garde" w:cs="Arial"/>
        </w:rPr>
        <w:t>, en el que invoca que la Comisión se encontraba impedida para determinar tarifas de interconexión en el desacuerdo concluido en la Resolución, en virtud de que está rigiendo lo convenido en la cláusula de aplicación continua y vigencia, es infundado.</w:t>
      </w:r>
    </w:p>
    <w:p w14:paraId="72AAE952"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Lo manifestado por la Recurrente es infundado, ya que como ha quedado expuesto en la presente resolución, se analizaron e interpretaron las cláusulas los numerales 4.1.2. </w:t>
      </w:r>
      <w:proofErr w:type="gramStart"/>
      <w:r w:rsidRPr="00D631CA">
        <w:rPr>
          <w:rFonts w:ascii="ITC Avant Garde" w:hAnsi="ITC Avant Garde" w:cs="Arial"/>
        </w:rPr>
        <w:t>y</w:t>
      </w:r>
      <w:proofErr w:type="gramEnd"/>
      <w:r w:rsidRPr="00D631CA">
        <w:rPr>
          <w:rFonts w:ascii="ITC Avant Garde" w:hAnsi="ITC Avant Garde" w:cs="Arial"/>
        </w:rPr>
        <w:t xml:space="preserve"> 17.2, así como (de los convenios celebrados entre la Recurrente y las </w:t>
      </w:r>
      <w:r w:rsidR="00C67299" w:rsidRPr="00D631CA">
        <w:rPr>
          <w:rFonts w:ascii="ITC Avant Garde" w:hAnsi="ITC Avant Garde" w:cs="Arial"/>
        </w:rPr>
        <w:t>Tercero perjudicada</w:t>
      </w:r>
      <w:r w:rsidRPr="00D631CA">
        <w:rPr>
          <w:rFonts w:ascii="ITC Avant Garde" w:hAnsi="ITC Avant Garde" w:cs="Arial"/>
        </w:rPr>
        <w:t>s), y se determinó que dichos pactos no impedían la actualización de los presupuestos previstos por el artículo 42 de la Ley Federal de Telecomunicaciones.</w:t>
      </w:r>
    </w:p>
    <w:p w14:paraId="3E2CBD8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Asimismo, lo manifestado por la Recurrente es inoperante, puesto que no combate las consideraciones vertidas en la Resolución Recurrida a fojas 16 a 20.</w:t>
      </w:r>
    </w:p>
    <w:p w14:paraId="36EEE5A6"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“Al respecto, esta Comisión como ya se mencionó, está facultada en términos de lo dispuesto por los artículos 9-A fracción X y 42 de la LFT, para determinar las condiciones que, en materia de interconexión, no hayan podido convenirse entre los concesionarios de redes públicas de telecomunicaciones interesados. En este sentido, el artículo 9 fracción VIII del Reglamento Interno vigente de la Comisión es consistente con la facultad anteriormente señalada, al establecer que corresponde al Pleno de dicho órgano el ejercicio de la atribución relativa a la resolución de condiciones de interconexión que no hayan podido convenirse entre los concesionarios de las redes públicas de telecomunicaciones de que se trate.</w:t>
      </w:r>
    </w:p>
    <w:p w14:paraId="6E89CAA7"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Es así, que para que esta Comisión pueda ejercer la facultad consagrada en la segunda parte del artículo 9-A fracción X de la LFT, en relación con lo establecido por el artículo 42 de la LFT, sólo requiere la acreditación de un </w:t>
      </w:r>
      <w:r w:rsidRPr="00D631CA">
        <w:rPr>
          <w:rFonts w:ascii="ITC Avant Garde" w:hAnsi="ITC Avant Garde" w:cs="Arial"/>
        </w:rPr>
        <w:lastRenderedPageBreak/>
        <w:t>presupuesto esencial, como lo es, la existencia de condiciones no convenidas en materia de interconexión entre concesionarios de redes públicas de telecomunicaciones, de tal suerte que, de acreditarse este presupuesto, puede materializarse la hipótesis normativa consagrada en dicho precepto y, por lo tanto, la Comisión queda facultada para ejercer las atribuciones establecidas en la legislación de la materia.</w:t>
      </w:r>
    </w:p>
    <w:p w14:paraId="544006B2"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En este sentido, la segunda parte de los artículos 9-A fracción X y 42 de la LFT facultan lisa y llanamente a la autoridad para determinar las condiciones de interconexión que no hayan podido convenir dos o más concesionarios, cuando éstas no han sido pactadas expresamente en algún convenio, o se refieren como en el caso que nos ocupa a un periodo diferente al expresamente pactado.</w:t>
      </w:r>
    </w:p>
    <w:p w14:paraId="3C741AA1"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A mayor abundamiento, dichos preceptos legales no imponen limitación alguna a la actuación de la autoridad, pudiendo intervenir tanto en el caso en que no exista convenio de interconexión previo o interconexión de redes públicas de telecomunicaciones, así como en el caso en que sí exista uno o más convenios de interconexión previamente celebrados o que las redes públicas de telecomunicaciones ya estén interconectadas, y uno de los concesionarios solicite el inicio de negociaciones para convenir nuevos términos, condiciones o tarifas de interconexión.</w:t>
      </w:r>
    </w:p>
    <w:p w14:paraId="07B41310"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Una interpretación distinta equivaldría a sostener contrario al espíritu de la LFT, (i) que cualquier concesionario tendría sólo una oportunidad de solicitar a otro determinado concesionario la interconexión de sus respectivas redes públicas de telecomunicaciones y en dicha oportunidad agotar todo tipo de tráfico que desee o pueda intercambiar para proveer a sus usuarios el más amplio espectro de servicios, o (ii) que algún concesionario quedaría sujeto a términos, condiciones y tarifas de interconexión inamovibles, que en un sector tan dinámico y competitivo como el de las telecomunicaciones puede resultar arcaico y anticompetitivo para el sector, o (iii) que la autoridad está limitada en su facultad y no podrá resolver  nuevas condiciones, términos y tarifas de interconexión que las partes no hayan podido acordar.</w:t>
      </w:r>
    </w:p>
    <w:p w14:paraId="5AAAF1EC"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Es importante precisar que las solicitudes presentadas ante la Comisión para determinar condiciones de interconexión no convenidas, deben cumplir precisamente con dicho requisito, es decir, que la solicitud verse sobre condiciones, términos y tarifas de interconexión que no estén comprendidos en </w:t>
      </w:r>
      <w:r w:rsidRPr="00D631CA">
        <w:rPr>
          <w:rFonts w:ascii="ITC Avant Garde" w:hAnsi="ITC Avant Garde" w:cs="Arial"/>
        </w:rPr>
        <w:lastRenderedPageBreak/>
        <w:t>un convenio de interconexión, de tal suerte que de acreditarse dicho presupuesto esencial se materialice la hipótesis normativa contenida en la segunda parte del artículo 42 de la LFT y la Comisión se aboque a resolver dichas condiciones de interconexión no convenidas entre concesionarios.</w:t>
      </w:r>
    </w:p>
    <w:p w14:paraId="580BE087"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Para efectos de lo anterior, es importante atender en primer término lo dispuesto en el Convenio </w:t>
      </w:r>
      <w:proofErr w:type="spellStart"/>
      <w:r w:rsidRPr="00D631CA">
        <w:rPr>
          <w:rFonts w:ascii="ITC Avant Garde" w:hAnsi="ITC Avant Garde" w:cs="Arial"/>
        </w:rPr>
        <w:t>Marcatel</w:t>
      </w:r>
      <w:proofErr w:type="spellEnd"/>
      <w:r w:rsidRPr="00D631CA">
        <w:rPr>
          <w:rFonts w:ascii="ITC Avant Garde" w:hAnsi="ITC Avant Garde" w:cs="Arial"/>
        </w:rPr>
        <w:t>-Grupo Telefónica celebrado el 26 de julio de 2005.</w:t>
      </w:r>
    </w:p>
    <w:p w14:paraId="68252E02"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En el numeral 17.1 de la cláusula Decimoséptima del Convenio </w:t>
      </w:r>
      <w:proofErr w:type="spellStart"/>
      <w:r w:rsidRPr="00D631CA">
        <w:rPr>
          <w:rFonts w:ascii="ITC Avant Garde" w:hAnsi="ITC Avant Garde" w:cs="Arial"/>
        </w:rPr>
        <w:t>Marcatel</w:t>
      </w:r>
      <w:proofErr w:type="spellEnd"/>
      <w:r w:rsidRPr="00D631CA">
        <w:rPr>
          <w:rFonts w:ascii="ITC Avant Garde" w:hAnsi="ITC Avant Garde" w:cs="Arial"/>
        </w:rPr>
        <w:t>-Grupo Telefónica, establece expresamente lo siguiente:</w:t>
      </w:r>
    </w:p>
    <w:p w14:paraId="70468F38"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w:t>
      </w:r>
      <w:r w:rsidRPr="00D631CA">
        <w:rPr>
          <w:rFonts w:ascii="ITC Avant Garde" w:hAnsi="ITC Avant Garde" w:cs="Arial"/>
          <w:b/>
          <w:u w:val="single"/>
        </w:rPr>
        <w:t>PLAZO INICIAL</w:t>
      </w:r>
      <w:r w:rsidRPr="00D631CA">
        <w:rPr>
          <w:rFonts w:ascii="ITC Avant Garde" w:hAnsi="ITC Avant Garde" w:cs="Arial"/>
        </w:rPr>
        <w:t xml:space="preserve">. </w:t>
      </w:r>
      <w:r w:rsidRPr="00D631CA">
        <w:rPr>
          <w:rFonts w:ascii="ITC Avant Garde" w:hAnsi="ITC Avant Garde" w:cs="Arial"/>
          <w:b/>
        </w:rPr>
        <w:t>El presente Convenio permanecerá en vigor hasta el día 31 de diciembre de 2005</w:t>
      </w:r>
      <w:r w:rsidRPr="00D631CA">
        <w:rPr>
          <w:rFonts w:ascii="ITC Avant Garde" w:hAnsi="ITC Avant Garde" w:cs="Arial"/>
        </w:rPr>
        <w:t>, salvo que sea terminado anticipadamente o rescindido […]” [Énfasis añadido].</w:t>
      </w:r>
    </w:p>
    <w:p w14:paraId="0DBB72FD"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Asimismo, el numeral 17.2 de la cláusula Decimoséptima del Convenio </w:t>
      </w:r>
      <w:proofErr w:type="spellStart"/>
      <w:r w:rsidRPr="00D631CA">
        <w:rPr>
          <w:rFonts w:ascii="ITC Avant Garde" w:hAnsi="ITC Avant Garde" w:cs="Arial"/>
        </w:rPr>
        <w:t>Marcatel</w:t>
      </w:r>
      <w:proofErr w:type="spellEnd"/>
      <w:r w:rsidRPr="00D631CA">
        <w:rPr>
          <w:rFonts w:ascii="ITC Avant Garde" w:hAnsi="ITC Avant Garde" w:cs="Arial"/>
        </w:rPr>
        <w:t>-Grupo Telefónica prevé que:</w:t>
      </w:r>
    </w:p>
    <w:p w14:paraId="3CB82962"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w:t>
      </w:r>
      <w:r w:rsidRPr="00D631CA">
        <w:rPr>
          <w:rFonts w:ascii="ITC Avant Garde" w:hAnsi="ITC Avant Garde" w:cs="Arial"/>
          <w:b/>
        </w:rPr>
        <w:t>APLICACIÓN CONTINUA</w:t>
      </w:r>
      <w:r w:rsidRPr="00D631CA">
        <w:rPr>
          <w:rFonts w:ascii="ITC Avant Garde" w:hAnsi="ITC Avant Garde" w:cs="Arial"/>
        </w:rPr>
        <w:t xml:space="preserve">. Sin embargo, si al concluir el plazo inicial del presente Convenio, que vence el 31 de diciembre de 2005, las partes continúan contando con una Red Pública de Telecomunicaciones y con la concesión correspondiente de la Secretaría, no obstante haber terminado el presente Convenio por haber vencido su plazo, sus términos y condiciones continuarán aplicándose, incluyendo las contraprestaciones que hubiesen estado en vigor hasta el día inmediato anterior a la fecha en que se hubiese extinguido el presente Convenio, actualizadas, tratándose de contraprestaciones aplicables a Servicios de Interconexión CONEXXION/PEGASO PCS y Servicios de Tránsito Local, por el transcurso del tiempo y con motivo de los cambios de precios en el país, para lo cual se aplicará el factor de actualización a que se refiere el </w:t>
      </w:r>
      <w:proofErr w:type="spellStart"/>
      <w:r w:rsidRPr="00D631CA">
        <w:rPr>
          <w:rFonts w:ascii="ITC Avant Garde" w:hAnsi="ITC Avant Garde" w:cs="Arial"/>
        </w:rPr>
        <w:t>subinciso</w:t>
      </w:r>
      <w:proofErr w:type="spellEnd"/>
      <w:r w:rsidRPr="00D631CA">
        <w:rPr>
          <w:rFonts w:ascii="ITC Avant Garde" w:hAnsi="ITC Avant Garde" w:cs="Arial"/>
        </w:rPr>
        <w:t xml:space="preserve"> 4.1.5 de la Cláusula Cuarta anterior, pues tratándose de cualesquiera Servicios No Conmutados de Interconexión CONEXXION/PEGASO PCS se aplicarán tarifas vigentes al tiempo en que se lleve a cabo la prestación de los servicios de que se trate, debidamente registradas ante la Comisión. Dichas contraprestaciones continuarán aplicándose hasta que, conforme a lo previsto por el Artículo 42 de la Ley, las partes celebren un nuevo convenio para continuar con la Interconexión entre sus redes. […].</w:t>
      </w:r>
    </w:p>
    <w:p w14:paraId="42B98916"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En todo caso, las partes podrán utilizar </w:t>
      </w:r>
      <w:r w:rsidRPr="00D631CA">
        <w:rPr>
          <w:rFonts w:ascii="ITC Avant Garde" w:hAnsi="ITC Avant Garde" w:cs="Arial"/>
          <w:b/>
        </w:rPr>
        <w:t>el procedimiento contenido en el Artículo 42 de la Ley Federal de Telecomunicaciones para que en todo momento exista vigente un convenio.</w:t>
      </w:r>
      <w:r w:rsidRPr="00D631CA">
        <w:rPr>
          <w:rFonts w:ascii="ITC Avant Garde" w:hAnsi="ITC Avant Garde" w:cs="Arial"/>
        </w:rPr>
        <w:t xml:space="preserve">” </w:t>
      </w:r>
    </w:p>
    <w:p w14:paraId="6BBE3CA6"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lastRenderedPageBreak/>
        <w:t>[Énfasis añadido]</w:t>
      </w:r>
    </w:p>
    <w:p w14:paraId="64395B14" w14:textId="77777777" w:rsidR="00D631CA" w:rsidRPr="00D631CA" w:rsidRDefault="00382941" w:rsidP="00D631CA">
      <w:pPr>
        <w:spacing w:before="240"/>
        <w:ind w:left="567"/>
        <w:jc w:val="both"/>
        <w:rPr>
          <w:rFonts w:ascii="ITC Avant Garde" w:hAnsi="ITC Avant Garde" w:cs="Arial"/>
        </w:rPr>
      </w:pPr>
      <w:r w:rsidRPr="00D631CA">
        <w:rPr>
          <w:rFonts w:ascii="ITC Avant Garde" w:hAnsi="ITC Avant Garde" w:cs="Arial"/>
        </w:rPr>
        <w:t xml:space="preserve">Como se desprende de lo anterior, las partes pactaron expresamente que el Convenio </w:t>
      </w:r>
      <w:proofErr w:type="spellStart"/>
      <w:r w:rsidRPr="00D631CA">
        <w:rPr>
          <w:rFonts w:ascii="ITC Avant Garde" w:hAnsi="ITC Avant Garde" w:cs="Arial"/>
        </w:rPr>
        <w:t>Marcatel</w:t>
      </w:r>
      <w:proofErr w:type="spellEnd"/>
      <w:r w:rsidRPr="00D631CA">
        <w:rPr>
          <w:rFonts w:ascii="ITC Avant Garde" w:hAnsi="ITC Avant Garde" w:cs="Arial"/>
        </w:rPr>
        <w:t xml:space="preserve">-Grupo Telefónica se extinguiría el 31 de diciembre de 2005. Sin embargo, también pactaron que al actualizarse la condición prevista en el numeral 17.2 de la cláusula Decimoséptima del Convenio </w:t>
      </w:r>
      <w:proofErr w:type="spellStart"/>
      <w:r w:rsidRPr="00D631CA">
        <w:rPr>
          <w:rFonts w:ascii="ITC Avant Garde" w:hAnsi="ITC Avant Garde" w:cs="Arial"/>
        </w:rPr>
        <w:t>Marcatel</w:t>
      </w:r>
      <w:proofErr w:type="spellEnd"/>
      <w:r w:rsidRPr="00D631CA">
        <w:rPr>
          <w:rFonts w:ascii="ITC Avant Garde" w:hAnsi="ITC Avant Garde" w:cs="Arial"/>
        </w:rPr>
        <w:t>-Grupo Telefónica, en el sentido que si al concluir el plazo inicial de aplicación de dicho instrumento, si las partes continuaban siendo titulares de su red pública de telecomunicaciones concesionada por la Secretaría, las partes continuarían aplicando los términos y condiciones pactados en sus convenios.</w:t>
      </w:r>
    </w:p>
    <w:p w14:paraId="39769784" w14:textId="77777777" w:rsidR="00D631CA" w:rsidRPr="00D631CA" w:rsidRDefault="00382941" w:rsidP="00D631CA">
      <w:pPr>
        <w:spacing w:before="240"/>
        <w:ind w:left="567"/>
        <w:jc w:val="both"/>
        <w:rPr>
          <w:rFonts w:ascii="ITC Avant Garde" w:hAnsi="ITC Avant Garde" w:cs="Arial"/>
        </w:rPr>
      </w:pPr>
      <w:r w:rsidRPr="00D631CA">
        <w:rPr>
          <w:rFonts w:ascii="ITC Avant Garde" w:hAnsi="ITC Avant Garde" w:cs="Arial"/>
        </w:rPr>
        <w:t xml:space="preserve">No obstante lo anterior, también se aprecia que se estableció dentro del Convenio </w:t>
      </w:r>
      <w:proofErr w:type="spellStart"/>
      <w:r w:rsidRPr="00D631CA">
        <w:rPr>
          <w:rFonts w:ascii="ITC Avant Garde" w:hAnsi="ITC Avant Garde" w:cs="Arial"/>
        </w:rPr>
        <w:t>Marcatel</w:t>
      </w:r>
      <w:proofErr w:type="spellEnd"/>
      <w:r w:rsidRPr="00D631CA">
        <w:rPr>
          <w:rFonts w:ascii="ITC Avant Garde" w:hAnsi="ITC Avant Garde" w:cs="Arial"/>
        </w:rPr>
        <w:t>-Grupo Telefónica, que las partes podrían acudir ante la Comisión para resolver cualquier desacuerdo de interconexión en términos del artículo 42 de la LFT, es decir, las partes expresamente dejaron a salvo su derecho de solicitar la intervención de la autoridad en caso de que no pudieran llegar a un acuerdo respecto de los términos y condiciones de la interconexión entre sus redes. Lo anterior, resulta lógico ya que asumir lo contrario será tanto como obligar a las partes a quedar sujetas a términos y condiciones inamovibles que en un sector tan dinámico y competitivo como el de las telecomunicaciones puede resultar arcaico y anticompetitivo para el sector.</w:t>
      </w:r>
    </w:p>
    <w:p w14:paraId="1EFCB207" w14:textId="77777777" w:rsidR="00D631CA" w:rsidRPr="00D631CA" w:rsidRDefault="00382941" w:rsidP="00D631CA">
      <w:pPr>
        <w:spacing w:before="240"/>
        <w:ind w:left="567"/>
        <w:jc w:val="both"/>
        <w:rPr>
          <w:rFonts w:ascii="ITC Avant Garde" w:hAnsi="ITC Avant Garde" w:cs="Arial"/>
        </w:rPr>
      </w:pPr>
      <w:r w:rsidRPr="00D631CA">
        <w:rPr>
          <w:rFonts w:ascii="ITC Avant Garde" w:hAnsi="ITC Avant Garde" w:cs="Arial"/>
        </w:rPr>
        <w:t xml:space="preserve">Tan es así, que en el numeral 17.2 de la Cláusula Decimoséptima del Convenio </w:t>
      </w:r>
      <w:proofErr w:type="spellStart"/>
      <w:r w:rsidRPr="00D631CA">
        <w:rPr>
          <w:rFonts w:ascii="ITC Avant Garde" w:hAnsi="ITC Avant Garde" w:cs="Arial"/>
        </w:rPr>
        <w:t>Marcatel</w:t>
      </w:r>
      <w:proofErr w:type="spellEnd"/>
      <w:r w:rsidRPr="00D631CA">
        <w:rPr>
          <w:rFonts w:ascii="ITC Avant Garde" w:hAnsi="ITC Avant Garde" w:cs="Arial"/>
        </w:rPr>
        <w:t>-Grupo Telefónica, se establece expresamente que para la celebración del nuevo convenio las partes pueden utilizar el procedimiento contenido en el artículo 42 de la LFT, esto es, que de no llegar a un acuerdo en la celebración del nuevo convenio, dentro de un plazo de 60 (sesenta) días contados a partir de que alguna de ellas lo solicite, la autoridad competente, en la especie, la Comisión, a solicitud de cualquiera de las partes resolverá sobre las condiciones que no hayan podido convenir.</w:t>
      </w:r>
    </w:p>
    <w:p w14:paraId="2F7FE3E6" w14:textId="77777777" w:rsidR="00D631CA" w:rsidRPr="00D631CA" w:rsidRDefault="00382941" w:rsidP="00D631CA">
      <w:pPr>
        <w:spacing w:before="240"/>
        <w:ind w:left="567"/>
        <w:jc w:val="both"/>
        <w:rPr>
          <w:rFonts w:ascii="ITC Avant Garde" w:hAnsi="ITC Avant Garde" w:cs="Arial"/>
        </w:rPr>
      </w:pPr>
      <w:r w:rsidRPr="00D631CA">
        <w:rPr>
          <w:rFonts w:ascii="ITC Avant Garde" w:hAnsi="ITC Avant Garde" w:cs="Arial"/>
        </w:rPr>
        <w:t xml:space="preserve">En este orden de ideas, no resulta fundado y en consecuencia atendible lo señalado por Grupo Telefónica respecto a que no se actualiza la hipótesis normativa contenida en el artículo 42 de la LFT, en el sentido de que </w:t>
      </w:r>
      <w:proofErr w:type="spellStart"/>
      <w:r w:rsidRPr="00D631CA">
        <w:rPr>
          <w:rFonts w:ascii="ITC Avant Garde" w:hAnsi="ITC Avant Garde" w:cs="Arial"/>
        </w:rPr>
        <w:t>Marcatel</w:t>
      </w:r>
      <w:proofErr w:type="spellEnd"/>
      <w:r w:rsidRPr="00D631CA">
        <w:rPr>
          <w:rFonts w:ascii="ITC Avant Garde" w:hAnsi="ITC Avant Garde" w:cs="Arial"/>
        </w:rPr>
        <w:t xml:space="preserve"> y Grupo Telefónica acordaron lo conducente para el caso de que no existiera una tarifa legalmente establecida al término dela vigencia del Convenio </w:t>
      </w:r>
      <w:proofErr w:type="spellStart"/>
      <w:r w:rsidRPr="00D631CA">
        <w:rPr>
          <w:rFonts w:ascii="ITC Avant Garde" w:hAnsi="ITC Avant Garde" w:cs="Arial"/>
        </w:rPr>
        <w:t>Marcatel</w:t>
      </w:r>
      <w:proofErr w:type="spellEnd"/>
      <w:r w:rsidRPr="00D631CA">
        <w:rPr>
          <w:rFonts w:ascii="ITC Avant Garde" w:hAnsi="ITC Avant Garde" w:cs="Arial"/>
        </w:rPr>
        <w:t>-Grupo Telefónica.</w:t>
      </w:r>
    </w:p>
    <w:p w14:paraId="11338052" w14:textId="77777777" w:rsidR="00D631CA" w:rsidRPr="00D631CA" w:rsidRDefault="00382941" w:rsidP="00D631CA">
      <w:pPr>
        <w:spacing w:before="240"/>
        <w:ind w:left="567"/>
        <w:jc w:val="both"/>
        <w:rPr>
          <w:rFonts w:ascii="ITC Avant Garde" w:hAnsi="ITC Avant Garde" w:cs="Arial"/>
        </w:rPr>
      </w:pPr>
      <w:r w:rsidRPr="00D631CA">
        <w:rPr>
          <w:rFonts w:ascii="ITC Avant Garde" w:hAnsi="ITC Avant Garde" w:cs="Arial"/>
        </w:rPr>
        <w:t xml:space="preserve">Por tanto, si bien en su momento operó el acuerdo para la aplicación continua de los términos, condiciones y contraprestaciones del multicitado convenio, éste tuvo como vigencia la condición de la celebración de un nuevo convenio de interconexión conforme al procedimiento establecido en el artículo 42 de la LFT. De ahí que resulte inaplicable la cláusula 4.1.2 del Convenio </w:t>
      </w:r>
      <w:proofErr w:type="spellStart"/>
      <w:r w:rsidRPr="00D631CA">
        <w:rPr>
          <w:rFonts w:ascii="ITC Avant Garde" w:hAnsi="ITC Avant Garde" w:cs="Arial"/>
        </w:rPr>
        <w:t>Marcatel</w:t>
      </w:r>
      <w:proofErr w:type="spellEnd"/>
      <w:r w:rsidRPr="00D631CA">
        <w:rPr>
          <w:rFonts w:ascii="ITC Avant Garde" w:hAnsi="ITC Avant Garde" w:cs="Arial"/>
        </w:rPr>
        <w:t xml:space="preserve">-Grupo Telefónica, toda vez que la </w:t>
      </w:r>
      <w:r w:rsidRPr="00D631CA">
        <w:rPr>
          <w:rFonts w:ascii="ITC Avant Garde" w:hAnsi="ITC Avant Garde" w:cs="Arial"/>
        </w:rPr>
        <w:lastRenderedPageBreak/>
        <w:t>aplicación continua de los términos y condiciones de dicho convenio, terminará en el caso de que conforme a lo previsto por el artículo 42 de la LFT las partes celebren un nuevo convenio, para lo cual se sujetarían al procedimiento contenido en dicho precepto legal.</w:t>
      </w:r>
    </w:p>
    <w:p w14:paraId="2ECDF535" w14:textId="77777777" w:rsidR="00D631CA" w:rsidRPr="00D631CA" w:rsidRDefault="00382941" w:rsidP="00D631CA">
      <w:pPr>
        <w:spacing w:before="240"/>
        <w:ind w:left="567"/>
        <w:jc w:val="both"/>
        <w:rPr>
          <w:rFonts w:ascii="ITC Avant Garde" w:hAnsi="ITC Avant Garde" w:cs="Arial"/>
        </w:rPr>
      </w:pPr>
      <w:r w:rsidRPr="00D631CA">
        <w:rPr>
          <w:rFonts w:ascii="ITC Avant Garde" w:hAnsi="ITC Avant Garde" w:cs="Arial"/>
        </w:rPr>
        <w:t xml:space="preserve">En este tenor, la solicitud formulada por </w:t>
      </w:r>
      <w:proofErr w:type="spellStart"/>
      <w:r w:rsidRPr="00D631CA">
        <w:rPr>
          <w:rFonts w:ascii="ITC Avant Garde" w:hAnsi="ITC Avant Garde" w:cs="Arial"/>
        </w:rPr>
        <w:t>Marcatel</w:t>
      </w:r>
      <w:proofErr w:type="spellEnd"/>
      <w:r w:rsidRPr="00D631CA">
        <w:rPr>
          <w:rFonts w:ascii="ITC Avant Garde" w:hAnsi="ITC Avant Garde" w:cs="Arial"/>
        </w:rPr>
        <w:t xml:space="preserve"> a Grupo Telefónica a efecto acordar los términos, condiciones y tarifas de interconexión entre sus respectivas redes públicas de telecomunicaciones, consistieron en peticiones para acordar un nuevo convenio de interconexión y una vez transcurrido el plazo de 60 (sesenta) días establecido para tal efecto en la legislación aplicable, sin que las partes llegaran a un acuerdo, es que </w:t>
      </w:r>
      <w:proofErr w:type="spellStart"/>
      <w:r w:rsidRPr="00D631CA">
        <w:rPr>
          <w:rFonts w:ascii="ITC Avant Garde" w:hAnsi="ITC Avant Garde" w:cs="Arial"/>
        </w:rPr>
        <w:t>Marcatel</w:t>
      </w:r>
      <w:proofErr w:type="spellEnd"/>
      <w:r w:rsidRPr="00D631CA">
        <w:rPr>
          <w:rFonts w:ascii="ITC Avant Garde" w:hAnsi="ITC Avant Garde" w:cs="Arial"/>
        </w:rPr>
        <w:t xml:space="preserve"> solicitó la intervención de esta autoridad para resolver las condiciones que no acordó para la interconexión de su red pública de telecomunicaciones.</w:t>
      </w:r>
    </w:p>
    <w:p w14:paraId="1B7CBE43" w14:textId="77777777" w:rsidR="00D631CA" w:rsidRPr="00D631CA" w:rsidRDefault="00382941" w:rsidP="00D631CA">
      <w:pPr>
        <w:spacing w:before="240"/>
        <w:ind w:left="567"/>
        <w:jc w:val="both"/>
        <w:rPr>
          <w:rFonts w:ascii="ITC Avant Garde" w:hAnsi="ITC Avant Garde" w:cs="Arial"/>
        </w:rPr>
      </w:pPr>
      <w:r w:rsidRPr="00D631CA">
        <w:rPr>
          <w:rFonts w:ascii="ITC Avant Garde" w:hAnsi="ITC Avant Garde" w:cs="Arial"/>
        </w:rPr>
        <w:t xml:space="preserve">Por otra parte, es importante señalar que las partes en el Convenio </w:t>
      </w:r>
      <w:proofErr w:type="spellStart"/>
      <w:r w:rsidRPr="00D631CA">
        <w:rPr>
          <w:rFonts w:ascii="ITC Avant Garde" w:hAnsi="ITC Avant Garde" w:cs="Arial"/>
        </w:rPr>
        <w:t>Marcatel</w:t>
      </w:r>
      <w:proofErr w:type="spellEnd"/>
      <w:r w:rsidRPr="00D631CA">
        <w:rPr>
          <w:rFonts w:ascii="ITC Avant Garde" w:hAnsi="ITC Avant Garde" w:cs="Arial"/>
        </w:rPr>
        <w:t>-Grupo Telefónica, reconocen expresamente la facultad que tiene la autoridad para resolver las condiciones de interconexión conforme a lo establecido en el artículo 42 de la LFT, al haber estipulado en el numeral 17.2 de la cláusula Decimoséptima, que la vigencia en la aplicación continua de los términos, condiciones y contraprestaciones está sujeta a la condición de la celebración de nuevos convenios conforme al procedimiento previsto en el precepto legal en cita.</w:t>
      </w:r>
    </w:p>
    <w:p w14:paraId="43F8A079" w14:textId="77777777" w:rsidR="00D631CA" w:rsidRPr="00D631CA" w:rsidRDefault="00382941" w:rsidP="00D631CA">
      <w:pPr>
        <w:spacing w:before="240"/>
        <w:ind w:left="567"/>
        <w:jc w:val="both"/>
        <w:rPr>
          <w:rFonts w:ascii="ITC Avant Garde" w:hAnsi="ITC Avant Garde" w:cs="Arial"/>
        </w:rPr>
      </w:pPr>
      <w:r w:rsidRPr="00D631CA">
        <w:rPr>
          <w:rFonts w:ascii="ITC Avant Garde" w:hAnsi="ITC Avant Garde" w:cs="Arial"/>
        </w:rPr>
        <w:t xml:space="preserve">En este sentido y de las manifestaciones hechas por las partes, se desprende que los supuestos requeridos por el artículo 42 de la LFT se materializaron y es así que la Comisión tiene facultades para intervenir y resolver las condiciones de interconexión planteadas por </w:t>
      </w:r>
      <w:proofErr w:type="spellStart"/>
      <w:r w:rsidRPr="00D631CA">
        <w:rPr>
          <w:rFonts w:ascii="ITC Avant Garde" w:hAnsi="ITC Avant Garde" w:cs="Arial"/>
        </w:rPr>
        <w:t>Marcatel</w:t>
      </w:r>
      <w:proofErr w:type="spellEnd"/>
      <w:r w:rsidRPr="00D631CA">
        <w:rPr>
          <w:rFonts w:ascii="ITC Avant Garde" w:hAnsi="ITC Avant Garde" w:cs="Arial"/>
        </w:rPr>
        <w:t xml:space="preserve">. Lo anterior, en concordancia con lo pactado por las partes en el numeral 17.2 de la cláusula Decimoséptima del Convenio </w:t>
      </w:r>
      <w:proofErr w:type="spellStart"/>
      <w:r w:rsidRPr="00D631CA">
        <w:rPr>
          <w:rFonts w:ascii="ITC Avant Garde" w:hAnsi="ITC Avant Garde" w:cs="Arial"/>
        </w:rPr>
        <w:t>Marcatel</w:t>
      </w:r>
      <w:proofErr w:type="spellEnd"/>
      <w:r w:rsidRPr="00D631CA">
        <w:rPr>
          <w:rFonts w:ascii="ITC Avant Garde" w:hAnsi="ITC Avant Garde" w:cs="Arial"/>
        </w:rPr>
        <w:t>-Grupo Telefónica, en el sentido de que los referidos concesionarios continuarían aplicando los términos, condiciones y contraprestaciones hasta que conforme a lo previsto por el artículo 42 de la LFT, las partes celebren un nuevo convenio para continuar con la interconexión de sus redes.</w:t>
      </w:r>
    </w:p>
    <w:p w14:paraId="5CAD9FA4" w14:textId="77777777" w:rsidR="00D631CA" w:rsidRPr="00D631CA" w:rsidRDefault="00382941" w:rsidP="00D631CA">
      <w:pPr>
        <w:spacing w:before="240"/>
        <w:ind w:left="567"/>
        <w:jc w:val="both"/>
        <w:rPr>
          <w:rFonts w:ascii="ITC Avant Garde" w:hAnsi="ITC Avant Garde" w:cs="Arial"/>
        </w:rPr>
      </w:pPr>
      <w:r w:rsidRPr="00D631CA">
        <w:rPr>
          <w:rFonts w:ascii="ITC Avant Garde" w:hAnsi="ITC Avant Garde" w:cs="Arial"/>
        </w:rPr>
        <w:t xml:space="preserve">Es importante precisar que en el Anexo “C” de Precios y Tarifas del Convenio </w:t>
      </w:r>
      <w:proofErr w:type="spellStart"/>
      <w:r w:rsidRPr="00D631CA">
        <w:rPr>
          <w:rFonts w:ascii="ITC Avant Garde" w:hAnsi="ITC Avant Garde" w:cs="Arial"/>
        </w:rPr>
        <w:t>Marcatel</w:t>
      </w:r>
      <w:proofErr w:type="spellEnd"/>
      <w:r w:rsidRPr="00D631CA">
        <w:rPr>
          <w:rFonts w:ascii="ITC Avant Garde" w:hAnsi="ITC Avant Garde" w:cs="Arial"/>
        </w:rPr>
        <w:t>-Grupo Telefónica, las partes pactaron expresamente las tarifas de interconexión aplicables para los años 2005 al 2010. Sin embargo no existe documento alguno en que las partes hayan pactado tarifas de interconexión para 2011.</w:t>
      </w:r>
    </w:p>
    <w:p w14:paraId="1A1C8499" w14:textId="77777777" w:rsidR="00D631CA" w:rsidRPr="00D631CA" w:rsidRDefault="00382941" w:rsidP="00D631CA">
      <w:pPr>
        <w:spacing w:before="240"/>
        <w:ind w:left="567"/>
        <w:jc w:val="both"/>
        <w:rPr>
          <w:rFonts w:ascii="ITC Avant Garde" w:hAnsi="ITC Avant Garde" w:cs="Arial"/>
        </w:rPr>
      </w:pPr>
      <w:r w:rsidRPr="00D631CA">
        <w:rPr>
          <w:rFonts w:ascii="ITC Avant Garde" w:hAnsi="ITC Avant Garde" w:cs="Arial"/>
        </w:rPr>
        <w:t xml:space="preserve">En este sentido resultan improcedentes por infundados los argumentos de Grupo  Telefónica en cuanto a que ya existen  condiciones acordadas y vigentes para 2011, por lo que al haberse solicitado a Grupo Telefónica por parte de </w:t>
      </w:r>
      <w:proofErr w:type="spellStart"/>
      <w:r w:rsidRPr="00D631CA">
        <w:rPr>
          <w:rFonts w:ascii="ITC Avant Garde" w:hAnsi="ITC Avant Garde" w:cs="Arial"/>
        </w:rPr>
        <w:t>Marcatel</w:t>
      </w:r>
      <w:proofErr w:type="spellEnd"/>
      <w:r w:rsidRPr="00D631CA">
        <w:rPr>
          <w:rFonts w:ascii="ITC Avant Garde" w:hAnsi="ITC Avant Garde" w:cs="Arial"/>
        </w:rPr>
        <w:t xml:space="preserve"> con fecha 2 de agosto de 2011, la negociaciones de las tarifas de interconexión entre sus redes </w:t>
      </w:r>
      <w:r w:rsidRPr="00D631CA">
        <w:rPr>
          <w:rFonts w:ascii="ITC Avant Garde" w:hAnsi="ITC Avant Garde" w:cs="Arial"/>
        </w:rPr>
        <w:lastRenderedPageBreak/>
        <w:t>aplicables a partir del 1° de enero de 2011, sin que a la fecha de emisión de la presente Resolución dichos concesionarios hubieren acordado las referidas tarifas, esta Comisión de conformidad con los artículos 9-A fracción X y 42 de la LFT, se aboca a resolver sobre aquellos puntos de desacuerdo sometidos a su consideración.</w:t>
      </w:r>
    </w:p>
    <w:p w14:paraId="4B032F04" w14:textId="77777777" w:rsidR="00D631CA" w:rsidRPr="00D631CA" w:rsidRDefault="00382941" w:rsidP="00D631CA">
      <w:pPr>
        <w:spacing w:before="240"/>
        <w:ind w:left="567"/>
        <w:jc w:val="both"/>
        <w:rPr>
          <w:rFonts w:ascii="ITC Avant Garde" w:hAnsi="ITC Avant Garde" w:cs="Arial"/>
        </w:rPr>
      </w:pPr>
      <w:r w:rsidRPr="00D631CA">
        <w:rPr>
          <w:rFonts w:ascii="ITC Avant Garde" w:hAnsi="ITC Avant Garde" w:cs="Arial"/>
        </w:rPr>
        <w:t xml:space="preserve">En este sentido, </w:t>
      </w:r>
      <w:proofErr w:type="spellStart"/>
      <w:r w:rsidRPr="00D631CA">
        <w:rPr>
          <w:rFonts w:ascii="ITC Avant Garde" w:hAnsi="ITC Avant Garde" w:cs="Arial"/>
        </w:rPr>
        <w:t>Marcatel</w:t>
      </w:r>
      <w:proofErr w:type="spellEnd"/>
      <w:r w:rsidRPr="00D631CA">
        <w:rPr>
          <w:rFonts w:ascii="ITC Avant Garde" w:hAnsi="ITC Avant Garde" w:cs="Arial"/>
        </w:rPr>
        <w:t xml:space="preserve"> señaló que no pudo convenir con Grupo Telefónica, entre otros, las tarifas de interconexión entre sus redes aplicables a partir del 1° de enero de 2011 entre sus respectivas redes públicas de telecomunicaciones, petición que </w:t>
      </w:r>
      <w:proofErr w:type="spellStart"/>
      <w:r w:rsidRPr="00D631CA">
        <w:rPr>
          <w:rFonts w:ascii="ITC Avant Garde" w:hAnsi="ITC Avant Garde" w:cs="Arial"/>
        </w:rPr>
        <w:t>Marcatel</w:t>
      </w:r>
      <w:proofErr w:type="spellEnd"/>
      <w:r w:rsidRPr="00D631CA">
        <w:rPr>
          <w:rFonts w:ascii="ITC Avant Garde" w:hAnsi="ITC Avant Garde" w:cs="Arial"/>
        </w:rPr>
        <w:t xml:space="preserve"> hizo a Grupo Telefónica con fecha 2 de agosto de 2011.</w:t>
      </w:r>
    </w:p>
    <w:p w14:paraId="409B61C3" w14:textId="77777777" w:rsidR="00D631CA" w:rsidRPr="00D631CA" w:rsidRDefault="00382941" w:rsidP="00D631CA">
      <w:pPr>
        <w:spacing w:before="240"/>
        <w:ind w:left="567"/>
        <w:jc w:val="both"/>
        <w:rPr>
          <w:rFonts w:ascii="ITC Avant Garde" w:hAnsi="ITC Avant Garde" w:cs="Arial"/>
        </w:rPr>
      </w:pPr>
      <w:r w:rsidRPr="00D631CA">
        <w:rPr>
          <w:rFonts w:ascii="ITC Avant Garde" w:hAnsi="ITC Avant Garde" w:cs="Arial"/>
        </w:rPr>
        <w:t xml:space="preserve">De lo anterior, se desprende que la Solicitud de Resolución efectivamente versa sobre tarifas de interconexión no convenidas por las partes para 2011. En consecuencia, es procedente la petición de </w:t>
      </w:r>
      <w:proofErr w:type="spellStart"/>
      <w:r w:rsidRPr="00D631CA">
        <w:rPr>
          <w:rFonts w:ascii="ITC Avant Garde" w:hAnsi="ITC Avant Garde" w:cs="Arial"/>
        </w:rPr>
        <w:t>Marcatel</w:t>
      </w:r>
      <w:proofErr w:type="spellEnd"/>
      <w:r w:rsidRPr="00D631CA">
        <w:rPr>
          <w:rFonts w:ascii="ITC Avant Garde" w:hAnsi="ITC Avant Garde" w:cs="Arial"/>
        </w:rPr>
        <w:t xml:space="preserve"> y se acredita el presupuesto esencial contenido en la segunda parte de los artículos 9-A fracción X y 42 de la LFT, a efecto de que esta Comisión se aboque a resolver dichas tarifas de interconexión no convenidas entre </w:t>
      </w:r>
      <w:proofErr w:type="spellStart"/>
      <w:r w:rsidRPr="00D631CA">
        <w:rPr>
          <w:rFonts w:ascii="ITC Avant Garde" w:hAnsi="ITC Avant Garde" w:cs="Arial"/>
        </w:rPr>
        <w:t>Marcatel</w:t>
      </w:r>
      <w:proofErr w:type="spellEnd"/>
      <w:r w:rsidRPr="00D631CA">
        <w:rPr>
          <w:rFonts w:ascii="ITC Avant Garde" w:hAnsi="ITC Avant Garde" w:cs="Arial"/>
        </w:rPr>
        <w:t xml:space="preserve"> y Grupo Telefónica.”</w:t>
      </w:r>
    </w:p>
    <w:p w14:paraId="04703DA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Es el caso que la Recurrente no controvierte las consideraciones citadas, que llevaron a la Comisión a determinar que no existían tarifas previamente convenidas entre las partes del desacuerdo, para el periodo del 1 de noviembre al 31 de diciembre de 2011.</w:t>
      </w:r>
    </w:p>
    <w:p w14:paraId="69D73ECA"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Lo anterior, sin perjuicio que los argumentos expuestos en el correlativo son inoperantes al no controvertir las consideraciones citadas, en tanto que constituyen reiteraciones de lo argumentado en el procedimiento del que emana la Resolución, y que fueron estudiados en los términos transcritos.</w:t>
      </w:r>
    </w:p>
    <w:p w14:paraId="27A33069" w14:textId="77777777" w:rsidR="00D631CA" w:rsidRPr="00D631CA" w:rsidRDefault="00382941" w:rsidP="00D631CA">
      <w:pPr>
        <w:numPr>
          <w:ilvl w:val="0"/>
          <w:numId w:val="2"/>
        </w:numPr>
        <w:spacing w:before="240"/>
        <w:contextualSpacing/>
        <w:jc w:val="both"/>
        <w:rPr>
          <w:rFonts w:ascii="ITC Avant Garde" w:hAnsi="ITC Avant Garde" w:cs="Arial"/>
        </w:rPr>
      </w:pPr>
      <w:r w:rsidRPr="00D631CA">
        <w:rPr>
          <w:rFonts w:ascii="ITC Avant Garde" w:hAnsi="ITC Avant Garde" w:cs="Arial"/>
        </w:rPr>
        <w:t xml:space="preserve">En relación con lo manifestado por la Recurrente en el agravio </w:t>
      </w:r>
      <w:r w:rsidRPr="00D631CA">
        <w:rPr>
          <w:rFonts w:ascii="ITC Avant Garde" w:hAnsi="ITC Avant Garde" w:cs="Arial"/>
          <w:b/>
        </w:rPr>
        <w:t>DÉCIMO CUARTO</w:t>
      </w:r>
      <w:r w:rsidRPr="00D631CA">
        <w:rPr>
          <w:rFonts w:ascii="ITC Avant Garde" w:hAnsi="ITC Avant Garde" w:cs="Arial"/>
        </w:rPr>
        <w:t>, en el que invoca que la Resolución Recurrida carece de fundamentación y es objeto de una deficiente motivación, al declarar que la tarifa de facturación y cobranza no es materia del desacuerdo de interconexión en virtud de que dicha tarifa forma parte de la tarifa que se cobra al usuario final, de ahí que se regule bajo el principio de libertad tarifaria, es infundado.</w:t>
      </w:r>
    </w:p>
    <w:p w14:paraId="1BD636A3"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Los argumentos de la Recurrente son infundados, ya que en la Resolución Recurrida se </w:t>
      </w:r>
      <w:r w:rsidRPr="00D631CA">
        <w:rPr>
          <w:rFonts w:ascii="ITC Avant Garde" w:hAnsi="ITC Avant Garde" w:cs="Arial"/>
          <w:b/>
        </w:rPr>
        <w:t>fundamentó y motivó</w:t>
      </w:r>
      <w:r w:rsidRPr="00D631CA">
        <w:rPr>
          <w:rFonts w:ascii="ITC Avant Garde" w:hAnsi="ITC Avant Garde" w:cs="Arial"/>
        </w:rPr>
        <w:t xml:space="preserve"> la determinación respecto de que la tarifa de facturación y cobranza no es materia del desacuerdo de interconexión en los siguientes términos:</w:t>
      </w:r>
    </w:p>
    <w:p w14:paraId="480A6019" w14:textId="77777777" w:rsidR="00D631CA" w:rsidRPr="00D631CA" w:rsidRDefault="00382941" w:rsidP="00D631CA">
      <w:pPr>
        <w:autoSpaceDE w:val="0"/>
        <w:autoSpaceDN w:val="0"/>
        <w:adjustRightInd w:val="0"/>
        <w:spacing w:before="240"/>
        <w:ind w:left="567" w:right="851"/>
        <w:jc w:val="both"/>
        <w:rPr>
          <w:rFonts w:ascii="ITC Avant Garde" w:hAnsi="ITC Avant Garde" w:cs="Arial"/>
          <w:lang w:eastAsia="es-MX"/>
        </w:rPr>
      </w:pPr>
      <w:r w:rsidRPr="00D631CA">
        <w:rPr>
          <w:rFonts w:ascii="ITC Avant Garde" w:hAnsi="ITC Avant Garde" w:cs="Arial"/>
          <w:lang w:eastAsia="es-MX"/>
        </w:rPr>
        <w:t xml:space="preserve">“Con relación al argumento del sobreprecio aplicado por los Solicitantes a sus usuarios finales, esta Comisión sostiene que, con fundamento en los articulas 42, 60 y 63 de la LFT, únicamente pueden ser materia del procedimiento administrativo en que se actúa, las condiciones de interconexión no convenidas </w:t>
      </w:r>
      <w:r w:rsidRPr="00D631CA">
        <w:rPr>
          <w:rFonts w:ascii="ITC Avant Garde" w:hAnsi="ITC Avant Garde" w:cs="Arial"/>
          <w:lang w:eastAsia="es-MX"/>
        </w:rPr>
        <w:lastRenderedPageBreak/>
        <w:t>entre las partes, tal y como sucede con las tarifas de interconexión planteadas por los Solicitantes. No siendo materia del presente desacuerdo la determinación de las tarifas aplicables por concepto de facturación y cobranza, ya que éstas forman parte de la tarifa que cobra el concesionario al usuario final, de ahí que se regulen bajo el principio de libertad tarifaría, ante lo cual esta Comisión carece de facultades para su determinación.”</w:t>
      </w:r>
    </w:p>
    <w:p w14:paraId="40CC9BE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En este sentido, la Comisión fundó y motivó debidamente su determinación, toda vez que las tarifas aplicables por concepto de facturación y cobranza son establecidas por el concesionario fijo que determina el precio al público de conformidad con el principio de libertad tarifaria, de ahí que incluso dichas tarifas al usuario final sean sometidas para registro de esta Comisión en términos del artículo 60 de la LFT. </w:t>
      </w:r>
    </w:p>
    <w:p w14:paraId="4E83DF24" w14:textId="51157F97" w:rsidR="00382941" w:rsidRPr="00D631CA" w:rsidRDefault="00382941" w:rsidP="00D631CA">
      <w:pPr>
        <w:spacing w:before="240"/>
        <w:jc w:val="both"/>
        <w:rPr>
          <w:rFonts w:ascii="ITC Avant Garde" w:hAnsi="ITC Avant Garde" w:cs="Arial"/>
          <w:highlight w:val="cyan"/>
        </w:rPr>
      </w:pPr>
      <w:r w:rsidRPr="00D631CA">
        <w:rPr>
          <w:rFonts w:ascii="ITC Avant Garde" w:hAnsi="ITC Avant Garde" w:cs="Arial"/>
        </w:rPr>
        <w:t>Lo anterior, se corrobora con el hecho de que mediante registro con número de folio 8886 de fecha 16 de noviembre de 2011, se inscribió en el Registro de Telecomunicaciones de la propia Comisión las tarifas aplicadas por Teléfonos de México, S.A.B. de C.V. respecto de las tarifas al público para llamadas bajo la modalidad “el que llama paga”. De ahí que resulte infundado el argumento hecho valer por la Recurrente.</w:t>
      </w:r>
    </w:p>
    <w:p w14:paraId="121CDA42" w14:textId="77777777" w:rsidR="00D631CA" w:rsidRPr="00D631CA" w:rsidRDefault="00382941" w:rsidP="00D631CA">
      <w:pPr>
        <w:numPr>
          <w:ilvl w:val="0"/>
          <w:numId w:val="2"/>
        </w:numPr>
        <w:spacing w:before="240"/>
        <w:contextualSpacing/>
        <w:jc w:val="both"/>
        <w:rPr>
          <w:rFonts w:ascii="ITC Avant Garde" w:hAnsi="ITC Avant Garde" w:cs="Arial"/>
        </w:rPr>
      </w:pPr>
      <w:r w:rsidRPr="00D631CA">
        <w:rPr>
          <w:rFonts w:ascii="ITC Avant Garde" w:hAnsi="ITC Avant Garde" w:cs="Arial"/>
        </w:rPr>
        <w:t xml:space="preserve">En relación con lo manifestado por la Recurrente en el agravio </w:t>
      </w:r>
      <w:r w:rsidRPr="00D631CA">
        <w:rPr>
          <w:rFonts w:ascii="ITC Avant Garde" w:hAnsi="ITC Avant Garde" w:cs="Arial"/>
          <w:b/>
        </w:rPr>
        <w:t>DÉCIMO QUINTO</w:t>
      </w:r>
      <w:r w:rsidRPr="00D631CA">
        <w:rPr>
          <w:rFonts w:ascii="ITC Avant Garde" w:hAnsi="ITC Avant Garde" w:cs="Arial"/>
        </w:rPr>
        <w:t>, en el que invoca que la Comisión debe resolver debidamente la objeción de documentos hecha valer por la Recurrente en el inicio del procedimiento y tomarla en consideración al momento de valorar las pruebas ofrecidas por las partes, es inoperante.</w:t>
      </w:r>
    </w:p>
    <w:p w14:paraId="7AFF7A2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Lo argumentado por la Recurrente en el agravio en estudio es inoperante, ya que no precisa de manera concreta y puntual en qué forma sus objeciones de documentos hubieran variado el sentido de la Resolución Recurrida, por lo que sus manifestaciones son inoperantes por insuficientes. </w:t>
      </w:r>
    </w:p>
    <w:p w14:paraId="7B79EADD"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Siendo aplicables por analogía los siguientes criterios emitidos por el Poder Judicial de la Federación, que al efecto señalan:</w:t>
      </w:r>
    </w:p>
    <w:p w14:paraId="14EE4FAF" w14:textId="35FE651D" w:rsidR="00382941" w:rsidRPr="00D631CA" w:rsidRDefault="00382941" w:rsidP="00D631CA">
      <w:pPr>
        <w:spacing w:before="240"/>
        <w:ind w:left="357" w:right="357"/>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Época: Octava.</w:t>
      </w:r>
    </w:p>
    <w:p w14:paraId="5D875077" w14:textId="77777777" w:rsidR="00D631CA" w:rsidRPr="00D631CA" w:rsidRDefault="00382941" w:rsidP="00D631CA">
      <w:pPr>
        <w:spacing w:before="240"/>
        <w:ind w:left="357" w:right="357"/>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Instancia: Tribunales Colegiados de Circuito</w:t>
      </w:r>
      <w:r w:rsidRPr="00D631CA">
        <w:rPr>
          <w:rFonts w:ascii="ITC Avant Garde" w:eastAsia="Times New Roman" w:hAnsi="ITC Avant Garde" w:cs="Arial"/>
          <w:snapToGrid w:val="0"/>
          <w:sz w:val="18"/>
          <w:szCs w:val="18"/>
          <w:lang w:eastAsia="es-ES"/>
        </w:rPr>
        <w:br/>
        <w:t>Fuente: Semanario Judicial de la Federación</w:t>
      </w:r>
      <w:r w:rsidRPr="00D631CA">
        <w:rPr>
          <w:rFonts w:ascii="ITC Avant Garde" w:eastAsia="Times New Roman" w:hAnsi="ITC Avant Garde" w:cs="Arial"/>
          <w:snapToGrid w:val="0"/>
          <w:sz w:val="18"/>
          <w:szCs w:val="18"/>
          <w:lang w:eastAsia="es-ES"/>
        </w:rPr>
        <w:br/>
        <w:t>Parte: XI-Mayo</w:t>
      </w:r>
      <w:r w:rsidRPr="00D631CA">
        <w:rPr>
          <w:rFonts w:ascii="ITC Avant Garde" w:eastAsia="Times New Roman" w:hAnsi="ITC Avant Garde" w:cs="Arial"/>
          <w:snapToGrid w:val="0"/>
          <w:sz w:val="18"/>
          <w:szCs w:val="18"/>
          <w:lang w:eastAsia="es-ES"/>
        </w:rPr>
        <w:br/>
        <w:t>Página: 285</w:t>
      </w:r>
    </w:p>
    <w:p w14:paraId="08B384C2" w14:textId="77777777" w:rsidR="00D631CA" w:rsidRPr="00D631CA" w:rsidRDefault="00382941" w:rsidP="00D631CA">
      <w:pPr>
        <w:spacing w:before="240"/>
        <w:ind w:left="357" w:right="357"/>
        <w:jc w:val="both"/>
        <w:rPr>
          <w:rFonts w:ascii="ITC Avant Garde" w:eastAsia="Times New Roman" w:hAnsi="ITC Avant Garde" w:cs="Arial"/>
          <w:snapToGrid w:val="0"/>
          <w:sz w:val="18"/>
          <w:szCs w:val="18"/>
          <w:lang w:eastAsia="es-ES"/>
        </w:rPr>
      </w:pPr>
      <w:r w:rsidRPr="00D631CA">
        <w:rPr>
          <w:rFonts w:ascii="ITC Avant Garde" w:eastAsia="Times New Roman" w:hAnsi="ITC Avant Garde" w:cs="Arial"/>
          <w:b/>
          <w:snapToGrid w:val="0"/>
          <w:sz w:val="18"/>
          <w:szCs w:val="18"/>
          <w:lang w:eastAsia="es-ES"/>
        </w:rPr>
        <w:t>“AGRAVIOS INSUFICIENTES, REVISION FISCAL.</w:t>
      </w:r>
      <w:r w:rsidRPr="00D631CA">
        <w:rPr>
          <w:rFonts w:ascii="ITC Avant Garde" w:eastAsia="Times New Roman" w:hAnsi="ITC Avant Garde" w:cs="Arial"/>
          <w:snapToGrid w:val="0"/>
          <w:sz w:val="18"/>
          <w:szCs w:val="18"/>
          <w:lang w:eastAsia="es-ES"/>
        </w:rPr>
        <w:tab/>
        <w:t xml:space="preserve">No pueden considerarse como agravios las afirmaciones genéricas de que: La sentencia es infundada, no examina la resolución recurrida, la demanda o su contestación no atienden al resultado de algunas de las pruebas; u otras semejantes, si no se precisan las </w:t>
      </w:r>
      <w:r w:rsidRPr="00D631CA">
        <w:rPr>
          <w:rFonts w:ascii="ITC Avant Garde" w:eastAsia="Times New Roman" w:hAnsi="ITC Avant Garde" w:cs="Arial"/>
          <w:snapToGrid w:val="0"/>
          <w:sz w:val="18"/>
          <w:szCs w:val="18"/>
          <w:lang w:eastAsia="es-ES"/>
        </w:rPr>
        <w:lastRenderedPageBreak/>
        <w:t xml:space="preserve">razones por las que así se considera ya que tales argumentaciones tan genéricas no demuestran la ilegalidad de la sentencia, ni atacan los fundamentos y razones en que se sustenta.” </w:t>
      </w:r>
    </w:p>
    <w:p w14:paraId="05B4FACF" w14:textId="77777777" w:rsidR="00D631CA" w:rsidRPr="00D631CA" w:rsidRDefault="00382941" w:rsidP="00D631CA">
      <w:pPr>
        <w:spacing w:before="240"/>
        <w:ind w:left="357" w:right="357"/>
        <w:jc w:val="both"/>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SEGUNDO TRIBUNAL COLEGIADO DEL SEGUNDO CIRCUITO.</w:t>
      </w:r>
    </w:p>
    <w:p w14:paraId="145F07E5" w14:textId="77777777" w:rsidR="00D631CA" w:rsidRPr="00D631CA" w:rsidRDefault="00382941" w:rsidP="00D631CA">
      <w:pPr>
        <w:spacing w:before="240"/>
        <w:ind w:left="357" w:right="357"/>
        <w:jc w:val="both"/>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 xml:space="preserve">Revisión fiscal 8/93. McGraw Hill Interamericana de México, S. A. de C.V. 17 de marzo de 1993. Unanimidad de votos. Ponente: Raúl Solís </w:t>
      </w:r>
      <w:proofErr w:type="spellStart"/>
      <w:r w:rsidRPr="00D631CA">
        <w:rPr>
          <w:rFonts w:ascii="ITC Avant Garde" w:eastAsia="Times New Roman" w:hAnsi="ITC Avant Garde" w:cs="Arial"/>
          <w:snapToGrid w:val="0"/>
          <w:sz w:val="18"/>
          <w:szCs w:val="18"/>
          <w:lang w:eastAsia="es-ES"/>
        </w:rPr>
        <w:t>Solís</w:t>
      </w:r>
      <w:proofErr w:type="spellEnd"/>
      <w:r w:rsidRPr="00D631CA">
        <w:rPr>
          <w:rFonts w:ascii="ITC Avant Garde" w:eastAsia="Times New Roman" w:hAnsi="ITC Avant Garde" w:cs="Arial"/>
          <w:snapToGrid w:val="0"/>
          <w:sz w:val="18"/>
          <w:szCs w:val="18"/>
          <w:lang w:eastAsia="es-ES"/>
        </w:rPr>
        <w:t>. Secretario: Pablo Rabanal Arroyo.</w:t>
      </w:r>
    </w:p>
    <w:p w14:paraId="283A440E" w14:textId="0B068668" w:rsidR="00382941" w:rsidRPr="00D631CA" w:rsidRDefault="00382941" w:rsidP="00D631CA">
      <w:pPr>
        <w:spacing w:before="240"/>
        <w:ind w:left="357" w:right="357"/>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Época: Séptima.</w:t>
      </w:r>
    </w:p>
    <w:p w14:paraId="563E3D6C" w14:textId="77777777" w:rsidR="00D631CA" w:rsidRPr="00D631CA" w:rsidRDefault="00382941" w:rsidP="00D631CA">
      <w:pPr>
        <w:spacing w:before="240"/>
        <w:ind w:left="357" w:right="357"/>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Instancia: Segunda Sala</w:t>
      </w:r>
      <w:r w:rsidRPr="00D631CA">
        <w:rPr>
          <w:rFonts w:ascii="ITC Avant Garde" w:eastAsia="Times New Roman" w:hAnsi="ITC Avant Garde" w:cs="Arial"/>
          <w:snapToGrid w:val="0"/>
          <w:sz w:val="18"/>
          <w:szCs w:val="18"/>
          <w:lang w:eastAsia="es-ES"/>
        </w:rPr>
        <w:br/>
        <w:t>Fuente: Semanario Judicial de la Federación</w:t>
      </w:r>
      <w:r w:rsidRPr="00D631CA">
        <w:rPr>
          <w:rFonts w:ascii="ITC Avant Garde" w:eastAsia="Times New Roman" w:hAnsi="ITC Avant Garde" w:cs="Arial"/>
          <w:snapToGrid w:val="0"/>
          <w:sz w:val="18"/>
          <w:szCs w:val="18"/>
          <w:lang w:eastAsia="es-ES"/>
        </w:rPr>
        <w:br/>
        <w:t>Parte: 12 Tercera Parte</w:t>
      </w:r>
      <w:r w:rsidRPr="00D631CA">
        <w:rPr>
          <w:rFonts w:ascii="ITC Avant Garde" w:eastAsia="Times New Roman" w:hAnsi="ITC Avant Garde" w:cs="Arial"/>
          <w:snapToGrid w:val="0"/>
          <w:sz w:val="18"/>
          <w:szCs w:val="18"/>
          <w:lang w:eastAsia="es-ES"/>
        </w:rPr>
        <w:br/>
        <w:t>Página: 70</w:t>
      </w:r>
    </w:p>
    <w:p w14:paraId="70127D7F" w14:textId="77777777" w:rsidR="00D631CA" w:rsidRPr="00D631CA" w:rsidRDefault="00382941" w:rsidP="00D631CA">
      <w:pPr>
        <w:spacing w:before="240"/>
        <w:ind w:left="357" w:right="357"/>
        <w:jc w:val="both"/>
        <w:rPr>
          <w:rFonts w:ascii="ITC Avant Garde" w:eastAsia="Times New Roman" w:hAnsi="ITC Avant Garde" w:cs="Arial"/>
          <w:snapToGrid w:val="0"/>
          <w:sz w:val="18"/>
          <w:szCs w:val="18"/>
          <w:lang w:eastAsia="es-ES"/>
        </w:rPr>
      </w:pPr>
      <w:r w:rsidRPr="00D631CA">
        <w:rPr>
          <w:rFonts w:ascii="ITC Avant Garde" w:eastAsia="Times New Roman" w:hAnsi="ITC Avant Garde" w:cs="Arial"/>
          <w:b/>
          <w:snapToGrid w:val="0"/>
          <w:sz w:val="18"/>
          <w:szCs w:val="18"/>
          <w:lang w:eastAsia="es-ES"/>
        </w:rPr>
        <w:t>“AGRAVIOS INSUFICIENTES</w:t>
      </w:r>
      <w:r w:rsidRPr="00D631CA">
        <w:rPr>
          <w:rFonts w:ascii="ITC Avant Garde" w:eastAsia="Times New Roman" w:hAnsi="ITC Avant Garde" w:cs="Arial"/>
          <w:snapToGrid w:val="0"/>
          <w:sz w:val="18"/>
          <w:szCs w:val="18"/>
          <w:lang w:eastAsia="es-ES"/>
        </w:rPr>
        <w:t>. Cuando en los agravios aducidos por la Recurrente no se precisan argumentos tendientes a demostrar la ilegalidad de la sentencia, ni se atacan los fundamentos legales y consideraciones en que se sustenta el sentido del fallo, se impone confirmarlo en sus términos por la insuficiencia de los propios agravios.”</w:t>
      </w:r>
    </w:p>
    <w:p w14:paraId="1B476FFC" w14:textId="77777777" w:rsidR="00D631CA" w:rsidRPr="00D631CA" w:rsidRDefault="00382941" w:rsidP="00D631CA">
      <w:pPr>
        <w:spacing w:before="240"/>
        <w:ind w:left="357" w:right="357"/>
        <w:jc w:val="both"/>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 xml:space="preserve">Volumen 1, pág. 131. </w:t>
      </w:r>
    </w:p>
    <w:p w14:paraId="72E53C0C" w14:textId="77777777" w:rsidR="00D631CA" w:rsidRPr="00D631CA" w:rsidRDefault="00382941" w:rsidP="00D631CA">
      <w:pPr>
        <w:spacing w:before="240"/>
        <w:ind w:left="357" w:right="357"/>
        <w:jc w:val="both"/>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 xml:space="preserve">Amparo en revisión 7798/67. Comisariado Ejidal del Poblado "El Chauz", Municipio de </w:t>
      </w:r>
      <w:proofErr w:type="spellStart"/>
      <w:r w:rsidRPr="00D631CA">
        <w:rPr>
          <w:rFonts w:ascii="ITC Avant Garde" w:eastAsia="Times New Roman" w:hAnsi="ITC Avant Garde" w:cs="Arial"/>
          <w:snapToGrid w:val="0"/>
          <w:sz w:val="18"/>
          <w:szCs w:val="18"/>
          <w:lang w:eastAsia="es-ES"/>
        </w:rPr>
        <w:t>Huacana</w:t>
      </w:r>
      <w:proofErr w:type="spellEnd"/>
      <w:r w:rsidRPr="00D631CA">
        <w:rPr>
          <w:rFonts w:ascii="ITC Avant Garde" w:eastAsia="Times New Roman" w:hAnsi="ITC Avant Garde" w:cs="Arial"/>
          <w:snapToGrid w:val="0"/>
          <w:sz w:val="18"/>
          <w:szCs w:val="18"/>
          <w:lang w:eastAsia="es-ES"/>
        </w:rPr>
        <w:t xml:space="preserve">, Michoacán. 17 de enero de 1969. Unanimidad de 4 votos. Ponente: Pedro Guerrero Martínez. Volumen 4, pág. 141. </w:t>
      </w:r>
    </w:p>
    <w:p w14:paraId="58018A45" w14:textId="77777777" w:rsidR="00D631CA" w:rsidRPr="00D631CA" w:rsidRDefault="00382941" w:rsidP="00D631CA">
      <w:pPr>
        <w:spacing w:before="240"/>
        <w:ind w:left="357" w:right="357"/>
        <w:jc w:val="both"/>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 xml:space="preserve">Amparo en revisión 1259/68. Raúl Chavira Flores. 14 de abril de 1969. 5 votos. Ponente: José Rivera Pérez Campos. Volumen 4, pág. 141. </w:t>
      </w:r>
    </w:p>
    <w:p w14:paraId="16EFF327" w14:textId="77777777" w:rsidR="00D631CA" w:rsidRPr="00D631CA" w:rsidRDefault="00382941" w:rsidP="00D631CA">
      <w:pPr>
        <w:spacing w:before="240"/>
        <w:ind w:left="357" w:right="357"/>
        <w:jc w:val="both"/>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 xml:space="preserve">Amparo en revisión 8742/67. Laureano Treviño </w:t>
      </w:r>
      <w:proofErr w:type="spellStart"/>
      <w:r w:rsidRPr="00D631CA">
        <w:rPr>
          <w:rFonts w:ascii="ITC Avant Garde" w:eastAsia="Times New Roman" w:hAnsi="ITC Avant Garde" w:cs="Arial"/>
          <w:snapToGrid w:val="0"/>
          <w:sz w:val="18"/>
          <w:szCs w:val="18"/>
          <w:lang w:eastAsia="es-ES"/>
        </w:rPr>
        <w:t>Treviño</w:t>
      </w:r>
      <w:proofErr w:type="spellEnd"/>
      <w:r w:rsidRPr="00D631CA">
        <w:rPr>
          <w:rFonts w:ascii="ITC Avant Garde" w:eastAsia="Times New Roman" w:hAnsi="ITC Avant Garde" w:cs="Arial"/>
          <w:snapToGrid w:val="0"/>
          <w:sz w:val="18"/>
          <w:szCs w:val="18"/>
          <w:lang w:eastAsia="es-ES"/>
        </w:rPr>
        <w:t xml:space="preserve">. 14 de abril de 1969. 5 votos. Ponente: José Rivera Pérez Campos. Volumen 6, pág. 79. Amparo en revisión 6472/68. Esther Ceballos </w:t>
      </w:r>
      <w:proofErr w:type="spellStart"/>
      <w:r w:rsidRPr="00D631CA">
        <w:rPr>
          <w:rFonts w:ascii="ITC Avant Garde" w:eastAsia="Times New Roman" w:hAnsi="ITC Avant Garde" w:cs="Arial"/>
          <w:snapToGrid w:val="0"/>
          <w:sz w:val="18"/>
          <w:szCs w:val="18"/>
          <w:lang w:eastAsia="es-ES"/>
        </w:rPr>
        <w:t>vda.</w:t>
      </w:r>
      <w:proofErr w:type="spellEnd"/>
      <w:r w:rsidRPr="00D631CA">
        <w:rPr>
          <w:rFonts w:ascii="ITC Avant Garde" w:eastAsia="Times New Roman" w:hAnsi="ITC Avant Garde" w:cs="Arial"/>
          <w:snapToGrid w:val="0"/>
          <w:sz w:val="18"/>
          <w:szCs w:val="18"/>
          <w:lang w:eastAsia="es-ES"/>
        </w:rPr>
        <w:t xml:space="preserve"> de Buenrostro y </w:t>
      </w:r>
      <w:proofErr w:type="spellStart"/>
      <w:r w:rsidRPr="00D631CA">
        <w:rPr>
          <w:rFonts w:ascii="ITC Avant Garde" w:eastAsia="Times New Roman" w:hAnsi="ITC Avant Garde" w:cs="Arial"/>
          <w:snapToGrid w:val="0"/>
          <w:sz w:val="18"/>
          <w:szCs w:val="18"/>
          <w:lang w:eastAsia="es-ES"/>
        </w:rPr>
        <w:t>coags</w:t>
      </w:r>
      <w:proofErr w:type="spellEnd"/>
      <w:r w:rsidRPr="00D631CA">
        <w:rPr>
          <w:rFonts w:ascii="ITC Avant Garde" w:eastAsia="Times New Roman" w:hAnsi="ITC Avant Garde" w:cs="Arial"/>
          <w:snapToGrid w:val="0"/>
          <w:sz w:val="18"/>
          <w:szCs w:val="18"/>
          <w:lang w:eastAsia="es-ES"/>
        </w:rPr>
        <w:t xml:space="preserve">. 26 de junio de 1969. 5 votos. Ponente: Jorge </w:t>
      </w:r>
      <w:proofErr w:type="spellStart"/>
      <w:r w:rsidRPr="00D631CA">
        <w:rPr>
          <w:rFonts w:ascii="ITC Avant Garde" w:eastAsia="Times New Roman" w:hAnsi="ITC Avant Garde" w:cs="Arial"/>
          <w:snapToGrid w:val="0"/>
          <w:sz w:val="18"/>
          <w:szCs w:val="18"/>
          <w:lang w:eastAsia="es-ES"/>
        </w:rPr>
        <w:t>Iñárritu</w:t>
      </w:r>
      <w:proofErr w:type="spellEnd"/>
      <w:r w:rsidRPr="00D631CA">
        <w:rPr>
          <w:rFonts w:ascii="ITC Avant Garde" w:eastAsia="Times New Roman" w:hAnsi="ITC Avant Garde" w:cs="Arial"/>
          <w:snapToGrid w:val="0"/>
          <w:sz w:val="18"/>
          <w:szCs w:val="18"/>
          <w:lang w:eastAsia="es-ES"/>
        </w:rPr>
        <w:t xml:space="preserve">. Volumen 7 pág. 56. </w:t>
      </w:r>
    </w:p>
    <w:p w14:paraId="29591E35" w14:textId="77777777" w:rsidR="00D631CA" w:rsidRPr="00D631CA" w:rsidRDefault="00382941" w:rsidP="00D631CA">
      <w:pPr>
        <w:spacing w:before="240"/>
        <w:ind w:left="357" w:right="357"/>
        <w:jc w:val="both"/>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 xml:space="preserve">Amparo en revisión 7532/68. Comisariado Ejidal del Poblado de San Miguel </w:t>
      </w:r>
      <w:proofErr w:type="spellStart"/>
      <w:r w:rsidRPr="00D631CA">
        <w:rPr>
          <w:rFonts w:ascii="ITC Avant Garde" w:eastAsia="Times New Roman" w:hAnsi="ITC Avant Garde" w:cs="Arial"/>
          <w:snapToGrid w:val="0"/>
          <w:sz w:val="18"/>
          <w:szCs w:val="18"/>
          <w:lang w:eastAsia="es-ES"/>
        </w:rPr>
        <w:t>Eménguaro</w:t>
      </w:r>
      <w:proofErr w:type="spellEnd"/>
      <w:r w:rsidRPr="00D631CA">
        <w:rPr>
          <w:rFonts w:ascii="ITC Avant Garde" w:eastAsia="Times New Roman" w:hAnsi="ITC Avant Garde" w:cs="Arial"/>
          <w:snapToGrid w:val="0"/>
          <w:sz w:val="18"/>
          <w:szCs w:val="18"/>
          <w:lang w:eastAsia="es-ES"/>
        </w:rPr>
        <w:t xml:space="preserve">, </w:t>
      </w:r>
      <w:proofErr w:type="spellStart"/>
      <w:r w:rsidRPr="00D631CA">
        <w:rPr>
          <w:rFonts w:ascii="ITC Avant Garde" w:eastAsia="Times New Roman" w:hAnsi="ITC Avant Garde" w:cs="Arial"/>
          <w:snapToGrid w:val="0"/>
          <w:sz w:val="18"/>
          <w:szCs w:val="18"/>
          <w:lang w:eastAsia="es-ES"/>
        </w:rPr>
        <w:t>Mpio</w:t>
      </w:r>
      <w:proofErr w:type="spellEnd"/>
      <w:r w:rsidRPr="00D631CA">
        <w:rPr>
          <w:rFonts w:ascii="ITC Avant Garde" w:eastAsia="Times New Roman" w:hAnsi="ITC Avant Garde" w:cs="Arial"/>
          <w:snapToGrid w:val="0"/>
          <w:sz w:val="18"/>
          <w:szCs w:val="18"/>
          <w:lang w:eastAsia="es-ES"/>
        </w:rPr>
        <w:t xml:space="preserve">. </w:t>
      </w:r>
      <w:proofErr w:type="gramStart"/>
      <w:r w:rsidRPr="00D631CA">
        <w:rPr>
          <w:rFonts w:ascii="ITC Avant Garde" w:eastAsia="Times New Roman" w:hAnsi="ITC Avant Garde" w:cs="Arial"/>
          <w:snapToGrid w:val="0"/>
          <w:sz w:val="18"/>
          <w:szCs w:val="18"/>
          <w:lang w:eastAsia="es-ES"/>
        </w:rPr>
        <w:t>de</w:t>
      </w:r>
      <w:proofErr w:type="gramEnd"/>
      <w:r w:rsidRPr="00D631CA">
        <w:rPr>
          <w:rFonts w:ascii="ITC Avant Garde" w:eastAsia="Times New Roman" w:hAnsi="ITC Avant Garde" w:cs="Arial"/>
          <w:snapToGrid w:val="0"/>
          <w:sz w:val="18"/>
          <w:szCs w:val="18"/>
          <w:lang w:eastAsia="es-ES"/>
        </w:rPr>
        <w:t xml:space="preserve"> Salvatierra, </w:t>
      </w:r>
      <w:proofErr w:type="spellStart"/>
      <w:r w:rsidRPr="00D631CA">
        <w:rPr>
          <w:rFonts w:ascii="ITC Avant Garde" w:eastAsia="Times New Roman" w:hAnsi="ITC Avant Garde" w:cs="Arial"/>
          <w:snapToGrid w:val="0"/>
          <w:sz w:val="18"/>
          <w:szCs w:val="18"/>
          <w:lang w:eastAsia="es-ES"/>
        </w:rPr>
        <w:t>Gto</w:t>
      </w:r>
      <w:proofErr w:type="spellEnd"/>
      <w:r w:rsidRPr="00D631CA">
        <w:rPr>
          <w:rFonts w:ascii="ITC Avant Garde" w:eastAsia="Times New Roman" w:hAnsi="ITC Avant Garde" w:cs="Arial"/>
          <w:snapToGrid w:val="0"/>
          <w:sz w:val="18"/>
          <w:szCs w:val="18"/>
          <w:lang w:eastAsia="es-ES"/>
        </w:rPr>
        <w:t xml:space="preserve">. 31 de julio de 1969. 5 votos. Ponente: Pedro Guerrero Martínez. NOTA: Esta tesis también aparece en: Séptima </w:t>
      </w:r>
      <w:proofErr w:type="spellStart"/>
      <w:r w:rsidRPr="00D631CA">
        <w:rPr>
          <w:rFonts w:ascii="ITC Avant Garde" w:eastAsia="Times New Roman" w:hAnsi="ITC Avant Garde" w:cs="Arial"/>
          <w:snapToGrid w:val="0"/>
          <w:sz w:val="18"/>
          <w:szCs w:val="18"/>
          <w:lang w:eastAsia="es-ES"/>
        </w:rPr>
        <w:t>Epoca</w:t>
      </w:r>
      <w:proofErr w:type="spellEnd"/>
      <w:r w:rsidRPr="00D631CA">
        <w:rPr>
          <w:rFonts w:ascii="ITC Avant Garde" w:eastAsia="Times New Roman" w:hAnsi="ITC Avant Garde" w:cs="Arial"/>
          <w:snapToGrid w:val="0"/>
          <w:sz w:val="18"/>
          <w:szCs w:val="18"/>
          <w:lang w:eastAsia="es-ES"/>
        </w:rPr>
        <w:t xml:space="preserve">, Tercera Parte: Volumen 14, pág. 21. </w:t>
      </w:r>
    </w:p>
    <w:p w14:paraId="2940F586" w14:textId="77777777" w:rsidR="00D631CA" w:rsidRPr="00D631CA" w:rsidRDefault="00382941" w:rsidP="00D631CA">
      <w:pPr>
        <w:spacing w:before="240"/>
        <w:ind w:left="357" w:right="357"/>
        <w:jc w:val="both"/>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 xml:space="preserve">Amparo en revisión 3475/69. Isidoro López Medina y </w:t>
      </w:r>
      <w:proofErr w:type="spellStart"/>
      <w:r w:rsidRPr="00D631CA">
        <w:rPr>
          <w:rFonts w:ascii="ITC Avant Garde" w:eastAsia="Times New Roman" w:hAnsi="ITC Avant Garde" w:cs="Arial"/>
          <w:snapToGrid w:val="0"/>
          <w:sz w:val="18"/>
          <w:szCs w:val="18"/>
          <w:lang w:eastAsia="es-ES"/>
        </w:rPr>
        <w:t>coags</w:t>
      </w:r>
      <w:proofErr w:type="spellEnd"/>
      <w:r w:rsidRPr="00D631CA">
        <w:rPr>
          <w:rFonts w:ascii="ITC Avant Garde" w:eastAsia="Times New Roman" w:hAnsi="ITC Avant Garde" w:cs="Arial"/>
          <w:snapToGrid w:val="0"/>
          <w:sz w:val="18"/>
          <w:szCs w:val="18"/>
          <w:lang w:eastAsia="es-ES"/>
        </w:rPr>
        <w:t xml:space="preserve">. 16 de febrero de 1970. Unanimidad de 4 votos. Ponente: Carlos del Río Rodríguez. Volumen 14, pág. 21. Amparo en revisión 1111/68. Comisariado ejidal del Poblado de San Isidro, </w:t>
      </w:r>
      <w:proofErr w:type="spellStart"/>
      <w:r w:rsidRPr="00D631CA">
        <w:rPr>
          <w:rFonts w:ascii="ITC Avant Garde" w:eastAsia="Times New Roman" w:hAnsi="ITC Avant Garde" w:cs="Arial"/>
          <w:snapToGrid w:val="0"/>
          <w:sz w:val="18"/>
          <w:szCs w:val="18"/>
          <w:lang w:eastAsia="es-ES"/>
        </w:rPr>
        <w:t>Coeneo</w:t>
      </w:r>
      <w:proofErr w:type="spellEnd"/>
      <w:r w:rsidRPr="00D631CA">
        <w:rPr>
          <w:rFonts w:ascii="ITC Avant Garde" w:eastAsia="Times New Roman" w:hAnsi="ITC Avant Garde" w:cs="Arial"/>
          <w:snapToGrid w:val="0"/>
          <w:sz w:val="18"/>
          <w:szCs w:val="18"/>
          <w:lang w:eastAsia="es-ES"/>
        </w:rPr>
        <w:t xml:space="preserve">, Estado de Michoacán. 20 de marzo de 1970. 5 votos Volumen 14, pág. 21. Amparo en revisión 1432/67. J. Paz Alejandro Moreno y acumulados. 27 de febrero de 1970. Volumen 13, pág. 41. </w:t>
      </w:r>
    </w:p>
    <w:p w14:paraId="7D6671D2" w14:textId="77777777" w:rsidR="00D631CA" w:rsidRPr="00D631CA" w:rsidRDefault="00382941" w:rsidP="00D631CA">
      <w:pPr>
        <w:spacing w:before="240"/>
        <w:ind w:left="357" w:right="357"/>
        <w:jc w:val="both"/>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 xml:space="preserve">Amparo en revisión 46/69. Ferretería y similares, S. A. 8 de enero de 1970. Mayoría de 4 votos. Ponente: Pedro Guerrero Martínez. Volumen 13, pág. 41. Amparo en revisión 4005/69. Martha </w:t>
      </w:r>
      <w:proofErr w:type="spellStart"/>
      <w:r w:rsidRPr="00D631CA">
        <w:rPr>
          <w:rFonts w:ascii="ITC Avant Garde" w:eastAsia="Times New Roman" w:hAnsi="ITC Avant Garde" w:cs="Arial"/>
          <w:snapToGrid w:val="0"/>
          <w:sz w:val="18"/>
          <w:szCs w:val="18"/>
          <w:lang w:eastAsia="es-ES"/>
        </w:rPr>
        <w:t>Eloisa</w:t>
      </w:r>
      <w:proofErr w:type="spellEnd"/>
      <w:r w:rsidRPr="00D631CA">
        <w:rPr>
          <w:rFonts w:ascii="ITC Avant Garde" w:eastAsia="Times New Roman" w:hAnsi="ITC Avant Garde" w:cs="Arial"/>
          <w:snapToGrid w:val="0"/>
          <w:sz w:val="18"/>
          <w:szCs w:val="18"/>
          <w:lang w:eastAsia="es-ES"/>
        </w:rPr>
        <w:t xml:space="preserve"> Navarro de </w:t>
      </w:r>
      <w:proofErr w:type="spellStart"/>
      <w:r w:rsidRPr="00D631CA">
        <w:rPr>
          <w:rFonts w:ascii="ITC Avant Garde" w:eastAsia="Times New Roman" w:hAnsi="ITC Avant Garde" w:cs="Arial"/>
          <w:snapToGrid w:val="0"/>
          <w:sz w:val="18"/>
          <w:szCs w:val="18"/>
          <w:lang w:eastAsia="es-ES"/>
        </w:rPr>
        <w:t>Lazano</w:t>
      </w:r>
      <w:proofErr w:type="spellEnd"/>
      <w:r w:rsidRPr="00D631CA">
        <w:rPr>
          <w:rFonts w:ascii="ITC Avant Garde" w:eastAsia="Times New Roman" w:hAnsi="ITC Avant Garde" w:cs="Arial"/>
          <w:snapToGrid w:val="0"/>
          <w:sz w:val="18"/>
          <w:szCs w:val="18"/>
          <w:lang w:eastAsia="es-ES"/>
        </w:rPr>
        <w:t xml:space="preserve">. 30 de enero de 1970. Unanimidad de 4 votos. Volumen 10, pág. 30. Amparo en revisión 2804/69. Poblado de "La Cañada", municipio de Villa del Carbón, Estado de México. 9 de octubre de 1969. 5 votos. Ponente: Jorge </w:t>
      </w:r>
      <w:proofErr w:type="spellStart"/>
      <w:r w:rsidRPr="00D631CA">
        <w:rPr>
          <w:rFonts w:ascii="ITC Avant Garde" w:eastAsia="Times New Roman" w:hAnsi="ITC Avant Garde" w:cs="Arial"/>
          <w:snapToGrid w:val="0"/>
          <w:sz w:val="18"/>
          <w:szCs w:val="18"/>
          <w:lang w:eastAsia="es-ES"/>
        </w:rPr>
        <w:t>Iñárritu</w:t>
      </w:r>
      <w:proofErr w:type="spellEnd"/>
      <w:r w:rsidRPr="00D631CA">
        <w:rPr>
          <w:rFonts w:ascii="ITC Avant Garde" w:eastAsia="Times New Roman" w:hAnsi="ITC Avant Garde" w:cs="Arial"/>
          <w:snapToGrid w:val="0"/>
          <w:sz w:val="18"/>
          <w:szCs w:val="18"/>
          <w:lang w:eastAsia="es-ES"/>
        </w:rPr>
        <w:t>. Apéndice 1917-1985, Octava Parte, Común al Pleno y las Salas, tesis 40, pág. 65.</w:t>
      </w:r>
    </w:p>
    <w:p w14:paraId="7A12A32B" w14:textId="77777777" w:rsidR="00D631CA" w:rsidRPr="00D631CA" w:rsidRDefault="00382941" w:rsidP="00D631CA">
      <w:pPr>
        <w:numPr>
          <w:ilvl w:val="0"/>
          <w:numId w:val="2"/>
        </w:numPr>
        <w:spacing w:before="240"/>
        <w:contextualSpacing/>
        <w:jc w:val="both"/>
        <w:rPr>
          <w:rFonts w:ascii="ITC Avant Garde" w:hAnsi="ITC Avant Garde" w:cs="Arial"/>
        </w:rPr>
      </w:pPr>
      <w:r w:rsidRPr="00D631CA">
        <w:rPr>
          <w:rFonts w:ascii="ITC Avant Garde" w:hAnsi="ITC Avant Garde" w:cs="Arial"/>
        </w:rPr>
        <w:lastRenderedPageBreak/>
        <w:t xml:space="preserve">En relación con lo manifestado por la Recurrente en el agravio </w:t>
      </w:r>
      <w:r w:rsidRPr="00D631CA">
        <w:rPr>
          <w:rFonts w:ascii="ITC Avant Garde" w:hAnsi="ITC Avant Garde" w:cs="Arial"/>
          <w:b/>
        </w:rPr>
        <w:t>DÉCIMO SEXTO</w:t>
      </w:r>
      <w:r w:rsidRPr="00D631CA">
        <w:rPr>
          <w:rFonts w:ascii="ITC Avant Garde" w:hAnsi="ITC Avant Garde" w:cs="Arial"/>
        </w:rPr>
        <w:t xml:space="preserve">, en el que invoca que la Comisión carece de facultades para emitir determinaciones que afecten directa o indirectamente la existencia, validez, vigencia o exigibilidad de las condiciones de interconexión previamente convenidas entre la Recurrente y la </w:t>
      </w:r>
      <w:r w:rsidR="00BB6EC6" w:rsidRPr="00D631CA">
        <w:rPr>
          <w:rFonts w:ascii="ITC Avant Garde" w:hAnsi="ITC Avant Garde" w:cs="Arial"/>
        </w:rPr>
        <w:t>t</w:t>
      </w:r>
      <w:r w:rsidR="00C67299" w:rsidRPr="00D631CA">
        <w:rPr>
          <w:rFonts w:ascii="ITC Avant Garde" w:hAnsi="ITC Avant Garde" w:cs="Arial"/>
        </w:rPr>
        <w:t>ercero perjudicada</w:t>
      </w:r>
      <w:r w:rsidRPr="00D631CA">
        <w:rPr>
          <w:rFonts w:ascii="ITC Avant Garde" w:hAnsi="ITC Avant Garde" w:cs="Arial"/>
        </w:rPr>
        <w:t>, es infundado.</w:t>
      </w:r>
    </w:p>
    <w:p w14:paraId="0CF58D3A"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Lo argumentado por la Recurrente en el agravio en estudio es infundado, ya que constituye una reiteración del agravio DÉCIMO CUARTO, y que han sido estudiados en la presente resolución.</w:t>
      </w:r>
    </w:p>
    <w:p w14:paraId="47AC7525"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En ese orden de ideas, como se desprende de la Resolución Recurrida, ésta no contraviene condiciones de interconexión que tuvieran previamente convenidas las partes, ni implica la violación de lo dispuesto por el artículo 42 de la Ley Federal de Telecomunicaciones, puesto que como se determinó en la Resolución Recurrida: </w:t>
      </w:r>
    </w:p>
    <w:p w14:paraId="0DA19FF2" w14:textId="77777777" w:rsidR="00D631CA" w:rsidRPr="00D631CA" w:rsidRDefault="00D64782" w:rsidP="00D631CA">
      <w:pPr>
        <w:spacing w:before="240"/>
        <w:ind w:left="567" w:right="900"/>
        <w:jc w:val="both"/>
        <w:rPr>
          <w:rFonts w:ascii="ITC Avant Garde" w:hAnsi="ITC Avant Garde" w:cs="Arial"/>
        </w:rPr>
      </w:pPr>
      <w:r w:rsidRPr="00D631CA">
        <w:rPr>
          <w:rFonts w:ascii="ITC Avant Garde" w:hAnsi="ITC Avant Garde" w:cs="Arial"/>
        </w:rPr>
        <w:t>“</w:t>
      </w:r>
      <w:r w:rsidR="00382941" w:rsidRPr="00D631CA">
        <w:rPr>
          <w:rFonts w:ascii="ITC Avant Garde" w:hAnsi="ITC Avant Garde" w:cs="Arial"/>
        </w:rPr>
        <w:t xml:space="preserve">Como se desprende de lo anterior, las partes pactaron expresamente que el Convenio </w:t>
      </w:r>
      <w:proofErr w:type="spellStart"/>
      <w:r w:rsidRPr="00D631CA">
        <w:rPr>
          <w:rFonts w:ascii="ITC Avant Garde" w:hAnsi="ITC Avant Garde" w:cs="Arial"/>
        </w:rPr>
        <w:t>Marcatel</w:t>
      </w:r>
      <w:proofErr w:type="spellEnd"/>
      <w:r w:rsidR="00382941" w:rsidRPr="00D631CA">
        <w:rPr>
          <w:rFonts w:ascii="ITC Avant Garde" w:hAnsi="ITC Avant Garde" w:cs="Arial"/>
        </w:rPr>
        <w:t xml:space="preserve"> – Grupo Telefónica se extinguirá el 31 de diciembre de 20</w:t>
      </w:r>
      <w:r w:rsidRPr="00D631CA">
        <w:rPr>
          <w:rFonts w:ascii="ITC Avant Garde" w:hAnsi="ITC Avant Garde" w:cs="Arial"/>
        </w:rPr>
        <w:t>05</w:t>
      </w:r>
      <w:r w:rsidR="00382941" w:rsidRPr="00D631CA">
        <w:rPr>
          <w:rFonts w:ascii="ITC Avant Garde" w:hAnsi="ITC Avant Garde" w:cs="Arial"/>
        </w:rPr>
        <w:t>. Sin embargo, también pactaron que al actualizarse la condición prevista en</w:t>
      </w:r>
      <w:r w:rsidRPr="00D631CA">
        <w:rPr>
          <w:rFonts w:ascii="ITC Avant Garde" w:hAnsi="ITC Avant Garde" w:cs="Arial"/>
        </w:rPr>
        <w:t xml:space="preserve"> el</w:t>
      </w:r>
      <w:r w:rsidR="00382941" w:rsidRPr="00D631CA">
        <w:rPr>
          <w:rFonts w:ascii="ITC Avant Garde" w:hAnsi="ITC Avant Garde" w:cs="Arial"/>
        </w:rPr>
        <w:t xml:space="preserve"> numeral 17.2 de la cláusula Décimo Séptima del Convenio </w:t>
      </w:r>
      <w:proofErr w:type="spellStart"/>
      <w:r w:rsidRPr="00D631CA">
        <w:rPr>
          <w:rFonts w:ascii="ITC Avant Garde" w:hAnsi="ITC Avant Garde" w:cs="Arial"/>
        </w:rPr>
        <w:t>Marcatel</w:t>
      </w:r>
      <w:proofErr w:type="spellEnd"/>
      <w:r w:rsidR="00382941" w:rsidRPr="00D631CA">
        <w:rPr>
          <w:rFonts w:ascii="ITC Avant Garde" w:hAnsi="ITC Avant Garde" w:cs="Arial"/>
        </w:rPr>
        <w:t xml:space="preserve"> – Grupo Telefónica en el sentido que si al concluir el plazo inicial de aplicación de dicho instrumento si las partes continuaban siendo titulares de su red pública de telecomunicaciones concesionada por la Secretaria, las partes continuarían aplicando los términos y condiciones pactados en sus convenios.</w:t>
      </w:r>
    </w:p>
    <w:p w14:paraId="69E66855"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No obstante lo anterior, también se estableció claramente en el Convenio </w:t>
      </w:r>
      <w:proofErr w:type="spellStart"/>
      <w:r w:rsidR="00D64782" w:rsidRPr="00D631CA">
        <w:rPr>
          <w:rFonts w:ascii="ITC Avant Garde" w:hAnsi="ITC Avant Garde" w:cs="Arial"/>
        </w:rPr>
        <w:t>Marcatel</w:t>
      </w:r>
      <w:proofErr w:type="spellEnd"/>
      <w:r w:rsidRPr="00D631CA">
        <w:rPr>
          <w:rFonts w:ascii="ITC Avant Garde" w:hAnsi="ITC Avant Garde" w:cs="Arial"/>
        </w:rPr>
        <w:t xml:space="preserve"> – Grupo </w:t>
      </w:r>
      <w:r w:rsidR="009D4729" w:rsidRPr="00D631CA">
        <w:rPr>
          <w:rFonts w:ascii="ITC Avant Garde" w:hAnsi="ITC Avant Garde" w:cs="Arial"/>
        </w:rPr>
        <w:t>Telefónica,</w:t>
      </w:r>
      <w:r w:rsidRPr="00D631CA">
        <w:rPr>
          <w:rFonts w:ascii="ITC Avant Garde" w:hAnsi="ITC Avant Garde" w:cs="Arial"/>
        </w:rPr>
        <w:t xml:space="preserve"> que las partes podrían acudir ante la Comisión para resolver cualquier desacuerdo de interconexión en términos del artículo 42 de la </w:t>
      </w:r>
      <w:proofErr w:type="spellStart"/>
      <w:r w:rsidRPr="00D631CA">
        <w:rPr>
          <w:rFonts w:ascii="ITC Avant Garde" w:hAnsi="ITC Avant Garde" w:cs="Arial"/>
        </w:rPr>
        <w:t>lFT</w:t>
      </w:r>
      <w:proofErr w:type="spellEnd"/>
      <w:r w:rsidRPr="00D631CA">
        <w:rPr>
          <w:rFonts w:ascii="ITC Avant Garde" w:hAnsi="ITC Avant Garde" w:cs="Arial"/>
        </w:rPr>
        <w:t>, es decir, las partes expresamente dejaron a salvo su derecho de solicitar la intervención de la autoridad en caso de que no pudieran llegar a un acuerdo respecto de los términos y condiciones de la interconexión entre sus redes. Lo anterior, resulta lógico ya que asumir lo contrario sería tanto como obligar a las partes a quedar sujetas a términos y condiciones inamovibles que en un sector tan dinámico y competitivo como el de las telecomunicaciones puede resultar arcaico y anticompetitivo para el sector.</w:t>
      </w:r>
    </w:p>
    <w:p w14:paraId="1A4D54AA"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Tan es así, que en</w:t>
      </w:r>
      <w:r w:rsidR="002457C1" w:rsidRPr="00D631CA">
        <w:rPr>
          <w:rFonts w:ascii="ITC Avant Garde" w:hAnsi="ITC Avant Garde" w:cs="Arial"/>
        </w:rPr>
        <w:t xml:space="preserve"> el</w:t>
      </w:r>
      <w:r w:rsidRPr="00D631CA">
        <w:rPr>
          <w:rFonts w:ascii="ITC Avant Garde" w:hAnsi="ITC Avant Garde" w:cs="Arial"/>
        </w:rPr>
        <w:t xml:space="preserve"> numeral 15.2 y 17.2 de las cláusulas Décimo Séptima del Convenio </w:t>
      </w:r>
      <w:proofErr w:type="spellStart"/>
      <w:r w:rsidR="002457C1" w:rsidRPr="00D631CA">
        <w:rPr>
          <w:rFonts w:ascii="ITC Avant Garde" w:hAnsi="ITC Avant Garde" w:cs="Arial"/>
        </w:rPr>
        <w:t>Marcatel</w:t>
      </w:r>
      <w:proofErr w:type="spellEnd"/>
      <w:r w:rsidRPr="00D631CA">
        <w:rPr>
          <w:rFonts w:ascii="ITC Avant Garde" w:hAnsi="ITC Avant Garde" w:cs="Arial"/>
        </w:rPr>
        <w:t xml:space="preserve"> – Grupo Telefónica  , se establece expresamente que para la celebración de los nuevos convenios las partes pueden utilizar el procedimiento contenido en el artículo 42 de la LFT, esto es, que de no llegar a un acuerdo en la celebración de los nuevos convenios, dentro de un plazo de </w:t>
      </w:r>
      <w:r w:rsidRPr="00D631CA">
        <w:rPr>
          <w:rFonts w:ascii="ITC Avant Garde" w:hAnsi="ITC Avant Garde" w:cs="Arial"/>
        </w:rPr>
        <w:lastRenderedPageBreak/>
        <w:t>60 (sesenta) días contados a partir de que alguna de ellas lo solicite, la autoridad competente, en la especie, la Comisión, a solicitud de cualquiera de las partes resolverá sobre las condiciones que no hayan podido convenir.</w:t>
      </w:r>
    </w:p>
    <w:p w14:paraId="0B68C777"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En este orden de ideas, no resulta fundado y en consecuencia atendible lo señalado por Grupo Telefónica respecto a que no se actualiza la hipótesis normativa contenida en el artículo 42 de la LFT, en el sentido de que </w:t>
      </w:r>
      <w:proofErr w:type="spellStart"/>
      <w:r w:rsidR="002457C1" w:rsidRPr="00D631CA">
        <w:rPr>
          <w:rFonts w:ascii="ITC Avant Garde" w:hAnsi="ITC Avant Garde" w:cs="Arial"/>
        </w:rPr>
        <w:t>Marcatel</w:t>
      </w:r>
      <w:proofErr w:type="spellEnd"/>
      <w:r w:rsidR="002457C1" w:rsidRPr="00D631CA">
        <w:rPr>
          <w:rFonts w:ascii="ITC Avant Garde" w:hAnsi="ITC Avant Garde" w:cs="Arial"/>
        </w:rPr>
        <w:t xml:space="preserve"> y Grupo Telefónica acordaron lo conducente para el caso de que no existiera una tarifa legalmente establecida al término de la vigenci</w:t>
      </w:r>
      <w:r w:rsidR="00CD3D0E" w:rsidRPr="00D631CA">
        <w:rPr>
          <w:rFonts w:ascii="ITC Avant Garde" w:hAnsi="ITC Avant Garde" w:cs="Arial"/>
        </w:rPr>
        <w:t xml:space="preserve">a del Convenio </w:t>
      </w:r>
      <w:proofErr w:type="spellStart"/>
      <w:r w:rsidR="00CD3D0E" w:rsidRPr="00D631CA">
        <w:rPr>
          <w:rFonts w:ascii="ITC Avant Garde" w:hAnsi="ITC Avant Garde" w:cs="Arial"/>
        </w:rPr>
        <w:t>Marcatel</w:t>
      </w:r>
      <w:proofErr w:type="spellEnd"/>
      <w:r w:rsidR="00CD3D0E" w:rsidRPr="00D631CA">
        <w:rPr>
          <w:rFonts w:ascii="ITC Avant Garde" w:hAnsi="ITC Avant Garde" w:cs="Arial"/>
        </w:rPr>
        <w:t xml:space="preserve"> – Grupo</w:t>
      </w:r>
    </w:p>
    <w:p w14:paraId="474DF089"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Por tanto, si bien en su momento oper</w:t>
      </w:r>
      <w:r w:rsidR="002457C1" w:rsidRPr="00D631CA">
        <w:rPr>
          <w:rFonts w:ascii="ITC Avant Garde" w:hAnsi="ITC Avant Garde" w:cs="Arial"/>
        </w:rPr>
        <w:t>ó</w:t>
      </w:r>
      <w:r w:rsidRPr="00D631CA">
        <w:rPr>
          <w:rFonts w:ascii="ITC Avant Garde" w:hAnsi="ITC Avant Garde" w:cs="Arial"/>
        </w:rPr>
        <w:t xml:space="preserve"> el acuerdo para la aplicación continua de los términos, condiciones y contraprestaciones de</w:t>
      </w:r>
      <w:r w:rsidR="002457C1" w:rsidRPr="00D631CA">
        <w:rPr>
          <w:rFonts w:ascii="ITC Avant Garde" w:hAnsi="ITC Avant Garde" w:cs="Arial"/>
        </w:rPr>
        <w:t xml:space="preserve">l </w:t>
      </w:r>
      <w:r w:rsidRPr="00D631CA">
        <w:rPr>
          <w:rFonts w:ascii="ITC Avant Garde" w:hAnsi="ITC Avant Garde" w:cs="Arial"/>
        </w:rPr>
        <w:t>multicitado</w:t>
      </w:r>
      <w:r w:rsidR="009D4729" w:rsidRPr="00D631CA">
        <w:rPr>
          <w:rFonts w:ascii="ITC Avant Garde" w:hAnsi="ITC Avant Garde" w:cs="Arial"/>
        </w:rPr>
        <w:t xml:space="preserve"> </w:t>
      </w:r>
      <w:r w:rsidRPr="00D631CA">
        <w:rPr>
          <w:rFonts w:ascii="ITC Avant Garde" w:hAnsi="ITC Avant Garde" w:cs="Arial"/>
        </w:rPr>
        <w:t>convenio, ést</w:t>
      </w:r>
      <w:r w:rsidR="002457C1" w:rsidRPr="00D631CA">
        <w:rPr>
          <w:rFonts w:ascii="ITC Avant Garde" w:hAnsi="ITC Avant Garde" w:cs="Arial"/>
        </w:rPr>
        <w:t>e</w:t>
      </w:r>
      <w:r w:rsidRPr="00D631CA">
        <w:rPr>
          <w:rFonts w:ascii="ITC Avant Garde" w:hAnsi="ITC Avant Garde" w:cs="Arial"/>
        </w:rPr>
        <w:t xml:space="preserve"> tuv</w:t>
      </w:r>
      <w:r w:rsidR="002457C1" w:rsidRPr="00D631CA">
        <w:rPr>
          <w:rFonts w:ascii="ITC Avant Garde" w:hAnsi="ITC Avant Garde" w:cs="Arial"/>
        </w:rPr>
        <w:t>o</w:t>
      </w:r>
      <w:r w:rsidRPr="00D631CA">
        <w:rPr>
          <w:rFonts w:ascii="ITC Avant Garde" w:hAnsi="ITC Avant Garde" w:cs="Arial"/>
        </w:rPr>
        <w:t xml:space="preserve"> como vigencia la condición de la celebración de </w:t>
      </w:r>
      <w:r w:rsidR="002457C1" w:rsidRPr="00D631CA">
        <w:rPr>
          <w:rFonts w:ascii="ITC Avant Garde" w:hAnsi="ITC Avant Garde" w:cs="Arial"/>
        </w:rPr>
        <w:t xml:space="preserve">un </w:t>
      </w:r>
      <w:r w:rsidRPr="00D631CA">
        <w:rPr>
          <w:rFonts w:ascii="ITC Avant Garde" w:hAnsi="ITC Avant Garde" w:cs="Arial"/>
        </w:rPr>
        <w:t xml:space="preserve">nuevo convenio de interconexión conforme al procedimiento establecido en el artículo 42 de la LFT. De ahí que resulte inaplicable la cláusula 4.1.2 del Convenio </w:t>
      </w:r>
      <w:proofErr w:type="spellStart"/>
      <w:r w:rsidR="009D4729" w:rsidRPr="00D631CA">
        <w:rPr>
          <w:rFonts w:ascii="ITC Avant Garde" w:hAnsi="ITC Avant Garde" w:cs="Arial"/>
        </w:rPr>
        <w:t>Marcatel</w:t>
      </w:r>
      <w:proofErr w:type="spellEnd"/>
      <w:r w:rsidRPr="00D631CA">
        <w:rPr>
          <w:rFonts w:ascii="ITC Avant Garde" w:hAnsi="ITC Avant Garde" w:cs="Arial"/>
        </w:rPr>
        <w:t xml:space="preserve"> – Grupo Telefónica, toda vez que la aplicación continua de los términos y condiciones de dicho convenio, terminaría en el caso de que conforme a lo previsto por el artículo 42 de la LFT las partes celebren un nuevo convenio, para lo cual se sujetarían al procedimiento </w:t>
      </w:r>
      <w:r w:rsidR="004F57BE" w:rsidRPr="00D631CA">
        <w:rPr>
          <w:rFonts w:ascii="ITC Avant Garde" w:hAnsi="ITC Avant Garde" w:cs="Arial"/>
        </w:rPr>
        <w:t>c</w:t>
      </w:r>
      <w:r w:rsidRPr="00D631CA">
        <w:rPr>
          <w:rFonts w:ascii="ITC Avant Garde" w:hAnsi="ITC Avant Garde" w:cs="Arial"/>
        </w:rPr>
        <w:t>ontenido en dicho precepto legal.</w:t>
      </w:r>
    </w:p>
    <w:p w14:paraId="038CE282"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En este tenor, la solicitud formulada por </w:t>
      </w:r>
      <w:proofErr w:type="spellStart"/>
      <w:r w:rsidR="004F57BE" w:rsidRPr="00D631CA">
        <w:rPr>
          <w:rFonts w:ascii="ITC Avant Garde" w:hAnsi="ITC Avant Garde" w:cs="Arial"/>
        </w:rPr>
        <w:t>Marcatel</w:t>
      </w:r>
      <w:proofErr w:type="spellEnd"/>
      <w:r w:rsidRPr="00D631CA">
        <w:rPr>
          <w:rFonts w:ascii="ITC Avant Garde" w:hAnsi="ITC Avant Garde" w:cs="Arial"/>
        </w:rPr>
        <w:t xml:space="preserve"> a Grupo Telefónica, </w:t>
      </w:r>
      <w:r w:rsidR="004F57BE" w:rsidRPr="00D631CA">
        <w:rPr>
          <w:rFonts w:ascii="ITC Avant Garde" w:hAnsi="ITC Avant Garde" w:cs="Arial"/>
        </w:rPr>
        <w:t>a efecto</w:t>
      </w:r>
      <w:r w:rsidR="009D4729" w:rsidRPr="00D631CA">
        <w:rPr>
          <w:rFonts w:ascii="ITC Avant Garde" w:hAnsi="ITC Avant Garde" w:cs="Arial"/>
        </w:rPr>
        <w:t xml:space="preserve"> de </w:t>
      </w:r>
      <w:r w:rsidRPr="00D631CA">
        <w:rPr>
          <w:rFonts w:ascii="ITC Avant Garde" w:hAnsi="ITC Avant Garde" w:cs="Arial"/>
        </w:rPr>
        <w:t>acordar</w:t>
      </w:r>
      <w:r w:rsidR="004F57BE" w:rsidRPr="00D631CA">
        <w:rPr>
          <w:rFonts w:ascii="ITC Avant Garde" w:hAnsi="ITC Avant Garde" w:cs="Arial"/>
        </w:rPr>
        <w:t xml:space="preserve"> los términos, condiciones y tarifas de interconexión, </w:t>
      </w:r>
      <w:r w:rsidRPr="00D631CA">
        <w:rPr>
          <w:rFonts w:ascii="ITC Avant Garde" w:hAnsi="ITC Avant Garde" w:cs="Arial"/>
        </w:rPr>
        <w:t xml:space="preserve"> entre </w:t>
      </w:r>
      <w:r w:rsidR="004F57BE" w:rsidRPr="00D631CA">
        <w:rPr>
          <w:rFonts w:ascii="ITC Avant Garde" w:hAnsi="ITC Avant Garde" w:cs="Arial"/>
        </w:rPr>
        <w:t xml:space="preserve">sus respectivas </w:t>
      </w:r>
      <w:r w:rsidRPr="00D631CA">
        <w:rPr>
          <w:rFonts w:ascii="ITC Avant Garde" w:hAnsi="ITC Avant Garde" w:cs="Arial"/>
        </w:rPr>
        <w:t xml:space="preserve"> redes públicas de telecomunicaciones, consistieron en peticiones para acordar un nuevo convenio de interconexión y una vez transcurrido el plazo de 60 (sesenta) días establecido para tal efecto en la legislación aplicable, sin que las partes llegaran a un acuerdo, es que </w:t>
      </w:r>
      <w:proofErr w:type="spellStart"/>
      <w:r w:rsidR="004F57BE" w:rsidRPr="00D631CA">
        <w:rPr>
          <w:rFonts w:ascii="ITC Avant Garde" w:hAnsi="ITC Avant Garde" w:cs="Arial"/>
        </w:rPr>
        <w:t>Marcatel</w:t>
      </w:r>
      <w:proofErr w:type="spellEnd"/>
      <w:r w:rsidRPr="00D631CA">
        <w:rPr>
          <w:rFonts w:ascii="ITC Avant Garde" w:hAnsi="ITC Avant Garde" w:cs="Arial"/>
        </w:rPr>
        <w:t xml:space="preserve"> solicit</w:t>
      </w:r>
      <w:r w:rsidR="004F57BE" w:rsidRPr="00D631CA">
        <w:rPr>
          <w:rFonts w:ascii="ITC Avant Garde" w:hAnsi="ITC Avant Garde" w:cs="Arial"/>
        </w:rPr>
        <w:t>ó</w:t>
      </w:r>
      <w:r w:rsidRPr="00D631CA">
        <w:rPr>
          <w:rFonts w:ascii="ITC Avant Garde" w:hAnsi="ITC Avant Garde" w:cs="Arial"/>
        </w:rPr>
        <w:t xml:space="preserve"> la intervención de esta autoridad resolver las condiciones que no acord</w:t>
      </w:r>
      <w:r w:rsidR="004F57BE" w:rsidRPr="00D631CA">
        <w:rPr>
          <w:rFonts w:ascii="ITC Avant Garde" w:hAnsi="ITC Avant Garde" w:cs="Arial"/>
        </w:rPr>
        <w:t>ó</w:t>
      </w:r>
      <w:r w:rsidRPr="00D631CA">
        <w:rPr>
          <w:rFonts w:ascii="ITC Avant Garde" w:hAnsi="ITC Avant Garde" w:cs="Arial"/>
        </w:rPr>
        <w:t xml:space="preserve"> para la interconexión de su red</w:t>
      </w:r>
      <w:r w:rsidR="004F57BE" w:rsidRPr="00D631CA">
        <w:rPr>
          <w:rFonts w:ascii="ITC Avant Garde" w:hAnsi="ITC Avant Garde" w:cs="Arial"/>
        </w:rPr>
        <w:t xml:space="preserve"> Públicas de telecomunicaciones.</w:t>
      </w:r>
    </w:p>
    <w:p w14:paraId="2754D0DE"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Por otra parte, es importante señalar que las partes en el Convenio </w:t>
      </w:r>
      <w:proofErr w:type="spellStart"/>
      <w:r w:rsidR="004F57BE" w:rsidRPr="00D631CA">
        <w:rPr>
          <w:rFonts w:ascii="ITC Avant Garde" w:hAnsi="ITC Avant Garde" w:cs="Arial"/>
        </w:rPr>
        <w:t>Marcatel</w:t>
      </w:r>
      <w:proofErr w:type="spellEnd"/>
      <w:r w:rsidRPr="00D631CA">
        <w:rPr>
          <w:rFonts w:ascii="ITC Avant Garde" w:hAnsi="ITC Avant Garde" w:cs="Arial"/>
        </w:rPr>
        <w:t xml:space="preserve">– Grupo Telefónica reconocen expresamente la facultad que tiene la autoridad para resolver las condiciones de interconexión conforme a lo establecido en el artículo 42 de la LFT, al haber estipulado en </w:t>
      </w:r>
      <w:r w:rsidR="004F57BE" w:rsidRPr="00D631CA">
        <w:rPr>
          <w:rFonts w:ascii="ITC Avant Garde" w:hAnsi="ITC Avant Garde" w:cs="Arial"/>
        </w:rPr>
        <w:t>el</w:t>
      </w:r>
      <w:r w:rsidRPr="00D631CA">
        <w:rPr>
          <w:rFonts w:ascii="ITC Avant Garde" w:hAnsi="ITC Avant Garde" w:cs="Arial"/>
        </w:rPr>
        <w:t xml:space="preserve"> numeral 17.2</w:t>
      </w:r>
      <w:r w:rsidR="004F57BE" w:rsidRPr="00D631CA">
        <w:rPr>
          <w:rFonts w:ascii="ITC Avant Garde" w:hAnsi="ITC Avant Garde" w:cs="Arial"/>
        </w:rPr>
        <w:t xml:space="preserve"> de la Cláusula </w:t>
      </w:r>
      <w:r w:rsidR="009D4729" w:rsidRPr="00D631CA">
        <w:rPr>
          <w:rFonts w:ascii="ITC Avant Garde" w:hAnsi="ITC Avant Garde" w:cs="Arial"/>
        </w:rPr>
        <w:t>Decimoséptima</w:t>
      </w:r>
      <w:r w:rsidRPr="00D631CA">
        <w:rPr>
          <w:rFonts w:ascii="ITC Avant Garde" w:hAnsi="ITC Avant Garde" w:cs="Arial"/>
        </w:rPr>
        <w:t>, que la vigencia en la aplicación continua de los términos, condiciones y contraprestaciones está sujeta a la condición de la celebración de nuevos convenios conforme al procedimiento previsto en el precepto legal en cita.</w:t>
      </w:r>
    </w:p>
    <w:p w14:paraId="3EF0B022" w14:textId="4EDA49FA" w:rsidR="00382941"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lastRenderedPageBreak/>
        <w:t xml:space="preserve">En este sentido y </w:t>
      </w:r>
      <w:r w:rsidR="004F57BE" w:rsidRPr="00D631CA">
        <w:rPr>
          <w:rFonts w:ascii="ITC Avant Garde" w:hAnsi="ITC Avant Garde" w:cs="Arial"/>
        </w:rPr>
        <w:t>de las manifestaciones hechas por las partes</w:t>
      </w:r>
      <w:r w:rsidRPr="00D631CA">
        <w:rPr>
          <w:rFonts w:ascii="ITC Avant Garde" w:hAnsi="ITC Avant Garde" w:cs="Arial"/>
        </w:rPr>
        <w:t xml:space="preserve">, se desprende que los supuestos requeridos por el artículo 42 de la LFT se materializaron yes así que la Comisión tiene facultades para Intervenir y resolver las condiciones de interconexión planteadas por  </w:t>
      </w:r>
      <w:proofErr w:type="spellStart"/>
      <w:r w:rsidR="004F57BE" w:rsidRPr="00D631CA">
        <w:rPr>
          <w:rFonts w:ascii="ITC Avant Garde" w:hAnsi="ITC Avant Garde" w:cs="Arial"/>
        </w:rPr>
        <w:t>Marcatel</w:t>
      </w:r>
      <w:proofErr w:type="spellEnd"/>
      <w:r w:rsidRPr="00D631CA">
        <w:rPr>
          <w:rFonts w:ascii="ITC Avant Garde" w:hAnsi="ITC Avant Garde" w:cs="Arial"/>
        </w:rPr>
        <w:t>. Lo anterior, en concordancia con lo pactado por las partes en el numeral 17.2 de las cláusula</w:t>
      </w:r>
      <w:r w:rsidR="009D4729" w:rsidRPr="00D631CA">
        <w:rPr>
          <w:rFonts w:ascii="ITC Avant Garde" w:hAnsi="ITC Avant Garde" w:cs="Arial"/>
        </w:rPr>
        <w:t xml:space="preserve"> </w:t>
      </w:r>
      <w:r w:rsidR="004F57BE" w:rsidRPr="00D631CA">
        <w:rPr>
          <w:rFonts w:ascii="ITC Avant Garde" w:hAnsi="ITC Avant Garde" w:cs="Arial"/>
        </w:rPr>
        <w:t>Dé</w:t>
      </w:r>
      <w:r w:rsidRPr="00D631CA">
        <w:rPr>
          <w:rFonts w:ascii="ITC Avant Garde" w:hAnsi="ITC Avant Garde" w:cs="Arial"/>
        </w:rPr>
        <w:t xml:space="preserve">cimo Séptima del Convenio </w:t>
      </w:r>
      <w:proofErr w:type="spellStart"/>
      <w:r w:rsidR="004F57BE" w:rsidRPr="00D631CA">
        <w:rPr>
          <w:rFonts w:ascii="ITC Avant Garde" w:hAnsi="ITC Avant Garde" w:cs="Arial"/>
        </w:rPr>
        <w:t>Marcatel</w:t>
      </w:r>
      <w:proofErr w:type="spellEnd"/>
      <w:r w:rsidRPr="00D631CA">
        <w:rPr>
          <w:rFonts w:ascii="ITC Avant Garde" w:hAnsi="ITC Avant Garde" w:cs="Arial"/>
        </w:rPr>
        <w:t xml:space="preserve"> – Grupo Telefónica en el sentido de que los referidos concesionarios continuarían aplicando los términos, condiciones y contraprestaciones hasta que conforme a lo previsto por el artículo 42 de la LFT, las partes celebren un nuevo convenio para continuar con la interconexión de sus redes.</w:t>
      </w:r>
    </w:p>
    <w:p w14:paraId="7DAA9A8F" w14:textId="77777777" w:rsidR="00D631CA" w:rsidRPr="00D631CA" w:rsidRDefault="004F57BE" w:rsidP="00D631CA">
      <w:pPr>
        <w:spacing w:before="240"/>
        <w:ind w:left="567" w:right="900"/>
        <w:jc w:val="both"/>
        <w:rPr>
          <w:rFonts w:ascii="ITC Avant Garde" w:hAnsi="ITC Avant Garde" w:cs="Arial"/>
        </w:rPr>
      </w:pPr>
      <w:r w:rsidRPr="00D631CA">
        <w:rPr>
          <w:rFonts w:ascii="ITC Avant Garde" w:hAnsi="ITC Avant Garde" w:cs="Arial"/>
        </w:rPr>
        <w:t xml:space="preserve">Es importante precisar que en el Anexo “C” de Precios y Tarifas del Convenio </w:t>
      </w:r>
      <w:proofErr w:type="spellStart"/>
      <w:r w:rsidRPr="00D631CA">
        <w:rPr>
          <w:rFonts w:ascii="ITC Avant Garde" w:hAnsi="ITC Avant Garde" w:cs="Arial"/>
        </w:rPr>
        <w:t>Marcatel</w:t>
      </w:r>
      <w:proofErr w:type="spellEnd"/>
      <w:r w:rsidRPr="00D631CA">
        <w:rPr>
          <w:rFonts w:ascii="ITC Avant Garde" w:hAnsi="ITC Avant Garde" w:cs="Arial"/>
        </w:rPr>
        <w:t>-Grupo Telefónica, las partes pactaron expresamente las tarifas de interconexión aplicables para los años 2005 al 2010. Sin embargo, no existe documento alguno en que las partes hayan pactado tarifas de interconexión para 2011.</w:t>
      </w:r>
    </w:p>
    <w:p w14:paraId="17FAC501" w14:textId="77777777" w:rsidR="00D631CA" w:rsidRPr="00D631CA" w:rsidRDefault="004F57BE" w:rsidP="00D631CA">
      <w:pPr>
        <w:spacing w:before="240"/>
        <w:ind w:left="567" w:right="900"/>
        <w:jc w:val="both"/>
        <w:rPr>
          <w:rFonts w:ascii="ITC Avant Garde" w:hAnsi="ITC Avant Garde" w:cs="Arial"/>
        </w:rPr>
      </w:pPr>
      <w:r w:rsidRPr="00D631CA">
        <w:rPr>
          <w:rFonts w:ascii="ITC Avant Garde" w:hAnsi="ITC Avant Garde" w:cs="Arial"/>
        </w:rPr>
        <w:t xml:space="preserve">En este sentido resultan </w:t>
      </w:r>
      <w:r w:rsidR="00382941" w:rsidRPr="00D631CA">
        <w:rPr>
          <w:rFonts w:ascii="ITC Avant Garde" w:hAnsi="ITC Avant Garde" w:cs="Arial"/>
        </w:rPr>
        <w:t>improcedentes por infundados los argumentos de Grupo Telefónica en cuanto a que ya existen condiciones y tarifas acordadas y vigentes</w:t>
      </w:r>
      <w:r w:rsidRPr="00D631CA">
        <w:rPr>
          <w:rFonts w:ascii="ITC Avant Garde" w:hAnsi="ITC Avant Garde" w:cs="Arial"/>
        </w:rPr>
        <w:t xml:space="preserve"> para 2011</w:t>
      </w:r>
      <w:r w:rsidR="00382941" w:rsidRPr="00D631CA">
        <w:rPr>
          <w:rFonts w:ascii="ITC Avant Garde" w:hAnsi="ITC Avant Garde" w:cs="Arial"/>
        </w:rPr>
        <w:t xml:space="preserve">, por lo que al haberse solicitado a Grupo Telefónica por parte de </w:t>
      </w:r>
      <w:proofErr w:type="spellStart"/>
      <w:r w:rsidR="00190C53" w:rsidRPr="00D631CA">
        <w:rPr>
          <w:rFonts w:ascii="ITC Avant Garde" w:hAnsi="ITC Avant Garde" w:cs="Arial"/>
        </w:rPr>
        <w:t>Marcatel</w:t>
      </w:r>
      <w:proofErr w:type="spellEnd"/>
      <w:r w:rsidR="00190C53" w:rsidRPr="00D631CA">
        <w:rPr>
          <w:rFonts w:ascii="ITC Avant Garde" w:hAnsi="ITC Avant Garde" w:cs="Arial"/>
        </w:rPr>
        <w:t xml:space="preserve"> con fecha 2 de agosto de 2011 </w:t>
      </w:r>
      <w:r w:rsidR="00382941" w:rsidRPr="00D631CA">
        <w:rPr>
          <w:rFonts w:ascii="ITC Avant Garde" w:hAnsi="ITC Avant Garde" w:cs="Arial"/>
        </w:rPr>
        <w:t>, las negociaciones de las tarifas de la interconexión entre sus redes aplicables a partir del 1º de enero de 2011, sin que a la fecha de emisión de la presente Resolución dichos concesionarios hubieren acordado las referidas tarifas, esta Comisión de conformidad con los artículos 9-A fracción X y 42 de la LFT, se aboca a resolver sobre aquellos puntos de desacuerdo sometidos a su consideración.</w:t>
      </w:r>
    </w:p>
    <w:p w14:paraId="49E4E5F5"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 xml:space="preserve">En </w:t>
      </w:r>
      <w:r w:rsidR="00190C53" w:rsidRPr="00D631CA">
        <w:rPr>
          <w:rFonts w:ascii="ITC Avant Garde" w:hAnsi="ITC Avant Garde" w:cs="Arial"/>
        </w:rPr>
        <w:t xml:space="preserve">este sentido, </w:t>
      </w:r>
      <w:proofErr w:type="spellStart"/>
      <w:r w:rsidR="00190C53" w:rsidRPr="00D631CA">
        <w:rPr>
          <w:rFonts w:ascii="ITC Avant Garde" w:hAnsi="ITC Avant Garde" w:cs="Arial"/>
        </w:rPr>
        <w:t>Marcatel</w:t>
      </w:r>
      <w:proofErr w:type="spellEnd"/>
      <w:r w:rsidR="00190C53" w:rsidRPr="00D631CA">
        <w:rPr>
          <w:rFonts w:ascii="ITC Avant Garde" w:hAnsi="ITC Avant Garde" w:cs="Arial"/>
        </w:rPr>
        <w:t xml:space="preserve"> señaló que no pudo convenir con Grupo Telefónica, entre otros</w:t>
      </w:r>
      <w:r w:rsidRPr="00D631CA">
        <w:rPr>
          <w:rFonts w:ascii="ITC Avant Garde" w:hAnsi="ITC Avant Garde" w:cs="Arial"/>
        </w:rPr>
        <w:t xml:space="preserve"> las tarifas de interconexión </w:t>
      </w:r>
      <w:r w:rsidR="00190C53" w:rsidRPr="00D631CA">
        <w:rPr>
          <w:rFonts w:ascii="ITC Avant Garde" w:hAnsi="ITC Avant Garde" w:cs="Arial"/>
        </w:rPr>
        <w:t xml:space="preserve">entre sus redes aplicables a partir del 1° de enero de 2011 entre sus respectivas redes públicas de telecomunicaciones, petición que </w:t>
      </w:r>
      <w:proofErr w:type="spellStart"/>
      <w:r w:rsidR="00190C53" w:rsidRPr="00D631CA">
        <w:rPr>
          <w:rFonts w:ascii="ITC Avant Garde" w:hAnsi="ITC Avant Garde" w:cs="Arial"/>
        </w:rPr>
        <w:t>Marcatel</w:t>
      </w:r>
      <w:proofErr w:type="spellEnd"/>
      <w:r w:rsidR="00190C53" w:rsidRPr="00D631CA">
        <w:rPr>
          <w:rFonts w:ascii="ITC Avant Garde" w:hAnsi="ITC Avant Garde" w:cs="Arial"/>
        </w:rPr>
        <w:t xml:space="preserve"> hizo a Grupo Telefónica con fecha 2 de agosto de 2011</w:t>
      </w:r>
      <w:r w:rsidRPr="00D631CA">
        <w:rPr>
          <w:rFonts w:ascii="ITC Avant Garde" w:hAnsi="ITC Avant Garde" w:cs="Arial"/>
        </w:rPr>
        <w:t xml:space="preserve">. </w:t>
      </w:r>
    </w:p>
    <w:p w14:paraId="353A62ED" w14:textId="77777777" w:rsidR="00D631CA" w:rsidRPr="00D631CA" w:rsidRDefault="00190C53" w:rsidP="00D631CA">
      <w:pPr>
        <w:spacing w:before="240"/>
        <w:ind w:left="567" w:right="900"/>
        <w:jc w:val="both"/>
        <w:rPr>
          <w:rFonts w:ascii="ITC Avant Garde" w:hAnsi="ITC Avant Garde" w:cs="Arial"/>
        </w:rPr>
      </w:pPr>
      <w:r w:rsidRPr="00D631CA">
        <w:rPr>
          <w:rFonts w:ascii="ITC Avant Garde" w:hAnsi="ITC Avant Garde" w:cs="Arial"/>
        </w:rPr>
        <w:t xml:space="preserve">De lo anterior, se desprende que la Solicitud de Resolución efectivamente versa sobre tarifas de interconexión no convenidas por las partes para 2011. En consecuencia, es procedente la petición de </w:t>
      </w:r>
      <w:proofErr w:type="spellStart"/>
      <w:r w:rsidRPr="00D631CA">
        <w:rPr>
          <w:rFonts w:ascii="ITC Avant Garde" w:hAnsi="ITC Avant Garde" w:cs="Arial"/>
        </w:rPr>
        <w:t>Marcatel</w:t>
      </w:r>
      <w:proofErr w:type="spellEnd"/>
      <w:r w:rsidRPr="00D631CA">
        <w:rPr>
          <w:rFonts w:ascii="ITC Avant Garde" w:hAnsi="ITC Avant Garde" w:cs="Arial"/>
        </w:rPr>
        <w:t xml:space="preserve"> y se acredita el presupuesto esencial contenido en la segunda parte de los artículos 9-A fracción X y 42 de la LFT, a efecto de que esta Comisión se aboque a resolver dichas tarifas de interconexión no convenidas entre </w:t>
      </w:r>
      <w:proofErr w:type="spellStart"/>
      <w:r w:rsidRPr="00D631CA">
        <w:rPr>
          <w:rFonts w:ascii="ITC Avant Garde" w:hAnsi="ITC Avant Garde" w:cs="Arial"/>
        </w:rPr>
        <w:t>Marcatel</w:t>
      </w:r>
      <w:proofErr w:type="spellEnd"/>
      <w:r w:rsidRPr="00D631CA">
        <w:rPr>
          <w:rFonts w:ascii="ITC Avant Garde" w:hAnsi="ITC Avant Garde" w:cs="Arial"/>
        </w:rPr>
        <w:t xml:space="preserve"> y Grupo Telefónica</w:t>
      </w:r>
      <w:proofErr w:type="gramStart"/>
      <w:r w:rsidRPr="00D631CA">
        <w:rPr>
          <w:rFonts w:ascii="ITC Avant Garde" w:hAnsi="ITC Avant Garde" w:cs="Arial"/>
        </w:rPr>
        <w:t>.</w:t>
      </w:r>
      <w:r w:rsidR="00382941" w:rsidRPr="00D631CA">
        <w:rPr>
          <w:rFonts w:ascii="ITC Avant Garde" w:hAnsi="ITC Avant Garde" w:cs="Arial"/>
        </w:rPr>
        <w:t>.”</w:t>
      </w:r>
      <w:proofErr w:type="gramEnd"/>
      <w:r w:rsidR="00382941" w:rsidRPr="00D631CA">
        <w:rPr>
          <w:rFonts w:ascii="ITC Avant Garde" w:hAnsi="ITC Avant Garde" w:cs="Arial"/>
        </w:rPr>
        <w:t xml:space="preserve"> </w:t>
      </w:r>
    </w:p>
    <w:p w14:paraId="29E764B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Por lo que se refiere al argumento de la Recurrente que aduce que se pactó que las nuevas tarifas que en su caso se establezcan, para ser aplicadas y/o pagadas entre sí, deberán contenerse en una "resolución administrativa o judicial”, y pretende negar la actualización de ese supuesto, resulta que la Resolución Recurrida si constituye una resolución administrativa, aunque la misma haya sido impugnada.</w:t>
      </w:r>
    </w:p>
    <w:p w14:paraId="5616232B" w14:textId="1BF1E4E8" w:rsidR="00382941" w:rsidRPr="00D631CA" w:rsidRDefault="00382941" w:rsidP="00D631CA">
      <w:pPr>
        <w:spacing w:before="240"/>
        <w:jc w:val="both"/>
        <w:rPr>
          <w:rFonts w:ascii="ITC Avant Garde" w:hAnsi="ITC Avant Garde" w:cs="Arial"/>
        </w:rPr>
      </w:pPr>
      <w:r w:rsidRPr="00D631CA">
        <w:rPr>
          <w:rFonts w:ascii="ITC Avant Garde" w:hAnsi="ITC Avant Garde" w:cs="Arial"/>
        </w:rPr>
        <w:t>En relación con el capítulo denominado AGRAVIOS, respecto de la tercera parte denominada AGRAVIOS RESPECTO CON EL RESOLUTIVO QUINTO DE LA RESOLUCIÓN IMPUGNADA, se entra a su estudio en los siguientes términos:</w:t>
      </w:r>
    </w:p>
    <w:p w14:paraId="40B2FFC9" w14:textId="77777777" w:rsidR="00D631CA" w:rsidRPr="00D631CA" w:rsidRDefault="00382941" w:rsidP="00D631CA">
      <w:pPr>
        <w:numPr>
          <w:ilvl w:val="0"/>
          <w:numId w:val="2"/>
        </w:numPr>
        <w:spacing w:before="240"/>
        <w:contextualSpacing/>
        <w:jc w:val="both"/>
        <w:rPr>
          <w:rFonts w:ascii="ITC Avant Garde" w:hAnsi="ITC Avant Garde" w:cs="Arial"/>
        </w:rPr>
      </w:pPr>
      <w:r w:rsidRPr="00D631CA">
        <w:rPr>
          <w:rFonts w:ascii="ITC Avant Garde" w:hAnsi="ITC Avant Garde" w:cs="Arial"/>
        </w:rPr>
        <w:t xml:space="preserve">En relación con lo manifestado por la Recurrente en el agravio </w:t>
      </w:r>
      <w:r w:rsidRPr="00D631CA">
        <w:rPr>
          <w:rFonts w:ascii="ITC Avant Garde" w:hAnsi="ITC Avant Garde" w:cs="Arial"/>
          <w:b/>
        </w:rPr>
        <w:t>DÉCIMO SÉPTIMO</w:t>
      </w:r>
      <w:r w:rsidRPr="00D631CA">
        <w:rPr>
          <w:rFonts w:ascii="ITC Avant Garde" w:hAnsi="ITC Avant Garde" w:cs="Arial"/>
        </w:rPr>
        <w:t>, en el cual sostiene que no existe disposición jurídica que faculte a la Comisión para fijar a la Recurrente las tarifas de interconexión con base en costos, es infundado.</w:t>
      </w:r>
    </w:p>
    <w:p w14:paraId="0E1C5BF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Lo manifestado por la Recurrente en el agravio en estudio es infundado, si se tiene en consideración el fundamento legal que otorga facultades a la hoy extinta Comisión Federal de Telecomunicaciones, para determinar las condiciones que, en materia de interconexión, no hayan podido convenirse entre los concesionarios de redes públicas de telecomunicaciones; asimismo, el argumento hecho valer es inoperante, ya que no controvierte las consideraciones específicas de la Resolución Recurrida que se citan a continuación:</w:t>
      </w:r>
    </w:p>
    <w:p w14:paraId="3EBF01A0"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Al efecto, cabe señalar que el artículo 9-A de la Ley Federal de Telecomunicaciones al efecto dispone:</w:t>
      </w:r>
    </w:p>
    <w:p w14:paraId="75BBC3D9" w14:textId="77777777" w:rsidR="00D631CA" w:rsidRPr="00D631CA" w:rsidRDefault="00382941" w:rsidP="00D631CA">
      <w:pPr>
        <w:spacing w:before="240"/>
        <w:ind w:left="567" w:right="900"/>
        <w:jc w:val="both"/>
        <w:rPr>
          <w:rFonts w:ascii="ITC Avant Garde" w:eastAsia="Times New Roman" w:hAnsi="ITC Avant Garde" w:cs="Arial"/>
          <w:lang w:val="es-ES_tradnl" w:eastAsia="es-MX"/>
        </w:rPr>
      </w:pPr>
      <w:r w:rsidRPr="00D631CA">
        <w:rPr>
          <w:rFonts w:ascii="ITC Avant Garde" w:eastAsia="Times New Roman" w:hAnsi="ITC Avant Garde" w:cs="Arial"/>
          <w:b/>
          <w:lang w:val="es-ES_tradnl" w:eastAsia="es-MX"/>
        </w:rPr>
        <w:t>“Artículo 9-A.</w:t>
      </w:r>
      <w:r w:rsidRPr="00D631CA">
        <w:rPr>
          <w:rFonts w:ascii="ITC Avant Garde" w:eastAsia="Times New Roman" w:hAnsi="ITC Avant Garde" w:cs="Arial"/>
          <w:lang w:val="es-ES_tradnl" w:eastAsia="es-MX"/>
        </w:rPr>
        <w:t xml:space="preserve"> La Comisión Federal de Telecomunicaciones es el órgano administrativo desconcentrado de la Secretaría, con autonomía técnica, operativa, de gasto y de gestión, encargado de regular, promover y supervisar el desarrollo eficiente y la cobertura social amplia de las telecomunicaciones y la radiodifusión en México, y tendrá autonomía plena para dictar sus resoluciones. Para el logro de estos objetivos, corresponde a la citada Comisión el ejercicio de las siguientes atribuciones:</w:t>
      </w:r>
    </w:p>
    <w:p w14:paraId="46FDEAEF" w14:textId="77777777" w:rsidR="00D631CA" w:rsidRPr="00D631CA" w:rsidRDefault="00382941" w:rsidP="00D631CA">
      <w:pPr>
        <w:spacing w:before="240"/>
        <w:ind w:left="567" w:right="900"/>
        <w:jc w:val="both"/>
        <w:rPr>
          <w:rFonts w:ascii="ITC Avant Garde" w:eastAsia="Times New Roman" w:hAnsi="ITC Avant Garde" w:cs="Arial"/>
          <w:lang w:val="es-ES_tradnl" w:eastAsia="es-MX"/>
        </w:rPr>
      </w:pPr>
      <w:r w:rsidRPr="00D631CA">
        <w:rPr>
          <w:rFonts w:ascii="ITC Avant Garde" w:eastAsia="Times New Roman" w:hAnsi="ITC Avant Garde" w:cs="Arial"/>
          <w:b/>
          <w:bCs/>
          <w:lang w:val="es-ES_tradnl" w:eastAsia="es-MX"/>
        </w:rPr>
        <w:t xml:space="preserve">I. </w:t>
      </w:r>
      <w:r w:rsidRPr="00D631CA">
        <w:rPr>
          <w:rFonts w:ascii="ITC Avant Garde" w:eastAsia="Times New Roman" w:hAnsi="ITC Avant Garde" w:cs="Arial"/>
          <w:lang w:val="es-ES_tradnl" w:eastAsia="es-MX"/>
        </w:rPr>
        <w:t>Expedir disposiciones administrativas, elaborar y administrar los planes técnicos fundamentales y expedir las normas oficiales mexicanas en materia de telecomunicaciones;</w:t>
      </w:r>
    </w:p>
    <w:p w14:paraId="7C883A70" w14:textId="77777777" w:rsidR="00D631CA" w:rsidRPr="00D631CA" w:rsidRDefault="00382941" w:rsidP="00D631CA">
      <w:pPr>
        <w:spacing w:before="240"/>
        <w:ind w:left="567" w:right="900"/>
        <w:jc w:val="both"/>
        <w:rPr>
          <w:rFonts w:ascii="ITC Avant Garde" w:eastAsia="Times New Roman" w:hAnsi="ITC Avant Garde" w:cs="Arial"/>
          <w:lang w:val="es-ES_tradnl" w:eastAsia="es-MX"/>
        </w:rPr>
      </w:pPr>
      <w:r w:rsidRPr="00D631CA">
        <w:rPr>
          <w:rFonts w:ascii="ITC Avant Garde" w:eastAsia="Times New Roman" w:hAnsi="ITC Avant Garde" w:cs="Arial"/>
          <w:b/>
          <w:bCs/>
          <w:lang w:val="es-ES_tradnl" w:eastAsia="es-MX"/>
        </w:rPr>
        <w:t xml:space="preserve">II. </w:t>
      </w:r>
      <w:r w:rsidRPr="00D631CA">
        <w:rPr>
          <w:rFonts w:ascii="ITC Avant Garde" w:eastAsia="Times New Roman" w:hAnsi="ITC Avant Garde" w:cs="Arial"/>
          <w:lang w:val="es-ES_tradnl" w:eastAsia="es-MX"/>
        </w:rPr>
        <w:t>Realizar estudios e investigaciones en materia de telecomunicaciones, así como elaborar anteproyectos de adecuación, modificación y actualización de las disposiciones legales y reglamentarias que resulten pertinentes;</w:t>
      </w:r>
    </w:p>
    <w:p w14:paraId="7F335D43" w14:textId="77777777" w:rsidR="00D631CA" w:rsidRPr="00D631CA" w:rsidRDefault="00382941" w:rsidP="00D631CA">
      <w:pPr>
        <w:spacing w:before="240"/>
        <w:ind w:left="567" w:right="900"/>
        <w:jc w:val="both"/>
        <w:rPr>
          <w:rFonts w:ascii="ITC Avant Garde" w:eastAsia="Times New Roman" w:hAnsi="ITC Avant Garde" w:cs="Arial"/>
          <w:lang w:val="es-ES_tradnl" w:eastAsia="es-MX"/>
        </w:rPr>
      </w:pPr>
      <w:r w:rsidRPr="00D631CA">
        <w:rPr>
          <w:rFonts w:ascii="ITC Avant Garde" w:eastAsia="Times New Roman" w:hAnsi="ITC Avant Garde" w:cs="Arial"/>
          <w:b/>
          <w:bCs/>
          <w:lang w:val="es-ES_tradnl" w:eastAsia="es-MX"/>
        </w:rPr>
        <w:lastRenderedPageBreak/>
        <w:t xml:space="preserve">III. </w:t>
      </w:r>
      <w:r w:rsidRPr="00D631CA">
        <w:rPr>
          <w:rFonts w:ascii="ITC Avant Garde" w:eastAsia="Times New Roman" w:hAnsi="ITC Avant Garde" w:cs="Arial"/>
          <w:lang w:val="es-ES_tradnl" w:eastAsia="es-MX"/>
        </w:rPr>
        <w:t>Promover, en coordinación con las dependencias y entidades competentes, así como con las instituciones académicas y los particulares, el desarrollo de las actividades encaminadas a la formación de recursos humanos en materia de telecomunicaciones, así como el desarrollo tecnológico en el sector;</w:t>
      </w:r>
    </w:p>
    <w:p w14:paraId="090B0F13" w14:textId="77777777" w:rsidR="00D631CA" w:rsidRPr="00D631CA" w:rsidRDefault="00382941" w:rsidP="00D631CA">
      <w:pPr>
        <w:spacing w:before="240"/>
        <w:ind w:left="567" w:right="900"/>
        <w:jc w:val="both"/>
        <w:rPr>
          <w:rFonts w:ascii="ITC Avant Garde" w:eastAsia="Times New Roman" w:hAnsi="ITC Avant Garde" w:cs="Arial"/>
          <w:lang w:val="es-ES_tradnl" w:eastAsia="es-MX"/>
        </w:rPr>
      </w:pPr>
      <w:r w:rsidRPr="00D631CA">
        <w:rPr>
          <w:rFonts w:ascii="ITC Avant Garde" w:eastAsia="Times New Roman" w:hAnsi="ITC Avant Garde" w:cs="Arial"/>
          <w:b/>
          <w:bCs/>
          <w:lang w:val="es-ES_tradnl" w:eastAsia="es-MX"/>
        </w:rPr>
        <w:t xml:space="preserve">IV. </w:t>
      </w:r>
      <w:r w:rsidRPr="00D631CA">
        <w:rPr>
          <w:rFonts w:ascii="ITC Avant Garde" w:eastAsia="Times New Roman" w:hAnsi="ITC Avant Garde" w:cs="Arial"/>
          <w:lang w:val="es-ES_tradnl" w:eastAsia="es-MX"/>
        </w:rPr>
        <w:t>Opinar respecto de las solicitudes para el otorgamiento, modificación, prórroga y cesión de concesiones y permisos en materia de telecomunicaciones, así como de su revocación;</w:t>
      </w:r>
    </w:p>
    <w:p w14:paraId="3589E40C" w14:textId="77777777" w:rsidR="00D631CA" w:rsidRPr="00D631CA" w:rsidRDefault="00382941" w:rsidP="00D631CA">
      <w:pPr>
        <w:spacing w:before="240"/>
        <w:ind w:left="567" w:right="900"/>
        <w:jc w:val="both"/>
        <w:rPr>
          <w:rFonts w:ascii="ITC Avant Garde" w:eastAsia="Times New Roman" w:hAnsi="ITC Avant Garde" w:cs="Arial"/>
          <w:lang w:val="es-ES_tradnl" w:eastAsia="es-MX"/>
        </w:rPr>
      </w:pPr>
      <w:r w:rsidRPr="00D631CA">
        <w:rPr>
          <w:rFonts w:ascii="ITC Avant Garde" w:eastAsia="Times New Roman" w:hAnsi="ITC Avant Garde" w:cs="Arial"/>
          <w:b/>
          <w:bCs/>
          <w:lang w:val="es-ES_tradnl" w:eastAsia="es-MX"/>
        </w:rPr>
        <w:t xml:space="preserve">V. </w:t>
      </w:r>
      <w:r w:rsidRPr="00D631CA">
        <w:rPr>
          <w:rFonts w:ascii="ITC Avant Garde" w:eastAsia="Times New Roman" w:hAnsi="ITC Avant Garde" w:cs="Arial"/>
          <w:lang w:val="es-ES_tradnl" w:eastAsia="es-MX"/>
        </w:rPr>
        <w:t>Someter a la aprobación de la Secretaría, el programa sobre bandas de frecuencias del espectro radioeléctrico para usos determinados, con sus correspondientes modalidades de uso y coberturas geográficas que serán materia de licitación pública; así como coordinar los procesos de licitación correspondientes;</w:t>
      </w:r>
    </w:p>
    <w:p w14:paraId="0BC8A90D" w14:textId="77777777" w:rsidR="00D631CA" w:rsidRPr="00D631CA" w:rsidRDefault="00382941" w:rsidP="00D631CA">
      <w:pPr>
        <w:spacing w:before="240"/>
        <w:ind w:left="567" w:right="900"/>
        <w:jc w:val="both"/>
        <w:rPr>
          <w:rFonts w:ascii="ITC Avant Garde" w:eastAsia="Times New Roman" w:hAnsi="ITC Avant Garde" w:cs="Arial"/>
          <w:lang w:val="es-ES_tradnl" w:eastAsia="es-MX"/>
        </w:rPr>
      </w:pPr>
      <w:r w:rsidRPr="00D631CA">
        <w:rPr>
          <w:rFonts w:ascii="ITC Avant Garde" w:eastAsia="Times New Roman" w:hAnsi="ITC Avant Garde" w:cs="Arial"/>
          <w:b/>
          <w:bCs/>
          <w:lang w:val="es-ES_tradnl" w:eastAsia="es-MX"/>
        </w:rPr>
        <w:t xml:space="preserve">VI. </w:t>
      </w:r>
      <w:r w:rsidRPr="00D631CA">
        <w:rPr>
          <w:rFonts w:ascii="ITC Avant Garde" w:eastAsia="Times New Roman" w:hAnsi="ITC Avant Garde" w:cs="Arial"/>
          <w:lang w:val="es-ES_tradnl" w:eastAsia="es-MX"/>
        </w:rPr>
        <w:t>Coordinar los procesos de licitación para ocupar y explotar posiciones orbítales geoestacionarias y órbitas satelitales asignadas al país, con sus respectivas bandas de frecuencias y derechos de emisión y recepción de señales;</w:t>
      </w:r>
    </w:p>
    <w:p w14:paraId="19EEE319" w14:textId="77777777" w:rsidR="00D631CA" w:rsidRPr="00D631CA" w:rsidRDefault="00382941" w:rsidP="00D631CA">
      <w:pPr>
        <w:spacing w:before="240"/>
        <w:ind w:left="567" w:right="900"/>
        <w:jc w:val="both"/>
        <w:rPr>
          <w:rFonts w:ascii="ITC Avant Garde" w:eastAsia="Times New Roman" w:hAnsi="ITC Avant Garde" w:cs="Arial"/>
          <w:lang w:val="es-ES_tradnl" w:eastAsia="es-MX"/>
        </w:rPr>
      </w:pPr>
      <w:r w:rsidRPr="00D631CA">
        <w:rPr>
          <w:rFonts w:ascii="ITC Avant Garde" w:eastAsia="Times New Roman" w:hAnsi="ITC Avant Garde" w:cs="Arial"/>
          <w:b/>
          <w:bCs/>
          <w:lang w:val="es-ES_tradnl" w:eastAsia="es-MX"/>
        </w:rPr>
        <w:t xml:space="preserve">VII. </w:t>
      </w:r>
      <w:r w:rsidRPr="00D631CA">
        <w:rPr>
          <w:rFonts w:ascii="ITC Avant Garde" w:eastAsia="Times New Roman" w:hAnsi="ITC Avant Garde" w:cs="Arial"/>
          <w:lang w:val="es-ES_tradnl" w:eastAsia="es-MX"/>
        </w:rPr>
        <w:t>Establecer los procedimientos para la adecuada homologación de equipos, así como otorgar la certificación correspondiente o autorizar a terceros para que emitan dicha certificación, y acreditar peritos y unidades de verificación en materia de telecomunicaciones;</w:t>
      </w:r>
    </w:p>
    <w:p w14:paraId="77E427FB" w14:textId="77777777" w:rsidR="00D631CA" w:rsidRPr="00D631CA" w:rsidRDefault="00382941" w:rsidP="00D631CA">
      <w:pPr>
        <w:spacing w:before="240"/>
        <w:ind w:left="567" w:right="900"/>
        <w:jc w:val="both"/>
        <w:rPr>
          <w:rFonts w:ascii="ITC Avant Garde" w:eastAsia="Times New Roman" w:hAnsi="ITC Avant Garde" w:cs="Arial"/>
          <w:lang w:val="es-ES_tradnl" w:eastAsia="es-MX"/>
        </w:rPr>
      </w:pPr>
      <w:r w:rsidRPr="00D631CA">
        <w:rPr>
          <w:rFonts w:ascii="ITC Avant Garde" w:eastAsia="Times New Roman" w:hAnsi="ITC Avant Garde" w:cs="Arial"/>
          <w:b/>
          <w:bCs/>
          <w:lang w:val="es-ES_tradnl" w:eastAsia="es-MX"/>
        </w:rPr>
        <w:t xml:space="preserve">VIII. </w:t>
      </w:r>
      <w:r w:rsidRPr="00D631CA">
        <w:rPr>
          <w:rFonts w:ascii="ITC Avant Garde" w:eastAsia="Times New Roman" w:hAnsi="ITC Avant Garde" w:cs="Arial"/>
          <w:lang w:val="es-ES_tradnl" w:eastAsia="es-MX"/>
        </w:rPr>
        <w:t>Administrar el espectro radioeléctrico y promover su uso eficiente, y elaborar y mantener actualizado el Cuadro Nacional de Atribución de Frecuencias;</w:t>
      </w:r>
    </w:p>
    <w:p w14:paraId="2A785E33" w14:textId="77777777" w:rsidR="00D631CA" w:rsidRPr="00D631CA" w:rsidRDefault="00382941" w:rsidP="00D631CA">
      <w:pPr>
        <w:spacing w:before="240"/>
        <w:ind w:left="567" w:right="900"/>
        <w:jc w:val="both"/>
        <w:rPr>
          <w:rFonts w:ascii="ITC Avant Garde" w:eastAsia="Times New Roman" w:hAnsi="ITC Avant Garde" w:cs="Arial"/>
          <w:lang w:val="es-ES_tradnl" w:eastAsia="es-MX"/>
        </w:rPr>
      </w:pPr>
      <w:r w:rsidRPr="00D631CA">
        <w:rPr>
          <w:rFonts w:ascii="ITC Avant Garde" w:eastAsia="Times New Roman" w:hAnsi="ITC Avant Garde" w:cs="Arial"/>
          <w:b/>
          <w:bCs/>
          <w:lang w:val="es-ES_tradnl" w:eastAsia="es-MX"/>
        </w:rPr>
        <w:t xml:space="preserve">IX. </w:t>
      </w:r>
      <w:r w:rsidRPr="00D631CA">
        <w:rPr>
          <w:rFonts w:ascii="ITC Avant Garde" w:eastAsia="Times New Roman" w:hAnsi="ITC Avant Garde" w:cs="Arial"/>
          <w:lang w:val="es-ES_tradnl" w:eastAsia="es-MX"/>
        </w:rPr>
        <w:t>Llevar el registro de telecomunicaciones previsto en el Capítulo VI de la Ley Federal de Telecomunicaciones;</w:t>
      </w:r>
    </w:p>
    <w:p w14:paraId="4F90D0B7" w14:textId="77777777" w:rsidR="00D631CA" w:rsidRPr="00D631CA" w:rsidRDefault="00382941" w:rsidP="00D631CA">
      <w:pPr>
        <w:spacing w:before="240"/>
        <w:ind w:left="567" w:right="900"/>
        <w:jc w:val="both"/>
        <w:rPr>
          <w:rFonts w:ascii="ITC Avant Garde" w:eastAsia="Times New Roman" w:hAnsi="ITC Avant Garde" w:cs="Arial"/>
          <w:lang w:val="es-ES_tradnl" w:eastAsia="es-MX"/>
        </w:rPr>
      </w:pPr>
      <w:r w:rsidRPr="00D631CA">
        <w:rPr>
          <w:rFonts w:ascii="ITC Avant Garde" w:eastAsia="Times New Roman" w:hAnsi="ITC Avant Garde" w:cs="Arial"/>
          <w:b/>
          <w:bCs/>
          <w:lang w:val="es-ES_tradnl" w:eastAsia="es-MX"/>
        </w:rPr>
        <w:t xml:space="preserve">X. </w:t>
      </w:r>
      <w:r w:rsidRPr="00D631CA">
        <w:rPr>
          <w:rFonts w:ascii="ITC Avant Garde" w:eastAsia="Times New Roman" w:hAnsi="ITC Avant Garde" w:cs="Arial"/>
          <w:lang w:val="es-ES_tradnl" w:eastAsia="es-MX"/>
        </w:rPr>
        <w:t xml:space="preserve">Promover y vigilar la eficiente interconexión de los equipos y redes públicas de telecomunicaciones, incluyendo la que se realice con redes extranjeras, y </w:t>
      </w:r>
      <w:r w:rsidRPr="00D631CA">
        <w:rPr>
          <w:rFonts w:ascii="ITC Avant Garde" w:eastAsia="Times New Roman" w:hAnsi="ITC Avant Garde" w:cs="Arial"/>
          <w:b/>
          <w:u w:val="single"/>
          <w:lang w:val="es-ES_tradnl" w:eastAsia="es-MX"/>
        </w:rPr>
        <w:t>determinar las condiciones que, en materia de interconexión, no hayan podido convenirse entre los concesionarios de redes públicas de telecomunicaciones</w:t>
      </w:r>
      <w:r w:rsidRPr="00D631CA">
        <w:rPr>
          <w:rFonts w:ascii="ITC Avant Garde" w:eastAsia="Times New Roman" w:hAnsi="ITC Avant Garde" w:cs="Arial"/>
          <w:lang w:val="es-ES_tradnl" w:eastAsia="es-MX"/>
        </w:rPr>
        <w:t>;</w:t>
      </w:r>
    </w:p>
    <w:p w14:paraId="04F1BE82" w14:textId="77777777" w:rsidR="00D631CA" w:rsidRPr="00D631CA" w:rsidRDefault="00382941" w:rsidP="00D631CA">
      <w:pPr>
        <w:spacing w:before="240"/>
        <w:ind w:left="567" w:right="900"/>
        <w:jc w:val="both"/>
        <w:rPr>
          <w:rFonts w:ascii="ITC Avant Garde" w:eastAsia="Times New Roman" w:hAnsi="ITC Avant Garde" w:cs="Arial"/>
          <w:lang w:val="es-ES_tradnl" w:eastAsia="es-MX"/>
        </w:rPr>
      </w:pPr>
      <w:r w:rsidRPr="00D631CA">
        <w:rPr>
          <w:rFonts w:ascii="ITC Avant Garde" w:eastAsia="Times New Roman" w:hAnsi="ITC Avant Garde" w:cs="Arial"/>
          <w:b/>
          <w:bCs/>
          <w:lang w:val="es-ES_tradnl" w:eastAsia="es-MX"/>
        </w:rPr>
        <w:t xml:space="preserve">XI. </w:t>
      </w:r>
      <w:r w:rsidRPr="00D631CA">
        <w:rPr>
          <w:rFonts w:ascii="ITC Avant Garde" w:eastAsia="Times New Roman" w:hAnsi="ITC Avant Garde" w:cs="Arial"/>
          <w:lang w:val="es-ES_tradnl" w:eastAsia="es-MX"/>
        </w:rPr>
        <w:t xml:space="preserve">Registrar las tarifas de los servicios de telecomunicaciones, y establecer obligaciones específicas, relacionadas con tarifas, calidad de servicio e información incorporando criterios sociales y estándares internacionales, a los concesionarios de redes públicas de telecomunicaciones que tengan poder </w:t>
      </w:r>
      <w:r w:rsidRPr="00D631CA">
        <w:rPr>
          <w:rFonts w:ascii="ITC Avant Garde" w:eastAsia="Times New Roman" w:hAnsi="ITC Avant Garde" w:cs="Arial"/>
          <w:lang w:val="es-ES_tradnl" w:eastAsia="es-MX"/>
        </w:rPr>
        <w:lastRenderedPageBreak/>
        <w:t>sustancial en el mercado relevante, de conformidad con la Ley Federal de Competencia Económica;</w:t>
      </w:r>
    </w:p>
    <w:p w14:paraId="5AC64ECA" w14:textId="77777777" w:rsidR="00D631CA" w:rsidRPr="00D631CA" w:rsidRDefault="00382941" w:rsidP="00D631CA">
      <w:pPr>
        <w:spacing w:before="240"/>
        <w:ind w:left="567" w:right="900"/>
        <w:jc w:val="both"/>
        <w:rPr>
          <w:rFonts w:ascii="ITC Avant Garde" w:eastAsia="Times New Roman" w:hAnsi="ITC Avant Garde" w:cs="Arial"/>
          <w:lang w:val="es-ES_tradnl" w:eastAsia="es-MX"/>
        </w:rPr>
      </w:pPr>
      <w:r w:rsidRPr="00D631CA">
        <w:rPr>
          <w:rFonts w:ascii="ITC Avant Garde" w:eastAsia="Times New Roman" w:hAnsi="ITC Avant Garde" w:cs="Arial"/>
          <w:b/>
          <w:bCs/>
          <w:lang w:val="es-ES_tradnl" w:eastAsia="es-MX"/>
        </w:rPr>
        <w:t xml:space="preserve">XII. </w:t>
      </w:r>
      <w:r w:rsidRPr="00D631CA">
        <w:rPr>
          <w:rFonts w:ascii="ITC Avant Garde" w:eastAsia="Times New Roman" w:hAnsi="ITC Avant Garde" w:cs="Arial"/>
          <w:lang w:val="es-ES_tradnl" w:eastAsia="es-MX"/>
        </w:rPr>
        <w:t>Recibir el pago por concepto de derechos, productos o aprovechamientos, que procedan en materia de telecomunicaciones, conforme a las disposiciones legales aplicables;</w:t>
      </w:r>
    </w:p>
    <w:p w14:paraId="41EA6320" w14:textId="77777777" w:rsidR="00D631CA" w:rsidRPr="00D631CA" w:rsidRDefault="00382941" w:rsidP="00D631CA">
      <w:pPr>
        <w:spacing w:before="240"/>
        <w:ind w:left="567" w:right="900"/>
        <w:jc w:val="both"/>
        <w:rPr>
          <w:rFonts w:ascii="ITC Avant Garde" w:eastAsia="Times New Roman" w:hAnsi="ITC Avant Garde" w:cs="Arial"/>
          <w:lang w:val="es-ES_tradnl" w:eastAsia="es-MX"/>
        </w:rPr>
      </w:pPr>
      <w:r w:rsidRPr="00D631CA">
        <w:rPr>
          <w:rFonts w:ascii="ITC Avant Garde" w:eastAsia="Times New Roman" w:hAnsi="ITC Avant Garde" w:cs="Arial"/>
          <w:b/>
          <w:bCs/>
          <w:lang w:val="es-ES_tradnl" w:eastAsia="es-MX"/>
        </w:rPr>
        <w:t xml:space="preserve">XIII. </w:t>
      </w:r>
      <w:r w:rsidRPr="00D631CA">
        <w:rPr>
          <w:rFonts w:ascii="ITC Avant Garde" w:eastAsia="Times New Roman" w:hAnsi="ITC Avant Garde" w:cs="Arial"/>
          <w:lang w:val="es-ES_tradnl" w:eastAsia="es-MX"/>
        </w:rPr>
        <w:t>Vigilar la debida observancia a lo dispuesto en los títulos de concesión y permisos otorgados en la materia, y ejercer las facultades de supervisión y verificación, a fin de asegurar que la prestación de los servicios de telecomunicaciones se realice con apego a las disposiciones legales, reglamentarias y administrativas aplicables;</w:t>
      </w:r>
    </w:p>
    <w:p w14:paraId="392FA6E0" w14:textId="77777777" w:rsidR="00D631CA" w:rsidRPr="00D631CA" w:rsidRDefault="00382941" w:rsidP="00D631CA">
      <w:pPr>
        <w:spacing w:before="240"/>
        <w:ind w:left="567" w:right="900"/>
        <w:jc w:val="both"/>
        <w:rPr>
          <w:rFonts w:ascii="ITC Avant Garde" w:eastAsia="Times New Roman" w:hAnsi="ITC Avant Garde" w:cs="Arial"/>
          <w:lang w:val="es-ES_tradnl" w:eastAsia="es-MX"/>
        </w:rPr>
      </w:pPr>
      <w:r w:rsidRPr="00D631CA">
        <w:rPr>
          <w:rFonts w:ascii="ITC Avant Garde" w:eastAsia="Times New Roman" w:hAnsi="ITC Avant Garde" w:cs="Arial"/>
          <w:b/>
          <w:bCs/>
          <w:lang w:val="es-ES_tradnl" w:eastAsia="es-MX"/>
        </w:rPr>
        <w:t xml:space="preserve">XIV. </w:t>
      </w:r>
      <w:r w:rsidRPr="00D631CA">
        <w:rPr>
          <w:rFonts w:ascii="ITC Avant Garde" w:eastAsia="Times New Roman" w:hAnsi="ITC Avant Garde" w:cs="Arial"/>
          <w:lang w:val="es-ES_tradnl" w:eastAsia="es-MX"/>
        </w:rPr>
        <w:t>Intervenir en asuntos internacionales en el ámbito de su competencia;</w:t>
      </w:r>
    </w:p>
    <w:p w14:paraId="4CC864C8" w14:textId="77777777" w:rsidR="00D631CA" w:rsidRPr="00D631CA" w:rsidRDefault="00382941" w:rsidP="00D631CA">
      <w:pPr>
        <w:spacing w:before="240"/>
        <w:ind w:left="567" w:right="900"/>
        <w:jc w:val="both"/>
        <w:rPr>
          <w:rFonts w:ascii="ITC Avant Garde" w:eastAsia="Times New Roman" w:hAnsi="ITC Avant Garde" w:cs="Arial"/>
          <w:lang w:val="es-ES_tradnl" w:eastAsia="es-MX"/>
        </w:rPr>
      </w:pPr>
      <w:r w:rsidRPr="00D631CA">
        <w:rPr>
          <w:rFonts w:ascii="ITC Avant Garde" w:eastAsia="Times New Roman" w:hAnsi="ITC Avant Garde" w:cs="Arial"/>
          <w:b/>
          <w:bCs/>
          <w:lang w:val="es-ES_tradnl" w:eastAsia="es-MX"/>
        </w:rPr>
        <w:t xml:space="preserve">XV. </w:t>
      </w:r>
      <w:r w:rsidRPr="00D631CA">
        <w:rPr>
          <w:rFonts w:ascii="ITC Avant Garde" w:eastAsia="Times New Roman" w:hAnsi="ITC Avant Garde" w:cs="Arial"/>
          <w:lang w:val="es-ES_tradnl" w:eastAsia="es-MX"/>
        </w:rPr>
        <w:t>Proponer al titular de la Secretaría de Comunicaciones y Transportes la imposición de sanciones por infracciones a las disposiciones legales, reglamentarias y administrativas aplicables;</w:t>
      </w:r>
    </w:p>
    <w:p w14:paraId="2C946158" w14:textId="77777777" w:rsidR="00D631CA" w:rsidRPr="00D631CA" w:rsidRDefault="00382941" w:rsidP="00D631CA">
      <w:pPr>
        <w:spacing w:before="240"/>
        <w:ind w:left="567" w:right="900"/>
        <w:jc w:val="both"/>
        <w:rPr>
          <w:rFonts w:ascii="ITC Avant Garde" w:eastAsia="Times New Roman" w:hAnsi="ITC Avant Garde" w:cs="Arial"/>
          <w:lang w:val="es-ES_tradnl" w:eastAsia="es-MX"/>
        </w:rPr>
      </w:pPr>
      <w:r w:rsidRPr="00D631CA">
        <w:rPr>
          <w:rFonts w:ascii="ITC Avant Garde" w:eastAsia="Times New Roman" w:hAnsi="ITC Avant Garde" w:cs="Arial"/>
          <w:b/>
          <w:bCs/>
          <w:lang w:val="es-ES_tradnl" w:eastAsia="es-MX"/>
        </w:rPr>
        <w:t xml:space="preserve">XVI. </w:t>
      </w:r>
      <w:r w:rsidRPr="00D631CA">
        <w:rPr>
          <w:rFonts w:ascii="ITC Avant Garde" w:eastAsia="Times New Roman" w:hAnsi="ITC Avant Garde" w:cs="Arial"/>
          <w:u w:val="single"/>
          <w:lang w:val="es-ES_tradnl" w:eastAsia="es-MX"/>
        </w:rPr>
        <w:t>De manera exclusiva</w:t>
      </w:r>
      <w:r w:rsidRPr="00D631CA">
        <w:rPr>
          <w:rFonts w:ascii="ITC Avant Garde" w:eastAsia="Times New Roman" w:hAnsi="ITC Avant Garde" w:cs="Arial"/>
          <w:lang w:val="es-ES_tradnl" w:eastAsia="es-MX"/>
        </w:rPr>
        <w:t>, las facultades que en materia de radio y televisión le confieren a la Secretaría de Comunicaciones y Transportes la Ley Federal de Radio y Televisión, los tratados y acuerdos internacionales, las demás leyes, reglamentos y cualesquiera otras disposiciones administrativas aplicables, y</w:t>
      </w:r>
    </w:p>
    <w:p w14:paraId="39E0DE38" w14:textId="77777777" w:rsidR="00D631CA" w:rsidRPr="00D631CA" w:rsidRDefault="00382941" w:rsidP="00D631CA">
      <w:pPr>
        <w:spacing w:before="240"/>
        <w:ind w:left="567" w:right="900"/>
        <w:jc w:val="both"/>
        <w:rPr>
          <w:rFonts w:ascii="ITC Avant Garde" w:eastAsia="Times New Roman" w:hAnsi="ITC Avant Garde" w:cs="Arial"/>
          <w:lang w:val="es-ES_tradnl" w:eastAsia="es-MX"/>
        </w:rPr>
      </w:pPr>
      <w:r w:rsidRPr="00D631CA">
        <w:rPr>
          <w:rFonts w:ascii="ITC Avant Garde" w:eastAsia="Times New Roman" w:hAnsi="ITC Avant Garde" w:cs="Arial"/>
          <w:b/>
          <w:bCs/>
          <w:lang w:val="es-ES_tradnl" w:eastAsia="es-MX"/>
        </w:rPr>
        <w:t xml:space="preserve">XVII. </w:t>
      </w:r>
      <w:r w:rsidRPr="00D631CA">
        <w:rPr>
          <w:rFonts w:ascii="ITC Avant Garde" w:eastAsia="Times New Roman" w:hAnsi="ITC Avant Garde" w:cs="Arial"/>
          <w:lang w:val="es-ES_tradnl" w:eastAsia="es-MX"/>
        </w:rPr>
        <w:t>Las demás que le confieran otras leyes, reglamentos y demás disposiciones aplicables.</w:t>
      </w:r>
    </w:p>
    <w:p w14:paraId="30B2EDE7" w14:textId="77777777" w:rsidR="00D631CA" w:rsidRPr="00D631CA" w:rsidRDefault="00382941" w:rsidP="00D631CA">
      <w:pPr>
        <w:spacing w:before="240"/>
        <w:ind w:left="567" w:right="900"/>
        <w:jc w:val="both"/>
        <w:rPr>
          <w:rFonts w:ascii="ITC Avant Garde" w:eastAsia="Times New Roman" w:hAnsi="ITC Avant Garde" w:cs="Arial"/>
          <w:lang w:val="es-ES_tradnl" w:eastAsia="es-MX"/>
        </w:rPr>
      </w:pPr>
      <w:r w:rsidRPr="00D631CA">
        <w:rPr>
          <w:rFonts w:ascii="ITC Avant Garde" w:eastAsia="Times New Roman" w:hAnsi="ITC Avant Garde" w:cs="Arial"/>
          <w:lang w:val="es-ES_tradnl" w:eastAsia="es-MX"/>
        </w:rPr>
        <w:t>Para los fines de la presente Ley, al órgano desconcentrado a que se refiere este artículo se le podrá denominar también como la Comisión.”</w:t>
      </w:r>
    </w:p>
    <w:p w14:paraId="56636226" w14:textId="02B9E5D6" w:rsidR="00382941" w:rsidRPr="00D631CA" w:rsidRDefault="00382941" w:rsidP="00D631CA">
      <w:pPr>
        <w:spacing w:before="240"/>
        <w:jc w:val="both"/>
        <w:rPr>
          <w:rFonts w:ascii="ITC Avant Garde" w:hAnsi="ITC Avant Garde" w:cs="Arial"/>
        </w:rPr>
      </w:pPr>
      <w:r w:rsidRPr="00D631CA">
        <w:rPr>
          <w:rFonts w:ascii="ITC Avant Garde" w:hAnsi="ITC Avant Garde" w:cs="Arial"/>
        </w:rPr>
        <w:t>Del precepto citado se desprende claramente la facultad de la Comisión para determinar condiciones de interconexión que no hayan podido convenirse entre concesionarios de redes públicas de telecomunicaciones, ello sin que sea necesario que se establezcan en la ley, los métodos o aspectos técnicos, de cómo es que se van a determinar dichas condiciones por parte de la Comisión en caso de desacuerdo entre los concesionarios, toda vez que, la Comisión en el carácter que le revestía de Órgano administrativo desconcentrado especializado en Telecomunicaciones, contaba con elementos por medio de los cuales determinar las condiciones de interconexión no convenidas.</w:t>
      </w:r>
    </w:p>
    <w:p w14:paraId="2D5F63FC" w14:textId="77777777" w:rsidR="00D631CA" w:rsidRPr="00D631CA" w:rsidRDefault="00382941" w:rsidP="00D631CA">
      <w:pPr>
        <w:autoSpaceDE w:val="0"/>
        <w:autoSpaceDN w:val="0"/>
        <w:adjustRightInd w:val="0"/>
        <w:spacing w:before="240"/>
        <w:jc w:val="both"/>
        <w:rPr>
          <w:rFonts w:ascii="ITC Avant Garde" w:hAnsi="ITC Avant Garde" w:cs="Arial"/>
        </w:rPr>
      </w:pPr>
      <w:r w:rsidRPr="00D631CA">
        <w:rPr>
          <w:rFonts w:ascii="ITC Avant Garde" w:hAnsi="ITC Avant Garde" w:cs="Arial"/>
        </w:rPr>
        <w:t xml:space="preserve">En ese sentido, resulta pertinente señalar que de conformidad con lo dispuesto por el artículo 9-A fracción I, de la Ley Federal de Telecomunicaciones, la Comisión tenía facultad para emitir </w:t>
      </w:r>
      <w:r w:rsidRPr="00D631CA">
        <w:rPr>
          <w:rFonts w:ascii="ITC Avant Garde" w:hAnsi="ITC Avant Garde" w:cs="Arial"/>
        </w:rPr>
        <w:lastRenderedPageBreak/>
        <w:t>disposiciones administrativas a fin de regular las telecomunicaciones, por lo que resulta inoperante lo señalado por la parte Recurrente en el sentido de que forzosamente en la ley debía señalarse que las tarifas de interconexión que determinara la Comisión debían basarse en costos, pues ello no es la finalidad de un ordenamiento legal, ya que en el caso concreto las disposiciones administrativas de carácter técnico son las que prevén en su caso la determinación de tarifas con base a costos, como lo establecen la Regla 53 de las Reglas del Servicio de Larga Distancia y la Regla Novena Transitoria de las Reglas del Servicio Local, que establecen que la Comisión resolverá las tarifas relacionadas a la función de terminación de tráfico público conmutado en las redes autorizadas para prestar el servicio local, analizando las posiciones y elementos aportados por las partes, sobre el establecimiento de tarifas que permitan recuperar el costo incremental promedio de largo plazo y los costos comunes atribuibles a dicha función que se determinan utilizando una metodología de costeo de acuerdo a bases internacionalmente reconocidas, la evolución de las referencias internacionales y el crecimiento y desarrollo de los mercados de telecomunicaciones en el país, de tal forma que se promueva una sana competencia entre los prestadores de servicio de telecomunicaciones, a efectos de que estos se presten con mejores precios, diversidad y calidad en beneficio de los usuarios.</w:t>
      </w:r>
    </w:p>
    <w:p w14:paraId="653374E4"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Lo anterior se corrobora, con lo señalado en el Considerando Primero de la Resolución reclamada, que al efecto establece lo siguiente:</w:t>
      </w:r>
    </w:p>
    <w:p w14:paraId="755588D9" w14:textId="77777777" w:rsidR="00D631CA" w:rsidRPr="00D631CA" w:rsidRDefault="00382941" w:rsidP="00D631CA">
      <w:pPr>
        <w:autoSpaceDE w:val="0"/>
        <w:autoSpaceDN w:val="0"/>
        <w:adjustRightInd w:val="0"/>
        <w:spacing w:before="240"/>
        <w:ind w:left="567" w:right="900"/>
        <w:jc w:val="both"/>
        <w:rPr>
          <w:rFonts w:ascii="ITC Avant Garde" w:hAnsi="ITC Avant Garde" w:cs="Arial"/>
        </w:rPr>
      </w:pPr>
      <w:r w:rsidRPr="00D631CA">
        <w:rPr>
          <w:rFonts w:ascii="ITC Avant Garde" w:hAnsi="ITC Avant Garde" w:cs="Arial"/>
        </w:rPr>
        <w:t>“</w:t>
      </w:r>
      <w:r w:rsidRPr="00D631CA">
        <w:rPr>
          <w:rFonts w:ascii="ITC Avant Garde" w:hAnsi="ITC Avant Garde" w:cs="Arial"/>
          <w:b/>
        </w:rPr>
        <w:t>PRIMERO</w:t>
      </w:r>
      <w:r w:rsidRPr="00D631CA">
        <w:rPr>
          <w:rFonts w:ascii="ITC Avant Garde" w:hAnsi="ITC Avant Garde" w:cs="Arial"/>
        </w:rPr>
        <w:t>.- Competencia. Que de conformidad con los artículos 17 y 36 de la Ley Orgánica de la Administración Pública Federal y 9-A de la Ley Federal de Telecomunicaciones (en lo sucesivo, la "LFT"), en relación con los artículos 2 fracción XXX y 40 del Reglamento Interior de la Secretaría de Comunicaciones y Transportes, la Comisión es un órgano administrativo desconcentrado de la Secretaría con autonomía técnica, operativa, de gasto y de gestión, encargado de regular, promover y supervisar el desarrollo eficiente y la cobertura social amplia de las telecomunicaciones y la radiodifusión en México, con autonomía Plena para el dictado de sus resoluciones.</w:t>
      </w:r>
    </w:p>
    <w:p w14:paraId="7969C094" w14:textId="77777777" w:rsidR="00D631CA" w:rsidRPr="00D631CA" w:rsidRDefault="00382941" w:rsidP="00D631CA">
      <w:pPr>
        <w:autoSpaceDE w:val="0"/>
        <w:autoSpaceDN w:val="0"/>
        <w:adjustRightInd w:val="0"/>
        <w:spacing w:before="240"/>
        <w:ind w:left="567" w:right="900"/>
        <w:jc w:val="both"/>
        <w:rPr>
          <w:rFonts w:ascii="ITC Avant Garde" w:hAnsi="ITC Avant Garde" w:cs="Arial"/>
        </w:rPr>
      </w:pPr>
      <w:r w:rsidRPr="00D631CA">
        <w:rPr>
          <w:rFonts w:ascii="ITC Avant Garde" w:hAnsi="ITC Avant Garde" w:cs="Arial"/>
        </w:rPr>
        <w:t xml:space="preserve">Que de conformidad con los artículos 7 fracción 11, 9-A fracciones 1 y X y 9-B de la LFT, 9 fracción VIII del Reglamento Interno de la Comisión Federal de Telecomunicaciones, el Pleno de la Comisión como órgano de gobierno de la misma, está facultado para expedir disposiciones administrativas, para promover y vigilar la eficiente interconexión de los equipos y redes públicas de telecomunicaciones, así como determinar las condiciones que en materia de interconexión no hayan podido convenirse entre los concesionarios de redes </w:t>
      </w:r>
      <w:r w:rsidRPr="00D631CA">
        <w:rPr>
          <w:rFonts w:ascii="ITC Avant Garde" w:hAnsi="ITC Avant Garde" w:cs="Arial"/>
        </w:rPr>
        <w:lastRenderedPageBreak/>
        <w:t>públicas de telecomunicaciones, por lo tanto, cuenta con facultades suficientes para emitir la presente Resolución.”</w:t>
      </w:r>
    </w:p>
    <w:p w14:paraId="53DFB253"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Contrario a lo que la Recurrente aduce, en la Resolución Recurrida se fundamentó debidamente que la Comisión podía fijar tarifas de interconexión con base en costos, en los siguientes términos:</w:t>
      </w:r>
    </w:p>
    <w:p w14:paraId="07139D1C" w14:textId="77777777" w:rsidR="00D631CA" w:rsidRPr="00D631CA" w:rsidRDefault="00382941" w:rsidP="00D631CA">
      <w:pPr>
        <w:spacing w:before="240"/>
        <w:ind w:left="567" w:right="616"/>
        <w:jc w:val="both"/>
        <w:rPr>
          <w:rFonts w:ascii="ITC Avant Garde" w:hAnsi="ITC Avant Garde" w:cs="Arial"/>
        </w:rPr>
      </w:pPr>
      <w:r w:rsidRPr="00D631CA">
        <w:rPr>
          <w:rFonts w:ascii="ITC Avant Garde" w:hAnsi="ITC Avant Garde" w:cs="Arial"/>
        </w:rPr>
        <w:t>“Por su parte, la Regla 53 de las Reglas del Servicio de Larga Distancia (en lo sucesivo, las “RSLD”) y la Reglas Novena Transitoria de las Reglas del Servicio Local (en lo sucesivo, las “</w:t>
      </w:r>
      <w:proofErr w:type="spellStart"/>
      <w:r w:rsidRPr="00D631CA">
        <w:rPr>
          <w:rFonts w:ascii="ITC Avant Garde" w:hAnsi="ITC Avant Garde" w:cs="Arial"/>
        </w:rPr>
        <w:t>RdSL</w:t>
      </w:r>
      <w:proofErr w:type="spellEnd"/>
      <w:r w:rsidRPr="00D631CA">
        <w:rPr>
          <w:rFonts w:ascii="ITC Avant Garde" w:hAnsi="ITC Avant Garde" w:cs="Arial"/>
        </w:rPr>
        <w:t>”), establecen que la Comisión resolverá las tarifas relacionadas a la función de terminación de tráfico público conmutado en las redes autorizadas para prestar el servicio local, analizando las posiciones y elementos aportados por las partes, sobre el establecimiento de tarifas que permitan recuperar el costo incremental promedio de largo plazo (en lo sucesivo, el “CIPLPS“) y los costos comunes atribuibles a dicha función que se determinan utilizando una metodología de costeo de acuerdo a bases internacionalmente reconocidas, la evolución de las referencias internacionales y el crecimiento y desarrollo de los mercados de telecomunicaciones en el país, de tal forma que se promueva una sana competencia entre los prestadores de servicio de telecomunicaciones, a efectos de que estos se presten con mejores precios, diversidad y calidad en beneficio de los usuarios.</w:t>
      </w:r>
    </w:p>
    <w:p w14:paraId="1C20A44D" w14:textId="77777777" w:rsidR="00D631CA" w:rsidRPr="00D631CA" w:rsidRDefault="00382941" w:rsidP="00D631CA">
      <w:pPr>
        <w:spacing w:before="240"/>
        <w:ind w:left="567" w:right="616"/>
        <w:jc w:val="both"/>
        <w:rPr>
          <w:rFonts w:ascii="ITC Avant Garde" w:hAnsi="ITC Avant Garde" w:cs="Arial"/>
        </w:rPr>
      </w:pPr>
      <w:r w:rsidRPr="00D631CA">
        <w:rPr>
          <w:rFonts w:ascii="ITC Avant Garde" w:hAnsi="ITC Avant Garde" w:cs="Arial"/>
        </w:rPr>
        <w:t>Por otra parte, la Condición 2.1 de las Concesiones Celulares de Grupo Telefónica señala la obligación de prestar los servicios comprendidos en dichas concesiones en forma continua y eficiente, cumpliendo con los estándares de calidad y garantizando en todo momento la interoperabilidad e interconexión con otras redes públicas de telecomunicaciones, de conformidad con las disposiciones legales, reglamentarias y administrativas aplicables.</w:t>
      </w:r>
    </w:p>
    <w:p w14:paraId="19A2F870" w14:textId="77777777" w:rsidR="00D631CA" w:rsidRPr="00D631CA" w:rsidRDefault="00382941" w:rsidP="00D631CA">
      <w:pPr>
        <w:spacing w:before="240"/>
        <w:ind w:left="567" w:right="616"/>
        <w:jc w:val="both"/>
        <w:rPr>
          <w:rFonts w:ascii="ITC Avant Garde" w:hAnsi="ITC Avant Garde" w:cs="Arial"/>
        </w:rPr>
      </w:pPr>
      <w:r w:rsidRPr="00D631CA">
        <w:rPr>
          <w:rFonts w:ascii="ITC Avant Garde" w:hAnsi="ITC Avant Garde" w:cs="Arial"/>
        </w:rPr>
        <w:t>Asimismo, la condición 2.2. de la Concesión de Pegaso establece que: (i) de conformidad con los artículos 41, 42 y 43 de la LFT, dicho concesionario deberá celebrar los convenios de interconexión con cualquier otro concesionario de red pública de telecomunicaciones que se lo solicite y (ii) de conformidad con las leyes, reglamentos, reglas, planes fundamentales y demás disposiciones administrativas de carácter general aplicables, deberá interconectar su red con otras redes autorizadas por la Secretaría que así lo soliciten, de manera no discriminatoria.</w:t>
      </w:r>
    </w:p>
    <w:p w14:paraId="5379902C" w14:textId="77777777" w:rsidR="00D631CA" w:rsidRPr="00D631CA" w:rsidRDefault="00382941" w:rsidP="00D631CA">
      <w:pPr>
        <w:spacing w:before="240"/>
        <w:ind w:left="567" w:right="616"/>
        <w:jc w:val="both"/>
        <w:rPr>
          <w:rFonts w:ascii="ITC Avant Garde" w:hAnsi="ITC Avant Garde" w:cs="Arial"/>
        </w:rPr>
      </w:pPr>
      <w:r w:rsidRPr="00D631CA">
        <w:rPr>
          <w:rFonts w:ascii="ITC Avant Garde" w:hAnsi="ITC Avant Garde" w:cs="Arial"/>
        </w:rPr>
        <w:t xml:space="preserve">En virtud de lo anterior, se concluye que: (i) la interconexión es el mecanismo que materializa la interoperabilidad de las redes y de los servicios, esto es, que los </w:t>
      </w:r>
      <w:r w:rsidRPr="00D631CA">
        <w:rPr>
          <w:rFonts w:ascii="ITC Avant Garde" w:hAnsi="ITC Avant Garde" w:cs="Arial"/>
        </w:rPr>
        <w:lastRenderedPageBreak/>
        <w:t xml:space="preserve">usuarios de una de las redes públicas de telecomunicaciones puedan conectarse e intercambiar tráfico con los usuarios de la otra red pública de telecomunicaciones y viceversa; (ii) los concesionarios están obligados a interconectar sus redes y, a tal efecto, suscribir un convenio en un plazo no mayor de sesenta (60) días naturales contados a partir de que alguno de ellos lo solicite; (iii) en caso de desacuerdo entre las partes, la Comisión, a solicitud de éstas resolverá los términos, condiciones y tarifas de interconexión no convenidos, (iv) la obligatoriedad de la interconexión incluye el ofrecer de manera no discriminatoria aquellas funciones necesarias para llevar a cabo la interconexión, en las mismas condiciones y con cuando menos la misma calidad de servicio con que se presten a la propia operación, a las filiales y subsidiarias, y (v) los elementos que en términos de las RSLD y </w:t>
      </w:r>
      <w:proofErr w:type="spellStart"/>
      <w:r w:rsidRPr="00D631CA">
        <w:rPr>
          <w:rFonts w:ascii="ITC Avant Garde" w:hAnsi="ITC Avant Garde" w:cs="Arial"/>
        </w:rPr>
        <w:t>RdSL</w:t>
      </w:r>
      <w:proofErr w:type="spellEnd"/>
      <w:r w:rsidRPr="00D631CA">
        <w:rPr>
          <w:rFonts w:ascii="ITC Avant Garde" w:hAnsi="ITC Avant Garde" w:cs="Arial"/>
        </w:rPr>
        <w:t>, la Comisión debe considerar para determinar las tarifas de interconexión.”</w:t>
      </w:r>
    </w:p>
    <w:p w14:paraId="10960CDE"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De la cita realizada de la Resolución Recurrida, se advierte que conforme a las Reglas del Servicio de Larga Distancia y a las Reglas del Servicio Local, la Comisión estaba obligada a fijar tarifas de interconexión “… que permitan recuperar el costo incremental promedio de largo plazo (en lo sucesivo, el “CIPLPS“) y los costos comunes atribuibles a dicha función que se determinan utilizando una metodología de costeo de acuerdo a bases internacionalmente reconocidas, la evolución de las referencias internacionales y el crecimiento y desarrollo de los mercados de telecomunicaciones en el país…”, por lo que en la Resolución Recurrida se invocaron los fundamentos que justificaron la actuación de la Comisión.</w:t>
      </w:r>
    </w:p>
    <w:p w14:paraId="0E685F7D"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este sentido, si bien en la Ley Federal de Telecomunicaciones no se prevé la determinación de tarifas de interconexión con base en costos, es en disposiciones administradas emanadas de ella que se previó la definición de esas tarifas con base en costos.</w:t>
      </w:r>
    </w:p>
    <w:p w14:paraId="61CC4310"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Considerando lo anterior, resulta infundado que se haya pretendido asumir que la Recurrente perpetra prácticas monopólicas sean relativas o absolutas, ni que tenga poder sustancial en el mercado relevante, puesto que la actuación de la autoridad no se fundamentó en el artículo 63 de la Ley Federal de Telecomunicaciones, sino en las normas antes citadas, que se señaló en la Resolución Recurrida contienen “…los elementos que en términos de las RSLD y </w:t>
      </w:r>
      <w:proofErr w:type="spellStart"/>
      <w:r w:rsidRPr="00D631CA">
        <w:rPr>
          <w:rFonts w:ascii="ITC Avant Garde" w:hAnsi="ITC Avant Garde" w:cs="Arial"/>
        </w:rPr>
        <w:t>RdSL</w:t>
      </w:r>
      <w:proofErr w:type="spellEnd"/>
      <w:r w:rsidRPr="00D631CA">
        <w:rPr>
          <w:rFonts w:ascii="ITC Avant Garde" w:hAnsi="ITC Avant Garde" w:cs="Arial"/>
        </w:rPr>
        <w:t>, la Comisión debe considerar para determinar las tarifas de interconexión.”</w:t>
      </w:r>
    </w:p>
    <w:p w14:paraId="48E0FF52"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En el mismo orden de ideas, de las referidas Reglas del Servicio de Larga Distancia y de las Reglas del Servicio Local, se advierte que la Comisión determinará las tarifas de interconexión “… utilizando una metodología de costeo de acuerdo a bases internacionalmente reconocidas…”, por lo que las referencias realizadas en la Resolución Recurrida en relación con el reconocimiento y uso internacional tanto por organismos internacionales, como por </w:t>
      </w:r>
      <w:r w:rsidRPr="00D631CA">
        <w:rPr>
          <w:rFonts w:ascii="ITC Avant Garde" w:hAnsi="ITC Avant Garde" w:cs="Arial"/>
        </w:rPr>
        <w:lastRenderedPageBreak/>
        <w:t>órganos reguladores de otros países, al Modelo de Costos Incrementales Totales de Largo Plazo, que fue el empleado por la Comisión, son suficientes para colmar la exigencia de las Reglas con base en las cuales se utilizó dicho modelo de costos para definir las tarifas de interconexión en cuestión.</w:t>
      </w:r>
    </w:p>
    <w:p w14:paraId="43A068F4"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Cabe reiterar, que contrario a lo que aduce la Recurrente, en el marco jurídico mexicano, específicamente en la Regla 53 de las Reglas del Servicio de Larga Distancia se establece la utilización del modelo de costos para fijar las tarifas de interconexión de un operador, tenga o no poder sustancial en el mercado relevante. </w:t>
      </w:r>
    </w:p>
    <w:p w14:paraId="713D56B2"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De lo anterior, resultan inoperantes los argumentos que la Recurrente desarrolla en torno al artículo 63 de la Ley Federal de Telecomunicaciones, pues dicho precepto no fue el fundamento para que la Comisión fijara las tarifas de interconexión previstas en la Resolución Recurrida con base en costos, mediante el empleo del Modelo de Costos Incrementales Totales de Largo Plazo, el cual como se ha reiterado en esta resolución, era el reconocido internacionalmente como el idóneo para definir tarifas de interconexión aplicables en el año 2011, sino que se utilizó dicho modelo de costos atendiendo a lo previsto en las Reglas del Servicio Local y la Reglas del Servicio de Larga Distancia invocadas en la Resolución Recurrida, y citadas con anterioridad en esta resolución.</w:t>
      </w:r>
    </w:p>
    <w:p w14:paraId="35D7AEA4"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Sin perjuicio de lo anterior, también resulta infundado lo manifestado por la Recurrente en relación con el artículo 63 de la Ley Federal de Telecomunicaciones, ya que dicho precepto si establece una obligación tanto para el agente económico dominante, como para la autoridad, de que las tarifas por servicios sean fijadas considerando por lo menos la recuperación del costo incremental promedio de largo plazo, de forma que el dominante no fije tarifas por debajo de costos, afectando la sana competencia, pues al ser el dominante no habrá competidor que pueda ofrecer tarifas más bajas y continuar operando en el largo plazo, atendiendo al concepto mismo del “costo incremental promedio de largo plazo”.</w:t>
      </w:r>
    </w:p>
    <w:p w14:paraId="57A8C8F3"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Así, esa disposición legal no prevé un derecho para el agente dominante, sino una obligación de no ofrecer tarifas por debajo del costo incremental promedio de largo plazo, por lo que los argumentos de la Recurrente al partir de una interpretación indebida del artículo 63 de la Ley invocada, el que además no fue aplicado en la Resolución Recurrida, son infundados e inoperantes.</w:t>
      </w:r>
    </w:p>
    <w:p w14:paraId="75B74FFC"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Asimismo, resulta infundado e inoperante el argumento de la Recurrente en que sostiene que la fijación de tarifas de interconexión con base en costos no tiene fundamento en diversas normas invocadas en la Resolución Recurrida.</w:t>
      </w:r>
    </w:p>
    <w:p w14:paraId="3A39908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 xml:space="preserve">En efecto, de la revisión de la Resolución Recurrida se advierte que los artículos 7, 41 y 42 de la Ley Federal de Telecomunicaciones fueron invocados en tanto que el primero de ellos establece los objetivos de la misma Ley, y los últimos regulan fundamentalmente la interconexión. </w:t>
      </w:r>
    </w:p>
    <w:p w14:paraId="13010A44"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Por su parte, si bien es cierto que la Regla Novena Transitoria de las Reglas del Servicio Local se refiere a “tarifas por llevar a cabo la función de terminación conmutada entre redes autorizadas para prestar el servicio local fijo”, esto es, alude a la clase de servicios autorizados en las concesiones, resultando que los títulos de concesión de la Recurrente y de una de las </w:t>
      </w:r>
      <w:r w:rsidR="00C67299" w:rsidRPr="00D631CA">
        <w:rPr>
          <w:rFonts w:ascii="ITC Avant Garde" w:hAnsi="ITC Avant Garde" w:cs="Arial"/>
        </w:rPr>
        <w:t>tercero perjudicada</w:t>
      </w:r>
      <w:r w:rsidRPr="00D631CA">
        <w:rPr>
          <w:rFonts w:ascii="ITC Avant Garde" w:hAnsi="ITC Avant Garde" w:cs="Arial"/>
        </w:rPr>
        <w:t>s son títulos de concesión para instalar, operar y explotar una red pública de telecomunicaciones para prestar el servicio de acceso inalámbrico fijo o móvil, por lo que resulta aplicable la regla invocada, contrario a lo que invoca la Recurrente.</w:t>
      </w:r>
    </w:p>
    <w:p w14:paraId="012FA4B4"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En cuanto a lo manifestado respecto de la Regla 53 de las Reglas de Larga Distancia, de la lectura de la misma y de la revisión integral de las Reglas de Larga Distancia, </w:t>
      </w:r>
      <w:r w:rsidRPr="00D631CA">
        <w:rPr>
          <w:rFonts w:ascii="ITC Avant Garde" w:hAnsi="ITC Avant Garde" w:cs="Arial"/>
          <w:b/>
        </w:rPr>
        <w:t>no se advierte que sea aplicable exclusivamente</w:t>
      </w:r>
      <w:r w:rsidRPr="00D631CA">
        <w:rPr>
          <w:rFonts w:ascii="ITC Avant Garde" w:hAnsi="ITC Avant Garde" w:cs="Arial"/>
        </w:rPr>
        <w:t xml:space="preserve"> en tratándose de operadores con poder sustancial en el mercado relevante, contrario a lo que aduce la Recurrente.</w:t>
      </w:r>
    </w:p>
    <w:p w14:paraId="50B58C2D" w14:textId="77777777" w:rsidR="00D631CA" w:rsidRPr="00D631CA" w:rsidRDefault="00382941" w:rsidP="00D631CA">
      <w:pPr>
        <w:spacing w:before="240"/>
        <w:ind w:right="40"/>
        <w:rPr>
          <w:rFonts w:ascii="ITC Avant Garde" w:hAnsi="ITC Avant Garde" w:cs="Arial"/>
        </w:rPr>
      </w:pPr>
      <w:r w:rsidRPr="00D631CA">
        <w:rPr>
          <w:rFonts w:ascii="ITC Avant Garde" w:hAnsi="ITC Avant Garde" w:cs="Arial"/>
        </w:rPr>
        <w:t>Por lo anterior, resultan infundados e inoperantes los argumentos hechos valer por la parte Recurrente en el agravio que se analiza.</w:t>
      </w:r>
    </w:p>
    <w:p w14:paraId="373439C8" w14:textId="77777777" w:rsidR="00D631CA" w:rsidRPr="00D631CA" w:rsidRDefault="00382941" w:rsidP="00D631CA">
      <w:pPr>
        <w:numPr>
          <w:ilvl w:val="0"/>
          <w:numId w:val="2"/>
        </w:numPr>
        <w:spacing w:before="240"/>
        <w:contextualSpacing/>
        <w:jc w:val="both"/>
        <w:rPr>
          <w:rFonts w:ascii="ITC Avant Garde" w:hAnsi="ITC Avant Garde" w:cs="Arial"/>
        </w:rPr>
      </w:pPr>
      <w:r w:rsidRPr="00D631CA">
        <w:rPr>
          <w:rFonts w:ascii="ITC Avant Garde" w:hAnsi="ITC Avant Garde" w:cs="Arial"/>
        </w:rPr>
        <w:t xml:space="preserve">En relación con lo manifestado por la Recurrente en el agravio </w:t>
      </w:r>
      <w:r w:rsidRPr="00D631CA">
        <w:rPr>
          <w:rFonts w:ascii="ITC Avant Garde" w:hAnsi="ITC Avant Garde" w:cs="Arial"/>
          <w:b/>
        </w:rPr>
        <w:t>DÉCIMO OCTAVO</w:t>
      </w:r>
      <w:r w:rsidRPr="00D631CA">
        <w:rPr>
          <w:rFonts w:ascii="ITC Avant Garde" w:hAnsi="ITC Avant Garde" w:cs="Arial"/>
        </w:rPr>
        <w:t>, en el cual sostiene que la utilización de un “operador eficiente” en el modelo de costos implica una indebida fundamentación y motivación de la Resolución Recurrida, contraviniendo con ello lo dispuesto en el artículo 3, fracción V de la Ley Federal de Procedimiento Administrativo.</w:t>
      </w:r>
    </w:p>
    <w:p w14:paraId="3F71C185"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La determinación e implementación del modelo de costos empleado por esa autoridad con base en un supuesto “operador eficiente” que no existe en la realidad, implica la violación del artículo 3, fracción V, de la Ley Federal de Procedimiento Administrativo.</w:t>
      </w:r>
    </w:p>
    <w:p w14:paraId="1D878C12"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 xml:space="preserve">Todo el Modelo de Costos se encuentra sustentado en la existencia de una empresa que no existe en realidad. Siendo que lo que tenía que hacer esa autoridad era calcular la tarifa de interconexión entre las hoy </w:t>
      </w:r>
      <w:r w:rsidR="00BB6EC6" w:rsidRPr="00D631CA">
        <w:rPr>
          <w:rFonts w:ascii="ITC Avant Garde" w:eastAsia="Times New Roman" w:hAnsi="ITC Avant Garde" w:cs="Arial"/>
          <w:lang w:val="es-ES" w:eastAsia="es-ES"/>
        </w:rPr>
        <w:t>t</w:t>
      </w:r>
      <w:r w:rsidR="00C67299" w:rsidRPr="00D631CA">
        <w:rPr>
          <w:rFonts w:ascii="ITC Avant Garde" w:eastAsia="Times New Roman" w:hAnsi="ITC Avant Garde" w:cs="Arial"/>
          <w:lang w:val="es-ES" w:eastAsia="es-ES"/>
        </w:rPr>
        <w:t>ercero perjudicada</w:t>
      </w:r>
      <w:r w:rsidRPr="00D631CA">
        <w:rPr>
          <w:rFonts w:ascii="ITC Avant Garde" w:eastAsia="Times New Roman" w:hAnsi="ITC Avant Garde" w:cs="Arial"/>
          <w:lang w:val="es-ES" w:eastAsia="es-ES"/>
        </w:rPr>
        <w:t>s y mis Representadas, carece de toda lógica al emplear los supuestos costos en los que incurre dicho operador inexistente para fijar esta tarifa.  Esa Comisión proporciona dos definiciones distintas de lo que es un operador “eficiente” o un operador “representativo”, lo cual vuelve a toda la Resolución Impugnada incongruente desde el punto de vista interno y, por lo tanto la vicia de indebida fundamentación y motivación.</w:t>
      </w:r>
    </w:p>
    <w:p w14:paraId="6EA3A459"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lastRenderedPageBreak/>
        <w:t xml:space="preserve">Lo manifestado por la Recurrente resulta inoperante, puesto que la utilización del “operador eficiente” constituye un parámetro técnico utilizado por el órgano regulador para la determinación de condiciones de interconexión, y como tal al ser un parámetro de naturaleza meramente técnica no puede calificarse a su existencia o inexistencia real como un elemento que permita determinar que la Resolución Recurrida se encuentra indebidamente fundada y motivada, puesto que ni la Constitución ni la Ley de la materia fijas dichos parámetros técnicos, por lo que la consideración de los mimos así como su elección en la determinación de condiciones de interconexión no convenidas entre concesionarios, queda a la discrecionalidad del órgano regulador. </w:t>
      </w:r>
    </w:p>
    <w:p w14:paraId="634086F8"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Al efecto, resulta aplicable la siguiente tesis que al efecto establece:</w:t>
      </w:r>
    </w:p>
    <w:p w14:paraId="6CCD79B2" w14:textId="16E4D15C"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 xml:space="preserve">Época: Décima Época </w:t>
      </w:r>
    </w:p>
    <w:p w14:paraId="21C29B46" w14:textId="77777777"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 xml:space="preserve">Registro: 2011689 </w:t>
      </w:r>
    </w:p>
    <w:p w14:paraId="41CB9EC7" w14:textId="77777777"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 xml:space="preserve">Instancia: Tribunales Colegiados de Circuito </w:t>
      </w:r>
    </w:p>
    <w:p w14:paraId="3B9703AC" w14:textId="77777777"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 xml:space="preserve">Tipo de Tesis: Aislada </w:t>
      </w:r>
    </w:p>
    <w:p w14:paraId="2B74ACFC" w14:textId="77777777"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 xml:space="preserve">Fuente: Semanario Judicial de la Federación </w:t>
      </w:r>
    </w:p>
    <w:p w14:paraId="361D0EAC" w14:textId="77777777"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 xml:space="preserve">Publicación: viernes 20 de mayo de 2016 10:20 h </w:t>
      </w:r>
    </w:p>
    <w:p w14:paraId="13C8AF22" w14:textId="77777777" w:rsidR="00382941"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 xml:space="preserve">Materia(s): (Administrativa) </w:t>
      </w:r>
    </w:p>
    <w:p w14:paraId="74E8FE09" w14:textId="77777777" w:rsidR="00D631CA"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 xml:space="preserve">Tesis: I.2o.A.E.33 A (10a.) </w:t>
      </w:r>
    </w:p>
    <w:p w14:paraId="5E0CB8A4" w14:textId="77777777" w:rsidR="00D631CA"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b/>
          <w:sz w:val="18"/>
          <w:szCs w:val="18"/>
        </w:rPr>
        <w:t xml:space="preserve">“TARIFAS DE INTERCONEXIÓN. SU DETERMINACIÓN QUEDA A LA DISCRECIONALIDAD DEL ÓRGANO REGULADOR. </w:t>
      </w:r>
      <w:r w:rsidRPr="00D631CA">
        <w:rPr>
          <w:rFonts w:ascii="ITC Avant Garde" w:hAnsi="ITC Avant Garde" w:cs="Arial"/>
          <w:sz w:val="18"/>
          <w:szCs w:val="18"/>
        </w:rPr>
        <w:t xml:space="preserve">En materia de interconexión, los artículos 25 y 28 de la Constitución Política de los Estados Unidos Mexicanos reconocen la rectoría del Estado y su potestad regulatoria, pero no establecen un diseño regulatorio particular, ni imponen lineamientos o límites específicos en materia de interconexión o tarifaria a la política regulatoria del Instituto Federal de Telecomunicaciones. Por su parte, los artículos 1, 2, 4, 7, 9-A, fracción X, 41, 44, 60 y 63 de la Ley Federal de Telecomunicaciones abrogada, no establecían reglas específicas para determinar la política tarifaria o en materia de interconexión, pues sólo preveían la facultad de la autoridad en telecomunicaciones, para establecer obligaciones específicas relacionadas con tarifas al concesionario que tuviera poder sustancial en cuanto al mercado, según la declaratoria que se emitiera por la autoridad competente. En este sentido, si ni la Constitución ni la ley indicada fijan los parámetros técnicos conforme a los cuales el órgano regulador debe fijar las tarifas de interconexión, debe entenderse que su elección queda a su discrecionalidad; de ahí que no pueda calificarse de inconstitucional o ilegal la decisión del regulador de adoptar la figura de un operador hipotético existente y de emplear modelos de costos para fijar dichas tarifas, pues esta decisión cae en el campo de su discrecionalidad y, en ese sentido, está sometida al escrutinio, aplicable a esta última, considerando, entre otros aspectos, la eficacia de los derechos </w:t>
      </w:r>
      <w:r w:rsidRPr="00D631CA">
        <w:rPr>
          <w:rFonts w:ascii="ITC Avant Garde" w:hAnsi="ITC Avant Garde" w:cs="Arial"/>
          <w:sz w:val="18"/>
          <w:szCs w:val="18"/>
        </w:rPr>
        <w:lastRenderedPageBreak/>
        <w:t>fundamentales, la prohibición de arbitrariedad, la fundamentación y motivación, el principio de igualdad, la proporcionalidad y la razonabilidad.”</w:t>
      </w:r>
    </w:p>
    <w:p w14:paraId="0B197BA4" w14:textId="77777777" w:rsidR="00D631CA"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SEGUNDO TRIBUNAL COLEGIADO EN MATERIA ADMINISTRATIVA ESPECIALIZADO EN COMPETENCIA ECONÓMICA, RADIODIFUSIÓN Y TELECOMUNICACIONES, CON RESIDENCIA EN EL DISTRITO FEDERAL Y JURISDICCIÓN EN TODA LA REPÚBLICA.</w:t>
      </w:r>
    </w:p>
    <w:p w14:paraId="4AA9B7A1" w14:textId="77777777" w:rsidR="00D631CA"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 xml:space="preserve">Amparo en revisión 145/2015. 4 de febrero de 2016. Mayoría de votos. Disidente: Arturo </w:t>
      </w:r>
      <w:proofErr w:type="spellStart"/>
      <w:r w:rsidRPr="00D631CA">
        <w:rPr>
          <w:rFonts w:ascii="ITC Avant Garde" w:hAnsi="ITC Avant Garde" w:cs="Arial"/>
          <w:sz w:val="18"/>
          <w:szCs w:val="18"/>
        </w:rPr>
        <w:t>lturbe</w:t>
      </w:r>
      <w:proofErr w:type="spellEnd"/>
      <w:r w:rsidRPr="00D631CA">
        <w:rPr>
          <w:rFonts w:ascii="ITC Avant Garde" w:hAnsi="ITC Avant Garde" w:cs="Arial"/>
          <w:sz w:val="18"/>
          <w:szCs w:val="18"/>
        </w:rPr>
        <w:t xml:space="preserve"> Rivas. Ponente: Adriana Leticia Campuzano Gallegos. Secretario: Jorge Alberto Ramírez Hernández.</w:t>
      </w:r>
    </w:p>
    <w:p w14:paraId="6AF9D26D" w14:textId="77777777" w:rsidR="00D631CA" w:rsidRPr="00D631CA" w:rsidRDefault="00382941" w:rsidP="00D631CA">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Nota: Con motivo de la entrada en vigor del Acuerdo General del Pleno del Consejo de la Judicatura Federal por el que se cambia la denominación de Distrito Federal por Ciudad de México en todo su cuerpo normativo, la denominación actual del órgano emisor es la de Segundo Tribunal Colegiado de Circuito en Materia Administrativa Especializado en Competencia Económica, Radiodifusión y Telecomunicaciones, con residencia en la Ciudad de México y jurisdicción en toda la República.</w:t>
      </w:r>
    </w:p>
    <w:p w14:paraId="12F4E986" w14:textId="609EAB23" w:rsidR="00382941" w:rsidRPr="00000B03" w:rsidRDefault="00382941" w:rsidP="00000B03">
      <w:pPr>
        <w:spacing w:before="240"/>
        <w:ind w:left="567" w:right="900"/>
        <w:jc w:val="both"/>
        <w:rPr>
          <w:rFonts w:ascii="ITC Avant Garde" w:hAnsi="ITC Avant Garde" w:cs="Arial"/>
          <w:sz w:val="18"/>
          <w:szCs w:val="18"/>
        </w:rPr>
      </w:pPr>
      <w:r w:rsidRPr="00D631CA">
        <w:rPr>
          <w:rFonts w:ascii="ITC Avant Garde" w:hAnsi="ITC Avant Garde" w:cs="Arial"/>
          <w:sz w:val="18"/>
          <w:szCs w:val="18"/>
        </w:rPr>
        <w:t>Esta tesis se publicó el viernes 20 de mayo de 2016 a las 10:20 horas en el Seman</w:t>
      </w:r>
      <w:r w:rsidR="00000B03">
        <w:rPr>
          <w:rFonts w:ascii="ITC Avant Garde" w:hAnsi="ITC Avant Garde" w:cs="Arial"/>
          <w:sz w:val="18"/>
          <w:szCs w:val="18"/>
        </w:rPr>
        <w:t>ario Judicial de la Federación.</w:t>
      </w:r>
    </w:p>
    <w:p w14:paraId="666009BE"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En este contexto la Resolución Recurrida en su página 32, señala la conveniencia de la figura del operador eficiente, señalando los elementos que considera para su consideración con lo cual se cubre el requisito de escrutinio de prohibición de arbitrariedad, fundamentación y motivación, principio de igualdad, proporcionalidad y razonabilidad de la Resolución Recurrida, al efecto en la foja 59 se señala en su parte conducente lo siguiente:</w:t>
      </w:r>
    </w:p>
    <w:p w14:paraId="1CF54D9A" w14:textId="77777777" w:rsidR="00D631CA" w:rsidRPr="00D631CA" w:rsidRDefault="00382941" w:rsidP="00D631CA">
      <w:pPr>
        <w:autoSpaceDE w:val="0"/>
        <w:autoSpaceDN w:val="0"/>
        <w:adjustRightInd w:val="0"/>
        <w:spacing w:before="240"/>
        <w:ind w:left="567" w:right="900"/>
        <w:jc w:val="both"/>
        <w:rPr>
          <w:rFonts w:ascii="ITC Avant Garde" w:hAnsi="ITC Avant Garde" w:cs="Arial"/>
        </w:rPr>
      </w:pPr>
      <w:r w:rsidRPr="00D631CA">
        <w:rPr>
          <w:rFonts w:ascii="ITC Avant Garde" w:hAnsi="ITC Avant Garde" w:cs="Arial"/>
        </w:rPr>
        <w:t xml:space="preserve">“Es preciso señalar que es conveniente que la tarifa de interconexión cubra los costos en que incurre un operador eficiente por terminar las llamadas, </w:t>
      </w:r>
      <w:r w:rsidRPr="00D631CA">
        <w:rPr>
          <w:rFonts w:ascii="ITC Avant Garde" w:hAnsi="ITC Avant Garde" w:cs="Arial"/>
          <w:iCs/>
        </w:rPr>
        <w:t xml:space="preserve">y </w:t>
      </w:r>
      <w:r w:rsidRPr="00D631CA">
        <w:rPr>
          <w:rFonts w:ascii="ITC Avant Garde" w:hAnsi="ITC Avant Garde" w:cs="Arial"/>
        </w:rPr>
        <w:t xml:space="preserve">a la vez incluya un retorno al capital razonable por prestar este servicio. De lo contrario se podría desincentivar la provisión de los servicios de interconexión. Es importante que los costos recuperados sean los de un operador eficiente, pues en caso contrario, se permitirla que la ineficiencia del operador se traslade a otros operadores </w:t>
      </w:r>
      <w:r w:rsidRPr="00D631CA">
        <w:rPr>
          <w:rFonts w:ascii="ITC Avant Garde" w:hAnsi="ITC Avant Garde" w:cs="Arial"/>
          <w:iCs/>
        </w:rPr>
        <w:t xml:space="preserve">y </w:t>
      </w:r>
      <w:r w:rsidRPr="00D631CA">
        <w:rPr>
          <w:rFonts w:ascii="ITC Avant Garde" w:hAnsi="ITC Avant Garde" w:cs="Arial"/>
        </w:rPr>
        <w:t>en última Instancia, a los usuarios.</w:t>
      </w:r>
    </w:p>
    <w:p w14:paraId="1390F8F3" w14:textId="77777777" w:rsidR="00D631CA" w:rsidRPr="00D631CA" w:rsidRDefault="00382941" w:rsidP="00D631CA">
      <w:pPr>
        <w:autoSpaceDE w:val="0"/>
        <w:autoSpaceDN w:val="0"/>
        <w:adjustRightInd w:val="0"/>
        <w:spacing w:before="240"/>
        <w:ind w:left="567" w:right="900"/>
        <w:jc w:val="both"/>
        <w:rPr>
          <w:rFonts w:ascii="ITC Avant Garde" w:hAnsi="ITC Avant Garde" w:cs="Arial"/>
        </w:rPr>
      </w:pPr>
      <w:r w:rsidRPr="00D631CA">
        <w:rPr>
          <w:rFonts w:ascii="ITC Avant Garde" w:hAnsi="ITC Avant Garde" w:cs="Arial"/>
        </w:rPr>
        <w:t>Adicionalmente, lo anterior es consistente con el proceso de competencia que debe existir en el mercado, esto es, en un mercado competido, un operador ineficiente se ve obligado a ajustar su operación para ser eficiente o deberá salir del mercado. Por ende, el modelo utilizado para la determinación de la tarifa de interconexión está basado en los costos de un operador eficiente.</w:t>
      </w:r>
    </w:p>
    <w:p w14:paraId="310C2C5E" w14:textId="77777777" w:rsidR="00D631CA" w:rsidRPr="00D631CA" w:rsidRDefault="00382941" w:rsidP="00D631CA">
      <w:pPr>
        <w:autoSpaceDE w:val="0"/>
        <w:autoSpaceDN w:val="0"/>
        <w:adjustRightInd w:val="0"/>
        <w:spacing w:before="240"/>
        <w:ind w:left="567" w:right="900"/>
        <w:jc w:val="both"/>
        <w:rPr>
          <w:rFonts w:ascii="ITC Avant Garde" w:hAnsi="ITC Avant Garde" w:cs="Arial"/>
        </w:rPr>
      </w:pPr>
      <w:r w:rsidRPr="00D631CA">
        <w:rPr>
          <w:rFonts w:ascii="ITC Avant Garde" w:hAnsi="ITC Avant Garde" w:cs="Arial"/>
        </w:rPr>
        <w:t>Para el diseño de la red del operador eficiente, el modelo de costos utiliza un modelo ascendente (</w:t>
      </w:r>
      <w:proofErr w:type="spellStart"/>
      <w:r w:rsidRPr="00D631CA">
        <w:rPr>
          <w:rFonts w:ascii="ITC Avant Garde" w:hAnsi="ITC Avant Garde" w:cs="Arial"/>
        </w:rPr>
        <w:t>Bottom</w:t>
      </w:r>
      <w:proofErr w:type="spellEnd"/>
      <w:r w:rsidRPr="00D631CA">
        <w:rPr>
          <w:rFonts w:ascii="ITC Avant Garde" w:hAnsi="ITC Avant Garde" w:cs="Arial"/>
        </w:rPr>
        <w:t xml:space="preserve">-Up) o de tipo ingenieril que se construye a partir de información de demanda esperada en términos de usuarios </w:t>
      </w:r>
      <w:r w:rsidRPr="00D631CA">
        <w:rPr>
          <w:rFonts w:ascii="ITC Avant Garde" w:hAnsi="ITC Avant Garde" w:cs="Arial"/>
          <w:iCs/>
        </w:rPr>
        <w:t xml:space="preserve">y </w:t>
      </w:r>
      <w:r w:rsidRPr="00D631CA">
        <w:rPr>
          <w:rFonts w:ascii="ITC Avant Garde" w:hAnsi="ITC Avant Garde" w:cs="Arial"/>
        </w:rPr>
        <w:t xml:space="preserve">tráfico, a partir </w:t>
      </w:r>
      <w:r w:rsidRPr="00D631CA">
        <w:rPr>
          <w:rFonts w:ascii="ITC Avant Garde" w:hAnsi="ITC Avant Garde" w:cs="Arial"/>
        </w:rPr>
        <w:lastRenderedPageBreak/>
        <w:t xml:space="preserve">de los cuales se realiza el diseño de la red que presta diversos servicios de telecomunicaciones, incluyendo los de interconexión. Los costos de esta red, los cuales son valorados a precios de mercado o costos corrientes, incluyen los costos de capital (inversiones) </w:t>
      </w:r>
      <w:r w:rsidRPr="00D631CA">
        <w:rPr>
          <w:rFonts w:ascii="ITC Avant Garde" w:hAnsi="ITC Avant Garde" w:cs="Arial"/>
          <w:iCs/>
        </w:rPr>
        <w:t xml:space="preserve">y </w:t>
      </w:r>
      <w:r w:rsidRPr="00D631CA">
        <w:rPr>
          <w:rFonts w:ascii="ITC Avant Garde" w:hAnsi="ITC Avant Garde" w:cs="Arial"/>
        </w:rPr>
        <w:t xml:space="preserve">los gastos de operación </w:t>
      </w:r>
      <w:r w:rsidRPr="00D631CA">
        <w:rPr>
          <w:rFonts w:ascii="ITC Avant Garde" w:hAnsi="ITC Avant Garde" w:cs="Arial"/>
          <w:iCs/>
        </w:rPr>
        <w:t xml:space="preserve">y </w:t>
      </w:r>
      <w:r w:rsidRPr="00D631CA">
        <w:rPr>
          <w:rFonts w:ascii="ITC Avant Garde" w:hAnsi="ITC Avant Garde" w:cs="Arial"/>
        </w:rPr>
        <w:t>mantenimiento que son asignados a cada uno de los servicios que se considera que provee la red.</w:t>
      </w:r>
    </w:p>
    <w:p w14:paraId="424A2B14" w14:textId="77777777" w:rsidR="00D631CA" w:rsidRPr="00D631CA" w:rsidRDefault="00382941" w:rsidP="00D631CA">
      <w:pPr>
        <w:autoSpaceDE w:val="0"/>
        <w:autoSpaceDN w:val="0"/>
        <w:adjustRightInd w:val="0"/>
        <w:spacing w:before="240"/>
        <w:ind w:left="567" w:right="900"/>
        <w:jc w:val="both"/>
        <w:rPr>
          <w:rFonts w:ascii="ITC Avant Garde" w:hAnsi="ITC Avant Garde" w:cs="Arial"/>
        </w:rPr>
      </w:pPr>
      <w:r w:rsidRPr="00D631CA">
        <w:rPr>
          <w:rFonts w:ascii="ITC Avant Garde" w:hAnsi="ITC Avant Garde" w:cs="Arial"/>
        </w:rPr>
        <w:t xml:space="preserve">La razón por la que los costos de la red son valorados a costos corrientes es porque en un mercado competitivo, las empresas son compensadas exclusivamente por estos costos, </w:t>
      </w:r>
      <w:r w:rsidRPr="00D631CA">
        <w:rPr>
          <w:rFonts w:ascii="ITC Avant Garde" w:hAnsi="ITC Avant Garde" w:cs="Arial"/>
          <w:iCs/>
        </w:rPr>
        <w:t xml:space="preserve">y </w:t>
      </w:r>
      <w:r w:rsidRPr="00D631CA">
        <w:rPr>
          <w:rFonts w:ascii="ITC Avant Garde" w:hAnsi="ITC Avant Garde" w:cs="Arial"/>
        </w:rPr>
        <w:t xml:space="preserve">no así por sus costos históricos. Es importante mencionar que en un mercado en competencia, cuando una empresa fija sus precios por encima de los costos actuales o corrientes, otra empresa podría entrar al mercado ofreciendo menores precios, lo que obligaría a la primera a bajar sus precios para evitar al perder clientes. Es decir, el mercado actuaría como mecanismo para alinear el precio de los servicios a sus costos corrientes. Es así que para impulsar el desarrollo del sector el regulador debe propiciar la eficiencia </w:t>
      </w:r>
      <w:proofErr w:type="spellStart"/>
      <w:r w:rsidRPr="00D631CA">
        <w:rPr>
          <w:rFonts w:ascii="ITC Avant Garde" w:hAnsi="ITC Avant Garde" w:cs="Arial"/>
        </w:rPr>
        <w:t>asignativa</w:t>
      </w:r>
      <w:proofErr w:type="spellEnd"/>
      <w:r w:rsidRPr="00D631CA">
        <w:rPr>
          <w:rFonts w:ascii="ITC Avant Garde" w:hAnsi="ITC Avant Garde" w:cs="Arial"/>
        </w:rPr>
        <w:t xml:space="preserve">, en el sentido de que se establezcan los precios lo más cercanamente posible a los observados en un mercado competitivo, </w:t>
      </w:r>
      <w:r w:rsidRPr="00D631CA">
        <w:rPr>
          <w:rFonts w:ascii="ITC Avant Garde" w:hAnsi="ITC Avant Garde" w:cs="Arial"/>
          <w:iCs/>
        </w:rPr>
        <w:t xml:space="preserve">ya </w:t>
      </w:r>
      <w:r w:rsidRPr="00D631CA">
        <w:rPr>
          <w:rFonts w:ascii="ITC Avant Garde" w:hAnsi="ITC Avant Garde" w:cs="Arial"/>
        </w:rPr>
        <w:t>que es generalmente aceptado que estos precios son los que maximizan el bienestar social.1”</w:t>
      </w:r>
    </w:p>
    <w:p w14:paraId="3DE2A542" w14:textId="6637EA2A" w:rsidR="00382941" w:rsidRPr="00000B03" w:rsidRDefault="00382941" w:rsidP="00000B03">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En este sentido, de considerar el argumento de la Recurrente en cuanto a considerar sus propios costos, daría lugar a prácticas que reducirían la transparencia en lo que respecta a los costos y precios de cada uno de los operadores que se encuentran en el mercado, se incrementa el riesgo y la complejidad en asegurar que se apliquen principios idénticos y consistentes en el caso de que la metodología se aplicara a modelos individuales para cada operador móvil, se incrementa y dificulta cumplir con el principio de eficiencia, razón por la cual considerando las mejores prácticas internacionales, se modela un operador representativo, donde las referencias internacionales muestran que para determinar el valor de las tarifas de interconexión se hace con base en un operador representativo y no con base en costear la red de cada uno de los operadore</w:t>
      </w:r>
      <w:r w:rsidR="00000B03">
        <w:rPr>
          <w:rFonts w:ascii="ITC Avant Garde" w:eastAsia="Times New Roman" w:hAnsi="ITC Avant Garde" w:cs="Arial"/>
          <w:lang w:val="es-ES" w:eastAsia="es-MX"/>
        </w:rPr>
        <w:t>s que participan en el mercado.</w:t>
      </w:r>
    </w:p>
    <w:p w14:paraId="2E930381"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Cabe señalar que un creciente número de países están adoptando modelos de costos tipo </w:t>
      </w:r>
      <w:proofErr w:type="spellStart"/>
      <w:r w:rsidRPr="00D631CA">
        <w:rPr>
          <w:rFonts w:ascii="ITC Avant Garde" w:hAnsi="ITC Avant Garde" w:cs="Arial"/>
        </w:rPr>
        <w:t>Bottom</w:t>
      </w:r>
      <w:proofErr w:type="spellEnd"/>
      <w:r w:rsidRPr="00D631CA">
        <w:rPr>
          <w:rFonts w:ascii="ITC Avant Garde" w:hAnsi="ITC Avant Garde" w:cs="Arial"/>
        </w:rPr>
        <w:t>-Up.</w:t>
      </w:r>
      <w:r w:rsidRPr="00D631CA">
        <w:rPr>
          <w:rFonts w:ascii="ITC Avant Garde" w:hAnsi="ITC Avant Garde" w:cs="Arial"/>
          <w:vertAlign w:val="superscript"/>
        </w:rPr>
        <w:footnoteReference w:id="27"/>
      </w:r>
      <w:r w:rsidRPr="00D631CA">
        <w:rPr>
          <w:rFonts w:ascii="ITC Avant Garde" w:hAnsi="ITC Avant Garde" w:cs="Arial"/>
        </w:rPr>
        <w:t xml:space="preserve"> Entre los países que ya utilizan este tipo de modelos se encuentran Corea, Israel, Australia, Nueva Zelanda, EE.UU., Colombia, Perú, Ecuador, Chile, Francia, Holanda, Hungría, </w:t>
      </w:r>
      <w:r w:rsidRPr="00D631CA">
        <w:rPr>
          <w:rFonts w:ascii="ITC Avant Garde" w:hAnsi="ITC Avant Garde" w:cs="Arial"/>
        </w:rPr>
        <w:lastRenderedPageBreak/>
        <w:t xml:space="preserve">Rumania, Eslovenia y Grecia. En tanto que los países que ya decidieron moverse de modelos híbridos a modelos </w:t>
      </w:r>
      <w:proofErr w:type="spellStart"/>
      <w:r w:rsidRPr="00D631CA">
        <w:rPr>
          <w:rFonts w:ascii="ITC Avant Garde" w:hAnsi="ITC Avant Garde" w:cs="Arial"/>
        </w:rPr>
        <w:t>Bottom</w:t>
      </w:r>
      <w:proofErr w:type="spellEnd"/>
      <w:r w:rsidRPr="00D631CA">
        <w:rPr>
          <w:rFonts w:ascii="ITC Avant Garde" w:hAnsi="ITC Avant Garde" w:cs="Arial"/>
        </w:rPr>
        <w:t>-Up son Bélgica, Dinamarca, Noruega, Suecia, Reino Unido, Bulgaria y República Checa.</w:t>
      </w:r>
    </w:p>
    <w:p w14:paraId="14A43851"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Asimismo, la Unión Internacional de Telecomunicaciones</w:t>
      </w:r>
      <w:r w:rsidRPr="00D631CA">
        <w:rPr>
          <w:rFonts w:ascii="ITC Avant Garde" w:hAnsi="ITC Avant Garde" w:cs="Arial"/>
          <w:vertAlign w:val="superscript"/>
        </w:rPr>
        <w:footnoteReference w:id="28"/>
      </w:r>
      <w:r w:rsidRPr="00D631CA">
        <w:rPr>
          <w:rFonts w:ascii="ITC Avant Garde" w:hAnsi="ITC Avant Garde" w:cs="Arial"/>
        </w:rPr>
        <w:t xml:space="preserve"> realiza una encuesta entre los reguladores a nivel internacional que permite recabar información acerca de la regulación que se ha establecido para los servicios mayoristas y minoristas, de dicho estudio se puede observar que en 2009 el 56.1 por ciento de los países que respondieron las encuestas han adoptado los modelos </w:t>
      </w:r>
      <w:proofErr w:type="spellStart"/>
      <w:r w:rsidRPr="00D631CA">
        <w:rPr>
          <w:rFonts w:ascii="ITC Avant Garde" w:hAnsi="ITC Avant Garde" w:cs="Arial"/>
        </w:rPr>
        <w:t>Bottom</w:t>
      </w:r>
      <w:proofErr w:type="spellEnd"/>
      <w:r w:rsidRPr="00D631CA">
        <w:rPr>
          <w:rFonts w:ascii="ITC Avant Garde" w:hAnsi="ITC Avant Garde" w:cs="Arial"/>
        </w:rPr>
        <w:t>-Up como la metodología de estimación de costos de los servicios que se prestan entre concesionarios, sobre otras metodologías, incluyendo los modelos híbridos.</w:t>
      </w:r>
    </w:p>
    <w:p w14:paraId="5C864DFF"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La Comisión Europea recomendó, en mayo de 2009,</w:t>
      </w:r>
      <w:r w:rsidRPr="00D631CA">
        <w:rPr>
          <w:rFonts w:ascii="ITC Avant Garde" w:hAnsi="ITC Avant Garde" w:cs="Arial"/>
          <w:vertAlign w:val="superscript"/>
        </w:rPr>
        <w:footnoteReference w:id="29"/>
      </w:r>
      <w:r w:rsidRPr="00D631CA">
        <w:rPr>
          <w:rFonts w:ascii="ITC Avant Garde" w:hAnsi="ITC Avant Garde" w:cs="Arial"/>
        </w:rPr>
        <w:t xml:space="preserve"> la implementación de modelos ascendentes (</w:t>
      </w:r>
      <w:proofErr w:type="spellStart"/>
      <w:r w:rsidRPr="00D631CA">
        <w:rPr>
          <w:rFonts w:ascii="ITC Avant Garde" w:hAnsi="ITC Avant Garde" w:cs="Arial"/>
        </w:rPr>
        <w:t>Bottom</w:t>
      </w:r>
      <w:proofErr w:type="spellEnd"/>
      <w:r w:rsidRPr="00D631CA">
        <w:rPr>
          <w:rFonts w:ascii="ITC Avant Garde" w:hAnsi="ITC Avant Garde" w:cs="Arial"/>
        </w:rPr>
        <w:t>-Up) para la determinación de tarifas de interconexión por parte de las autoridades nacionales antes de diciembre de 2012, argumentando que:</w:t>
      </w:r>
    </w:p>
    <w:p w14:paraId="502F20CD" w14:textId="77777777" w:rsidR="00D631CA" w:rsidRPr="00D631CA" w:rsidRDefault="00382941" w:rsidP="00D631CA">
      <w:pPr>
        <w:spacing w:before="240"/>
        <w:ind w:left="567" w:right="900"/>
        <w:jc w:val="both"/>
        <w:rPr>
          <w:rFonts w:ascii="ITC Avant Garde" w:hAnsi="ITC Avant Garde" w:cs="Arial"/>
        </w:rPr>
      </w:pPr>
      <w:r w:rsidRPr="00D631CA">
        <w:rPr>
          <w:rFonts w:ascii="ITC Avant Garde" w:hAnsi="ITC Avant Garde" w:cs="Arial"/>
        </w:rPr>
        <w:t>“La aplicación de un modelo ascendente es coherente con el concepto de desarrollo de la red para un operador eficiente según el cual se construye un modelo económico/técnico de red eficiente utilizando los costes actuales. El modelo refleja la cantidad de equipo necesaria, más que la efectivamente proporcionada, y hace caso omiso de los costes heredados.”</w:t>
      </w:r>
    </w:p>
    <w:p w14:paraId="140D5826"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Es importante recalcar que el uso de un modelo Top-Down como lo propone la Recurrente en el sentido de utilizar su información, es decir, utilizar la información contable restaría transparencia a la decisión al no poderse hacer público el modelo, en cambio, el uso de un modelo </w:t>
      </w:r>
      <w:proofErr w:type="spellStart"/>
      <w:r w:rsidRPr="00D631CA">
        <w:rPr>
          <w:rFonts w:ascii="ITC Avant Garde" w:hAnsi="ITC Avant Garde" w:cs="Arial"/>
        </w:rPr>
        <w:t>Bottom</w:t>
      </w:r>
      <w:proofErr w:type="spellEnd"/>
      <w:r w:rsidRPr="00D631CA">
        <w:rPr>
          <w:rFonts w:ascii="ITC Avant Garde" w:hAnsi="ITC Avant Garde" w:cs="Arial"/>
        </w:rPr>
        <w:t xml:space="preserve">-Up que sea público y replicable por todos los concesionarios otorga certeza jurídica a todos los involucrados. </w:t>
      </w:r>
    </w:p>
    <w:p w14:paraId="6BBDAA42" w14:textId="77777777" w:rsidR="00D631CA" w:rsidRPr="00D631CA" w:rsidRDefault="00382941" w:rsidP="00D631CA">
      <w:pPr>
        <w:spacing w:before="240"/>
        <w:jc w:val="both"/>
        <w:rPr>
          <w:rFonts w:ascii="ITC Avant Garde" w:hAnsi="ITC Avant Garde" w:cs="Arial"/>
        </w:rPr>
      </w:pPr>
      <w:r w:rsidRPr="00D631CA">
        <w:rPr>
          <w:rFonts w:ascii="ITC Avant Garde" w:hAnsi="ITC Avant Garde" w:cs="Arial"/>
        </w:rPr>
        <w:t xml:space="preserve">Aunado a lo anterior, es importante señalar que utilizar un Modelo </w:t>
      </w:r>
      <w:proofErr w:type="spellStart"/>
      <w:r w:rsidRPr="00D631CA">
        <w:rPr>
          <w:rFonts w:ascii="ITC Avant Garde" w:hAnsi="ITC Avant Garde" w:cs="Arial"/>
        </w:rPr>
        <w:t>Bottom</w:t>
      </w:r>
      <w:proofErr w:type="spellEnd"/>
      <w:r w:rsidRPr="00D631CA">
        <w:rPr>
          <w:rFonts w:ascii="ITC Avant Garde" w:hAnsi="ITC Avant Garde" w:cs="Arial"/>
        </w:rPr>
        <w:t xml:space="preserve">-Up que diseña a un operador representativo permite en lo que respecta a la fecha de lanzamiento, ser establecida de forma consistente en el Modelo de Costos, ya que considera aspectos claves en el despliegue de las redes reales de los concesionarios que participan en el mercado, en lo que respecta a la tecnología que utiliza el operador representativo, la tecnología utilizada se define de forma específica, tomando en consideración componentes relevantes de las redes existentes. En lo que respecta a la migración a tecnología moderna, utilizando el operador representativo, la evolución y migración de este operador puede definirse de forma </w:t>
      </w:r>
      <w:r w:rsidRPr="00D631CA">
        <w:rPr>
          <w:rFonts w:ascii="ITC Avant Garde" w:hAnsi="ITC Avant Garde" w:cs="Arial"/>
        </w:rPr>
        <w:lastRenderedPageBreak/>
        <w:t xml:space="preserve">específica, teniendo en cuenta las redes existentes. En lo que respecta a la eficiencia, estos aspectos pueden ser definidos, con un operador representativo, y en lo que respecta a la transparencia en la utilización del Modelo de Costos </w:t>
      </w:r>
      <w:proofErr w:type="spellStart"/>
      <w:r w:rsidRPr="00D631CA">
        <w:rPr>
          <w:rFonts w:ascii="ITC Avant Garde" w:hAnsi="ITC Avant Garde" w:cs="Arial"/>
        </w:rPr>
        <w:t>Bottom</w:t>
      </w:r>
      <w:proofErr w:type="spellEnd"/>
      <w:r w:rsidRPr="00D631CA">
        <w:rPr>
          <w:rFonts w:ascii="ITC Avant Garde" w:hAnsi="ITC Avant Garde" w:cs="Arial"/>
        </w:rPr>
        <w:t>-Up, la transparencia aumenta debido a las semejanzas entre los operadores móviles, por lo que este enfoque es transparente y un buen reflejo de la realidad de los operadores.</w:t>
      </w:r>
    </w:p>
    <w:p w14:paraId="49C92591"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Asimismo, esta Autoridad revisora considera que los argumentos de la Recurrente resultan improcedentes en virtud de que la Recurrente incurre en un error, o en todo caso confusión, al considerar que los atributos “eficiente” y “representativo” son incongruentes, en virtud de que el término “representativo” se refiere exclusivamente a una característica de la demanda que el operador modelado enfrenta, a saber, su participación de mercado; mientras el término “eficiente” se refiere a la forma en la que el operador modelado satisface dicha demanda, expresando que dicha demanda debe ser satisfecha de forma que sea empleada la menor cantidad de recursos posible, dados los parámetros de calidad y cobertura tomados en cuenta.</w:t>
      </w:r>
    </w:p>
    <w:p w14:paraId="2101A07C"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Por lo expuesto en el párrafo anterior resulta perfectamente congruente calificar a un mismo operador modelado como “eficiente” y como “representativo”.</w:t>
      </w:r>
    </w:p>
    <w:p w14:paraId="186684EA" w14:textId="77777777" w:rsidR="00D631CA" w:rsidRPr="00D631CA" w:rsidRDefault="00382941" w:rsidP="00D631CA">
      <w:pPr>
        <w:numPr>
          <w:ilvl w:val="0"/>
          <w:numId w:val="2"/>
        </w:numPr>
        <w:spacing w:before="240"/>
        <w:contextualSpacing/>
        <w:jc w:val="both"/>
        <w:rPr>
          <w:rFonts w:ascii="ITC Avant Garde" w:hAnsi="ITC Avant Garde" w:cs="Arial"/>
        </w:rPr>
      </w:pPr>
      <w:r w:rsidRPr="00D631CA">
        <w:rPr>
          <w:rFonts w:ascii="ITC Avant Garde" w:hAnsi="ITC Avant Garde" w:cs="Arial"/>
        </w:rPr>
        <w:t xml:space="preserve">En relación con lo manifestado por la Recurrente en el agravio </w:t>
      </w:r>
      <w:r w:rsidRPr="00D631CA">
        <w:rPr>
          <w:rFonts w:ascii="ITC Avant Garde" w:hAnsi="ITC Avant Garde" w:cs="Arial"/>
          <w:b/>
        </w:rPr>
        <w:t>DÉCIMO NOVENO</w:t>
      </w:r>
      <w:r w:rsidRPr="00D631CA">
        <w:rPr>
          <w:rFonts w:ascii="ITC Avant Garde" w:hAnsi="ITC Avant Garde" w:cs="Arial"/>
        </w:rPr>
        <w:t>, en el cual sostiene que la Comisión omite señalar las operaciones aritméticas para determinar la tarifa de interconexión, por lo que se viola lo dispuesto en la fracción V del artículo 3 de la Ley Federal de Procedimiento Administrativo, es infundado.</w:t>
      </w:r>
    </w:p>
    <w:p w14:paraId="675AD504"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En el modelo de costos mediante el cual se determina la tarifa de interconexión contenida en el resolutivo tercero, esa Comisión no refiere de manera puntual la justificación de las operaciones matemáticas efectuadas, así como el mecanismo utilizado en las mismas.</w:t>
      </w:r>
    </w:p>
    <w:p w14:paraId="13FA353C"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Lo anterior, no otorga seguridad jurídica alguna a mis Representadas respecto de los resultados a los que arriba esa Comisión, situación que se repite en todos y cada uno de los componentes del Modelo de Costos.</w:t>
      </w:r>
    </w:p>
    <w:p w14:paraId="1C6069C9"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 xml:space="preserve">Los argumentos expuestos por la parte Recurrente resultan inoperantes al constituir una reiteración casi literal de los argumentos esgrimidos en el Cuarto Agravio del recurso interpuesto, por lo que a fin de evitar reiteraciones innecesarias, se solicita que los argumentos hechos valer respecto de dicho agravio, se tengan por reproducidos como si a la letra se insertasen. </w:t>
      </w:r>
    </w:p>
    <w:p w14:paraId="25EE4850" w14:textId="77777777" w:rsidR="00D631CA" w:rsidRPr="00D631CA" w:rsidRDefault="00382941" w:rsidP="00D631CA">
      <w:pPr>
        <w:numPr>
          <w:ilvl w:val="0"/>
          <w:numId w:val="2"/>
        </w:numPr>
        <w:spacing w:before="240"/>
        <w:contextualSpacing/>
        <w:jc w:val="both"/>
        <w:rPr>
          <w:rFonts w:ascii="ITC Avant Garde" w:hAnsi="ITC Avant Garde" w:cs="Arial"/>
        </w:rPr>
      </w:pPr>
      <w:r w:rsidRPr="00D631CA">
        <w:rPr>
          <w:rFonts w:ascii="ITC Avant Garde" w:hAnsi="ITC Avant Garde" w:cs="Arial"/>
        </w:rPr>
        <w:t xml:space="preserve">En relación con lo manifestado por la Recurrente en el agravio </w:t>
      </w:r>
      <w:r w:rsidRPr="00D631CA">
        <w:rPr>
          <w:rFonts w:ascii="ITC Avant Garde" w:hAnsi="ITC Avant Garde" w:cs="Arial"/>
          <w:b/>
        </w:rPr>
        <w:t>VIGÉSIMO</w:t>
      </w:r>
      <w:r w:rsidRPr="00D631CA">
        <w:rPr>
          <w:rFonts w:ascii="ITC Avant Garde" w:hAnsi="ITC Avant Garde" w:cs="Arial"/>
        </w:rPr>
        <w:t xml:space="preserve">, en el cual sostiene que en la Resolución Recurrida se utilizan argumentos vagos e imprecisos, </w:t>
      </w:r>
      <w:r w:rsidRPr="00D631CA">
        <w:rPr>
          <w:rFonts w:ascii="ITC Avant Garde" w:hAnsi="ITC Avant Garde" w:cs="Arial"/>
        </w:rPr>
        <w:lastRenderedPageBreak/>
        <w:t>por lo que está indebidamente motivada y viola el artículo 3, fracción V de la Ley Federal de Procedimiento Administrativo, es infundado.</w:t>
      </w:r>
    </w:p>
    <w:p w14:paraId="18AE284B" w14:textId="42B99DB9" w:rsidR="00382941"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lang w:val="es-ES" w:eastAsia="es-ES"/>
        </w:rPr>
        <w:t>Los argumentos expuestos por la parte Recurrente resultan inoperantes al constituir una reiteración casi literal de los argumentos esgrimidos en el Quinto Agravio del recurso interpuesto, por lo que a fin de evitar reiteraciones innecesarias, se solicita que los argumentos hechos valer respecto de dicho agravio, se tengan por reproducidos co</w:t>
      </w:r>
      <w:r w:rsidR="00000B03">
        <w:rPr>
          <w:rFonts w:ascii="ITC Avant Garde" w:eastAsia="Times New Roman" w:hAnsi="ITC Avant Garde" w:cs="Arial"/>
          <w:lang w:val="es-ES" w:eastAsia="es-ES"/>
        </w:rPr>
        <w:t>mo si a la letra se insertasen.</w:t>
      </w:r>
    </w:p>
    <w:p w14:paraId="0D65DF09" w14:textId="77777777" w:rsidR="00D631CA" w:rsidRPr="00D631CA" w:rsidRDefault="00382941" w:rsidP="00D631CA">
      <w:pPr>
        <w:spacing w:before="240"/>
        <w:jc w:val="both"/>
        <w:rPr>
          <w:rFonts w:ascii="ITC Avant Garde" w:eastAsia="Times New Roman" w:hAnsi="ITC Avant Garde" w:cs="Arial"/>
          <w:lang w:eastAsia="es-ES"/>
        </w:rPr>
      </w:pPr>
      <w:r w:rsidRPr="00D631CA">
        <w:rPr>
          <w:rFonts w:ascii="ITC Avant Garde" w:eastAsia="Times New Roman" w:hAnsi="ITC Avant Garde" w:cs="Arial"/>
          <w:b/>
          <w:lang w:val="es-ES" w:eastAsia="es-ES"/>
        </w:rPr>
        <w:t>DÉCIMO PRIMERO.-</w:t>
      </w:r>
      <w:r w:rsidRPr="00D631CA">
        <w:rPr>
          <w:rFonts w:ascii="ITC Avant Garde" w:eastAsia="Times New Roman" w:hAnsi="ITC Avant Garde" w:cs="Arial"/>
          <w:b/>
          <w:lang w:eastAsia="es-ES"/>
        </w:rPr>
        <w:t xml:space="preserve"> </w:t>
      </w:r>
      <w:r w:rsidRPr="00D631CA">
        <w:rPr>
          <w:rFonts w:ascii="ITC Avant Garde" w:eastAsia="Times New Roman" w:hAnsi="ITC Avant Garde" w:cs="Arial"/>
          <w:lang w:eastAsia="es-ES"/>
        </w:rPr>
        <w:t xml:space="preserve">Que en relación con el escrito presentado por la </w:t>
      </w:r>
      <w:r w:rsidR="00330398" w:rsidRPr="00D631CA">
        <w:rPr>
          <w:rFonts w:ascii="ITC Avant Garde" w:eastAsia="Times New Roman" w:hAnsi="ITC Avant Garde" w:cs="Arial"/>
          <w:lang w:eastAsia="es-ES"/>
        </w:rPr>
        <w:t>t</w:t>
      </w:r>
      <w:r w:rsidR="00C67299" w:rsidRPr="00D631CA">
        <w:rPr>
          <w:rFonts w:ascii="ITC Avant Garde" w:eastAsia="Times New Roman" w:hAnsi="ITC Avant Garde" w:cs="Arial"/>
          <w:lang w:eastAsia="es-ES"/>
        </w:rPr>
        <w:t>ercero perjudicada</w:t>
      </w:r>
      <w:r w:rsidRPr="00D631CA">
        <w:rPr>
          <w:rFonts w:ascii="ITC Avant Garde" w:eastAsia="Times New Roman" w:hAnsi="ITC Avant Garde" w:cs="Arial"/>
          <w:lang w:eastAsia="es-ES"/>
        </w:rPr>
        <w:t xml:space="preserve"> con fecha </w:t>
      </w:r>
      <w:r w:rsidRPr="00D631CA">
        <w:rPr>
          <w:rFonts w:ascii="ITC Avant Garde" w:eastAsia="Times New Roman" w:hAnsi="ITC Avant Garde" w:cs="Arial"/>
          <w:b/>
          <w:lang w:eastAsia="es-ES"/>
        </w:rPr>
        <w:t>ocho de junio de dos mil doce</w:t>
      </w:r>
      <w:r w:rsidRPr="00D631CA">
        <w:rPr>
          <w:rFonts w:ascii="ITC Avant Garde" w:eastAsia="Times New Roman" w:hAnsi="ITC Avant Garde" w:cs="Arial"/>
          <w:lang w:eastAsia="es-ES"/>
        </w:rPr>
        <w:t>, por el que desahogó la vista que le fue concedida con el recurso de revisión interpuesto por la Recurrente, las manifestaciones que se realizan en el mismo en relación con seis agravios expuestos por la Recurrente, han sido tomadas en consideración, al analizar los agravios hechos valer por la Recurrente.</w:t>
      </w:r>
    </w:p>
    <w:p w14:paraId="1FB0CF50" w14:textId="77777777" w:rsidR="00D631CA" w:rsidRPr="00D631CA" w:rsidRDefault="00382941" w:rsidP="00D631CA">
      <w:pPr>
        <w:spacing w:before="240"/>
        <w:jc w:val="both"/>
        <w:rPr>
          <w:rFonts w:ascii="ITC Avant Garde" w:eastAsia="Times New Roman" w:hAnsi="ITC Avant Garde" w:cs="Arial"/>
          <w:lang w:eastAsia="es-MX"/>
        </w:rPr>
      </w:pPr>
      <w:r w:rsidRPr="00D631CA">
        <w:rPr>
          <w:rFonts w:ascii="ITC Avant Garde" w:eastAsia="Times New Roman" w:hAnsi="ITC Avant Garde" w:cs="Arial"/>
          <w:lang w:eastAsia="es-MX"/>
        </w:rPr>
        <w:t xml:space="preserve">Las </w:t>
      </w:r>
      <w:r w:rsidR="00330398" w:rsidRPr="00D631CA">
        <w:rPr>
          <w:rFonts w:ascii="ITC Avant Garde" w:eastAsia="Times New Roman" w:hAnsi="ITC Avant Garde" w:cs="Arial"/>
          <w:lang w:eastAsia="es-MX"/>
        </w:rPr>
        <w:t>t</w:t>
      </w:r>
      <w:r w:rsidR="00C67299" w:rsidRPr="00D631CA">
        <w:rPr>
          <w:rFonts w:ascii="ITC Avant Garde" w:eastAsia="Times New Roman" w:hAnsi="ITC Avant Garde" w:cs="Arial"/>
          <w:lang w:eastAsia="es-MX"/>
        </w:rPr>
        <w:t>ercero perjudicada</w:t>
      </w:r>
      <w:r w:rsidRPr="00D631CA">
        <w:rPr>
          <w:rFonts w:ascii="ITC Avant Garde" w:eastAsia="Times New Roman" w:hAnsi="ITC Avant Garde" w:cs="Arial"/>
          <w:lang w:eastAsia="es-MX"/>
        </w:rPr>
        <w:t>s hacen valer diversos argumentos en su escrito de desahogo de vista mediante la expresión de sus manifestaciones, por medio de los cuales señalan diversos puntos en relación a lo infundado e inoperante de las manifestaciones hechas valer en los agravios señalados por la Recurrente, a fin de acreditar su oposición al Recurso de Revisión.</w:t>
      </w:r>
    </w:p>
    <w:p w14:paraId="7ACA80B0" w14:textId="77777777" w:rsidR="00D631CA" w:rsidRPr="00D631CA" w:rsidRDefault="00382941" w:rsidP="00D631CA">
      <w:pPr>
        <w:spacing w:before="240"/>
        <w:jc w:val="both"/>
        <w:rPr>
          <w:rFonts w:ascii="ITC Avant Garde" w:eastAsia="Times New Roman" w:hAnsi="ITC Avant Garde" w:cs="Arial"/>
          <w:lang w:eastAsia="es-MX"/>
        </w:rPr>
      </w:pPr>
      <w:r w:rsidRPr="00D631CA">
        <w:rPr>
          <w:rFonts w:ascii="ITC Avant Garde" w:eastAsia="Times New Roman" w:hAnsi="ITC Avant Garde" w:cs="Arial"/>
          <w:lang w:eastAsia="es-MX"/>
        </w:rPr>
        <w:t xml:space="preserve">En ese orden de ideas, y de conformidad con lo dispuesto por el artículo 84 y 92 de la Ley Federal de Procedimiento Administrativo, de aplicación supletoria de conformidad con el artículo 8 de la Ley Federal de Telecomunicaciones, se tienen en consideración las manifestaciones presentadas por la </w:t>
      </w:r>
      <w:r w:rsidR="00330398" w:rsidRPr="00D631CA">
        <w:rPr>
          <w:rFonts w:ascii="ITC Avant Garde" w:eastAsia="Times New Roman" w:hAnsi="ITC Avant Garde" w:cs="Arial"/>
          <w:lang w:eastAsia="es-MX"/>
        </w:rPr>
        <w:t>t</w:t>
      </w:r>
      <w:r w:rsidR="00C67299" w:rsidRPr="00D631CA">
        <w:rPr>
          <w:rFonts w:ascii="ITC Avant Garde" w:eastAsia="Times New Roman" w:hAnsi="ITC Avant Garde" w:cs="Arial"/>
          <w:lang w:eastAsia="es-MX"/>
        </w:rPr>
        <w:t>ercero perjudicada</w:t>
      </w:r>
      <w:r w:rsidRPr="00D631CA">
        <w:rPr>
          <w:rFonts w:ascii="ITC Avant Garde" w:eastAsia="Times New Roman" w:hAnsi="ITC Avant Garde" w:cs="Arial"/>
          <w:lang w:eastAsia="es-MX"/>
        </w:rPr>
        <w:t xml:space="preserve"> hechos valer como oposición al Recurso de Revisión interpuesto por la Recurrente, y toda vez que la Ley Federal de Procedimiento Administrativo no prevé la figura procesal de oposición al Recurso interpuesto por la Recurrente; todas y cada una de las manifestaciones contenidas en el escrito presentado por la </w:t>
      </w:r>
      <w:r w:rsidR="00330398" w:rsidRPr="00D631CA">
        <w:rPr>
          <w:rFonts w:ascii="ITC Avant Garde" w:eastAsia="Times New Roman" w:hAnsi="ITC Avant Garde" w:cs="Arial"/>
          <w:lang w:eastAsia="es-MX"/>
        </w:rPr>
        <w:t>t</w:t>
      </w:r>
      <w:r w:rsidR="00C67299" w:rsidRPr="00D631CA">
        <w:rPr>
          <w:rFonts w:ascii="ITC Avant Garde" w:eastAsia="Times New Roman" w:hAnsi="ITC Avant Garde" w:cs="Arial"/>
          <w:lang w:eastAsia="es-MX"/>
        </w:rPr>
        <w:t>ercero perjudicada</w:t>
      </w:r>
      <w:r w:rsidRPr="00D631CA">
        <w:rPr>
          <w:rFonts w:ascii="ITC Avant Garde" w:eastAsia="Times New Roman" w:hAnsi="ITC Avant Garde" w:cs="Arial"/>
          <w:lang w:eastAsia="es-MX"/>
        </w:rPr>
        <w:t xml:space="preserve"> en su escrito presentado el día </w:t>
      </w:r>
      <w:r w:rsidRPr="00D631CA">
        <w:rPr>
          <w:rFonts w:ascii="ITC Avant Garde" w:eastAsia="Times New Roman" w:hAnsi="ITC Avant Garde" w:cs="Arial"/>
          <w:b/>
          <w:lang w:eastAsia="es-MX"/>
        </w:rPr>
        <w:t>ocho de junio de dos mil doce</w:t>
      </w:r>
      <w:r w:rsidRPr="00D631CA">
        <w:rPr>
          <w:rFonts w:ascii="ITC Avant Garde" w:eastAsia="Times New Roman" w:hAnsi="ITC Avant Garde" w:cs="Arial"/>
          <w:lang w:eastAsia="es-MX"/>
        </w:rPr>
        <w:t xml:space="preserve">, se consideran en su carácter de manifestaciones a fin de salvaguardar su garantía de audiencia, siendo que dichos argumentos vertidos en el escrito de referencia ha sido considerado y valorado por esta autoridad al dar contestación a los agravios planteados por la Recurrente, tal como consta en el considerando </w:t>
      </w:r>
      <w:r w:rsidRPr="00D631CA">
        <w:rPr>
          <w:rFonts w:ascii="ITC Avant Garde" w:eastAsia="Times New Roman" w:hAnsi="ITC Avant Garde" w:cs="Arial"/>
          <w:b/>
          <w:lang w:eastAsia="es-MX"/>
        </w:rPr>
        <w:t>DÉCIMO</w:t>
      </w:r>
      <w:r w:rsidRPr="00D631CA">
        <w:rPr>
          <w:rFonts w:ascii="ITC Avant Garde" w:eastAsia="Times New Roman" w:hAnsi="ITC Avant Garde" w:cs="Arial"/>
          <w:lang w:eastAsia="es-MX"/>
        </w:rPr>
        <w:t xml:space="preserve"> de la presente Resolución, por lo que todos y cada uno de los argumentos hechos valer por la </w:t>
      </w:r>
      <w:r w:rsidR="00330398" w:rsidRPr="00D631CA">
        <w:rPr>
          <w:rFonts w:ascii="ITC Avant Garde" w:eastAsia="Times New Roman" w:hAnsi="ITC Avant Garde" w:cs="Arial"/>
          <w:lang w:eastAsia="es-MX"/>
        </w:rPr>
        <w:t>t</w:t>
      </w:r>
      <w:r w:rsidR="00C67299" w:rsidRPr="00D631CA">
        <w:rPr>
          <w:rFonts w:ascii="ITC Avant Garde" w:eastAsia="Times New Roman" w:hAnsi="ITC Avant Garde" w:cs="Arial"/>
          <w:lang w:eastAsia="es-MX"/>
        </w:rPr>
        <w:t>ercero perjudicada</w:t>
      </w:r>
      <w:r w:rsidRPr="00D631CA">
        <w:rPr>
          <w:rFonts w:ascii="ITC Avant Garde" w:eastAsia="Times New Roman" w:hAnsi="ITC Avant Garde" w:cs="Arial"/>
          <w:lang w:eastAsia="es-MX"/>
        </w:rPr>
        <w:t xml:space="preserve"> se ha considerado para dictar la presente Resolución.</w:t>
      </w:r>
    </w:p>
    <w:p w14:paraId="1CE8DCCB" w14:textId="5D0DF059" w:rsidR="00382941" w:rsidRPr="00D631CA" w:rsidRDefault="00382941" w:rsidP="00D631CA">
      <w:pPr>
        <w:spacing w:before="240"/>
        <w:jc w:val="both"/>
        <w:rPr>
          <w:rFonts w:ascii="ITC Avant Garde" w:eastAsia="Times New Roman" w:hAnsi="ITC Avant Garde" w:cs="Arial"/>
          <w:lang w:eastAsia="es-MX"/>
        </w:rPr>
      </w:pPr>
      <w:r w:rsidRPr="00D631CA">
        <w:rPr>
          <w:rFonts w:ascii="ITC Avant Garde" w:eastAsia="Times New Roman" w:hAnsi="ITC Avant Garde" w:cs="Arial"/>
          <w:b/>
          <w:lang w:eastAsia="es-MX"/>
        </w:rPr>
        <w:t xml:space="preserve">DÉCIMO SEGUNDO.- </w:t>
      </w:r>
      <w:r w:rsidRPr="00D631CA">
        <w:rPr>
          <w:rFonts w:ascii="ITC Avant Garde" w:eastAsia="Times New Roman" w:hAnsi="ITC Avant Garde" w:cs="Arial"/>
          <w:lang w:eastAsia="es-MX"/>
        </w:rPr>
        <w:t xml:space="preserve">Las </w:t>
      </w:r>
      <w:r w:rsidR="00330398" w:rsidRPr="00D631CA">
        <w:rPr>
          <w:rFonts w:ascii="ITC Avant Garde" w:eastAsia="Times New Roman" w:hAnsi="ITC Avant Garde" w:cs="Arial"/>
          <w:lang w:eastAsia="es-MX"/>
        </w:rPr>
        <w:t>t</w:t>
      </w:r>
      <w:r w:rsidR="00C67299" w:rsidRPr="00D631CA">
        <w:rPr>
          <w:rFonts w:ascii="ITC Avant Garde" w:eastAsia="Times New Roman" w:hAnsi="ITC Avant Garde" w:cs="Arial"/>
          <w:lang w:eastAsia="es-MX"/>
        </w:rPr>
        <w:t>ercero perjudicada</w:t>
      </w:r>
      <w:r w:rsidRPr="00D631CA">
        <w:rPr>
          <w:rFonts w:ascii="ITC Avant Garde" w:eastAsia="Times New Roman" w:hAnsi="ITC Avant Garde" w:cs="Arial"/>
          <w:lang w:eastAsia="es-MX"/>
        </w:rPr>
        <w:t>s formularon sus alegatos, mismos que fueron presentados ante la Oficialía de Partes del Instituto Federal de Telecomunicaciones el día 23 de enero de 2017, por medio de los cuales señalan diversos argumentos que tienen como finalidad desvirtuar los argumentos hechos valer por la parte Recurrente en los agravios expuestos en su escrito de interposición del Recurso de Revisión.</w:t>
      </w:r>
    </w:p>
    <w:p w14:paraId="37EE0FF8" w14:textId="77777777" w:rsidR="00D631CA" w:rsidRPr="00D631CA" w:rsidRDefault="00382941" w:rsidP="00D631CA">
      <w:pPr>
        <w:spacing w:before="240"/>
        <w:jc w:val="both"/>
        <w:rPr>
          <w:rFonts w:ascii="ITC Avant Garde" w:eastAsia="Times New Roman" w:hAnsi="ITC Avant Garde" w:cs="Arial"/>
          <w:lang w:eastAsia="es-MX"/>
        </w:rPr>
      </w:pPr>
      <w:r w:rsidRPr="00D631CA">
        <w:rPr>
          <w:rFonts w:ascii="ITC Avant Garde" w:eastAsia="Times New Roman" w:hAnsi="ITC Avant Garde" w:cs="Arial"/>
          <w:lang w:eastAsia="es-MX"/>
        </w:rPr>
        <w:lastRenderedPageBreak/>
        <w:t xml:space="preserve">En ese orden de ideas, y de conformidad con lo dispuesto por el artículo 344 del Código Federal de Procedimientos Civiles de aplicación supletoria a la Ley Federal de Procedimiento Administrativo, de conformidad con lo dispuesto por el artículo  2º de dicho ordenamiento, se tienen en consideración los Alegatos presentados por la </w:t>
      </w:r>
      <w:r w:rsidR="00330398" w:rsidRPr="00D631CA">
        <w:rPr>
          <w:rFonts w:ascii="ITC Avant Garde" w:eastAsia="Times New Roman" w:hAnsi="ITC Avant Garde" w:cs="Arial"/>
          <w:lang w:eastAsia="es-MX"/>
        </w:rPr>
        <w:t>t</w:t>
      </w:r>
      <w:r w:rsidR="00C67299" w:rsidRPr="00D631CA">
        <w:rPr>
          <w:rFonts w:ascii="ITC Avant Garde" w:eastAsia="Times New Roman" w:hAnsi="ITC Avant Garde" w:cs="Arial"/>
          <w:lang w:eastAsia="es-MX"/>
        </w:rPr>
        <w:t>ercero perjudicada</w:t>
      </w:r>
      <w:r w:rsidRPr="00D631CA">
        <w:rPr>
          <w:rFonts w:ascii="ITC Avant Garde" w:eastAsia="Times New Roman" w:hAnsi="ITC Avant Garde" w:cs="Arial"/>
          <w:lang w:eastAsia="es-MX"/>
        </w:rPr>
        <w:t xml:space="preserve">, por lo cual todas y cada una de las manifestaciones contenidas en el escrito presentado el </w:t>
      </w:r>
      <w:r w:rsidRPr="00D631CA">
        <w:rPr>
          <w:rFonts w:ascii="ITC Avant Garde" w:eastAsia="Times New Roman" w:hAnsi="ITC Avant Garde" w:cs="Arial"/>
          <w:b/>
          <w:lang w:eastAsia="es-MX"/>
        </w:rPr>
        <w:t>veintitrés de enero de dos mil diecisiete</w:t>
      </w:r>
      <w:r w:rsidRPr="00D631CA">
        <w:rPr>
          <w:rFonts w:ascii="ITC Avant Garde" w:eastAsia="Times New Roman" w:hAnsi="ITC Avant Garde" w:cs="Arial"/>
          <w:lang w:eastAsia="es-MX"/>
        </w:rPr>
        <w:t xml:space="preserve">, se consideran en su carácter de Alegatos a fin de salvaguardar su garantía de audiencia, siendo que dichos argumentos vertidos en el escrito de referencia han sido considerados y valorados por esta autoridad al dar contestación a los agravios planteados por la Recurrente, tal como consta en el Considerando </w:t>
      </w:r>
      <w:r w:rsidRPr="00D631CA">
        <w:rPr>
          <w:rFonts w:ascii="ITC Avant Garde" w:eastAsia="Times New Roman" w:hAnsi="ITC Avant Garde" w:cs="Arial"/>
          <w:b/>
          <w:lang w:eastAsia="es-MX"/>
        </w:rPr>
        <w:t>DÉCIMO</w:t>
      </w:r>
      <w:r w:rsidRPr="00D631CA">
        <w:rPr>
          <w:rFonts w:ascii="ITC Avant Garde" w:eastAsia="Times New Roman" w:hAnsi="ITC Avant Garde" w:cs="Arial"/>
          <w:lang w:eastAsia="es-MX"/>
        </w:rPr>
        <w:t xml:space="preserve"> de la presente resolución, por lo que todos y cada uno de los argumentos hechos valer por la </w:t>
      </w:r>
      <w:r w:rsidR="00330398" w:rsidRPr="00D631CA">
        <w:rPr>
          <w:rFonts w:ascii="ITC Avant Garde" w:eastAsia="Times New Roman" w:hAnsi="ITC Avant Garde" w:cs="Arial"/>
          <w:lang w:eastAsia="es-MX"/>
        </w:rPr>
        <w:t>t</w:t>
      </w:r>
      <w:r w:rsidR="00C67299" w:rsidRPr="00D631CA">
        <w:rPr>
          <w:rFonts w:ascii="ITC Avant Garde" w:eastAsia="Times New Roman" w:hAnsi="ITC Avant Garde" w:cs="Arial"/>
          <w:lang w:eastAsia="es-MX"/>
        </w:rPr>
        <w:t>ercero perjudicada</w:t>
      </w:r>
      <w:r w:rsidRPr="00D631CA">
        <w:rPr>
          <w:rFonts w:ascii="ITC Avant Garde" w:eastAsia="Times New Roman" w:hAnsi="ITC Avant Garde" w:cs="Arial"/>
          <w:lang w:eastAsia="es-MX"/>
        </w:rPr>
        <w:t xml:space="preserve"> se han considerado para dictar la presente Resolución.</w:t>
      </w:r>
    </w:p>
    <w:p w14:paraId="446BA4C4" w14:textId="77777777" w:rsidR="00D631CA" w:rsidRPr="00D631CA" w:rsidRDefault="00382941" w:rsidP="00D631CA">
      <w:pPr>
        <w:autoSpaceDE w:val="0"/>
        <w:autoSpaceDN w:val="0"/>
        <w:adjustRightInd w:val="0"/>
        <w:spacing w:before="240"/>
        <w:jc w:val="both"/>
        <w:rPr>
          <w:rFonts w:ascii="ITC Avant Garde" w:hAnsi="ITC Avant Garde" w:cs="Arial"/>
        </w:rPr>
      </w:pPr>
      <w:r w:rsidRPr="00D631CA">
        <w:rPr>
          <w:rFonts w:ascii="ITC Avant Garde" w:hAnsi="ITC Avant Garde" w:cs="Arial"/>
          <w:b/>
        </w:rPr>
        <w:t xml:space="preserve">DÉCIMO TERCERO.- </w:t>
      </w:r>
      <w:r w:rsidRPr="00D631CA">
        <w:rPr>
          <w:rFonts w:ascii="ITC Avant Garde" w:hAnsi="ITC Avant Garde" w:cs="Arial"/>
        </w:rPr>
        <w:t>La Recurrente formul</w:t>
      </w:r>
      <w:r w:rsidR="0051732B" w:rsidRPr="00D631CA">
        <w:rPr>
          <w:rFonts w:ascii="ITC Avant Garde" w:hAnsi="ITC Avant Garde" w:cs="Arial"/>
        </w:rPr>
        <w:t>ó</w:t>
      </w:r>
      <w:r w:rsidRPr="00D631CA">
        <w:rPr>
          <w:rFonts w:ascii="ITC Avant Garde" w:hAnsi="ITC Avant Garde" w:cs="Arial"/>
        </w:rPr>
        <w:t xml:space="preserve"> sus alegatos mismos que fueron presentados ante la Oficialía de Partes del Instituto Federal de Telecomunicaciones, el día 2 de febrero de 2017, en ese orden de ideas, y de conformidad con lo dispuesto por el artículo 344 del Código Federal de Procedimientos Civiles de aplicación supletoria a la Ley Federal de Procedimiento Administrativo, de conformidad con lo dispuesto por el artículo  2º de dicho ordenamiento, se tienen en consideración los Alegatos presentados por la parte Recurrente hechos valer, al constituir en esencia una reiteración de los argumentos contenidos en los agravios expuestos en el escrito de interposición del recurso de revisión, por lo cual, todas y cada una de las manifestaciones se consideran en su carácter de Alegatos a fin de salvaguardar su garantía de audiencia, siendo que dichos argumentos vertidos en el escrito de referencia han sido considerados y valorados por esta autoridad al dar contestación a los agravios planteados por la parte  Recurrente, tal como consta en el Considerando </w:t>
      </w:r>
      <w:r w:rsidRPr="00D631CA">
        <w:rPr>
          <w:rFonts w:ascii="ITC Avant Garde" w:hAnsi="ITC Avant Garde" w:cs="Arial"/>
          <w:b/>
        </w:rPr>
        <w:t>DÉCIMO</w:t>
      </w:r>
      <w:r w:rsidRPr="00D631CA">
        <w:rPr>
          <w:rFonts w:ascii="ITC Avant Garde" w:hAnsi="ITC Avant Garde" w:cs="Arial"/>
        </w:rPr>
        <w:t xml:space="preserve"> de la presente resolución, por lo que todos y cada uno de los argumentos hechos valer por la Recurrente se han considerado para dictar la presente Resolución.</w:t>
      </w:r>
    </w:p>
    <w:p w14:paraId="47C3EF94" w14:textId="77777777" w:rsidR="00D631CA" w:rsidRPr="00D631CA" w:rsidRDefault="00382941" w:rsidP="00D631CA">
      <w:pPr>
        <w:spacing w:before="240"/>
        <w:jc w:val="both"/>
        <w:rPr>
          <w:rFonts w:ascii="ITC Avant Garde" w:eastAsia="Times New Roman" w:hAnsi="ITC Avant Garde" w:cs="Arial"/>
          <w:lang w:eastAsia="es-MX"/>
        </w:rPr>
      </w:pPr>
      <w:r w:rsidRPr="00D631CA">
        <w:rPr>
          <w:rFonts w:ascii="ITC Avant Garde" w:eastAsia="Times New Roman" w:hAnsi="ITC Avant Garde" w:cs="Arial"/>
          <w:lang w:eastAsia="es-MX"/>
        </w:rPr>
        <w:t xml:space="preserve">En ese orden de ideas, el apartado Primero del escrito de Alegatos constituye una reiteración de los argumentos vertidos en el Agravio Primero del escrito de interposición del recurso; el apartado Segundo corresponde a los argumentos del Agravio Segundo; el apartado Tercero corresponde a los argumentos del Agravio Tercero; el apartado Cuarto corresponde a los argumentos del Agravio Cuarto; el apartado Quinto corresponde a los argumentos del Agravio Quinto; el apartado Sexto corresponde a los argumentos del Agravio Sexto; el apartado Séptimo corresponde a los argumentos del Agravio Séptimo; el apartado Octavo corresponde a los argumentos del Agravio Octavo; el apartado Noveno corresponde a los argumentos del Agravio Noveno;  el apartado Décimo corresponde a los argumentos del Agravio Décimo; el apartado Décimo Primero corresponde a los argumentos del Agravio Décimo Segundo; el apartado Décimo Segundo corresponde a los argumentos del Agravio Décimo Cuarto; el apartado Décimo Tercero corresponde a los argumentos del Agravio </w:t>
      </w:r>
      <w:r w:rsidRPr="00D631CA">
        <w:rPr>
          <w:rFonts w:ascii="ITC Avant Garde" w:eastAsia="Times New Roman" w:hAnsi="ITC Avant Garde" w:cs="Arial"/>
          <w:lang w:eastAsia="es-MX"/>
        </w:rPr>
        <w:lastRenderedPageBreak/>
        <w:t>Décimo Quinto; el apartado Décimo Cuarto hace valer la reiteración de los agravios esgrimidos por la parte Recurrente en el escrito por el cual se interpuso el recurso de revisión de fecha 15 de mayo de 2012.</w:t>
      </w:r>
    </w:p>
    <w:p w14:paraId="7942D439" w14:textId="77777777" w:rsidR="00D631CA" w:rsidRPr="00D631CA" w:rsidRDefault="00382941" w:rsidP="00D631CA">
      <w:pPr>
        <w:spacing w:before="240"/>
        <w:jc w:val="both"/>
        <w:rPr>
          <w:rFonts w:ascii="ITC Avant Garde" w:eastAsia="Times New Roman" w:hAnsi="ITC Avant Garde" w:cs="Arial"/>
          <w:lang w:eastAsia="es-MX"/>
        </w:rPr>
      </w:pPr>
      <w:r w:rsidRPr="00D631CA">
        <w:rPr>
          <w:rFonts w:ascii="ITC Avant Garde" w:eastAsia="Times New Roman" w:hAnsi="ITC Avant Garde" w:cs="Arial"/>
          <w:lang w:eastAsia="es-MX"/>
        </w:rPr>
        <w:t>Por lo anterior, y toda vez que los argumentos vertidos en el escrito de Alegatos presentado por la parte Recurrente constituyen en esencia la reiteración de los argumentos contenidos en los Agravios del escrito de interposición del recurso de revisión antes referidos, a fin de evitar la reiteración de los argumentos expuestos por esta autoridad, en los que se desvirtuaron las consideraciones de la Recurrente por inoperantes e infundadas se solicita que se tengan por reproducidos como si a la letra se insertasen, de lo que se desprende que todos y cada uno de los argumentos hechos valer por la Recurrente se han considerado para dictar la presente Resolución.</w:t>
      </w:r>
    </w:p>
    <w:p w14:paraId="5967B5D3"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b/>
          <w:lang w:val="es-ES" w:eastAsia="es-ES"/>
        </w:rPr>
        <w:t xml:space="preserve">DÉCIMO CUARTO.- </w:t>
      </w:r>
      <w:r w:rsidRPr="00D631CA">
        <w:rPr>
          <w:rFonts w:ascii="ITC Avant Garde" w:eastAsia="Times New Roman" w:hAnsi="ITC Avant Garde" w:cs="Arial"/>
          <w:lang w:eastAsia="es-ES"/>
        </w:rPr>
        <w:t>Que derivado de lo expuesto en el considerando DÉCIMO, los argumentos expresados como agravios por la Recurrente, son inoperantes, infundados e insuficientes toda vez que no desvirtúan la legalidad de la Resolución Recurrida, puesto que no hace valer razonamientos suficientes que ataquen el contenido de la resolución en comento, toda vez que con los mismos pretende tergiversar el contenido de los preceptos invocados y de las consideraciones de la autoridad, sin que sus argumentos demuestren la ilegalidad de lo expresado en la Resolución Recurrida, lo anterior conforme la siguiente tesis jurisprudencial emitida por el Poder Judicial de la Federación:</w:t>
      </w:r>
    </w:p>
    <w:p w14:paraId="694E4D0A" w14:textId="13D47A62" w:rsidR="00382941" w:rsidRPr="00D631CA" w:rsidRDefault="00382941" w:rsidP="00D631CA">
      <w:pPr>
        <w:tabs>
          <w:tab w:val="left" w:pos="7938"/>
        </w:tabs>
        <w:spacing w:before="240"/>
        <w:ind w:left="567" w:right="900"/>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 xml:space="preserve">Octava Época, </w:t>
      </w:r>
    </w:p>
    <w:p w14:paraId="7BEE7742" w14:textId="77777777" w:rsidR="00382941" w:rsidRPr="00D631CA" w:rsidRDefault="00382941" w:rsidP="00D631CA">
      <w:pPr>
        <w:tabs>
          <w:tab w:val="left" w:pos="7938"/>
        </w:tabs>
        <w:spacing w:before="240"/>
        <w:ind w:left="567" w:right="900"/>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Instancia: Tribunales Colegiados de Circuito</w:t>
      </w:r>
      <w:r w:rsidRPr="00D631CA">
        <w:rPr>
          <w:rFonts w:ascii="ITC Avant Garde" w:eastAsia="Times New Roman" w:hAnsi="ITC Avant Garde" w:cs="Arial"/>
          <w:snapToGrid w:val="0"/>
          <w:sz w:val="18"/>
          <w:szCs w:val="18"/>
          <w:lang w:eastAsia="es-ES"/>
        </w:rPr>
        <w:br/>
        <w:t xml:space="preserve">Fuente: Gaceta del Semanario Judicial de la Federación, </w:t>
      </w:r>
    </w:p>
    <w:p w14:paraId="06621E22" w14:textId="77777777" w:rsidR="00382941" w:rsidRPr="00D631CA" w:rsidRDefault="00382941" w:rsidP="00D631CA">
      <w:pPr>
        <w:tabs>
          <w:tab w:val="left" w:pos="7938"/>
        </w:tabs>
        <w:spacing w:before="240"/>
        <w:ind w:left="567" w:right="900"/>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 xml:space="preserve">Tomo: 85, </w:t>
      </w:r>
    </w:p>
    <w:p w14:paraId="7D2ABB44" w14:textId="77777777" w:rsidR="00382941" w:rsidRPr="00D631CA" w:rsidRDefault="00382941" w:rsidP="00D631CA">
      <w:pPr>
        <w:tabs>
          <w:tab w:val="left" w:pos="7938"/>
        </w:tabs>
        <w:spacing w:before="240"/>
        <w:ind w:left="567" w:right="900"/>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 xml:space="preserve">Enero de 1995, </w:t>
      </w:r>
    </w:p>
    <w:p w14:paraId="6B5F1364" w14:textId="77777777" w:rsidR="00382941" w:rsidRPr="00D631CA" w:rsidRDefault="00382941" w:rsidP="00D631CA">
      <w:pPr>
        <w:tabs>
          <w:tab w:val="left" w:pos="7938"/>
        </w:tabs>
        <w:spacing w:before="240"/>
        <w:ind w:left="567" w:right="900"/>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 xml:space="preserve">Tesis: XIX.2º. J/5, Página: 95. </w:t>
      </w:r>
    </w:p>
    <w:p w14:paraId="3977CE8D" w14:textId="77777777" w:rsidR="00382941" w:rsidRPr="00D631CA" w:rsidRDefault="00382941" w:rsidP="00D631CA">
      <w:pPr>
        <w:tabs>
          <w:tab w:val="left" w:pos="7938"/>
        </w:tabs>
        <w:spacing w:before="240"/>
        <w:ind w:left="567" w:right="900"/>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 xml:space="preserve">Genealogía: Apéndice 1917-1995, Tomo VI, Segunda Parte, </w:t>
      </w:r>
    </w:p>
    <w:p w14:paraId="659DA07B" w14:textId="77777777" w:rsidR="00D631CA" w:rsidRPr="00D631CA" w:rsidRDefault="00382941" w:rsidP="00D631CA">
      <w:pPr>
        <w:tabs>
          <w:tab w:val="left" w:pos="7938"/>
        </w:tabs>
        <w:spacing w:before="240"/>
        <w:ind w:left="567" w:right="900"/>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Tesis, 595, pág. 395.</w:t>
      </w:r>
    </w:p>
    <w:p w14:paraId="26A57997" w14:textId="77777777" w:rsidR="00D631CA" w:rsidRPr="00D631CA" w:rsidRDefault="00382941" w:rsidP="00D631CA">
      <w:pPr>
        <w:tabs>
          <w:tab w:val="left" w:pos="7938"/>
        </w:tabs>
        <w:spacing w:before="240"/>
        <w:ind w:left="567" w:right="900"/>
        <w:jc w:val="both"/>
        <w:rPr>
          <w:rFonts w:ascii="ITC Avant Garde" w:eastAsia="Times New Roman" w:hAnsi="ITC Avant Garde" w:cs="Arial"/>
          <w:snapToGrid w:val="0"/>
          <w:sz w:val="18"/>
          <w:szCs w:val="18"/>
          <w:lang w:eastAsia="es-ES"/>
        </w:rPr>
      </w:pPr>
      <w:r w:rsidRPr="00D631CA">
        <w:rPr>
          <w:rFonts w:ascii="ITC Avant Garde" w:eastAsia="Times New Roman" w:hAnsi="ITC Avant Garde" w:cs="Arial"/>
          <w:b/>
          <w:snapToGrid w:val="0"/>
          <w:sz w:val="18"/>
          <w:szCs w:val="18"/>
          <w:lang w:eastAsia="es-ES"/>
        </w:rPr>
        <w:t>“AGRAVIOS INOPERANTES. EN EL RECURSO DE REVISIÓN.</w:t>
      </w:r>
      <w:r w:rsidRPr="00D631CA">
        <w:rPr>
          <w:rFonts w:ascii="ITC Avant Garde" w:eastAsia="Times New Roman" w:hAnsi="ITC Avant Garde" w:cs="Arial"/>
          <w:snapToGrid w:val="0"/>
          <w:sz w:val="18"/>
          <w:szCs w:val="18"/>
          <w:lang w:eastAsia="es-ES"/>
        </w:rPr>
        <w:t xml:space="preserve"> Son inoperantes los agravios cuando en éstos no se formula objeción alguna contra los lineamientos que rigen el fallo recurrido, o bien, cuando son varias las consideraciones en que se sustenta la sentencia impugnada y en los agravios sólo se combaten algunas de ellas, resultando ineficaces para conducir a su revocación o modificación, tomando en cuenta que, para ese efecto, deben destruirse todos los argumentos del Juez de Distrito sobre los que descansa el sentido del fallo.”</w:t>
      </w:r>
    </w:p>
    <w:p w14:paraId="21A9237B" w14:textId="6B228717" w:rsidR="00382941" w:rsidRPr="00D631CA" w:rsidRDefault="00382941" w:rsidP="00D631CA">
      <w:pPr>
        <w:tabs>
          <w:tab w:val="left" w:pos="7938"/>
        </w:tabs>
        <w:spacing w:before="240"/>
        <w:ind w:left="567" w:right="900"/>
        <w:jc w:val="both"/>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lastRenderedPageBreak/>
        <w:t>SEGUNDO TRIBUNAL COLEGIADO DEL DÉCIMO NOVENO CIRCUITO.</w:t>
      </w:r>
    </w:p>
    <w:p w14:paraId="70C2D82F" w14:textId="77777777" w:rsidR="00382941" w:rsidRPr="00D631CA" w:rsidRDefault="00382941" w:rsidP="00D631CA">
      <w:pPr>
        <w:tabs>
          <w:tab w:val="left" w:pos="7938"/>
        </w:tabs>
        <w:spacing w:before="240"/>
        <w:ind w:left="567" w:right="900"/>
        <w:jc w:val="both"/>
        <w:rPr>
          <w:rFonts w:ascii="ITC Avant Garde" w:eastAsia="Times New Roman" w:hAnsi="ITC Avant Garde" w:cs="Arial"/>
          <w:snapToGrid w:val="0"/>
          <w:sz w:val="18"/>
          <w:szCs w:val="18"/>
          <w:lang w:eastAsia="es-ES"/>
        </w:rPr>
      </w:pPr>
      <w:r w:rsidRPr="00D631CA">
        <w:rPr>
          <w:rFonts w:ascii="ITC Avant Garde" w:eastAsia="Times New Roman" w:hAnsi="ITC Avant Garde" w:cs="Arial"/>
          <w:b/>
          <w:snapToGrid w:val="0"/>
          <w:sz w:val="18"/>
          <w:szCs w:val="18"/>
          <w:lang w:eastAsia="es-ES"/>
        </w:rPr>
        <w:t xml:space="preserve">Amparo en revisión 100/94. </w:t>
      </w:r>
      <w:r w:rsidRPr="00D631CA">
        <w:rPr>
          <w:rFonts w:ascii="ITC Avant Garde" w:eastAsia="Times New Roman" w:hAnsi="ITC Avant Garde" w:cs="Arial"/>
          <w:snapToGrid w:val="0"/>
          <w:sz w:val="18"/>
          <w:szCs w:val="18"/>
          <w:lang w:eastAsia="es-ES"/>
        </w:rPr>
        <w:t xml:space="preserve">María Reyna Rodríguez Reyes. 15 de junio de 1994. Unanimidad de votos. </w:t>
      </w:r>
    </w:p>
    <w:p w14:paraId="7F9988AF" w14:textId="77777777" w:rsidR="00D631CA" w:rsidRPr="00D631CA" w:rsidRDefault="00382941" w:rsidP="00D631CA">
      <w:pPr>
        <w:tabs>
          <w:tab w:val="left" w:pos="7938"/>
        </w:tabs>
        <w:spacing w:before="240"/>
        <w:ind w:left="567" w:right="900"/>
        <w:jc w:val="both"/>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Ponente: Roberto Terrazas Salgado. Secretario: Sergio Arturo López Servín.</w:t>
      </w:r>
    </w:p>
    <w:p w14:paraId="3660B9B8" w14:textId="35364FA0" w:rsidR="00382941" w:rsidRPr="00D631CA" w:rsidRDefault="00382941" w:rsidP="00D631CA">
      <w:pPr>
        <w:tabs>
          <w:tab w:val="left" w:pos="7938"/>
        </w:tabs>
        <w:spacing w:before="240"/>
        <w:ind w:left="567" w:right="900"/>
        <w:jc w:val="both"/>
        <w:rPr>
          <w:rFonts w:ascii="ITC Avant Garde" w:eastAsia="Times New Roman" w:hAnsi="ITC Avant Garde" w:cs="Arial"/>
          <w:snapToGrid w:val="0"/>
          <w:sz w:val="18"/>
          <w:szCs w:val="18"/>
          <w:lang w:eastAsia="es-ES"/>
        </w:rPr>
      </w:pPr>
      <w:r w:rsidRPr="00D631CA">
        <w:rPr>
          <w:rFonts w:ascii="ITC Avant Garde" w:eastAsia="Times New Roman" w:hAnsi="ITC Avant Garde" w:cs="Arial"/>
          <w:b/>
          <w:snapToGrid w:val="0"/>
          <w:sz w:val="18"/>
          <w:szCs w:val="18"/>
          <w:lang w:eastAsia="es-ES"/>
        </w:rPr>
        <w:t>Recurso de revisión</w:t>
      </w:r>
      <w:r w:rsidRPr="00D631CA">
        <w:rPr>
          <w:rFonts w:ascii="ITC Avant Garde" w:eastAsia="Times New Roman" w:hAnsi="ITC Avant Garde" w:cs="Arial"/>
          <w:snapToGrid w:val="0"/>
          <w:sz w:val="18"/>
          <w:szCs w:val="18"/>
          <w:lang w:eastAsia="es-ES"/>
        </w:rPr>
        <w:t xml:space="preserve"> </w:t>
      </w:r>
      <w:r w:rsidRPr="00D631CA">
        <w:rPr>
          <w:rFonts w:ascii="ITC Avant Garde" w:eastAsia="Times New Roman" w:hAnsi="ITC Avant Garde" w:cs="Arial"/>
          <w:b/>
          <w:snapToGrid w:val="0"/>
          <w:sz w:val="18"/>
          <w:szCs w:val="18"/>
          <w:lang w:eastAsia="es-ES"/>
        </w:rPr>
        <w:t>138/94.</w:t>
      </w:r>
      <w:r w:rsidRPr="00D631CA">
        <w:rPr>
          <w:rFonts w:ascii="ITC Avant Garde" w:eastAsia="Times New Roman" w:hAnsi="ITC Avant Garde" w:cs="Arial"/>
          <w:snapToGrid w:val="0"/>
          <w:sz w:val="18"/>
          <w:szCs w:val="18"/>
          <w:lang w:eastAsia="es-ES"/>
        </w:rPr>
        <w:t xml:space="preserve"> Antonio Hernández Teno. 15 de junio de 1994. Unanimidad de votos. </w:t>
      </w:r>
    </w:p>
    <w:p w14:paraId="4BA0635E" w14:textId="77777777" w:rsidR="00D631CA" w:rsidRPr="00D631CA" w:rsidRDefault="00382941" w:rsidP="00D631CA">
      <w:pPr>
        <w:tabs>
          <w:tab w:val="left" w:pos="7938"/>
        </w:tabs>
        <w:spacing w:before="240"/>
        <w:ind w:left="567" w:right="900"/>
        <w:jc w:val="both"/>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Ponente: Lucio Antonio Castillo González. Secretario: Carlos Alberto Caballero Dorantes.</w:t>
      </w:r>
    </w:p>
    <w:p w14:paraId="02708ABF" w14:textId="401DA06E" w:rsidR="00382941" w:rsidRPr="00D631CA" w:rsidRDefault="00382941" w:rsidP="00D631CA">
      <w:pPr>
        <w:tabs>
          <w:tab w:val="left" w:pos="7938"/>
        </w:tabs>
        <w:spacing w:before="240"/>
        <w:ind w:left="567" w:right="900"/>
        <w:jc w:val="both"/>
        <w:rPr>
          <w:rFonts w:ascii="ITC Avant Garde" w:eastAsia="Times New Roman" w:hAnsi="ITC Avant Garde" w:cs="Arial"/>
          <w:snapToGrid w:val="0"/>
          <w:sz w:val="18"/>
          <w:szCs w:val="18"/>
          <w:lang w:eastAsia="es-ES"/>
        </w:rPr>
      </w:pPr>
      <w:r w:rsidRPr="00D631CA">
        <w:rPr>
          <w:rFonts w:ascii="ITC Avant Garde" w:eastAsia="Times New Roman" w:hAnsi="ITC Avant Garde" w:cs="Arial"/>
          <w:b/>
          <w:snapToGrid w:val="0"/>
          <w:sz w:val="18"/>
          <w:szCs w:val="18"/>
          <w:lang w:eastAsia="es-ES"/>
        </w:rPr>
        <w:t>Amparo en revisión</w:t>
      </w:r>
      <w:r w:rsidRPr="00D631CA">
        <w:rPr>
          <w:rFonts w:ascii="ITC Avant Garde" w:eastAsia="Times New Roman" w:hAnsi="ITC Avant Garde" w:cs="Arial"/>
          <w:snapToGrid w:val="0"/>
          <w:sz w:val="18"/>
          <w:szCs w:val="18"/>
          <w:lang w:eastAsia="es-ES"/>
        </w:rPr>
        <w:t xml:space="preserve"> </w:t>
      </w:r>
      <w:r w:rsidRPr="00D631CA">
        <w:rPr>
          <w:rFonts w:ascii="ITC Avant Garde" w:eastAsia="Times New Roman" w:hAnsi="ITC Avant Garde" w:cs="Arial"/>
          <w:b/>
          <w:snapToGrid w:val="0"/>
          <w:sz w:val="18"/>
          <w:szCs w:val="18"/>
          <w:lang w:eastAsia="es-ES"/>
        </w:rPr>
        <w:t>114/94.</w:t>
      </w:r>
      <w:r w:rsidRPr="00D631CA">
        <w:rPr>
          <w:rFonts w:ascii="ITC Avant Garde" w:eastAsia="Times New Roman" w:hAnsi="ITC Avant Garde" w:cs="Arial"/>
          <w:snapToGrid w:val="0"/>
          <w:sz w:val="18"/>
          <w:szCs w:val="18"/>
          <w:lang w:eastAsia="es-ES"/>
        </w:rPr>
        <w:t xml:space="preserve"> Víctor Manuel Cardín Durand. 15 de junio de 1994. </w:t>
      </w:r>
      <w:proofErr w:type="spellStart"/>
      <w:r w:rsidRPr="00D631CA">
        <w:rPr>
          <w:rFonts w:ascii="ITC Avant Garde" w:eastAsia="Times New Roman" w:hAnsi="ITC Avant Garde" w:cs="Arial"/>
          <w:snapToGrid w:val="0"/>
          <w:sz w:val="18"/>
          <w:szCs w:val="18"/>
          <w:lang w:eastAsia="es-ES"/>
        </w:rPr>
        <w:t>Uinanimidad</w:t>
      </w:r>
      <w:proofErr w:type="spellEnd"/>
      <w:r w:rsidRPr="00D631CA">
        <w:rPr>
          <w:rFonts w:ascii="ITC Avant Garde" w:eastAsia="Times New Roman" w:hAnsi="ITC Avant Garde" w:cs="Arial"/>
          <w:snapToGrid w:val="0"/>
          <w:sz w:val="18"/>
          <w:szCs w:val="18"/>
          <w:lang w:eastAsia="es-ES"/>
        </w:rPr>
        <w:t xml:space="preserve"> de votos.</w:t>
      </w:r>
    </w:p>
    <w:p w14:paraId="1B12A2BB" w14:textId="77777777" w:rsidR="00D631CA" w:rsidRPr="00D631CA" w:rsidRDefault="00382941" w:rsidP="00D631CA">
      <w:pPr>
        <w:tabs>
          <w:tab w:val="left" w:pos="7938"/>
        </w:tabs>
        <w:spacing w:before="240"/>
        <w:ind w:left="567" w:right="900"/>
        <w:jc w:val="both"/>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Ponente: Lucio Antonio Castillo González. Secretario Arturo Ortegón Garza.</w:t>
      </w:r>
    </w:p>
    <w:p w14:paraId="44C373AF" w14:textId="6310EAF5" w:rsidR="00382941" w:rsidRPr="00D631CA" w:rsidRDefault="00382941" w:rsidP="00D631CA">
      <w:pPr>
        <w:tabs>
          <w:tab w:val="left" w:pos="7938"/>
        </w:tabs>
        <w:spacing w:before="240"/>
        <w:ind w:left="567" w:right="900"/>
        <w:jc w:val="both"/>
        <w:rPr>
          <w:rFonts w:ascii="ITC Avant Garde" w:eastAsia="Times New Roman" w:hAnsi="ITC Avant Garde" w:cs="Arial"/>
          <w:snapToGrid w:val="0"/>
          <w:sz w:val="18"/>
          <w:szCs w:val="18"/>
          <w:lang w:eastAsia="es-ES"/>
        </w:rPr>
      </w:pPr>
      <w:r w:rsidRPr="00D631CA">
        <w:rPr>
          <w:rFonts w:ascii="ITC Avant Garde" w:eastAsia="Times New Roman" w:hAnsi="ITC Avant Garde" w:cs="Arial"/>
          <w:b/>
          <w:snapToGrid w:val="0"/>
          <w:sz w:val="18"/>
          <w:szCs w:val="18"/>
          <w:lang w:eastAsia="es-ES"/>
        </w:rPr>
        <w:t>Amparo en revisión 63/94</w:t>
      </w:r>
      <w:r w:rsidRPr="00D631CA">
        <w:rPr>
          <w:rFonts w:ascii="ITC Avant Garde" w:eastAsia="Times New Roman" w:hAnsi="ITC Avant Garde" w:cs="Arial"/>
          <w:snapToGrid w:val="0"/>
          <w:sz w:val="18"/>
          <w:szCs w:val="18"/>
          <w:lang w:eastAsia="es-ES"/>
        </w:rPr>
        <w:t>. Aurelio Santiago Torres. 31 de agosto de 1994. Unanimidad de votos.</w:t>
      </w:r>
    </w:p>
    <w:p w14:paraId="674B0149" w14:textId="77777777" w:rsidR="00D631CA" w:rsidRPr="00D631CA" w:rsidRDefault="00382941" w:rsidP="00D631CA">
      <w:pPr>
        <w:tabs>
          <w:tab w:val="left" w:pos="7938"/>
        </w:tabs>
        <w:spacing w:before="240"/>
        <w:ind w:left="567" w:right="900"/>
        <w:jc w:val="both"/>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Ponente: Guadalupe Méndez Hernández. Secretario: Marco Antonio Cepeda Anaya.</w:t>
      </w:r>
    </w:p>
    <w:p w14:paraId="6139F4C7" w14:textId="34F99EB9" w:rsidR="00382941" w:rsidRPr="00D631CA" w:rsidRDefault="00382941" w:rsidP="00D631CA">
      <w:pPr>
        <w:tabs>
          <w:tab w:val="left" w:pos="7938"/>
        </w:tabs>
        <w:spacing w:before="240"/>
        <w:ind w:left="567" w:right="900"/>
        <w:jc w:val="both"/>
        <w:rPr>
          <w:rFonts w:ascii="ITC Avant Garde" w:eastAsia="Times New Roman" w:hAnsi="ITC Avant Garde" w:cs="Arial"/>
          <w:snapToGrid w:val="0"/>
          <w:sz w:val="18"/>
          <w:szCs w:val="18"/>
          <w:lang w:eastAsia="es-ES"/>
        </w:rPr>
      </w:pPr>
      <w:r w:rsidRPr="00D631CA">
        <w:rPr>
          <w:rFonts w:ascii="ITC Avant Garde" w:eastAsia="Times New Roman" w:hAnsi="ITC Avant Garde" w:cs="Arial"/>
          <w:b/>
          <w:snapToGrid w:val="0"/>
          <w:sz w:val="18"/>
          <w:szCs w:val="18"/>
          <w:lang w:eastAsia="es-ES"/>
        </w:rPr>
        <w:t>Amparo en revisión 272/94.</w:t>
      </w:r>
      <w:r w:rsidRPr="00D631CA">
        <w:rPr>
          <w:rFonts w:ascii="ITC Avant Garde" w:eastAsia="Times New Roman" w:hAnsi="ITC Avant Garde" w:cs="Arial"/>
          <w:snapToGrid w:val="0"/>
          <w:sz w:val="18"/>
          <w:szCs w:val="18"/>
          <w:lang w:eastAsia="es-ES"/>
        </w:rPr>
        <w:t xml:space="preserve"> Autobuses de Oriente A.D.O., S.A. de C.V. 26 de octubre de 1994. Unanimidad de votos. </w:t>
      </w:r>
    </w:p>
    <w:p w14:paraId="37C57345" w14:textId="77777777" w:rsidR="00D631CA" w:rsidRPr="00D631CA" w:rsidRDefault="00382941" w:rsidP="00D631CA">
      <w:pPr>
        <w:tabs>
          <w:tab w:val="left" w:pos="7938"/>
        </w:tabs>
        <w:spacing w:before="240"/>
        <w:ind w:left="567" w:right="900"/>
        <w:jc w:val="both"/>
        <w:rPr>
          <w:rFonts w:ascii="ITC Avant Garde" w:eastAsia="Times New Roman" w:hAnsi="ITC Avant Garde" w:cs="Arial"/>
          <w:snapToGrid w:val="0"/>
          <w:sz w:val="18"/>
          <w:szCs w:val="18"/>
          <w:lang w:eastAsia="es-ES"/>
        </w:rPr>
      </w:pPr>
      <w:r w:rsidRPr="00D631CA">
        <w:rPr>
          <w:rFonts w:ascii="ITC Avant Garde" w:eastAsia="Times New Roman" w:hAnsi="ITC Avant Garde" w:cs="Arial"/>
          <w:snapToGrid w:val="0"/>
          <w:sz w:val="18"/>
          <w:szCs w:val="18"/>
          <w:lang w:eastAsia="es-ES"/>
        </w:rPr>
        <w:t xml:space="preserve">Ponente: Guadalupe Hernández. Secretario: Miguel Angel Pena Martínez. </w:t>
      </w:r>
    </w:p>
    <w:p w14:paraId="3F5A0016" w14:textId="77777777" w:rsidR="00D631CA" w:rsidRPr="00D631CA" w:rsidRDefault="00524070"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b/>
          <w:lang w:val="es-ES" w:eastAsia="es-MX"/>
        </w:rPr>
        <w:t>DÉCIMO QUINTO.-</w:t>
      </w:r>
      <w:r w:rsidRPr="00D631CA">
        <w:rPr>
          <w:rFonts w:ascii="ITC Avant Garde" w:eastAsia="Times New Roman" w:hAnsi="ITC Avant Garde" w:cs="Arial"/>
          <w:lang w:val="es-ES" w:eastAsia="es-MX"/>
        </w:rPr>
        <w:t xml:space="preserve"> La Recurrente formuló sus alegatos mismos que fueron presentados con fecha 2 de febrero de 2017, en ese orden de ideas, y de conformidad con lo dispuesto por el artículo 344 del Código Federal de Procedimientos Civiles de aplicación supletoria a la Ley Federal de Procedimiento Administrativo, de conformidad con lo dispuesto por el artículo  2º de dicho ordenamiento, se tienen en consideración los Alegatos presentados por la parte Recurrente hechos valer, al constituir en esencia una reiteración de los argumentos contenidos en los agravios expuestos en el escrito de interposición del recurso de revisión, por lo cual, todas y cada una de las manifestaciones se consideran en su carácter de Alegatos a fin de salvaguardar su garantía de audiencia, siendo que dichos argumentos vertidos en el escrito de referencia han sido considerados y valorados por esta autoridad al dar contestación a los agravios planteados por la parte Recurrente, tal como consta en el Considerando DÉCIMO de la presente resolución, por lo que todos y cada uno de los argumentos hechos valer por las Recurrentes se han considerado para dictar la presente Resolución.</w:t>
      </w:r>
    </w:p>
    <w:p w14:paraId="02A5AB69" w14:textId="77777777" w:rsidR="00D631CA" w:rsidRPr="00D631CA" w:rsidRDefault="00524070"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Por lo anterior, y toda vez que los argumentos vertidos en el escrito de Alegatos presentado por la parte Recurrente constituyen en esencia la reiteración de los argumentos contenidos en los Agravios del escrito de interposición del recurso de revisión antes referidos, a fin de evitar la reiteración de los argumentos expuestos por esta autoridad, en los que se desvirtuaron las </w:t>
      </w:r>
      <w:r w:rsidRPr="00D631CA">
        <w:rPr>
          <w:rFonts w:ascii="ITC Avant Garde" w:eastAsia="Times New Roman" w:hAnsi="ITC Avant Garde" w:cs="Arial"/>
          <w:lang w:val="es-ES" w:eastAsia="es-MX"/>
        </w:rPr>
        <w:lastRenderedPageBreak/>
        <w:t>consideraciones de las Recurrentes por inoperantes e infundadas se solicita que se tengan por reproducidos como si a la letra se insertasen, de lo que se desprende que todos y cada uno de los argumentos hechos valer por las Recurrentes se han considerado para dictar la presente Resolución.</w:t>
      </w:r>
    </w:p>
    <w:p w14:paraId="276D229B" w14:textId="77777777" w:rsidR="00D631CA" w:rsidRPr="00D631CA" w:rsidRDefault="00524070"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Asimismo, la </w:t>
      </w:r>
      <w:r w:rsidR="00C67299" w:rsidRPr="00D631CA">
        <w:rPr>
          <w:rFonts w:ascii="ITC Avant Garde" w:eastAsia="Times New Roman" w:hAnsi="ITC Avant Garde" w:cs="Arial"/>
          <w:lang w:val="es-ES" w:eastAsia="es-MX"/>
        </w:rPr>
        <w:t>tercero perjudicada</w:t>
      </w:r>
      <w:r w:rsidRPr="00D631CA">
        <w:rPr>
          <w:rFonts w:ascii="ITC Avant Garde" w:eastAsia="Times New Roman" w:hAnsi="ITC Avant Garde" w:cs="Arial"/>
          <w:lang w:val="es-ES" w:eastAsia="es-MX"/>
        </w:rPr>
        <w:t xml:space="preserve"> </w:t>
      </w:r>
      <w:r w:rsidR="00AA77AF" w:rsidRPr="00D631CA">
        <w:rPr>
          <w:rFonts w:ascii="ITC Avant Garde" w:eastAsia="Times New Roman" w:hAnsi="ITC Avant Garde" w:cs="Arial"/>
          <w:lang w:val="es-ES" w:eastAsia="es-MX"/>
        </w:rPr>
        <w:t>rindió alegatos mediante escrito de fecha 23 de enero de 2017</w:t>
      </w:r>
      <w:r w:rsidR="00182070" w:rsidRPr="00D631CA">
        <w:rPr>
          <w:rFonts w:ascii="ITC Avant Garde" w:eastAsia="Times New Roman" w:hAnsi="ITC Avant Garde" w:cs="Arial"/>
          <w:lang w:val="es-ES" w:eastAsia="es-MX"/>
        </w:rPr>
        <w:t>, por medio de los cuales reiteran las manifestaciones hechas valer anteriormente</w:t>
      </w:r>
      <w:r w:rsidR="005537E5" w:rsidRPr="00D631CA">
        <w:rPr>
          <w:rFonts w:ascii="ITC Avant Garde" w:eastAsia="Times New Roman" w:hAnsi="ITC Avant Garde" w:cs="Arial"/>
          <w:lang w:val="es-ES" w:eastAsia="es-MX"/>
        </w:rPr>
        <w:t xml:space="preserve"> y señalan diversos argumentos relativos a la legalidad de la Resolución Recurrida.</w:t>
      </w:r>
    </w:p>
    <w:p w14:paraId="36B8DBEF" w14:textId="77777777" w:rsidR="00D631CA" w:rsidRPr="00D631CA" w:rsidRDefault="00524070"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Consecuentemente, debido a lo infundado e inoperante de los argumentos hechos valer por la Recurrente, al no haberse demostrado la ilegalidad de la Resolución Recurrida, resulta procedente confirmar la validez de la misma.</w:t>
      </w:r>
    </w:p>
    <w:p w14:paraId="2BB949FB" w14:textId="77777777" w:rsidR="00D631CA" w:rsidRDefault="00524070"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lang w:val="es-ES" w:eastAsia="es-MX"/>
        </w:rPr>
        <w:t xml:space="preserve">Por lo expuesto y de conformidad con los RESULTANDOS Y CONSIDERANDOS precedentes, y con fundamento en los artículos 28, párrafo décimo quinto de la Constitución Política de los Estados Unidos Mexicanos, Séptimo Transitorio del “Decreto por el que se reforman y adicionan diversas disposiciones de los artículos 6o., 7o., 27, 28, 73, 78, 94 y 105 de la Constitución Política de los Estados Unidos Mexicanos, en materia de telecomunicaciones”, publicado en el DOF el 11 de junio de 2013; Sexto Transitorio del “Decreto por el que se expiden la Ley Federal de Telecomunicaciones y Radiodifusión, y la ley del Sistema Público de Radiodifusión del Estado Mexicano; y se reforman, adicionan y derogan diversas disposiciones en materia de telecomunicaciones y radiodifusión, publicado en el DOF el 14 de julio de 2014; 1, 7, 15, fracciones X y LXIII, 16, 17, fracción I de la Ley Federal de Telecomunicaciones y Radiodifusión; 83, 86, 91 fracción </w:t>
      </w:r>
      <w:r w:rsidR="003F5BEB" w:rsidRPr="00D631CA">
        <w:rPr>
          <w:rFonts w:ascii="ITC Avant Garde" w:eastAsia="Times New Roman" w:hAnsi="ITC Avant Garde" w:cs="Arial"/>
          <w:lang w:val="es-ES" w:eastAsia="es-MX"/>
        </w:rPr>
        <w:t>II</w:t>
      </w:r>
      <w:r w:rsidRPr="00D631CA">
        <w:rPr>
          <w:rFonts w:ascii="ITC Avant Garde" w:eastAsia="Times New Roman" w:hAnsi="ITC Avant Garde" w:cs="Arial"/>
          <w:lang w:val="es-ES" w:eastAsia="es-MX"/>
        </w:rPr>
        <w:t>, y 92 de la Ley Federal de Procedimiento Administrativo; 8, fracción II y 9-A y 42 de la Ley Federal de Telecomunicaciones; 1°, 2°, fracción X, 4°, fracción I, 7, 8, y 9 del Estatuto Orgánico del Instituto Federal de Telecomunicaciones vigente, es de resolver y se:</w:t>
      </w:r>
    </w:p>
    <w:p w14:paraId="2416BED6" w14:textId="77777777" w:rsidR="00D631CA" w:rsidRPr="00D631CA" w:rsidRDefault="00382941" w:rsidP="00D631CA">
      <w:pPr>
        <w:keepNext/>
        <w:spacing w:before="240"/>
        <w:jc w:val="center"/>
        <w:outlineLvl w:val="1"/>
        <w:rPr>
          <w:rFonts w:ascii="ITC Avant Garde" w:eastAsia="Times New Roman" w:hAnsi="ITC Avant Garde" w:cs="Arial"/>
          <w:b/>
          <w:lang w:val="es-ES" w:eastAsia="es-MX"/>
        </w:rPr>
      </w:pPr>
      <w:r w:rsidRPr="00D631CA">
        <w:rPr>
          <w:rFonts w:ascii="ITC Avant Garde" w:eastAsia="Times New Roman" w:hAnsi="ITC Avant Garde" w:cs="Arial"/>
          <w:b/>
          <w:lang w:val="es-ES" w:eastAsia="es-MX"/>
        </w:rPr>
        <w:t>RESUELVE</w:t>
      </w:r>
    </w:p>
    <w:p w14:paraId="6DC1F21D" w14:textId="37B489C9" w:rsidR="00382941"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b/>
          <w:lang w:val="es-ES" w:eastAsia="es-MX"/>
        </w:rPr>
        <w:t>PRIMERO.-</w:t>
      </w:r>
      <w:r w:rsidRPr="00D631CA">
        <w:rPr>
          <w:rFonts w:ascii="ITC Avant Garde" w:eastAsia="Times New Roman" w:hAnsi="ITC Avant Garde" w:cs="Arial"/>
          <w:lang w:val="es-ES" w:eastAsia="es-MX"/>
        </w:rPr>
        <w:t xml:space="preserve"> </w:t>
      </w:r>
      <w:r w:rsidR="00B040AA" w:rsidRPr="00D631CA">
        <w:rPr>
          <w:rFonts w:ascii="ITC Avant Garde" w:eastAsia="Times New Roman" w:hAnsi="ITC Avant Garde" w:cs="Arial"/>
          <w:lang w:val="es-ES" w:eastAsia="es-MX"/>
        </w:rPr>
        <w:t xml:space="preserve">Se tiene por </w:t>
      </w:r>
      <w:r w:rsidR="006F2DDE" w:rsidRPr="00D631CA">
        <w:rPr>
          <w:rFonts w:ascii="ITC Avant Garde" w:eastAsia="Times New Roman" w:hAnsi="ITC Avant Garde" w:cs="Arial"/>
          <w:lang w:val="es-ES" w:eastAsia="es-MX"/>
        </w:rPr>
        <w:t xml:space="preserve">interpuesto el recurso de revisión presentado el 15 de mayo de 2012, por el C. Oliverio de la Garza Ugarte, en su carácter de apoderado de la Recurrente, en contra de la resolución emitida por el Pleno de la </w:t>
      </w:r>
      <w:r w:rsidR="00E55EA2" w:rsidRPr="00D631CA">
        <w:rPr>
          <w:rFonts w:ascii="ITC Avant Garde" w:eastAsia="Times New Roman" w:hAnsi="ITC Avant Garde" w:cs="Arial"/>
          <w:lang w:val="es-ES" w:eastAsia="es-MX"/>
        </w:rPr>
        <w:t xml:space="preserve">extinta </w:t>
      </w:r>
      <w:r w:rsidR="006F2DDE" w:rsidRPr="00D631CA">
        <w:rPr>
          <w:rFonts w:ascii="ITC Avant Garde" w:eastAsia="Times New Roman" w:hAnsi="ITC Avant Garde" w:cs="Arial"/>
          <w:lang w:val="es-ES" w:eastAsia="es-MX"/>
        </w:rPr>
        <w:t>Comisión Federal de Telecomunicaciones mediante Acuerdo P/110412/136 de fecha 11 de abril de 201</w:t>
      </w:r>
      <w:r w:rsidR="00190C53" w:rsidRPr="00D631CA">
        <w:rPr>
          <w:rFonts w:ascii="ITC Avant Garde" w:eastAsia="Times New Roman" w:hAnsi="ITC Avant Garde" w:cs="Arial"/>
          <w:lang w:val="es-ES" w:eastAsia="es-MX"/>
        </w:rPr>
        <w:t>2</w:t>
      </w:r>
      <w:r w:rsidR="006F2DDE" w:rsidRPr="00D631CA">
        <w:rPr>
          <w:rFonts w:ascii="ITC Avant Garde" w:eastAsia="Times New Roman" w:hAnsi="ITC Avant Garde" w:cs="Arial"/>
          <w:lang w:val="es-ES" w:eastAsia="es-MX"/>
        </w:rPr>
        <w:t>, acto especificado en el Resultando número 2, de la presente resolución.</w:t>
      </w:r>
    </w:p>
    <w:p w14:paraId="02926B31" w14:textId="77777777" w:rsidR="00D631CA" w:rsidRPr="00D631CA" w:rsidRDefault="00382941" w:rsidP="00D631CA">
      <w:pPr>
        <w:spacing w:before="240"/>
        <w:jc w:val="both"/>
        <w:rPr>
          <w:rFonts w:ascii="ITC Avant Garde" w:eastAsia="Times New Roman" w:hAnsi="ITC Avant Garde" w:cs="Arial"/>
          <w:lang w:val="es-ES" w:eastAsia="es-MX"/>
        </w:rPr>
      </w:pPr>
      <w:r w:rsidRPr="00D631CA">
        <w:rPr>
          <w:rFonts w:ascii="ITC Avant Garde" w:eastAsia="Times New Roman" w:hAnsi="ITC Avant Garde" w:cs="Arial"/>
          <w:b/>
          <w:lang w:val="es-ES" w:eastAsia="es-MX"/>
        </w:rPr>
        <w:t>SEGUNDO.-</w:t>
      </w:r>
      <w:r w:rsidRPr="00D631CA">
        <w:rPr>
          <w:rFonts w:ascii="ITC Avant Garde" w:eastAsia="Times New Roman" w:hAnsi="ITC Avant Garde" w:cs="Arial"/>
          <w:lang w:val="es-ES" w:eastAsia="es-MX"/>
        </w:rPr>
        <w:t xml:space="preserve"> De conformidad con el Considerando Décimo, se confirma la Resolución a que se refiere el resolutivo inmediato anterior, en términos del artículo 91, fracción II, de la Ley Federal de Procedimiento Administrativo. </w:t>
      </w:r>
    </w:p>
    <w:p w14:paraId="49018AE3" w14:textId="77777777" w:rsidR="00D631CA" w:rsidRPr="00D631CA" w:rsidRDefault="00382941" w:rsidP="00D631CA">
      <w:pPr>
        <w:spacing w:before="240"/>
        <w:jc w:val="both"/>
        <w:rPr>
          <w:rFonts w:ascii="ITC Avant Garde" w:eastAsia="Times New Roman" w:hAnsi="ITC Avant Garde" w:cs="Arial"/>
          <w:lang w:val="es-ES" w:eastAsia="es-ES"/>
        </w:rPr>
      </w:pPr>
      <w:r w:rsidRPr="00D631CA">
        <w:rPr>
          <w:rFonts w:ascii="ITC Avant Garde" w:eastAsia="Times New Roman" w:hAnsi="ITC Avant Garde" w:cs="Arial"/>
          <w:b/>
          <w:lang w:val="es-ES" w:eastAsia="es-MX"/>
        </w:rPr>
        <w:t>TERCERO.-</w:t>
      </w:r>
      <w:r w:rsidRPr="00D631CA">
        <w:rPr>
          <w:rFonts w:ascii="ITC Avant Garde" w:eastAsia="Times New Roman" w:hAnsi="ITC Avant Garde" w:cs="Arial"/>
          <w:b/>
          <w:lang w:val="es-ES" w:eastAsia="es-ES"/>
        </w:rPr>
        <w:t xml:space="preserve"> </w:t>
      </w:r>
      <w:r w:rsidRPr="00D631CA">
        <w:rPr>
          <w:rFonts w:ascii="ITC Avant Garde" w:eastAsia="Times New Roman" w:hAnsi="ITC Avant Garde" w:cs="Arial"/>
          <w:lang w:val="es-ES" w:eastAsia="es-MX"/>
        </w:rPr>
        <w:t>Notifíquese personalmente.</w:t>
      </w:r>
    </w:p>
    <w:p w14:paraId="631A8D08" w14:textId="6D1490BD" w:rsidR="00D631CA" w:rsidRPr="00D631CA" w:rsidRDefault="00AA6E5F" w:rsidP="00D631CA">
      <w:pPr>
        <w:pStyle w:val="Prrafodelista"/>
        <w:spacing w:after="0" w:line="240" w:lineRule="auto"/>
        <w:ind w:left="0"/>
        <w:jc w:val="both"/>
        <w:rPr>
          <w:rFonts w:ascii="ITC Avant Garde" w:hAnsi="ITC Avant Garde"/>
          <w:sz w:val="13"/>
          <w:szCs w:val="13"/>
        </w:rPr>
      </w:pPr>
      <w:r w:rsidRPr="00D631CA">
        <w:rPr>
          <w:rFonts w:ascii="ITC Avant Garde" w:hAnsi="ITC Avant Garde"/>
          <w:sz w:val="13"/>
          <w:szCs w:val="13"/>
        </w:rPr>
        <w:lastRenderedPageBreak/>
        <w:t xml:space="preserve">La presente Resolución fue aprobada por el Pleno del Instituto Federal de Telecomunicaciones en su LI Sesión Ordinaria celebrada el 6 de diciembre de 2017, </w:t>
      </w:r>
      <w:r w:rsidRPr="00D631CA">
        <w:rPr>
          <w:rFonts w:ascii="ITC Avant Garde" w:hAnsi="ITC Avant Garde"/>
          <w:bCs/>
          <w:sz w:val="13"/>
          <w:szCs w:val="13"/>
        </w:rPr>
        <w:t>por unanimidad</w:t>
      </w:r>
      <w:r w:rsidRPr="00D631CA">
        <w:rPr>
          <w:rFonts w:ascii="ITC Avant Garde" w:hAnsi="ITC Avant Garde"/>
          <w:sz w:val="13"/>
          <w:szCs w:val="13"/>
        </w:rPr>
        <w:t xml:space="preserve"> de votos de los Comisionados Gabriel Oswaldo Contreras Saldívar, Adriana Sofía Labardini Inzunza,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P/IFT/061217/818.</w:t>
      </w:r>
    </w:p>
    <w:p w14:paraId="6F1B7A18" w14:textId="7B57309A" w:rsidR="00AA6E5F" w:rsidRPr="00D631CA" w:rsidRDefault="00AA6E5F" w:rsidP="00D631CA">
      <w:pPr>
        <w:pStyle w:val="N1IFT"/>
        <w:spacing w:after="0" w:line="240" w:lineRule="auto"/>
        <w:rPr>
          <w:b w:val="0"/>
          <w:bCs w:val="0"/>
          <w:color w:val="auto"/>
          <w:sz w:val="13"/>
          <w:szCs w:val="13"/>
          <w:lang w:val="es-ES"/>
        </w:rPr>
      </w:pPr>
      <w:r w:rsidRPr="00D631CA">
        <w:rPr>
          <w:b w:val="0"/>
          <w:bCs w:val="0"/>
          <w:color w:val="auto"/>
          <w:sz w:val="13"/>
          <w:szCs w:val="13"/>
          <w:lang w:val="es-ES"/>
        </w:rPr>
        <w:t>La Comisionada María Elena Estavillo Flores, así como los Comisionados Adolfo Cuevas Teja y Arturo Robles Rovalo, previendo su ausencia justificada a la sesión, emitieron su voto razonado por escrito, en términos de los artículos 45 tercer párrafo de la Ley Federal de Telecomunicaciones y Radiodifusión, y 8 segundo párrafo del Estatuto Orgánico del Instituto Federal de Telecomunicaciones.</w:t>
      </w:r>
      <w:bookmarkStart w:id="4" w:name="_GoBack"/>
      <w:bookmarkEnd w:id="4"/>
    </w:p>
    <w:sectPr w:rsidR="00AA6E5F" w:rsidRPr="00D631CA" w:rsidSect="009743BE">
      <w:headerReference w:type="even" r:id="rId16"/>
      <w:footerReference w:type="default" r:id="rId17"/>
      <w:headerReference w:type="first" r:id="rId18"/>
      <w:pgSz w:w="12240" w:h="15840"/>
      <w:pgMar w:top="226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6FE618" w14:textId="77777777" w:rsidR="0004710E" w:rsidRDefault="0004710E" w:rsidP="00406DF7">
      <w:pPr>
        <w:spacing w:after="0" w:line="240" w:lineRule="auto"/>
      </w:pPr>
      <w:r>
        <w:separator/>
      </w:r>
    </w:p>
  </w:endnote>
  <w:endnote w:type="continuationSeparator" w:id="0">
    <w:p w14:paraId="09041958" w14:textId="77777777" w:rsidR="0004710E" w:rsidRDefault="0004710E" w:rsidP="00406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ranklin Gothic Demi">
    <w:panose1 w:val="020B07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867564"/>
      <w:docPartObj>
        <w:docPartGallery w:val="Page Numbers (Bottom of Page)"/>
        <w:docPartUnique/>
      </w:docPartObj>
    </w:sdtPr>
    <w:sdtContent>
      <w:p w14:paraId="540E4770" w14:textId="4F158557" w:rsidR="00D631CA" w:rsidRDefault="00D631CA" w:rsidP="00D631CA">
        <w:pPr>
          <w:pStyle w:val="Piedepgina"/>
          <w:jc w:val="right"/>
        </w:pPr>
        <w:r>
          <w:fldChar w:fldCharType="begin"/>
        </w:r>
        <w:r>
          <w:instrText>PAGE   \* MERGEFORMAT</w:instrText>
        </w:r>
        <w:r>
          <w:fldChar w:fldCharType="separate"/>
        </w:r>
        <w:r w:rsidR="00000B03" w:rsidRPr="00000B03">
          <w:rPr>
            <w:noProof/>
            <w:lang w:val="es-ES"/>
          </w:rPr>
          <w:t>189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EE66A9" w14:textId="77777777" w:rsidR="0004710E" w:rsidRDefault="0004710E" w:rsidP="00406DF7">
      <w:pPr>
        <w:spacing w:after="0" w:line="240" w:lineRule="auto"/>
      </w:pPr>
      <w:r>
        <w:separator/>
      </w:r>
    </w:p>
  </w:footnote>
  <w:footnote w:type="continuationSeparator" w:id="0">
    <w:p w14:paraId="065B754F" w14:textId="77777777" w:rsidR="0004710E" w:rsidRDefault="0004710E" w:rsidP="00406DF7">
      <w:pPr>
        <w:spacing w:after="0" w:line="240" w:lineRule="auto"/>
      </w:pPr>
      <w:r>
        <w:continuationSeparator/>
      </w:r>
    </w:p>
  </w:footnote>
  <w:footnote w:id="1">
    <w:p w14:paraId="39BAA1AA" w14:textId="77777777" w:rsidR="00D631CA" w:rsidRDefault="00D631CA" w:rsidP="00382941">
      <w:pPr>
        <w:tabs>
          <w:tab w:val="left" w:pos="159"/>
        </w:tabs>
        <w:spacing w:after="0" w:line="240" w:lineRule="auto"/>
        <w:ind w:left="23" w:right="301"/>
        <w:jc w:val="both"/>
        <w:rPr>
          <w:rFonts w:ascii="ITC Avant Garde" w:hAnsi="ITC Avant Garde" w:cs="Arial"/>
          <w:sz w:val="16"/>
          <w:szCs w:val="16"/>
          <w:lang w:val="en-US"/>
        </w:rPr>
      </w:pPr>
      <w:r w:rsidRPr="00604BAD">
        <w:rPr>
          <w:rFonts w:ascii="Arial" w:hAnsi="Arial" w:cs="Arial"/>
          <w:sz w:val="16"/>
          <w:szCs w:val="16"/>
          <w:vertAlign w:val="superscript"/>
        </w:rPr>
        <w:footnoteRef/>
      </w:r>
      <w:r w:rsidRPr="00604BAD">
        <w:rPr>
          <w:rFonts w:ascii="Arial" w:hAnsi="Arial" w:cs="Arial"/>
          <w:sz w:val="16"/>
          <w:szCs w:val="16"/>
          <w:lang w:val="en-US"/>
        </w:rPr>
        <w:tab/>
        <w:t>"</w:t>
      </w:r>
      <w:r w:rsidRPr="00604BAD">
        <w:rPr>
          <w:rFonts w:ascii="ITC Avant Garde" w:hAnsi="ITC Avant Garde" w:cs="Arial"/>
          <w:i/>
          <w:sz w:val="16"/>
          <w:szCs w:val="16"/>
          <w:lang w:val="en-US"/>
        </w:rPr>
        <w:t>The economic and the empirical evidence indicate that drastic reductions of MTRs are likely to reduce the welfare of European customers. In addition, relying on the US experience as support of regulatory policies that, in practice, lead to below cost MTRs is not advisable. Analysis of usage patterns shows that only European heavy users would benefit from such an approach</w:t>
      </w:r>
      <w:r w:rsidRPr="00604BAD">
        <w:rPr>
          <w:rFonts w:ascii="ITC Avant Garde" w:hAnsi="ITC Avant Garde" w:cs="Arial"/>
          <w:sz w:val="16"/>
          <w:szCs w:val="16"/>
          <w:lang w:val="en-US"/>
        </w:rPr>
        <w:t>".</w:t>
      </w:r>
    </w:p>
    <w:p w14:paraId="40667BDB" w14:textId="6A181A6C" w:rsidR="00D631CA" w:rsidRPr="00604BAD" w:rsidRDefault="00D631CA" w:rsidP="00382941">
      <w:pPr>
        <w:spacing w:after="0" w:line="240" w:lineRule="auto"/>
        <w:ind w:left="23" w:right="301"/>
        <w:jc w:val="both"/>
        <w:rPr>
          <w:rFonts w:ascii="ITC Avant Garde" w:hAnsi="ITC Avant Garde"/>
          <w:i/>
          <w:sz w:val="16"/>
          <w:szCs w:val="16"/>
          <w:lang w:val="es-ES"/>
        </w:rPr>
      </w:pPr>
      <w:r w:rsidRPr="00604BAD">
        <w:rPr>
          <w:rFonts w:ascii="ITC Avant Garde" w:hAnsi="ITC Avant Garde" w:cs="Arial"/>
          <w:sz w:val="16"/>
          <w:szCs w:val="16"/>
          <w:lang w:val="en-US"/>
        </w:rPr>
        <w:t xml:space="preserve">FRONTIER ECONOMICS, </w:t>
      </w:r>
      <w:r w:rsidRPr="00604BAD">
        <w:rPr>
          <w:rStyle w:val="NotaalpieCursiva"/>
          <w:rFonts w:ascii="ITC Avant Garde" w:hAnsi="ITC Avant Garde" w:cs="Arial"/>
          <w:sz w:val="16"/>
          <w:szCs w:val="16"/>
          <w:lang w:val="en-US"/>
        </w:rPr>
        <w:t>Assessing the impact of lowering mobile termination rates,</w:t>
      </w:r>
      <w:r w:rsidRPr="00604BAD">
        <w:rPr>
          <w:rFonts w:ascii="ITC Avant Garde" w:hAnsi="ITC Avant Garde" w:cs="Arial"/>
          <w:sz w:val="16"/>
          <w:szCs w:val="16"/>
          <w:lang w:val="en-US"/>
        </w:rPr>
        <w:t xml:space="preserve"> Julio 2008, p. 12. </w:t>
      </w:r>
      <w:r w:rsidRPr="00604BAD">
        <w:rPr>
          <w:rFonts w:ascii="ITC Avant Garde" w:hAnsi="ITC Avant Garde" w:cs="Arial"/>
          <w:sz w:val="16"/>
          <w:szCs w:val="16"/>
          <w:lang w:val="es-ES"/>
        </w:rPr>
        <w:t>En:</w:t>
      </w:r>
      <w:r>
        <w:rPr>
          <w:rFonts w:ascii="ITC Avant Garde" w:hAnsi="ITC Avant Garde" w:cs="Arial"/>
          <w:sz w:val="16"/>
          <w:szCs w:val="16"/>
          <w:lang w:val="es-ES"/>
        </w:rPr>
        <w:t xml:space="preserve"> </w:t>
      </w:r>
      <w:r w:rsidRPr="00D631CA">
        <w:rPr>
          <w:rFonts w:ascii="ITC Avant Garde" w:hAnsi="ITC Avant Garde" w:cs="Arial"/>
          <w:i/>
          <w:sz w:val="16"/>
          <w:szCs w:val="16"/>
          <w:lang w:val="es-ES"/>
        </w:rPr>
        <w:t>http://www.frontiereconomics.com/Jibrary/publications/Frontier%20publication_MTRimpact.pdf</w:t>
      </w:r>
      <w:r>
        <w:rPr>
          <w:rFonts w:ascii="ITC Avant Garde" w:hAnsi="ITC Avant Garde" w:cs="Arial"/>
          <w:i/>
          <w:sz w:val="16"/>
          <w:szCs w:val="16"/>
          <w:lang w:val="es-ES"/>
        </w:rPr>
        <w:t xml:space="preserve"> </w:t>
      </w:r>
    </w:p>
  </w:footnote>
  <w:footnote w:id="2">
    <w:p w14:paraId="36AA5FA5" w14:textId="77777777" w:rsidR="00D631CA" w:rsidRPr="008A44E4" w:rsidRDefault="00D631CA" w:rsidP="00382941">
      <w:pPr>
        <w:pStyle w:val="Textonotapie"/>
        <w:jc w:val="both"/>
        <w:rPr>
          <w:rFonts w:ascii="ITC Avant Garde" w:hAnsi="ITC Avant Garde"/>
          <w:sz w:val="16"/>
          <w:szCs w:val="16"/>
          <w:lang w:val="en-US"/>
        </w:rPr>
      </w:pPr>
      <w:r w:rsidRPr="005A2E9B">
        <w:rPr>
          <w:rStyle w:val="Refdenotaalpie"/>
          <w:rFonts w:ascii="ITC Avant Garde" w:eastAsia="Arial" w:hAnsi="ITC Avant Garde"/>
          <w:sz w:val="18"/>
          <w:szCs w:val="18"/>
        </w:rPr>
        <w:footnoteRef/>
      </w:r>
      <w:r w:rsidRPr="005A2E9B">
        <w:rPr>
          <w:rFonts w:ascii="ITC Avant Garde" w:hAnsi="ITC Avant Garde"/>
          <w:sz w:val="18"/>
          <w:szCs w:val="18"/>
          <w:lang w:val="en-US"/>
        </w:rPr>
        <w:t xml:space="preserve"> </w:t>
      </w:r>
      <w:r w:rsidRPr="008A44E4">
        <w:rPr>
          <w:rFonts w:ascii="ITC Avant Garde" w:hAnsi="ITC Avant Garde" w:cs="Arial"/>
          <w:sz w:val="16"/>
          <w:szCs w:val="16"/>
          <w:lang w:val="en-US"/>
        </w:rPr>
        <w:t xml:space="preserve">Armstrong, Mark, Cowan S. y Vickers J (1994). </w:t>
      </w:r>
      <w:r w:rsidRPr="008A44E4">
        <w:rPr>
          <w:rFonts w:ascii="ITC Avant Garde" w:hAnsi="ITC Avant Garde" w:cs="Arial"/>
          <w:i/>
          <w:sz w:val="16"/>
          <w:szCs w:val="16"/>
          <w:lang w:val="en-US"/>
        </w:rPr>
        <w:t xml:space="preserve">Regulatory reform: economic </w:t>
      </w:r>
      <w:proofErr w:type="spellStart"/>
      <w:r w:rsidRPr="008A44E4">
        <w:rPr>
          <w:rFonts w:ascii="ITC Avant Garde" w:hAnsi="ITC Avant Garde" w:cs="Arial"/>
          <w:i/>
          <w:sz w:val="16"/>
          <w:szCs w:val="16"/>
          <w:lang w:val="en-US"/>
        </w:rPr>
        <w:t>analisys</w:t>
      </w:r>
      <w:proofErr w:type="spellEnd"/>
      <w:r w:rsidRPr="008A44E4">
        <w:rPr>
          <w:rFonts w:ascii="ITC Avant Garde" w:hAnsi="ITC Avant Garde" w:cs="Arial"/>
          <w:i/>
          <w:sz w:val="16"/>
          <w:szCs w:val="16"/>
          <w:lang w:val="en-US"/>
        </w:rPr>
        <w:t xml:space="preserve"> and British experience</w:t>
      </w:r>
      <w:r w:rsidRPr="008A44E4">
        <w:rPr>
          <w:rFonts w:ascii="ITC Avant Garde" w:hAnsi="ITC Avant Garde" w:cs="Arial"/>
          <w:sz w:val="16"/>
          <w:szCs w:val="16"/>
          <w:lang w:val="en-US"/>
        </w:rPr>
        <w:t>. Massachusetts Institute of Technology.</w:t>
      </w:r>
    </w:p>
  </w:footnote>
  <w:footnote w:id="3">
    <w:p w14:paraId="412403AD" w14:textId="77777777" w:rsidR="00D631CA" w:rsidRPr="008A44E4" w:rsidRDefault="00D631CA" w:rsidP="00382941">
      <w:pPr>
        <w:pStyle w:val="Textonotapie"/>
        <w:rPr>
          <w:rFonts w:ascii="ITC Avant Garde" w:hAnsi="ITC Avant Garde"/>
          <w:sz w:val="16"/>
          <w:szCs w:val="16"/>
          <w:lang w:val="en-US"/>
        </w:rPr>
      </w:pPr>
      <w:r w:rsidRPr="005A2E9B">
        <w:rPr>
          <w:rStyle w:val="Refdenotaalpie"/>
          <w:rFonts w:ascii="ITC Avant Garde" w:eastAsia="Arial" w:hAnsi="ITC Avant Garde"/>
          <w:sz w:val="18"/>
          <w:szCs w:val="18"/>
        </w:rPr>
        <w:footnoteRef/>
      </w:r>
      <w:r w:rsidRPr="005A2E9B">
        <w:rPr>
          <w:rFonts w:ascii="ITC Avant Garde" w:hAnsi="ITC Avant Garde"/>
          <w:sz w:val="18"/>
          <w:szCs w:val="18"/>
          <w:lang w:val="en-US"/>
        </w:rPr>
        <w:t xml:space="preserve"> </w:t>
      </w:r>
      <w:r w:rsidRPr="008A44E4">
        <w:rPr>
          <w:rFonts w:ascii="ITC Avant Garde" w:hAnsi="ITC Avant Garde" w:cs="Arial"/>
          <w:sz w:val="16"/>
          <w:szCs w:val="16"/>
          <w:lang w:val="en-US"/>
        </w:rPr>
        <w:t>Ibid.</w:t>
      </w:r>
    </w:p>
  </w:footnote>
  <w:footnote w:id="4">
    <w:p w14:paraId="1DADC94F" w14:textId="77777777" w:rsidR="00D631CA" w:rsidRPr="00704A65" w:rsidRDefault="00D631CA" w:rsidP="00382941">
      <w:pPr>
        <w:pStyle w:val="Textonotapie"/>
        <w:jc w:val="both"/>
        <w:rPr>
          <w:rFonts w:ascii="ITC Avant Garde" w:hAnsi="ITC Avant Garde" w:cs="Arial"/>
          <w:sz w:val="16"/>
          <w:szCs w:val="16"/>
          <w:lang w:val="en-US"/>
        </w:rPr>
      </w:pPr>
      <w:r w:rsidRPr="00704A65">
        <w:rPr>
          <w:rStyle w:val="Refdenotaalpie"/>
          <w:rFonts w:ascii="ITC Avant Garde" w:eastAsia="Arial" w:hAnsi="ITC Avant Garde"/>
          <w:sz w:val="16"/>
          <w:szCs w:val="16"/>
        </w:rPr>
        <w:footnoteRef/>
      </w:r>
      <w:r w:rsidRPr="00704A65">
        <w:rPr>
          <w:rFonts w:ascii="ITC Avant Garde" w:hAnsi="ITC Avant Garde" w:cs="Arial"/>
          <w:sz w:val="16"/>
          <w:szCs w:val="16"/>
          <w:lang w:val="en-US"/>
        </w:rPr>
        <w:t xml:space="preserve"> </w:t>
      </w:r>
      <w:r w:rsidRPr="00704A65">
        <w:rPr>
          <w:rFonts w:ascii="ITC Avant Garde" w:hAnsi="ITC Avant Garde" w:cs="Arial"/>
          <w:bCs/>
          <w:iCs/>
          <w:sz w:val="16"/>
          <w:szCs w:val="16"/>
          <w:lang w:val="en-US"/>
        </w:rPr>
        <w:t xml:space="preserve">Fuente: </w:t>
      </w:r>
      <w:proofErr w:type="spellStart"/>
      <w:r w:rsidRPr="00704A65">
        <w:rPr>
          <w:rFonts w:ascii="ITC Avant Garde" w:hAnsi="ITC Avant Garde" w:cs="Arial"/>
          <w:sz w:val="16"/>
          <w:szCs w:val="16"/>
          <w:lang w:val="en-US"/>
        </w:rPr>
        <w:t>Suecia</w:t>
      </w:r>
      <w:proofErr w:type="spellEnd"/>
      <w:r w:rsidRPr="00704A65">
        <w:rPr>
          <w:rFonts w:ascii="ITC Avant Garde" w:hAnsi="ITC Avant Garde" w:cs="Arial"/>
          <w:sz w:val="16"/>
          <w:szCs w:val="16"/>
          <w:lang w:val="en-US"/>
        </w:rPr>
        <w:t>: http://w</w:t>
      </w:r>
      <w:hyperlink r:id="rId1" w:history="1">
        <w:r w:rsidRPr="00704A65">
          <w:rPr>
            <w:rFonts w:ascii="ITC Avant Garde" w:hAnsi="ITC Avant Garde" w:cs="Arial"/>
            <w:sz w:val="16"/>
            <w:szCs w:val="16"/>
            <w:lang w:val="en-US"/>
          </w:rPr>
          <w:t>ww.pts.se/upload/</w:t>
        </w:r>
      </w:hyperlink>
      <w:hyperlink r:id="rId2" w:history="1">
        <w:r w:rsidRPr="00704A65">
          <w:rPr>
            <w:rFonts w:ascii="ITC Avant Garde" w:hAnsi="ITC Avant Garde" w:cs="Arial"/>
            <w:sz w:val="16"/>
            <w:szCs w:val="16"/>
            <w:lang w:val="en-US"/>
          </w:rPr>
          <w:t>Ovrigt</w:t>
        </w:r>
      </w:hyperlink>
      <w:hyperlink r:id="rId3" w:history="1">
        <w:r w:rsidRPr="00704A65">
          <w:rPr>
            <w:rFonts w:ascii="ITC Avant Garde" w:hAnsi="ITC Avant Garde" w:cs="Arial"/>
            <w:sz w:val="16"/>
            <w:szCs w:val="16"/>
            <w:lang w:val="en-US"/>
          </w:rPr>
          <w:t>/Tele/</w:t>
        </w:r>
      </w:hyperlink>
      <w:hyperlink r:id="rId4" w:history="1">
        <w:r w:rsidRPr="00704A65">
          <w:rPr>
            <w:rFonts w:ascii="ITC Avant Garde" w:hAnsi="ITC Avant Garde" w:cs="Arial"/>
            <w:sz w:val="16"/>
            <w:szCs w:val="16"/>
            <w:lang w:val="en-US"/>
          </w:rPr>
          <w:t>Bransch</w:t>
        </w:r>
      </w:hyperlink>
      <w:hyperlink r:id="rId5" w:history="1">
        <w:r w:rsidRPr="00704A65">
          <w:rPr>
            <w:rFonts w:ascii="ITC Avant Garde" w:hAnsi="ITC Avant Garde" w:cs="Arial"/>
            <w:sz w:val="16"/>
            <w:szCs w:val="16"/>
            <w:lang w:val="en-US"/>
          </w:rPr>
          <w:t>/Kalkylarbete%20mobilnät/Model-   documentation-for-PTS-080602.pdf</w:t>
        </w:r>
      </w:hyperlink>
      <w:r w:rsidRPr="00704A65">
        <w:rPr>
          <w:rFonts w:ascii="ITC Avant Garde" w:hAnsi="ITC Avant Garde" w:cs="Arial"/>
          <w:sz w:val="16"/>
          <w:szCs w:val="16"/>
          <w:lang w:val="en-US"/>
        </w:rPr>
        <w:t xml:space="preserve">; </w:t>
      </w:r>
      <w:proofErr w:type="spellStart"/>
      <w:r w:rsidRPr="00704A65">
        <w:rPr>
          <w:rFonts w:ascii="ITC Avant Garde" w:hAnsi="ITC Avant Garde" w:cs="Arial"/>
          <w:sz w:val="16"/>
          <w:szCs w:val="16"/>
          <w:lang w:val="en-US"/>
        </w:rPr>
        <w:t>Reino</w:t>
      </w:r>
      <w:proofErr w:type="spellEnd"/>
      <w:r w:rsidRPr="00704A65">
        <w:rPr>
          <w:rFonts w:ascii="ITC Avant Garde" w:hAnsi="ITC Avant Garde" w:cs="Arial"/>
          <w:bCs/>
          <w:iCs/>
          <w:sz w:val="16"/>
          <w:szCs w:val="16"/>
          <w:lang w:val="en-US"/>
        </w:rPr>
        <w:t xml:space="preserve"> </w:t>
      </w:r>
      <w:proofErr w:type="spellStart"/>
      <w:r w:rsidRPr="00704A65">
        <w:rPr>
          <w:rFonts w:ascii="ITC Avant Garde" w:hAnsi="ITC Avant Garde" w:cs="Arial"/>
          <w:bCs/>
          <w:iCs/>
          <w:sz w:val="16"/>
          <w:szCs w:val="16"/>
          <w:lang w:val="en-US"/>
        </w:rPr>
        <w:t>Unido</w:t>
      </w:r>
      <w:proofErr w:type="spellEnd"/>
      <w:r w:rsidRPr="00704A65">
        <w:rPr>
          <w:rFonts w:ascii="ITC Avant Garde" w:hAnsi="ITC Avant Garde" w:cs="Arial"/>
          <w:bCs/>
          <w:iCs/>
          <w:sz w:val="16"/>
          <w:szCs w:val="16"/>
          <w:lang w:val="en-US"/>
        </w:rPr>
        <w:t>:</w:t>
      </w:r>
      <w:r w:rsidRPr="00704A65">
        <w:rPr>
          <w:rFonts w:ascii="ITC Avant Garde" w:hAnsi="ITC Avant Garde" w:cs="Arial"/>
          <w:sz w:val="16"/>
          <w:szCs w:val="16"/>
          <w:lang w:val="en-US"/>
        </w:rPr>
        <w:t xml:space="preserve"> </w:t>
      </w:r>
      <w:proofErr w:type="spellStart"/>
      <w:r w:rsidRPr="00704A65">
        <w:rPr>
          <w:rFonts w:ascii="ITC Avant Garde" w:hAnsi="ITC Avant Garde" w:cs="Arial"/>
          <w:sz w:val="16"/>
          <w:szCs w:val="16"/>
          <w:lang w:val="en-US"/>
        </w:rPr>
        <w:t>Ofcom</w:t>
      </w:r>
      <w:proofErr w:type="spellEnd"/>
      <w:r w:rsidRPr="00704A65">
        <w:rPr>
          <w:rFonts w:ascii="ITC Avant Garde" w:hAnsi="ITC Avant Garde" w:cs="Arial"/>
          <w:sz w:val="16"/>
          <w:szCs w:val="16"/>
          <w:lang w:val="en-US"/>
        </w:rPr>
        <w:t xml:space="preserve">, “Mobile Call Termination”, November 2006; </w:t>
      </w:r>
      <w:r w:rsidRPr="00704A65">
        <w:rPr>
          <w:rFonts w:ascii="ITC Avant Garde" w:hAnsi="ITC Avant Garde" w:cs="Arial"/>
          <w:bCs/>
          <w:iCs/>
          <w:sz w:val="16"/>
          <w:szCs w:val="16"/>
          <w:lang w:val="en-US"/>
        </w:rPr>
        <w:t>Australia:</w:t>
      </w:r>
      <w:r w:rsidRPr="00704A65">
        <w:rPr>
          <w:rFonts w:ascii="ITC Avant Garde" w:hAnsi="ITC Avant Garde" w:cs="Arial"/>
          <w:sz w:val="16"/>
          <w:szCs w:val="16"/>
          <w:lang w:val="en-US"/>
        </w:rPr>
        <w:t xml:space="preserve"> </w:t>
      </w:r>
      <w:proofErr w:type="spellStart"/>
      <w:r w:rsidRPr="00704A65">
        <w:rPr>
          <w:rFonts w:ascii="ITC Avant Garde" w:hAnsi="ITC Avant Garde" w:cs="Arial"/>
          <w:sz w:val="16"/>
          <w:szCs w:val="16"/>
          <w:lang w:val="en-US"/>
        </w:rPr>
        <w:t>Wik</w:t>
      </w:r>
      <w:proofErr w:type="spellEnd"/>
      <w:r w:rsidRPr="00704A65">
        <w:rPr>
          <w:rFonts w:ascii="ITC Avant Garde" w:hAnsi="ITC Avant Garde" w:cs="Arial"/>
          <w:sz w:val="16"/>
          <w:szCs w:val="16"/>
          <w:lang w:val="en-US"/>
        </w:rPr>
        <w:t xml:space="preserve">-Consult, “Mobile Termination Cost Model for Australia”, Report for the Australian Competition and Consumer Commission”. </w:t>
      </w:r>
      <w:proofErr w:type="spellStart"/>
      <w:r w:rsidRPr="00704A65">
        <w:rPr>
          <w:rFonts w:ascii="ITC Avant Garde" w:hAnsi="ITC Avant Garde" w:cs="Arial"/>
          <w:sz w:val="16"/>
          <w:szCs w:val="16"/>
          <w:lang w:val="en-US"/>
        </w:rPr>
        <w:t>Enero</w:t>
      </w:r>
      <w:proofErr w:type="spellEnd"/>
      <w:r w:rsidRPr="00704A65">
        <w:rPr>
          <w:rFonts w:ascii="ITC Avant Garde" w:hAnsi="ITC Avant Garde" w:cs="Arial"/>
          <w:sz w:val="16"/>
          <w:szCs w:val="16"/>
          <w:lang w:val="en-US"/>
        </w:rPr>
        <w:t xml:space="preserve"> 2007; </w:t>
      </w:r>
      <w:r w:rsidRPr="00704A65">
        <w:rPr>
          <w:rFonts w:ascii="ITC Avant Garde" w:hAnsi="ITC Avant Garde" w:cs="Arial"/>
          <w:bCs/>
          <w:iCs/>
          <w:sz w:val="16"/>
          <w:szCs w:val="16"/>
          <w:lang w:val="en-US"/>
        </w:rPr>
        <w:t>Israel:</w:t>
      </w:r>
      <w:r w:rsidRPr="00704A65">
        <w:rPr>
          <w:rFonts w:ascii="ITC Avant Garde" w:hAnsi="ITC Avant Garde" w:cs="Arial"/>
          <w:sz w:val="16"/>
          <w:szCs w:val="16"/>
          <w:lang w:val="en-US"/>
        </w:rPr>
        <w:t xml:space="preserve"> </w:t>
      </w:r>
      <w:proofErr w:type="spellStart"/>
      <w:r w:rsidRPr="00704A65">
        <w:rPr>
          <w:rFonts w:ascii="ITC Avant Garde" w:hAnsi="ITC Avant Garde" w:cs="Arial"/>
          <w:sz w:val="16"/>
          <w:szCs w:val="16"/>
          <w:lang w:val="en-US"/>
        </w:rPr>
        <w:t>Analysys</w:t>
      </w:r>
      <w:proofErr w:type="spellEnd"/>
      <w:r w:rsidRPr="00704A65">
        <w:rPr>
          <w:rFonts w:ascii="ITC Avant Garde" w:hAnsi="ITC Avant Garde" w:cs="Arial"/>
          <w:sz w:val="16"/>
          <w:szCs w:val="16"/>
          <w:lang w:val="en-US"/>
        </w:rPr>
        <w:t xml:space="preserve">, “A study of mobile termination charges”, Report for the Israel Ministry of Communications and Ministry of Finance, Julio 2004.; </w:t>
      </w:r>
      <w:proofErr w:type="spellStart"/>
      <w:r w:rsidRPr="00704A65">
        <w:rPr>
          <w:rFonts w:ascii="ITC Avant Garde" w:hAnsi="ITC Avant Garde" w:cs="Arial"/>
          <w:bCs/>
          <w:iCs/>
          <w:sz w:val="16"/>
          <w:szCs w:val="16"/>
          <w:lang w:val="en-US"/>
        </w:rPr>
        <w:t>Perú</w:t>
      </w:r>
      <w:proofErr w:type="spellEnd"/>
      <w:r w:rsidRPr="00704A65">
        <w:rPr>
          <w:rFonts w:ascii="ITC Avant Garde" w:hAnsi="ITC Avant Garde" w:cs="Arial"/>
          <w:sz w:val="16"/>
          <w:szCs w:val="16"/>
          <w:lang w:val="en-US"/>
        </w:rPr>
        <w:t xml:space="preserve">: </w:t>
      </w:r>
      <w:proofErr w:type="spellStart"/>
      <w:r w:rsidRPr="00704A65">
        <w:rPr>
          <w:rFonts w:ascii="ITC Avant Garde" w:hAnsi="ITC Avant Garde" w:cs="Arial"/>
          <w:sz w:val="16"/>
          <w:szCs w:val="16"/>
          <w:lang w:val="en-US"/>
        </w:rPr>
        <w:t>Wik</w:t>
      </w:r>
      <w:proofErr w:type="spellEnd"/>
      <w:r w:rsidRPr="00704A65">
        <w:rPr>
          <w:rFonts w:ascii="ITC Avant Garde" w:hAnsi="ITC Avant Garde" w:cs="Arial"/>
          <w:sz w:val="16"/>
          <w:szCs w:val="16"/>
          <w:lang w:val="en-US"/>
        </w:rPr>
        <w:t xml:space="preserve">-Consult, “Analysis of Cost Studies presented by Mobile Network Operators”, Submitted to OSIPITEL, Mayo 2005; </w:t>
      </w:r>
      <w:r w:rsidRPr="00704A65">
        <w:rPr>
          <w:rFonts w:ascii="ITC Avant Garde" w:hAnsi="ITC Avant Garde" w:cs="Arial"/>
          <w:bCs/>
          <w:iCs/>
          <w:sz w:val="16"/>
          <w:szCs w:val="16"/>
          <w:lang w:val="en-US"/>
        </w:rPr>
        <w:t>Colombia</w:t>
      </w:r>
      <w:r w:rsidRPr="00704A65">
        <w:rPr>
          <w:rFonts w:ascii="ITC Avant Garde" w:hAnsi="ITC Avant Garde" w:cs="Arial"/>
          <w:sz w:val="16"/>
          <w:szCs w:val="16"/>
          <w:lang w:val="en-US"/>
        </w:rPr>
        <w:t xml:space="preserve">: CRT, </w:t>
      </w:r>
      <w:proofErr w:type="spellStart"/>
      <w:r w:rsidRPr="00704A65">
        <w:rPr>
          <w:rFonts w:ascii="ITC Avant Garde" w:hAnsi="ITC Avant Garde" w:cs="Arial"/>
          <w:sz w:val="16"/>
          <w:szCs w:val="16"/>
          <w:lang w:val="en-US"/>
        </w:rPr>
        <w:t>Políticas</w:t>
      </w:r>
      <w:proofErr w:type="spellEnd"/>
      <w:r w:rsidRPr="00704A65">
        <w:rPr>
          <w:rFonts w:ascii="ITC Avant Garde" w:hAnsi="ITC Avant Garde" w:cs="Arial"/>
          <w:sz w:val="16"/>
          <w:szCs w:val="16"/>
          <w:lang w:val="en-US"/>
        </w:rPr>
        <w:t xml:space="preserve"> </w:t>
      </w:r>
      <w:proofErr w:type="spellStart"/>
      <w:r w:rsidRPr="00704A65">
        <w:rPr>
          <w:rFonts w:ascii="ITC Avant Garde" w:hAnsi="ITC Avant Garde" w:cs="Arial"/>
          <w:sz w:val="16"/>
          <w:szCs w:val="16"/>
          <w:lang w:val="en-US"/>
        </w:rPr>
        <w:t>Generales</w:t>
      </w:r>
      <w:proofErr w:type="spellEnd"/>
      <w:r w:rsidRPr="00704A65">
        <w:rPr>
          <w:rFonts w:ascii="ITC Avant Garde" w:hAnsi="ITC Avant Garde" w:cs="Arial"/>
          <w:sz w:val="16"/>
          <w:szCs w:val="16"/>
          <w:lang w:val="en-US"/>
        </w:rPr>
        <w:t xml:space="preserve"> y </w:t>
      </w:r>
      <w:proofErr w:type="spellStart"/>
      <w:r w:rsidRPr="00704A65">
        <w:rPr>
          <w:rFonts w:ascii="ITC Avant Garde" w:hAnsi="ITC Avant Garde" w:cs="Arial"/>
          <w:sz w:val="16"/>
          <w:szCs w:val="16"/>
          <w:lang w:val="en-US"/>
        </w:rPr>
        <w:t>Estrategias</w:t>
      </w:r>
      <w:proofErr w:type="spellEnd"/>
      <w:r w:rsidRPr="00704A65">
        <w:rPr>
          <w:rFonts w:ascii="ITC Avant Garde" w:hAnsi="ITC Avant Garde" w:cs="Arial"/>
          <w:sz w:val="16"/>
          <w:szCs w:val="16"/>
          <w:lang w:val="en-US"/>
        </w:rPr>
        <w:t xml:space="preserve"> para </w:t>
      </w:r>
      <w:proofErr w:type="spellStart"/>
      <w:r w:rsidRPr="00704A65">
        <w:rPr>
          <w:rFonts w:ascii="ITC Avant Garde" w:hAnsi="ITC Avant Garde" w:cs="Arial"/>
          <w:sz w:val="16"/>
          <w:szCs w:val="16"/>
          <w:lang w:val="en-US"/>
        </w:rPr>
        <w:t>Establecer</w:t>
      </w:r>
      <w:proofErr w:type="spellEnd"/>
      <w:r w:rsidRPr="00704A65">
        <w:rPr>
          <w:rFonts w:ascii="ITC Avant Garde" w:hAnsi="ITC Avant Garde" w:cs="Arial"/>
          <w:sz w:val="16"/>
          <w:szCs w:val="16"/>
          <w:lang w:val="en-US"/>
        </w:rPr>
        <w:t xml:space="preserve"> un </w:t>
      </w:r>
      <w:proofErr w:type="spellStart"/>
      <w:r w:rsidRPr="00704A65">
        <w:rPr>
          <w:rFonts w:ascii="ITC Avant Garde" w:hAnsi="ITC Avant Garde" w:cs="Arial"/>
          <w:sz w:val="16"/>
          <w:szCs w:val="16"/>
          <w:lang w:val="en-US"/>
        </w:rPr>
        <w:t>Régimen</w:t>
      </w:r>
      <w:proofErr w:type="spellEnd"/>
      <w:r w:rsidRPr="00704A65">
        <w:rPr>
          <w:rFonts w:ascii="ITC Avant Garde" w:hAnsi="ITC Avant Garde" w:cs="Arial"/>
          <w:sz w:val="16"/>
          <w:szCs w:val="16"/>
          <w:lang w:val="en-US"/>
        </w:rPr>
        <w:t xml:space="preserve"> </w:t>
      </w:r>
      <w:proofErr w:type="spellStart"/>
      <w:r w:rsidRPr="00704A65">
        <w:rPr>
          <w:rFonts w:ascii="ITC Avant Garde" w:hAnsi="ITC Avant Garde" w:cs="Arial"/>
          <w:sz w:val="16"/>
          <w:szCs w:val="16"/>
          <w:lang w:val="en-US"/>
        </w:rPr>
        <w:t>Unificado</w:t>
      </w:r>
      <w:proofErr w:type="spellEnd"/>
      <w:r w:rsidRPr="00704A65">
        <w:rPr>
          <w:rFonts w:ascii="ITC Avant Garde" w:hAnsi="ITC Avant Garde" w:cs="Arial"/>
          <w:sz w:val="16"/>
          <w:szCs w:val="16"/>
          <w:lang w:val="en-US"/>
        </w:rPr>
        <w:t xml:space="preserve"> de </w:t>
      </w:r>
      <w:proofErr w:type="spellStart"/>
      <w:r w:rsidRPr="00704A65">
        <w:rPr>
          <w:rFonts w:ascii="ITC Avant Garde" w:hAnsi="ITC Avant Garde" w:cs="Arial"/>
          <w:sz w:val="16"/>
          <w:szCs w:val="16"/>
          <w:lang w:val="en-US"/>
        </w:rPr>
        <w:t>Interconexión</w:t>
      </w:r>
      <w:proofErr w:type="spellEnd"/>
      <w:r w:rsidRPr="00704A65">
        <w:rPr>
          <w:rFonts w:ascii="ITC Avant Garde" w:hAnsi="ITC Avant Garde" w:cs="Arial"/>
          <w:sz w:val="16"/>
          <w:szCs w:val="16"/>
          <w:lang w:val="en-US"/>
        </w:rPr>
        <w:t xml:space="preserve"> (RUDI), Julio 2000; Cullen International “Mobile termination rates: moving toward pure LRIC?”</w:t>
      </w:r>
    </w:p>
  </w:footnote>
  <w:footnote w:id="5">
    <w:p w14:paraId="2F109DCA" w14:textId="77777777" w:rsidR="00D631CA" w:rsidRPr="00704A65" w:rsidRDefault="00D631CA" w:rsidP="00382941">
      <w:pPr>
        <w:pStyle w:val="Textonotapie"/>
        <w:spacing w:before="60"/>
        <w:jc w:val="both"/>
        <w:rPr>
          <w:rFonts w:ascii="ITC Avant Garde" w:hAnsi="ITC Avant Garde" w:cs="Arial"/>
          <w:sz w:val="16"/>
          <w:szCs w:val="16"/>
          <w:lang w:val="es-MX"/>
        </w:rPr>
      </w:pPr>
      <w:r w:rsidRPr="00704A65">
        <w:rPr>
          <w:rStyle w:val="Refdenotaalpie"/>
          <w:rFonts w:ascii="ITC Avant Garde" w:eastAsia="Arial" w:hAnsi="ITC Avant Garde"/>
          <w:sz w:val="16"/>
          <w:szCs w:val="16"/>
        </w:rPr>
        <w:footnoteRef/>
      </w:r>
      <w:r w:rsidRPr="00704A65">
        <w:rPr>
          <w:rFonts w:ascii="ITC Avant Garde" w:hAnsi="ITC Avant Garde" w:cs="Arial"/>
          <w:sz w:val="16"/>
          <w:szCs w:val="16"/>
        </w:rPr>
        <w:t xml:space="preserve"> UIT página web: </w:t>
      </w:r>
      <w:r w:rsidRPr="00704A65">
        <w:rPr>
          <w:rFonts w:ascii="ITC Avant Garde" w:hAnsi="ITC Avant Garde" w:cs="Arial"/>
          <w:i/>
          <w:sz w:val="16"/>
          <w:szCs w:val="16"/>
          <w:lang w:val="es-MX"/>
        </w:rPr>
        <w:t>http://www.itu.int/ITU-D/ICTEYE/Reports.aspx.</w:t>
      </w:r>
    </w:p>
  </w:footnote>
  <w:footnote w:id="6">
    <w:p w14:paraId="2B8209CD" w14:textId="77777777" w:rsidR="00D631CA" w:rsidRPr="00704A65" w:rsidRDefault="00D631CA" w:rsidP="00382941">
      <w:pPr>
        <w:pStyle w:val="Textonotapie"/>
        <w:spacing w:before="60"/>
        <w:jc w:val="both"/>
        <w:rPr>
          <w:rFonts w:ascii="ITC Avant Garde" w:hAnsi="ITC Avant Garde" w:cs="Arial"/>
          <w:sz w:val="16"/>
          <w:szCs w:val="16"/>
          <w:lang w:val="en-US"/>
        </w:rPr>
      </w:pPr>
      <w:r w:rsidRPr="00704A65">
        <w:rPr>
          <w:rStyle w:val="Refdenotaalpie"/>
          <w:rFonts w:ascii="ITC Avant Garde" w:eastAsia="Arial" w:hAnsi="ITC Avant Garde"/>
          <w:sz w:val="16"/>
          <w:szCs w:val="16"/>
        </w:rPr>
        <w:footnoteRef/>
      </w:r>
      <w:r w:rsidRPr="00704A65">
        <w:rPr>
          <w:rFonts w:ascii="ITC Avant Garde" w:hAnsi="ITC Avant Garde" w:cs="Arial"/>
          <w:sz w:val="16"/>
          <w:szCs w:val="16"/>
          <w:lang w:val="en-US"/>
        </w:rPr>
        <w:t xml:space="preserve"> EUROPEAN COMMISSION (2009a), “</w:t>
      </w:r>
      <w:r w:rsidRPr="00704A65">
        <w:rPr>
          <w:rFonts w:ascii="ITC Avant Garde" w:hAnsi="ITC Avant Garde" w:cs="Arial"/>
          <w:i/>
          <w:sz w:val="16"/>
          <w:szCs w:val="16"/>
          <w:lang w:val="en-US"/>
        </w:rPr>
        <w:t>Commission Recommendation on the Regulatory Treatment of Fixed and Mobile Termination Rates in the EU</w:t>
      </w:r>
      <w:r w:rsidRPr="00704A65">
        <w:rPr>
          <w:rFonts w:ascii="ITC Avant Garde" w:hAnsi="ITC Avant Garde" w:cs="Arial"/>
          <w:sz w:val="16"/>
          <w:szCs w:val="16"/>
          <w:lang w:val="en-US"/>
        </w:rPr>
        <w:t>”, European Commission, Brussels.</w:t>
      </w:r>
    </w:p>
    <w:p w14:paraId="36BED8E3" w14:textId="77777777" w:rsidR="00D631CA" w:rsidRPr="001B1408" w:rsidRDefault="00D631CA" w:rsidP="00382941">
      <w:pPr>
        <w:pStyle w:val="Textonotapie"/>
        <w:rPr>
          <w:rFonts w:ascii="Arial" w:hAnsi="Arial" w:cs="Arial"/>
          <w:lang w:val="en-US"/>
        </w:rPr>
      </w:pPr>
    </w:p>
  </w:footnote>
  <w:footnote w:id="7">
    <w:p w14:paraId="52934705" w14:textId="77777777" w:rsidR="00D631CA" w:rsidRPr="00BB7159" w:rsidRDefault="00D631CA" w:rsidP="00382941">
      <w:pPr>
        <w:pStyle w:val="Textonotapie"/>
        <w:jc w:val="both"/>
        <w:rPr>
          <w:rFonts w:ascii="ITC Avant Garde" w:hAnsi="ITC Avant Garde"/>
          <w:color w:val="000000"/>
          <w:sz w:val="16"/>
          <w:szCs w:val="16"/>
          <w:lang w:val="es-MX"/>
        </w:rPr>
      </w:pPr>
      <w:r w:rsidRPr="00BB7159">
        <w:rPr>
          <w:rStyle w:val="Refdenotaalpie"/>
          <w:rFonts w:ascii="ITC Avant Garde" w:eastAsia="Arial" w:hAnsi="ITC Avant Garde"/>
          <w:sz w:val="16"/>
          <w:szCs w:val="16"/>
        </w:rPr>
        <w:footnoteRef/>
      </w:r>
      <w:r w:rsidRPr="00BB7159">
        <w:rPr>
          <w:rFonts w:ascii="ITC Avant Garde" w:hAnsi="ITC Avant Garde"/>
          <w:color w:val="000000"/>
          <w:sz w:val="16"/>
          <w:szCs w:val="16"/>
        </w:rPr>
        <w:t xml:space="preserve"> </w:t>
      </w:r>
      <w:r w:rsidRPr="00BB7159">
        <w:rPr>
          <w:rFonts w:ascii="ITC Avant Garde" w:hAnsi="ITC Avant Garde" w:cs="Arial"/>
          <w:sz w:val="16"/>
          <w:szCs w:val="16"/>
          <w:lang w:val="es-MX"/>
        </w:rPr>
        <w:t>Cabe destacar que la utilización de una depreciación contable (por ejemplo lineal, en el que se divide el monto de la inversión entre el número de años de vida útil) no refleja la realidad sobre la evolución de los activos de una red de telecomunicaciones y asigna un costo constante a lo largo de la vida útil de los activos.</w:t>
      </w:r>
    </w:p>
  </w:footnote>
  <w:footnote w:id="8">
    <w:p w14:paraId="77185A63" w14:textId="77777777" w:rsidR="00D631CA" w:rsidRPr="00BB7159" w:rsidRDefault="00D631CA" w:rsidP="00382941">
      <w:pPr>
        <w:pStyle w:val="Textonotapie"/>
        <w:jc w:val="both"/>
        <w:rPr>
          <w:rFonts w:ascii="ITC Avant Garde" w:hAnsi="ITC Avant Garde"/>
          <w:sz w:val="16"/>
          <w:szCs w:val="16"/>
        </w:rPr>
      </w:pPr>
      <w:r w:rsidRPr="00BB7159">
        <w:rPr>
          <w:rStyle w:val="Refdenotaalpie"/>
          <w:rFonts w:ascii="ITC Avant Garde" w:eastAsia="Arial" w:hAnsi="ITC Avant Garde"/>
          <w:sz w:val="16"/>
          <w:szCs w:val="16"/>
        </w:rPr>
        <w:footnoteRef/>
      </w:r>
      <w:r w:rsidRPr="00BB7159">
        <w:rPr>
          <w:rFonts w:ascii="ITC Avant Garde" w:hAnsi="ITC Avant Garde"/>
          <w:sz w:val="16"/>
          <w:szCs w:val="16"/>
        </w:rPr>
        <w:t xml:space="preserve"> </w:t>
      </w:r>
      <w:r w:rsidRPr="00BB7159">
        <w:rPr>
          <w:rFonts w:ascii="ITC Avant Garde" w:hAnsi="ITC Avant Garde" w:cs="Arial"/>
          <w:sz w:val="16"/>
          <w:szCs w:val="16"/>
        </w:rPr>
        <w:t>Los resultados del modelo no cambian sustancialmente  aun cuando se modele un mercado con 3 o 5 participantes.</w:t>
      </w:r>
    </w:p>
  </w:footnote>
  <w:footnote w:id="9">
    <w:p w14:paraId="7C50846B" w14:textId="77777777" w:rsidR="00D631CA" w:rsidRPr="00BB7159" w:rsidRDefault="00D631CA" w:rsidP="00382941">
      <w:pPr>
        <w:pStyle w:val="Textonotapie"/>
        <w:jc w:val="both"/>
        <w:rPr>
          <w:sz w:val="16"/>
          <w:szCs w:val="16"/>
        </w:rPr>
      </w:pPr>
      <w:r w:rsidRPr="00BB7159">
        <w:rPr>
          <w:rStyle w:val="Refdenotaalpie"/>
          <w:rFonts w:ascii="ITC Avant Garde" w:eastAsia="Arial" w:hAnsi="ITC Avant Garde"/>
          <w:sz w:val="16"/>
          <w:szCs w:val="16"/>
        </w:rPr>
        <w:footnoteRef/>
      </w:r>
      <w:r w:rsidRPr="00BB7159">
        <w:rPr>
          <w:rFonts w:ascii="ITC Avant Garde" w:hAnsi="ITC Avant Garde"/>
          <w:sz w:val="16"/>
          <w:szCs w:val="16"/>
        </w:rPr>
        <w:t xml:space="preserve"> </w:t>
      </w:r>
      <w:r w:rsidRPr="00BB7159">
        <w:rPr>
          <w:rFonts w:ascii="ITC Avant Garde" w:hAnsi="ITC Avant Garde" w:cs="Arial"/>
          <w:sz w:val="16"/>
          <w:szCs w:val="16"/>
        </w:rPr>
        <w:t>Recomendación (2009/396/CE) de la Comisión de las Comunidades Europeas, “</w:t>
      </w:r>
      <w:r w:rsidRPr="00BB7159">
        <w:rPr>
          <w:rFonts w:ascii="ITC Avant Garde" w:hAnsi="ITC Avant Garde" w:cs="Arial"/>
          <w:i/>
          <w:sz w:val="16"/>
          <w:szCs w:val="16"/>
        </w:rPr>
        <w:t>Sobre el tratamiento normativo de las tarifas de terminación de la telefonía fija y móvil en la UE. 7 de mayo de 2009</w:t>
      </w:r>
      <w:r w:rsidRPr="00BB7159">
        <w:rPr>
          <w:rFonts w:ascii="ITC Avant Garde" w:hAnsi="ITC Avant Garde" w:cs="Arial"/>
          <w:sz w:val="16"/>
          <w:szCs w:val="16"/>
        </w:rPr>
        <w:t>.</w:t>
      </w:r>
    </w:p>
  </w:footnote>
  <w:footnote w:id="10">
    <w:p w14:paraId="37F4F1D6" w14:textId="77777777" w:rsidR="00D631CA" w:rsidRPr="00BB7159" w:rsidRDefault="00D631CA" w:rsidP="00382941">
      <w:pPr>
        <w:pStyle w:val="Textonotapie"/>
        <w:rPr>
          <w:rFonts w:ascii="ITC Avant Garde" w:hAnsi="ITC Avant Garde"/>
          <w:sz w:val="16"/>
          <w:szCs w:val="16"/>
          <w:lang w:val="en-US"/>
        </w:rPr>
      </w:pPr>
      <w:r w:rsidRPr="00BB7159">
        <w:rPr>
          <w:rStyle w:val="Refdenotaalpie"/>
          <w:rFonts w:ascii="ITC Avant Garde" w:eastAsia="Arial" w:hAnsi="ITC Avant Garde"/>
          <w:sz w:val="16"/>
          <w:szCs w:val="16"/>
        </w:rPr>
        <w:footnoteRef/>
      </w:r>
      <w:r w:rsidRPr="00BB7159">
        <w:rPr>
          <w:rFonts w:ascii="ITC Avant Garde" w:hAnsi="ITC Avant Garde"/>
          <w:sz w:val="16"/>
          <w:szCs w:val="16"/>
          <w:lang w:val="en-US"/>
        </w:rPr>
        <w:t xml:space="preserve"> </w:t>
      </w:r>
      <w:r w:rsidRPr="00BB7159">
        <w:rPr>
          <w:rFonts w:ascii="ITC Avant Garde" w:hAnsi="ITC Avant Garde" w:cs="Arial"/>
          <w:color w:val="222222"/>
          <w:sz w:val="16"/>
          <w:szCs w:val="16"/>
          <w:shd w:val="clear" w:color="auto" w:fill="FFFFFF"/>
          <w:lang w:val="en-US"/>
        </w:rPr>
        <w:t>Armstrong, Mark, Cowan S. y Vickers J (1994).</w:t>
      </w:r>
      <w:r w:rsidRPr="00BB7159">
        <w:rPr>
          <w:rStyle w:val="apple-converted-space"/>
          <w:rFonts w:ascii="ITC Avant Garde" w:eastAsia="Candara" w:hAnsi="ITC Avant Garde" w:cs="Arial"/>
          <w:color w:val="222222"/>
          <w:sz w:val="16"/>
          <w:szCs w:val="16"/>
          <w:lang w:val="en-US"/>
        </w:rPr>
        <w:t> </w:t>
      </w:r>
      <w:r w:rsidRPr="00BB7159">
        <w:rPr>
          <w:rFonts w:ascii="ITC Avant Garde" w:hAnsi="ITC Avant Garde" w:cs="Arial"/>
          <w:i/>
          <w:iCs/>
          <w:color w:val="222222"/>
          <w:sz w:val="16"/>
          <w:szCs w:val="16"/>
          <w:shd w:val="clear" w:color="auto" w:fill="FFFFFF"/>
          <w:lang w:val="en-US"/>
        </w:rPr>
        <w:t xml:space="preserve">Regulatory reform: economic </w:t>
      </w:r>
      <w:proofErr w:type="spellStart"/>
      <w:r w:rsidRPr="00BB7159">
        <w:rPr>
          <w:rFonts w:ascii="ITC Avant Garde" w:hAnsi="ITC Avant Garde" w:cs="Arial"/>
          <w:i/>
          <w:iCs/>
          <w:color w:val="222222"/>
          <w:sz w:val="16"/>
          <w:szCs w:val="16"/>
          <w:shd w:val="clear" w:color="auto" w:fill="FFFFFF"/>
          <w:lang w:val="en-US"/>
        </w:rPr>
        <w:t>analisys</w:t>
      </w:r>
      <w:proofErr w:type="spellEnd"/>
      <w:r w:rsidRPr="00BB7159">
        <w:rPr>
          <w:rFonts w:ascii="ITC Avant Garde" w:hAnsi="ITC Avant Garde" w:cs="Arial"/>
          <w:i/>
          <w:iCs/>
          <w:color w:val="222222"/>
          <w:sz w:val="16"/>
          <w:szCs w:val="16"/>
          <w:shd w:val="clear" w:color="auto" w:fill="FFFFFF"/>
          <w:lang w:val="en-US"/>
        </w:rPr>
        <w:t xml:space="preserve"> and British experience</w:t>
      </w:r>
      <w:r w:rsidRPr="00BB7159">
        <w:rPr>
          <w:rFonts w:ascii="ITC Avant Garde" w:hAnsi="ITC Avant Garde" w:cs="Arial"/>
          <w:color w:val="222222"/>
          <w:sz w:val="16"/>
          <w:szCs w:val="16"/>
          <w:shd w:val="clear" w:color="auto" w:fill="FFFFFF"/>
          <w:lang w:val="en-US"/>
        </w:rPr>
        <w:t>. Massachusetts Institute of Technology.</w:t>
      </w:r>
    </w:p>
  </w:footnote>
  <w:footnote w:id="11">
    <w:p w14:paraId="4AEE670C" w14:textId="77777777" w:rsidR="00D631CA" w:rsidRPr="00BB7159" w:rsidRDefault="00D631CA" w:rsidP="00382941">
      <w:pPr>
        <w:pStyle w:val="Textonotapie"/>
        <w:rPr>
          <w:rFonts w:ascii="ITC Avant Garde" w:hAnsi="ITC Avant Garde"/>
          <w:sz w:val="16"/>
          <w:szCs w:val="16"/>
          <w:lang w:val="en-US"/>
        </w:rPr>
      </w:pPr>
      <w:r w:rsidRPr="00BB7159">
        <w:rPr>
          <w:rStyle w:val="Refdenotaalpie"/>
          <w:rFonts w:ascii="ITC Avant Garde" w:eastAsia="Arial" w:hAnsi="ITC Avant Garde"/>
          <w:sz w:val="16"/>
          <w:szCs w:val="16"/>
        </w:rPr>
        <w:footnoteRef/>
      </w:r>
      <w:r w:rsidRPr="00BB7159">
        <w:rPr>
          <w:rFonts w:ascii="ITC Avant Garde" w:hAnsi="ITC Avant Garde"/>
          <w:sz w:val="16"/>
          <w:szCs w:val="16"/>
          <w:lang w:val="en-US"/>
        </w:rPr>
        <w:t xml:space="preserve"> </w:t>
      </w:r>
      <w:r w:rsidRPr="00BB7159">
        <w:rPr>
          <w:rFonts w:ascii="ITC Avant Garde" w:hAnsi="ITC Avant Garde" w:cs="Arial"/>
          <w:color w:val="222222"/>
          <w:sz w:val="16"/>
          <w:szCs w:val="16"/>
          <w:shd w:val="clear" w:color="auto" w:fill="FFFFFF"/>
          <w:lang w:val="en-US"/>
        </w:rPr>
        <w:t>Ibid.</w:t>
      </w:r>
    </w:p>
  </w:footnote>
  <w:footnote w:id="12">
    <w:p w14:paraId="36F41C10" w14:textId="77777777" w:rsidR="00D631CA" w:rsidRPr="00BB7159" w:rsidRDefault="00D631CA" w:rsidP="00382941">
      <w:pPr>
        <w:pStyle w:val="Textonotapie"/>
        <w:rPr>
          <w:rFonts w:ascii="ITC Avant Garde" w:hAnsi="ITC Avant Garde"/>
          <w:i/>
          <w:sz w:val="16"/>
          <w:szCs w:val="16"/>
          <w:lang w:val="en-US"/>
        </w:rPr>
      </w:pPr>
      <w:r w:rsidRPr="00BB7159">
        <w:rPr>
          <w:rStyle w:val="Refdenotaalpie"/>
          <w:rFonts w:ascii="ITC Avant Garde" w:eastAsia="Arial" w:hAnsi="ITC Avant Garde"/>
          <w:sz w:val="16"/>
          <w:szCs w:val="16"/>
        </w:rPr>
        <w:footnoteRef/>
      </w:r>
      <w:r w:rsidRPr="00BB7159">
        <w:rPr>
          <w:rFonts w:ascii="ITC Avant Garde" w:hAnsi="ITC Avant Garde"/>
          <w:sz w:val="16"/>
          <w:szCs w:val="16"/>
          <w:lang w:val="en-US"/>
        </w:rPr>
        <w:t xml:space="preserve"> </w:t>
      </w:r>
      <w:proofErr w:type="spellStart"/>
      <w:r w:rsidRPr="00BB7159">
        <w:rPr>
          <w:rFonts w:ascii="ITC Avant Garde" w:hAnsi="ITC Avant Garde"/>
          <w:sz w:val="16"/>
          <w:szCs w:val="16"/>
          <w:lang w:val="en-US"/>
        </w:rPr>
        <w:t>Informe</w:t>
      </w:r>
      <w:proofErr w:type="spellEnd"/>
      <w:r w:rsidRPr="00BB7159">
        <w:rPr>
          <w:rFonts w:ascii="ITC Avant Garde" w:hAnsi="ITC Avant Garde"/>
          <w:sz w:val="16"/>
          <w:szCs w:val="16"/>
          <w:lang w:val="en-US"/>
        </w:rPr>
        <w:t xml:space="preserve"> No 168- GPR/2010 </w:t>
      </w:r>
      <w:r w:rsidRPr="00BB7159">
        <w:rPr>
          <w:rFonts w:ascii="ITC Avant Garde" w:hAnsi="ITC Avant Garde"/>
          <w:i/>
          <w:sz w:val="16"/>
          <w:szCs w:val="16"/>
          <w:lang w:val="en-US"/>
        </w:rPr>
        <w:t>http://www.osiptel.gob.pe/WebSiteAjax/WebFormGeneral/normas_regulaciones/wfrm_regulacionesdetalles.aspx?CodInfo=287&amp;CodSub=402</w:t>
      </w:r>
    </w:p>
  </w:footnote>
  <w:footnote w:id="13">
    <w:p w14:paraId="4DE57072" w14:textId="77777777" w:rsidR="00D631CA" w:rsidRPr="00BB7159" w:rsidRDefault="00D631CA" w:rsidP="00382941">
      <w:pPr>
        <w:pStyle w:val="Textonotapie"/>
        <w:rPr>
          <w:rFonts w:ascii="ITC Avant Garde" w:hAnsi="ITC Avant Garde"/>
          <w:i/>
          <w:sz w:val="16"/>
          <w:szCs w:val="16"/>
          <w:lang w:val="en-US"/>
        </w:rPr>
      </w:pPr>
      <w:r w:rsidRPr="00BB7159">
        <w:rPr>
          <w:rStyle w:val="Refdenotaalpie"/>
          <w:rFonts w:ascii="ITC Avant Garde" w:eastAsia="Arial" w:hAnsi="ITC Avant Garde"/>
          <w:sz w:val="16"/>
          <w:szCs w:val="16"/>
        </w:rPr>
        <w:footnoteRef/>
      </w:r>
      <w:r w:rsidRPr="00BB7159">
        <w:rPr>
          <w:rFonts w:ascii="ITC Avant Garde" w:hAnsi="ITC Avant Garde"/>
          <w:sz w:val="16"/>
          <w:szCs w:val="16"/>
          <w:lang w:val="en-US"/>
        </w:rPr>
        <w:t xml:space="preserve"> </w:t>
      </w:r>
      <w:r w:rsidRPr="00BB7159">
        <w:rPr>
          <w:rFonts w:ascii="ITC Avant Garde" w:hAnsi="ITC Avant Garde"/>
          <w:i/>
          <w:sz w:val="16"/>
          <w:szCs w:val="16"/>
          <w:lang w:val="en-US"/>
        </w:rPr>
        <w:t>http://www.arcep.fr/index.php?id=11811</w:t>
      </w:r>
    </w:p>
  </w:footnote>
  <w:footnote w:id="14">
    <w:p w14:paraId="7617AF0F" w14:textId="77777777" w:rsidR="00D631CA" w:rsidRPr="00BB7159" w:rsidRDefault="00D631CA" w:rsidP="00382941">
      <w:pPr>
        <w:pStyle w:val="Textonotapie"/>
        <w:rPr>
          <w:rFonts w:ascii="ITC Avant Garde" w:hAnsi="ITC Avant Garde"/>
          <w:i/>
          <w:sz w:val="16"/>
          <w:szCs w:val="16"/>
          <w:lang w:val="en-US"/>
        </w:rPr>
      </w:pPr>
      <w:r w:rsidRPr="00BB7159">
        <w:rPr>
          <w:rStyle w:val="Refdenotaalpie"/>
          <w:rFonts w:ascii="ITC Avant Garde" w:eastAsia="Arial" w:hAnsi="ITC Avant Garde"/>
          <w:sz w:val="16"/>
          <w:szCs w:val="16"/>
        </w:rPr>
        <w:footnoteRef/>
      </w:r>
      <w:r w:rsidRPr="00BB7159">
        <w:rPr>
          <w:rFonts w:ascii="ITC Avant Garde" w:hAnsi="ITC Avant Garde"/>
          <w:i/>
          <w:sz w:val="16"/>
          <w:szCs w:val="16"/>
          <w:lang w:val="en-US"/>
        </w:rPr>
        <w:t xml:space="preserve"> http://www.ofcom.org.uk/static/wmvct-model/model-2011.html</w:t>
      </w:r>
    </w:p>
  </w:footnote>
  <w:footnote w:id="15">
    <w:p w14:paraId="05A3D700" w14:textId="77777777" w:rsidR="00D631CA" w:rsidRPr="00BB7159" w:rsidRDefault="00D631CA" w:rsidP="00382941">
      <w:pPr>
        <w:pStyle w:val="Textonotapie"/>
        <w:rPr>
          <w:rFonts w:ascii="ITC Avant Garde" w:hAnsi="ITC Avant Garde"/>
          <w:i/>
          <w:sz w:val="16"/>
          <w:szCs w:val="16"/>
          <w:lang w:val="en-US"/>
        </w:rPr>
      </w:pPr>
      <w:r w:rsidRPr="00BB7159">
        <w:rPr>
          <w:rStyle w:val="Refdenotaalpie"/>
          <w:rFonts w:ascii="ITC Avant Garde" w:eastAsia="Arial" w:hAnsi="ITC Avant Garde"/>
          <w:sz w:val="16"/>
          <w:szCs w:val="16"/>
        </w:rPr>
        <w:footnoteRef/>
      </w:r>
      <w:r w:rsidRPr="00BB7159">
        <w:rPr>
          <w:rFonts w:ascii="ITC Avant Garde" w:hAnsi="ITC Avant Garde"/>
          <w:i/>
          <w:sz w:val="16"/>
          <w:szCs w:val="16"/>
          <w:lang w:val="en-US"/>
        </w:rPr>
        <w:t xml:space="preserve"> http://www.arcep.fr/index.php?id=11811</w:t>
      </w:r>
    </w:p>
  </w:footnote>
  <w:footnote w:id="16">
    <w:p w14:paraId="797BDAE9" w14:textId="77777777" w:rsidR="00D631CA" w:rsidRPr="00BB7159" w:rsidRDefault="00D631CA" w:rsidP="00382941">
      <w:pPr>
        <w:spacing w:line="240" w:lineRule="auto"/>
        <w:jc w:val="both"/>
        <w:rPr>
          <w:rFonts w:ascii="ITC Avant Garde" w:hAnsi="ITC Avant Garde"/>
          <w:color w:val="000000"/>
          <w:sz w:val="16"/>
          <w:szCs w:val="16"/>
          <w:lang w:val="en-US"/>
        </w:rPr>
      </w:pPr>
      <w:r w:rsidRPr="00BB7159">
        <w:rPr>
          <w:rFonts w:ascii="ITC Avant Garde" w:hAnsi="ITC Avant Garde"/>
          <w:color w:val="000000"/>
          <w:sz w:val="16"/>
          <w:szCs w:val="16"/>
          <w:vertAlign w:val="superscript"/>
        </w:rPr>
        <w:footnoteRef/>
      </w:r>
      <w:r w:rsidRPr="00BB7159">
        <w:rPr>
          <w:rFonts w:ascii="ITC Avant Garde" w:hAnsi="ITC Avant Garde"/>
          <w:color w:val="000000"/>
          <w:sz w:val="16"/>
          <w:szCs w:val="16"/>
          <w:lang w:val="en-US"/>
        </w:rPr>
        <w:t xml:space="preserve"> </w:t>
      </w:r>
      <w:proofErr w:type="spellStart"/>
      <w:r w:rsidRPr="00BB7159">
        <w:rPr>
          <w:rFonts w:ascii="ITC Avant Garde" w:hAnsi="ITC Avant Garde"/>
          <w:color w:val="000000"/>
          <w:sz w:val="16"/>
          <w:szCs w:val="16"/>
          <w:lang w:val="en-US"/>
        </w:rPr>
        <w:t>García</w:t>
      </w:r>
      <w:proofErr w:type="spellEnd"/>
      <w:r w:rsidRPr="00BB7159">
        <w:rPr>
          <w:rFonts w:ascii="ITC Avant Garde" w:hAnsi="ITC Avant Garde"/>
          <w:color w:val="000000"/>
          <w:sz w:val="16"/>
          <w:szCs w:val="16"/>
          <w:lang w:val="en-US"/>
        </w:rPr>
        <w:t xml:space="preserve"> Murillo Martha y Pick James B. </w:t>
      </w:r>
      <w:r w:rsidRPr="00BB7159">
        <w:rPr>
          <w:rFonts w:ascii="ITC Avant Garde" w:hAnsi="ITC Avant Garde"/>
          <w:i/>
          <w:color w:val="000000"/>
          <w:sz w:val="16"/>
          <w:szCs w:val="16"/>
          <w:lang w:val="en-US"/>
        </w:rPr>
        <w:t>Interconnection Regulation: Explaining Dominance by the Incumbent in Mexico</w:t>
      </w:r>
      <w:r w:rsidRPr="00BB7159">
        <w:rPr>
          <w:rFonts w:ascii="ITC Avant Garde" w:hAnsi="ITC Avant Garde"/>
          <w:color w:val="000000"/>
          <w:sz w:val="16"/>
          <w:szCs w:val="16"/>
          <w:lang w:val="en-US"/>
        </w:rPr>
        <w:t>, COMMUNICATIONS &amp; STRATEGIES no. 53.</w:t>
      </w:r>
    </w:p>
    <w:p w14:paraId="1F8A1A87" w14:textId="77777777" w:rsidR="00D631CA" w:rsidRDefault="00D631CA" w:rsidP="00382941">
      <w:pPr>
        <w:rPr>
          <w:rFonts w:ascii="ITC Avant Garde" w:hAnsi="ITC Avant Garde"/>
          <w:sz w:val="16"/>
          <w:szCs w:val="16"/>
          <w:lang w:val="en-US"/>
        </w:rPr>
      </w:pPr>
    </w:p>
  </w:footnote>
  <w:footnote w:id="17">
    <w:p w14:paraId="10286684" w14:textId="77777777" w:rsidR="00D631CA" w:rsidRPr="00BB7159" w:rsidRDefault="00D631CA" w:rsidP="00382941">
      <w:pPr>
        <w:tabs>
          <w:tab w:val="left" w:pos="720"/>
        </w:tabs>
        <w:autoSpaceDE w:val="0"/>
        <w:autoSpaceDN w:val="0"/>
        <w:adjustRightInd w:val="0"/>
        <w:ind w:left="352" w:right="18" w:hanging="180"/>
        <w:rPr>
          <w:rFonts w:ascii="ITC Avant Garde" w:hAnsi="ITC Avant Garde" w:cs="Tahoma"/>
          <w:color w:val="0066CC"/>
          <w:sz w:val="16"/>
          <w:szCs w:val="16"/>
          <w:u w:val="single"/>
          <w:lang w:val="en-US"/>
        </w:rPr>
      </w:pPr>
      <w:r w:rsidRPr="00BB7159">
        <w:rPr>
          <w:rStyle w:val="Refdenotaalpie"/>
          <w:rFonts w:ascii="ITC Avant Garde" w:hAnsi="ITC Avant Garde"/>
          <w:sz w:val="16"/>
          <w:szCs w:val="16"/>
        </w:rPr>
        <w:footnoteRef/>
      </w:r>
      <w:r w:rsidRPr="00BB7159">
        <w:rPr>
          <w:rFonts w:ascii="ITC Avant Garde" w:hAnsi="ITC Avant Garde"/>
          <w:sz w:val="16"/>
          <w:szCs w:val="16"/>
        </w:rPr>
        <w:t xml:space="preserve"> </w:t>
      </w:r>
      <w:r w:rsidRPr="00BB7159">
        <w:rPr>
          <w:rFonts w:ascii="ITC Avant Garde" w:hAnsi="ITC Avant Garde" w:cs="Arial"/>
          <w:sz w:val="16"/>
          <w:szCs w:val="16"/>
        </w:rPr>
        <w:t xml:space="preserve">La información del precio de los elementos de la red se obtuvo de la información pública del Órgano Regulador de las Telecomunicaciones de Francia (ARCEP). </w:t>
      </w:r>
      <w:r w:rsidRPr="00BB7159">
        <w:rPr>
          <w:rFonts w:ascii="ITC Avant Garde" w:hAnsi="ITC Avant Garde" w:cs="Arial"/>
          <w:sz w:val="16"/>
          <w:szCs w:val="16"/>
          <w:lang w:val="en-US"/>
        </w:rPr>
        <w:t>(</w:t>
      </w:r>
      <w:r w:rsidRPr="00BB7159">
        <w:rPr>
          <w:rFonts w:ascii="ITC Avant Garde" w:hAnsi="ITC Avant Garde" w:cs="Arial"/>
          <w:color w:val="0066CC"/>
          <w:sz w:val="16"/>
          <w:szCs w:val="16"/>
          <w:u w:val="single"/>
          <w:lang w:val="en-US"/>
        </w:rPr>
        <w:t>http://www.arcep.fr/index.php?id=8080&amp;L=1).</w:t>
      </w:r>
    </w:p>
    <w:p w14:paraId="78F195A4" w14:textId="77777777" w:rsidR="00D631CA" w:rsidRPr="00881E40" w:rsidRDefault="00D631CA" w:rsidP="00382941">
      <w:pPr>
        <w:pStyle w:val="Textonotapie"/>
        <w:jc w:val="both"/>
        <w:rPr>
          <w:lang w:val="en-US"/>
        </w:rPr>
      </w:pPr>
    </w:p>
  </w:footnote>
  <w:footnote w:id="18">
    <w:p w14:paraId="67069D8D" w14:textId="77777777" w:rsidR="00D631CA" w:rsidRPr="00704A65" w:rsidRDefault="00D631CA" w:rsidP="00382941">
      <w:pPr>
        <w:pStyle w:val="Textonotapie"/>
        <w:jc w:val="both"/>
        <w:rPr>
          <w:rFonts w:ascii="ITC Avant Garde" w:hAnsi="ITC Avant Garde"/>
          <w:sz w:val="16"/>
          <w:szCs w:val="16"/>
          <w:lang w:val="en-US"/>
        </w:rPr>
      </w:pPr>
      <w:r w:rsidRPr="005A2E9B">
        <w:rPr>
          <w:rStyle w:val="Refdenotaalpie"/>
          <w:rFonts w:ascii="ITC Avant Garde" w:eastAsia="Arial" w:hAnsi="ITC Avant Garde"/>
          <w:sz w:val="18"/>
          <w:szCs w:val="18"/>
        </w:rPr>
        <w:footnoteRef/>
      </w:r>
      <w:r w:rsidRPr="005A2E9B">
        <w:rPr>
          <w:rFonts w:ascii="ITC Avant Garde" w:hAnsi="ITC Avant Garde"/>
          <w:sz w:val="18"/>
          <w:szCs w:val="18"/>
          <w:lang w:val="en-US"/>
        </w:rPr>
        <w:t xml:space="preserve"> </w:t>
      </w:r>
      <w:r w:rsidRPr="00704A65">
        <w:rPr>
          <w:rFonts w:ascii="ITC Avant Garde" w:hAnsi="ITC Avant Garde" w:cs="Arial"/>
          <w:sz w:val="16"/>
          <w:szCs w:val="16"/>
          <w:lang w:val="en-US"/>
        </w:rPr>
        <w:t xml:space="preserve">Armstrong, Mark, Cowan S. y Vickers J (1994). </w:t>
      </w:r>
      <w:r w:rsidRPr="00704A65">
        <w:rPr>
          <w:rFonts w:ascii="ITC Avant Garde" w:hAnsi="ITC Avant Garde" w:cs="Arial"/>
          <w:i/>
          <w:sz w:val="16"/>
          <w:szCs w:val="16"/>
          <w:lang w:val="en-US"/>
        </w:rPr>
        <w:t xml:space="preserve">Regulatory reform: economic </w:t>
      </w:r>
      <w:proofErr w:type="spellStart"/>
      <w:r w:rsidRPr="00704A65">
        <w:rPr>
          <w:rFonts w:ascii="ITC Avant Garde" w:hAnsi="ITC Avant Garde" w:cs="Arial"/>
          <w:i/>
          <w:sz w:val="16"/>
          <w:szCs w:val="16"/>
          <w:lang w:val="en-US"/>
        </w:rPr>
        <w:t>analisys</w:t>
      </w:r>
      <w:proofErr w:type="spellEnd"/>
      <w:r w:rsidRPr="00704A65">
        <w:rPr>
          <w:rFonts w:ascii="ITC Avant Garde" w:hAnsi="ITC Avant Garde" w:cs="Arial"/>
          <w:i/>
          <w:sz w:val="16"/>
          <w:szCs w:val="16"/>
          <w:lang w:val="en-US"/>
        </w:rPr>
        <w:t xml:space="preserve"> and British experience</w:t>
      </w:r>
      <w:r w:rsidRPr="00704A65">
        <w:rPr>
          <w:rFonts w:ascii="ITC Avant Garde" w:hAnsi="ITC Avant Garde" w:cs="Arial"/>
          <w:sz w:val="16"/>
          <w:szCs w:val="16"/>
          <w:lang w:val="en-US"/>
        </w:rPr>
        <w:t>. Massachusetts Institute of Technology.</w:t>
      </w:r>
    </w:p>
  </w:footnote>
  <w:footnote w:id="19">
    <w:p w14:paraId="03D7167F" w14:textId="77777777" w:rsidR="00D631CA" w:rsidRPr="00704A65" w:rsidRDefault="00D631CA" w:rsidP="00382941">
      <w:pPr>
        <w:pStyle w:val="Textonotapie"/>
        <w:rPr>
          <w:rFonts w:ascii="ITC Avant Garde" w:hAnsi="ITC Avant Garde"/>
          <w:sz w:val="16"/>
          <w:szCs w:val="16"/>
          <w:lang w:val="en-US"/>
        </w:rPr>
      </w:pPr>
      <w:r w:rsidRPr="00704A65">
        <w:rPr>
          <w:rStyle w:val="Refdenotaalpie"/>
          <w:rFonts w:ascii="ITC Avant Garde" w:eastAsia="Arial" w:hAnsi="ITC Avant Garde"/>
          <w:sz w:val="16"/>
          <w:szCs w:val="16"/>
        </w:rPr>
        <w:footnoteRef/>
      </w:r>
      <w:r w:rsidRPr="00704A65">
        <w:rPr>
          <w:rFonts w:ascii="ITC Avant Garde" w:hAnsi="ITC Avant Garde"/>
          <w:sz w:val="16"/>
          <w:szCs w:val="16"/>
          <w:lang w:val="en-US"/>
        </w:rPr>
        <w:t xml:space="preserve"> </w:t>
      </w:r>
      <w:r w:rsidRPr="00704A65">
        <w:rPr>
          <w:rFonts w:ascii="ITC Avant Garde" w:hAnsi="ITC Avant Garde" w:cs="Arial"/>
          <w:sz w:val="16"/>
          <w:szCs w:val="16"/>
          <w:lang w:val="en-US"/>
        </w:rPr>
        <w:t>Ibid.</w:t>
      </w:r>
    </w:p>
  </w:footnote>
  <w:footnote w:id="20">
    <w:p w14:paraId="6D86CBAB" w14:textId="77777777" w:rsidR="00D631CA" w:rsidRPr="00704A65" w:rsidRDefault="00D631CA" w:rsidP="00382941">
      <w:pPr>
        <w:pStyle w:val="Textonotapie"/>
        <w:jc w:val="both"/>
        <w:rPr>
          <w:rFonts w:ascii="ITC Avant Garde" w:hAnsi="ITC Avant Garde" w:cs="Arial"/>
          <w:sz w:val="16"/>
          <w:szCs w:val="16"/>
          <w:lang w:val="en-US"/>
        </w:rPr>
      </w:pPr>
      <w:r w:rsidRPr="005A2E9B">
        <w:rPr>
          <w:rStyle w:val="Refdenotaalpie"/>
          <w:rFonts w:ascii="ITC Avant Garde" w:eastAsia="Arial" w:hAnsi="ITC Avant Garde"/>
          <w:sz w:val="18"/>
          <w:szCs w:val="18"/>
        </w:rPr>
        <w:footnoteRef/>
      </w:r>
      <w:r w:rsidRPr="005A2E9B">
        <w:rPr>
          <w:rFonts w:ascii="ITC Avant Garde" w:hAnsi="ITC Avant Garde" w:cs="Arial"/>
          <w:sz w:val="18"/>
          <w:szCs w:val="18"/>
          <w:lang w:val="en-US"/>
        </w:rPr>
        <w:t xml:space="preserve"> </w:t>
      </w:r>
      <w:r w:rsidRPr="00704A65">
        <w:rPr>
          <w:rFonts w:ascii="ITC Avant Garde" w:hAnsi="ITC Avant Garde" w:cs="Arial"/>
          <w:bCs/>
          <w:iCs/>
          <w:sz w:val="16"/>
          <w:szCs w:val="16"/>
          <w:lang w:val="en-US"/>
        </w:rPr>
        <w:t xml:space="preserve">Fuente: </w:t>
      </w:r>
      <w:proofErr w:type="spellStart"/>
      <w:r w:rsidRPr="00704A65">
        <w:rPr>
          <w:rFonts w:ascii="ITC Avant Garde" w:hAnsi="ITC Avant Garde" w:cs="Arial"/>
          <w:sz w:val="16"/>
          <w:szCs w:val="16"/>
          <w:lang w:val="en-US"/>
        </w:rPr>
        <w:t>Suecia</w:t>
      </w:r>
      <w:proofErr w:type="spellEnd"/>
      <w:r w:rsidRPr="00704A65">
        <w:rPr>
          <w:rFonts w:ascii="ITC Avant Garde" w:hAnsi="ITC Avant Garde" w:cs="Arial"/>
          <w:sz w:val="16"/>
          <w:szCs w:val="16"/>
          <w:lang w:val="en-US"/>
        </w:rPr>
        <w:t xml:space="preserve">: </w:t>
      </w:r>
      <w:r w:rsidRPr="00704A65">
        <w:rPr>
          <w:rFonts w:ascii="ITC Avant Garde" w:hAnsi="ITC Avant Garde" w:cs="Arial"/>
          <w:i/>
          <w:sz w:val="16"/>
          <w:szCs w:val="16"/>
          <w:lang w:val="en-US"/>
        </w:rPr>
        <w:t>http://w</w:t>
      </w:r>
      <w:hyperlink r:id="rId6" w:history="1">
        <w:r w:rsidRPr="00704A65">
          <w:rPr>
            <w:rFonts w:ascii="ITC Avant Garde" w:hAnsi="ITC Avant Garde" w:cs="Arial"/>
            <w:i/>
            <w:sz w:val="16"/>
            <w:szCs w:val="16"/>
            <w:lang w:val="en-US"/>
          </w:rPr>
          <w:t>ww.pts.se/upload/</w:t>
        </w:r>
      </w:hyperlink>
      <w:hyperlink r:id="rId7" w:history="1">
        <w:r w:rsidRPr="00704A65">
          <w:rPr>
            <w:rFonts w:ascii="ITC Avant Garde" w:hAnsi="ITC Avant Garde" w:cs="Arial"/>
            <w:i/>
            <w:sz w:val="16"/>
            <w:szCs w:val="16"/>
            <w:lang w:val="en-US"/>
          </w:rPr>
          <w:t>Ovrigt</w:t>
        </w:r>
      </w:hyperlink>
      <w:hyperlink r:id="rId8" w:history="1">
        <w:r w:rsidRPr="00704A65">
          <w:rPr>
            <w:rFonts w:ascii="ITC Avant Garde" w:hAnsi="ITC Avant Garde" w:cs="Arial"/>
            <w:i/>
            <w:sz w:val="16"/>
            <w:szCs w:val="16"/>
            <w:lang w:val="en-US"/>
          </w:rPr>
          <w:t>/Tele/</w:t>
        </w:r>
      </w:hyperlink>
      <w:hyperlink r:id="rId9" w:history="1">
        <w:r w:rsidRPr="00704A65">
          <w:rPr>
            <w:rFonts w:ascii="ITC Avant Garde" w:hAnsi="ITC Avant Garde" w:cs="Arial"/>
            <w:i/>
            <w:sz w:val="16"/>
            <w:szCs w:val="16"/>
            <w:lang w:val="en-US"/>
          </w:rPr>
          <w:t>Bransch</w:t>
        </w:r>
      </w:hyperlink>
      <w:hyperlink r:id="rId10" w:history="1">
        <w:r w:rsidRPr="00704A65">
          <w:rPr>
            <w:rFonts w:ascii="ITC Avant Garde" w:hAnsi="ITC Avant Garde" w:cs="Arial"/>
            <w:i/>
            <w:sz w:val="16"/>
            <w:szCs w:val="16"/>
            <w:lang w:val="en-US"/>
          </w:rPr>
          <w:t>/Kalkylarbete%20mobilnät/Model-   documentation-for-PTS-080602.pdf</w:t>
        </w:r>
      </w:hyperlink>
      <w:r w:rsidRPr="00704A65">
        <w:rPr>
          <w:rFonts w:ascii="ITC Avant Garde" w:hAnsi="ITC Avant Garde" w:cs="Arial"/>
          <w:i/>
          <w:sz w:val="16"/>
          <w:szCs w:val="16"/>
          <w:lang w:val="en-US"/>
        </w:rPr>
        <w:t xml:space="preserve">; </w:t>
      </w:r>
      <w:proofErr w:type="spellStart"/>
      <w:r w:rsidRPr="00704A65">
        <w:rPr>
          <w:rFonts w:ascii="ITC Avant Garde" w:hAnsi="ITC Avant Garde" w:cs="Arial"/>
          <w:i/>
          <w:sz w:val="16"/>
          <w:szCs w:val="16"/>
          <w:lang w:val="en-US"/>
        </w:rPr>
        <w:t>Reino</w:t>
      </w:r>
      <w:proofErr w:type="spellEnd"/>
      <w:r w:rsidRPr="00704A65">
        <w:rPr>
          <w:rFonts w:ascii="ITC Avant Garde" w:hAnsi="ITC Avant Garde" w:cs="Arial"/>
          <w:bCs/>
          <w:i/>
          <w:iCs/>
          <w:sz w:val="16"/>
          <w:szCs w:val="16"/>
          <w:lang w:val="en-US"/>
        </w:rPr>
        <w:t xml:space="preserve"> </w:t>
      </w:r>
      <w:proofErr w:type="spellStart"/>
      <w:r w:rsidRPr="00704A65">
        <w:rPr>
          <w:rFonts w:ascii="ITC Avant Garde" w:hAnsi="ITC Avant Garde" w:cs="Arial"/>
          <w:bCs/>
          <w:i/>
          <w:iCs/>
          <w:sz w:val="16"/>
          <w:szCs w:val="16"/>
          <w:lang w:val="en-US"/>
        </w:rPr>
        <w:t>Unido</w:t>
      </w:r>
      <w:proofErr w:type="spellEnd"/>
      <w:r w:rsidRPr="00704A65">
        <w:rPr>
          <w:rFonts w:ascii="ITC Avant Garde" w:hAnsi="ITC Avant Garde" w:cs="Arial"/>
          <w:bCs/>
          <w:i/>
          <w:iCs/>
          <w:sz w:val="16"/>
          <w:szCs w:val="16"/>
          <w:lang w:val="en-US"/>
        </w:rPr>
        <w:t>:</w:t>
      </w:r>
      <w:r w:rsidRPr="00704A65">
        <w:rPr>
          <w:rFonts w:ascii="ITC Avant Garde" w:hAnsi="ITC Avant Garde" w:cs="Arial"/>
          <w:i/>
          <w:sz w:val="16"/>
          <w:szCs w:val="16"/>
          <w:lang w:val="en-US"/>
        </w:rPr>
        <w:t xml:space="preserve"> </w:t>
      </w:r>
      <w:proofErr w:type="spellStart"/>
      <w:r w:rsidRPr="00704A65">
        <w:rPr>
          <w:rFonts w:ascii="ITC Avant Garde" w:hAnsi="ITC Avant Garde" w:cs="Arial"/>
          <w:i/>
          <w:sz w:val="16"/>
          <w:szCs w:val="16"/>
          <w:lang w:val="en-US"/>
        </w:rPr>
        <w:t>Ofcom</w:t>
      </w:r>
      <w:proofErr w:type="spellEnd"/>
      <w:r w:rsidRPr="00704A65">
        <w:rPr>
          <w:rFonts w:ascii="ITC Avant Garde" w:hAnsi="ITC Avant Garde" w:cs="Arial"/>
          <w:i/>
          <w:sz w:val="16"/>
          <w:szCs w:val="16"/>
          <w:lang w:val="en-US"/>
        </w:rPr>
        <w:t xml:space="preserve">, “Mobile Call Termination”, November 2006; </w:t>
      </w:r>
      <w:r w:rsidRPr="00704A65">
        <w:rPr>
          <w:rFonts w:ascii="ITC Avant Garde" w:hAnsi="ITC Avant Garde" w:cs="Arial"/>
          <w:bCs/>
          <w:i/>
          <w:iCs/>
          <w:sz w:val="16"/>
          <w:szCs w:val="16"/>
          <w:lang w:val="en-US"/>
        </w:rPr>
        <w:t>Australia:</w:t>
      </w:r>
      <w:r w:rsidRPr="00704A65">
        <w:rPr>
          <w:rFonts w:ascii="ITC Avant Garde" w:hAnsi="ITC Avant Garde" w:cs="Arial"/>
          <w:i/>
          <w:sz w:val="16"/>
          <w:szCs w:val="16"/>
          <w:lang w:val="en-US"/>
        </w:rPr>
        <w:t xml:space="preserve"> </w:t>
      </w:r>
      <w:proofErr w:type="spellStart"/>
      <w:r w:rsidRPr="00704A65">
        <w:rPr>
          <w:rFonts w:ascii="ITC Avant Garde" w:hAnsi="ITC Avant Garde" w:cs="Arial"/>
          <w:i/>
          <w:sz w:val="16"/>
          <w:szCs w:val="16"/>
          <w:lang w:val="en-US"/>
        </w:rPr>
        <w:t>Wik</w:t>
      </w:r>
      <w:proofErr w:type="spellEnd"/>
      <w:r w:rsidRPr="00704A65">
        <w:rPr>
          <w:rFonts w:ascii="ITC Avant Garde" w:hAnsi="ITC Avant Garde" w:cs="Arial"/>
          <w:i/>
          <w:sz w:val="16"/>
          <w:szCs w:val="16"/>
          <w:lang w:val="en-US"/>
        </w:rPr>
        <w:t xml:space="preserve">-Consult, “Mobile Termination Cost Model for Australia”, Report for the Australian Competition and Consumer Commission”. </w:t>
      </w:r>
      <w:proofErr w:type="spellStart"/>
      <w:r w:rsidRPr="00704A65">
        <w:rPr>
          <w:rFonts w:ascii="ITC Avant Garde" w:hAnsi="ITC Avant Garde" w:cs="Arial"/>
          <w:i/>
          <w:sz w:val="16"/>
          <w:szCs w:val="16"/>
          <w:lang w:val="en-US"/>
        </w:rPr>
        <w:t>Enero</w:t>
      </w:r>
      <w:proofErr w:type="spellEnd"/>
      <w:r w:rsidRPr="00704A65">
        <w:rPr>
          <w:rFonts w:ascii="ITC Avant Garde" w:hAnsi="ITC Avant Garde" w:cs="Arial"/>
          <w:i/>
          <w:sz w:val="16"/>
          <w:szCs w:val="16"/>
          <w:lang w:val="en-US"/>
        </w:rPr>
        <w:t xml:space="preserve"> 2007; </w:t>
      </w:r>
      <w:r w:rsidRPr="00704A65">
        <w:rPr>
          <w:rFonts w:ascii="ITC Avant Garde" w:hAnsi="ITC Avant Garde" w:cs="Arial"/>
          <w:bCs/>
          <w:i/>
          <w:iCs/>
          <w:sz w:val="16"/>
          <w:szCs w:val="16"/>
          <w:lang w:val="en-US"/>
        </w:rPr>
        <w:t>Israel:</w:t>
      </w:r>
      <w:r w:rsidRPr="00704A65">
        <w:rPr>
          <w:rFonts w:ascii="ITC Avant Garde" w:hAnsi="ITC Avant Garde" w:cs="Arial"/>
          <w:i/>
          <w:sz w:val="16"/>
          <w:szCs w:val="16"/>
          <w:lang w:val="en-US"/>
        </w:rPr>
        <w:t xml:space="preserve"> </w:t>
      </w:r>
      <w:proofErr w:type="spellStart"/>
      <w:r w:rsidRPr="00704A65">
        <w:rPr>
          <w:rFonts w:ascii="ITC Avant Garde" w:hAnsi="ITC Avant Garde" w:cs="Arial"/>
          <w:i/>
          <w:sz w:val="16"/>
          <w:szCs w:val="16"/>
          <w:lang w:val="en-US"/>
        </w:rPr>
        <w:t>Analysys</w:t>
      </w:r>
      <w:proofErr w:type="spellEnd"/>
      <w:r w:rsidRPr="00704A65">
        <w:rPr>
          <w:rFonts w:ascii="ITC Avant Garde" w:hAnsi="ITC Avant Garde" w:cs="Arial"/>
          <w:i/>
          <w:sz w:val="16"/>
          <w:szCs w:val="16"/>
          <w:lang w:val="en-US"/>
        </w:rPr>
        <w:t xml:space="preserve">, “A study of mobile termination charges”, Report for the Israel Ministry of Communications and Ministry of Finance, Julio 2004.; </w:t>
      </w:r>
      <w:proofErr w:type="spellStart"/>
      <w:r w:rsidRPr="00704A65">
        <w:rPr>
          <w:rFonts w:ascii="ITC Avant Garde" w:hAnsi="ITC Avant Garde" w:cs="Arial"/>
          <w:bCs/>
          <w:i/>
          <w:iCs/>
          <w:sz w:val="16"/>
          <w:szCs w:val="16"/>
          <w:lang w:val="en-US"/>
        </w:rPr>
        <w:t>Perú</w:t>
      </w:r>
      <w:proofErr w:type="spellEnd"/>
      <w:r w:rsidRPr="00704A65">
        <w:rPr>
          <w:rFonts w:ascii="ITC Avant Garde" w:hAnsi="ITC Avant Garde" w:cs="Arial"/>
          <w:i/>
          <w:sz w:val="16"/>
          <w:szCs w:val="16"/>
          <w:lang w:val="en-US"/>
        </w:rPr>
        <w:t xml:space="preserve">: </w:t>
      </w:r>
      <w:proofErr w:type="spellStart"/>
      <w:r w:rsidRPr="00704A65">
        <w:rPr>
          <w:rFonts w:ascii="ITC Avant Garde" w:hAnsi="ITC Avant Garde" w:cs="Arial"/>
          <w:i/>
          <w:sz w:val="16"/>
          <w:szCs w:val="16"/>
          <w:lang w:val="en-US"/>
        </w:rPr>
        <w:t>Wik</w:t>
      </w:r>
      <w:proofErr w:type="spellEnd"/>
      <w:r w:rsidRPr="00704A65">
        <w:rPr>
          <w:rFonts w:ascii="ITC Avant Garde" w:hAnsi="ITC Avant Garde" w:cs="Arial"/>
          <w:i/>
          <w:sz w:val="16"/>
          <w:szCs w:val="16"/>
          <w:lang w:val="en-US"/>
        </w:rPr>
        <w:t xml:space="preserve">-Consult, “Analysis of Cost Studies presented by Mobile Network Operators”, Submitted to OSIPITEL, Mayo 2005; </w:t>
      </w:r>
      <w:r w:rsidRPr="00704A65">
        <w:rPr>
          <w:rFonts w:ascii="ITC Avant Garde" w:hAnsi="ITC Avant Garde" w:cs="Arial"/>
          <w:bCs/>
          <w:i/>
          <w:iCs/>
          <w:sz w:val="16"/>
          <w:szCs w:val="16"/>
          <w:lang w:val="en-US"/>
        </w:rPr>
        <w:t>Colombia</w:t>
      </w:r>
      <w:r w:rsidRPr="00704A65">
        <w:rPr>
          <w:rFonts w:ascii="ITC Avant Garde" w:hAnsi="ITC Avant Garde" w:cs="Arial"/>
          <w:i/>
          <w:sz w:val="16"/>
          <w:szCs w:val="16"/>
          <w:lang w:val="en-US"/>
        </w:rPr>
        <w:t xml:space="preserve">: CRT, </w:t>
      </w:r>
      <w:proofErr w:type="spellStart"/>
      <w:r w:rsidRPr="00704A65">
        <w:rPr>
          <w:rFonts w:ascii="ITC Avant Garde" w:hAnsi="ITC Avant Garde" w:cs="Arial"/>
          <w:i/>
          <w:sz w:val="16"/>
          <w:szCs w:val="16"/>
          <w:lang w:val="en-US"/>
        </w:rPr>
        <w:t>Políticas</w:t>
      </w:r>
      <w:proofErr w:type="spellEnd"/>
      <w:r w:rsidRPr="00704A65">
        <w:rPr>
          <w:rFonts w:ascii="ITC Avant Garde" w:hAnsi="ITC Avant Garde" w:cs="Arial"/>
          <w:i/>
          <w:sz w:val="16"/>
          <w:szCs w:val="16"/>
          <w:lang w:val="en-US"/>
        </w:rPr>
        <w:t xml:space="preserve"> </w:t>
      </w:r>
      <w:proofErr w:type="spellStart"/>
      <w:r w:rsidRPr="00704A65">
        <w:rPr>
          <w:rFonts w:ascii="ITC Avant Garde" w:hAnsi="ITC Avant Garde" w:cs="Arial"/>
          <w:i/>
          <w:sz w:val="16"/>
          <w:szCs w:val="16"/>
          <w:lang w:val="en-US"/>
        </w:rPr>
        <w:t>Generales</w:t>
      </w:r>
      <w:proofErr w:type="spellEnd"/>
      <w:r w:rsidRPr="00704A65">
        <w:rPr>
          <w:rFonts w:ascii="ITC Avant Garde" w:hAnsi="ITC Avant Garde" w:cs="Arial"/>
          <w:i/>
          <w:sz w:val="16"/>
          <w:szCs w:val="16"/>
          <w:lang w:val="en-US"/>
        </w:rPr>
        <w:t xml:space="preserve"> y </w:t>
      </w:r>
      <w:proofErr w:type="spellStart"/>
      <w:r w:rsidRPr="00704A65">
        <w:rPr>
          <w:rFonts w:ascii="ITC Avant Garde" w:hAnsi="ITC Avant Garde" w:cs="Arial"/>
          <w:i/>
          <w:sz w:val="16"/>
          <w:szCs w:val="16"/>
          <w:lang w:val="en-US"/>
        </w:rPr>
        <w:t>Estrategias</w:t>
      </w:r>
      <w:proofErr w:type="spellEnd"/>
      <w:r w:rsidRPr="00704A65">
        <w:rPr>
          <w:rFonts w:ascii="ITC Avant Garde" w:hAnsi="ITC Avant Garde" w:cs="Arial"/>
          <w:i/>
          <w:sz w:val="16"/>
          <w:szCs w:val="16"/>
          <w:lang w:val="en-US"/>
        </w:rPr>
        <w:t xml:space="preserve"> para </w:t>
      </w:r>
      <w:proofErr w:type="spellStart"/>
      <w:r w:rsidRPr="00704A65">
        <w:rPr>
          <w:rFonts w:ascii="ITC Avant Garde" w:hAnsi="ITC Avant Garde" w:cs="Arial"/>
          <w:i/>
          <w:sz w:val="16"/>
          <w:szCs w:val="16"/>
          <w:lang w:val="en-US"/>
        </w:rPr>
        <w:t>Establecer</w:t>
      </w:r>
      <w:proofErr w:type="spellEnd"/>
      <w:r w:rsidRPr="00704A65">
        <w:rPr>
          <w:rFonts w:ascii="ITC Avant Garde" w:hAnsi="ITC Avant Garde" w:cs="Arial"/>
          <w:i/>
          <w:sz w:val="16"/>
          <w:szCs w:val="16"/>
          <w:lang w:val="en-US"/>
        </w:rPr>
        <w:t xml:space="preserve"> un </w:t>
      </w:r>
      <w:proofErr w:type="spellStart"/>
      <w:r w:rsidRPr="00704A65">
        <w:rPr>
          <w:rFonts w:ascii="ITC Avant Garde" w:hAnsi="ITC Avant Garde" w:cs="Arial"/>
          <w:i/>
          <w:sz w:val="16"/>
          <w:szCs w:val="16"/>
          <w:lang w:val="en-US"/>
        </w:rPr>
        <w:t>Régimen</w:t>
      </w:r>
      <w:proofErr w:type="spellEnd"/>
      <w:r w:rsidRPr="00704A65">
        <w:rPr>
          <w:rFonts w:ascii="ITC Avant Garde" w:hAnsi="ITC Avant Garde" w:cs="Arial"/>
          <w:i/>
          <w:sz w:val="16"/>
          <w:szCs w:val="16"/>
          <w:lang w:val="en-US"/>
        </w:rPr>
        <w:t xml:space="preserve"> </w:t>
      </w:r>
      <w:proofErr w:type="spellStart"/>
      <w:r w:rsidRPr="00704A65">
        <w:rPr>
          <w:rFonts w:ascii="ITC Avant Garde" w:hAnsi="ITC Avant Garde" w:cs="Arial"/>
          <w:i/>
          <w:sz w:val="16"/>
          <w:szCs w:val="16"/>
          <w:lang w:val="en-US"/>
        </w:rPr>
        <w:t>Unificado</w:t>
      </w:r>
      <w:proofErr w:type="spellEnd"/>
      <w:r w:rsidRPr="00704A65">
        <w:rPr>
          <w:rFonts w:ascii="ITC Avant Garde" w:hAnsi="ITC Avant Garde" w:cs="Arial"/>
          <w:i/>
          <w:sz w:val="16"/>
          <w:szCs w:val="16"/>
          <w:lang w:val="en-US"/>
        </w:rPr>
        <w:t xml:space="preserve"> de </w:t>
      </w:r>
      <w:proofErr w:type="spellStart"/>
      <w:r w:rsidRPr="00704A65">
        <w:rPr>
          <w:rFonts w:ascii="ITC Avant Garde" w:hAnsi="ITC Avant Garde" w:cs="Arial"/>
          <w:i/>
          <w:sz w:val="16"/>
          <w:szCs w:val="16"/>
          <w:lang w:val="en-US"/>
        </w:rPr>
        <w:t>Interconexión</w:t>
      </w:r>
      <w:proofErr w:type="spellEnd"/>
      <w:r w:rsidRPr="00704A65">
        <w:rPr>
          <w:rFonts w:ascii="ITC Avant Garde" w:hAnsi="ITC Avant Garde" w:cs="Arial"/>
          <w:i/>
          <w:sz w:val="16"/>
          <w:szCs w:val="16"/>
          <w:lang w:val="en-US"/>
        </w:rPr>
        <w:t xml:space="preserve"> (RUDI), Julio 2000; Cullen International “Mobile termination rates: moving toward pure LRIC?”</w:t>
      </w:r>
    </w:p>
  </w:footnote>
  <w:footnote w:id="21">
    <w:p w14:paraId="67404E8A" w14:textId="77777777" w:rsidR="00D631CA" w:rsidRPr="00704A65" w:rsidRDefault="00D631CA" w:rsidP="00382941">
      <w:pPr>
        <w:pStyle w:val="Textonotapie"/>
        <w:spacing w:before="60"/>
        <w:jc w:val="both"/>
        <w:rPr>
          <w:rFonts w:ascii="ITC Avant Garde" w:hAnsi="ITC Avant Garde" w:cs="Arial"/>
          <w:i/>
          <w:sz w:val="16"/>
          <w:szCs w:val="16"/>
          <w:lang w:val="es-MX"/>
        </w:rPr>
      </w:pPr>
      <w:r w:rsidRPr="005A2E9B">
        <w:rPr>
          <w:rStyle w:val="Refdenotaalpie"/>
          <w:rFonts w:ascii="ITC Avant Garde" w:eastAsia="Arial" w:hAnsi="ITC Avant Garde"/>
          <w:sz w:val="18"/>
          <w:szCs w:val="18"/>
        </w:rPr>
        <w:footnoteRef/>
      </w:r>
      <w:r w:rsidRPr="005A2E9B">
        <w:rPr>
          <w:rFonts w:ascii="ITC Avant Garde" w:hAnsi="ITC Avant Garde" w:cs="Arial"/>
          <w:sz w:val="18"/>
          <w:szCs w:val="18"/>
        </w:rPr>
        <w:t xml:space="preserve"> </w:t>
      </w:r>
      <w:r w:rsidRPr="00704A65">
        <w:rPr>
          <w:rFonts w:ascii="ITC Avant Garde" w:hAnsi="ITC Avant Garde" w:cs="Arial"/>
          <w:sz w:val="16"/>
          <w:szCs w:val="16"/>
        </w:rPr>
        <w:t xml:space="preserve">UIT página web: </w:t>
      </w:r>
      <w:r w:rsidRPr="00704A65">
        <w:rPr>
          <w:rFonts w:ascii="ITC Avant Garde" w:hAnsi="ITC Avant Garde" w:cs="Arial"/>
          <w:i/>
          <w:sz w:val="16"/>
          <w:szCs w:val="16"/>
          <w:lang w:val="es-MX"/>
        </w:rPr>
        <w:t>http://www.itu.int/ITU-D/ICTEYE/Reports.aspx.</w:t>
      </w:r>
    </w:p>
  </w:footnote>
  <w:footnote w:id="22">
    <w:p w14:paraId="2911E1DF" w14:textId="77777777" w:rsidR="00D631CA" w:rsidRPr="00704A65" w:rsidRDefault="00D631CA" w:rsidP="00382941">
      <w:pPr>
        <w:pStyle w:val="Textonotapie"/>
        <w:spacing w:before="60"/>
        <w:jc w:val="both"/>
        <w:rPr>
          <w:rFonts w:ascii="ITC Avant Garde" w:hAnsi="ITC Avant Garde" w:cs="Arial"/>
          <w:sz w:val="16"/>
          <w:szCs w:val="16"/>
          <w:lang w:val="en-US"/>
        </w:rPr>
      </w:pPr>
      <w:r w:rsidRPr="00704A65">
        <w:rPr>
          <w:rStyle w:val="Refdenotaalpie"/>
          <w:rFonts w:ascii="ITC Avant Garde" w:eastAsia="Arial" w:hAnsi="ITC Avant Garde"/>
          <w:sz w:val="16"/>
          <w:szCs w:val="16"/>
        </w:rPr>
        <w:footnoteRef/>
      </w:r>
      <w:r w:rsidRPr="00704A65">
        <w:rPr>
          <w:rFonts w:ascii="ITC Avant Garde" w:hAnsi="ITC Avant Garde" w:cs="Arial"/>
          <w:sz w:val="16"/>
          <w:szCs w:val="16"/>
          <w:lang w:val="en-US"/>
        </w:rPr>
        <w:t xml:space="preserve"> EUROPEAN COMMISSION (2009a), “</w:t>
      </w:r>
      <w:r w:rsidRPr="00704A65">
        <w:rPr>
          <w:rFonts w:ascii="ITC Avant Garde" w:hAnsi="ITC Avant Garde" w:cs="Arial"/>
          <w:i/>
          <w:sz w:val="16"/>
          <w:szCs w:val="16"/>
          <w:lang w:val="en-US"/>
        </w:rPr>
        <w:t>Commission Recommendation on the Regulatory Treatment of Fixed and Mobile Termination Rates in the EU</w:t>
      </w:r>
      <w:r w:rsidRPr="00704A65">
        <w:rPr>
          <w:rFonts w:ascii="ITC Avant Garde" w:hAnsi="ITC Avant Garde" w:cs="Arial"/>
          <w:sz w:val="16"/>
          <w:szCs w:val="16"/>
          <w:lang w:val="en-US"/>
        </w:rPr>
        <w:t>”, European Commission, Brussels.</w:t>
      </w:r>
    </w:p>
    <w:p w14:paraId="2E12E468" w14:textId="77777777" w:rsidR="00D631CA" w:rsidRPr="001B1408" w:rsidRDefault="00D631CA" w:rsidP="00382941">
      <w:pPr>
        <w:pStyle w:val="Textonotapie"/>
        <w:rPr>
          <w:rFonts w:ascii="Arial" w:hAnsi="Arial" w:cs="Arial"/>
          <w:lang w:val="en-US"/>
        </w:rPr>
      </w:pPr>
    </w:p>
  </w:footnote>
  <w:footnote w:id="23">
    <w:p w14:paraId="25D12CB2" w14:textId="77777777" w:rsidR="00D631CA" w:rsidRPr="00704A65" w:rsidRDefault="00D631CA" w:rsidP="00382941">
      <w:pPr>
        <w:pStyle w:val="Textonotapie"/>
        <w:jc w:val="both"/>
        <w:rPr>
          <w:rFonts w:ascii="ITC Avant Garde" w:hAnsi="ITC Avant Garde"/>
          <w:sz w:val="16"/>
          <w:szCs w:val="16"/>
        </w:rPr>
      </w:pPr>
      <w:r w:rsidRPr="005A2E9B">
        <w:rPr>
          <w:rStyle w:val="Refdenotaalpie"/>
          <w:rFonts w:ascii="ITC Avant Garde" w:eastAsia="Arial" w:hAnsi="ITC Avant Garde"/>
          <w:sz w:val="18"/>
          <w:szCs w:val="18"/>
        </w:rPr>
        <w:footnoteRef/>
      </w:r>
      <w:r w:rsidRPr="005A2E9B">
        <w:rPr>
          <w:rFonts w:ascii="ITC Avant Garde" w:hAnsi="ITC Avant Garde"/>
          <w:sz w:val="18"/>
          <w:szCs w:val="18"/>
        </w:rPr>
        <w:t xml:space="preserve"> </w:t>
      </w:r>
      <w:r w:rsidRPr="00704A65">
        <w:rPr>
          <w:rFonts w:ascii="ITC Avant Garde" w:hAnsi="ITC Avant Garde" w:cs="Arial"/>
          <w:sz w:val="16"/>
          <w:szCs w:val="16"/>
        </w:rPr>
        <w:t xml:space="preserve">Los resultados del modelo no cambian sustancialmente  </w:t>
      </w:r>
      <w:proofErr w:type="spellStart"/>
      <w:r w:rsidRPr="00704A65">
        <w:rPr>
          <w:rFonts w:ascii="ITC Avant Garde" w:hAnsi="ITC Avant Garde" w:cs="Arial"/>
          <w:sz w:val="16"/>
          <w:szCs w:val="16"/>
        </w:rPr>
        <w:t>aún</w:t>
      </w:r>
      <w:proofErr w:type="spellEnd"/>
      <w:r w:rsidRPr="00704A65">
        <w:rPr>
          <w:rFonts w:ascii="ITC Avant Garde" w:hAnsi="ITC Avant Garde" w:cs="Arial"/>
          <w:sz w:val="16"/>
          <w:szCs w:val="16"/>
        </w:rPr>
        <w:t xml:space="preserve"> cuando se modele un mercado con 3 o 5 participantes.</w:t>
      </w:r>
    </w:p>
  </w:footnote>
  <w:footnote w:id="24">
    <w:p w14:paraId="64AC6401" w14:textId="77777777" w:rsidR="00D631CA" w:rsidRPr="00704A65" w:rsidRDefault="00D631CA" w:rsidP="00382941">
      <w:pPr>
        <w:pStyle w:val="Textonotapie"/>
        <w:jc w:val="both"/>
        <w:rPr>
          <w:sz w:val="16"/>
          <w:szCs w:val="16"/>
        </w:rPr>
      </w:pPr>
      <w:r w:rsidRPr="00704A65">
        <w:rPr>
          <w:rStyle w:val="Refdenotaalpie"/>
          <w:rFonts w:ascii="ITC Avant Garde" w:eastAsia="Arial" w:hAnsi="ITC Avant Garde"/>
          <w:sz w:val="16"/>
          <w:szCs w:val="16"/>
        </w:rPr>
        <w:footnoteRef/>
      </w:r>
      <w:r w:rsidRPr="00704A65">
        <w:rPr>
          <w:rFonts w:ascii="ITC Avant Garde" w:hAnsi="ITC Avant Garde"/>
          <w:sz w:val="16"/>
          <w:szCs w:val="16"/>
        </w:rPr>
        <w:t xml:space="preserve"> </w:t>
      </w:r>
      <w:r w:rsidRPr="00704A65">
        <w:rPr>
          <w:rFonts w:ascii="ITC Avant Garde" w:hAnsi="ITC Avant Garde" w:cs="Arial"/>
          <w:sz w:val="16"/>
          <w:szCs w:val="16"/>
        </w:rPr>
        <w:t>Recomendación (2009/396/CE) de la Comisión de las Comunidades Europeas, “Sobre el tratamiento normativo de las tarifas de terminación de la telefonía fija y móvil en la UE. 7 de mayo de 2009.</w:t>
      </w:r>
    </w:p>
  </w:footnote>
  <w:footnote w:id="25">
    <w:p w14:paraId="4485752C" w14:textId="77777777" w:rsidR="00D631CA" w:rsidRPr="00704A65" w:rsidRDefault="00D631CA" w:rsidP="00382941">
      <w:pPr>
        <w:pStyle w:val="Textonotapie"/>
        <w:jc w:val="both"/>
        <w:rPr>
          <w:rFonts w:ascii="ITC Avant Garde" w:eastAsiaTheme="minorHAnsi" w:hAnsi="ITC Avant Garde" w:cs="Arial"/>
          <w:sz w:val="16"/>
          <w:szCs w:val="16"/>
          <w:lang w:val="en-US" w:eastAsia="en-US"/>
        </w:rPr>
      </w:pPr>
      <w:r w:rsidRPr="00704A65">
        <w:rPr>
          <w:rFonts w:ascii="ITC Avant Garde" w:eastAsiaTheme="minorHAnsi" w:hAnsi="ITC Avant Garde" w:cs="Arial"/>
          <w:sz w:val="16"/>
          <w:szCs w:val="16"/>
          <w:vertAlign w:val="superscript"/>
          <w:lang w:val="es-MX" w:eastAsia="en-US"/>
        </w:rPr>
        <w:footnoteRef/>
      </w:r>
      <w:r w:rsidRPr="00704A65">
        <w:rPr>
          <w:rFonts w:ascii="ITC Avant Garde" w:eastAsiaTheme="minorHAnsi" w:hAnsi="ITC Avant Garde" w:cs="Arial"/>
          <w:sz w:val="16"/>
          <w:szCs w:val="16"/>
          <w:lang w:val="en-US" w:eastAsia="en-US"/>
        </w:rPr>
        <w:t xml:space="preserve"> </w:t>
      </w:r>
      <w:proofErr w:type="spellStart"/>
      <w:r w:rsidRPr="00704A65">
        <w:rPr>
          <w:rFonts w:ascii="ITC Avant Garde" w:eastAsiaTheme="minorHAnsi" w:hAnsi="ITC Avant Garde" w:cs="Arial"/>
          <w:sz w:val="16"/>
          <w:szCs w:val="16"/>
          <w:lang w:val="en-US" w:eastAsia="en-US"/>
        </w:rPr>
        <w:t>García</w:t>
      </w:r>
      <w:proofErr w:type="spellEnd"/>
      <w:r w:rsidRPr="00704A65">
        <w:rPr>
          <w:rFonts w:ascii="ITC Avant Garde" w:eastAsiaTheme="minorHAnsi" w:hAnsi="ITC Avant Garde" w:cs="Arial"/>
          <w:sz w:val="16"/>
          <w:szCs w:val="16"/>
          <w:lang w:val="en-US" w:eastAsia="en-US"/>
        </w:rPr>
        <w:t xml:space="preserve"> Murillo Martha y Pick James B. </w:t>
      </w:r>
      <w:r w:rsidRPr="00704A65">
        <w:rPr>
          <w:rFonts w:ascii="ITC Avant Garde" w:eastAsiaTheme="minorHAnsi" w:hAnsi="ITC Avant Garde" w:cs="Arial"/>
          <w:i/>
          <w:sz w:val="16"/>
          <w:szCs w:val="16"/>
          <w:lang w:val="en-US" w:eastAsia="en-US"/>
        </w:rPr>
        <w:t>Interconnection Regulation: Explaining Dominance by the Incumbent in Mexico, COMMUNICATIONS &amp; STRATEGIES no.</w:t>
      </w:r>
      <w:r w:rsidRPr="00704A65">
        <w:rPr>
          <w:rFonts w:ascii="ITC Avant Garde" w:eastAsiaTheme="minorHAnsi" w:hAnsi="ITC Avant Garde" w:cs="Arial"/>
          <w:sz w:val="16"/>
          <w:szCs w:val="16"/>
          <w:lang w:val="en-US" w:eastAsia="en-US"/>
        </w:rPr>
        <w:t xml:space="preserve"> 53.</w:t>
      </w:r>
    </w:p>
    <w:p w14:paraId="4EECE7A9" w14:textId="77777777" w:rsidR="00D631CA" w:rsidRPr="0060414C" w:rsidRDefault="00D631CA" w:rsidP="00382941">
      <w:pPr>
        <w:pStyle w:val="Textonotapie"/>
        <w:rPr>
          <w:lang w:val="en-US"/>
        </w:rPr>
      </w:pPr>
    </w:p>
  </w:footnote>
  <w:footnote w:id="26">
    <w:p w14:paraId="71800D97" w14:textId="77777777" w:rsidR="00D631CA" w:rsidRPr="00704A65" w:rsidRDefault="00D631CA" w:rsidP="00382941">
      <w:pPr>
        <w:pStyle w:val="Textonotapie"/>
        <w:rPr>
          <w:rFonts w:ascii="ITC Avant Garde" w:eastAsiaTheme="minorHAnsi" w:hAnsi="ITC Avant Garde" w:cs="Arial"/>
          <w:sz w:val="16"/>
          <w:szCs w:val="16"/>
          <w:lang w:eastAsia="en-US"/>
        </w:rPr>
      </w:pPr>
      <w:r w:rsidRPr="005A2E9B">
        <w:rPr>
          <w:rStyle w:val="Refdenotaalpie"/>
          <w:rFonts w:eastAsia="Arial"/>
          <w:sz w:val="18"/>
          <w:szCs w:val="18"/>
        </w:rPr>
        <w:footnoteRef/>
      </w:r>
      <w:r w:rsidRPr="005A2E9B">
        <w:rPr>
          <w:rStyle w:val="Refdenotaalpie"/>
          <w:rFonts w:eastAsia="Arial"/>
          <w:sz w:val="18"/>
          <w:szCs w:val="18"/>
        </w:rPr>
        <w:t xml:space="preserve"> </w:t>
      </w:r>
      <w:r w:rsidRPr="00704A65">
        <w:rPr>
          <w:rFonts w:ascii="ITC Avant Garde" w:eastAsiaTheme="minorHAnsi" w:hAnsi="ITC Avant Garde" w:cs="Arial"/>
          <w:sz w:val="16"/>
          <w:szCs w:val="16"/>
          <w:lang w:eastAsia="en-US"/>
        </w:rPr>
        <w:t>Banco Mundial (2000), Manual de Reglamentación de las telecomunicaciones.</w:t>
      </w:r>
    </w:p>
  </w:footnote>
  <w:footnote w:id="27">
    <w:p w14:paraId="589659D5" w14:textId="77777777" w:rsidR="00D631CA" w:rsidRPr="00704A65" w:rsidRDefault="00D631CA" w:rsidP="00382941">
      <w:pPr>
        <w:pStyle w:val="Textonotapie"/>
        <w:jc w:val="both"/>
        <w:rPr>
          <w:rFonts w:ascii="ITC Avant Garde" w:hAnsi="ITC Avant Garde" w:cs="Arial"/>
          <w:i/>
          <w:sz w:val="16"/>
          <w:szCs w:val="16"/>
          <w:lang w:val="en-US"/>
        </w:rPr>
      </w:pPr>
      <w:r w:rsidRPr="00F83852">
        <w:rPr>
          <w:rStyle w:val="Refdenotaalpie"/>
          <w:rFonts w:eastAsia="Arial"/>
          <w:sz w:val="18"/>
          <w:szCs w:val="18"/>
        </w:rPr>
        <w:footnoteRef/>
      </w:r>
      <w:r w:rsidRPr="00F83852">
        <w:rPr>
          <w:rFonts w:ascii="Arial" w:hAnsi="Arial" w:cs="Arial"/>
          <w:sz w:val="18"/>
          <w:szCs w:val="18"/>
          <w:lang w:val="en-US"/>
        </w:rPr>
        <w:t xml:space="preserve"> </w:t>
      </w:r>
      <w:r w:rsidRPr="00704A65">
        <w:rPr>
          <w:rFonts w:ascii="ITC Avant Garde" w:hAnsi="ITC Avant Garde" w:cs="Arial"/>
          <w:bCs/>
          <w:iCs/>
          <w:sz w:val="16"/>
          <w:szCs w:val="16"/>
          <w:lang w:val="en-US"/>
        </w:rPr>
        <w:t xml:space="preserve">Fuente: </w:t>
      </w:r>
      <w:proofErr w:type="spellStart"/>
      <w:r w:rsidRPr="00704A65">
        <w:rPr>
          <w:rFonts w:ascii="ITC Avant Garde" w:hAnsi="ITC Avant Garde" w:cs="Arial"/>
          <w:sz w:val="16"/>
          <w:szCs w:val="16"/>
          <w:lang w:val="en-US"/>
        </w:rPr>
        <w:t>Suecia</w:t>
      </w:r>
      <w:proofErr w:type="spellEnd"/>
      <w:r w:rsidRPr="00704A65">
        <w:rPr>
          <w:rFonts w:ascii="ITC Avant Garde" w:hAnsi="ITC Avant Garde" w:cs="Arial"/>
          <w:sz w:val="16"/>
          <w:szCs w:val="16"/>
          <w:lang w:val="en-US"/>
        </w:rPr>
        <w:t xml:space="preserve">: </w:t>
      </w:r>
      <w:r w:rsidRPr="00704A65">
        <w:rPr>
          <w:rFonts w:ascii="ITC Avant Garde" w:hAnsi="ITC Avant Garde" w:cs="Arial"/>
          <w:i/>
          <w:sz w:val="16"/>
          <w:szCs w:val="16"/>
          <w:lang w:val="en-US"/>
        </w:rPr>
        <w:t>http://w</w:t>
      </w:r>
      <w:hyperlink r:id="rId11" w:history="1">
        <w:r w:rsidRPr="00704A65">
          <w:rPr>
            <w:rFonts w:ascii="ITC Avant Garde" w:hAnsi="ITC Avant Garde" w:cs="Arial"/>
            <w:i/>
            <w:sz w:val="16"/>
            <w:szCs w:val="16"/>
            <w:lang w:val="en-US"/>
          </w:rPr>
          <w:t>ww.pts.se/upload/</w:t>
        </w:r>
      </w:hyperlink>
      <w:hyperlink r:id="rId12" w:history="1">
        <w:r w:rsidRPr="00704A65">
          <w:rPr>
            <w:rFonts w:ascii="ITC Avant Garde" w:hAnsi="ITC Avant Garde" w:cs="Arial"/>
            <w:i/>
            <w:sz w:val="16"/>
            <w:szCs w:val="16"/>
            <w:lang w:val="en-US"/>
          </w:rPr>
          <w:t>Ovrigt</w:t>
        </w:r>
      </w:hyperlink>
      <w:hyperlink r:id="rId13" w:history="1">
        <w:r w:rsidRPr="00704A65">
          <w:rPr>
            <w:rFonts w:ascii="ITC Avant Garde" w:hAnsi="ITC Avant Garde" w:cs="Arial"/>
            <w:i/>
            <w:sz w:val="16"/>
            <w:szCs w:val="16"/>
            <w:lang w:val="en-US"/>
          </w:rPr>
          <w:t>/Tele/</w:t>
        </w:r>
      </w:hyperlink>
      <w:hyperlink r:id="rId14" w:history="1">
        <w:r w:rsidRPr="00704A65">
          <w:rPr>
            <w:rFonts w:ascii="ITC Avant Garde" w:hAnsi="ITC Avant Garde" w:cs="Arial"/>
            <w:i/>
            <w:sz w:val="16"/>
            <w:szCs w:val="16"/>
            <w:lang w:val="en-US"/>
          </w:rPr>
          <w:t>Bransch</w:t>
        </w:r>
      </w:hyperlink>
      <w:hyperlink r:id="rId15" w:history="1">
        <w:r w:rsidRPr="00704A65">
          <w:rPr>
            <w:rFonts w:ascii="ITC Avant Garde" w:hAnsi="ITC Avant Garde" w:cs="Arial"/>
            <w:i/>
            <w:sz w:val="16"/>
            <w:szCs w:val="16"/>
            <w:lang w:val="en-US"/>
          </w:rPr>
          <w:t>/Kalkylarbete%20mobilnät/Model-   documentation-for-PTS-080602.pdf</w:t>
        </w:r>
      </w:hyperlink>
      <w:r w:rsidRPr="00704A65">
        <w:rPr>
          <w:rFonts w:ascii="ITC Avant Garde" w:hAnsi="ITC Avant Garde" w:cs="Arial"/>
          <w:i/>
          <w:sz w:val="16"/>
          <w:szCs w:val="16"/>
          <w:lang w:val="en-US"/>
        </w:rPr>
        <w:t xml:space="preserve">; </w:t>
      </w:r>
      <w:proofErr w:type="spellStart"/>
      <w:r w:rsidRPr="00704A65">
        <w:rPr>
          <w:rFonts w:ascii="ITC Avant Garde" w:hAnsi="ITC Avant Garde" w:cs="Arial"/>
          <w:i/>
          <w:sz w:val="16"/>
          <w:szCs w:val="16"/>
          <w:lang w:val="en-US"/>
        </w:rPr>
        <w:t>Reino</w:t>
      </w:r>
      <w:proofErr w:type="spellEnd"/>
      <w:r w:rsidRPr="00704A65">
        <w:rPr>
          <w:rFonts w:ascii="ITC Avant Garde" w:hAnsi="ITC Avant Garde" w:cs="Arial"/>
          <w:bCs/>
          <w:i/>
          <w:iCs/>
          <w:sz w:val="16"/>
          <w:szCs w:val="16"/>
          <w:lang w:val="en-US"/>
        </w:rPr>
        <w:t xml:space="preserve"> </w:t>
      </w:r>
      <w:proofErr w:type="spellStart"/>
      <w:r w:rsidRPr="00704A65">
        <w:rPr>
          <w:rFonts w:ascii="ITC Avant Garde" w:hAnsi="ITC Avant Garde" w:cs="Arial"/>
          <w:bCs/>
          <w:i/>
          <w:iCs/>
          <w:sz w:val="16"/>
          <w:szCs w:val="16"/>
          <w:lang w:val="en-US"/>
        </w:rPr>
        <w:t>Unido</w:t>
      </w:r>
      <w:proofErr w:type="spellEnd"/>
      <w:r w:rsidRPr="00704A65">
        <w:rPr>
          <w:rFonts w:ascii="ITC Avant Garde" w:hAnsi="ITC Avant Garde" w:cs="Arial"/>
          <w:bCs/>
          <w:i/>
          <w:iCs/>
          <w:sz w:val="16"/>
          <w:szCs w:val="16"/>
          <w:lang w:val="en-US"/>
        </w:rPr>
        <w:t>:</w:t>
      </w:r>
      <w:r w:rsidRPr="00704A65">
        <w:rPr>
          <w:rFonts w:ascii="ITC Avant Garde" w:hAnsi="ITC Avant Garde" w:cs="Arial"/>
          <w:i/>
          <w:sz w:val="16"/>
          <w:szCs w:val="16"/>
          <w:lang w:val="en-US"/>
        </w:rPr>
        <w:t xml:space="preserve"> </w:t>
      </w:r>
      <w:proofErr w:type="spellStart"/>
      <w:r w:rsidRPr="00704A65">
        <w:rPr>
          <w:rFonts w:ascii="ITC Avant Garde" w:hAnsi="ITC Avant Garde" w:cs="Arial"/>
          <w:i/>
          <w:sz w:val="16"/>
          <w:szCs w:val="16"/>
          <w:lang w:val="en-US"/>
        </w:rPr>
        <w:t>Ofcom</w:t>
      </w:r>
      <w:proofErr w:type="spellEnd"/>
      <w:r w:rsidRPr="00704A65">
        <w:rPr>
          <w:rFonts w:ascii="ITC Avant Garde" w:hAnsi="ITC Avant Garde" w:cs="Arial"/>
          <w:i/>
          <w:sz w:val="16"/>
          <w:szCs w:val="16"/>
          <w:lang w:val="en-US"/>
        </w:rPr>
        <w:t xml:space="preserve">, “Mobile Call Termination”, November 2006; </w:t>
      </w:r>
      <w:r w:rsidRPr="00704A65">
        <w:rPr>
          <w:rFonts w:ascii="ITC Avant Garde" w:hAnsi="ITC Avant Garde" w:cs="Arial"/>
          <w:bCs/>
          <w:i/>
          <w:iCs/>
          <w:sz w:val="16"/>
          <w:szCs w:val="16"/>
          <w:lang w:val="en-US"/>
        </w:rPr>
        <w:t>Australia:</w:t>
      </w:r>
      <w:r w:rsidRPr="00704A65">
        <w:rPr>
          <w:rFonts w:ascii="ITC Avant Garde" w:hAnsi="ITC Avant Garde" w:cs="Arial"/>
          <w:i/>
          <w:sz w:val="16"/>
          <w:szCs w:val="16"/>
          <w:lang w:val="en-US"/>
        </w:rPr>
        <w:t xml:space="preserve"> </w:t>
      </w:r>
      <w:proofErr w:type="spellStart"/>
      <w:r w:rsidRPr="00704A65">
        <w:rPr>
          <w:rFonts w:ascii="ITC Avant Garde" w:hAnsi="ITC Avant Garde" w:cs="Arial"/>
          <w:i/>
          <w:sz w:val="16"/>
          <w:szCs w:val="16"/>
          <w:lang w:val="en-US"/>
        </w:rPr>
        <w:t>Wik</w:t>
      </w:r>
      <w:proofErr w:type="spellEnd"/>
      <w:r w:rsidRPr="00704A65">
        <w:rPr>
          <w:rFonts w:ascii="ITC Avant Garde" w:hAnsi="ITC Avant Garde" w:cs="Arial"/>
          <w:i/>
          <w:sz w:val="16"/>
          <w:szCs w:val="16"/>
          <w:lang w:val="en-US"/>
        </w:rPr>
        <w:t xml:space="preserve">-Consult, “Mobile Termination Cost Model for Australia”, Report for the Australian Competition and Consumer Commission”. </w:t>
      </w:r>
      <w:proofErr w:type="spellStart"/>
      <w:r w:rsidRPr="00704A65">
        <w:rPr>
          <w:rFonts w:ascii="ITC Avant Garde" w:hAnsi="ITC Avant Garde" w:cs="Arial"/>
          <w:i/>
          <w:sz w:val="16"/>
          <w:szCs w:val="16"/>
          <w:lang w:val="en-US"/>
        </w:rPr>
        <w:t>Enero</w:t>
      </w:r>
      <w:proofErr w:type="spellEnd"/>
      <w:r w:rsidRPr="00704A65">
        <w:rPr>
          <w:rFonts w:ascii="ITC Avant Garde" w:hAnsi="ITC Avant Garde" w:cs="Arial"/>
          <w:i/>
          <w:sz w:val="16"/>
          <w:szCs w:val="16"/>
          <w:lang w:val="en-US"/>
        </w:rPr>
        <w:t xml:space="preserve"> 2007; </w:t>
      </w:r>
      <w:r w:rsidRPr="00704A65">
        <w:rPr>
          <w:rFonts w:ascii="ITC Avant Garde" w:hAnsi="ITC Avant Garde" w:cs="Arial"/>
          <w:bCs/>
          <w:i/>
          <w:iCs/>
          <w:sz w:val="16"/>
          <w:szCs w:val="16"/>
          <w:lang w:val="en-US"/>
        </w:rPr>
        <w:t>Israel:</w:t>
      </w:r>
      <w:r w:rsidRPr="00704A65">
        <w:rPr>
          <w:rFonts w:ascii="ITC Avant Garde" w:hAnsi="ITC Avant Garde" w:cs="Arial"/>
          <w:i/>
          <w:sz w:val="16"/>
          <w:szCs w:val="16"/>
          <w:lang w:val="en-US"/>
        </w:rPr>
        <w:t xml:space="preserve"> </w:t>
      </w:r>
      <w:proofErr w:type="spellStart"/>
      <w:r w:rsidRPr="00704A65">
        <w:rPr>
          <w:rFonts w:ascii="ITC Avant Garde" w:hAnsi="ITC Avant Garde" w:cs="Arial"/>
          <w:i/>
          <w:sz w:val="16"/>
          <w:szCs w:val="16"/>
          <w:lang w:val="en-US"/>
        </w:rPr>
        <w:t>Analysys</w:t>
      </w:r>
      <w:proofErr w:type="spellEnd"/>
      <w:r w:rsidRPr="00704A65">
        <w:rPr>
          <w:rFonts w:ascii="ITC Avant Garde" w:hAnsi="ITC Avant Garde" w:cs="Arial"/>
          <w:i/>
          <w:sz w:val="16"/>
          <w:szCs w:val="16"/>
          <w:lang w:val="en-US"/>
        </w:rPr>
        <w:t xml:space="preserve">, “A study of mobile termination charges”, Report for the Israel Ministry of Communications and Ministry of Finance, Julio 2004.; </w:t>
      </w:r>
      <w:proofErr w:type="spellStart"/>
      <w:r w:rsidRPr="00704A65">
        <w:rPr>
          <w:rFonts w:ascii="ITC Avant Garde" w:hAnsi="ITC Avant Garde" w:cs="Arial"/>
          <w:bCs/>
          <w:i/>
          <w:iCs/>
          <w:sz w:val="16"/>
          <w:szCs w:val="16"/>
          <w:lang w:val="en-US"/>
        </w:rPr>
        <w:t>Perú</w:t>
      </w:r>
      <w:proofErr w:type="spellEnd"/>
      <w:r w:rsidRPr="00704A65">
        <w:rPr>
          <w:rFonts w:ascii="ITC Avant Garde" w:hAnsi="ITC Avant Garde" w:cs="Arial"/>
          <w:i/>
          <w:sz w:val="16"/>
          <w:szCs w:val="16"/>
          <w:lang w:val="en-US"/>
        </w:rPr>
        <w:t xml:space="preserve">: </w:t>
      </w:r>
      <w:proofErr w:type="spellStart"/>
      <w:r w:rsidRPr="00704A65">
        <w:rPr>
          <w:rFonts w:ascii="ITC Avant Garde" w:hAnsi="ITC Avant Garde" w:cs="Arial"/>
          <w:i/>
          <w:sz w:val="16"/>
          <w:szCs w:val="16"/>
          <w:lang w:val="en-US"/>
        </w:rPr>
        <w:t>Wik</w:t>
      </w:r>
      <w:proofErr w:type="spellEnd"/>
      <w:r w:rsidRPr="00704A65">
        <w:rPr>
          <w:rFonts w:ascii="ITC Avant Garde" w:hAnsi="ITC Avant Garde" w:cs="Arial"/>
          <w:i/>
          <w:sz w:val="16"/>
          <w:szCs w:val="16"/>
          <w:lang w:val="en-US"/>
        </w:rPr>
        <w:t xml:space="preserve">-Consult, “Analysis of Cost Studies presented by Mobile Network Operators”, Submitted to OSIPITEL, Mayo 2005; </w:t>
      </w:r>
      <w:r w:rsidRPr="00704A65">
        <w:rPr>
          <w:rFonts w:ascii="ITC Avant Garde" w:hAnsi="ITC Avant Garde" w:cs="Arial"/>
          <w:bCs/>
          <w:i/>
          <w:iCs/>
          <w:sz w:val="16"/>
          <w:szCs w:val="16"/>
          <w:lang w:val="en-US"/>
        </w:rPr>
        <w:t>Colombia</w:t>
      </w:r>
      <w:r w:rsidRPr="00704A65">
        <w:rPr>
          <w:rFonts w:ascii="ITC Avant Garde" w:hAnsi="ITC Avant Garde" w:cs="Arial"/>
          <w:i/>
          <w:sz w:val="16"/>
          <w:szCs w:val="16"/>
          <w:lang w:val="en-US"/>
        </w:rPr>
        <w:t xml:space="preserve">: CRT, </w:t>
      </w:r>
      <w:proofErr w:type="spellStart"/>
      <w:r w:rsidRPr="00704A65">
        <w:rPr>
          <w:rFonts w:ascii="ITC Avant Garde" w:hAnsi="ITC Avant Garde" w:cs="Arial"/>
          <w:i/>
          <w:sz w:val="16"/>
          <w:szCs w:val="16"/>
          <w:lang w:val="en-US"/>
        </w:rPr>
        <w:t>Políticas</w:t>
      </w:r>
      <w:proofErr w:type="spellEnd"/>
      <w:r w:rsidRPr="00704A65">
        <w:rPr>
          <w:rFonts w:ascii="ITC Avant Garde" w:hAnsi="ITC Avant Garde" w:cs="Arial"/>
          <w:i/>
          <w:sz w:val="16"/>
          <w:szCs w:val="16"/>
          <w:lang w:val="en-US"/>
        </w:rPr>
        <w:t xml:space="preserve"> </w:t>
      </w:r>
      <w:proofErr w:type="spellStart"/>
      <w:r w:rsidRPr="00704A65">
        <w:rPr>
          <w:rFonts w:ascii="ITC Avant Garde" w:hAnsi="ITC Avant Garde" w:cs="Arial"/>
          <w:i/>
          <w:sz w:val="16"/>
          <w:szCs w:val="16"/>
          <w:lang w:val="en-US"/>
        </w:rPr>
        <w:t>Generales</w:t>
      </w:r>
      <w:proofErr w:type="spellEnd"/>
      <w:r w:rsidRPr="00704A65">
        <w:rPr>
          <w:rFonts w:ascii="ITC Avant Garde" w:hAnsi="ITC Avant Garde" w:cs="Arial"/>
          <w:i/>
          <w:sz w:val="16"/>
          <w:szCs w:val="16"/>
          <w:lang w:val="en-US"/>
        </w:rPr>
        <w:t xml:space="preserve"> y </w:t>
      </w:r>
      <w:proofErr w:type="spellStart"/>
      <w:r w:rsidRPr="00704A65">
        <w:rPr>
          <w:rFonts w:ascii="ITC Avant Garde" w:hAnsi="ITC Avant Garde" w:cs="Arial"/>
          <w:i/>
          <w:sz w:val="16"/>
          <w:szCs w:val="16"/>
          <w:lang w:val="en-US"/>
        </w:rPr>
        <w:t>Estrategias</w:t>
      </w:r>
      <w:proofErr w:type="spellEnd"/>
      <w:r w:rsidRPr="00704A65">
        <w:rPr>
          <w:rFonts w:ascii="ITC Avant Garde" w:hAnsi="ITC Avant Garde" w:cs="Arial"/>
          <w:i/>
          <w:sz w:val="16"/>
          <w:szCs w:val="16"/>
          <w:lang w:val="en-US"/>
        </w:rPr>
        <w:t xml:space="preserve"> para </w:t>
      </w:r>
      <w:proofErr w:type="spellStart"/>
      <w:r w:rsidRPr="00704A65">
        <w:rPr>
          <w:rFonts w:ascii="ITC Avant Garde" w:hAnsi="ITC Avant Garde" w:cs="Arial"/>
          <w:i/>
          <w:sz w:val="16"/>
          <w:szCs w:val="16"/>
          <w:lang w:val="en-US"/>
        </w:rPr>
        <w:t>Establecer</w:t>
      </w:r>
      <w:proofErr w:type="spellEnd"/>
      <w:r w:rsidRPr="00704A65">
        <w:rPr>
          <w:rFonts w:ascii="ITC Avant Garde" w:hAnsi="ITC Avant Garde" w:cs="Arial"/>
          <w:i/>
          <w:sz w:val="16"/>
          <w:szCs w:val="16"/>
          <w:lang w:val="en-US"/>
        </w:rPr>
        <w:t xml:space="preserve"> un </w:t>
      </w:r>
      <w:proofErr w:type="spellStart"/>
      <w:r w:rsidRPr="00704A65">
        <w:rPr>
          <w:rFonts w:ascii="ITC Avant Garde" w:hAnsi="ITC Avant Garde" w:cs="Arial"/>
          <w:i/>
          <w:sz w:val="16"/>
          <w:szCs w:val="16"/>
          <w:lang w:val="en-US"/>
        </w:rPr>
        <w:t>Régimen</w:t>
      </w:r>
      <w:proofErr w:type="spellEnd"/>
      <w:r w:rsidRPr="00704A65">
        <w:rPr>
          <w:rFonts w:ascii="ITC Avant Garde" w:hAnsi="ITC Avant Garde" w:cs="Arial"/>
          <w:i/>
          <w:sz w:val="16"/>
          <w:szCs w:val="16"/>
          <w:lang w:val="en-US"/>
        </w:rPr>
        <w:t xml:space="preserve"> </w:t>
      </w:r>
      <w:proofErr w:type="spellStart"/>
      <w:r w:rsidRPr="00704A65">
        <w:rPr>
          <w:rFonts w:ascii="ITC Avant Garde" w:hAnsi="ITC Avant Garde" w:cs="Arial"/>
          <w:i/>
          <w:sz w:val="16"/>
          <w:szCs w:val="16"/>
          <w:lang w:val="en-US"/>
        </w:rPr>
        <w:t>Unificado</w:t>
      </w:r>
      <w:proofErr w:type="spellEnd"/>
      <w:r w:rsidRPr="00704A65">
        <w:rPr>
          <w:rFonts w:ascii="ITC Avant Garde" w:hAnsi="ITC Avant Garde" w:cs="Arial"/>
          <w:i/>
          <w:sz w:val="16"/>
          <w:szCs w:val="16"/>
          <w:lang w:val="en-US"/>
        </w:rPr>
        <w:t xml:space="preserve"> de </w:t>
      </w:r>
      <w:proofErr w:type="spellStart"/>
      <w:r w:rsidRPr="00704A65">
        <w:rPr>
          <w:rFonts w:ascii="ITC Avant Garde" w:hAnsi="ITC Avant Garde" w:cs="Arial"/>
          <w:i/>
          <w:sz w:val="16"/>
          <w:szCs w:val="16"/>
          <w:lang w:val="en-US"/>
        </w:rPr>
        <w:t>Interconexión</w:t>
      </w:r>
      <w:proofErr w:type="spellEnd"/>
      <w:r w:rsidRPr="00704A65">
        <w:rPr>
          <w:rFonts w:ascii="ITC Avant Garde" w:hAnsi="ITC Avant Garde" w:cs="Arial"/>
          <w:i/>
          <w:sz w:val="16"/>
          <w:szCs w:val="16"/>
          <w:lang w:val="en-US"/>
        </w:rPr>
        <w:t xml:space="preserve"> (RUDI), Julio 2000; Cullen International “Mobile termination rates: moving toward pure LRIC?”</w:t>
      </w:r>
    </w:p>
  </w:footnote>
  <w:footnote w:id="28">
    <w:p w14:paraId="1B012383" w14:textId="77777777" w:rsidR="00D631CA" w:rsidRPr="00704A65" w:rsidRDefault="00D631CA" w:rsidP="00382941">
      <w:pPr>
        <w:pStyle w:val="Textonotapie"/>
        <w:spacing w:before="60"/>
        <w:jc w:val="both"/>
        <w:rPr>
          <w:rFonts w:ascii="ITC Avant Garde" w:hAnsi="ITC Avant Garde" w:cs="Arial"/>
          <w:i/>
          <w:sz w:val="16"/>
          <w:szCs w:val="16"/>
          <w:lang w:val="es-MX"/>
        </w:rPr>
      </w:pPr>
      <w:r w:rsidRPr="005A2E9B">
        <w:rPr>
          <w:rStyle w:val="Refdenotaalpie"/>
          <w:rFonts w:ascii="ITC Avant Garde" w:eastAsia="Arial" w:hAnsi="ITC Avant Garde"/>
          <w:sz w:val="18"/>
          <w:szCs w:val="18"/>
        </w:rPr>
        <w:footnoteRef/>
      </w:r>
      <w:r w:rsidRPr="005A2E9B">
        <w:rPr>
          <w:rFonts w:ascii="ITC Avant Garde" w:hAnsi="ITC Avant Garde" w:cs="Arial"/>
          <w:sz w:val="18"/>
          <w:szCs w:val="18"/>
        </w:rPr>
        <w:t xml:space="preserve"> </w:t>
      </w:r>
      <w:r w:rsidRPr="00704A65">
        <w:rPr>
          <w:rFonts w:ascii="ITC Avant Garde" w:hAnsi="ITC Avant Garde" w:cs="Arial"/>
          <w:sz w:val="16"/>
          <w:szCs w:val="16"/>
        </w:rPr>
        <w:t xml:space="preserve">UIT página web: </w:t>
      </w:r>
      <w:r w:rsidRPr="00704A65">
        <w:rPr>
          <w:rFonts w:ascii="ITC Avant Garde" w:hAnsi="ITC Avant Garde" w:cs="Arial"/>
          <w:i/>
          <w:sz w:val="16"/>
          <w:szCs w:val="16"/>
          <w:lang w:val="es-MX"/>
        </w:rPr>
        <w:t>http://www.itu.int/ITU-D/ICTEYE/Reports.aspx.</w:t>
      </w:r>
    </w:p>
  </w:footnote>
  <w:footnote w:id="29">
    <w:p w14:paraId="6BF0C548" w14:textId="42183635" w:rsidR="00D631CA" w:rsidRPr="00000B03" w:rsidRDefault="00D631CA" w:rsidP="00000B03">
      <w:pPr>
        <w:pStyle w:val="Textonotapie"/>
        <w:spacing w:before="60"/>
        <w:jc w:val="both"/>
        <w:rPr>
          <w:rFonts w:ascii="ITC Avant Garde" w:hAnsi="ITC Avant Garde" w:cs="Arial"/>
          <w:sz w:val="16"/>
          <w:szCs w:val="16"/>
          <w:lang w:val="en-US"/>
        </w:rPr>
      </w:pPr>
      <w:r w:rsidRPr="00704A65">
        <w:rPr>
          <w:rStyle w:val="Refdenotaalpie"/>
          <w:rFonts w:ascii="ITC Avant Garde" w:eastAsia="Arial" w:hAnsi="ITC Avant Garde"/>
          <w:sz w:val="16"/>
          <w:szCs w:val="16"/>
        </w:rPr>
        <w:footnoteRef/>
      </w:r>
      <w:r w:rsidRPr="00704A65">
        <w:rPr>
          <w:rFonts w:ascii="ITC Avant Garde" w:hAnsi="ITC Avant Garde" w:cs="Arial"/>
          <w:sz w:val="16"/>
          <w:szCs w:val="16"/>
          <w:lang w:val="en-US"/>
        </w:rPr>
        <w:t xml:space="preserve"> EUROPEAN COMMISSION (2009a), “</w:t>
      </w:r>
      <w:r w:rsidRPr="00704A65">
        <w:rPr>
          <w:rFonts w:ascii="ITC Avant Garde" w:hAnsi="ITC Avant Garde" w:cs="Arial"/>
          <w:i/>
          <w:sz w:val="16"/>
          <w:szCs w:val="16"/>
          <w:lang w:val="en-US"/>
        </w:rPr>
        <w:t>Commission Recommendation on the Regulatory Treatment of Fixed and Mobile Termination Rates in the EU”, European Commission, Brussels.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1B177" w14:textId="77777777" w:rsidR="00D631CA" w:rsidRDefault="00D631CA">
    <w:pPr>
      <w:pStyle w:val="Encabezado"/>
    </w:pPr>
    <w:r>
      <w:rPr>
        <w:noProof/>
        <w:lang w:eastAsia="es-MX"/>
      </w:rPr>
      <w:pict w14:anchorId="19D8A4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498047" o:spid="_x0000_s2059" type="#_x0000_t75" style="position:absolute;margin-left:0;margin-top:0;width:612pt;height:11in;z-index:-251657216;mso-position-horizontal:center;mso-position-horizontal-relative:margin;mso-position-vertical:center;mso-position-vertical-relative:margin" o:allowincell="f">
          <v:imagedata r:id="rId1" o:title="Constitución1_bost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319D" w14:textId="77777777" w:rsidR="00D631CA" w:rsidRDefault="00D631CA">
    <w:pPr>
      <w:pStyle w:val="Encabezado"/>
    </w:pPr>
    <w:r>
      <w:rPr>
        <w:noProof/>
        <w:lang w:eastAsia="es-MX"/>
      </w:rPr>
      <w:pict w14:anchorId="7B885C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498046" o:spid="_x0000_s2058" type="#_x0000_t75" style="position:absolute;margin-left:0;margin-top:0;width:612pt;height:11in;z-index:-251658240;mso-position-horizontal:center;mso-position-horizontal-relative:margin;mso-position-vertical:center;mso-position-vertical-relative:margin" o:allowincell="f">
          <v:imagedata r:id="rId1" o:title="Constitución1_bost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750B1"/>
    <w:multiLevelType w:val="hybridMultilevel"/>
    <w:tmpl w:val="BBECFCA6"/>
    <w:lvl w:ilvl="0" w:tplc="F6581138">
      <w:start w:val="1"/>
      <w:numFmt w:val="decimal"/>
      <w:lvlText w:val="%1)"/>
      <w:lvlJc w:val="left"/>
      <w:pPr>
        <w:ind w:left="360" w:hanging="360"/>
      </w:pPr>
      <w:rPr>
        <w:rFonts w:hint="default"/>
        <w:i w:val="0"/>
        <w:sz w:val="22"/>
        <w:szCs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E8B1F53"/>
    <w:multiLevelType w:val="multilevel"/>
    <w:tmpl w:val="CD5244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0083FB7"/>
    <w:multiLevelType w:val="hybridMultilevel"/>
    <w:tmpl w:val="62F60F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32561C"/>
    <w:multiLevelType w:val="hybridMultilevel"/>
    <w:tmpl w:val="B46C4960"/>
    <w:lvl w:ilvl="0" w:tplc="7B560F56">
      <w:start w:val="1"/>
      <w:numFmt w:val="bullet"/>
      <w:lvlText w:val=""/>
      <w:lvlJc w:val="left"/>
      <w:pPr>
        <w:ind w:left="1068" w:hanging="360"/>
      </w:pPr>
      <w:rPr>
        <w:rFonts w:ascii="Symbol" w:hAnsi="Symbol" w:hint="default"/>
        <w:lang w:val="es-MX"/>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15:restartNumberingAfterBreak="0">
    <w:nsid w:val="13723E57"/>
    <w:multiLevelType w:val="hybridMultilevel"/>
    <w:tmpl w:val="53BCC84A"/>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5" w15:restartNumberingAfterBreak="0">
    <w:nsid w:val="14E84470"/>
    <w:multiLevelType w:val="hybridMultilevel"/>
    <w:tmpl w:val="67B293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4A467FA"/>
    <w:multiLevelType w:val="hybridMultilevel"/>
    <w:tmpl w:val="6BFACE0C"/>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2A07153E"/>
    <w:multiLevelType w:val="hybridMultilevel"/>
    <w:tmpl w:val="2AD8F4D6"/>
    <w:lvl w:ilvl="0" w:tplc="1CD6A83C">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BE17F02"/>
    <w:multiLevelType w:val="hybridMultilevel"/>
    <w:tmpl w:val="906274C4"/>
    <w:lvl w:ilvl="0" w:tplc="E6DAD72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201510"/>
    <w:multiLevelType w:val="hybridMultilevel"/>
    <w:tmpl w:val="0AF0F062"/>
    <w:lvl w:ilvl="0" w:tplc="261C72E6">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87225E"/>
    <w:multiLevelType w:val="hybridMultilevel"/>
    <w:tmpl w:val="5F9A02C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78A766A"/>
    <w:multiLevelType w:val="hybridMultilevel"/>
    <w:tmpl w:val="422A914E"/>
    <w:lvl w:ilvl="0" w:tplc="0C0A001B">
      <w:start w:val="1"/>
      <w:numFmt w:val="low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E836806"/>
    <w:multiLevelType w:val="hybridMultilevel"/>
    <w:tmpl w:val="6BFACE0C"/>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15:restartNumberingAfterBreak="0">
    <w:nsid w:val="4C0937EC"/>
    <w:multiLevelType w:val="hybridMultilevel"/>
    <w:tmpl w:val="6BFACE0C"/>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15:restartNumberingAfterBreak="0">
    <w:nsid w:val="4FA537FA"/>
    <w:multiLevelType w:val="hybridMultilevel"/>
    <w:tmpl w:val="0866AE8A"/>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68054C93"/>
    <w:multiLevelType w:val="hybridMultilevel"/>
    <w:tmpl w:val="A228417C"/>
    <w:lvl w:ilvl="0" w:tplc="1CD6A83C">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4AF3538"/>
    <w:multiLevelType w:val="hybridMultilevel"/>
    <w:tmpl w:val="C1624BB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7"/>
  </w:num>
  <w:num w:numId="3">
    <w:abstractNumId w:val="0"/>
  </w:num>
  <w:num w:numId="4">
    <w:abstractNumId w:val="13"/>
  </w:num>
  <w:num w:numId="5">
    <w:abstractNumId w:val="3"/>
  </w:num>
  <w:num w:numId="6">
    <w:abstractNumId w:val="6"/>
  </w:num>
  <w:num w:numId="7">
    <w:abstractNumId w:val="12"/>
  </w:num>
  <w:num w:numId="8">
    <w:abstractNumId w:val="2"/>
  </w:num>
  <w:num w:numId="9">
    <w:abstractNumId w:val="5"/>
  </w:num>
  <w:num w:numId="10">
    <w:abstractNumId w:val="14"/>
  </w:num>
  <w:num w:numId="11">
    <w:abstractNumId w:val="8"/>
  </w:num>
  <w:num w:numId="12">
    <w:abstractNumId w:val="9"/>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5"/>
  </w:num>
  <w:num w:numId="25">
    <w:abstractNumId w:val="10"/>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DF7"/>
    <w:rsid w:val="00000B03"/>
    <w:rsid w:val="000045EA"/>
    <w:rsid w:val="0002539C"/>
    <w:rsid w:val="0004710E"/>
    <w:rsid w:val="0008071F"/>
    <w:rsid w:val="00085916"/>
    <w:rsid w:val="00095DA2"/>
    <w:rsid w:val="000E0DED"/>
    <w:rsid w:val="000E6698"/>
    <w:rsid w:val="000F5F24"/>
    <w:rsid w:val="000F6A44"/>
    <w:rsid w:val="00125119"/>
    <w:rsid w:val="00125C9B"/>
    <w:rsid w:val="001370E0"/>
    <w:rsid w:val="00180CC9"/>
    <w:rsid w:val="00182070"/>
    <w:rsid w:val="00184EF6"/>
    <w:rsid w:val="001875BC"/>
    <w:rsid w:val="00190C53"/>
    <w:rsid w:val="001B0A40"/>
    <w:rsid w:val="001B298F"/>
    <w:rsid w:val="001C1C34"/>
    <w:rsid w:val="001C26E9"/>
    <w:rsid w:val="001D5245"/>
    <w:rsid w:val="001F0887"/>
    <w:rsid w:val="001F2A48"/>
    <w:rsid w:val="002010F6"/>
    <w:rsid w:val="00222F68"/>
    <w:rsid w:val="00240F90"/>
    <w:rsid w:val="002457C1"/>
    <w:rsid w:val="002506C6"/>
    <w:rsid w:val="00265A62"/>
    <w:rsid w:val="00283C8B"/>
    <w:rsid w:val="002A28F8"/>
    <w:rsid w:val="002A57D1"/>
    <w:rsid w:val="002C73E1"/>
    <w:rsid w:val="002E5066"/>
    <w:rsid w:val="0030065A"/>
    <w:rsid w:val="003023FA"/>
    <w:rsid w:val="003072CA"/>
    <w:rsid w:val="00330398"/>
    <w:rsid w:val="00331D26"/>
    <w:rsid w:val="003341FD"/>
    <w:rsid w:val="00382941"/>
    <w:rsid w:val="00395835"/>
    <w:rsid w:val="00395FD2"/>
    <w:rsid w:val="003A6A4C"/>
    <w:rsid w:val="003C4FBA"/>
    <w:rsid w:val="003F5BEB"/>
    <w:rsid w:val="00406DF7"/>
    <w:rsid w:val="00453BCE"/>
    <w:rsid w:val="00483DBB"/>
    <w:rsid w:val="00494055"/>
    <w:rsid w:val="004E66BE"/>
    <w:rsid w:val="004F57BE"/>
    <w:rsid w:val="0051732B"/>
    <w:rsid w:val="00517E24"/>
    <w:rsid w:val="00524070"/>
    <w:rsid w:val="0054635F"/>
    <w:rsid w:val="00552CE2"/>
    <w:rsid w:val="005537E5"/>
    <w:rsid w:val="00570584"/>
    <w:rsid w:val="00590006"/>
    <w:rsid w:val="00592B43"/>
    <w:rsid w:val="005A0101"/>
    <w:rsid w:val="005B3AE8"/>
    <w:rsid w:val="00604BAD"/>
    <w:rsid w:val="00605C9D"/>
    <w:rsid w:val="00643B71"/>
    <w:rsid w:val="0065604F"/>
    <w:rsid w:val="006A437F"/>
    <w:rsid w:val="006B5373"/>
    <w:rsid w:val="006D2B3D"/>
    <w:rsid w:val="006F2DDE"/>
    <w:rsid w:val="00704A65"/>
    <w:rsid w:val="007056BF"/>
    <w:rsid w:val="00717D46"/>
    <w:rsid w:val="00734215"/>
    <w:rsid w:val="00740901"/>
    <w:rsid w:val="00742787"/>
    <w:rsid w:val="00776391"/>
    <w:rsid w:val="00786A2B"/>
    <w:rsid w:val="00792FD6"/>
    <w:rsid w:val="007C4C56"/>
    <w:rsid w:val="007D1E4D"/>
    <w:rsid w:val="007E55D9"/>
    <w:rsid w:val="007F5628"/>
    <w:rsid w:val="008233E1"/>
    <w:rsid w:val="00863DF2"/>
    <w:rsid w:val="00897E69"/>
    <w:rsid w:val="008A44E4"/>
    <w:rsid w:val="008B31DA"/>
    <w:rsid w:val="008D0372"/>
    <w:rsid w:val="008F7023"/>
    <w:rsid w:val="00904143"/>
    <w:rsid w:val="0091018B"/>
    <w:rsid w:val="009139D2"/>
    <w:rsid w:val="00932E3B"/>
    <w:rsid w:val="0095392D"/>
    <w:rsid w:val="0095413C"/>
    <w:rsid w:val="00966C64"/>
    <w:rsid w:val="009743BE"/>
    <w:rsid w:val="00983B4A"/>
    <w:rsid w:val="009A4EB7"/>
    <w:rsid w:val="009D333D"/>
    <w:rsid w:val="009D4729"/>
    <w:rsid w:val="009F4658"/>
    <w:rsid w:val="009F4E39"/>
    <w:rsid w:val="00A02D10"/>
    <w:rsid w:val="00A1103A"/>
    <w:rsid w:val="00A44769"/>
    <w:rsid w:val="00A72149"/>
    <w:rsid w:val="00A916E8"/>
    <w:rsid w:val="00A91EAD"/>
    <w:rsid w:val="00AA6E5F"/>
    <w:rsid w:val="00AA77AF"/>
    <w:rsid w:val="00AB6099"/>
    <w:rsid w:val="00AC1057"/>
    <w:rsid w:val="00AE001A"/>
    <w:rsid w:val="00AF667B"/>
    <w:rsid w:val="00B040AA"/>
    <w:rsid w:val="00B124A6"/>
    <w:rsid w:val="00B27E41"/>
    <w:rsid w:val="00B3157E"/>
    <w:rsid w:val="00B33FBD"/>
    <w:rsid w:val="00B3614D"/>
    <w:rsid w:val="00B47E8D"/>
    <w:rsid w:val="00B6080A"/>
    <w:rsid w:val="00B76436"/>
    <w:rsid w:val="00B830AD"/>
    <w:rsid w:val="00B97F35"/>
    <w:rsid w:val="00BA29AB"/>
    <w:rsid w:val="00BB22C6"/>
    <w:rsid w:val="00BB5233"/>
    <w:rsid w:val="00BB6EC6"/>
    <w:rsid w:val="00BB7159"/>
    <w:rsid w:val="00BD0214"/>
    <w:rsid w:val="00BD720D"/>
    <w:rsid w:val="00BF63DD"/>
    <w:rsid w:val="00C67299"/>
    <w:rsid w:val="00C763BC"/>
    <w:rsid w:val="00C80E8D"/>
    <w:rsid w:val="00CC18FC"/>
    <w:rsid w:val="00CC55BB"/>
    <w:rsid w:val="00CD3D0E"/>
    <w:rsid w:val="00CD5C45"/>
    <w:rsid w:val="00CF3DEE"/>
    <w:rsid w:val="00D00E99"/>
    <w:rsid w:val="00D02DC4"/>
    <w:rsid w:val="00D17B52"/>
    <w:rsid w:val="00D22DDB"/>
    <w:rsid w:val="00D566AF"/>
    <w:rsid w:val="00D631CA"/>
    <w:rsid w:val="00D64782"/>
    <w:rsid w:val="00D66E5A"/>
    <w:rsid w:val="00D71057"/>
    <w:rsid w:val="00DE09C3"/>
    <w:rsid w:val="00DE7070"/>
    <w:rsid w:val="00E02CC7"/>
    <w:rsid w:val="00E0575A"/>
    <w:rsid w:val="00E5227D"/>
    <w:rsid w:val="00E5444F"/>
    <w:rsid w:val="00E544B4"/>
    <w:rsid w:val="00E55EA2"/>
    <w:rsid w:val="00E57EB9"/>
    <w:rsid w:val="00E66E8F"/>
    <w:rsid w:val="00E70C74"/>
    <w:rsid w:val="00E87715"/>
    <w:rsid w:val="00EB5168"/>
    <w:rsid w:val="00EC664D"/>
    <w:rsid w:val="00EC7F9C"/>
    <w:rsid w:val="00EE01A5"/>
    <w:rsid w:val="00EE7C64"/>
    <w:rsid w:val="00F03724"/>
    <w:rsid w:val="00F07E47"/>
    <w:rsid w:val="00F426E3"/>
    <w:rsid w:val="00F618FC"/>
    <w:rsid w:val="00F865E8"/>
    <w:rsid w:val="00FF25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483AC33F"/>
  <w15:docId w15:val="{F3A09F68-B314-426D-A493-B1CC724A6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05C9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2941"/>
    <w:pPr>
      <w:keepNext/>
      <w:spacing w:after="0" w:line="240" w:lineRule="auto"/>
      <w:jc w:val="center"/>
      <w:outlineLvl w:val="1"/>
    </w:pPr>
    <w:rPr>
      <w:rFonts w:ascii="Times New Roman" w:eastAsia="Times New Roman" w:hAnsi="Times New Roman" w:cs="Times New Roman"/>
      <w:b/>
      <w:sz w:val="24"/>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D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6DF7"/>
  </w:style>
  <w:style w:type="paragraph" w:styleId="Piedepgina">
    <w:name w:val="footer"/>
    <w:basedOn w:val="Normal"/>
    <w:link w:val="PiedepginaCar"/>
    <w:uiPriority w:val="99"/>
    <w:unhideWhenUsed/>
    <w:rsid w:val="00406D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DF7"/>
  </w:style>
  <w:style w:type="character" w:customStyle="1" w:styleId="Ttulo2Car">
    <w:name w:val="Título 2 Car"/>
    <w:basedOn w:val="Fuentedeprrafopredeter"/>
    <w:link w:val="Ttulo2"/>
    <w:rsid w:val="00382941"/>
    <w:rPr>
      <w:rFonts w:ascii="Times New Roman" w:eastAsia="Times New Roman" w:hAnsi="Times New Roman" w:cs="Times New Roman"/>
      <w:b/>
      <w:sz w:val="24"/>
      <w:szCs w:val="20"/>
      <w:lang w:eastAsia="es-MX"/>
    </w:rPr>
  </w:style>
  <w:style w:type="numbering" w:customStyle="1" w:styleId="Sinlista1">
    <w:name w:val="Sin lista1"/>
    <w:next w:val="Sinlista"/>
    <w:uiPriority w:val="99"/>
    <w:semiHidden/>
    <w:unhideWhenUsed/>
    <w:rsid w:val="00382941"/>
  </w:style>
  <w:style w:type="paragraph" w:styleId="Prrafodelista">
    <w:name w:val="List Paragraph"/>
    <w:aliases w:val="4 Viñ 1nivel,Numeración 1,Cuadrícula media 1 - Énfasis 21,Bullet List,FooterText,numbered,List Paragraph1,Paragraphe de liste1,Bulletr List Paragraph,列出段落,列出段落1,Cuadros,Lista general"/>
    <w:basedOn w:val="Normal"/>
    <w:link w:val="PrrafodelistaCar"/>
    <w:uiPriority w:val="34"/>
    <w:qFormat/>
    <w:rsid w:val="00382941"/>
    <w:pPr>
      <w:ind w:left="720"/>
      <w:contextualSpacing/>
    </w:pPr>
  </w:style>
  <w:style w:type="paragraph" w:styleId="Textoindependiente">
    <w:name w:val="Body Text"/>
    <w:basedOn w:val="Normal"/>
    <w:link w:val="TextoindependienteCar"/>
    <w:semiHidden/>
    <w:rsid w:val="00382941"/>
    <w:pPr>
      <w:spacing w:after="0" w:line="240" w:lineRule="auto"/>
      <w:jc w:val="both"/>
    </w:pPr>
    <w:rPr>
      <w:rFonts w:ascii="Times New Roman" w:eastAsia="Times New Roman" w:hAnsi="Times New Roman" w:cs="Times New Roman"/>
      <w:sz w:val="24"/>
      <w:szCs w:val="20"/>
      <w:lang w:val="es-ES" w:eastAsia="es-MX"/>
    </w:rPr>
  </w:style>
  <w:style w:type="character" w:customStyle="1" w:styleId="TextoindependienteCar">
    <w:name w:val="Texto independiente Car"/>
    <w:basedOn w:val="Fuentedeprrafopredeter"/>
    <w:link w:val="Textoindependiente"/>
    <w:semiHidden/>
    <w:rsid w:val="00382941"/>
    <w:rPr>
      <w:rFonts w:ascii="Times New Roman" w:eastAsia="Times New Roman" w:hAnsi="Times New Roman" w:cs="Times New Roman"/>
      <w:sz w:val="24"/>
      <w:szCs w:val="20"/>
      <w:lang w:val="es-ES" w:eastAsia="es-MX"/>
    </w:rPr>
  </w:style>
  <w:style w:type="paragraph" w:styleId="Sinespaciado">
    <w:name w:val="No Spacing"/>
    <w:uiPriority w:val="1"/>
    <w:qFormat/>
    <w:rsid w:val="00382941"/>
    <w:pPr>
      <w:spacing w:after="0" w:line="240" w:lineRule="auto"/>
    </w:pPr>
    <w:rPr>
      <w:rFonts w:ascii="Calibri" w:eastAsia="Calibri" w:hAnsi="Calibri" w:cs="Times New Roman"/>
    </w:rPr>
  </w:style>
  <w:style w:type="paragraph" w:customStyle="1" w:styleId="Estilo">
    <w:name w:val="Estilo"/>
    <w:basedOn w:val="Sinespaciado"/>
    <w:link w:val="EstiloCar"/>
    <w:qFormat/>
    <w:rsid w:val="00382941"/>
    <w:pPr>
      <w:jc w:val="both"/>
    </w:pPr>
    <w:rPr>
      <w:rFonts w:ascii="Arial" w:eastAsiaTheme="minorHAnsi" w:hAnsi="Arial" w:cstheme="minorBidi"/>
      <w:sz w:val="24"/>
    </w:rPr>
  </w:style>
  <w:style w:type="character" w:customStyle="1" w:styleId="EstiloCar">
    <w:name w:val="Estilo Car"/>
    <w:basedOn w:val="Fuentedeprrafopredeter"/>
    <w:link w:val="Estilo"/>
    <w:rsid w:val="00382941"/>
    <w:rPr>
      <w:rFonts w:ascii="Arial" w:hAnsi="Arial"/>
      <w:sz w:val="24"/>
    </w:rPr>
  </w:style>
  <w:style w:type="character" w:customStyle="1" w:styleId="FontStyle22">
    <w:name w:val="Font Style22"/>
    <w:basedOn w:val="Fuentedeprrafopredeter"/>
    <w:rsid w:val="00382941"/>
    <w:rPr>
      <w:rFonts w:ascii="Arial" w:hAnsi="Arial" w:cs="Arial"/>
      <w:sz w:val="20"/>
      <w:szCs w:val="20"/>
    </w:rPr>
  </w:style>
  <w:style w:type="paragraph" w:styleId="Textosinformato">
    <w:name w:val="Plain Text"/>
    <w:basedOn w:val="Normal"/>
    <w:link w:val="TextosinformatoCar"/>
    <w:rsid w:val="00382941"/>
    <w:pPr>
      <w:spacing w:after="0" w:line="240" w:lineRule="auto"/>
    </w:pPr>
    <w:rPr>
      <w:rFonts w:ascii="Courier New" w:eastAsia="Times New Roman" w:hAnsi="Courier New" w:cs="Courier New"/>
      <w:sz w:val="24"/>
      <w:szCs w:val="24"/>
      <w:lang w:val="es-ES" w:eastAsia="es-ES"/>
    </w:rPr>
  </w:style>
  <w:style w:type="character" w:customStyle="1" w:styleId="TextosinformatoCar">
    <w:name w:val="Texto sin formato Car"/>
    <w:basedOn w:val="Fuentedeprrafopredeter"/>
    <w:link w:val="Textosinformato"/>
    <w:rsid w:val="00382941"/>
    <w:rPr>
      <w:rFonts w:ascii="Courier New" w:eastAsia="Times New Roman" w:hAnsi="Courier New" w:cs="Courier New"/>
      <w:sz w:val="24"/>
      <w:szCs w:val="24"/>
      <w:lang w:val="es-ES" w:eastAsia="es-ES"/>
    </w:rPr>
  </w:style>
  <w:style w:type="paragraph" w:customStyle="1" w:styleId="Blockquote">
    <w:name w:val="Blockquote"/>
    <w:basedOn w:val="Normal"/>
    <w:rsid w:val="00382941"/>
    <w:pPr>
      <w:spacing w:before="100" w:after="100" w:line="240" w:lineRule="auto"/>
      <w:ind w:left="360" w:right="360"/>
    </w:pPr>
    <w:rPr>
      <w:rFonts w:ascii="Times New Roman" w:eastAsia="Times New Roman" w:hAnsi="Times New Roman" w:cs="Times New Roman"/>
      <w:snapToGrid w:val="0"/>
      <w:sz w:val="24"/>
      <w:szCs w:val="20"/>
      <w:lang w:eastAsia="es-ES"/>
    </w:rPr>
  </w:style>
  <w:style w:type="character" w:styleId="Hipervnculo">
    <w:name w:val="Hyperlink"/>
    <w:basedOn w:val="Fuentedeprrafopredeter"/>
    <w:rsid w:val="00382941"/>
    <w:rPr>
      <w:color w:val="0066CC"/>
      <w:u w:val="single"/>
    </w:rPr>
  </w:style>
  <w:style w:type="character" w:customStyle="1" w:styleId="Notaalpie">
    <w:name w:val="Nota al pie_"/>
    <w:basedOn w:val="Fuentedeprrafopredeter"/>
    <w:rsid w:val="00382941"/>
    <w:rPr>
      <w:rFonts w:ascii="Verdana" w:eastAsia="Verdana" w:hAnsi="Verdana" w:cs="Verdana"/>
      <w:b w:val="0"/>
      <w:bCs w:val="0"/>
      <w:i w:val="0"/>
      <w:iCs w:val="0"/>
      <w:smallCaps w:val="0"/>
      <w:strike w:val="0"/>
      <w:spacing w:val="-10"/>
      <w:sz w:val="19"/>
      <w:szCs w:val="19"/>
      <w:u w:val="none"/>
    </w:rPr>
  </w:style>
  <w:style w:type="character" w:customStyle="1" w:styleId="NotaalpieCursiva">
    <w:name w:val="Nota al pie + Cursiva"/>
    <w:aliases w:val="Espaciado -1 pto,Cuerpo del texto + 11.5 pto,Cursiva,Título #1 + 11.5 pto,Cuerpo del texto + MingLiU,4.5 pto,Escala 250%,Cuerpo del texto (7) + Cursiva,Título #2 + 11.5 pto,Cuerpo del texto + Georgia,11.5 pto"/>
    <w:basedOn w:val="Notaalpie"/>
    <w:rsid w:val="00382941"/>
    <w:rPr>
      <w:rFonts w:ascii="Verdana" w:eastAsia="Verdana" w:hAnsi="Verdana" w:cs="Verdana"/>
      <w:b w:val="0"/>
      <w:bCs w:val="0"/>
      <w:i/>
      <w:iCs/>
      <w:smallCaps w:val="0"/>
      <w:strike w:val="0"/>
      <w:color w:val="000000"/>
      <w:spacing w:val="-20"/>
      <w:w w:val="100"/>
      <w:position w:val="0"/>
      <w:sz w:val="19"/>
      <w:szCs w:val="19"/>
      <w:u w:val="none"/>
      <w:lang w:val="es-ES"/>
    </w:rPr>
  </w:style>
  <w:style w:type="character" w:customStyle="1" w:styleId="Notaalpie2">
    <w:name w:val="Nota al pie (2)_"/>
    <w:basedOn w:val="Fuentedeprrafopredeter"/>
    <w:rsid w:val="00382941"/>
    <w:rPr>
      <w:rFonts w:ascii="Times New Roman" w:eastAsia="Times New Roman" w:hAnsi="Times New Roman" w:cs="Times New Roman"/>
      <w:b w:val="0"/>
      <w:bCs w:val="0"/>
      <w:i w:val="0"/>
      <w:iCs w:val="0"/>
      <w:smallCaps w:val="0"/>
      <w:strike w:val="0"/>
      <w:sz w:val="18"/>
      <w:szCs w:val="18"/>
      <w:u w:val="none"/>
    </w:rPr>
  </w:style>
  <w:style w:type="character" w:customStyle="1" w:styleId="Notaalpie20">
    <w:name w:val="Nota al pie (2)"/>
    <w:basedOn w:val="Notaalpie2"/>
    <w:rsid w:val="00382941"/>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s-ES"/>
    </w:rPr>
  </w:style>
  <w:style w:type="character" w:customStyle="1" w:styleId="Notaalpie2Cursiva">
    <w:name w:val="Nota al pie (2) + Cursiva"/>
    <w:basedOn w:val="Notaalpie2"/>
    <w:rsid w:val="00382941"/>
    <w:rPr>
      <w:rFonts w:ascii="Times New Roman" w:eastAsia="Times New Roman" w:hAnsi="Times New Roman" w:cs="Times New Roman"/>
      <w:b w:val="0"/>
      <w:bCs w:val="0"/>
      <w:i/>
      <w:iCs/>
      <w:smallCaps w:val="0"/>
      <w:strike w:val="0"/>
      <w:color w:val="000000"/>
      <w:spacing w:val="0"/>
      <w:w w:val="100"/>
      <w:position w:val="0"/>
      <w:sz w:val="18"/>
      <w:szCs w:val="18"/>
      <w:u w:val="single"/>
      <w:lang w:val="es-ES"/>
    </w:rPr>
  </w:style>
  <w:style w:type="character" w:customStyle="1" w:styleId="Notaalpie3">
    <w:name w:val="Nota al pie (3)_"/>
    <w:basedOn w:val="Fuentedeprrafopredeter"/>
    <w:link w:val="Notaalpie30"/>
    <w:rsid w:val="00382941"/>
    <w:rPr>
      <w:rFonts w:eastAsia="Arial" w:cs="Arial"/>
      <w:i/>
      <w:iCs/>
      <w:sz w:val="18"/>
      <w:szCs w:val="18"/>
      <w:shd w:val="clear" w:color="auto" w:fill="FFFFFF"/>
    </w:rPr>
  </w:style>
  <w:style w:type="character" w:customStyle="1" w:styleId="Notaalpie3TimesNewRoman">
    <w:name w:val="Nota al pie (3) + Times New Roman"/>
    <w:aliases w:val="Sin cursiva,Nota al pie (4) + Times New Roman,9 pto,Espaciado 0 pto,Nota al pie (4) + Sin cursiva,Nota al pie (5) + Negrita,Nota al pie + 7.5 pto,Nota al pie (7) + Franklin Gothic Demi,Cuerpo del texto + Negrita,Negrita"/>
    <w:basedOn w:val="Notaalpie3"/>
    <w:rsid w:val="00382941"/>
    <w:rPr>
      <w:rFonts w:ascii="Times New Roman" w:eastAsia="Times New Roman" w:hAnsi="Times New Roman" w:cs="Times New Roman"/>
      <w:i/>
      <w:iCs/>
      <w:color w:val="000000"/>
      <w:spacing w:val="0"/>
      <w:w w:val="100"/>
      <w:position w:val="0"/>
      <w:sz w:val="18"/>
      <w:szCs w:val="18"/>
      <w:shd w:val="clear" w:color="auto" w:fill="FFFFFF"/>
      <w:lang w:val="es-ES"/>
    </w:rPr>
  </w:style>
  <w:style w:type="character" w:customStyle="1" w:styleId="Notaalpie3Sincursiva">
    <w:name w:val="Nota al pie (3) + Sin cursiva"/>
    <w:basedOn w:val="Notaalpie3"/>
    <w:rsid w:val="00382941"/>
    <w:rPr>
      <w:rFonts w:eastAsia="Arial" w:cs="Arial"/>
      <w:i/>
      <w:iCs/>
      <w:color w:val="000000"/>
      <w:spacing w:val="0"/>
      <w:w w:val="100"/>
      <w:position w:val="0"/>
      <w:sz w:val="18"/>
      <w:szCs w:val="18"/>
      <w:shd w:val="clear" w:color="auto" w:fill="FFFFFF"/>
    </w:rPr>
  </w:style>
  <w:style w:type="character" w:customStyle="1" w:styleId="Notaalpie4">
    <w:name w:val="Nota al pie (4)_"/>
    <w:basedOn w:val="Fuentedeprrafopredeter"/>
    <w:link w:val="Notaalpie40"/>
    <w:rsid w:val="00382941"/>
    <w:rPr>
      <w:rFonts w:ascii="Verdana" w:eastAsia="Verdana" w:hAnsi="Verdana" w:cs="Verdana"/>
      <w:i/>
      <w:iCs/>
      <w:spacing w:val="-20"/>
      <w:sz w:val="19"/>
      <w:szCs w:val="19"/>
      <w:shd w:val="clear" w:color="auto" w:fill="FFFFFF"/>
    </w:rPr>
  </w:style>
  <w:style w:type="character" w:customStyle="1" w:styleId="Notaalpie5">
    <w:name w:val="Nota al pie (5)_"/>
    <w:basedOn w:val="Fuentedeprrafopredeter"/>
    <w:rsid w:val="00382941"/>
    <w:rPr>
      <w:rFonts w:ascii="Verdana" w:eastAsia="Verdana" w:hAnsi="Verdana" w:cs="Verdana"/>
      <w:b w:val="0"/>
      <w:bCs w:val="0"/>
      <w:i w:val="0"/>
      <w:iCs w:val="0"/>
      <w:smallCaps w:val="0"/>
      <w:strike w:val="0"/>
      <w:spacing w:val="-10"/>
      <w:sz w:val="22"/>
      <w:szCs w:val="22"/>
      <w:u w:val="none"/>
    </w:rPr>
  </w:style>
  <w:style w:type="character" w:customStyle="1" w:styleId="Notaalpie6">
    <w:name w:val="Nota al pie (6)_"/>
    <w:basedOn w:val="Fuentedeprrafopredeter"/>
    <w:rsid w:val="00382941"/>
    <w:rPr>
      <w:rFonts w:ascii="Franklin Gothic Demi" w:eastAsia="Franklin Gothic Demi" w:hAnsi="Franklin Gothic Demi" w:cs="Franklin Gothic Demi"/>
      <w:b w:val="0"/>
      <w:bCs w:val="0"/>
      <w:i w:val="0"/>
      <w:iCs w:val="0"/>
      <w:smallCaps w:val="0"/>
      <w:strike w:val="0"/>
      <w:sz w:val="20"/>
      <w:szCs w:val="20"/>
      <w:u w:val="none"/>
    </w:rPr>
  </w:style>
  <w:style w:type="character" w:customStyle="1" w:styleId="Notaalpie60">
    <w:name w:val="Nota al pie (6)"/>
    <w:basedOn w:val="Notaalpie6"/>
    <w:rsid w:val="00382941"/>
    <w:rPr>
      <w:rFonts w:ascii="Franklin Gothic Demi" w:eastAsia="Franklin Gothic Demi" w:hAnsi="Franklin Gothic Demi" w:cs="Franklin Gothic Demi"/>
      <w:b w:val="0"/>
      <w:bCs w:val="0"/>
      <w:i w:val="0"/>
      <w:iCs w:val="0"/>
      <w:smallCaps w:val="0"/>
      <w:strike w:val="0"/>
      <w:color w:val="000000"/>
      <w:spacing w:val="0"/>
      <w:w w:val="100"/>
      <w:position w:val="0"/>
      <w:sz w:val="20"/>
      <w:szCs w:val="20"/>
      <w:u w:val="none"/>
      <w:lang w:val="es-ES"/>
    </w:rPr>
  </w:style>
  <w:style w:type="character" w:customStyle="1" w:styleId="Notaalpie0">
    <w:name w:val="Nota al pie"/>
    <w:basedOn w:val="Notaalpie"/>
    <w:rsid w:val="00382941"/>
    <w:rPr>
      <w:rFonts w:ascii="Verdana" w:eastAsia="Verdana" w:hAnsi="Verdana" w:cs="Verdana"/>
      <w:b w:val="0"/>
      <w:bCs w:val="0"/>
      <w:i w:val="0"/>
      <w:iCs w:val="0"/>
      <w:smallCaps w:val="0"/>
      <w:strike w:val="0"/>
      <w:color w:val="000000"/>
      <w:spacing w:val="-10"/>
      <w:w w:val="100"/>
      <w:position w:val="0"/>
      <w:sz w:val="19"/>
      <w:szCs w:val="19"/>
      <w:u w:val="none"/>
      <w:lang w:val="es-ES"/>
    </w:rPr>
  </w:style>
  <w:style w:type="character" w:customStyle="1" w:styleId="Notaalpie7">
    <w:name w:val="Nota al pie (7)_"/>
    <w:basedOn w:val="Fuentedeprrafopredeter"/>
    <w:link w:val="Notaalpie70"/>
    <w:rsid w:val="00382941"/>
    <w:rPr>
      <w:rFonts w:ascii="Candara" w:eastAsia="Candara" w:hAnsi="Candara" w:cs="Candara"/>
      <w:sz w:val="19"/>
      <w:szCs w:val="19"/>
      <w:shd w:val="clear" w:color="auto" w:fill="FFFFFF"/>
    </w:rPr>
  </w:style>
  <w:style w:type="character" w:customStyle="1" w:styleId="Notaalpie50">
    <w:name w:val="Nota al pie (5)"/>
    <w:basedOn w:val="Notaalpie5"/>
    <w:rsid w:val="00382941"/>
    <w:rPr>
      <w:rFonts w:ascii="Verdana" w:eastAsia="Verdana" w:hAnsi="Verdana" w:cs="Verdana"/>
      <w:b w:val="0"/>
      <w:bCs w:val="0"/>
      <w:i w:val="0"/>
      <w:iCs w:val="0"/>
      <w:smallCaps w:val="0"/>
      <w:strike w:val="0"/>
      <w:color w:val="000000"/>
      <w:spacing w:val="-10"/>
      <w:w w:val="100"/>
      <w:position w:val="0"/>
      <w:sz w:val="22"/>
      <w:szCs w:val="22"/>
      <w:u w:val="none"/>
      <w:lang w:val="es-ES"/>
    </w:rPr>
  </w:style>
  <w:style w:type="character" w:customStyle="1" w:styleId="Cuerpodeltexto">
    <w:name w:val="Cuerpo del texto_"/>
    <w:basedOn w:val="Fuentedeprrafopredeter"/>
    <w:rsid w:val="00382941"/>
    <w:rPr>
      <w:rFonts w:ascii="Verdana" w:eastAsia="Verdana" w:hAnsi="Verdana" w:cs="Verdana"/>
      <w:b w:val="0"/>
      <w:bCs w:val="0"/>
      <w:i w:val="0"/>
      <w:iCs w:val="0"/>
      <w:smallCaps w:val="0"/>
      <w:strike w:val="0"/>
      <w:spacing w:val="-10"/>
      <w:sz w:val="22"/>
      <w:szCs w:val="22"/>
      <w:u w:val="none"/>
    </w:rPr>
  </w:style>
  <w:style w:type="character" w:customStyle="1" w:styleId="CuerpodeltextoEspaciado-1pto">
    <w:name w:val="Cuerpo del texto + Espaciado -1 pto"/>
    <w:basedOn w:val="Cuerpodeltexto"/>
    <w:rsid w:val="00382941"/>
    <w:rPr>
      <w:rFonts w:ascii="Verdana" w:eastAsia="Verdana" w:hAnsi="Verdana" w:cs="Verdana"/>
      <w:b w:val="0"/>
      <w:bCs w:val="0"/>
      <w:i w:val="0"/>
      <w:iCs w:val="0"/>
      <w:smallCaps w:val="0"/>
      <w:strike w:val="0"/>
      <w:color w:val="000000"/>
      <w:spacing w:val="-30"/>
      <w:w w:val="100"/>
      <w:position w:val="0"/>
      <w:sz w:val="22"/>
      <w:szCs w:val="22"/>
      <w:u w:val="none"/>
      <w:lang w:val="es-ES"/>
    </w:rPr>
  </w:style>
  <w:style w:type="character" w:customStyle="1" w:styleId="Cuerpodeltexto2">
    <w:name w:val="Cuerpo del texto (2)_"/>
    <w:basedOn w:val="Fuentedeprrafopredeter"/>
    <w:link w:val="Cuerpodeltexto20"/>
    <w:rsid w:val="00382941"/>
    <w:rPr>
      <w:rFonts w:eastAsia="Arial" w:cs="Arial"/>
      <w:b/>
      <w:bCs/>
      <w:sz w:val="10"/>
      <w:szCs w:val="10"/>
      <w:shd w:val="clear" w:color="auto" w:fill="FFFFFF"/>
    </w:rPr>
  </w:style>
  <w:style w:type="character" w:customStyle="1" w:styleId="Cuerpodeltexto3">
    <w:name w:val="Cuerpo del texto (3)_"/>
    <w:basedOn w:val="Fuentedeprrafopredeter"/>
    <w:link w:val="Cuerpodeltexto30"/>
    <w:rsid w:val="00382941"/>
    <w:rPr>
      <w:rFonts w:eastAsia="Arial" w:cs="Arial"/>
      <w:b/>
      <w:bCs/>
      <w:sz w:val="18"/>
      <w:szCs w:val="18"/>
      <w:shd w:val="clear" w:color="auto" w:fill="FFFFFF"/>
    </w:rPr>
  </w:style>
  <w:style w:type="character" w:customStyle="1" w:styleId="Cuerpodeltexto4">
    <w:name w:val="Cuerpo del texto (4)_"/>
    <w:basedOn w:val="Fuentedeprrafopredeter"/>
    <w:rsid w:val="00382941"/>
    <w:rPr>
      <w:rFonts w:ascii="Verdana" w:eastAsia="Verdana" w:hAnsi="Verdana" w:cs="Verdana"/>
      <w:b/>
      <w:bCs/>
      <w:i w:val="0"/>
      <w:iCs w:val="0"/>
      <w:smallCaps w:val="0"/>
      <w:strike w:val="0"/>
      <w:sz w:val="22"/>
      <w:szCs w:val="22"/>
      <w:u w:val="none"/>
    </w:rPr>
  </w:style>
  <w:style w:type="character" w:customStyle="1" w:styleId="Cuerpodeltexto0">
    <w:name w:val="Cuerpo del texto"/>
    <w:basedOn w:val="Cuerpodeltexto"/>
    <w:rsid w:val="00382941"/>
    <w:rPr>
      <w:rFonts w:ascii="Verdana" w:eastAsia="Verdana" w:hAnsi="Verdana" w:cs="Verdana"/>
      <w:b w:val="0"/>
      <w:bCs w:val="0"/>
      <w:i w:val="0"/>
      <w:iCs w:val="0"/>
      <w:smallCaps w:val="0"/>
      <w:strike w:val="0"/>
      <w:color w:val="000000"/>
      <w:spacing w:val="-10"/>
      <w:w w:val="100"/>
      <w:position w:val="0"/>
      <w:sz w:val="22"/>
      <w:szCs w:val="22"/>
      <w:u w:val="single"/>
      <w:lang w:val="es-ES"/>
    </w:rPr>
  </w:style>
  <w:style w:type="character" w:customStyle="1" w:styleId="Ttulo10">
    <w:name w:val="Título #1_"/>
    <w:basedOn w:val="Fuentedeprrafopredeter"/>
    <w:rsid w:val="00382941"/>
    <w:rPr>
      <w:rFonts w:ascii="Verdana" w:eastAsia="Verdana" w:hAnsi="Verdana" w:cs="Verdana"/>
      <w:b/>
      <w:bCs/>
      <w:i w:val="0"/>
      <w:iCs w:val="0"/>
      <w:smallCaps w:val="0"/>
      <w:strike w:val="0"/>
      <w:sz w:val="22"/>
      <w:szCs w:val="22"/>
      <w:u w:val="none"/>
    </w:rPr>
  </w:style>
  <w:style w:type="character" w:customStyle="1" w:styleId="Ttulo11">
    <w:name w:val="Título #1"/>
    <w:basedOn w:val="Ttulo10"/>
    <w:rsid w:val="00382941"/>
    <w:rPr>
      <w:rFonts w:ascii="Verdana" w:eastAsia="Verdana" w:hAnsi="Verdana" w:cs="Verdana"/>
      <w:b/>
      <w:bCs/>
      <w:i w:val="0"/>
      <w:iCs w:val="0"/>
      <w:smallCaps w:val="0"/>
      <w:strike w:val="0"/>
      <w:color w:val="000000"/>
      <w:spacing w:val="0"/>
      <w:w w:val="100"/>
      <w:position w:val="0"/>
      <w:sz w:val="22"/>
      <w:szCs w:val="22"/>
      <w:u w:val="single"/>
      <w:lang w:val="es-ES"/>
    </w:rPr>
  </w:style>
  <w:style w:type="character" w:customStyle="1" w:styleId="Cuerpodeltexto40">
    <w:name w:val="Cuerpo del texto (4)"/>
    <w:basedOn w:val="Cuerpodeltexto4"/>
    <w:rsid w:val="00382941"/>
    <w:rPr>
      <w:rFonts w:ascii="Verdana" w:eastAsia="Verdana" w:hAnsi="Verdana" w:cs="Verdana"/>
      <w:b/>
      <w:bCs/>
      <w:i w:val="0"/>
      <w:iCs w:val="0"/>
      <w:smallCaps w:val="0"/>
      <w:strike w:val="0"/>
      <w:color w:val="000000"/>
      <w:spacing w:val="0"/>
      <w:w w:val="100"/>
      <w:position w:val="0"/>
      <w:sz w:val="22"/>
      <w:szCs w:val="22"/>
      <w:u w:val="single"/>
      <w:lang w:val="es-ES"/>
    </w:rPr>
  </w:style>
  <w:style w:type="character" w:customStyle="1" w:styleId="Cuerpodeltexto5">
    <w:name w:val="Cuerpo del texto (5)_"/>
    <w:basedOn w:val="Fuentedeprrafopredeter"/>
    <w:rsid w:val="00382941"/>
    <w:rPr>
      <w:rFonts w:ascii="Verdana" w:eastAsia="Verdana" w:hAnsi="Verdana" w:cs="Verdana"/>
      <w:b w:val="0"/>
      <w:bCs w:val="0"/>
      <w:i/>
      <w:iCs/>
      <w:smallCaps w:val="0"/>
      <w:strike w:val="0"/>
      <w:spacing w:val="-20"/>
      <w:sz w:val="23"/>
      <w:szCs w:val="23"/>
      <w:u w:val="none"/>
    </w:rPr>
  </w:style>
  <w:style w:type="character" w:customStyle="1" w:styleId="Cuerpodeltexto6">
    <w:name w:val="Cuerpo del texto (6)_"/>
    <w:basedOn w:val="Fuentedeprrafopredeter"/>
    <w:link w:val="Cuerpodeltexto60"/>
    <w:rsid w:val="00382941"/>
    <w:rPr>
      <w:rFonts w:ascii="Verdana" w:eastAsia="Verdana" w:hAnsi="Verdana" w:cs="Verdana"/>
      <w:i/>
      <w:iCs/>
      <w:spacing w:val="-20"/>
      <w:sz w:val="19"/>
      <w:szCs w:val="19"/>
      <w:shd w:val="clear" w:color="auto" w:fill="FFFFFF"/>
    </w:rPr>
  </w:style>
  <w:style w:type="character" w:customStyle="1" w:styleId="Cuerpodeltexto6Espaciado0pto">
    <w:name w:val="Cuerpo del texto (6) + Espaciado 0 pto"/>
    <w:basedOn w:val="Cuerpodeltexto6"/>
    <w:rsid w:val="00382941"/>
    <w:rPr>
      <w:rFonts w:ascii="Verdana" w:eastAsia="Verdana" w:hAnsi="Verdana" w:cs="Verdana"/>
      <w:i/>
      <w:iCs/>
      <w:color w:val="000000"/>
      <w:spacing w:val="0"/>
      <w:w w:val="100"/>
      <w:position w:val="0"/>
      <w:sz w:val="19"/>
      <w:szCs w:val="19"/>
      <w:shd w:val="clear" w:color="auto" w:fill="FFFFFF"/>
      <w:lang w:val="es-ES"/>
    </w:rPr>
  </w:style>
  <w:style w:type="character" w:customStyle="1" w:styleId="Encabezamientoopiedepgina">
    <w:name w:val="Encabezamiento o pie de página_"/>
    <w:basedOn w:val="Fuentedeprrafopredeter"/>
    <w:rsid w:val="00382941"/>
    <w:rPr>
      <w:rFonts w:ascii="Verdana" w:eastAsia="Verdana" w:hAnsi="Verdana" w:cs="Verdana"/>
      <w:b w:val="0"/>
      <w:bCs w:val="0"/>
      <w:i w:val="0"/>
      <w:iCs w:val="0"/>
      <w:smallCaps w:val="0"/>
      <w:strike w:val="0"/>
      <w:spacing w:val="-10"/>
      <w:sz w:val="19"/>
      <w:szCs w:val="19"/>
      <w:u w:val="none"/>
    </w:rPr>
  </w:style>
  <w:style w:type="character" w:customStyle="1" w:styleId="Cuerpodeltexto7">
    <w:name w:val="Cuerpo del texto (7)_"/>
    <w:basedOn w:val="Fuentedeprrafopredeter"/>
    <w:rsid w:val="00382941"/>
    <w:rPr>
      <w:rFonts w:ascii="Verdana" w:eastAsia="Verdana" w:hAnsi="Verdana" w:cs="Verdana"/>
      <w:b w:val="0"/>
      <w:bCs w:val="0"/>
      <w:i w:val="0"/>
      <w:iCs w:val="0"/>
      <w:smallCaps w:val="0"/>
      <w:strike w:val="0"/>
      <w:spacing w:val="-10"/>
      <w:sz w:val="19"/>
      <w:szCs w:val="19"/>
      <w:u w:val="none"/>
    </w:rPr>
  </w:style>
  <w:style w:type="character" w:customStyle="1" w:styleId="Cuerpodeltexto70">
    <w:name w:val="Cuerpo del texto (7)"/>
    <w:basedOn w:val="Cuerpodeltexto7"/>
    <w:rsid w:val="00382941"/>
    <w:rPr>
      <w:rFonts w:ascii="Verdana" w:eastAsia="Verdana" w:hAnsi="Verdana" w:cs="Verdana"/>
      <w:b w:val="0"/>
      <w:bCs w:val="0"/>
      <w:i w:val="0"/>
      <w:iCs w:val="0"/>
      <w:smallCaps w:val="0"/>
      <w:strike w:val="0"/>
      <w:color w:val="000000"/>
      <w:spacing w:val="-10"/>
      <w:w w:val="100"/>
      <w:position w:val="0"/>
      <w:sz w:val="19"/>
      <w:szCs w:val="19"/>
      <w:u w:val="single"/>
      <w:lang w:val="es-ES"/>
    </w:rPr>
  </w:style>
  <w:style w:type="character" w:customStyle="1" w:styleId="Cuerpodeltexto8">
    <w:name w:val="Cuerpo del texto (8)_"/>
    <w:basedOn w:val="Fuentedeprrafopredeter"/>
    <w:rsid w:val="00382941"/>
    <w:rPr>
      <w:rFonts w:ascii="Verdana" w:eastAsia="Verdana" w:hAnsi="Verdana" w:cs="Verdana"/>
      <w:b/>
      <w:bCs/>
      <w:i w:val="0"/>
      <w:iCs w:val="0"/>
      <w:smallCaps w:val="0"/>
      <w:strike w:val="0"/>
      <w:sz w:val="19"/>
      <w:szCs w:val="19"/>
      <w:u w:val="none"/>
    </w:rPr>
  </w:style>
  <w:style w:type="character" w:customStyle="1" w:styleId="Cuerpodeltexto80">
    <w:name w:val="Cuerpo del texto (8)"/>
    <w:basedOn w:val="Cuerpodeltexto8"/>
    <w:rsid w:val="00382941"/>
    <w:rPr>
      <w:rFonts w:ascii="Verdana" w:eastAsia="Verdana" w:hAnsi="Verdana" w:cs="Verdana"/>
      <w:b/>
      <w:bCs/>
      <w:i w:val="0"/>
      <w:iCs w:val="0"/>
      <w:smallCaps w:val="0"/>
      <w:strike w:val="0"/>
      <w:color w:val="000000"/>
      <w:spacing w:val="0"/>
      <w:w w:val="100"/>
      <w:position w:val="0"/>
      <w:sz w:val="19"/>
      <w:szCs w:val="19"/>
      <w:u w:val="single"/>
      <w:lang w:val="es-ES"/>
    </w:rPr>
  </w:style>
  <w:style w:type="character" w:customStyle="1" w:styleId="Cuerpodeltexto50">
    <w:name w:val="Cuerpo del texto (5)"/>
    <w:basedOn w:val="Cuerpodeltexto5"/>
    <w:rsid w:val="00382941"/>
    <w:rPr>
      <w:rFonts w:ascii="Verdana" w:eastAsia="Verdana" w:hAnsi="Verdana" w:cs="Verdana"/>
      <w:b w:val="0"/>
      <w:bCs w:val="0"/>
      <w:i/>
      <w:iCs/>
      <w:smallCaps w:val="0"/>
      <w:strike w:val="0"/>
      <w:color w:val="000000"/>
      <w:spacing w:val="-20"/>
      <w:w w:val="100"/>
      <w:position w:val="0"/>
      <w:sz w:val="23"/>
      <w:szCs w:val="23"/>
      <w:u w:val="single"/>
      <w:lang w:val="es-ES"/>
    </w:rPr>
  </w:style>
  <w:style w:type="character" w:customStyle="1" w:styleId="Cuerpodeltexto5Versales">
    <w:name w:val="Cuerpo del texto (5) + Versales"/>
    <w:basedOn w:val="Cuerpodeltexto5"/>
    <w:rsid w:val="00382941"/>
    <w:rPr>
      <w:rFonts w:ascii="Verdana" w:eastAsia="Verdana" w:hAnsi="Verdana" w:cs="Verdana"/>
      <w:b w:val="0"/>
      <w:bCs w:val="0"/>
      <w:i/>
      <w:iCs/>
      <w:smallCaps/>
      <w:strike w:val="0"/>
      <w:color w:val="000000"/>
      <w:spacing w:val="-20"/>
      <w:w w:val="100"/>
      <w:position w:val="0"/>
      <w:sz w:val="23"/>
      <w:szCs w:val="23"/>
      <w:u w:val="single"/>
      <w:lang w:val="es-ES"/>
    </w:rPr>
  </w:style>
  <w:style w:type="character" w:customStyle="1" w:styleId="Cuerpodeltexto5Negrita">
    <w:name w:val="Cuerpo del texto (5) + Negrita"/>
    <w:basedOn w:val="Cuerpodeltexto5"/>
    <w:rsid w:val="00382941"/>
    <w:rPr>
      <w:rFonts w:ascii="Verdana" w:eastAsia="Verdana" w:hAnsi="Verdana" w:cs="Verdana"/>
      <w:b/>
      <w:bCs/>
      <w:i/>
      <w:iCs/>
      <w:smallCaps w:val="0"/>
      <w:strike w:val="0"/>
      <w:color w:val="000000"/>
      <w:spacing w:val="-20"/>
      <w:w w:val="100"/>
      <w:position w:val="0"/>
      <w:sz w:val="23"/>
      <w:szCs w:val="23"/>
      <w:u w:val="none"/>
      <w:lang w:val="es-ES"/>
    </w:rPr>
  </w:style>
  <w:style w:type="character" w:customStyle="1" w:styleId="Cuerpodeltexto11Exact">
    <w:name w:val="Cuerpo del texto (11) Exact"/>
    <w:basedOn w:val="Fuentedeprrafopredeter"/>
    <w:link w:val="Cuerpodeltexto11"/>
    <w:rsid w:val="00382941"/>
    <w:rPr>
      <w:rFonts w:eastAsia="Arial" w:cs="Arial"/>
      <w:spacing w:val="-3"/>
      <w:w w:val="250"/>
      <w:sz w:val="8"/>
      <w:szCs w:val="8"/>
      <w:shd w:val="clear" w:color="auto" w:fill="FFFFFF"/>
    </w:rPr>
  </w:style>
  <w:style w:type="character" w:customStyle="1" w:styleId="Cuerpodeltexto9">
    <w:name w:val="Cuerpo del texto (9)_"/>
    <w:basedOn w:val="Fuentedeprrafopredeter"/>
    <w:link w:val="Cuerpodeltexto90"/>
    <w:rsid w:val="00382941"/>
    <w:rPr>
      <w:rFonts w:ascii="MingLiU" w:eastAsia="MingLiU" w:hAnsi="MingLiU" w:cs="MingLiU"/>
      <w:w w:val="250"/>
      <w:sz w:val="9"/>
      <w:szCs w:val="9"/>
      <w:shd w:val="clear" w:color="auto" w:fill="FFFFFF"/>
    </w:rPr>
  </w:style>
  <w:style w:type="character" w:customStyle="1" w:styleId="Cuerpodeltexto10">
    <w:name w:val="Cuerpo del texto (10)_"/>
    <w:basedOn w:val="Fuentedeprrafopredeter"/>
    <w:link w:val="Cuerpodeltexto100"/>
    <w:rsid w:val="00382941"/>
    <w:rPr>
      <w:rFonts w:eastAsia="Arial" w:cs="Arial"/>
      <w:spacing w:val="20"/>
      <w:sz w:val="9"/>
      <w:szCs w:val="9"/>
      <w:shd w:val="clear" w:color="auto" w:fill="FFFFFF"/>
    </w:rPr>
  </w:style>
  <w:style w:type="character" w:customStyle="1" w:styleId="Encabezamientoopiedepgina0">
    <w:name w:val="Encabezamiento o pie de página"/>
    <w:basedOn w:val="Encabezamientoopiedepgina"/>
    <w:rsid w:val="00382941"/>
    <w:rPr>
      <w:rFonts w:ascii="Verdana" w:eastAsia="Verdana" w:hAnsi="Verdana" w:cs="Verdana"/>
      <w:b w:val="0"/>
      <w:bCs w:val="0"/>
      <w:i w:val="0"/>
      <w:iCs w:val="0"/>
      <w:smallCaps w:val="0"/>
      <w:strike w:val="0"/>
      <w:color w:val="000000"/>
      <w:spacing w:val="-10"/>
      <w:w w:val="100"/>
      <w:position w:val="0"/>
      <w:sz w:val="19"/>
      <w:szCs w:val="19"/>
      <w:u w:val="none"/>
      <w:lang w:val="es-ES"/>
    </w:rPr>
  </w:style>
  <w:style w:type="character" w:customStyle="1" w:styleId="Cuerpodeltexto4Exact">
    <w:name w:val="Cuerpo del texto (4) Exact"/>
    <w:basedOn w:val="Fuentedeprrafopredeter"/>
    <w:rsid w:val="00382941"/>
    <w:rPr>
      <w:rFonts w:ascii="Verdana" w:eastAsia="Verdana" w:hAnsi="Verdana" w:cs="Verdana"/>
      <w:b/>
      <w:bCs/>
      <w:i w:val="0"/>
      <w:iCs w:val="0"/>
      <w:smallCaps w:val="0"/>
      <w:strike w:val="0"/>
      <w:spacing w:val="-3"/>
      <w:sz w:val="20"/>
      <w:szCs w:val="20"/>
      <w:u w:val="none"/>
    </w:rPr>
  </w:style>
  <w:style w:type="character" w:customStyle="1" w:styleId="Cuerpodeltexto12Exact">
    <w:name w:val="Cuerpo del texto (12) Exact"/>
    <w:basedOn w:val="Fuentedeprrafopredeter"/>
    <w:link w:val="Cuerpodeltexto12"/>
    <w:rsid w:val="00382941"/>
    <w:rPr>
      <w:rFonts w:ascii="Century Schoolbook" w:eastAsia="Century Schoolbook" w:hAnsi="Century Schoolbook" w:cs="Century Schoolbook"/>
      <w:b/>
      <w:bCs/>
      <w:sz w:val="80"/>
      <w:szCs w:val="80"/>
      <w:shd w:val="clear" w:color="auto" w:fill="FFFFFF"/>
    </w:rPr>
  </w:style>
  <w:style w:type="character" w:customStyle="1" w:styleId="Cuerpodeltexto13Exact">
    <w:name w:val="Cuerpo del texto (13) Exact"/>
    <w:basedOn w:val="Fuentedeprrafopredeter"/>
    <w:link w:val="Cuerpodeltexto13"/>
    <w:rsid w:val="00382941"/>
    <w:rPr>
      <w:rFonts w:ascii="Verdana" w:eastAsia="Verdana" w:hAnsi="Verdana" w:cs="Verdana"/>
      <w:b/>
      <w:bCs/>
      <w:w w:val="60"/>
      <w:sz w:val="18"/>
      <w:szCs w:val="18"/>
      <w:shd w:val="clear" w:color="auto" w:fill="FFFFFF"/>
    </w:rPr>
  </w:style>
  <w:style w:type="character" w:customStyle="1" w:styleId="Cuerpodeltexto14Exact">
    <w:name w:val="Cuerpo del texto (14) Exact"/>
    <w:basedOn w:val="Fuentedeprrafopredeter"/>
    <w:link w:val="Cuerpodeltexto14"/>
    <w:rsid w:val="00382941"/>
    <w:rPr>
      <w:rFonts w:eastAsia="Arial" w:cs="Arial"/>
      <w:spacing w:val="2"/>
      <w:w w:val="66"/>
      <w:sz w:val="18"/>
      <w:szCs w:val="18"/>
      <w:shd w:val="clear" w:color="auto" w:fill="FFFFFF"/>
    </w:rPr>
  </w:style>
  <w:style w:type="character" w:customStyle="1" w:styleId="Tabladecontenidos2Exact">
    <w:name w:val="Tabla de contenidos (2) Exact"/>
    <w:basedOn w:val="Fuentedeprrafopredeter"/>
    <w:link w:val="Tabladecontenidos2"/>
    <w:rsid w:val="00382941"/>
    <w:rPr>
      <w:rFonts w:eastAsia="Arial" w:cs="Arial"/>
      <w:spacing w:val="2"/>
      <w:w w:val="66"/>
      <w:sz w:val="18"/>
      <w:szCs w:val="18"/>
      <w:shd w:val="clear" w:color="auto" w:fill="FFFFFF"/>
    </w:rPr>
  </w:style>
  <w:style w:type="character" w:customStyle="1" w:styleId="Tabladecontenidos">
    <w:name w:val="Tabla de contenidos_"/>
    <w:basedOn w:val="Fuentedeprrafopredeter"/>
    <w:link w:val="Tabladecontenidos0"/>
    <w:rsid w:val="00382941"/>
    <w:rPr>
      <w:rFonts w:eastAsia="Arial" w:cs="Arial"/>
      <w:w w:val="50"/>
      <w:sz w:val="23"/>
      <w:szCs w:val="23"/>
      <w:shd w:val="clear" w:color="auto" w:fill="FFFFFF"/>
    </w:rPr>
  </w:style>
  <w:style w:type="character" w:customStyle="1" w:styleId="Cuerpodeltexto95pto">
    <w:name w:val="Cuerpo del texto + 9.5 pto"/>
    <w:basedOn w:val="Cuerpodeltexto"/>
    <w:rsid w:val="00382941"/>
    <w:rPr>
      <w:rFonts w:ascii="Verdana" w:eastAsia="Verdana" w:hAnsi="Verdana" w:cs="Verdana"/>
      <w:b w:val="0"/>
      <w:bCs w:val="0"/>
      <w:i w:val="0"/>
      <w:iCs w:val="0"/>
      <w:smallCaps w:val="0"/>
      <w:strike w:val="0"/>
      <w:color w:val="000000"/>
      <w:spacing w:val="-10"/>
      <w:w w:val="100"/>
      <w:position w:val="0"/>
      <w:sz w:val="19"/>
      <w:szCs w:val="19"/>
      <w:u w:val="none"/>
      <w:lang w:val="es-ES"/>
    </w:rPr>
  </w:style>
  <w:style w:type="character" w:customStyle="1" w:styleId="Cuerpodeltexto15">
    <w:name w:val="Cuerpo del texto (15)_"/>
    <w:basedOn w:val="Fuentedeprrafopredeter"/>
    <w:link w:val="Cuerpodeltexto150"/>
    <w:rsid w:val="00382941"/>
    <w:rPr>
      <w:rFonts w:ascii="Verdana" w:eastAsia="Verdana" w:hAnsi="Verdana" w:cs="Verdana"/>
      <w:b/>
      <w:bCs/>
      <w:i/>
      <w:iCs/>
      <w:spacing w:val="-20"/>
      <w:sz w:val="23"/>
      <w:szCs w:val="23"/>
      <w:shd w:val="clear" w:color="auto" w:fill="FFFFFF"/>
    </w:rPr>
  </w:style>
  <w:style w:type="character" w:customStyle="1" w:styleId="Cuerpodeltexto15Sinnegrita">
    <w:name w:val="Cuerpo del texto (15) + Sin negrita"/>
    <w:basedOn w:val="Cuerpodeltexto15"/>
    <w:rsid w:val="00382941"/>
    <w:rPr>
      <w:rFonts w:ascii="Verdana" w:eastAsia="Verdana" w:hAnsi="Verdana" w:cs="Verdana"/>
      <w:b/>
      <w:bCs/>
      <w:i/>
      <w:iCs/>
      <w:color w:val="000000"/>
      <w:spacing w:val="-20"/>
      <w:w w:val="100"/>
      <w:position w:val="0"/>
      <w:sz w:val="23"/>
      <w:szCs w:val="23"/>
      <w:shd w:val="clear" w:color="auto" w:fill="FFFFFF"/>
      <w:lang w:val="es-ES"/>
    </w:rPr>
  </w:style>
  <w:style w:type="character" w:customStyle="1" w:styleId="Ttulo20">
    <w:name w:val="Título #2_"/>
    <w:basedOn w:val="Fuentedeprrafopredeter"/>
    <w:link w:val="Ttulo21"/>
    <w:rsid w:val="00382941"/>
    <w:rPr>
      <w:rFonts w:ascii="Verdana" w:eastAsia="Verdana" w:hAnsi="Verdana" w:cs="Verdana"/>
      <w:b/>
      <w:bCs/>
      <w:shd w:val="clear" w:color="auto" w:fill="FFFFFF"/>
    </w:rPr>
  </w:style>
  <w:style w:type="character" w:customStyle="1" w:styleId="Cuerpodeltexto16">
    <w:name w:val="Cuerpo del texto (16)_"/>
    <w:basedOn w:val="Fuentedeprrafopredeter"/>
    <w:link w:val="Cuerpodeltexto160"/>
    <w:rsid w:val="00382941"/>
    <w:rPr>
      <w:rFonts w:ascii="Franklin Gothic Demi" w:eastAsia="Franklin Gothic Demi" w:hAnsi="Franklin Gothic Demi" w:cs="Franklin Gothic Demi"/>
      <w:sz w:val="20"/>
      <w:szCs w:val="20"/>
      <w:shd w:val="clear" w:color="auto" w:fill="FFFFFF"/>
    </w:rPr>
  </w:style>
  <w:style w:type="character" w:customStyle="1" w:styleId="Cuerpodeltexto17">
    <w:name w:val="Cuerpo del texto (17)_"/>
    <w:basedOn w:val="Fuentedeprrafopredeter"/>
    <w:link w:val="Cuerpodeltexto170"/>
    <w:rsid w:val="00382941"/>
    <w:rPr>
      <w:rFonts w:ascii="Times New Roman" w:eastAsia="Times New Roman" w:hAnsi="Times New Roman" w:cs="Times New Roman"/>
      <w:sz w:val="18"/>
      <w:szCs w:val="18"/>
      <w:shd w:val="clear" w:color="auto" w:fill="FFFFFF"/>
    </w:rPr>
  </w:style>
  <w:style w:type="character" w:customStyle="1" w:styleId="Cuerpodeltexto18">
    <w:name w:val="Cuerpo del texto (18)_"/>
    <w:basedOn w:val="Fuentedeprrafopredeter"/>
    <w:link w:val="Cuerpodeltexto180"/>
    <w:rsid w:val="00382941"/>
    <w:rPr>
      <w:rFonts w:ascii="Verdana" w:eastAsia="Verdana" w:hAnsi="Verdana" w:cs="Verdana"/>
      <w:i/>
      <w:iCs/>
      <w:spacing w:val="-40"/>
      <w:shd w:val="clear" w:color="auto" w:fill="FFFFFF"/>
    </w:rPr>
  </w:style>
  <w:style w:type="character" w:customStyle="1" w:styleId="Cuerpodeltexto875pto">
    <w:name w:val="Cuerpo del texto (8) + 7.5 pto"/>
    <w:aliases w:val="Sin negrita"/>
    <w:basedOn w:val="Cuerpodeltexto8"/>
    <w:rsid w:val="00382941"/>
    <w:rPr>
      <w:rFonts w:ascii="Verdana" w:eastAsia="Verdana" w:hAnsi="Verdana" w:cs="Verdana"/>
      <w:b/>
      <w:bCs/>
      <w:i w:val="0"/>
      <w:iCs w:val="0"/>
      <w:smallCaps w:val="0"/>
      <w:strike w:val="0"/>
      <w:color w:val="000000"/>
      <w:spacing w:val="0"/>
      <w:w w:val="100"/>
      <w:position w:val="0"/>
      <w:sz w:val="15"/>
      <w:szCs w:val="15"/>
      <w:u w:val="single"/>
      <w:lang w:val="es-ES"/>
    </w:rPr>
  </w:style>
  <w:style w:type="character" w:customStyle="1" w:styleId="Tabladecontenidos3">
    <w:name w:val="Tabla de contenidos (3)_"/>
    <w:basedOn w:val="Fuentedeprrafopredeter"/>
    <w:link w:val="Tabladecontenidos30"/>
    <w:rsid w:val="00382941"/>
    <w:rPr>
      <w:rFonts w:ascii="Verdana" w:eastAsia="Verdana" w:hAnsi="Verdana" w:cs="Verdana"/>
      <w:spacing w:val="-10"/>
      <w:sz w:val="19"/>
      <w:szCs w:val="19"/>
      <w:shd w:val="clear" w:color="auto" w:fill="FFFFFF"/>
    </w:rPr>
  </w:style>
  <w:style w:type="character" w:customStyle="1" w:styleId="Cuerpodeltexto19">
    <w:name w:val="Cuerpo del texto (19)_"/>
    <w:basedOn w:val="Fuentedeprrafopredeter"/>
    <w:link w:val="Cuerpodeltexto190"/>
    <w:rsid w:val="00382941"/>
    <w:rPr>
      <w:rFonts w:ascii="Arial Narrow" w:eastAsia="Arial Narrow" w:hAnsi="Arial Narrow" w:cs="Arial Narrow"/>
      <w:b/>
      <w:bCs/>
      <w:sz w:val="25"/>
      <w:szCs w:val="25"/>
      <w:shd w:val="clear" w:color="auto" w:fill="FFFFFF"/>
    </w:rPr>
  </w:style>
  <w:style w:type="character" w:customStyle="1" w:styleId="Encabezamientoopiedepgina11pto">
    <w:name w:val="Encabezamiento o pie de página + 11 pto"/>
    <w:basedOn w:val="Encabezamientoopiedepgina"/>
    <w:rsid w:val="00382941"/>
    <w:rPr>
      <w:rFonts w:ascii="Verdana" w:eastAsia="Verdana" w:hAnsi="Verdana" w:cs="Verdana"/>
      <w:b w:val="0"/>
      <w:bCs w:val="0"/>
      <w:i w:val="0"/>
      <w:iCs w:val="0"/>
      <w:smallCaps w:val="0"/>
      <w:strike w:val="0"/>
      <w:color w:val="000000"/>
      <w:spacing w:val="-10"/>
      <w:w w:val="100"/>
      <w:position w:val="0"/>
      <w:sz w:val="22"/>
      <w:szCs w:val="22"/>
      <w:u w:val="none"/>
      <w:lang w:val="es-ES"/>
    </w:rPr>
  </w:style>
  <w:style w:type="character" w:customStyle="1" w:styleId="Cuerpodeltexto200">
    <w:name w:val="Cuerpo del texto (20)_"/>
    <w:basedOn w:val="Fuentedeprrafopredeter"/>
    <w:link w:val="Cuerpodeltexto201"/>
    <w:rsid w:val="00382941"/>
    <w:rPr>
      <w:rFonts w:eastAsia="Arial" w:cs="Arial"/>
      <w:spacing w:val="10"/>
      <w:w w:val="50"/>
      <w:sz w:val="23"/>
      <w:szCs w:val="23"/>
      <w:shd w:val="clear" w:color="auto" w:fill="FFFFFF"/>
    </w:rPr>
  </w:style>
  <w:style w:type="character" w:customStyle="1" w:styleId="Cuerpodeltexto21">
    <w:name w:val="Cuerpo del texto (21)_"/>
    <w:basedOn w:val="Fuentedeprrafopredeter"/>
    <w:link w:val="Cuerpodeltexto210"/>
    <w:rsid w:val="00382941"/>
    <w:rPr>
      <w:rFonts w:ascii="Arial Narrow" w:eastAsia="Arial Narrow" w:hAnsi="Arial Narrow" w:cs="Arial Narrow"/>
      <w:b/>
      <w:bCs/>
      <w:sz w:val="45"/>
      <w:szCs w:val="45"/>
      <w:shd w:val="clear" w:color="auto" w:fill="FFFFFF"/>
    </w:rPr>
  </w:style>
  <w:style w:type="character" w:customStyle="1" w:styleId="Cuerpodeltexto22">
    <w:name w:val="Cuerpo del texto (22)_"/>
    <w:basedOn w:val="Fuentedeprrafopredeter"/>
    <w:link w:val="Cuerpodeltexto220"/>
    <w:rsid w:val="00382941"/>
    <w:rPr>
      <w:rFonts w:eastAsia="Arial" w:cs="Arial"/>
      <w:sz w:val="21"/>
      <w:szCs w:val="21"/>
      <w:shd w:val="clear" w:color="auto" w:fill="FFFFFF"/>
    </w:rPr>
  </w:style>
  <w:style w:type="character" w:customStyle="1" w:styleId="Cuerpodeltexto23Exact">
    <w:name w:val="Cuerpo del texto (23) Exact"/>
    <w:basedOn w:val="Fuentedeprrafopredeter"/>
    <w:link w:val="Cuerpodeltexto23"/>
    <w:rsid w:val="00382941"/>
    <w:rPr>
      <w:rFonts w:ascii="Verdana" w:eastAsia="Verdana" w:hAnsi="Verdana" w:cs="Verdana"/>
      <w:spacing w:val="-36"/>
      <w:sz w:val="20"/>
      <w:szCs w:val="20"/>
      <w:shd w:val="clear" w:color="auto" w:fill="FFFFFF"/>
    </w:rPr>
  </w:style>
  <w:style w:type="character" w:customStyle="1" w:styleId="Cuerpodeltexto23FranklinGothicDemi">
    <w:name w:val="Cuerpo del texto (23) + Franklin Gothic Demi"/>
    <w:aliases w:val="19 pto,Espaciado 0 pto Exact"/>
    <w:basedOn w:val="Cuerpodeltexto23Exact"/>
    <w:rsid w:val="00382941"/>
    <w:rPr>
      <w:rFonts w:ascii="Franklin Gothic Demi" w:eastAsia="Franklin Gothic Demi" w:hAnsi="Franklin Gothic Demi" w:cs="Franklin Gothic Demi"/>
      <w:color w:val="000000"/>
      <w:spacing w:val="0"/>
      <w:w w:val="100"/>
      <w:position w:val="0"/>
      <w:sz w:val="38"/>
      <w:szCs w:val="38"/>
      <w:shd w:val="clear" w:color="auto" w:fill="FFFFFF"/>
      <w:lang w:val="es-ES"/>
    </w:rPr>
  </w:style>
  <w:style w:type="character" w:customStyle="1" w:styleId="Cuerpodeltexto24Exact">
    <w:name w:val="Cuerpo del texto (24) Exact"/>
    <w:basedOn w:val="Fuentedeprrafopredeter"/>
    <w:link w:val="Cuerpodeltexto24"/>
    <w:rsid w:val="00382941"/>
    <w:rPr>
      <w:rFonts w:ascii="Times New Roman" w:eastAsia="Times New Roman" w:hAnsi="Times New Roman" w:cs="Times New Roman"/>
      <w:sz w:val="15"/>
      <w:szCs w:val="15"/>
      <w:shd w:val="clear" w:color="auto" w:fill="FFFFFF"/>
    </w:rPr>
  </w:style>
  <w:style w:type="character" w:customStyle="1" w:styleId="Cuerpodeltexto24ArialNarrow">
    <w:name w:val="Cuerpo del texto (24) + Arial Narrow"/>
    <w:aliases w:val="7 pto,Cursiva Exact"/>
    <w:basedOn w:val="Cuerpodeltexto24Exact"/>
    <w:rsid w:val="00382941"/>
    <w:rPr>
      <w:rFonts w:ascii="Arial Narrow" w:eastAsia="Arial Narrow" w:hAnsi="Arial Narrow" w:cs="Arial Narrow"/>
      <w:i/>
      <w:iCs/>
      <w:color w:val="000000"/>
      <w:spacing w:val="0"/>
      <w:w w:val="100"/>
      <w:position w:val="0"/>
      <w:sz w:val="14"/>
      <w:szCs w:val="14"/>
      <w:shd w:val="clear" w:color="auto" w:fill="FFFFFF"/>
    </w:rPr>
  </w:style>
  <w:style w:type="character" w:customStyle="1" w:styleId="Cuerpodeltexto8Exact">
    <w:name w:val="Cuerpo del texto (8) Exact"/>
    <w:basedOn w:val="Fuentedeprrafopredeter"/>
    <w:rsid w:val="00382941"/>
    <w:rPr>
      <w:rFonts w:ascii="Verdana" w:eastAsia="Verdana" w:hAnsi="Verdana" w:cs="Verdana"/>
      <w:b/>
      <w:bCs/>
      <w:i w:val="0"/>
      <w:iCs w:val="0"/>
      <w:smallCaps w:val="0"/>
      <w:strike w:val="0"/>
      <w:spacing w:val="-4"/>
      <w:sz w:val="17"/>
      <w:szCs w:val="17"/>
      <w:u w:val="none"/>
    </w:rPr>
  </w:style>
  <w:style w:type="character" w:customStyle="1" w:styleId="Ttulo12">
    <w:name w:val="Título #1 (2)_"/>
    <w:basedOn w:val="Fuentedeprrafopredeter"/>
    <w:link w:val="Ttulo120"/>
    <w:rsid w:val="00382941"/>
    <w:rPr>
      <w:rFonts w:ascii="Arial Narrow" w:eastAsia="Arial Narrow" w:hAnsi="Arial Narrow" w:cs="Arial Narrow"/>
      <w:sz w:val="42"/>
      <w:szCs w:val="42"/>
      <w:shd w:val="clear" w:color="auto" w:fill="FFFFFF"/>
    </w:rPr>
  </w:style>
  <w:style w:type="character" w:customStyle="1" w:styleId="Cuerpodeltexto10pto">
    <w:name w:val="Cuerpo del texto + 10 pto"/>
    <w:aliases w:val="Espaciado -2 pto"/>
    <w:basedOn w:val="Cuerpodeltexto"/>
    <w:rsid w:val="00382941"/>
    <w:rPr>
      <w:rFonts w:ascii="Verdana" w:eastAsia="Verdana" w:hAnsi="Verdana" w:cs="Verdana"/>
      <w:b w:val="0"/>
      <w:bCs w:val="0"/>
      <w:i w:val="0"/>
      <w:iCs w:val="0"/>
      <w:smallCaps w:val="0"/>
      <w:strike w:val="0"/>
      <w:color w:val="000000"/>
      <w:spacing w:val="-40"/>
      <w:w w:val="100"/>
      <w:position w:val="0"/>
      <w:sz w:val="20"/>
      <w:szCs w:val="20"/>
      <w:u w:val="none"/>
      <w:lang w:val="es-ES"/>
    </w:rPr>
  </w:style>
  <w:style w:type="character" w:customStyle="1" w:styleId="Leyendadelatabla">
    <w:name w:val="Leyenda de la tabla_"/>
    <w:basedOn w:val="Fuentedeprrafopredeter"/>
    <w:link w:val="Leyendadelatabla0"/>
    <w:rsid w:val="00382941"/>
    <w:rPr>
      <w:rFonts w:ascii="Verdana" w:eastAsia="Verdana" w:hAnsi="Verdana" w:cs="Verdana"/>
      <w:spacing w:val="-10"/>
      <w:sz w:val="19"/>
      <w:szCs w:val="19"/>
      <w:shd w:val="clear" w:color="auto" w:fill="FFFFFF"/>
    </w:rPr>
  </w:style>
  <w:style w:type="character" w:customStyle="1" w:styleId="Cuerpodeltexto25">
    <w:name w:val="Cuerpo del texto (25)_"/>
    <w:basedOn w:val="Fuentedeprrafopredeter"/>
    <w:link w:val="Cuerpodeltexto250"/>
    <w:rsid w:val="00382941"/>
    <w:rPr>
      <w:rFonts w:ascii="Verdana" w:eastAsia="Verdana" w:hAnsi="Verdana" w:cs="Verdana"/>
      <w:sz w:val="14"/>
      <w:szCs w:val="14"/>
      <w:shd w:val="clear" w:color="auto" w:fill="FFFFFF"/>
    </w:rPr>
  </w:style>
  <w:style w:type="character" w:customStyle="1" w:styleId="Cuerpodeltexto26">
    <w:name w:val="Cuerpo del texto (26)_"/>
    <w:basedOn w:val="Fuentedeprrafopredeter"/>
    <w:link w:val="Cuerpodeltexto260"/>
    <w:rsid w:val="00382941"/>
    <w:rPr>
      <w:rFonts w:ascii="Times New Roman" w:eastAsia="Times New Roman" w:hAnsi="Times New Roman" w:cs="Times New Roman"/>
      <w:spacing w:val="10"/>
      <w:sz w:val="15"/>
      <w:szCs w:val="15"/>
      <w:shd w:val="clear" w:color="auto" w:fill="FFFFFF"/>
    </w:rPr>
  </w:style>
  <w:style w:type="character" w:customStyle="1" w:styleId="Cuerpodeltexto27">
    <w:name w:val="Cuerpo del texto (27)_"/>
    <w:basedOn w:val="Fuentedeprrafopredeter"/>
    <w:link w:val="Cuerpodeltexto270"/>
    <w:rsid w:val="00382941"/>
    <w:rPr>
      <w:rFonts w:ascii="Comic Sans MS" w:eastAsia="Comic Sans MS" w:hAnsi="Comic Sans MS" w:cs="Comic Sans MS"/>
      <w:sz w:val="16"/>
      <w:szCs w:val="16"/>
      <w:shd w:val="clear" w:color="auto" w:fill="FFFFFF"/>
    </w:rPr>
  </w:style>
  <w:style w:type="character" w:customStyle="1" w:styleId="Cuerpodeltexto28">
    <w:name w:val="Cuerpo del texto (28)_"/>
    <w:basedOn w:val="Fuentedeprrafopredeter"/>
    <w:link w:val="Cuerpodeltexto280"/>
    <w:rsid w:val="00382941"/>
    <w:rPr>
      <w:rFonts w:ascii="Verdana" w:eastAsia="Verdana" w:hAnsi="Verdana" w:cs="Verdana"/>
      <w:b/>
      <w:bCs/>
      <w:sz w:val="19"/>
      <w:szCs w:val="19"/>
      <w:shd w:val="clear" w:color="auto" w:fill="FFFFFF"/>
    </w:rPr>
  </w:style>
  <w:style w:type="character" w:customStyle="1" w:styleId="Cuerpodeltexto29">
    <w:name w:val="Cuerpo del texto (29)_"/>
    <w:basedOn w:val="Fuentedeprrafopredeter"/>
    <w:link w:val="Cuerpodeltexto290"/>
    <w:rsid w:val="00382941"/>
    <w:rPr>
      <w:rFonts w:ascii="Comic Sans MS" w:eastAsia="Comic Sans MS" w:hAnsi="Comic Sans MS" w:cs="Comic Sans MS"/>
      <w:b/>
      <w:bCs/>
      <w:sz w:val="12"/>
      <w:szCs w:val="12"/>
      <w:shd w:val="clear" w:color="auto" w:fill="FFFFFF"/>
    </w:rPr>
  </w:style>
  <w:style w:type="character" w:customStyle="1" w:styleId="Cuerpodeltexto300">
    <w:name w:val="Cuerpo del texto (30)_"/>
    <w:basedOn w:val="Fuentedeprrafopredeter"/>
    <w:link w:val="Cuerpodeltexto301"/>
    <w:rsid w:val="00382941"/>
    <w:rPr>
      <w:rFonts w:ascii="Verdana" w:eastAsia="Verdana" w:hAnsi="Verdana" w:cs="Verdana"/>
      <w:sz w:val="10"/>
      <w:szCs w:val="10"/>
      <w:shd w:val="clear" w:color="auto" w:fill="FFFFFF"/>
    </w:rPr>
  </w:style>
  <w:style w:type="paragraph" w:customStyle="1" w:styleId="Notaalpie30">
    <w:name w:val="Nota al pie (3)"/>
    <w:basedOn w:val="Normal"/>
    <w:link w:val="Notaalpie3"/>
    <w:rsid w:val="00382941"/>
    <w:pPr>
      <w:widowControl w:val="0"/>
      <w:shd w:val="clear" w:color="auto" w:fill="FFFFFF"/>
      <w:spacing w:after="0" w:line="221" w:lineRule="exact"/>
    </w:pPr>
    <w:rPr>
      <w:rFonts w:eastAsia="Arial" w:cs="Arial"/>
      <w:i/>
      <w:iCs/>
      <w:sz w:val="18"/>
      <w:szCs w:val="18"/>
    </w:rPr>
  </w:style>
  <w:style w:type="paragraph" w:customStyle="1" w:styleId="Notaalpie40">
    <w:name w:val="Nota al pie (4)"/>
    <w:basedOn w:val="Normal"/>
    <w:link w:val="Notaalpie4"/>
    <w:rsid w:val="00382941"/>
    <w:pPr>
      <w:widowControl w:val="0"/>
      <w:shd w:val="clear" w:color="auto" w:fill="FFFFFF"/>
      <w:spacing w:after="0" w:line="240" w:lineRule="exact"/>
      <w:jc w:val="both"/>
    </w:pPr>
    <w:rPr>
      <w:rFonts w:ascii="Verdana" w:eastAsia="Verdana" w:hAnsi="Verdana" w:cs="Verdana"/>
      <w:i/>
      <w:iCs/>
      <w:spacing w:val="-20"/>
      <w:sz w:val="19"/>
      <w:szCs w:val="19"/>
    </w:rPr>
  </w:style>
  <w:style w:type="paragraph" w:customStyle="1" w:styleId="Notaalpie70">
    <w:name w:val="Nota al pie (7)"/>
    <w:basedOn w:val="Normal"/>
    <w:link w:val="Notaalpie7"/>
    <w:rsid w:val="00382941"/>
    <w:pPr>
      <w:widowControl w:val="0"/>
      <w:shd w:val="clear" w:color="auto" w:fill="FFFFFF"/>
      <w:spacing w:after="480" w:line="0" w:lineRule="atLeast"/>
    </w:pPr>
    <w:rPr>
      <w:rFonts w:ascii="Candara" w:eastAsia="Candara" w:hAnsi="Candara" w:cs="Candara"/>
      <w:sz w:val="19"/>
      <w:szCs w:val="19"/>
    </w:rPr>
  </w:style>
  <w:style w:type="paragraph" w:customStyle="1" w:styleId="Cuerpodeltexto20">
    <w:name w:val="Cuerpo del texto (2)"/>
    <w:basedOn w:val="Normal"/>
    <w:link w:val="Cuerpodeltexto2"/>
    <w:rsid w:val="00382941"/>
    <w:pPr>
      <w:widowControl w:val="0"/>
      <w:shd w:val="clear" w:color="auto" w:fill="FFFFFF"/>
      <w:spacing w:after="120" w:line="0" w:lineRule="atLeast"/>
    </w:pPr>
    <w:rPr>
      <w:rFonts w:eastAsia="Arial" w:cs="Arial"/>
      <w:b/>
      <w:bCs/>
      <w:sz w:val="10"/>
      <w:szCs w:val="10"/>
    </w:rPr>
  </w:style>
  <w:style w:type="paragraph" w:customStyle="1" w:styleId="Cuerpodeltexto30">
    <w:name w:val="Cuerpo del texto (3)"/>
    <w:basedOn w:val="Normal"/>
    <w:link w:val="Cuerpodeltexto3"/>
    <w:rsid w:val="00382941"/>
    <w:pPr>
      <w:widowControl w:val="0"/>
      <w:shd w:val="clear" w:color="auto" w:fill="FFFFFF"/>
      <w:spacing w:before="120" w:after="0" w:line="0" w:lineRule="atLeast"/>
    </w:pPr>
    <w:rPr>
      <w:rFonts w:eastAsia="Arial" w:cs="Arial"/>
      <w:b/>
      <w:bCs/>
      <w:sz w:val="18"/>
      <w:szCs w:val="18"/>
    </w:rPr>
  </w:style>
  <w:style w:type="paragraph" w:customStyle="1" w:styleId="Cuerpodeltexto60">
    <w:name w:val="Cuerpo del texto (6)"/>
    <w:basedOn w:val="Normal"/>
    <w:link w:val="Cuerpodeltexto6"/>
    <w:rsid w:val="00382941"/>
    <w:pPr>
      <w:widowControl w:val="0"/>
      <w:shd w:val="clear" w:color="auto" w:fill="FFFFFF"/>
      <w:spacing w:before="240" w:after="240" w:line="240" w:lineRule="exact"/>
      <w:jc w:val="both"/>
    </w:pPr>
    <w:rPr>
      <w:rFonts w:ascii="Verdana" w:eastAsia="Verdana" w:hAnsi="Verdana" w:cs="Verdana"/>
      <w:i/>
      <w:iCs/>
      <w:spacing w:val="-20"/>
      <w:sz w:val="19"/>
      <w:szCs w:val="19"/>
    </w:rPr>
  </w:style>
  <w:style w:type="paragraph" w:customStyle="1" w:styleId="Cuerpodeltexto11">
    <w:name w:val="Cuerpo del texto (11)"/>
    <w:basedOn w:val="Normal"/>
    <w:link w:val="Cuerpodeltexto11Exact"/>
    <w:rsid w:val="00382941"/>
    <w:pPr>
      <w:widowControl w:val="0"/>
      <w:shd w:val="clear" w:color="auto" w:fill="FFFFFF"/>
      <w:spacing w:after="0" w:line="106" w:lineRule="exact"/>
      <w:jc w:val="both"/>
    </w:pPr>
    <w:rPr>
      <w:rFonts w:eastAsia="Arial" w:cs="Arial"/>
      <w:spacing w:val="-3"/>
      <w:w w:val="250"/>
      <w:sz w:val="8"/>
      <w:szCs w:val="8"/>
    </w:rPr>
  </w:style>
  <w:style w:type="paragraph" w:customStyle="1" w:styleId="Cuerpodeltexto90">
    <w:name w:val="Cuerpo del texto (9)"/>
    <w:basedOn w:val="Normal"/>
    <w:link w:val="Cuerpodeltexto9"/>
    <w:rsid w:val="00382941"/>
    <w:pPr>
      <w:widowControl w:val="0"/>
      <w:shd w:val="clear" w:color="auto" w:fill="FFFFFF"/>
      <w:spacing w:after="0" w:line="283" w:lineRule="exact"/>
      <w:jc w:val="both"/>
    </w:pPr>
    <w:rPr>
      <w:rFonts w:ascii="MingLiU" w:eastAsia="MingLiU" w:hAnsi="MingLiU" w:cs="MingLiU"/>
      <w:w w:val="250"/>
      <w:sz w:val="9"/>
      <w:szCs w:val="9"/>
    </w:rPr>
  </w:style>
  <w:style w:type="paragraph" w:customStyle="1" w:styleId="Cuerpodeltexto100">
    <w:name w:val="Cuerpo del texto (10)"/>
    <w:basedOn w:val="Normal"/>
    <w:link w:val="Cuerpodeltexto10"/>
    <w:rsid w:val="00382941"/>
    <w:pPr>
      <w:widowControl w:val="0"/>
      <w:shd w:val="clear" w:color="auto" w:fill="FFFFFF"/>
      <w:spacing w:after="0" w:line="283" w:lineRule="exact"/>
      <w:jc w:val="both"/>
    </w:pPr>
    <w:rPr>
      <w:rFonts w:eastAsia="Arial" w:cs="Arial"/>
      <w:spacing w:val="20"/>
      <w:sz w:val="9"/>
      <w:szCs w:val="9"/>
    </w:rPr>
  </w:style>
  <w:style w:type="paragraph" w:customStyle="1" w:styleId="Cuerpodeltexto12">
    <w:name w:val="Cuerpo del texto (12)"/>
    <w:basedOn w:val="Normal"/>
    <w:link w:val="Cuerpodeltexto12Exact"/>
    <w:rsid w:val="00382941"/>
    <w:pPr>
      <w:widowControl w:val="0"/>
      <w:shd w:val="clear" w:color="auto" w:fill="FFFFFF"/>
      <w:spacing w:after="0" w:line="0" w:lineRule="atLeast"/>
    </w:pPr>
    <w:rPr>
      <w:rFonts w:ascii="Century Schoolbook" w:eastAsia="Century Schoolbook" w:hAnsi="Century Schoolbook" w:cs="Century Schoolbook"/>
      <w:b/>
      <w:bCs/>
      <w:sz w:val="80"/>
      <w:szCs w:val="80"/>
    </w:rPr>
  </w:style>
  <w:style w:type="paragraph" w:customStyle="1" w:styleId="Cuerpodeltexto13">
    <w:name w:val="Cuerpo del texto (13)"/>
    <w:basedOn w:val="Normal"/>
    <w:link w:val="Cuerpodeltexto13Exact"/>
    <w:rsid w:val="00382941"/>
    <w:pPr>
      <w:widowControl w:val="0"/>
      <w:shd w:val="clear" w:color="auto" w:fill="FFFFFF"/>
      <w:spacing w:after="0" w:line="0" w:lineRule="atLeast"/>
    </w:pPr>
    <w:rPr>
      <w:rFonts w:ascii="Verdana" w:eastAsia="Verdana" w:hAnsi="Verdana" w:cs="Verdana"/>
      <w:b/>
      <w:bCs/>
      <w:w w:val="60"/>
      <w:sz w:val="18"/>
      <w:szCs w:val="18"/>
    </w:rPr>
  </w:style>
  <w:style w:type="paragraph" w:customStyle="1" w:styleId="Cuerpodeltexto14">
    <w:name w:val="Cuerpo del texto (14)"/>
    <w:basedOn w:val="Normal"/>
    <w:link w:val="Cuerpodeltexto14Exact"/>
    <w:rsid w:val="00382941"/>
    <w:pPr>
      <w:widowControl w:val="0"/>
      <w:shd w:val="clear" w:color="auto" w:fill="FFFFFF"/>
      <w:spacing w:after="0" w:line="274" w:lineRule="exact"/>
      <w:ind w:hanging="560"/>
      <w:jc w:val="both"/>
    </w:pPr>
    <w:rPr>
      <w:rFonts w:eastAsia="Arial" w:cs="Arial"/>
      <w:spacing w:val="2"/>
      <w:w w:val="66"/>
      <w:sz w:val="18"/>
      <w:szCs w:val="18"/>
    </w:rPr>
  </w:style>
  <w:style w:type="paragraph" w:customStyle="1" w:styleId="Tabladecontenidos2">
    <w:name w:val="Tabla de contenidos (2)"/>
    <w:basedOn w:val="Normal"/>
    <w:link w:val="Tabladecontenidos2Exact"/>
    <w:rsid w:val="00382941"/>
    <w:pPr>
      <w:widowControl w:val="0"/>
      <w:shd w:val="clear" w:color="auto" w:fill="FFFFFF"/>
      <w:spacing w:after="0" w:line="274" w:lineRule="exact"/>
      <w:jc w:val="both"/>
    </w:pPr>
    <w:rPr>
      <w:rFonts w:eastAsia="Arial" w:cs="Arial"/>
      <w:spacing w:val="2"/>
      <w:w w:val="66"/>
      <w:sz w:val="18"/>
      <w:szCs w:val="18"/>
    </w:rPr>
  </w:style>
  <w:style w:type="paragraph" w:customStyle="1" w:styleId="Tabladecontenidos0">
    <w:name w:val="Tabla de contenidos"/>
    <w:basedOn w:val="Normal"/>
    <w:link w:val="Tabladecontenidos"/>
    <w:rsid w:val="00382941"/>
    <w:pPr>
      <w:widowControl w:val="0"/>
      <w:shd w:val="clear" w:color="auto" w:fill="FFFFFF"/>
      <w:spacing w:after="0" w:line="322" w:lineRule="exact"/>
      <w:ind w:firstLine="740"/>
      <w:jc w:val="both"/>
    </w:pPr>
    <w:rPr>
      <w:rFonts w:eastAsia="Arial" w:cs="Arial"/>
      <w:w w:val="50"/>
      <w:sz w:val="23"/>
      <w:szCs w:val="23"/>
    </w:rPr>
  </w:style>
  <w:style w:type="paragraph" w:customStyle="1" w:styleId="Cuerpodeltexto150">
    <w:name w:val="Cuerpo del texto (15)"/>
    <w:basedOn w:val="Normal"/>
    <w:link w:val="Cuerpodeltexto15"/>
    <w:rsid w:val="00382941"/>
    <w:pPr>
      <w:widowControl w:val="0"/>
      <w:shd w:val="clear" w:color="auto" w:fill="FFFFFF"/>
      <w:spacing w:after="180" w:line="288" w:lineRule="exact"/>
      <w:jc w:val="both"/>
    </w:pPr>
    <w:rPr>
      <w:rFonts w:ascii="Verdana" w:eastAsia="Verdana" w:hAnsi="Verdana" w:cs="Verdana"/>
      <w:b/>
      <w:bCs/>
      <w:i/>
      <w:iCs/>
      <w:spacing w:val="-20"/>
      <w:sz w:val="23"/>
      <w:szCs w:val="23"/>
    </w:rPr>
  </w:style>
  <w:style w:type="paragraph" w:customStyle="1" w:styleId="Ttulo21">
    <w:name w:val="Título #2"/>
    <w:basedOn w:val="Normal"/>
    <w:link w:val="Ttulo20"/>
    <w:rsid w:val="00382941"/>
    <w:pPr>
      <w:widowControl w:val="0"/>
      <w:shd w:val="clear" w:color="auto" w:fill="FFFFFF"/>
      <w:spacing w:before="180" w:after="300" w:line="0" w:lineRule="atLeast"/>
      <w:ind w:hanging="360"/>
      <w:jc w:val="right"/>
      <w:outlineLvl w:val="1"/>
    </w:pPr>
    <w:rPr>
      <w:rFonts w:ascii="Verdana" w:eastAsia="Verdana" w:hAnsi="Verdana" w:cs="Verdana"/>
      <w:b/>
      <w:bCs/>
    </w:rPr>
  </w:style>
  <w:style w:type="paragraph" w:customStyle="1" w:styleId="Cuerpodeltexto160">
    <w:name w:val="Cuerpo del texto (16)"/>
    <w:basedOn w:val="Normal"/>
    <w:link w:val="Cuerpodeltexto16"/>
    <w:rsid w:val="00382941"/>
    <w:pPr>
      <w:widowControl w:val="0"/>
      <w:shd w:val="clear" w:color="auto" w:fill="FFFFFF"/>
      <w:spacing w:after="600" w:line="269" w:lineRule="exact"/>
      <w:jc w:val="both"/>
    </w:pPr>
    <w:rPr>
      <w:rFonts w:ascii="Franklin Gothic Demi" w:eastAsia="Franklin Gothic Demi" w:hAnsi="Franklin Gothic Demi" w:cs="Franklin Gothic Demi"/>
      <w:sz w:val="20"/>
      <w:szCs w:val="20"/>
    </w:rPr>
  </w:style>
  <w:style w:type="paragraph" w:customStyle="1" w:styleId="Cuerpodeltexto170">
    <w:name w:val="Cuerpo del texto (17)"/>
    <w:basedOn w:val="Normal"/>
    <w:link w:val="Cuerpodeltexto17"/>
    <w:rsid w:val="00382941"/>
    <w:pPr>
      <w:widowControl w:val="0"/>
      <w:shd w:val="clear" w:color="auto" w:fill="FFFFFF"/>
      <w:spacing w:after="300" w:line="254" w:lineRule="exact"/>
    </w:pPr>
    <w:rPr>
      <w:rFonts w:ascii="Times New Roman" w:eastAsia="Times New Roman" w:hAnsi="Times New Roman" w:cs="Times New Roman"/>
      <w:sz w:val="18"/>
      <w:szCs w:val="18"/>
    </w:rPr>
  </w:style>
  <w:style w:type="paragraph" w:customStyle="1" w:styleId="Cuerpodeltexto180">
    <w:name w:val="Cuerpo del texto (18)"/>
    <w:basedOn w:val="Normal"/>
    <w:link w:val="Cuerpodeltexto18"/>
    <w:rsid w:val="00382941"/>
    <w:pPr>
      <w:widowControl w:val="0"/>
      <w:shd w:val="clear" w:color="auto" w:fill="FFFFFF"/>
      <w:spacing w:before="120" w:after="120" w:line="0" w:lineRule="atLeast"/>
      <w:jc w:val="both"/>
    </w:pPr>
    <w:rPr>
      <w:rFonts w:ascii="Verdana" w:eastAsia="Verdana" w:hAnsi="Verdana" w:cs="Verdana"/>
      <w:i/>
      <w:iCs/>
      <w:spacing w:val="-40"/>
    </w:rPr>
  </w:style>
  <w:style w:type="paragraph" w:customStyle="1" w:styleId="Tabladecontenidos30">
    <w:name w:val="Tabla de contenidos (3)"/>
    <w:basedOn w:val="Normal"/>
    <w:link w:val="Tabladecontenidos3"/>
    <w:rsid w:val="00382941"/>
    <w:pPr>
      <w:widowControl w:val="0"/>
      <w:shd w:val="clear" w:color="auto" w:fill="FFFFFF"/>
      <w:spacing w:before="300" w:after="420" w:line="0" w:lineRule="atLeast"/>
    </w:pPr>
    <w:rPr>
      <w:rFonts w:ascii="Verdana" w:eastAsia="Verdana" w:hAnsi="Verdana" w:cs="Verdana"/>
      <w:spacing w:val="-10"/>
      <w:sz w:val="19"/>
      <w:szCs w:val="19"/>
    </w:rPr>
  </w:style>
  <w:style w:type="paragraph" w:customStyle="1" w:styleId="Cuerpodeltexto190">
    <w:name w:val="Cuerpo del texto (19)"/>
    <w:basedOn w:val="Normal"/>
    <w:link w:val="Cuerpodeltexto19"/>
    <w:rsid w:val="00382941"/>
    <w:pPr>
      <w:widowControl w:val="0"/>
      <w:shd w:val="clear" w:color="auto" w:fill="FFFFFF"/>
      <w:spacing w:after="0" w:line="0" w:lineRule="atLeast"/>
    </w:pPr>
    <w:rPr>
      <w:rFonts w:ascii="Arial Narrow" w:eastAsia="Arial Narrow" w:hAnsi="Arial Narrow" w:cs="Arial Narrow"/>
      <w:b/>
      <w:bCs/>
      <w:sz w:val="25"/>
      <w:szCs w:val="25"/>
    </w:rPr>
  </w:style>
  <w:style w:type="paragraph" w:customStyle="1" w:styleId="Cuerpodeltexto201">
    <w:name w:val="Cuerpo del texto (20)"/>
    <w:basedOn w:val="Normal"/>
    <w:link w:val="Cuerpodeltexto200"/>
    <w:rsid w:val="00382941"/>
    <w:pPr>
      <w:widowControl w:val="0"/>
      <w:shd w:val="clear" w:color="auto" w:fill="FFFFFF"/>
      <w:spacing w:after="0" w:line="710" w:lineRule="exact"/>
    </w:pPr>
    <w:rPr>
      <w:rFonts w:eastAsia="Arial" w:cs="Arial"/>
      <w:spacing w:val="10"/>
      <w:w w:val="50"/>
      <w:sz w:val="23"/>
      <w:szCs w:val="23"/>
    </w:rPr>
  </w:style>
  <w:style w:type="paragraph" w:customStyle="1" w:styleId="Cuerpodeltexto210">
    <w:name w:val="Cuerpo del texto (21)"/>
    <w:basedOn w:val="Normal"/>
    <w:link w:val="Cuerpodeltexto21"/>
    <w:rsid w:val="00382941"/>
    <w:pPr>
      <w:widowControl w:val="0"/>
      <w:shd w:val="clear" w:color="auto" w:fill="FFFFFF"/>
      <w:spacing w:after="0" w:line="187" w:lineRule="exact"/>
    </w:pPr>
    <w:rPr>
      <w:rFonts w:ascii="Arial Narrow" w:eastAsia="Arial Narrow" w:hAnsi="Arial Narrow" w:cs="Arial Narrow"/>
      <w:b/>
      <w:bCs/>
      <w:sz w:val="45"/>
      <w:szCs w:val="45"/>
    </w:rPr>
  </w:style>
  <w:style w:type="paragraph" w:customStyle="1" w:styleId="Cuerpodeltexto220">
    <w:name w:val="Cuerpo del texto (22)"/>
    <w:basedOn w:val="Normal"/>
    <w:link w:val="Cuerpodeltexto22"/>
    <w:rsid w:val="00382941"/>
    <w:pPr>
      <w:widowControl w:val="0"/>
      <w:shd w:val="clear" w:color="auto" w:fill="FFFFFF"/>
      <w:spacing w:before="1680" w:after="0" w:line="0" w:lineRule="atLeast"/>
    </w:pPr>
    <w:rPr>
      <w:rFonts w:eastAsia="Arial" w:cs="Arial"/>
      <w:sz w:val="21"/>
      <w:szCs w:val="21"/>
    </w:rPr>
  </w:style>
  <w:style w:type="paragraph" w:customStyle="1" w:styleId="Cuerpodeltexto23">
    <w:name w:val="Cuerpo del texto (23)"/>
    <w:basedOn w:val="Normal"/>
    <w:link w:val="Cuerpodeltexto23Exact"/>
    <w:rsid w:val="00382941"/>
    <w:pPr>
      <w:widowControl w:val="0"/>
      <w:shd w:val="clear" w:color="auto" w:fill="FFFFFF"/>
      <w:spacing w:after="60" w:line="0" w:lineRule="atLeast"/>
      <w:jc w:val="right"/>
    </w:pPr>
    <w:rPr>
      <w:rFonts w:ascii="Verdana" w:eastAsia="Verdana" w:hAnsi="Verdana" w:cs="Verdana"/>
      <w:spacing w:val="-36"/>
      <w:sz w:val="20"/>
      <w:szCs w:val="20"/>
    </w:rPr>
  </w:style>
  <w:style w:type="paragraph" w:customStyle="1" w:styleId="Cuerpodeltexto24">
    <w:name w:val="Cuerpo del texto (24)"/>
    <w:basedOn w:val="Normal"/>
    <w:link w:val="Cuerpodeltexto24Exact"/>
    <w:rsid w:val="00382941"/>
    <w:pPr>
      <w:widowControl w:val="0"/>
      <w:shd w:val="clear" w:color="auto" w:fill="FFFFFF"/>
      <w:spacing w:before="60" w:after="0" w:line="0" w:lineRule="atLeast"/>
      <w:jc w:val="right"/>
    </w:pPr>
    <w:rPr>
      <w:rFonts w:ascii="Times New Roman" w:eastAsia="Times New Roman" w:hAnsi="Times New Roman" w:cs="Times New Roman"/>
      <w:sz w:val="15"/>
      <w:szCs w:val="15"/>
    </w:rPr>
  </w:style>
  <w:style w:type="paragraph" w:customStyle="1" w:styleId="Ttulo120">
    <w:name w:val="Título #1 (2)"/>
    <w:basedOn w:val="Normal"/>
    <w:link w:val="Ttulo12"/>
    <w:rsid w:val="00382941"/>
    <w:pPr>
      <w:widowControl w:val="0"/>
      <w:shd w:val="clear" w:color="auto" w:fill="FFFFFF"/>
      <w:spacing w:after="180" w:line="0" w:lineRule="atLeast"/>
      <w:outlineLvl w:val="0"/>
    </w:pPr>
    <w:rPr>
      <w:rFonts w:ascii="Arial Narrow" w:eastAsia="Arial Narrow" w:hAnsi="Arial Narrow" w:cs="Arial Narrow"/>
      <w:sz w:val="42"/>
      <w:szCs w:val="42"/>
    </w:rPr>
  </w:style>
  <w:style w:type="paragraph" w:customStyle="1" w:styleId="Leyendadelatabla0">
    <w:name w:val="Leyenda de la tabla"/>
    <w:basedOn w:val="Normal"/>
    <w:link w:val="Leyendadelatabla"/>
    <w:rsid w:val="00382941"/>
    <w:pPr>
      <w:widowControl w:val="0"/>
      <w:shd w:val="clear" w:color="auto" w:fill="FFFFFF"/>
      <w:spacing w:after="0" w:line="0" w:lineRule="atLeast"/>
    </w:pPr>
    <w:rPr>
      <w:rFonts w:ascii="Verdana" w:eastAsia="Verdana" w:hAnsi="Verdana" w:cs="Verdana"/>
      <w:spacing w:val="-10"/>
      <w:sz w:val="19"/>
      <w:szCs w:val="19"/>
    </w:rPr>
  </w:style>
  <w:style w:type="paragraph" w:customStyle="1" w:styleId="Cuerpodeltexto250">
    <w:name w:val="Cuerpo del texto (25)"/>
    <w:basedOn w:val="Normal"/>
    <w:link w:val="Cuerpodeltexto25"/>
    <w:rsid w:val="00382941"/>
    <w:pPr>
      <w:widowControl w:val="0"/>
      <w:shd w:val="clear" w:color="auto" w:fill="FFFFFF"/>
      <w:spacing w:before="660" w:after="0" w:line="211" w:lineRule="exact"/>
    </w:pPr>
    <w:rPr>
      <w:rFonts w:ascii="Verdana" w:eastAsia="Verdana" w:hAnsi="Verdana" w:cs="Verdana"/>
      <w:sz w:val="14"/>
      <w:szCs w:val="14"/>
    </w:rPr>
  </w:style>
  <w:style w:type="paragraph" w:customStyle="1" w:styleId="Cuerpodeltexto260">
    <w:name w:val="Cuerpo del texto (26)"/>
    <w:basedOn w:val="Normal"/>
    <w:link w:val="Cuerpodeltexto26"/>
    <w:rsid w:val="00382941"/>
    <w:pPr>
      <w:widowControl w:val="0"/>
      <w:shd w:val="clear" w:color="auto" w:fill="FFFFFF"/>
      <w:spacing w:before="180" w:after="300" w:line="0" w:lineRule="atLeast"/>
      <w:ind w:firstLine="740"/>
      <w:jc w:val="both"/>
    </w:pPr>
    <w:rPr>
      <w:rFonts w:ascii="Times New Roman" w:eastAsia="Times New Roman" w:hAnsi="Times New Roman" w:cs="Times New Roman"/>
      <w:spacing w:val="10"/>
      <w:sz w:val="15"/>
      <w:szCs w:val="15"/>
    </w:rPr>
  </w:style>
  <w:style w:type="paragraph" w:customStyle="1" w:styleId="Cuerpodeltexto270">
    <w:name w:val="Cuerpo del texto (27)"/>
    <w:basedOn w:val="Normal"/>
    <w:link w:val="Cuerpodeltexto27"/>
    <w:rsid w:val="00382941"/>
    <w:pPr>
      <w:widowControl w:val="0"/>
      <w:shd w:val="clear" w:color="auto" w:fill="FFFFFF"/>
      <w:spacing w:before="180" w:after="300" w:line="0" w:lineRule="atLeast"/>
      <w:jc w:val="both"/>
    </w:pPr>
    <w:rPr>
      <w:rFonts w:ascii="Comic Sans MS" w:eastAsia="Comic Sans MS" w:hAnsi="Comic Sans MS" w:cs="Comic Sans MS"/>
      <w:sz w:val="16"/>
      <w:szCs w:val="16"/>
    </w:rPr>
  </w:style>
  <w:style w:type="paragraph" w:customStyle="1" w:styleId="Cuerpodeltexto280">
    <w:name w:val="Cuerpo del texto (28)"/>
    <w:basedOn w:val="Normal"/>
    <w:link w:val="Cuerpodeltexto28"/>
    <w:rsid w:val="00382941"/>
    <w:pPr>
      <w:widowControl w:val="0"/>
      <w:shd w:val="clear" w:color="auto" w:fill="FFFFFF"/>
      <w:spacing w:before="180" w:after="0" w:line="240" w:lineRule="exact"/>
      <w:ind w:firstLine="720"/>
      <w:jc w:val="both"/>
    </w:pPr>
    <w:rPr>
      <w:rFonts w:ascii="Verdana" w:eastAsia="Verdana" w:hAnsi="Verdana" w:cs="Verdana"/>
      <w:b/>
      <w:bCs/>
      <w:sz w:val="19"/>
      <w:szCs w:val="19"/>
    </w:rPr>
  </w:style>
  <w:style w:type="paragraph" w:customStyle="1" w:styleId="Cuerpodeltexto290">
    <w:name w:val="Cuerpo del texto (29)"/>
    <w:basedOn w:val="Normal"/>
    <w:link w:val="Cuerpodeltexto29"/>
    <w:rsid w:val="00382941"/>
    <w:pPr>
      <w:widowControl w:val="0"/>
      <w:shd w:val="clear" w:color="auto" w:fill="FFFFFF"/>
      <w:spacing w:after="0" w:line="360" w:lineRule="exact"/>
      <w:ind w:firstLine="700"/>
      <w:jc w:val="both"/>
    </w:pPr>
    <w:rPr>
      <w:rFonts w:ascii="Comic Sans MS" w:eastAsia="Comic Sans MS" w:hAnsi="Comic Sans MS" w:cs="Comic Sans MS"/>
      <w:b/>
      <w:bCs/>
      <w:sz w:val="12"/>
      <w:szCs w:val="12"/>
    </w:rPr>
  </w:style>
  <w:style w:type="paragraph" w:customStyle="1" w:styleId="Cuerpodeltexto301">
    <w:name w:val="Cuerpo del texto (30)"/>
    <w:basedOn w:val="Normal"/>
    <w:link w:val="Cuerpodeltexto300"/>
    <w:rsid w:val="00382941"/>
    <w:pPr>
      <w:widowControl w:val="0"/>
      <w:shd w:val="clear" w:color="auto" w:fill="FFFFFF"/>
      <w:spacing w:before="180" w:after="360" w:line="0" w:lineRule="atLeast"/>
      <w:jc w:val="both"/>
    </w:pPr>
    <w:rPr>
      <w:rFonts w:ascii="Verdana" w:eastAsia="Verdana" w:hAnsi="Verdana" w:cs="Verdana"/>
      <w:sz w:val="10"/>
      <w:szCs w:val="10"/>
    </w:rPr>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Cuadros Car"/>
    <w:link w:val="Prrafodelista"/>
    <w:uiPriority w:val="34"/>
    <w:rsid w:val="00382941"/>
  </w:style>
  <w:style w:type="character" w:customStyle="1" w:styleId="CuerpodeltextoExact">
    <w:name w:val="Cuerpo del texto Exact"/>
    <w:basedOn w:val="Fuentedeprrafopredeter"/>
    <w:rsid w:val="00382941"/>
    <w:rPr>
      <w:rFonts w:ascii="Arial" w:eastAsia="Arial" w:hAnsi="Arial" w:cs="Arial"/>
      <w:b w:val="0"/>
      <w:bCs w:val="0"/>
      <w:i w:val="0"/>
      <w:iCs w:val="0"/>
      <w:smallCaps w:val="0"/>
      <w:strike w:val="0"/>
      <w:spacing w:val="2"/>
      <w:sz w:val="20"/>
      <w:szCs w:val="20"/>
      <w:u w:val="none"/>
    </w:rPr>
  </w:style>
  <w:style w:type="character" w:customStyle="1" w:styleId="Cuerpodeltexto6Negrita">
    <w:name w:val="Cuerpo del texto (6) + Negrita"/>
    <w:aliases w:val="Escala 150%,Espaciado 1 pto"/>
    <w:basedOn w:val="Cuerpodeltexto6"/>
    <w:rsid w:val="00382941"/>
    <w:rPr>
      <w:rFonts w:ascii="Arial" w:eastAsia="Arial" w:hAnsi="Arial" w:cs="Arial"/>
      <w:b/>
      <w:bCs/>
      <w:i/>
      <w:iCs/>
      <w:smallCaps w:val="0"/>
      <w:strike w:val="0"/>
      <w:color w:val="000000"/>
      <w:spacing w:val="0"/>
      <w:w w:val="100"/>
      <w:position w:val="0"/>
      <w:sz w:val="21"/>
      <w:szCs w:val="21"/>
      <w:u w:val="none"/>
      <w:shd w:val="clear" w:color="auto" w:fill="FFFFFF"/>
      <w:lang w:val="es-ES"/>
    </w:rPr>
  </w:style>
  <w:style w:type="character" w:customStyle="1" w:styleId="Cuerpodeltexto6Sincursiva">
    <w:name w:val="Cuerpo del texto (6) + Sin cursiva"/>
    <w:basedOn w:val="Cuerpodeltexto6"/>
    <w:rsid w:val="00382941"/>
    <w:rPr>
      <w:rFonts w:ascii="Arial" w:eastAsia="Arial" w:hAnsi="Arial" w:cs="Arial"/>
      <w:b w:val="0"/>
      <w:bCs w:val="0"/>
      <w:i/>
      <w:iCs/>
      <w:smallCaps w:val="0"/>
      <w:strike w:val="0"/>
      <w:color w:val="000000"/>
      <w:spacing w:val="0"/>
      <w:w w:val="100"/>
      <w:position w:val="0"/>
      <w:sz w:val="21"/>
      <w:szCs w:val="21"/>
      <w:u w:val="none"/>
      <w:shd w:val="clear" w:color="auto" w:fill="FFFFFF"/>
      <w:lang w:val="es-ES"/>
    </w:rPr>
  </w:style>
  <w:style w:type="character" w:customStyle="1" w:styleId="Ttulo4">
    <w:name w:val="Título #4_"/>
    <w:basedOn w:val="Fuentedeprrafopredeter"/>
    <w:link w:val="Ttulo40"/>
    <w:rsid w:val="00382941"/>
    <w:rPr>
      <w:rFonts w:eastAsia="Arial" w:cs="Arial"/>
      <w:b/>
      <w:bCs/>
      <w:sz w:val="21"/>
      <w:szCs w:val="21"/>
      <w:shd w:val="clear" w:color="auto" w:fill="FFFFFF"/>
    </w:rPr>
  </w:style>
  <w:style w:type="paragraph" w:customStyle="1" w:styleId="Ttulo40">
    <w:name w:val="Título #4"/>
    <w:basedOn w:val="Normal"/>
    <w:link w:val="Ttulo4"/>
    <w:rsid w:val="00382941"/>
    <w:pPr>
      <w:widowControl w:val="0"/>
      <w:shd w:val="clear" w:color="auto" w:fill="FFFFFF"/>
      <w:spacing w:before="660" w:after="0" w:line="264" w:lineRule="exact"/>
      <w:ind w:hanging="560"/>
      <w:jc w:val="both"/>
      <w:outlineLvl w:val="3"/>
    </w:pPr>
    <w:rPr>
      <w:rFonts w:eastAsia="Arial" w:cs="Arial"/>
      <w:b/>
      <w:bCs/>
      <w:sz w:val="21"/>
      <w:szCs w:val="21"/>
    </w:rPr>
  </w:style>
  <w:style w:type="paragraph" w:styleId="NormalWeb">
    <w:name w:val="Normal (Web)"/>
    <w:basedOn w:val="Normal"/>
    <w:rsid w:val="00382941"/>
    <w:pPr>
      <w:spacing w:before="100" w:beforeAutospacing="1" w:after="100" w:afterAutospacing="1" w:line="240" w:lineRule="auto"/>
    </w:pPr>
    <w:rPr>
      <w:rFonts w:ascii="Arial" w:eastAsia="Times New Roman" w:hAnsi="Arial" w:cs="Times New Roman"/>
      <w:sz w:val="24"/>
      <w:szCs w:val="24"/>
      <w:lang w:eastAsia="es-MX"/>
    </w:rPr>
  </w:style>
  <w:style w:type="character" w:customStyle="1" w:styleId="CuerpodeltextoCursiva">
    <w:name w:val="Cuerpo del texto + Cursiva"/>
    <w:basedOn w:val="Cuerpodeltexto"/>
    <w:rsid w:val="00382941"/>
    <w:rPr>
      <w:rFonts w:ascii="Arial" w:eastAsia="Arial" w:hAnsi="Arial" w:cs="Arial"/>
      <w:b w:val="0"/>
      <w:bCs w:val="0"/>
      <w:i/>
      <w:iCs/>
      <w:smallCaps w:val="0"/>
      <w:strike w:val="0"/>
      <w:color w:val="000000"/>
      <w:spacing w:val="0"/>
      <w:w w:val="100"/>
      <w:position w:val="0"/>
      <w:sz w:val="21"/>
      <w:szCs w:val="21"/>
      <w:u w:val="none"/>
      <w:lang w:val="es-ES"/>
    </w:rPr>
  </w:style>
  <w:style w:type="character" w:customStyle="1" w:styleId="Cuerpodeltexto49">
    <w:name w:val="Cuerpo del texto (49)_"/>
    <w:basedOn w:val="Fuentedeprrafopredeter"/>
    <w:rsid w:val="00382941"/>
    <w:rPr>
      <w:rFonts w:ascii="Arial" w:eastAsia="Arial" w:hAnsi="Arial" w:cs="Arial"/>
      <w:b/>
      <w:bCs/>
      <w:i/>
      <w:iCs/>
      <w:smallCaps w:val="0"/>
      <w:strike w:val="0"/>
      <w:sz w:val="21"/>
      <w:szCs w:val="21"/>
      <w:u w:val="none"/>
    </w:rPr>
  </w:style>
  <w:style w:type="character" w:customStyle="1" w:styleId="Cuerpodeltexto490">
    <w:name w:val="Cuerpo del texto (49)"/>
    <w:basedOn w:val="Cuerpodeltexto49"/>
    <w:rsid w:val="00382941"/>
    <w:rPr>
      <w:rFonts w:ascii="Arial" w:eastAsia="Arial" w:hAnsi="Arial" w:cs="Arial"/>
      <w:b/>
      <w:bCs/>
      <w:i/>
      <w:iCs/>
      <w:smallCaps w:val="0"/>
      <w:strike w:val="0"/>
      <w:color w:val="000000"/>
      <w:spacing w:val="0"/>
      <w:w w:val="100"/>
      <w:position w:val="0"/>
      <w:sz w:val="21"/>
      <w:szCs w:val="21"/>
      <w:u w:val="single"/>
      <w:lang w:val="es-ES"/>
    </w:rPr>
  </w:style>
  <w:style w:type="character" w:styleId="Refdenotaalpie">
    <w:name w:val="footnote reference"/>
    <w:aliases w:val="(NECG) Footnote Reference,o,fr,Style 3,Appel note de bas de p,Style 12,Style 124"/>
    <w:rsid w:val="00382941"/>
    <w:rPr>
      <w:vertAlign w:val="superscript"/>
    </w:rPr>
  </w:style>
  <w:style w:type="paragraph" w:styleId="Textonotapie">
    <w:name w:val="footnote text"/>
    <w:aliases w:val="Footnote Text Char Char Char,Footnote Text Char Char Char Char Char Char Char,Footnote Text Char Char Char Char Char Char Char Char Char,Footnote Text Char Char Char Char Char,Footnote Text2 Char Char,ALTS FOOTNOTE,Footnote Text Char,fn"/>
    <w:basedOn w:val="Normal"/>
    <w:link w:val="TextonotapieCar"/>
    <w:unhideWhenUsed/>
    <w:qFormat/>
    <w:rsid w:val="00382941"/>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ar,Footnote Text Char Char Char Char Char Char Char Car,Footnote Text Char Char Char Char Char Char Char Char Char Car,Footnote Text Char Char Char Char Char Car,Footnote Text2 Char Char Car,fn Car"/>
    <w:basedOn w:val="Fuentedeprrafopredeter"/>
    <w:link w:val="Textonotapie"/>
    <w:rsid w:val="00382941"/>
    <w:rPr>
      <w:rFonts w:ascii="Times New Roman" w:eastAsia="Times New Roman" w:hAnsi="Times New Roman" w:cs="Times New Roman"/>
      <w:sz w:val="20"/>
      <w:szCs w:val="20"/>
      <w:lang w:val="es-ES" w:eastAsia="es-ES"/>
    </w:rPr>
  </w:style>
  <w:style w:type="paragraph" w:customStyle="1" w:styleId="ROMANOS">
    <w:name w:val="ROMANOS"/>
    <w:basedOn w:val="Normal"/>
    <w:rsid w:val="00382941"/>
    <w:pPr>
      <w:tabs>
        <w:tab w:val="left" w:pos="720"/>
      </w:tabs>
      <w:spacing w:after="101" w:line="216" w:lineRule="atLeast"/>
      <w:ind w:left="720" w:hanging="432"/>
      <w:jc w:val="both"/>
    </w:pPr>
    <w:rPr>
      <w:rFonts w:ascii="Arial" w:eastAsia="Times New Roman" w:hAnsi="Arial" w:cs="Arial"/>
      <w:sz w:val="18"/>
      <w:szCs w:val="20"/>
      <w:lang w:val="es-ES_tradnl" w:eastAsia="es-MX"/>
    </w:rPr>
  </w:style>
  <w:style w:type="character" w:styleId="Refdecomentario">
    <w:name w:val="annotation reference"/>
    <w:basedOn w:val="Fuentedeprrafopredeter"/>
    <w:uiPriority w:val="99"/>
    <w:semiHidden/>
    <w:unhideWhenUsed/>
    <w:rsid w:val="00382941"/>
    <w:rPr>
      <w:sz w:val="16"/>
      <w:szCs w:val="16"/>
    </w:rPr>
  </w:style>
  <w:style w:type="paragraph" w:styleId="Textocomentario">
    <w:name w:val="annotation text"/>
    <w:basedOn w:val="Normal"/>
    <w:link w:val="TextocomentarioCar"/>
    <w:uiPriority w:val="99"/>
    <w:semiHidden/>
    <w:unhideWhenUsed/>
    <w:rsid w:val="003829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2941"/>
    <w:rPr>
      <w:sz w:val="20"/>
      <w:szCs w:val="20"/>
    </w:rPr>
  </w:style>
  <w:style w:type="paragraph" w:styleId="Textodeglobo">
    <w:name w:val="Balloon Text"/>
    <w:basedOn w:val="Normal"/>
    <w:link w:val="TextodegloboCar"/>
    <w:uiPriority w:val="99"/>
    <w:semiHidden/>
    <w:unhideWhenUsed/>
    <w:rsid w:val="0038294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2941"/>
    <w:rPr>
      <w:rFonts w:ascii="Segoe UI" w:hAnsi="Segoe UI" w:cs="Segoe UI"/>
      <w:sz w:val="18"/>
      <w:szCs w:val="18"/>
    </w:rPr>
  </w:style>
  <w:style w:type="paragraph" w:customStyle="1" w:styleId="texto">
    <w:name w:val="texto"/>
    <w:basedOn w:val="Normal"/>
    <w:rsid w:val="00382941"/>
    <w:pPr>
      <w:spacing w:after="101" w:line="216" w:lineRule="atLeast"/>
      <w:ind w:firstLine="288"/>
      <w:jc w:val="both"/>
    </w:pPr>
    <w:rPr>
      <w:rFonts w:ascii="Arial" w:eastAsia="Times New Roman" w:hAnsi="Arial" w:cs="Arial"/>
      <w:sz w:val="18"/>
      <w:szCs w:val="20"/>
      <w:lang w:val="es-ES_tradnl" w:eastAsia="es-MX"/>
    </w:rPr>
  </w:style>
  <w:style w:type="paragraph" w:styleId="Textodebloque">
    <w:name w:val="Block Text"/>
    <w:basedOn w:val="Normal"/>
    <w:rsid w:val="00382941"/>
    <w:pPr>
      <w:spacing w:after="0" w:line="240" w:lineRule="auto"/>
      <w:ind w:left="1134" w:right="565" w:hanging="567"/>
      <w:jc w:val="both"/>
    </w:pPr>
    <w:rPr>
      <w:rFonts w:ascii="Arial" w:eastAsia="Times New Roman" w:hAnsi="Arial" w:cs="Times New Roman"/>
      <w:szCs w:val="20"/>
      <w:lang w:val="es-ES" w:eastAsia="es-ES"/>
    </w:rPr>
  </w:style>
  <w:style w:type="character" w:customStyle="1" w:styleId="apple-converted-space">
    <w:name w:val="apple-converted-space"/>
    <w:basedOn w:val="Fuentedeprrafopredeter"/>
    <w:rsid w:val="00382941"/>
  </w:style>
  <w:style w:type="paragraph" w:styleId="Asuntodelcomentario">
    <w:name w:val="annotation subject"/>
    <w:basedOn w:val="Textocomentario"/>
    <w:next w:val="Textocomentario"/>
    <w:link w:val="AsuntodelcomentarioCar"/>
    <w:uiPriority w:val="99"/>
    <w:semiHidden/>
    <w:unhideWhenUsed/>
    <w:rsid w:val="00382941"/>
    <w:rPr>
      <w:b/>
      <w:bCs/>
    </w:rPr>
  </w:style>
  <w:style w:type="character" w:customStyle="1" w:styleId="AsuntodelcomentarioCar">
    <w:name w:val="Asunto del comentario Car"/>
    <w:basedOn w:val="TextocomentarioCar"/>
    <w:link w:val="Asuntodelcomentario"/>
    <w:uiPriority w:val="99"/>
    <w:semiHidden/>
    <w:rsid w:val="00382941"/>
    <w:rPr>
      <w:b/>
      <w:bCs/>
      <w:sz w:val="20"/>
      <w:szCs w:val="20"/>
    </w:rPr>
  </w:style>
  <w:style w:type="paragraph" w:styleId="Revisin">
    <w:name w:val="Revision"/>
    <w:hidden/>
    <w:uiPriority w:val="99"/>
    <w:semiHidden/>
    <w:rsid w:val="00382941"/>
    <w:pPr>
      <w:spacing w:after="0" w:line="240" w:lineRule="auto"/>
    </w:pPr>
  </w:style>
  <w:style w:type="table" w:styleId="Tablaconcuadrcula">
    <w:name w:val="Table Grid"/>
    <w:basedOn w:val="Tablanormal"/>
    <w:uiPriority w:val="59"/>
    <w:rsid w:val="00742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1IFTCar">
    <w:name w:val="N1 IFT Car"/>
    <w:basedOn w:val="Fuentedeprrafopredeter"/>
    <w:link w:val="N1IFT"/>
    <w:locked/>
    <w:rsid w:val="00AA6E5F"/>
    <w:rPr>
      <w:rFonts w:ascii="ITC Avant Garde" w:hAnsi="ITC Avant Garde"/>
      <w:b/>
      <w:bCs/>
      <w:color w:val="000000"/>
      <w:lang w:eastAsia="es-ES"/>
    </w:rPr>
  </w:style>
  <w:style w:type="paragraph" w:customStyle="1" w:styleId="N1IFT">
    <w:name w:val="N1 IFT"/>
    <w:basedOn w:val="Normal"/>
    <w:link w:val="N1IFTCar"/>
    <w:rsid w:val="00AA6E5F"/>
    <w:pPr>
      <w:snapToGrid w:val="0"/>
      <w:jc w:val="both"/>
    </w:pPr>
    <w:rPr>
      <w:rFonts w:ascii="ITC Avant Garde" w:hAnsi="ITC Avant Garde"/>
      <w:b/>
      <w:bCs/>
      <w:color w:val="000000"/>
      <w:lang w:eastAsia="es-ES"/>
    </w:rPr>
  </w:style>
  <w:style w:type="paragraph" w:styleId="Descripcin">
    <w:name w:val="caption"/>
    <w:basedOn w:val="Normal"/>
    <w:next w:val="Normal"/>
    <w:uiPriority w:val="35"/>
    <w:unhideWhenUsed/>
    <w:qFormat/>
    <w:rsid w:val="00592B43"/>
    <w:pPr>
      <w:spacing w:line="240" w:lineRule="auto"/>
    </w:pPr>
    <w:rPr>
      <w:i/>
      <w:iCs/>
      <w:color w:val="1F497D" w:themeColor="text2"/>
      <w:sz w:val="18"/>
      <w:szCs w:val="18"/>
    </w:rPr>
  </w:style>
  <w:style w:type="character" w:customStyle="1" w:styleId="Ttulo1Car">
    <w:name w:val="Título 1 Car"/>
    <w:basedOn w:val="Fuentedeprrafopredeter"/>
    <w:link w:val="Ttulo1"/>
    <w:uiPriority w:val="9"/>
    <w:rsid w:val="00605C9D"/>
    <w:rPr>
      <w:rFonts w:asciiTheme="majorHAnsi" w:eastAsiaTheme="majorEastAsia" w:hAnsiTheme="majorHAnsi" w:cstheme="majorBidi"/>
      <w:color w:val="365F91" w:themeColor="accent1" w:themeShade="BF"/>
      <w:sz w:val="32"/>
      <w:szCs w:val="32"/>
    </w:rPr>
  </w:style>
  <w:style w:type="character" w:styleId="Hipervnculovisitado">
    <w:name w:val="FollowedHyperlink"/>
    <w:basedOn w:val="Fuentedeprrafopredeter"/>
    <w:uiPriority w:val="99"/>
    <w:semiHidden/>
    <w:unhideWhenUsed/>
    <w:rsid w:val="00605C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80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yperlink" Target="http://www2.scjn.gob.mx/ius2006/UnaEj.asp?nEjecutoria=20382&amp;Tpo=2" TargetMode="Externa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emf"/></Relationships>
</file>

<file path=word/_rels/footnotes.xml.rels><?xml version="1.0" encoding="UTF-8" standalone="yes"?>
<Relationships xmlns="http://schemas.openxmlformats.org/package/2006/relationships"><Relationship Id="rId8" Type="http://schemas.openxmlformats.org/officeDocument/2006/relationships/hyperlink" Target="http://www.pts.se/upload/Ovrigt/Tele/Bransch/Kalkylarbete%20mobiln&#228;t/Model-%20%20%20documentation-for-PTS-080602.pdf" TargetMode="External"/><Relationship Id="rId13" Type="http://schemas.openxmlformats.org/officeDocument/2006/relationships/hyperlink" Target="http://www.pts.se/upload/Ovrigt/Tele/Bransch/Kalkylarbete%20mobiln&#228;t/Model-%20%20%20documentation-for-PTS-080602.pdf" TargetMode="External"/><Relationship Id="rId3" Type="http://schemas.openxmlformats.org/officeDocument/2006/relationships/hyperlink" Target="http://www.pts.se/upload/Ovrigt/Tele/Bransch/Kalkylarbete%20mobiln&#228;t/Model-%20%20%20documentation-for-PTS-080602.pdf" TargetMode="External"/><Relationship Id="rId7" Type="http://schemas.openxmlformats.org/officeDocument/2006/relationships/hyperlink" Target="http://www.pts.se/upload/Ovrigt/Tele/Bransch/Kalkylarbete%20mobiln&#228;t/Model-%20%20%20documentation-for-PTS-080602.pdf" TargetMode="External"/><Relationship Id="rId12" Type="http://schemas.openxmlformats.org/officeDocument/2006/relationships/hyperlink" Target="http://www.pts.se/upload/Ovrigt/Tele/Bransch/Kalkylarbete%20mobiln&#228;t/Model-%20%20%20documentation-for-PTS-080602.pdf" TargetMode="External"/><Relationship Id="rId2" Type="http://schemas.openxmlformats.org/officeDocument/2006/relationships/hyperlink" Target="http://www.pts.se/upload/Ovrigt/Tele/Bransch/Kalkylarbete%20mobiln&#228;t/Model-%20%20%20documentation-for-PTS-080602.pdf" TargetMode="External"/><Relationship Id="rId1" Type="http://schemas.openxmlformats.org/officeDocument/2006/relationships/hyperlink" Target="http://www.pts.se/upload/Ovrigt/Tele/Bransch/Kalkylarbete%20mobiln&#228;t/Model-%20%20%20documentation-for-PTS-080602.pdf" TargetMode="External"/><Relationship Id="rId6" Type="http://schemas.openxmlformats.org/officeDocument/2006/relationships/hyperlink" Target="http://www.pts.se/upload/Ovrigt/Tele/Bransch/Kalkylarbete%20mobiln&#228;t/Model-%20%20%20documentation-for-PTS-080602.pdf" TargetMode="External"/><Relationship Id="rId11" Type="http://schemas.openxmlformats.org/officeDocument/2006/relationships/hyperlink" Target="http://www.pts.se/upload/Ovrigt/Tele/Bransch/Kalkylarbete%20mobiln&#228;t/Model-%20%20%20documentation-for-PTS-080602.pdf" TargetMode="External"/><Relationship Id="rId5" Type="http://schemas.openxmlformats.org/officeDocument/2006/relationships/hyperlink" Target="http://www.pts.se/upload/Ovrigt/Tele/Bransch/Kalkylarbete%20mobiln&#228;t/Model-%20%20%20documentation-for-PTS-080602.pdf" TargetMode="External"/><Relationship Id="rId15" Type="http://schemas.openxmlformats.org/officeDocument/2006/relationships/hyperlink" Target="http://www.pts.se/upload/Ovrigt/Tele/Bransch/Kalkylarbete%20mobiln&#228;t/Model-%20%20%20documentation-for-PTS-080602.pdf" TargetMode="External"/><Relationship Id="rId10" Type="http://schemas.openxmlformats.org/officeDocument/2006/relationships/hyperlink" Target="http://www.pts.se/upload/Ovrigt/Tele/Bransch/Kalkylarbete%20mobiln&#228;t/Model-%20%20%20documentation-for-PTS-080602.pdf" TargetMode="External"/><Relationship Id="rId4" Type="http://schemas.openxmlformats.org/officeDocument/2006/relationships/hyperlink" Target="http://www.pts.se/upload/Ovrigt/Tele/Bransch/Kalkylarbete%20mobiln&#228;t/Model-%20%20%20documentation-for-PTS-080602.pdf" TargetMode="External"/><Relationship Id="rId9" Type="http://schemas.openxmlformats.org/officeDocument/2006/relationships/hyperlink" Target="http://www.pts.se/upload/Ovrigt/Tele/Bransch/Kalkylarbete%20mobiln&#228;t/Model-%20%20%20documentation-for-PTS-080602.pdf" TargetMode="External"/><Relationship Id="rId14" Type="http://schemas.openxmlformats.org/officeDocument/2006/relationships/hyperlink" Target="http://www.pts.se/upload/Ovrigt/Tele/Bransch/Kalkylarbete%20mobiln&#228;t/Model-%20%20%20documentation-for-PTS-08060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2BB39-DEE8-42A5-A3F5-E807841F7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76458</Words>
  <Characters>420521</Characters>
  <Application>Microsoft Office Word</Application>
  <DocSecurity>0</DocSecurity>
  <Lines>3504</Lines>
  <Paragraphs>991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Vicente Alejandro Patiño Ascencio</dc:creator>
  <cp:lastModifiedBy>Maria del Consuelo Gonzalez Moreno</cp:lastModifiedBy>
  <cp:revision>6</cp:revision>
  <cp:lastPrinted>2017-12-13T19:45:00Z</cp:lastPrinted>
  <dcterms:created xsi:type="dcterms:W3CDTF">2018-01-08T16:50:00Z</dcterms:created>
  <dcterms:modified xsi:type="dcterms:W3CDTF">2018-01-09T20:37:00Z</dcterms:modified>
</cp:coreProperties>
</file>