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8A4B6" w14:textId="77777777" w:rsidR="00564981" w:rsidRDefault="00E26CB8" w:rsidP="00564981">
      <w:pPr>
        <w:pStyle w:val="Ttulo1"/>
        <w:spacing w:after="240"/>
        <w:jc w:val="both"/>
        <w:rPr>
          <w:rFonts w:ascii="ITC Avant Garde" w:hAnsi="ITC Avant Garde"/>
          <w:b/>
          <w:bCs/>
          <w:color w:val="auto"/>
          <w:spacing w:val="-1"/>
          <w:sz w:val="22"/>
          <w:szCs w:val="22"/>
          <w:lang w:val="es-ES"/>
        </w:rPr>
      </w:pPr>
      <w:r w:rsidRPr="00CB6AEE">
        <w:rPr>
          <w:rFonts w:ascii="ITC Avant Garde" w:hAnsi="ITC Avant Garde"/>
          <w:b/>
          <w:bCs/>
          <w:color w:val="auto"/>
          <w:sz w:val="22"/>
          <w:szCs w:val="22"/>
          <w:lang w:val="es-ES"/>
        </w:rPr>
        <w:t>ACUERDO MEDIANTE EL CUAL EL PLENO DEL INSTITUTO FEDERAL DE TELECOMUNICACIONES EMITE RESPUESTA A LA SOLICITUD DE CONFIRMACIÓN DE CRITERIO PRESENTADA POR</w:t>
      </w:r>
      <w:r w:rsidRPr="00CB6AEE">
        <w:rPr>
          <w:rFonts w:ascii="ITC Avant Garde" w:hAnsi="ITC Avant Garde"/>
          <w:b/>
          <w:bCs/>
          <w:color w:val="auto"/>
          <w:spacing w:val="-1"/>
          <w:sz w:val="22"/>
          <w:szCs w:val="22"/>
          <w:lang w:val="es-ES"/>
        </w:rPr>
        <w:t xml:space="preserve"> TELÉFONOS DE MÉXICO, S.A.B</w:t>
      </w:r>
      <w:r w:rsidR="00D00D6A" w:rsidRPr="00CB6AEE">
        <w:rPr>
          <w:rFonts w:ascii="ITC Avant Garde" w:hAnsi="ITC Avant Garde"/>
          <w:b/>
          <w:bCs/>
          <w:color w:val="auto"/>
          <w:spacing w:val="-1"/>
          <w:sz w:val="22"/>
          <w:szCs w:val="22"/>
          <w:lang w:val="es-ES"/>
        </w:rPr>
        <w:t>.</w:t>
      </w:r>
      <w:r w:rsidRPr="00CB6AEE">
        <w:rPr>
          <w:rFonts w:ascii="ITC Avant Garde" w:hAnsi="ITC Avant Garde"/>
          <w:b/>
          <w:bCs/>
          <w:color w:val="auto"/>
          <w:spacing w:val="-1"/>
          <w:sz w:val="22"/>
          <w:szCs w:val="22"/>
          <w:lang w:val="es-ES"/>
        </w:rPr>
        <w:t xml:space="preserve"> DE C.V. Y TELÉFONOS DEL NOROESTE, S.A. DE C.V., </w:t>
      </w:r>
      <w:r w:rsidR="00B3294B" w:rsidRPr="00CB6AEE">
        <w:rPr>
          <w:rFonts w:ascii="ITC Avant Garde" w:hAnsi="ITC Avant Garde"/>
          <w:b/>
          <w:color w:val="auto"/>
          <w:sz w:val="22"/>
          <w:szCs w:val="22"/>
          <w:lang w:val="es-ES"/>
        </w:rPr>
        <w:t xml:space="preserve">EN RELACIÓN CON EL </w:t>
      </w:r>
      <w:r w:rsidRPr="00CB6AEE">
        <w:rPr>
          <w:rFonts w:ascii="ITC Avant Garde" w:hAnsi="ITC Avant Garde"/>
          <w:b/>
          <w:color w:val="auto"/>
          <w:sz w:val="22"/>
          <w:szCs w:val="22"/>
          <w:lang w:val="es-ES"/>
        </w:rPr>
        <w:t>SISTEMA ELECTRÓNICO DE GESTIÓN.</w:t>
      </w:r>
    </w:p>
    <w:p w14:paraId="04B62C8F" w14:textId="77777777" w:rsidR="00564981" w:rsidRDefault="00E26CB8" w:rsidP="00564981">
      <w:pPr>
        <w:pStyle w:val="Ttulo2"/>
        <w:keepLines/>
        <w:spacing w:before="240" w:after="240"/>
        <w:jc w:val="center"/>
        <w:rPr>
          <w:b/>
          <w:bCs/>
          <w:lang w:val="es-ES"/>
        </w:rPr>
      </w:pPr>
      <w:r w:rsidRPr="00D31A19">
        <w:rPr>
          <w:b/>
          <w:bCs/>
          <w:lang w:val="es-ES"/>
        </w:rPr>
        <w:t>A</w:t>
      </w:r>
      <w:r w:rsidR="009F2182">
        <w:rPr>
          <w:b/>
          <w:bCs/>
          <w:lang w:val="es-ES"/>
        </w:rPr>
        <w:t>NTECEDENTE</w:t>
      </w:r>
      <w:r w:rsidRPr="00D31A19">
        <w:rPr>
          <w:b/>
          <w:bCs/>
          <w:lang w:val="es-ES"/>
        </w:rPr>
        <w:t>S</w:t>
      </w:r>
    </w:p>
    <w:p w14:paraId="0F57B478" w14:textId="77777777" w:rsidR="00564981" w:rsidRDefault="00E26CB8" w:rsidP="00564981">
      <w:pPr>
        <w:tabs>
          <w:tab w:val="num" w:pos="1940"/>
        </w:tabs>
        <w:spacing w:before="240" w:after="240"/>
        <w:jc w:val="both"/>
        <w:rPr>
          <w:rFonts w:ascii="ITC Avant Garde" w:eastAsia="Times New Roman" w:hAnsi="ITC Avant Garde" w:cs="Arial"/>
          <w:color w:val="000000"/>
          <w:lang w:val="es-ES" w:eastAsia="es-ES"/>
        </w:rPr>
      </w:pPr>
      <w:proofErr w:type="gramStart"/>
      <w:r w:rsidRPr="00D31A19">
        <w:rPr>
          <w:rFonts w:ascii="ITC Avant Garde" w:hAnsi="ITC Avant Garde"/>
          <w:b/>
          <w:lang w:val="es-ES"/>
        </w:rPr>
        <w:t>PRIMERO.-</w:t>
      </w:r>
      <w:proofErr w:type="gramEnd"/>
      <w:r w:rsidRPr="00D31A19">
        <w:rPr>
          <w:rFonts w:ascii="ITC Avant Garde" w:hAnsi="ITC Avant Garde"/>
          <w:b/>
          <w:lang w:val="es-ES"/>
        </w:rPr>
        <w:t xml:space="preserve"> </w:t>
      </w:r>
      <w:r w:rsidR="00647DDA" w:rsidRPr="00D31A19">
        <w:rPr>
          <w:rFonts w:ascii="ITC Avant Garde" w:eastAsia="Times New Roman" w:hAnsi="ITC Avant Garde" w:cs="Arial"/>
          <w:color w:val="000000"/>
          <w:lang w:val="es-ES" w:eastAsia="es-ES"/>
        </w:rPr>
        <w:t>El 10 de marzo de 1976, la Secretaría de Comunicaciones y Transportes (</w:t>
      </w:r>
      <w:r w:rsidR="001A7BC9" w:rsidRPr="00D31A19">
        <w:rPr>
          <w:rFonts w:ascii="ITC Avant Garde" w:eastAsia="Times New Roman" w:hAnsi="ITC Avant Garde" w:cs="Arial"/>
          <w:color w:val="000000"/>
          <w:lang w:val="es-ES" w:eastAsia="es-ES"/>
        </w:rPr>
        <w:t xml:space="preserve">la </w:t>
      </w:r>
      <w:r w:rsidR="00647DDA" w:rsidRPr="00D31A19">
        <w:rPr>
          <w:rFonts w:ascii="ITC Avant Garde" w:eastAsia="Times New Roman" w:hAnsi="ITC Avant Garde" w:cs="Arial"/>
          <w:color w:val="000000"/>
          <w:lang w:val="es-ES" w:eastAsia="es-ES"/>
        </w:rPr>
        <w:t>“Secretaría”), otorgó a Teléfonos de México, S.A.B. de C.V. (“Telmex”), un título de concesión para construir, operar y explotar una red de servicio telefónico público. El 10 de diciembre de 1990, se publicó en el Diario Oficial de la Federación</w:t>
      </w:r>
      <w:r w:rsidR="00F50541" w:rsidRPr="00D31A19">
        <w:rPr>
          <w:rFonts w:ascii="ITC Avant Garde" w:eastAsia="Times New Roman" w:hAnsi="ITC Avant Garde" w:cs="Arial"/>
          <w:color w:val="000000"/>
          <w:lang w:val="es-ES" w:eastAsia="es-ES"/>
        </w:rPr>
        <w:t xml:space="preserve"> (“DOF”)</w:t>
      </w:r>
      <w:r w:rsidR="00647DDA" w:rsidRPr="00D31A19">
        <w:rPr>
          <w:rFonts w:ascii="ITC Avant Garde" w:eastAsia="Times New Roman" w:hAnsi="ITC Avant Garde" w:cs="Arial"/>
          <w:color w:val="000000"/>
          <w:lang w:val="es-ES" w:eastAsia="es-ES"/>
        </w:rPr>
        <w:t xml:space="preserve"> la </w:t>
      </w:r>
      <w:r w:rsidR="00647DDA" w:rsidRPr="00D31A19">
        <w:rPr>
          <w:rFonts w:ascii="ITC Avant Garde" w:eastAsia="Times New Roman" w:hAnsi="ITC Avant Garde" w:cs="Arial"/>
          <w:i/>
          <w:color w:val="000000"/>
          <w:lang w:val="es-ES" w:eastAsia="es-ES"/>
        </w:rPr>
        <w:t xml:space="preserve">“Modificación al Título de Concesión de Teléfonos de México, S.A. de C.V.”, </w:t>
      </w:r>
      <w:r w:rsidR="00647DDA" w:rsidRPr="00D31A19">
        <w:rPr>
          <w:rFonts w:ascii="ITC Avant Garde" w:eastAsia="Times New Roman" w:hAnsi="ITC Avant Garde" w:cs="Arial"/>
          <w:color w:val="000000"/>
          <w:lang w:val="es-ES" w:eastAsia="es-ES"/>
        </w:rPr>
        <w:t>para construir, instalar, mantener, operar y explotar una red pública telefónica por un periodo de 50 (cincuenta) años contados a partir del 10 de marzo de 1976, con cobertura en todo el territorio nacional, con excepción del área concesionada a Teléfonos del Noroeste, S.A. de C.V. (“Concesión de Telmex”).</w:t>
      </w:r>
    </w:p>
    <w:p w14:paraId="1A515254" w14:textId="77777777" w:rsidR="00564981" w:rsidRDefault="00E26CB8" w:rsidP="00564981">
      <w:pPr>
        <w:tabs>
          <w:tab w:val="num" w:pos="1940"/>
        </w:tabs>
        <w:spacing w:before="240" w:after="240"/>
        <w:jc w:val="both"/>
        <w:rPr>
          <w:rFonts w:ascii="ITC Avant Garde" w:eastAsia="Times New Roman" w:hAnsi="ITC Avant Garde" w:cs="Arial"/>
          <w:color w:val="000000"/>
          <w:lang w:val="es-ES" w:eastAsia="es-ES"/>
        </w:rPr>
      </w:pPr>
      <w:proofErr w:type="gramStart"/>
      <w:r w:rsidRPr="00D31A19">
        <w:rPr>
          <w:rFonts w:ascii="ITC Avant Garde" w:hAnsi="ITC Avant Garde"/>
          <w:b/>
          <w:lang w:val="es-ES"/>
        </w:rPr>
        <w:t>SEGUNDO.-</w:t>
      </w:r>
      <w:proofErr w:type="gramEnd"/>
      <w:r w:rsidR="0054236D" w:rsidRPr="00D31A19">
        <w:rPr>
          <w:rFonts w:ascii="ITC Avant Garde" w:hAnsi="ITC Avant Garde"/>
          <w:b/>
          <w:lang w:val="es-ES"/>
        </w:rPr>
        <w:t xml:space="preserve"> </w:t>
      </w:r>
      <w:r w:rsidR="00F50541" w:rsidRPr="00D31A19">
        <w:rPr>
          <w:rFonts w:ascii="ITC Avant Garde" w:eastAsia="Times New Roman" w:hAnsi="ITC Avant Garde" w:cs="Arial"/>
          <w:color w:val="000000"/>
          <w:lang w:val="es-ES" w:eastAsia="es-ES"/>
        </w:rPr>
        <w:t>El 26 de mayo de 1980, la Secretaría otorgó a Teléfonos del Noroeste, S.A. de C.V. (“</w:t>
      </w:r>
      <w:proofErr w:type="spellStart"/>
      <w:r w:rsidR="00F50541" w:rsidRPr="00D31A19">
        <w:rPr>
          <w:rFonts w:ascii="ITC Avant Garde" w:eastAsia="Times New Roman" w:hAnsi="ITC Avant Garde" w:cs="Arial"/>
          <w:color w:val="000000"/>
          <w:lang w:val="es-ES" w:eastAsia="es-ES"/>
        </w:rPr>
        <w:t>Telnor</w:t>
      </w:r>
      <w:proofErr w:type="spellEnd"/>
      <w:r w:rsidR="00F50541" w:rsidRPr="00D31A19">
        <w:rPr>
          <w:rFonts w:ascii="ITC Avant Garde" w:eastAsia="Times New Roman" w:hAnsi="ITC Avant Garde" w:cs="Arial"/>
          <w:color w:val="000000"/>
          <w:lang w:val="es-ES" w:eastAsia="es-ES"/>
        </w:rPr>
        <w:t xml:space="preserve">”) un título de concesión para construir, operar y explotar una red de servicio telefónico público. El 7 de diciembre de 1990, la Secretaría emitió la modificación al título de concesión de </w:t>
      </w:r>
      <w:proofErr w:type="spellStart"/>
      <w:r w:rsidR="00F50541" w:rsidRPr="00D31A19">
        <w:rPr>
          <w:rFonts w:ascii="ITC Avant Garde" w:eastAsia="Times New Roman" w:hAnsi="ITC Avant Garde" w:cs="Arial"/>
          <w:color w:val="000000"/>
          <w:lang w:val="es-ES" w:eastAsia="es-ES"/>
        </w:rPr>
        <w:t>Telnor</w:t>
      </w:r>
      <w:proofErr w:type="spellEnd"/>
      <w:r w:rsidR="00F50541" w:rsidRPr="00D31A19">
        <w:rPr>
          <w:rFonts w:ascii="ITC Avant Garde" w:eastAsia="Times New Roman" w:hAnsi="ITC Avant Garde" w:cs="Arial"/>
          <w:color w:val="000000"/>
          <w:lang w:val="es-ES" w:eastAsia="es-ES"/>
        </w:rPr>
        <w:t xml:space="preserve">, para construir, instalar, mantener, operar y explotar una red pública telefónica con cobertura en todo el estado de Baja California, del municipio de San Luis Río Colorado, así como la ciudad de </w:t>
      </w:r>
      <w:proofErr w:type="spellStart"/>
      <w:r w:rsidR="00F50541" w:rsidRPr="00D31A19">
        <w:rPr>
          <w:rFonts w:ascii="ITC Avant Garde" w:eastAsia="Times New Roman" w:hAnsi="ITC Avant Garde" w:cs="Arial"/>
          <w:color w:val="000000"/>
          <w:lang w:val="es-ES" w:eastAsia="es-ES"/>
        </w:rPr>
        <w:t>Sonoita</w:t>
      </w:r>
      <w:proofErr w:type="spellEnd"/>
      <w:r w:rsidR="00F50541" w:rsidRPr="00D31A19">
        <w:rPr>
          <w:rFonts w:ascii="ITC Avant Garde" w:eastAsia="Times New Roman" w:hAnsi="ITC Avant Garde" w:cs="Arial"/>
          <w:color w:val="000000"/>
          <w:lang w:val="es-ES" w:eastAsia="es-ES"/>
        </w:rPr>
        <w:t xml:space="preserve"> y sus áreas aledañas, en el estado de Sonora (“Concesión de </w:t>
      </w:r>
      <w:proofErr w:type="spellStart"/>
      <w:r w:rsidR="00F50541" w:rsidRPr="00D31A19">
        <w:rPr>
          <w:rFonts w:ascii="ITC Avant Garde" w:eastAsia="Times New Roman" w:hAnsi="ITC Avant Garde" w:cs="Arial"/>
          <w:color w:val="000000"/>
          <w:lang w:val="es-ES" w:eastAsia="es-ES"/>
        </w:rPr>
        <w:t>Telnor</w:t>
      </w:r>
      <w:proofErr w:type="spellEnd"/>
      <w:r w:rsidR="00F50541" w:rsidRPr="00D31A19">
        <w:rPr>
          <w:rFonts w:ascii="ITC Avant Garde" w:eastAsia="Times New Roman" w:hAnsi="ITC Avant Garde" w:cs="Arial"/>
          <w:color w:val="000000"/>
          <w:lang w:val="es-ES" w:eastAsia="es-ES"/>
        </w:rPr>
        <w:t>”).</w:t>
      </w:r>
    </w:p>
    <w:p w14:paraId="15036FCD" w14:textId="77777777" w:rsidR="00564981" w:rsidRDefault="00647DDA" w:rsidP="00564981">
      <w:pPr>
        <w:shd w:val="clear" w:color="auto" w:fill="FFFFFF"/>
        <w:spacing w:before="240" w:after="240"/>
        <w:jc w:val="both"/>
        <w:rPr>
          <w:rFonts w:ascii="ITC Avant Garde" w:hAnsi="ITC Avant Garde"/>
          <w:lang w:val="es-ES"/>
        </w:rPr>
      </w:pPr>
      <w:r w:rsidRPr="00D31A19">
        <w:rPr>
          <w:rFonts w:ascii="ITC Avant Garde" w:hAnsi="ITC Avant Garde"/>
          <w:b/>
          <w:lang w:val="es-ES"/>
        </w:rPr>
        <w:t>TERCERO.-</w:t>
      </w:r>
      <w:r w:rsidRPr="00D31A19">
        <w:rPr>
          <w:rFonts w:ascii="ITC Avant Garde" w:hAnsi="ITC Avant Garde"/>
          <w:lang w:val="es-ES"/>
        </w:rPr>
        <w:t xml:space="preserve"> </w:t>
      </w:r>
      <w:r w:rsidR="00DD7424" w:rsidRPr="00D31A19">
        <w:rPr>
          <w:rFonts w:ascii="ITC Avant Garde" w:hAnsi="ITC Avant Garde"/>
          <w:lang w:val="es-ES"/>
        </w:rPr>
        <w:t xml:space="preserve">El 6 de marzo de 2014, el Instituto Federal de Telecomunicaciones (Instituto) emitió </w:t>
      </w:r>
      <w:r w:rsidR="001070E6" w:rsidRPr="00D31A19">
        <w:rPr>
          <w:rFonts w:ascii="ITC Avant Garde" w:hAnsi="ITC Avant Garde"/>
          <w:lang w:val="es-ES"/>
        </w:rPr>
        <w:t xml:space="preserve">el Acuerdo P/IFT/EXT/060314/76 que contiene </w:t>
      </w:r>
      <w:r w:rsidR="00DD7424" w:rsidRPr="00D31A19">
        <w:rPr>
          <w:rFonts w:ascii="ITC Avant Garde" w:hAnsi="ITC Avant Garde"/>
          <w:lang w:val="es-ES"/>
        </w:rPr>
        <w:t xml:space="preserve">la </w:t>
      </w:r>
      <w:r w:rsidR="00DD7424" w:rsidRPr="00D31A19">
        <w:rPr>
          <w:rFonts w:ascii="ITC Avant Garde" w:hAnsi="ITC Avant Garde"/>
          <w:i/>
          <w:lang w:val="es-ES"/>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00DD7424" w:rsidRPr="00D31A19">
        <w:rPr>
          <w:rFonts w:ascii="ITC Avant Garde" w:hAnsi="ITC Avant Garde"/>
          <w:lang w:val="es-ES"/>
        </w:rPr>
        <w:t xml:space="preserve"> (sic) (“Resolución AEP”).</w:t>
      </w:r>
    </w:p>
    <w:p w14:paraId="496974D0" w14:textId="77777777" w:rsidR="00564981" w:rsidRDefault="00647DDA" w:rsidP="00564981">
      <w:pPr>
        <w:shd w:val="clear" w:color="auto" w:fill="FFFFFF"/>
        <w:spacing w:before="240" w:after="240"/>
        <w:jc w:val="both"/>
        <w:rPr>
          <w:rFonts w:ascii="ITC Avant Garde" w:hAnsi="ITC Avant Garde"/>
          <w:lang w:val="es-ES"/>
        </w:rPr>
      </w:pPr>
      <w:proofErr w:type="gramStart"/>
      <w:r w:rsidRPr="00D31A19">
        <w:rPr>
          <w:rFonts w:ascii="ITC Avant Garde" w:hAnsi="ITC Avant Garde"/>
          <w:b/>
          <w:lang w:val="es-ES"/>
        </w:rPr>
        <w:t>CUARTO.-</w:t>
      </w:r>
      <w:proofErr w:type="gramEnd"/>
      <w:r w:rsidRPr="00D31A19">
        <w:rPr>
          <w:rFonts w:ascii="ITC Avant Garde" w:hAnsi="ITC Avant Garde"/>
          <w:b/>
          <w:lang w:val="es-ES"/>
        </w:rPr>
        <w:t xml:space="preserve"> </w:t>
      </w:r>
      <w:r w:rsidR="00DD7424" w:rsidRPr="00D31A19">
        <w:rPr>
          <w:rFonts w:ascii="ITC Avant Garde" w:hAnsi="ITC Avant Garde"/>
          <w:lang w:val="es-ES"/>
        </w:rPr>
        <w:t>El 28 de mayo de 2014, el Instituto emitió el</w:t>
      </w:r>
      <w:r w:rsidR="0011327D" w:rsidRPr="00D31A19">
        <w:rPr>
          <w:rFonts w:ascii="ITC Avant Garde" w:hAnsi="ITC Avant Garde"/>
          <w:lang w:val="es-ES"/>
        </w:rPr>
        <w:t xml:space="preserve"> Acuerdo P/IFT/280514/127, que contiene el</w:t>
      </w:r>
      <w:r w:rsidR="00DD7424" w:rsidRPr="00D31A19">
        <w:rPr>
          <w:rFonts w:ascii="ITC Avant Garde" w:hAnsi="ITC Avant Garde"/>
          <w:lang w:val="es-ES"/>
        </w:rPr>
        <w:t xml:space="preserve"> “</w:t>
      </w:r>
      <w:r w:rsidR="00DD7424" w:rsidRPr="00D31A19">
        <w:rPr>
          <w:rFonts w:ascii="ITC Avant Garde" w:hAnsi="ITC Avant Garde"/>
          <w:i/>
          <w:lang w:val="es-ES"/>
        </w:rPr>
        <w:t xml:space="preserve">ACUERDO MEDIANTE EL CUAL EL PLENO DEL INSTITUTO FEDERAL DE TELECOMUNICACIONES, ESTABLECE LOS COMITÉS TÉCNICOS DE LOS SISTEMAS ELECTRÓNICOS DE GESTIÓN PARA LOS SERVICIOS DE TELECOMUNICACIONES MÓVILES; </w:t>
      </w:r>
      <w:r w:rsidR="00DD7424" w:rsidRPr="00D31A19">
        <w:rPr>
          <w:rFonts w:ascii="ITC Avant Garde" w:hAnsi="ITC Avant Garde"/>
          <w:i/>
          <w:lang w:val="es-ES"/>
        </w:rPr>
        <w:lastRenderedPageBreak/>
        <w:t>SISTEMAS ELECTRÓNICOS DE GESTIÓN PARA LOS SERVICIOS DE TELECOMUNICACIONES FIJOS; Y DE DESAGREGACIÓN EFECTIVA DE LA RED LOCAL Y EXPIDE SUS REGLAS DE OPERACIÓN</w:t>
      </w:r>
      <w:r w:rsidR="00DD7424" w:rsidRPr="00D31A19">
        <w:rPr>
          <w:rFonts w:ascii="ITC Avant Garde" w:hAnsi="ITC Avant Garde"/>
          <w:lang w:val="es-ES"/>
        </w:rPr>
        <w:t>.</w:t>
      </w:r>
      <w:r w:rsidR="005A0F55" w:rsidRPr="00D31A19">
        <w:rPr>
          <w:rFonts w:ascii="ITC Avant Garde" w:hAnsi="ITC Avant Garde"/>
          <w:lang w:val="es-ES"/>
        </w:rPr>
        <w:t>”</w:t>
      </w:r>
      <w:r w:rsidR="00035FAE" w:rsidRPr="00D31A19">
        <w:rPr>
          <w:rFonts w:ascii="ITC Avant Garde" w:hAnsi="ITC Avant Garde"/>
          <w:lang w:val="es-ES"/>
        </w:rPr>
        <w:t xml:space="preserve"> (“Comité Técnico de Desagregación”).</w:t>
      </w:r>
    </w:p>
    <w:p w14:paraId="1025251D" w14:textId="77777777" w:rsidR="00564981" w:rsidRDefault="00EE5FD0" w:rsidP="00564981">
      <w:pPr>
        <w:autoSpaceDE w:val="0"/>
        <w:autoSpaceDN w:val="0"/>
        <w:adjustRightInd w:val="0"/>
        <w:spacing w:before="240" w:after="240"/>
        <w:jc w:val="both"/>
        <w:rPr>
          <w:rFonts w:ascii="ITC Avant Garde" w:hAnsi="ITC Avant Garde"/>
          <w:b/>
          <w:lang w:val="es-ES"/>
        </w:rPr>
      </w:pPr>
      <w:proofErr w:type="gramStart"/>
      <w:r w:rsidRPr="00D31A19">
        <w:rPr>
          <w:rFonts w:ascii="ITC Avant Garde" w:hAnsi="ITC Avant Garde"/>
          <w:b/>
          <w:lang w:val="es-ES"/>
        </w:rPr>
        <w:t>QUINTO</w:t>
      </w:r>
      <w:r w:rsidR="0011327D" w:rsidRPr="00D31A19">
        <w:rPr>
          <w:rFonts w:ascii="ITC Avant Garde" w:hAnsi="ITC Avant Garde"/>
          <w:b/>
          <w:lang w:val="es-ES"/>
        </w:rPr>
        <w:t>.-</w:t>
      </w:r>
      <w:proofErr w:type="gramEnd"/>
      <w:r w:rsidR="0011327D" w:rsidRPr="00D31A19">
        <w:rPr>
          <w:rFonts w:ascii="ITC Avant Garde" w:hAnsi="ITC Avant Garde"/>
          <w:b/>
          <w:lang w:val="es-ES"/>
        </w:rPr>
        <w:t xml:space="preserve"> </w:t>
      </w:r>
      <w:r w:rsidR="007E4657" w:rsidRPr="00D31A19">
        <w:rPr>
          <w:rFonts w:ascii="ITC Avant Garde" w:hAnsi="ITC Avant Garde"/>
          <w:lang w:val="es-ES"/>
        </w:rPr>
        <w:t xml:space="preserve">El 14 de julio de 2014, se publicó en el DOF el </w:t>
      </w:r>
      <w:r w:rsidR="007E4657" w:rsidRPr="00D31A19">
        <w:rPr>
          <w:rFonts w:ascii="ITC Avant Garde" w:hAnsi="ITC Avant Garde"/>
          <w:i/>
          <w:lang w:val="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E4657" w:rsidRPr="00D31A19">
        <w:rPr>
          <w:rFonts w:ascii="ITC Avant Garde" w:hAnsi="ITC Avant Garde"/>
          <w:lang w:val="es-ES"/>
        </w:rPr>
        <w:t>, entrando en vigor la Ley Federal de Telecomunicaciones y Radiodifusión (“LFTR”) el 13 de agosto de 2014.</w:t>
      </w:r>
    </w:p>
    <w:p w14:paraId="563DF727" w14:textId="6DB33C81" w:rsidR="00564981" w:rsidRDefault="007E4657" w:rsidP="00564981">
      <w:pPr>
        <w:autoSpaceDE w:val="0"/>
        <w:autoSpaceDN w:val="0"/>
        <w:adjustRightInd w:val="0"/>
        <w:spacing w:before="240" w:after="240"/>
        <w:jc w:val="both"/>
        <w:rPr>
          <w:rFonts w:ascii="ITC Avant Garde" w:hAnsi="ITC Avant Garde"/>
          <w:lang w:val="es-ES"/>
        </w:rPr>
      </w:pPr>
      <w:proofErr w:type="gramStart"/>
      <w:r w:rsidRPr="00D31A19">
        <w:rPr>
          <w:rFonts w:ascii="ITC Avant Garde" w:hAnsi="ITC Avant Garde"/>
          <w:b/>
          <w:lang w:val="es-ES"/>
        </w:rPr>
        <w:t>SEXTO.-</w:t>
      </w:r>
      <w:proofErr w:type="gramEnd"/>
      <w:r w:rsidRPr="00D31A19">
        <w:rPr>
          <w:rFonts w:ascii="ITC Avant Garde" w:hAnsi="ITC Avant Garde"/>
          <w:b/>
          <w:lang w:val="es-ES"/>
        </w:rPr>
        <w:t xml:space="preserve"> </w:t>
      </w:r>
      <w:r w:rsidR="0016188D" w:rsidRPr="00D31A19">
        <w:rPr>
          <w:rFonts w:ascii="ITC Avant Garde" w:hAnsi="ITC Avant Garde"/>
          <w:lang w:val="es-ES"/>
        </w:rPr>
        <w:t>El 9 de diciembre de 2015, el Instituto emitió el Acuerdo P/IFT/EXT/091215/183 que contiene la “</w:t>
      </w:r>
      <w:r w:rsidR="0016188D" w:rsidRPr="00D31A19">
        <w:rPr>
          <w:rFonts w:ascii="ITC Avant Garde" w:hAnsi="ITC Avant Garde"/>
          <w:i/>
          <w:lang w:val="es-ES"/>
        </w:rPr>
        <w:t xml:space="preserve">RESOLUCIÓN MEDIANTE LA CUAL EL PLENO DEL INSTITUTO FEDERAL DE TELECOMUNICACIONES MODIFICA Y AUTORIZA AL AGENTE ECONÓMICO PREPONDERANTE LOS TÉRMINOS Y CONDICIONES DE LA OFERTA DE REFERENCIA DE </w:t>
      </w:r>
      <w:r w:rsidR="00CD4AFF" w:rsidRPr="00D31A19">
        <w:rPr>
          <w:rFonts w:ascii="ITC Avant Garde" w:hAnsi="ITC Avant Garde"/>
          <w:i/>
          <w:lang w:val="es-ES"/>
        </w:rPr>
        <w:t>DESAGREGACI</w:t>
      </w:r>
      <w:r w:rsidR="0016188D" w:rsidRPr="00D31A19">
        <w:rPr>
          <w:rFonts w:ascii="ITC Avant Garde" w:hAnsi="ITC Avant Garde"/>
          <w:i/>
          <w:lang w:val="es-ES"/>
        </w:rPr>
        <w:t>ÓN EFECTIVA DE LA RED LOCAL DEL AGENTE ECONÓMICO PREPONDERANTE PRESENTADA POR TELÉFONOS DE MÉXICO, S.A.B. DE C. V.</w:t>
      </w:r>
      <w:r w:rsidR="0016188D" w:rsidRPr="00D31A19">
        <w:rPr>
          <w:rFonts w:ascii="ITC Avant Garde" w:hAnsi="ITC Avant Garde"/>
          <w:lang w:val="es-ES"/>
        </w:rPr>
        <w:t>”</w:t>
      </w:r>
      <w:r w:rsidR="00606FE3" w:rsidRPr="00D31A19">
        <w:rPr>
          <w:rFonts w:ascii="ITC Avant Garde" w:hAnsi="ITC Avant Garde"/>
          <w:lang w:val="es-ES"/>
        </w:rPr>
        <w:t xml:space="preserve"> (“OREDA 2015 Telmex”)</w:t>
      </w:r>
    </w:p>
    <w:p w14:paraId="775C8ADA" w14:textId="77777777" w:rsidR="00564981" w:rsidRDefault="0016188D" w:rsidP="00564981">
      <w:pPr>
        <w:autoSpaceDE w:val="0"/>
        <w:autoSpaceDN w:val="0"/>
        <w:adjustRightInd w:val="0"/>
        <w:spacing w:before="240" w:after="240"/>
        <w:jc w:val="both"/>
        <w:rPr>
          <w:rFonts w:ascii="ITC Avant Garde" w:hAnsi="ITC Avant Garde"/>
          <w:lang w:val="es-ES"/>
        </w:rPr>
      </w:pPr>
      <w:r w:rsidRPr="00D31A19">
        <w:rPr>
          <w:rFonts w:ascii="ITC Avant Garde" w:hAnsi="ITC Avant Garde"/>
          <w:lang w:val="es-ES"/>
        </w:rPr>
        <w:t>E</w:t>
      </w:r>
      <w:r w:rsidR="00225778" w:rsidRPr="00D31A19">
        <w:rPr>
          <w:rFonts w:ascii="ITC Avant Garde" w:hAnsi="ITC Avant Garde"/>
          <w:lang w:val="es-ES"/>
        </w:rPr>
        <w:t>n la misma fecha</w:t>
      </w:r>
      <w:r w:rsidRPr="00D31A19">
        <w:rPr>
          <w:rFonts w:ascii="ITC Avant Garde" w:hAnsi="ITC Avant Garde"/>
          <w:lang w:val="es-ES"/>
        </w:rPr>
        <w:t xml:space="preserve"> el Instituto emitió el Acuerdo P/IFT/EXT/091215/184 que contiene la “</w:t>
      </w:r>
      <w:r w:rsidRPr="00D31A19">
        <w:rPr>
          <w:rFonts w:ascii="ITC Avant Garde" w:hAnsi="ITC Avant Garde"/>
          <w:i/>
          <w:lang w:val="es-ES"/>
        </w:rPr>
        <w:t>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DEL NOROESTE S.A. DE C.V.</w:t>
      </w:r>
      <w:r w:rsidRPr="00D31A19">
        <w:rPr>
          <w:rFonts w:ascii="ITC Avant Garde" w:hAnsi="ITC Avant Garde"/>
          <w:lang w:val="es-ES"/>
        </w:rPr>
        <w:t>” (“OREDA 2015</w:t>
      </w:r>
      <w:r w:rsidR="00606FE3" w:rsidRPr="00D31A19">
        <w:rPr>
          <w:rFonts w:ascii="ITC Avant Garde" w:hAnsi="ITC Avant Garde"/>
          <w:lang w:val="es-ES"/>
        </w:rPr>
        <w:t xml:space="preserve"> </w:t>
      </w:r>
      <w:proofErr w:type="spellStart"/>
      <w:r w:rsidR="00606FE3" w:rsidRPr="00D31A19">
        <w:rPr>
          <w:rFonts w:ascii="ITC Avant Garde" w:hAnsi="ITC Avant Garde"/>
          <w:lang w:val="es-ES"/>
        </w:rPr>
        <w:t>Telnor</w:t>
      </w:r>
      <w:proofErr w:type="spellEnd"/>
      <w:r w:rsidRPr="00D31A19">
        <w:rPr>
          <w:rFonts w:ascii="ITC Avant Garde" w:hAnsi="ITC Avant Garde"/>
          <w:lang w:val="es-ES"/>
        </w:rPr>
        <w:t>”)</w:t>
      </w:r>
    </w:p>
    <w:p w14:paraId="3F245075" w14:textId="77777777" w:rsidR="00564981" w:rsidRDefault="0016188D" w:rsidP="00564981">
      <w:pPr>
        <w:shd w:val="clear" w:color="auto" w:fill="FFFFFF"/>
        <w:spacing w:before="240" w:after="240"/>
        <w:jc w:val="both"/>
        <w:rPr>
          <w:rFonts w:ascii="ITC Avant Garde" w:hAnsi="ITC Avant Garde"/>
          <w:lang w:val="es-ES"/>
        </w:rPr>
      </w:pPr>
      <w:proofErr w:type="gramStart"/>
      <w:r w:rsidRPr="00D31A19">
        <w:rPr>
          <w:rFonts w:ascii="ITC Avant Garde" w:hAnsi="ITC Avant Garde"/>
          <w:b/>
          <w:lang w:val="es-ES"/>
        </w:rPr>
        <w:t>SÉPTIMO</w:t>
      </w:r>
      <w:r w:rsidR="00E26CB8" w:rsidRPr="00D31A19">
        <w:rPr>
          <w:rFonts w:ascii="ITC Avant Garde" w:hAnsi="ITC Avant Garde"/>
          <w:b/>
          <w:lang w:val="es-ES"/>
        </w:rPr>
        <w:t>.-</w:t>
      </w:r>
      <w:proofErr w:type="gramEnd"/>
      <w:r w:rsidR="00DD7424" w:rsidRPr="00D31A19">
        <w:rPr>
          <w:rFonts w:ascii="ITC Avant Garde" w:hAnsi="ITC Avant Garde"/>
          <w:b/>
          <w:lang w:val="es-ES"/>
        </w:rPr>
        <w:t xml:space="preserve"> </w:t>
      </w:r>
      <w:r w:rsidR="00DD7424" w:rsidRPr="00D31A19">
        <w:rPr>
          <w:rFonts w:ascii="ITC Avant Garde" w:hAnsi="ITC Avant Garde"/>
          <w:lang w:val="es-ES"/>
        </w:rPr>
        <w:t xml:space="preserve">El </w:t>
      </w:r>
      <w:r w:rsidR="00DD7424" w:rsidRPr="00D31A19">
        <w:rPr>
          <w:rFonts w:ascii="ITC Avant Garde" w:hAnsi="ITC Avant Garde"/>
          <w:kern w:val="1"/>
          <w:lang w:val="es-ES" w:eastAsia="ar-SA"/>
        </w:rPr>
        <w:t xml:space="preserve">14 de </w:t>
      </w:r>
      <w:r w:rsidR="00CF6AF8" w:rsidRPr="00D31A19">
        <w:rPr>
          <w:rFonts w:ascii="ITC Avant Garde" w:hAnsi="ITC Avant Garde"/>
          <w:kern w:val="1"/>
          <w:lang w:val="es-ES" w:eastAsia="ar-SA"/>
        </w:rPr>
        <w:t>julio</w:t>
      </w:r>
      <w:r w:rsidR="00DD7424" w:rsidRPr="00D31A19">
        <w:rPr>
          <w:rFonts w:ascii="ITC Avant Garde" w:hAnsi="ITC Avant Garde"/>
          <w:kern w:val="1"/>
          <w:lang w:val="es-ES" w:eastAsia="ar-SA"/>
        </w:rPr>
        <w:t xml:space="preserve"> de 2016, el Instituto</w:t>
      </w:r>
      <w:r w:rsidR="00CF6AF8" w:rsidRPr="00D31A19">
        <w:rPr>
          <w:rFonts w:ascii="ITC Avant Garde" w:hAnsi="ITC Avant Garde"/>
          <w:kern w:val="1"/>
          <w:lang w:val="es-ES" w:eastAsia="ar-SA"/>
        </w:rPr>
        <w:t xml:space="preserve"> aprobó el Acuerdo P/IFT/140716/407, que contiene </w:t>
      </w:r>
      <w:r w:rsidR="00DD7424" w:rsidRPr="00D31A19">
        <w:rPr>
          <w:rFonts w:ascii="ITC Avant Garde" w:hAnsi="ITC Avant Garde"/>
          <w:kern w:val="1"/>
          <w:lang w:val="es-ES" w:eastAsia="ar-SA"/>
        </w:rPr>
        <w:t>la “</w:t>
      </w:r>
      <w:r w:rsidR="00DD7424" w:rsidRPr="00D31A19">
        <w:rPr>
          <w:rFonts w:ascii="ITC Avant Garde" w:hAnsi="ITC Avant Garde"/>
          <w:i/>
          <w:kern w:val="1"/>
          <w:lang w:val="es-ES" w:eastAsia="ar-SA"/>
        </w:rPr>
        <w:t>RESOLUCIÓN MEDIANTE LA CUAL EL PLENO DEL INSTITUTO FEDERAL DE TELECOMUNICACIONES FORMALIZA Y RESUELVE EN DEFINITIVA LAS CONDICIONES MEDIANTE LAS CUALES SE IMPLEMENTARÁ EL MÓDULO DEL SISTEMA ELECTRÓNICO DE GESTIÓN CORRESPONDIENTE A LA OFERTA DE REFERENCIA PARA LA DESAGREGACIÓN EFECTIVA DE LA RED LOCAL DEL A</w:t>
      </w:r>
      <w:r w:rsidR="00CF6AF8" w:rsidRPr="00D31A19">
        <w:rPr>
          <w:rFonts w:ascii="ITC Avant Garde" w:hAnsi="ITC Avant Garde"/>
          <w:i/>
          <w:kern w:val="1"/>
          <w:lang w:val="es-ES" w:eastAsia="ar-SA"/>
        </w:rPr>
        <w:t>GENTE ECONÓMICO PREPONDERANTE</w:t>
      </w:r>
      <w:r w:rsidR="00CF6AF8" w:rsidRPr="00D31A19">
        <w:rPr>
          <w:rFonts w:ascii="ITC Avant Garde" w:hAnsi="ITC Avant Garde"/>
          <w:kern w:val="1"/>
          <w:lang w:val="es-ES" w:eastAsia="ar-SA"/>
        </w:rPr>
        <w:t>.”</w:t>
      </w:r>
      <w:r w:rsidR="00DD7424" w:rsidRPr="00D31A19">
        <w:rPr>
          <w:rFonts w:ascii="ITC Avant Garde" w:hAnsi="ITC Avant Garde"/>
          <w:kern w:val="1"/>
          <w:lang w:val="es-ES" w:eastAsia="ar-SA"/>
        </w:rPr>
        <w:t xml:space="preserve"> (“Resolución del SEG”).</w:t>
      </w:r>
    </w:p>
    <w:p w14:paraId="0AC98591" w14:textId="77777777" w:rsidR="00564981" w:rsidRDefault="0016188D" w:rsidP="00564981">
      <w:pPr>
        <w:shd w:val="clear" w:color="auto" w:fill="FFFFFF"/>
        <w:spacing w:before="240" w:after="240"/>
        <w:jc w:val="both"/>
        <w:rPr>
          <w:rFonts w:ascii="ITC Avant Garde" w:hAnsi="ITC Avant Garde"/>
          <w:kern w:val="1"/>
          <w:lang w:val="es-ES" w:eastAsia="ar-SA"/>
        </w:rPr>
      </w:pPr>
      <w:proofErr w:type="gramStart"/>
      <w:r w:rsidRPr="00D31A19">
        <w:rPr>
          <w:rFonts w:ascii="ITC Avant Garde" w:hAnsi="ITC Avant Garde"/>
          <w:b/>
          <w:lang w:val="es-ES"/>
        </w:rPr>
        <w:t>OCTAVO</w:t>
      </w:r>
      <w:r w:rsidR="00E26CB8" w:rsidRPr="00D31A19">
        <w:rPr>
          <w:rFonts w:ascii="ITC Avant Garde" w:hAnsi="ITC Avant Garde"/>
          <w:b/>
          <w:lang w:val="es-ES"/>
        </w:rPr>
        <w:t>.-</w:t>
      </w:r>
      <w:proofErr w:type="gramEnd"/>
      <w:r w:rsidR="00DD7424" w:rsidRPr="00D31A19">
        <w:rPr>
          <w:rFonts w:ascii="ITC Avant Garde" w:hAnsi="ITC Avant Garde"/>
          <w:b/>
          <w:lang w:val="es-ES"/>
        </w:rPr>
        <w:t xml:space="preserve"> </w:t>
      </w:r>
      <w:r w:rsidR="006F6DEE" w:rsidRPr="00D31A19">
        <w:rPr>
          <w:rFonts w:ascii="ITC Avant Garde" w:hAnsi="ITC Avant Garde"/>
          <w:kern w:val="1"/>
          <w:lang w:val="es-ES" w:eastAsia="ar-SA"/>
        </w:rPr>
        <w:t>El 24 de noviembre de 2016, el Instituto aprobó</w:t>
      </w:r>
      <w:r w:rsidR="002F0479" w:rsidRPr="00D31A19">
        <w:rPr>
          <w:rFonts w:ascii="ITC Avant Garde" w:hAnsi="ITC Avant Garde"/>
          <w:kern w:val="1"/>
          <w:lang w:val="es-ES" w:eastAsia="ar-SA"/>
        </w:rPr>
        <w:t xml:space="preserve"> el Acuerdo</w:t>
      </w:r>
      <w:r w:rsidR="006F6DEE" w:rsidRPr="00D31A19">
        <w:rPr>
          <w:rFonts w:ascii="ITC Avant Garde" w:hAnsi="ITC Avant Garde"/>
          <w:kern w:val="1"/>
          <w:lang w:val="es-ES" w:eastAsia="ar-SA"/>
        </w:rPr>
        <w:t xml:space="preserve"> P/IFT/EXT/241116/37, que contiene la “</w:t>
      </w:r>
      <w:r w:rsidR="006F6DEE" w:rsidRPr="00D31A19">
        <w:rPr>
          <w:rFonts w:ascii="ITC Avant Garde" w:hAnsi="ITC Avant Garde"/>
          <w:i/>
          <w:kern w:val="1"/>
          <w:lang w:val="es-ES" w:eastAsia="ar-SA"/>
        </w:rPr>
        <w:t xml:space="preserve">RESOLUCIÓN MEDIANTE LA CUAL EL PLENO DEL INSTITUTO FEDERAL DE TELECOMUNICACIONES MODIFICA Y AUTORIZA AL AGENTE ECONÓMICO PREPONDERANTE LOS TÉRMINOS Y CONDICIONES DE LA OFERTA DE REFERENCIA DE DESAGREGACIÓN EFECTIVA DE LA RED LOCAL DEL AGENTE ECONÓMICO </w:t>
      </w:r>
      <w:r w:rsidR="006F6DEE" w:rsidRPr="00D31A19">
        <w:rPr>
          <w:rFonts w:ascii="ITC Avant Garde" w:hAnsi="ITC Avant Garde"/>
          <w:i/>
          <w:kern w:val="1"/>
          <w:lang w:val="es-ES" w:eastAsia="ar-SA"/>
        </w:rPr>
        <w:lastRenderedPageBreak/>
        <w:t>PREPONDERANTE PRESENTADA POR TELÉFONOS DE MÉXICO, S.A.B. DE C.V., APLICABLES DEL 1º DE ENERO DE 2017 AL 31 DE DICIEMBRE DE 2018</w:t>
      </w:r>
      <w:r w:rsidR="006F6DEE" w:rsidRPr="00D31A19">
        <w:rPr>
          <w:rFonts w:ascii="ITC Avant Garde" w:hAnsi="ITC Avant Garde"/>
          <w:kern w:val="1"/>
          <w:lang w:val="es-ES" w:eastAsia="ar-SA"/>
        </w:rPr>
        <w:t>”.</w:t>
      </w:r>
      <w:r w:rsidR="00606FE3" w:rsidRPr="00D31A19">
        <w:rPr>
          <w:rFonts w:ascii="ITC Avant Garde" w:hAnsi="ITC Avant Garde"/>
          <w:kern w:val="1"/>
          <w:lang w:val="es-ES" w:eastAsia="ar-SA"/>
        </w:rPr>
        <w:t xml:space="preserve"> </w:t>
      </w:r>
      <w:r w:rsidR="00606FE3" w:rsidRPr="00D31A19">
        <w:rPr>
          <w:rFonts w:ascii="ITC Avant Garde" w:hAnsi="ITC Avant Garde"/>
          <w:lang w:val="es-ES"/>
        </w:rPr>
        <w:t>(“</w:t>
      </w:r>
      <w:r w:rsidR="00264325" w:rsidRPr="00D31A19">
        <w:rPr>
          <w:rFonts w:ascii="ITC Avant Garde" w:hAnsi="ITC Avant Garde"/>
          <w:lang w:val="es-ES"/>
        </w:rPr>
        <w:t>OREDA 2017</w:t>
      </w:r>
      <w:r w:rsidR="00606FE3" w:rsidRPr="00D31A19">
        <w:rPr>
          <w:rFonts w:ascii="ITC Avant Garde" w:hAnsi="ITC Avant Garde"/>
          <w:lang w:val="es-ES"/>
        </w:rPr>
        <w:t xml:space="preserve"> Telmex”)</w:t>
      </w:r>
    </w:p>
    <w:p w14:paraId="0CFCD0B9" w14:textId="77777777" w:rsidR="00564981" w:rsidRDefault="0036069D" w:rsidP="00564981">
      <w:pPr>
        <w:autoSpaceDE w:val="0"/>
        <w:autoSpaceDN w:val="0"/>
        <w:adjustRightInd w:val="0"/>
        <w:spacing w:before="240" w:after="240"/>
        <w:jc w:val="both"/>
        <w:rPr>
          <w:rFonts w:ascii="ITC Avant Garde" w:hAnsi="ITC Avant Garde"/>
          <w:lang w:val="es-ES"/>
        </w:rPr>
      </w:pPr>
      <w:r w:rsidRPr="00D31A19">
        <w:rPr>
          <w:rFonts w:ascii="ITC Avant Garde" w:hAnsi="ITC Avant Garde"/>
          <w:lang w:val="es-ES"/>
        </w:rPr>
        <w:t>En la misma fecha</w:t>
      </w:r>
      <w:r w:rsidR="006F6DEE" w:rsidRPr="00D31A19">
        <w:rPr>
          <w:rFonts w:ascii="ITC Avant Garde" w:hAnsi="ITC Avant Garde"/>
          <w:lang w:val="es-ES"/>
        </w:rPr>
        <w:t>, el Instituto aprobó</w:t>
      </w:r>
      <w:r w:rsidR="002F0479" w:rsidRPr="00D31A19">
        <w:rPr>
          <w:rFonts w:ascii="ITC Avant Garde" w:hAnsi="ITC Avant Garde"/>
          <w:lang w:val="es-ES"/>
        </w:rPr>
        <w:t xml:space="preserve"> el Acuerdo</w:t>
      </w:r>
      <w:r w:rsidR="006F6DEE" w:rsidRPr="00D31A19">
        <w:rPr>
          <w:rFonts w:ascii="ITC Avant Garde" w:hAnsi="ITC Avant Garde"/>
          <w:lang w:val="es-ES"/>
        </w:rPr>
        <w:t xml:space="preserve"> P/IFT/EXT/241116/38</w:t>
      </w:r>
      <w:r w:rsidR="002F0479" w:rsidRPr="00D31A19">
        <w:rPr>
          <w:rFonts w:ascii="ITC Avant Garde" w:hAnsi="ITC Avant Garde"/>
          <w:lang w:val="es-ES"/>
        </w:rPr>
        <w:t xml:space="preserve"> que contiene la</w:t>
      </w:r>
      <w:r w:rsidR="006F6DEE" w:rsidRPr="00D31A19">
        <w:rPr>
          <w:rFonts w:ascii="ITC Avant Garde" w:hAnsi="ITC Avant Garde"/>
          <w:lang w:val="es-ES"/>
        </w:rPr>
        <w:t xml:space="preserve"> “</w:t>
      </w:r>
      <w:r w:rsidR="006F6DEE" w:rsidRPr="00D31A19">
        <w:rPr>
          <w:rFonts w:ascii="ITC Avant Garde" w:hAnsi="ITC Avant Garde"/>
          <w:i/>
          <w:lang w:val="es-ES"/>
        </w:rPr>
        <w:t>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DEL NOROESTE, S.A. DE C.V., APLICABLES DEL 1º DE ENERO DE 2017 AL 31 DE DICIEMBRE DE 2018</w:t>
      </w:r>
      <w:r w:rsidR="006F6DEE" w:rsidRPr="00D31A19">
        <w:rPr>
          <w:rFonts w:ascii="ITC Avant Garde" w:hAnsi="ITC Avant Garde"/>
          <w:lang w:val="es-ES"/>
        </w:rPr>
        <w:t>”. (“</w:t>
      </w:r>
      <w:r w:rsidR="00264325" w:rsidRPr="00D31A19">
        <w:rPr>
          <w:rFonts w:ascii="ITC Avant Garde" w:hAnsi="ITC Avant Garde"/>
          <w:lang w:val="es-ES"/>
        </w:rPr>
        <w:t>OREDA 2017</w:t>
      </w:r>
      <w:r w:rsidR="00606FE3" w:rsidRPr="00D31A19">
        <w:rPr>
          <w:rFonts w:ascii="ITC Avant Garde" w:hAnsi="ITC Avant Garde"/>
          <w:lang w:val="es-ES"/>
        </w:rPr>
        <w:t xml:space="preserve"> </w:t>
      </w:r>
      <w:proofErr w:type="spellStart"/>
      <w:r w:rsidR="00606FE3" w:rsidRPr="00D31A19">
        <w:rPr>
          <w:rFonts w:ascii="ITC Avant Garde" w:hAnsi="ITC Avant Garde"/>
          <w:lang w:val="es-ES"/>
        </w:rPr>
        <w:t>Telnor</w:t>
      </w:r>
      <w:proofErr w:type="spellEnd"/>
      <w:r w:rsidR="006F6DEE" w:rsidRPr="00D31A19">
        <w:rPr>
          <w:rFonts w:ascii="ITC Avant Garde" w:hAnsi="ITC Avant Garde"/>
          <w:lang w:val="es-ES"/>
        </w:rPr>
        <w:t>”)</w:t>
      </w:r>
    </w:p>
    <w:p w14:paraId="02240948" w14:textId="77777777" w:rsidR="00564981" w:rsidRDefault="0016188D" w:rsidP="00564981">
      <w:pPr>
        <w:shd w:val="clear" w:color="auto" w:fill="FFFFFF"/>
        <w:spacing w:before="240" w:after="240"/>
        <w:jc w:val="both"/>
        <w:rPr>
          <w:rFonts w:ascii="ITC Avant Garde" w:hAnsi="ITC Avant Garde"/>
          <w:lang w:val="es-ES"/>
        </w:rPr>
      </w:pPr>
      <w:proofErr w:type="gramStart"/>
      <w:r w:rsidRPr="00D31A19">
        <w:rPr>
          <w:rFonts w:ascii="ITC Avant Garde" w:hAnsi="ITC Avant Garde"/>
          <w:b/>
          <w:lang w:val="es-ES"/>
        </w:rPr>
        <w:t>NOVENO</w:t>
      </w:r>
      <w:r w:rsidR="006F6DEE" w:rsidRPr="00D31A19">
        <w:rPr>
          <w:rFonts w:ascii="ITC Avant Garde" w:hAnsi="ITC Avant Garde"/>
          <w:b/>
          <w:lang w:val="es-ES"/>
        </w:rPr>
        <w:t>.-</w:t>
      </w:r>
      <w:proofErr w:type="gramEnd"/>
      <w:r w:rsidRPr="00D31A19">
        <w:rPr>
          <w:rFonts w:ascii="ITC Avant Garde" w:hAnsi="ITC Avant Garde"/>
          <w:b/>
          <w:lang w:val="es-ES"/>
        </w:rPr>
        <w:t xml:space="preserve"> </w:t>
      </w:r>
      <w:r w:rsidR="009444E3" w:rsidRPr="00D31A19">
        <w:rPr>
          <w:rFonts w:ascii="ITC Avant Garde" w:hAnsi="ITC Avant Garde"/>
          <w:lang w:val="es-ES"/>
        </w:rPr>
        <w:t>E</w:t>
      </w:r>
      <w:r w:rsidR="002117BD" w:rsidRPr="00D31A19">
        <w:rPr>
          <w:rFonts w:ascii="ITC Avant Garde" w:hAnsi="ITC Avant Garde"/>
          <w:kern w:val="1"/>
          <w:lang w:val="es-ES" w:eastAsia="ar-SA"/>
        </w:rPr>
        <w:t xml:space="preserve">l </w:t>
      </w:r>
      <w:r w:rsidR="00F87DCB" w:rsidRPr="00D31A19">
        <w:rPr>
          <w:rFonts w:ascii="ITC Avant Garde" w:hAnsi="ITC Avant Garde"/>
          <w:kern w:val="1"/>
          <w:lang w:val="es-ES" w:eastAsia="ar-SA"/>
        </w:rPr>
        <w:t>30 de agosto de 2017 se celebró</w:t>
      </w:r>
      <w:r w:rsidR="00872CC9" w:rsidRPr="00D31A19">
        <w:rPr>
          <w:rFonts w:ascii="ITC Avant Garde" w:hAnsi="ITC Avant Garde"/>
          <w:kern w:val="1"/>
          <w:lang w:val="es-ES" w:eastAsia="ar-SA"/>
        </w:rPr>
        <w:t xml:space="preserve"> </w:t>
      </w:r>
      <w:r w:rsidR="009444E3" w:rsidRPr="00D31A19">
        <w:rPr>
          <w:rFonts w:ascii="ITC Avant Garde" w:hAnsi="ITC Avant Garde"/>
          <w:kern w:val="1"/>
          <w:lang w:val="es-ES" w:eastAsia="ar-SA"/>
        </w:rPr>
        <w:t xml:space="preserve">la Vigésima Tercera Sesión del Comité Técnico </w:t>
      </w:r>
      <w:r w:rsidR="009444E3" w:rsidRPr="00D31A19">
        <w:rPr>
          <w:rFonts w:ascii="ITC Avant Garde" w:hAnsi="ITC Avant Garde"/>
          <w:lang w:val="es-ES"/>
        </w:rPr>
        <w:t>de Desagregación</w:t>
      </w:r>
      <w:r w:rsidR="00CE6431" w:rsidRPr="00D31A19">
        <w:rPr>
          <w:rFonts w:ascii="ITC Avant Garde" w:hAnsi="ITC Avant Garde"/>
          <w:kern w:val="1"/>
          <w:lang w:val="es-ES" w:eastAsia="ar-SA"/>
        </w:rPr>
        <w:t xml:space="preserve"> </w:t>
      </w:r>
      <w:r w:rsidR="00F87DCB" w:rsidRPr="00D31A19">
        <w:rPr>
          <w:rFonts w:ascii="ITC Avant Garde" w:hAnsi="ITC Avant Garde"/>
          <w:kern w:val="1"/>
          <w:lang w:val="es-ES" w:eastAsia="ar-SA"/>
        </w:rPr>
        <w:t>y se levantó e</w:t>
      </w:r>
      <w:r w:rsidR="00574DEA" w:rsidRPr="00D31A19">
        <w:rPr>
          <w:rFonts w:ascii="ITC Avant Garde" w:hAnsi="ITC Avant Garde"/>
          <w:kern w:val="1"/>
          <w:lang w:val="es-ES" w:eastAsia="ar-SA"/>
        </w:rPr>
        <w:t>l</w:t>
      </w:r>
      <w:r w:rsidR="00F87DCB" w:rsidRPr="00D31A19">
        <w:rPr>
          <w:rFonts w:ascii="ITC Avant Garde" w:hAnsi="ITC Avant Garde"/>
          <w:kern w:val="1"/>
          <w:lang w:val="es-ES" w:eastAsia="ar-SA"/>
        </w:rPr>
        <w:t xml:space="preserve"> Acta </w:t>
      </w:r>
      <w:r w:rsidR="00437DB6" w:rsidRPr="00D31A19">
        <w:rPr>
          <w:rFonts w:ascii="ITC Avant Garde" w:hAnsi="ITC Avant Garde"/>
          <w:kern w:val="1"/>
          <w:lang w:val="es-ES" w:eastAsia="ar-SA"/>
        </w:rPr>
        <w:t>correspondiente a</w:t>
      </w:r>
      <w:r w:rsidR="00574DEA" w:rsidRPr="00D31A19">
        <w:rPr>
          <w:rFonts w:ascii="ITC Avant Garde" w:hAnsi="ITC Avant Garde"/>
          <w:kern w:val="1"/>
          <w:lang w:val="es-ES" w:eastAsia="ar-SA"/>
        </w:rPr>
        <w:t xml:space="preserve">l orden del día y </w:t>
      </w:r>
      <w:r w:rsidR="00437DB6" w:rsidRPr="00D31A19">
        <w:rPr>
          <w:rFonts w:ascii="ITC Avant Garde" w:hAnsi="ITC Avant Garde"/>
          <w:kern w:val="1"/>
          <w:lang w:val="es-ES" w:eastAsia="ar-SA"/>
        </w:rPr>
        <w:t xml:space="preserve">los </w:t>
      </w:r>
      <w:r w:rsidR="00574DEA" w:rsidRPr="00D31A19">
        <w:rPr>
          <w:rFonts w:ascii="ITC Avant Garde" w:hAnsi="ITC Avant Garde"/>
          <w:kern w:val="1"/>
          <w:lang w:val="es-ES" w:eastAsia="ar-SA"/>
        </w:rPr>
        <w:t>anexos.</w:t>
      </w:r>
      <w:r w:rsidR="008B2590" w:rsidRPr="00D31A19">
        <w:rPr>
          <w:rFonts w:ascii="ITC Avant Garde" w:hAnsi="ITC Avant Garde"/>
          <w:kern w:val="1"/>
          <w:lang w:val="es-ES" w:eastAsia="ar-SA"/>
        </w:rPr>
        <w:t xml:space="preserve"> </w:t>
      </w:r>
      <w:r w:rsidR="00574DEA" w:rsidRPr="00D31A19">
        <w:rPr>
          <w:rFonts w:ascii="ITC Avant Garde" w:hAnsi="ITC Avant Garde"/>
          <w:kern w:val="1"/>
          <w:lang w:val="es-ES" w:eastAsia="ar-SA"/>
        </w:rPr>
        <w:t>El Anexo 1 contiene l</w:t>
      </w:r>
      <w:r w:rsidR="00AE1440" w:rsidRPr="00D31A19">
        <w:rPr>
          <w:rFonts w:ascii="ITC Avant Garde" w:hAnsi="ITC Avant Garde"/>
          <w:kern w:val="1"/>
          <w:lang w:val="es-ES" w:eastAsia="ar-SA"/>
        </w:rPr>
        <w:t>a lista de asistentes para la verificación de quorum y el</w:t>
      </w:r>
      <w:r w:rsidR="008B2590" w:rsidRPr="00D31A19">
        <w:rPr>
          <w:rFonts w:ascii="ITC Avant Garde" w:hAnsi="ITC Avant Garde"/>
          <w:kern w:val="1"/>
          <w:lang w:val="es-ES" w:eastAsia="ar-SA"/>
        </w:rPr>
        <w:t xml:space="preserve"> Anexo 2 </w:t>
      </w:r>
      <w:r w:rsidR="00AE1440" w:rsidRPr="00D31A19">
        <w:rPr>
          <w:rFonts w:ascii="ITC Avant Garde" w:hAnsi="ITC Avant Garde"/>
          <w:kern w:val="1"/>
          <w:lang w:val="es-ES" w:eastAsia="ar-SA"/>
        </w:rPr>
        <w:t>contiene</w:t>
      </w:r>
      <w:r w:rsidR="008B2590" w:rsidRPr="00D31A19">
        <w:rPr>
          <w:rFonts w:ascii="ITC Avant Garde" w:hAnsi="ITC Avant Garde"/>
          <w:kern w:val="1"/>
          <w:lang w:val="es-ES" w:eastAsia="ar-SA"/>
        </w:rPr>
        <w:t xml:space="preserve"> las conclusiones del grupo de trabajo para mejoras al Sistema Electrónico de Gestión (“Documento del Grupo de Trabajo</w:t>
      </w:r>
      <w:r w:rsidR="007E4657" w:rsidRPr="00D31A19">
        <w:rPr>
          <w:rFonts w:ascii="ITC Avant Garde" w:hAnsi="ITC Avant Garde"/>
          <w:kern w:val="1"/>
          <w:lang w:val="es-ES" w:eastAsia="ar-SA"/>
        </w:rPr>
        <w:t xml:space="preserve"> de</w:t>
      </w:r>
      <w:r w:rsidR="008B2590" w:rsidRPr="00D31A19">
        <w:rPr>
          <w:rFonts w:ascii="ITC Avant Garde" w:hAnsi="ITC Avant Garde"/>
          <w:kern w:val="1"/>
          <w:lang w:val="es-ES" w:eastAsia="ar-SA"/>
        </w:rPr>
        <w:t xml:space="preserve"> Mejoras al SEG”).</w:t>
      </w:r>
    </w:p>
    <w:p w14:paraId="7164B8EB" w14:textId="77777777" w:rsidR="00564981" w:rsidRDefault="006F6DEE" w:rsidP="00564981">
      <w:pPr>
        <w:shd w:val="clear" w:color="auto" w:fill="FFFFFF"/>
        <w:spacing w:before="240" w:after="240"/>
        <w:jc w:val="both"/>
        <w:rPr>
          <w:rFonts w:ascii="ITC Avant Garde" w:hAnsi="ITC Avant Garde"/>
          <w:lang w:val="es-ES"/>
        </w:rPr>
      </w:pPr>
      <w:proofErr w:type="gramStart"/>
      <w:r w:rsidRPr="00D31A19">
        <w:rPr>
          <w:rFonts w:ascii="ITC Avant Garde" w:hAnsi="ITC Avant Garde"/>
          <w:b/>
          <w:lang w:val="es-ES"/>
        </w:rPr>
        <w:t>DÉCIMO</w:t>
      </w:r>
      <w:r w:rsidR="00E26CB8" w:rsidRPr="00D31A19">
        <w:rPr>
          <w:rFonts w:ascii="ITC Avant Garde" w:hAnsi="ITC Avant Garde"/>
          <w:b/>
          <w:lang w:val="es-ES"/>
        </w:rPr>
        <w:t>.-</w:t>
      </w:r>
      <w:proofErr w:type="gramEnd"/>
      <w:r w:rsidR="00DD7424" w:rsidRPr="00D31A19">
        <w:rPr>
          <w:rFonts w:ascii="ITC Avant Garde" w:hAnsi="ITC Avant Garde"/>
          <w:b/>
          <w:lang w:val="es-ES"/>
        </w:rPr>
        <w:t xml:space="preserve"> </w:t>
      </w:r>
      <w:r w:rsidR="006639AC" w:rsidRPr="00D31A19">
        <w:rPr>
          <w:rFonts w:ascii="ITC Avant Garde" w:hAnsi="ITC Avant Garde"/>
          <w:lang w:val="es-ES"/>
        </w:rPr>
        <w:t>El 5 de septiembre de 2017, el representante legal de Telmex-</w:t>
      </w:r>
      <w:proofErr w:type="spellStart"/>
      <w:r w:rsidR="006639AC" w:rsidRPr="00D31A19">
        <w:rPr>
          <w:rFonts w:ascii="ITC Avant Garde" w:hAnsi="ITC Avant Garde"/>
          <w:lang w:val="es-ES"/>
        </w:rPr>
        <w:t>Telnor</w:t>
      </w:r>
      <w:proofErr w:type="spellEnd"/>
      <w:r w:rsidR="006639AC" w:rsidRPr="00D31A19">
        <w:rPr>
          <w:rFonts w:ascii="ITC Avant Garde" w:hAnsi="ITC Avant Garde"/>
          <w:lang w:val="es-ES"/>
        </w:rPr>
        <w:t xml:space="preserve"> presentó escrito ante el Instituto </w:t>
      </w:r>
      <w:r w:rsidR="006639AC" w:rsidRPr="00D31A19">
        <w:rPr>
          <w:rFonts w:ascii="ITC Avant Garde" w:hAnsi="ITC Avant Garde"/>
          <w:bCs/>
          <w:lang w:val="es-ES"/>
        </w:rPr>
        <w:t xml:space="preserve">solicitando la confirmación de criterio </w:t>
      </w:r>
      <w:r w:rsidR="005C61E4" w:rsidRPr="00D31A19">
        <w:rPr>
          <w:rFonts w:ascii="ITC Avant Garde" w:hAnsi="ITC Avant Garde"/>
          <w:bCs/>
          <w:lang w:val="es-ES"/>
        </w:rPr>
        <w:t>relativo a</w:t>
      </w:r>
      <w:r w:rsidR="006639AC" w:rsidRPr="00D31A19">
        <w:rPr>
          <w:rFonts w:ascii="ITC Avant Garde" w:hAnsi="ITC Avant Garde"/>
          <w:bCs/>
          <w:lang w:val="es-ES"/>
        </w:rPr>
        <w:t xml:space="preserve"> </w:t>
      </w:r>
      <w:r w:rsidR="006639AC" w:rsidRPr="00D31A19">
        <w:rPr>
          <w:rFonts w:ascii="ITC Avant Garde" w:hAnsi="ITC Avant Garde"/>
          <w:kern w:val="1"/>
          <w:lang w:val="es-ES" w:eastAsia="ar-SA"/>
        </w:rPr>
        <w:t>los puntos 2,7, 5, 12 y 14 contenidos en el Documento del Grupo de Trabajo de Mejoras al SEG.</w:t>
      </w:r>
      <w:r w:rsidR="005C61E4" w:rsidRPr="00D31A19">
        <w:rPr>
          <w:rFonts w:ascii="ITC Avant Garde" w:hAnsi="ITC Avant Garde"/>
          <w:kern w:val="1"/>
          <w:lang w:val="es-ES" w:eastAsia="ar-SA"/>
        </w:rPr>
        <w:t xml:space="preserve"> Al respecto, </w:t>
      </w:r>
      <w:r w:rsidR="005C61E4" w:rsidRPr="00D31A19">
        <w:rPr>
          <w:rFonts w:ascii="ITC Avant Garde" w:hAnsi="ITC Avant Garde"/>
          <w:lang w:val="es-ES"/>
        </w:rPr>
        <w:t>l</w:t>
      </w:r>
      <w:r w:rsidR="00DD7424" w:rsidRPr="00D31A19">
        <w:rPr>
          <w:rFonts w:ascii="ITC Avant Garde" w:hAnsi="ITC Avant Garde"/>
          <w:lang w:val="es-ES"/>
        </w:rPr>
        <w:t>a Unidad de Asuntos Jurídicos, atendiendo a lo dispuesto en los artículos 52 y 54, fracción IV del Estatuto Orgánico del Instituto Federal de Telecomunicaciones (“Estatuto”) elaboró y propuso al Pleno de este Instituto el criterio materia del presente Acuerdo.</w:t>
      </w:r>
    </w:p>
    <w:p w14:paraId="4BD2195C" w14:textId="77777777" w:rsidR="00564981" w:rsidRDefault="009F2182" w:rsidP="00564981">
      <w:pPr>
        <w:pStyle w:val="Ttulo2"/>
        <w:keepLines/>
        <w:spacing w:before="240" w:after="240"/>
        <w:jc w:val="center"/>
        <w:rPr>
          <w:b/>
          <w:bCs/>
          <w:spacing w:val="-2"/>
          <w:lang w:val="es-ES"/>
        </w:rPr>
      </w:pPr>
      <w:r>
        <w:rPr>
          <w:b/>
          <w:bCs/>
          <w:spacing w:val="-2"/>
          <w:lang w:val="es-ES"/>
        </w:rPr>
        <w:t>CONSIDERANDO</w:t>
      </w:r>
    </w:p>
    <w:p w14:paraId="3277DE7D" w14:textId="77777777" w:rsidR="00564981" w:rsidRDefault="00E26CB8" w:rsidP="00564981">
      <w:pPr>
        <w:shd w:val="clear" w:color="auto" w:fill="FFFFFF"/>
        <w:spacing w:before="240" w:after="240"/>
        <w:ind w:right="14"/>
        <w:jc w:val="both"/>
        <w:rPr>
          <w:rFonts w:ascii="ITC Avant Garde" w:hAnsi="ITC Avant Garde"/>
          <w:lang w:val="es-ES"/>
        </w:rPr>
      </w:pPr>
      <w:proofErr w:type="gramStart"/>
      <w:r w:rsidRPr="00D31A19">
        <w:rPr>
          <w:rFonts w:ascii="ITC Avant Garde" w:hAnsi="ITC Avant Garde"/>
          <w:b/>
          <w:lang w:val="es-ES"/>
        </w:rPr>
        <w:t>PRIMERO.-</w:t>
      </w:r>
      <w:proofErr w:type="gramEnd"/>
      <w:r w:rsidRPr="00D31A19">
        <w:rPr>
          <w:rFonts w:ascii="ITC Avant Garde" w:hAnsi="ITC Avant Garde"/>
          <w:b/>
          <w:lang w:val="es-ES"/>
        </w:rPr>
        <w:t xml:space="preserve"> </w:t>
      </w:r>
      <w:r w:rsidRPr="00D31A19">
        <w:rPr>
          <w:rFonts w:ascii="ITC Avant Garde" w:hAnsi="ITC Avant Garde"/>
          <w:b/>
          <w:u w:val="single"/>
          <w:lang w:val="es-ES"/>
        </w:rPr>
        <w:t>Competencia del Instituto</w:t>
      </w:r>
      <w:r w:rsidRPr="00D31A19">
        <w:rPr>
          <w:rFonts w:ascii="ITC Avant Garde" w:hAnsi="ITC Avant Garde"/>
          <w:b/>
          <w:lang w:val="es-ES"/>
        </w:rPr>
        <w:t>.</w:t>
      </w:r>
      <w:r w:rsidR="000D5565" w:rsidRPr="00D31A19">
        <w:rPr>
          <w:rFonts w:ascii="ITC Avant Garde" w:hAnsi="ITC Avant Garde"/>
          <w:b/>
          <w:lang w:val="es-ES"/>
        </w:rPr>
        <w:t xml:space="preserve"> </w:t>
      </w:r>
      <w:r w:rsidR="000D5565" w:rsidRPr="00D31A19">
        <w:rPr>
          <w:rFonts w:ascii="ITC Avant Garde" w:hAnsi="ITC Avant Garde"/>
          <w:lang w:val="es-ES"/>
        </w:rPr>
        <w:t>De conformidad con lo establecido en el artículo 28, párrafo décimo quinto de la Constitución Política de los Estados Unidos Mexicanos (</w:t>
      </w:r>
      <w:r w:rsidR="00111D6A" w:rsidRPr="00D31A19">
        <w:rPr>
          <w:rFonts w:ascii="ITC Avant Garde" w:hAnsi="ITC Avant Garde"/>
          <w:lang w:val="es-ES"/>
        </w:rPr>
        <w:t>“</w:t>
      </w:r>
      <w:r w:rsidR="000D5565" w:rsidRPr="00D31A19">
        <w:rPr>
          <w:rFonts w:ascii="ITC Avant Garde" w:hAnsi="ITC Avant Garde"/>
          <w:lang w:val="es-ES"/>
        </w:rPr>
        <w:t>Constitución</w:t>
      </w:r>
      <w:r w:rsidR="00111D6A" w:rsidRPr="00D31A19">
        <w:rPr>
          <w:rFonts w:ascii="ITC Avant Garde" w:hAnsi="ITC Avant Garde"/>
          <w:lang w:val="es-ES"/>
        </w:rPr>
        <w:t>”</w:t>
      </w:r>
      <w:r w:rsidR="000D5565" w:rsidRPr="00D31A19">
        <w:rPr>
          <w:rFonts w:ascii="ITC Avant Garde" w:hAnsi="ITC Avant Garde"/>
          <w:lang w:val="es-ES"/>
        </w:rPr>
        <w:t>),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64E7CC7C" w14:textId="77777777" w:rsidR="00564981" w:rsidRDefault="000D5565" w:rsidP="00564981">
      <w:pPr>
        <w:shd w:val="clear" w:color="auto" w:fill="FFFFFF"/>
        <w:spacing w:before="240" w:after="240"/>
        <w:ind w:right="14"/>
        <w:jc w:val="both"/>
        <w:rPr>
          <w:rFonts w:ascii="ITC Avant Garde" w:hAnsi="ITC Avant Garde"/>
          <w:lang w:val="es-ES"/>
        </w:rPr>
      </w:pPr>
      <w:r w:rsidRPr="00D31A19">
        <w:rPr>
          <w:rFonts w:ascii="ITC Avant Garde" w:hAnsi="ITC Avant Garde"/>
          <w:lang w:val="es-ES"/>
        </w:rPr>
        <w:t>En términos de los artículos 2, 7, 15, fracción LVII, 16 y 17, penúltimo párrafo de la LFTR, y 1, 4, fracción I y 6, fracción XVIII del Estatuto, el Pleno del Instituto resulta competente para conocer del presente asunto, al contar con atribuciones para interpretar disposiciones legales, reglamentarias y administrativas en el ámbito de sus atribuciones.</w:t>
      </w:r>
    </w:p>
    <w:p w14:paraId="752B4DDD" w14:textId="3B9F2F56" w:rsidR="00564981" w:rsidRDefault="00564981" w:rsidP="00564981">
      <w:pPr>
        <w:shd w:val="clear" w:color="auto" w:fill="FFFFFF"/>
        <w:spacing w:before="240" w:after="240"/>
        <w:ind w:right="14"/>
        <w:jc w:val="both"/>
        <w:rPr>
          <w:rFonts w:ascii="ITC Avant Garde" w:hAnsi="ITC Avant Garde"/>
          <w:lang w:val="es-ES"/>
        </w:rPr>
      </w:pPr>
    </w:p>
    <w:p w14:paraId="2FED939D" w14:textId="77777777" w:rsidR="00564981" w:rsidRDefault="00E26CB8" w:rsidP="00564981">
      <w:pPr>
        <w:spacing w:before="240" w:after="240"/>
        <w:jc w:val="both"/>
        <w:rPr>
          <w:rFonts w:ascii="ITC Avant Garde" w:hAnsi="ITC Avant Garde"/>
          <w:lang w:val="es-ES"/>
        </w:rPr>
      </w:pPr>
      <w:proofErr w:type="gramStart"/>
      <w:r w:rsidRPr="00D31A19">
        <w:rPr>
          <w:rFonts w:ascii="ITC Avant Garde" w:hAnsi="ITC Avant Garde"/>
          <w:b/>
          <w:bCs/>
          <w:lang w:val="es-ES"/>
        </w:rPr>
        <w:t>SEGUNDO.-</w:t>
      </w:r>
      <w:proofErr w:type="gramEnd"/>
      <w:r w:rsidRPr="00D31A19">
        <w:rPr>
          <w:rFonts w:ascii="ITC Avant Garde" w:hAnsi="ITC Avant Garde"/>
          <w:b/>
          <w:bCs/>
          <w:lang w:val="es-ES"/>
        </w:rPr>
        <w:t xml:space="preserve"> </w:t>
      </w:r>
      <w:r w:rsidR="00357C2B" w:rsidRPr="00D31A19">
        <w:rPr>
          <w:rFonts w:ascii="ITC Avant Garde" w:hAnsi="ITC Avant Garde"/>
          <w:b/>
          <w:bCs/>
          <w:u w:val="single"/>
          <w:lang w:val="es-ES"/>
        </w:rPr>
        <w:t>Consideraciones Previas</w:t>
      </w:r>
      <w:r w:rsidR="00584A4B" w:rsidRPr="00D31A19">
        <w:rPr>
          <w:rFonts w:ascii="ITC Avant Garde" w:hAnsi="ITC Avant Garde"/>
          <w:b/>
          <w:bCs/>
          <w:lang w:val="es-ES"/>
        </w:rPr>
        <w:t xml:space="preserve">. </w:t>
      </w:r>
      <w:r w:rsidR="00EC3416" w:rsidRPr="00D31A19">
        <w:rPr>
          <w:rFonts w:ascii="ITC Avant Garde" w:hAnsi="ITC Avant Garde"/>
          <w:lang w:val="es-ES"/>
        </w:rPr>
        <w:t>La medida Decimosexta del Anexo 3 de la Resolución de AEP, establece que el</w:t>
      </w:r>
      <w:r w:rsidR="00357C2B" w:rsidRPr="00D31A19">
        <w:rPr>
          <w:rFonts w:ascii="ITC Avant Garde" w:hAnsi="ITC Avant Garde"/>
          <w:lang w:val="es-ES"/>
        </w:rPr>
        <w:t xml:space="preserve"> agente económico preponderante (“AEP”), tendrá la obligación de implementar el Sistema Electrónico de Gestión (“SEG”), a través del cual se permitirá que los Concesionarios Solicitantes</w:t>
      </w:r>
      <w:r w:rsidR="00357C2B" w:rsidRPr="00D31A19">
        <w:rPr>
          <w:vertAlign w:val="superscript"/>
          <w:lang w:val="es-ES"/>
        </w:rPr>
        <w:footnoteReference w:id="1"/>
      </w:r>
      <w:r w:rsidR="00A232ED" w:rsidRPr="00D31A19">
        <w:rPr>
          <w:rFonts w:ascii="ITC Avant Garde" w:hAnsi="ITC Avant Garde"/>
          <w:vertAlign w:val="superscript"/>
          <w:lang w:val="es-ES"/>
        </w:rPr>
        <w:t xml:space="preserve"> </w:t>
      </w:r>
      <w:r w:rsidR="00A232ED" w:rsidRPr="00D31A19">
        <w:rPr>
          <w:rFonts w:ascii="ITC Avant Garde" w:hAnsi="ITC Avant Garde"/>
          <w:lang w:val="es-ES"/>
        </w:rPr>
        <w:t xml:space="preserve">(“CS”) </w:t>
      </w:r>
      <w:r w:rsidR="00357C2B" w:rsidRPr="00D31A19">
        <w:rPr>
          <w:rFonts w:ascii="ITC Avant Garde" w:hAnsi="ITC Avant Garde"/>
          <w:lang w:val="es-ES"/>
        </w:rPr>
        <w:t>realicen la contratación de los servicios objeto de las medidas que integran la Resolución de AEP, reportar y dar seguimiento a las fallas e incidencias que se presenten en los servicios contratados, realizar consultas sobre el estado de las solicitudes de contratación y, todas aquellas que sean necesarias para la correcta operación de los servicios.</w:t>
      </w:r>
      <w:r w:rsidR="00EC3416" w:rsidRPr="00D31A19">
        <w:rPr>
          <w:vertAlign w:val="superscript"/>
          <w:lang w:val="es-ES"/>
        </w:rPr>
        <w:t xml:space="preserve"> </w:t>
      </w:r>
      <w:r w:rsidR="00EC3416" w:rsidRPr="00D31A19">
        <w:rPr>
          <w:vertAlign w:val="superscript"/>
          <w:lang w:val="es-ES"/>
        </w:rPr>
        <w:footnoteReference w:id="2"/>
      </w:r>
      <w:r w:rsidR="00357C2B" w:rsidRPr="00D31A19">
        <w:rPr>
          <w:rFonts w:ascii="ITC Avant Garde" w:hAnsi="ITC Avant Garde"/>
          <w:lang w:val="es-ES"/>
        </w:rPr>
        <w:t xml:space="preserve"> </w:t>
      </w:r>
    </w:p>
    <w:p w14:paraId="0D454122" w14:textId="77777777" w:rsidR="00564981" w:rsidRDefault="00357C2B" w:rsidP="00564981">
      <w:pPr>
        <w:shd w:val="clear" w:color="auto" w:fill="FFFFFF"/>
        <w:spacing w:before="240" w:after="240"/>
        <w:jc w:val="both"/>
        <w:rPr>
          <w:rFonts w:ascii="ITC Avant Garde" w:hAnsi="ITC Avant Garde"/>
          <w:lang w:val="es-ES"/>
        </w:rPr>
      </w:pPr>
      <w:r w:rsidRPr="00D31A19">
        <w:rPr>
          <w:rFonts w:ascii="ITC Avant Garde" w:hAnsi="ITC Avant Garde"/>
          <w:lang w:val="es-ES"/>
        </w:rPr>
        <w:t>La medida Vigésimo Primera</w:t>
      </w:r>
      <w:r w:rsidRPr="00D31A19">
        <w:rPr>
          <w:vertAlign w:val="superscript"/>
          <w:lang w:val="es-ES"/>
        </w:rPr>
        <w:footnoteReference w:id="3"/>
      </w:r>
      <w:r w:rsidRPr="00D31A19">
        <w:rPr>
          <w:rFonts w:ascii="ITC Avant Garde" w:hAnsi="ITC Avant Garde"/>
          <w:vertAlign w:val="superscript"/>
          <w:lang w:val="es-ES"/>
        </w:rPr>
        <w:t xml:space="preserve"> </w:t>
      </w:r>
      <w:r w:rsidRPr="00D31A19">
        <w:rPr>
          <w:rFonts w:ascii="ITC Avant Garde" w:hAnsi="ITC Avant Garde"/>
          <w:lang w:val="es-ES"/>
        </w:rPr>
        <w:t>del Anexo 3 de la Resolución de AEP, establece que el Instituto tendrá acceso permanente al SEG con el fin de, entre otros, evaluar la eficiencia de los procesos relacionados con los servicios objeto de las medidas.</w:t>
      </w:r>
    </w:p>
    <w:p w14:paraId="228C62E2" w14:textId="77777777" w:rsidR="00564981" w:rsidRDefault="005A0F55"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lang w:val="es-ES"/>
        </w:rPr>
        <w:t>Para lo anterior, l</w:t>
      </w:r>
      <w:r w:rsidR="00357C2B" w:rsidRPr="00D31A19">
        <w:rPr>
          <w:rFonts w:ascii="ITC Avant Garde" w:hAnsi="ITC Avant Garde"/>
          <w:lang w:val="es-ES"/>
        </w:rPr>
        <w:t xml:space="preserve">a </w:t>
      </w:r>
      <w:r w:rsidR="00357C2B" w:rsidRPr="00D31A19">
        <w:rPr>
          <w:rFonts w:ascii="ITC Avant Garde" w:hAnsi="ITC Avant Garde"/>
          <w:kern w:val="1"/>
          <w:lang w:val="es-ES" w:eastAsia="ar-SA"/>
        </w:rPr>
        <w:t>medida Cuarta transitoria</w:t>
      </w:r>
      <w:r w:rsidR="00357C2B" w:rsidRPr="00D31A19">
        <w:rPr>
          <w:rStyle w:val="Refdenotaalpie"/>
          <w:rFonts w:ascii="ITC Avant Garde" w:hAnsi="ITC Avant Garde"/>
          <w:kern w:val="1"/>
          <w:lang w:val="es-ES" w:eastAsia="ar-SA"/>
        </w:rPr>
        <w:footnoteReference w:id="4"/>
      </w:r>
      <w:r w:rsidR="00357C2B" w:rsidRPr="00D31A19">
        <w:rPr>
          <w:rFonts w:ascii="ITC Avant Garde" w:hAnsi="ITC Avant Garde"/>
          <w:kern w:val="1"/>
          <w:lang w:val="es-ES" w:eastAsia="ar-SA"/>
        </w:rPr>
        <w:t xml:space="preserve"> del Anexo 3 de la Resolución de AEP, </w:t>
      </w:r>
      <w:r w:rsidRPr="00D31A19">
        <w:rPr>
          <w:rFonts w:ascii="ITC Avant Garde" w:hAnsi="ITC Avant Garde"/>
          <w:kern w:val="1"/>
          <w:lang w:val="es-ES" w:eastAsia="ar-SA"/>
        </w:rPr>
        <w:t>estableció la creación d</w:t>
      </w:r>
      <w:r w:rsidR="0068508D" w:rsidRPr="00D31A19">
        <w:rPr>
          <w:rFonts w:ascii="ITC Avant Garde" w:hAnsi="ITC Avant Garde"/>
          <w:kern w:val="1"/>
          <w:lang w:val="es-ES" w:eastAsia="ar-SA"/>
        </w:rPr>
        <w:t>e un</w:t>
      </w:r>
      <w:r w:rsidR="00357C2B" w:rsidRPr="00D31A19">
        <w:rPr>
          <w:rFonts w:ascii="ITC Avant Garde" w:hAnsi="ITC Avant Garde"/>
          <w:kern w:val="1"/>
          <w:lang w:val="es-ES" w:eastAsia="ar-SA"/>
        </w:rPr>
        <w:t xml:space="preserve"> </w:t>
      </w:r>
      <w:r w:rsidR="00357C2B" w:rsidRPr="00D31A19">
        <w:rPr>
          <w:rFonts w:ascii="ITC Avant Garde" w:hAnsi="ITC Avant Garde"/>
          <w:lang w:val="es-ES"/>
        </w:rPr>
        <w:t>Comité Técnico</w:t>
      </w:r>
      <w:r w:rsidR="0068508D" w:rsidRPr="00D31A19">
        <w:rPr>
          <w:rFonts w:ascii="ITC Avant Garde" w:hAnsi="ITC Avant Garde"/>
          <w:lang w:val="es-ES"/>
        </w:rPr>
        <w:t>,</w:t>
      </w:r>
      <w:r w:rsidR="00357C2B" w:rsidRPr="00D31A19">
        <w:rPr>
          <w:rFonts w:ascii="ITC Avant Garde" w:hAnsi="ITC Avant Garde"/>
          <w:kern w:val="1"/>
          <w:lang w:val="es-ES" w:eastAsia="ar-SA"/>
        </w:rPr>
        <w:t xml:space="preserve"> el cual será presidido y coordinado por el Institut</w:t>
      </w:r>
      <w:r w:rsidR="0068508D" w:rsidRPr="00D31A19">
        <w:rPr>
          <w:rFonts w:ascii="ITC Avant Garde" w:hAnsi="ITC Avant Garde"/>
          <w:kern w:val="1"/>
          <w:lang w:val="es-ES" w:eastAsia="ar-SA"/>
        </w:rPr>
        <w:t xml:space="preserve">o. En el </w:t>
      </w:r>
      <w:r w:rsidR="00357C2B" w:rsidRPr="00D31A19">
        <w:rPr>
          <w:rFonts w:ascii="ITC Avant Garde" w:hAnsi="ITC Avant Garde"/>
          <w:kern w:val="1"/>
          <w:lang w:val="es-ES" w:eastAsia="ar-SA"/>
        </w:rPr>
        <w:t xml:space="preserve">Comité </w:t>
      </w:r>
      <w:r w:rsidRPr="00D31A19">
        <w:rPr>
          <w:rFonts w:ascii="ITC Avant Garde" w:hAnsi="ITC Avant Garde"/>
          <w:kern w:val="1"/>
          <w:lang w:val="es-ES" w:eastAsia="ar-SA"/>
        </w:rPr>
        <w:t xml:space="preserve">Técnico </w:t>
      </w:r>
      <w:r w:rsidR="00357C2B" w:rsidRPr="00D31A19">
        <w:rPr>
          <w:rFonts w:ascii="ITC Avant Garde" w:hAnsi="ITC Avant Garde"/>
          <w:kern w:val="1"/>
          <w:lang w:val="es-ES" w:eastAsia="ar-SA"/>
        </w:rPr>
        <w:t xml:space="preserve">se definirán, a propuesta del AEP, entre otros, todo lo relativo al SEG, así como los formatos para la entrega de información a que se refieren las medidas. </w:t>
      </w:r>
    </w:p>
    <w:p w14:paraId="4C484356" w14:textId="77777777" w:rsidR="00564981" w:rsidRDefault="00C7562D"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kern w:val="1"/>
          <w:lang w:val="es-ES" w:eastAsia="ar-SA"/>
        </w:rPr>
        <w:t>L</w:t>
      </w:r>
      <w:r w:rsidR="00357C2B" w:rsidRPr="00D31A19">
        <w:rPr>
          <w:rFonts w:ascii="ITC Avant Garde" w:hAnsi="ITC Avant Garde"/>
          <w:kern w:val="1"/>
          <w:lang w:val="es-ES" w:eastAsia="ar-SA"/>
        </w:rPr>
        <w:t>a medida transitoria referida</w:t>
      </w:r>
      <w:r w:rsidR="0011666F" w:rsidRPr="00D31A19">
        <w:rPr>
          <w:rFonts w:ascii="ITC Avant Garde" w:hAnsi="ITC Avant Garde"/>
          <w:kern w:val="1"/>
          <w:lang w:val="es-ES" w:eastAsia="ar-SA"/>
        </w:rPr>
        <w:t>, estableció</w:t>
      </w:r>
      <w:r w:rsidR="009F6F88" w:rsidRPr="00D31A19">
        <w:rPr>
          <w:rFonts w:ascii="ITC Avant Garde" w:hAnsi="ITC Avant Garde"/>
          <w:kern w:val="1"/>
          <w:lang w:val="es-ES" w:eastAsia="ar-SA"/>
        </w:rPr>
        <w:t xml:space="preserve"> en su último párrafo</w:t>
      </w:r>
      <w:r w:rsidR="00357C2B" w:rsidRPr="00D31A19">
        <w:rPr>
          <w:rFonts w:ascii="ITC Avant Garde" w:hAnsi="ITC Avant Garde"/>
          <w:kern w:val="1"/>
          <w:lang w:val="es-ES" w:eastAsia="ar-SA"/>
        </w:rPr>
        <w:t xml:space="preserve"> </w:t>
      </w:r>
      <w:r w:rsidR="001D345E" w:rsidRPr="00D31A19">
        <w:rPr>
          <w:rFonts w:ascii="ITC Avant Garde" w:hAnsi="ITC Avant Garde"/>
          <w:kern w:val="1"/>
          <w:lang w:val="es-ES" w:eastAsia="ar-SA"/>
        </w:rPr>
        <w:t>que</w:t>
      </w:r>
      <w:r w:rsidR="00357C2B" w:rsidRPr="00D31A19">
        <w:rPr>
          <w:rFonts w:ascii="ITC Avant Garde" w:hAnsi="ITC Avant Garde"/>
          <w:kern w:val="1"/>
          <w:lang w:val="es-ES" w:eastAsia="ar-SA"/>
        </w:rPr>
        <w:t>: “</w:t>
      </w:r>
      <w:r w:rsidR="00357C2B" w:rsidRPr="00D31A19">
        <w:rPr>
          <w:rFonts w:ascii="ITC Avant Garde" w:hAnsi="ITC Avant Garde"/>
          <w:i/>
          <w:kern w:val="1"/>
          <w:lang w:val="es-ES" w:eastAsia="ar-SA"/>
        </w:rPr>
        <w:t xml:space="preserve">Los acuerdos que alcance el Comité Técnico deberán ser adoptados por unanimidad y formalizados por </w:t>
      </w:r>
      <w:r w:rsidR="00357C2B" w:rsidRPr="00D31A19">
        <w:rPr>
          <w:rFonts w:ascii="ITC Avant Garde" w:hAnsi="ITC Avant Garde"/>
          <w:i/>
          <w:kern w:val="1"/>
          <w:lang w:val="es-ES" w:eastAsia="ar-SA"/>
        </w:rPr>
        <w:lastRenderedPageBreak/>
        <w:t>el Instituto. En caso de no alcanzar unanimidad en las decisiones será el Instituto quien resuelva en forma definitiva</w:t>
      </w:r>
      <w:r w:rsidR="0068508D" w:rsidRPr="00D31A19">
        <w:rPr>
          <w:rFonts w:ascii="ITC Avant Garde" w:hAnsi="ITC Avant Garde"/>
          <w:i/>
          <w:kern w:val="1"/>
          <w:lang w:val="es-ES" w:eastAsia="ar-SA"/>
        </w:rPr>
        <w:t xml:space="preserve"> tomando en consideración los argumentos, y propuestas de cada parte” </w:t>
      </w:r>
      <w:r w:rsidR="0068508D" w:rsidRPr="00D31A19">
        <w:rPr>
          <w:rFonts w:ascii="ITC Avant Garde" w:hAnsi="ITC Avant Garde"/>
          <w:lang w:val="es-ES"/>
        </w:rPr>
        <w:t>bajo los principios de:</w:t>
      </w:r>
    </w:p>
    <w:p w14:paraId="3A553E3A" w14:textId="7EBA4DD1" w:rsidR="00564981" w:rsidRDefault="0068508D" w:rsidP="00564981">
      <w:pPr>
        <w:pStyle w:val="Prrafodelista"/>
        <w:numPr>
          <w:ilvl w:val="0"/>
          <w:numId w:val="7"/>
        </w:numPr>
        <w:spacing w:before="240" w:after="240"/>
        <w:jc w:val="both"/>
        <w:rPr>
          <w:rFonts w:ascii="ITC Avant Garde" w:hAnsi="ITC Avant Garde"/>
          <w:lang w:val="es-ES"/>
        </w:rPr>
      </w:pPr>
      <w:r w:rsidRPr="00D31A19">
        <w:rPr>
          <w:rFonts w:ascii="ITC Avant Garde" w:hAnsi="ITC Avant Garde"/>
          <w:lang w:val="es-ES"/>
        </w:rPr>
        <w:t xml:space="preserve">Equidad, </w:t>
      </w:r>
    </w:p>
    <w:p w14:paraId="20F65A8B" w14:textId="77777777" w:rsidR="00564981" w:rsidRDefault="0068508D" w:rsidP="00564981">
      <w:pPr>
        <w:pStyle w:val="Prrafodelista"/>
        <w:numPr>
          <w:ilvl w:val="0"/>
          <w:numId w:val="7"/>
        </w:numPr>
        <w:spacing w:before="240" w:after="240"/>
        <w:jc w:val="both"/>
        <w:rPr>
          <w:rFonts w:ascii="ITC Avant Garde" w:hAnsi="ITC Avant Garde"/>
          <w:lang w:val="es-ES"/>
        </w:rPr>
      </w:pPr>
      <w:r w:rsidRPr="00D31A19">
        <w:rPr>
          <w:rFonts w:ascii="ITC Avant Garde" w:hAnsi="ITC Avant Garde"/>
          <w:lang w:val="es-ES"/>
        </w:rPr>
        <w:t xml:space="preserve">Neutralidad tecnológica, </w:t>
      </w:r>
    </w:p>
    <w:p w14:paraId="5CE921D8" w14:textId="77777777" w:rsidR="00564981" w:rsidRDefault="0068508D" w:rsidP="00564981">
      <w:pPr>
        <w:pStyle w:val="Prrafodelista"/>
        <w:numPr>
          <w:ilvl w:val="0"/>
          <w:numId w:val="7"/>
        </w:numPr>
        <w:spacing w:before="240" w:after="240"/>
        <w:jc w:val="both"/>
        <w:rPr>
          <w:rFonts w:ascii="ITC Avant Garde" w:hAnsi="ITC Avant Garde"/>
          <w:lang w:val="es-ES"/>
        </w:rPr>
      </w:pPr>
      <w:r w:rsidRPr="00D31A19">
        <w:rPr>
          <w:rFonts w:ascii="ITC Avant Garde" w:hAnsi="ITC Avant Garde"/>
          <w:lang w:val="es-ES"/>
        </w:rPr>
        <w:t xml:space="preserve">Transparencia, </w:t>
      </w:r>
    </w:p>
    <w:p w14:paraId="6470F900" w14:textId="77777777" w:rsidR="00564981" w:rsidRDefault="0068508D" w:rsidP="00564981">
      <w:pPr>
        <w:pStyle w:val="Prrafodelista"/>
        <w:numPr>
          <w:ilvl w:val="0"/>
          <w:numId w:val="7"/>
        </w:numPr>
        <w:spacing w:before="240" w:after="240"/>
        <w:jc w:val="both"/>
        <w:rPr>
          <w:rFonts w:ascii="ITC Avant Garde" w:hAnsi="ITC Avant Garde"/>
          <w:lang w:val="es-ES"/>
        </w:rPr>
      </w:pPr>
      <w:r w:rsidRPr="00D31A19">
        <w:rPr>
          <w:rFonts w:ascii="ITC Avant Garde" w:hAnsi="ITC Avant Garde"/>
          <w:lang w:val="es-ES"/>
        </w:rPr>
        <w:t>No discriminación</w:t>
      </w:r>
      <w:r w:rsidR="009052EA" w:rsidRPr="00D31A19">
        <w:rPr>
          <w:rFonts w:ascii="ITC Avant Garde" w:hAnsi="ITC Avant Garde"/>
          <w:lang w:val="es-ES"/>
        </w:rPr>
        <w:t>,</w:t>
      </w:r>
      <w:r w:rsidRPr="00D31A19">
        <w:rPr>
          <w:rFonts w:ascii="ITC Avant Garde" w:hAnsi="ITC Avant Garde"/>
          <w:lang w:val="es-ES"/>
        </w:rPr>
        <w:t xml:space="preserve"> y </w:t>
      </w:r>
    </w:p>
    <w:p w14:paraId="674229FA" w14:textId="77777777" w:rsidR="00564981" w:rsidRDefault="0068508D" w:rsidP="00564981">
      <w:pPr>
        <w:pStyle w:val="Prrafodelista"/>
        <w:numPr>
          <w:ilvl w:val="0"/>
          <w:numId w:val="7"/>
        </w:numPr>
        <w:spacing w:before="240" w:after="240"/>
        <w:jc w:val="both"/>
        <w:rPr>
          <w:rFonts w:ascii="ITC Avant Garde" w:hAnsi="ITC Avant Garde"/>
          <w:lang w:val="es-ES"/>
        </w:rPr>
      </w:pPr>
      <w:r w:rsidRPr="00D31A19">
        <w:rPr>
          <w:rFonts w:ascii="ITC Avant Garde" w:hAnsi="ITC Avant Garde"/>
          <w:lang w:val="es-ES"/>
        </w:rPr>
        <w:t>Sana competencia.</w:t>
      </w:r>
    </w:p>
    <w:p w14:paraId="0015C208" w14:textId="77777777" w:rsidR="00564981" w:rsidRDefault="00D138E3" w:rsidP="00564981">
      <w:pPr>
        <w:spacing w:before="240" w:after="240"/>
        <w:jc w:val="both"/>
        <w:rPr>
          <w:rFonts w:ascii="ITC Avant Garde" w:hAnsi="ITC Avant Garde"/>
          <w:lang w:val="es-ES"/>
        </w:rPr>
      </w:pPr>
      <w:r w:rsidRPr="00D31A19">
        <w:rPr>
          <w:rFonts w:ascii="ITC Avant Garde" w:hAnsi="ITC Avant Garde"/>
          <w:lang w:val="es-ES"/>
        </w:rPr>
        <w:t>El Anexo Tres</w:t>
      </w:r>
      <w:r w:rsidR="009B0D7D" w:rsidRPr="00D31A19">
        <w:rPr>
          <w:rFonts w:ascii="ITC Avant Garde" w:hAnsi="ITC Avant Garde"/>
          <w:lang w:val="es-ES"/>
        </w:rPr>
        <w:t xml:space="preserve"> del Comité Técnico de Desagregación,</w:t>
      </w:r>
      <w:r w:rsidR="009B0D7D" w:rsidRPr="00D31A19">
        <w:rPr>
          <w:rStyle w:val="Refdenotaalpie"/>
          <w:rFonts w:ascii="ITC Avant Garde" w:hAnsi="ITC Avant Garde"/>
          <w:lang w:val="es-ES"/>
        </w:rPr>
        <w:footnoteReference w:id="5"/>
      </w:r>
      <w:r w:rsidRPr="00D31A19">
        <w:rPr>
          <w:rFonts w:ascii="ITC Avant Garde" w:hAnsi="ITC Avant Garde"/>
          <w:lang w:val="es-ES"/>
        </w:rPr>
        <w:t xml:space="preserve"> </w:t>
      </w:r>
      <w:r w:rsidR="00C506C2" w:rsidRPr="00D31A19">
        <w:rPr>
          <w:rFonts w:ascii="ITC Avant Garde" w:hAnsi="ITC Avant Garde"/>
          <w:lang w:val="es-ES"/>
        </w:rPr>
        <w:t xml:space="preserve">contiene </w:t>
      </w:r>
      <w:r w:rsidRPr="00D31A19">
        <w:rPr>
          <w:rFonts w:ascii="ITC Avant Garde" w:hAnsi="ITC Avant Garde"/>
          <w:lang w:val="es-ES"/>
        </w:rPr>
        <w:t>las Reglas de Operación</w:t>
      </w:r>
      <w:r w:rsidR="009B0D7D" w:rsidRPr="00D31A19">
        <w:rPr>
          <w:rFonts w:ascii="ITC Avant Garde" w:hAnsi="ITC Avant Garde"/>
          <w:lang w:val="es-ES"/>
        </w:rPr>
        <w:t xml:space="preserve"> que </w:t>
      </w:r>
      <w:r w:rsidR="002A3AF7" w:rsidRPr="00D31A19">
        <w:rPr>
          <w:rFonts w:ascii="ITC Avant Garde" w:hAnsi="ITC Avant Garde"/>
          <w:lang w:val="es-ES"/>
        </w:rPr>
        <w:t>establecen</w:t>
      </w:r>
      <w:r w:rsidRPr="00D31A19">
        <w:rPr>
          <w:rFonts w:ascii="ITC Avant Garde" w:hAnsi="ITC Avant Garde"/>
          <w:lang w:val="es-ES"/>
        </w:rPr>
        <w:t xml:space="preserve"> la estructura y operación del Comité Técnico de Desagregación</w:t>
      </w:r>
      <w:r w:rsidR="002A3AF7" w:rsidRPr="00D31A19">
        <w:rPr>
          <w:rFonts w:ascii="ITC Avant Garde" w:hAnsi="ITC Avant Garde"/>
          <w:lang w:val="es-ES"/>
        </w:rPr>
        <w:t>, señalando</w:t>
      </w:r>
      <w:r w:rsidRPr="00D31A19">
        <w:rPr>
          <w:rFonts w:ascii="ITC Avant Garde" w:hAnsi="ITC Avant Garde"/>
          <w:lang w:val="es-ES"/>
        </w:rPr>
        <w:t xml:space="preserve"> </w:t>
      </w:r>
      <w:r w:rsidR="00C506C2" w:rsidRPr="00D31A19">
        <w:rPr>
          <w:rFonts w:ascii="ITC Avant Garde" w:hAnsi="ITC Avant Garde"/>
          <w:lang w:val="es-ES"/>
        </w:rPr>
        <w:t xml:space="preserve">que </w:t>
      </w:r>
      <w:r w:rsidRPr="00D31A19">
        <w:rPr>
          <w:rFonts w:ascii="ITC Avant Garde" w:hAnsi="ITC Avant Garde"/>
          <w:lang w:val="es-ES"/>
        </w:rPr>
        <w:t>dicho Comit</w:t>
      </w:r>
      <w:r w:rsidR="00C506C2" w:rsidRPr="00D31A19">
        <w:rPr>
          <w:rFonts w:ascii="ITC Avant Garde" w:hAnsi="ITC Avant Garde"/>
          <w:lang w:val="es-ES"/>
        </w:rPr>
        <w:t>é tendrá a su cargo</w:t>
      </w:r>
      <w:r w:rsidR="00EC3665" w:rsidRPr="00D31A19">
        <w:rPr>
          <w:rFonts w:ascii="ITC Avant Garde" w:hAnsi="ITC Avant Garde"/>
          <w:lang w:val="es-ES"/>
        </w:rPr>
        <w:t xml:space="preserve">, entre otras, </w:t>
      </w:r>
      <w:r w:rsidR="00C506C2" w:rsidRPr="00D31A19">
        <w:rPr>
          <w:rFonts w:ascii="ITC Avant Garde" w:hAnsi="ITC Avant Garde"/>
          <w:lang w:val="es-ES"/>
        </w:rPr>
        <w:t>la función de establecer y actualizar los parámetros, procedimientos y estándares técnicos que permitan la adecuada prestación de los servicios.</w:t>
      </w:r>
      <w:r w:rsidR="00C506C2" w:rsidRPr="00D31A19">
        <w:rPr>
          <w:rStyle w:val="Refdenotaalpie"/>
          <w:rFonts w:ascii="ITC Avant Garde" w:hAnsi="ITC Avant Garde"/>
          <w:lang w:val="es-ES"/>
        </w:rPr>
        <w:footnoteReference w:id="6"/>
      </w:r>
    </w:p>
    <w:p w14:paraId="5C28BD77" w14:textId="77777777" w:rsidR="00564981" w:rsidRDefault="00726A1A" w:rsidP="00564981">
      <w:pPr>
        <w:spacing w:before="240" w:after="240"/>
        <w:jc w:val="both"/>
        <w:rPr>
          <w:rFonts w:ascii="ITC Avant Garde" w:hAnsi="ITC Avant Garde"/>
          <w:lang w:val="es-ES"/>
        </w:rPr>
      </w:pPr>
      <w:r w:rsidRPr="00D31A19">
        <w:rPr>
          <w:rFonts w:ascii="ITC Avant Garde" w:hAnsi="ITC Avant Garde"/>
          <w:lang w:val="es-ES"/>
        </w:rPr>
        <w:t>L</w:t>
      </w:r>
      <w:r w:rsidR="00357C2B" w:rsidRPr="00D31A19">
        <w:rPr>
          <w:rFonts w:ascii="ITC Avant Garde" w:hAnsi="ITC Avant Garde"/>
          <w:lang w:val="es-ES"/>
        </w:rPr>
        <w:t>a Resolució</w:t>
      </w:r>
      <w:r w:rsidRPr="00D31A19">
        <w:rPr>
          <w:rFonts w:ascii="ITC Avant Garde" w:hAnsi="ITC Avant Garde"/>
          <w:lang w:val="es-ES"/>
        </w:rPr>
        <w:t>n del SEG</w:t>
      </w:r>
      <w:r w:rsidR="00357C2B" w:rsidRPr="00D31A19">
        <w:rPr>
          <w:rFonts w:ascii="ITC Avant Garde" w:hAnsi="ITC Avant Garde"/>
          <w:lang w:val="es-ES"/>
        </w:rPr>
        <w:t xml:space="preserve"> que formalizó y resolvió en definitiva las condiciones mediante las cuales el AEP</w:t>
      </w:r>
      <w:r w:rsidR="006A2A8E" w:rsidRPr="00D31A19">
        <w:rPr>
          <w:rFonts w:ascii="ITC Avant Garde" w:hAnsi="ITC Avant Garde"/>
          <w:lang w:val="es-ES"/>
        </w:rPr>
        <w:t xml:space="preserve"> implementará</w:t>
      </w:r>
      <w:r w:rsidR="00642F6A" w:rsidRPr="00D31A19">
        <w:rPr>
          <w:rFonts w:ascii="ITC Avant Garde" w:hAnsi="ITC Avant Garde"/>
          <w:lang w:val="es-ES"/>
        </w:rPr>
        <w:t xml:space="preserve"> el modulo del SEG</w:t>
      </w:r>
      <w:r w:rsidR="00072EF2" w:rsidRPr="00D31A19">
        <w:rPr>
          <w:rFonts w:ascii="ITC Avant Garde" w:hAnsi="ITC Avant Garde"/>
          <w:lang w:val="es-ES"/>
        </w:rPr>
        <w:t>,</w:t>
      </w:r>
      <w:r w:rsidR="00642F6A" w:rsidRPr="00D31A19">
        <w:rPr>
          <w:rFonts w:ascii="ITC Avant Garde" w:hAnsi="ITC Avant Garde"/>
          <w:lang w:val="es-ES"/>
        </w:rPr>
        <w:t xml:space="preserve"> </w:t>
      </w:r>
      <w:r w:rsidR="00357C2B" w:rsidRPr="00D31A19">
        <w:rPr>
          <w:rFonts w:ascii="ITC Avant Garde" w:hAnsi="ITC Avant Garde"/>
          <w:lang w:val="es-ES"/>
        </w:rPr>
        <w:t xml:space="preserve">en concordancia </w:t>
      </w:r>
      <w:r w:rsidR="00357C2B" w:rsidRPr="00D31A19">
        <w:rPr>
          <w:rFonts w:ascii="ITC Avant Garde" w:hAnsi="ITC Avant Garde"/>
          <w:bCs/>
          <w:lang w:val="es-ES"/>
        </w:rPr>
        <w:t>con la</w:t>
      </w:r>
      <w:r w:rsidRPr="00D31A19">
        <w:rPr>
          <w:rFonts w:ascii="ITC Avant Garde" w:hAnsi="ITC Avant Garde"/>
          <w:bCs/>
          <w:lang w:val="es-ES"/>
        </w:rPr>
        <w:t>s</w:t>
      </w:r>
      <w:r w:rsidR="00357C2B" w:rsidRPr="00D31A19">
        <w:rPr>
          <w:rFonts w:ascii="ITC Avant Garde" w:hAnsi="ITC Avant Garde"/>
          <w:lang w:val="es-ES"/>
        </w:rPr>
        <w:t xml:space="preserve"> Regla</w:t>
      </w:r>
      <w:r w:rsidRPr="00D31A19">
        <w:rPr>
          <w:rFonts w:ascii="ITC Avant Garde" w:hAnsi="ITC Avant Garde"/>
          <w:lang w:val="es-ES"/>
        </w:rPr>
        <w:t>s Tercera y</w:t>
      </w:r>
      <w:r w:rsidR="00357C2B" w:rsidRPr="00D31A19">
        <w:rPr>
          <w:rFonts w:ascii="ITC Avant Garde" w:hAnsi="ITC Avant Garde"/>
          <w:lang w:val="es-ES"/>
        </w:rPr>
        <w:t xml:space="preserve"> Cuarta</w:t>
      </w:r>
      <w:r w:rsidR="006A2A8E" w:rsidRPr="00D31A19">
        <w:rPr>
          <w:rStyle w:val="Refdenotaalpie"/>
          <w:rFonts w:ascii="ITC Avant Garde" w:hAnsi="ITC Avant Garde"/>
          <w:lang w:val="es-ES"/>
        </w:rPr>
        <w:footnoteReference w:id="7"/>
      </w:r>
      <w:r w:rsidR="00357C2B" w:rsidRPr="00D31A19">
        <w:rPr>
          <w:rFonts w:ascii="ITC Avant Garde" w:hAnsi="ITC Avant Garde"/>
          <w:lang w:val="es-ES"/>
        </w:rPr>
        <w:t xml:space="preserve"> </w:t>
      </w:r>
      <w:r w:rsidR="00641C12" w:rsidRPr="00D31A19">
        <w:rPr>
          <w:rFonts w:ascii="ITC Avant Garde" w:hAnsi="ITC Avant Garde"/>
          <w:lang w:val="es-ES"/>
        </w:rPr>
        <w:t>de</w:t>
      </w:r>
      <w:r w:rsidR="00D138E3" w:rsidRPr="00D31A19">
        <w:rPr>
          <w:rFonts w:ascii="ITC Avant Garde" w:hAnsi="ITC Avant Garde"/>
          <w:lang w:val="es-ES"/>
        </w:rPr>
        <w:t>l Anexo Tres</w:t>
      </w:r>
      <w:r w:rsidR="006A2A8E" w:rsidRPr="00D31A19">
        <w:rPr>
          <w:rFonts w:ascii="ITC Avant Garde" w:hAnsi="ITC Avant Garde"/>
          <w:lang w:val="es-ES"/>
        </w:rPr>
        <w:t xml:space="preserve"> de las Reglas de Operación</w:t>
      </w:r>
      <w:r w:rsidR="00357C2B" w:rsidRPr="00D31A19">
        <w:rPr>
          <w:rFonts w:ascii="ITC Avant Garde" w:hAnsi="ITC Avant Garde"/>
          <w:lang w:val="es-ES"/>
        </w:rPr>
        <w:t>, señala que el Comité Técnico</w:t>
      </w:r>
      <w:r w:rsidR="00B4423C" w:rsidRPr="00D31A19">
        <w:rPr>
          <w:rFonts w:ascii="ITC Avant Garde" w:hAnsi="ITC Avant Garde"/>
          <w:lang w:val="es-ES"/>
        </w:rPr>
        <w:t xml:space="preserve"> de Desagregación</w:t>
      </w:r>
      <w:r w:rsidR="00357C2B" w:rsidRPr="00D31A19">
        <w:rPr>
          <w:rFonts w:ascii="ITC Avant Garde" w:hAnsi="ITC Avant Garde"/>
          <w:lang w:val="es-ES"/>
        </w:rPr>
        <w:t xml:space="preserve"> continuará sesionando para detallar los elementos técnicos para el desarrollo del SEG una vez que se definan los aspectos operativos y funcionales con mayor precisión, por ello, </w:t>
      </w:r>
      <w:r w:rsidR="00357C2B" w:rsidRPr="00D31A19">
        <w:rPr>
          <w:rFonts w:ascii="ITC Avant Garde" w:hAnsi="ITC Avant Garde"/>
          <w:u w:val="single"/>
          <w:lang w:val="es-ES"/>
        </w:rPr>
        <w:t>dicho Comité tendrá el carácter de permanente y, la totalidad de los temas pueden ser definidos o actualizados en cualquier momento en el seno del Comité</w:t>
      </w:r>
      <w:r w:rsidR="00357C2B" w:rsidRPr="00D31A19">
        <w:rPr>
          <w:rFonts w:ascii="ITC Avant Garde" w:hAnsi="ITC Avant Garde"/>
          <w:lang w:val="es-ES"/>
        </w:rPr>
        <w:t>.</w:t>
      </w:r>
      <w:r w:rsidR="00357C2B" w:rsidRPr="00D31A19">
        <w:rPr>
          <w:rStyle w:val="Refdenotaalpie"/>
          <w:rFonts w:ascii="ITC Avant Garde" w:hAnsi="ITC Avant Garde"/>
          <w:lang w:val="es-ES"/>
        </w:rPr>
        <w:footnoteReference w:id="8"/>
      </w:r>
    </w:p>
    <w:p w14:paraId="7A1589C5" w14:textId="77777777" w:rsidR="00564981" w:rsidRDefault="00872CC9" w:rsidP="00564981">
      <w:pPr>
        <w:shd w:val="clear" w:color="auto" w:fill="FFFFFF"/>
        <w:spacing w:before="240" w:after="240"/>
        <w:jc w:val="both"/>
        <w:rPr>
          <w:rFonts w:ascii="ITC Avant Garde" w:hAnsi="ITC Avant Garde"/>
          <w:kern w:val="1"/>
          <w:lang w:val="es-ES" w:eastAsia="ar-SA"/>
        </w:rPr>
      </w:pPr>
      <w:r w:rsidRPr="00D31A19">
        <w:rPr>
          <w:rFonts w:ascii="ITC Avant Garde" w:hAnsi="ITC Avant Garde"/>
          <w:lang w:val="es-ES"/>
        </w:rPr>
        <w:t>Con fecha 26 de mayo de 2017, se celebró la Vigésima Primera Sesión del Comité Técnico de Desagregación, en la cual se acordó</w:t>
      </w:r>
      <w:r w:rsidR="00CE6431" w:rsidRPr="00D31A19">
        <w:rPr>
          <w:rFonts w:ascii="ITC Avant Garde" w:hAnsi="ITC Avant Garde"/>
          <w:kern w:val="1"/>
          <w:lang w:val="es-ES" w:eastAsia="ar-SA"/>
        </w:rPr>
        <w:t>, entre otros</w:t>
      </w:r>
      <w:r w:rsidRPr="00D31A19">
        <w:rPr>
          <w:rFonts w:ascii="ITC Avant Garde" w:hAnsi="ITC Avant Garde"/>
          <w:kern w:val="1"/>
          <w:lang w:val="es-ES" w:eastAsia="ar-SA"/>
        </w:rPr>
        <w:t xml:space="preserve"> temas</w:t>
      </w:r>
      <w:r w:rsidR="00CE6431" w:rsidRPr="00D31A19">
        <w:rPr>
          <w:rFonts w:ascii="ITC Avant Garde" w:hAnsi="ITC Avant Garde"/>
          <w:kern w:val="1"/>
          <w:lang w:val="es-ES" w:eastAsia="ar-SA"/>
        </w:rPr>
        <w:t xml:space="preserve">, la propuesta de crear un grupo de trabajo para atender los comentarios al SEG. </w:t>
      </w:r>
      <w:r w:rsidR="00D31A19" w:rsidRPr="00D31A19">
        <w:rPr>
          <w:rFonts w:ascii="ITC Avant Garde" w:hAnsi="ITC Avant Garde"/>
          <w:kern w:val="1"/>
          <w:lang w:val="es-ES" w:eastAsia="ar-SA"/>
        </w:rPr>
        <w:t>Asimismo,</w:t>
      </w:r>
      <w:r w:rsidR="00CE6431" w:rsidRPr="00D31A19">
        <w:rPr>
          <w:rFonts w:ascii="ITC Avant Garde" w:hAnsi="ITC Avant Garde"/>
          <w:kern w:val="1"/>
          <w:lang w:val="es-ES" w:eastAsia="ar-SA"/>
        </w:rPr>
        <w:t xml:space="preserve"> se asentó </w:t>
      </w:r>
      <w:r w:rsidRPr="00D31A19">
        <w:rPr>
          <w:rFonts w:ascii="ITC Avant Garde" w:hAnsi="ITC Avant Garde"/>
          <w:kern w:val="1"/>
          <w:lang w:val="es-ES" w:eastAsia="ar-SA"/>
        </w:rPr>
        <w:t xml:space="preserve">en el Acta correspondiente </w:t>
      </w:r>
      <w:proofErr w:type="gramStart"/>
      <w:r w:rsidR="00CE6431" w:rsidRPr="00D31A19">
        <w:rPr>
          <w:rFonts w:ascii="ITC Avant Garde" w:hAnsi="ITC Avant Garde"/>
          <w:kern w:val="1"/>
          <w:lang w:val="es-ES" w:eastAsia="ar-SA"/>
        </w:rPr>
        <w:t>que</w:t>
      </w:r>
      <w:proofErr w:type="gramEnd"/>
      <w:r w:rsidR="00CE6431" w:rsidRPr="00D31A19">
        <w:rPr>
          <w:rFonts w:ascii="ITC Avant Garde" w:hAnsi="ITC Avant Garde"/>
          <w:kern w:val="1"/>
          <w:lang w:val="es-ES" w:eastAsia="ar-SA"/>
        </w:rPr>
        <w:t xml:space="preserve"> en la siguiente sesión del Comité Técnico de Desagregación, el AEP entregaría la propuesta de calendario para llevar a cabo los grupos de trabajo. </w:t>
      </w:r>
    </w:p>
    <w:p w14:paraId="41F2331B" w14:textId="77777777" w:rsidR="00564981" w:rsidRDefault="00CE6431" w:rsidP="00564981">
      <w:pPr>
        <w:shd w:val="clear" w:color="auto" w:fill="FFFFFF"/>
        <w:spacing w:before="240" w:after="240"/>
        <w:jc w:val="both"/>
        <w:rPr>
          <w:rFonts w:ascii="ITC Avant Garde" w:hAnsi="ITC Avant Garde"/>
          <w:lang w:val="es-ES"/>
        </w:rPr>
      </w:pPr>
      <w:r w:rsidRPr="00D31A19">
        <w:rPr>
          <w:rFonts w:ascii="ITC Avant Garde" w:hAnsi="ITC Avant Garde"/>
          <w:kern w:val="1"/>
          <w:lang w:val="es-ES" w:eastAsia="ar-SA"/>
        </w:rPr>
        <w:lastRenderedPageBreak/>
        <w:t xml:space="preserve">El 8 de junio de 2017, </w:t>
      </w:r>
      <w:r w:rsidR="0010011A" w:rsidRPr="00D31A19">
        <w:rPr>
          <w:rFonts w:ascii="ITC Avant Garde" w:hAnsi="ITC Avant Garde"/>
          <w:kern w:val="1"/>
          <w:lang w:val="es-ES" w:eastAsia="ar-SA"/>
        </w:rPr>
        <w:t xml:space="preserve">se celebró </w:t>
      </w:r>
      <w:r w:rsidRPr="00D31A19">
        <w:rPr>
          <w:rFonts w:ascii="ITC Avant Garde" w:hAnsi="ITC Avant Garde"/>
          <w:kern w:val="1"/>
          <w:lang w:val="es-ES" w:eastAsia="ar-SA"/>
        </w:rPr>
        <w:t xml:space="preserve">la Vigésima Segunda Sesión </w:t>
      </w:r>
      <w:r w:rsidRPr="00D31A19">
        <w:rPr>
          <w:rFonts w:ascii="ITC Avant Garde" w:hAnsi="ITC Avant Garde"/>
          <w:lang w:val="es-ES"/>
        </w:rPr>
        <w:t xml:space="preserve">del Comité Técnico de Desagregación, </w:t>
      </w:r>
      <w:r w:rsidR="00AD5D43" w:rsidRPr="00D31A19">
        <w:rPr>
          <w:rFonts w:ascii="ITC Avant Garde" w:hAnsi="ITC Avant Garde"/>
          <w:lang w:val="es-ES"/>
        </w:rPr>
        <w:t>en la que se propuso</w:t>
      </w:r>
      <w:r w:rsidRPr="00D31A19">
        <w:rPr>
          <w:rFonts w:ascii="ITC Avant Garde" w:hAnsi="ITC Avant Garde"/>
          <w:lang w:val="es-ES"/>
        </w:rPr>
        <w:t xml:space="preserve"> por</w:t>
      </w:r>
      <w:r w:rsidR="00032CAD" w:rsidRPr="00D31A19">
        <w:rPr>
          <w:rFonts w:ascii="ITC Avant Garde" w:hAnsi="ITC Avant Garde"/>
          <w:lang w:val="es-ES"/>
        </w:rPr>
        <w:t xml:space="preserve"> parte del AEP que se realizaran</w:t>
      </w:r>
      <w:r w:rsidRPr="00D31A19">
        <w:rPr>
          <w:rFonts w:ascii="ITC Avant Garde" w:hAnsi="ITC Avant Garde"/>
          <w:lang w:val="es-ES"/>
        </w:rPr>
        <w:t xml:space="preserve"> los grupos de trabajo </w:t>
      </w:r>
      <w:r w:rsidR="004628B9" w:rsidRPr="00D31A19">
        <w:rPr>
          <w:rFonts w:ascii="ITC Avant Garde" w:hAnsi="ITC Avant Garde"/>
          <w:lang w:val="es-ES"/>
        </w:rPr>
        <w:t>a partir de</w:t>
      </w:r>
      <w:r w:rsidRPr="00D31A19">
        <w:rPr>
          <w:rFonts w:ascii="ITC Avant Garde" w:hAnsi="ITC Avant Garde"/>
          <w:lang w:val="es-ES"/>
        </w:rPr>
        <w:t xml:space="preserve"> la última semana de junio</w:t>
      </w:r>
      <w:r w:rsidR="00032CAD" w:rsidRPr="00D31A19">
        <w:rPr>
          <w:rFonts w:ascii="ITC Avant Garde" w:hAnsi="ITC Avant Garde"/>
          <w:lang w:val="es-ES"/>
        </w:rPr>
        <w:t xml:space="preserve"> de 2017</w:t>
      </w:r>
      <w:r w:rsidR="00A4466E" w:rsidRPr="00D31A19">
        <w:rPr>
          <w:rFonts w:ascii="ITC Avant Garde" w:hAnsi="ITC Avant Garde"/>
          <w:lang w:val="es-ES"/>
        </w:rPr>
        <w:t>, esto es, durante los días</w:t>
      </w:r>
      <w:r w:rsidRPr="00D31A19">
        <w:rPr>
          <w:rFonts w:ascii="ITC Avant Garde" w:hAnsi="ITC Avant Garde"/>
          <w:lang w:val="es-ES"/>
        </w:rPr>
        <w:t xml:space="preserve"> 26 al 30</w:t>
      </w:r>
      <w:r w:rsidR="00A4466E" w:rsidRPr="00D31A19">
        <w:rPr>
          <w:rFonts w:ascii="ITC Avant Garde" w:hAnsi="ITC Avant Garde"/>
          <w:lang w:val="es-ES"/>
        </w:rPr>
        <w:t xml:space="preserve"> de ese mes</w:t>
      </w:r>
      <w:r w:rsidRPr="00D31A19">
        <w:rPr>
          <w:rFonts w:ascii="ITC Avant Garde" w:hAnsi="ITC Avant Garde"/>
          <w:lang w:val="es-ES"/>
        </w:rPr>
        <w:t>.</w:t>
      </w:r>
    </w:p>
    <w:p w14:paraId="162C0D13" w14:textId="77777777" w:rsidR="00564981" w:rsidRDefault="008B2590" w:rsidP="00564981">
      <w:pPr>
        <w:shd w:val="clear" w:color="auto" w:fill="FFFFFF"/>
        <w:spacing w:before="240" w:after="240"/>
        <w:jc w:val="both"/>
        <w:rPr>
          <w:rFonts w:ascii="ITC Avant Garde" w:hAnsi="ITC Avant Garde"/>
          <w:b/>
          <w:lang w:val="es-ES"/>
        </w:rPr>
      </w:pPr>
      <w:r w:rsidRPr="00D31A19">
        <w:rPr>
          <w:rFonts w:ascii="ITC Avant Garde" w:hAnsi="ITC Avant Garde"/>
          <w:lang w:val="es-ES"/>
        </w:rPr>
        <w:t xml:space="preserve">El </w:t>
      </w:r>
      <w:r w:rsidRPr="00D31A19">
        <w:rPr>
          <w:rFonts w:ascii="ITC Avant Garde" w:hAnsi="ITC Avant Garde"/>
          <w:kern w:val="1"/>
          <w:lang w:val="es-ES" w:eastAsia="ar-SA"/>
        </w:rPr>
        <w:t xml:space="preserve">30 de agosto de 2017, </w:t>
      </w:r>
      <w:r w:rsidR="00736AAF" w:rsidRPr="00D31A19">
        <w:rPr>
          <w:rFonts w:ascii="ITC Avant Garde" w:hAnsi="ITC Avant Garde"/>
          <w:kern w:val="1"/>
          <w:lang w:val="es-ES" w:eastAsia="ar-SA"/>
        </w:rPr>
        <w:t>se celebró l</w:t>
      </w:r>
      <w:r w:rsidRPr="00D31A19">
        <w:rPr>
          <w:rFonts w:ascii="ITC Avant Garde" w:hAnsi="ITC Avant Garde"/>
          <w:kern w:val="1"/>
          <w:lang w:val="es-ES" w:eastAsia="ar-SA"/>
        </w:rPr>
        <w:t xml:space="preserve">a Vigésima Tercera Sesión del Comité Técnico </w:t>
      </w:r>
      <w:r w:rsidRPr="00D31A19">
        <w:rPr>
          <w:rFonts w:ascii="ITC Avant Garde" w:hAnsi="ITC Avant Garde"/>
          <w:lang w:val="es-ES"/>
        </w:rPr>
        <w:t>de Desagregación</w:t>
      </w:r>
      <w:r w:rsidRPr="00D31A19">
        <w:rPr>
          <w:rFonts w:ascii="ITC Avant Garde" w:hAnsi="ITC Avant Garde"/>
          <w:kern w:val="1"/>
          <w:lang w:val="es-ES" w:eastAsia="ar-SA"/>
        </w:rPr>
        <w:t xml:space="preserve">, </w:t>
      </w:r>
      <w:r w:rsidR="00CE6431" w:rsidRPr="00D31A19">
        <w:rPr>
          <w:rFonts w:ascii="ITC Avant Garde" w:hAnsi="ITC Avant Garde"/>
          <w:kern w:val="1"/>
          <w:lang w:val="es-ES" w:eastAsia="ar-SA"/>
        </w:rPr>
        <w:t xml:space="preserve">que contiene, entre otros, el Anexo 2 consistente en las conclusiones del grupo de trabajo para mejoras al SEG (“Documento del Grupo de Trabajo </w:t>
      </w:r>
      <w:r w:rsidR="004628B9" w:rsidRPr="00D31A19">
        <w:rPr>
          <w:rFonts w:ascii="ITC Avant Garde" w:hAnsi="ITC Avant Garde"/>
          <w:kern w:val="1"/>
          <w:lang w:val="es-ES" w:eastAsia="ar-SA"/>
        </w:rPr>
        <w:t xml:space="preserve">de </w:t>
      </w:r>
      <w:r w:rsidR="00CE6431" w:rsidRPr="00D31A19">
        <w:rPr>
          <w:rFonts w:ascii="ITC Avant Garde" w:hAnsi="ITC Avant Garde"/>
          <w:kern w:val="1"/>
          <w:lang w:val="es-ES" w:eastAsia="ar-SA"/>
        </w:rPr>
        <w:t>Mejoras al SEG”)</w:t>
      </w:r>
      <w:r w:rsidR="004C3387" w:rsidRPr="00D31A19">
        <w:rPr>
          <w:rStyle w:val="Refdenotaalpie"/>
          <w:rFonts w:ascii="ITC Avant Garde" w:hAnsi="ITC Avant Garde"/>
          <w:kern w:val="1"/>
          <w:lang w:val="es-ES" w:eastAsia="ar-SA"/>
        </w:rPr>
        <w:footnoteReference w:id="9"/>
      </w:r>
      <w:r w:rsidR="00CE6431" w:rsidRPr="00D31A19">
        <w:rPr>
          <w:rFonts w:ascii="ITC Avant Garde" w:hAnsi="ITC Avant Garde"/>
          <w:kern w:val="1"/>
          <w:lang w:val="es-ES" w:eastAsia="ar-SA"/>
        </w:rPr>
        <w:t xml:space="preserve">. Asimismo, </w:t>
      </w:r>
      <w:r w:rsidR="00736AAF" w:rsidRPr="00D31A19">
        <w:rPr>
          <w:rFonts w:ascii="ITC Avant Garde" w:hAnsi="ITC Avant Garde"/>
          <w:kern w:val="1"/>
          <w:lang w:val="es-ES" w:eastAsia="ar-SA"/>
        </w:rPr>
        <w:t xml:space="preserve">se asentó en el </w:t>
      </w:r>
      <w:r w:rsidR="00736AAF" w:rsidRPr="00D31A19">
        <w:rPr>
          <w:rFonts w:ascii="ITC Avant Garde" w:hAnsi="ITC Avant Garde"/>
          <w:lang w:val="es-ES"/>
        </w:rPr>
        <w:t>Acta correspondiente</w:t>
      </w:r>
      <w:r w:rsidR="00736AAF" w:rsidRPr="00D31A19">
        <w:rPr>
          <w:rFonts w:ascii="ITC Avant Garde" w:hAnsi="ITC Avant Garde"/>
          <w:kern w:val="1"/>
          <w:lang w:val="es-ES" w:eastAsia="ar-SA"/>
        </w:rPr>
        <w:t xml:space="preserve"> </w:t>
      </w:r>
      <w:r w:rsidR="00BB2121" w:rsidRPr="00D31A19">
        <w:rPr>
          <w:rFonts w:ascii="ITC Avant Garde" w:hAnsi="ITC Avant Garde"/>
          <w:kern w:val="1"/>
          <w:lang w:val="es-ES" w:eastAsia="ar-SA"/>
        </w:rPr>
        <w:t xml:space="preserve">la necesidad de contar con una </w:t>
      </w:r>
      <w:r w:rsidR="00CE6431" w:rsidRPr="00D31A19">
        <w:rPr>
          <w:rFonts w:ascii="ITC Avant Garde" w:hAnsi="ITC Avant Garde"/>
          <w:kern w:val="1"/>
          <w:lang w:val="es-ES" w:eastAsia="ar-SA"/>
        </w:rPr>
        <w:t>confirmación de criterio</w:t>
      </w:r>
      <w:r w:rsidR="00BB2121" w:rsidRPr="00D31A19">
        <w:rPr>
          <w:rFonts w:ascii="ITC Avant Garde" w:hAnsi="ITC Avant Garde"/>
          <w:kern w:val="1"/>
          <w:lang w:val="es-ES" w:eastAsia="ar-SA"/>
        </w:rPr>
        <w:t xml:space="preserve"> por parte del Instituto,</w:t>
      </w:r>
      <w:r w:rsidR="00CE6431" w:rsidRPr="00D31A19">
        <w:rPr>
          <w:rFonts w:ascii="ITC Avant Garde" w:hAnsi="ITC Avant Garde"/>
          <w:kern w:val="1"/>
          <w:lang w:val="es-ES" w:eastAsia="ar-SA"/>
        </w:rPr>
        <w:t xml:space="preserve"> respecto de los puntos 2,7, 5, 12 y 14 del Documento del Grupo de Trabajo </w:t>
      </w:r>
      <w:r w:rsidR="00606B66" w:rsidRPr="00D31A19">
        <w:rPr>
          <w:rFonts w:ascii="ITC Avant Garde" w:hAnsi="ITC Avant Garde"/>
          <w:kern w:val="1"/>
          <w:lang w:val="es-ES" w:eastAsia="ar-SA"/>
        </w:rPr>
        <w:t xml:space="preserve">de </w:t>
      </w:r>
      <w:r w:rsidR="00CE6431" w:rsidRPr="00D31A19">
        <w:rPr>
          <w:rFonts w:ascii="ITC Avant Garde" w:hAnsi="ITC Avant Garde"/>
          <w:kern w:val="1"/>
          <w:lang w:val="es-ES" w:eastAsia="ar-SA"/>
        </w:rPr>
        <w:t>Mejoras al SEG, a efecto de que el AEP este en posibilidad de iniciar las actividades de mejora.</w:t>
      </w:r>
      <w:r w:rsidR="00D87FA6" w:rsidRPr="00D31A19">
        <w:rPr>
          <w:rStyle w:val="Refdenotaalpie"/>
          <w:rFonts w:ascii="ITC Avant Garde" w:hAnsi="ITC Avant Garde"/>
          <w:kern w:val="1"/>
          <w:lang w:val="es-ES" w:eastAsia="ar-SA"/>
        </w:rPr>
        <w:footnoteReference w:id="10"/>
      </w:r>
    </w:p>
    <w:p w14:paraId="61143C43" w14:textId="77777777" w:rsidR="00564981" w:rsidRDefault="00357C2B" w:rsidP="00564981">
      <w:pPr>
        <w:spacing w:before="240" w:after="240"/>
        <w:jc w:val="both"/>
        <w:rPr>
          <w:rFonts w:ascii="ITC Avant Garde" w:hAnsi="ITC Avant Garde"/>
          <w:kern w:val="1"/>
          <w:lang w:val="es-ES" w:eastAsia="ar-SA"/>
        </w:rPr>
      </w:pPr>
      <w:proofErr w:type="gramStart"/>
      <w:r w:rsidRPr="00D31A19">
        <w:rPr>
          <w:rFonts w:ascii="ITC Avant Garde" w:hAnsi="ITC Avant Garde"/>
          <w:b/>
          <w:bCs/>
          <w:u w:val="single"/>
          <w:lang w:val="es-ES"/>
        </w:rPr>
        <w:t>TERCERO.-</w:t>
      </w:r>
      <w:proofErr w:type="gramEnd"/>
      <w:r w:rsidRPr="00D31A19">
        <w:rPr>
          <w:rFonts w:ascii="ITC Avant Garde" w:hAnsi="ITC Avant Garde"/>
          <w:b/>
          <w:bCs/>
          <w:u w:val="single"/>
          <w:lang w:val="es-ES"/>
        </w:rPr>
        <w:t xml:space="preserve"> </w:t>
      </w:r>
      <w:r w:rsidR="00E26CB8" w:rsidRPr="00D31A19">
        <w:rPr>
          <w:rFonts w:ascii="ITC Avant Garde" w:hAnsi="ITC Avant Garde"/>
          <w:b/>
          <w:bCs/>
          <w:u w:val="single"/>
          <w:lang w:val="es-ES"/>
        </w:rPr>
        <w:t>Solicitud de confirmación de criterio</w:t>
      </w:r>
      <w:r w:rsidR="00E26CB8" w:rsidRPr="00D31A19">
        <w:rPr>
          <w:rFonts w:ascii="ITC Avant Garde" w:hAnsi="ITC Avant Garde"/>
          <w:b/>
          <w:bCs/>
          <w:lang w:val="es-ES"/>
        </w:rPr>
        <w:t>.</w:t>
      </w:r>
      <w:r w:rsidR="00F26423" w:rsidRPr="00D31A19">
        <w:rPr>
          <w:rFonts w:ascii="ITC Avant Garde" w:hAnsi="ITC Avant Garde"/>
          <w:b/>
          <w:bCs/>
          <w:lang w:val="es-ES"/>
        </w:rPr>
        <w:t xml:space="preserve"> </w:t>
      </w:r>
      <w:r w:rsidR="00F26423" w:rsidRPr="00D31A19">
        <w:rPr>
          <w:rFonts w:ascii="ITC Avant Garde" w:hAnsi="ITC Avant Garde"/>
          <w:bCs/>
          <w:lang w:val="es-ES"/>
        </w:rPr>
        <w:t xml:space="preserve">Mediante escrito de fecha 5 de septiembre </w:t>
      </w:r>
      <w:r w:rsidR="002A1A71" w:rsidRPr="00D31A19">
        <w:rPr>
          <w:rFonts w:ascii="ITC Avant Garde" w:hAnsi="ITC Avant Garde"/>
          <w:bCs/>
          <w:lang w:val="es-ES"/>
        </w:rPr>
        <w:t>de 2017</w:t>
      </w:r>
      <w:r w:rsidR="00F26423" w:rsidRPr="00D31A19">
        <w:rPr>
          <w:rFonts w:ascii="ITC Avant Garde" w:hAnsi="ITC Avant Garde"/>
          <w:bCs/>
          <w:lang w:val="es-ES"/>
        </w:rPr>
        <w:t>, el representante legal de Teléfonos de México, S.A.B. de C.V. y de Teléfonos del Noroeste, S.A. de C.V.</w:t>
      </w:r>
      <w:r w:rsidR="007266DA" w:rsidRPr="00D31A19">
        <w:rPr>
          <w:rFonts w:ascii="ITC Avant Garde" w:hAnsi="ITC Avant Garde"/>
          <w:bCs/>
          <w:lang w:val="es-ES"/>
        </w:rPr>
        <w:t xml:space="preserve"> (”Telmex-</w:t>
      </w:r>
      <w:proofErr w:type="spellStart"/>
      <w:r w:rsidR="007266DA" w:rsidRPr="00D31A19">
        <w:rPr>
          <w:rFonts w:ascii="ITC Avant Garde" w:hAnsi="ITC Avant Garde"/>
          <w:bCs/>
          <w:lang w:val="es-ES"/>
        </w:rPr>
        <w:t>Telnor</w:t>
      </w:r>
      <w:proofErr w:type="spellEnd"/>
      <w:r w:rsidR="007266DA" w:rsidRPr="00D31A19">
        <w:rPr>
          <w:rFonts w:ascii="ITC Avant Garde" w:hAnsi="ITC Avant Garde"/>
          <w:bCs/>
          <w:lang w:val="es-ES"/>
        </w:rPr>
        <w:t>”)</w:t>
      </w:r>
      <w:r w:rsidR="00F26423" w:rsidRPr="00D31A19">
        <w:rPr>
          <w:rFonts w:ascii="ITC Avant Garde" w:hAnsi="ITC Avant Garde"/>
          <w:bCs/>
          <w:lang w:val="es-ES"/>
        </w:rPr>
        <w:t>, solicit</w:t>
      </w:r>
      <w:r w:rsidR="00967717" w:rsidRPr="00D31A19">
        <w:rPr>
          <w:rFonts w:ascii="ITC Avant Garde" w:hAnsi="ITC Avant Garde"/>
          <w:bCs/>
          <w:lang w:val="es-ES"/>
        </w:rPr>
        <w:t>ó</w:t>
      </w:r>
      <w:r w:rsidR="00F26423" w:rsidRPr="00D31A19">
        <w:rPr>
          <w:rFonts w:ascii="ITC Avant Garde" w:hAnsi="ITC Avant Garde"/>
          <w:bCs/>
          <w:lang w:val="es-ES"/>
        </w:rPr>
        <w:t xml:space="preserve"> la confirmación de criterio por parte del Instituto respecto de </w:t>
      </w:r>
      <w:r w:rsidR="00B65F21" w:rsidRPr="00D31A19">
        <w:rPr>
          <w:rFonts w:ascii="ITC Avant Garde" w:hAnsi="ITC Avant Garde"/>
          <w:bCs/>
          <w:lang w:val="es-ES"/>
        </w:rPr>
        <w:t>las</w:t>
      </w:r>
      <w:r w:rsidR="00F26423" w:rsidRPr="00D31A19">
        <w:rPr>
          <w:rFonts w:ascii="ITC Avant Garde" w:hAnsi="ITC Avant Garde"/>
          <w:bCs/>
          <w:lang w:val="es-ES"/>
        </w:rPr>
        <w:t xml:space="preserve"> modificaciones </w:t>
      </w:r>
      <w:r w:rsidR="00B65F21" w:rsidRPr="00D31A19">
        <w:rPr>
          <w:rFonts w:ascii="ITC Avant Garde" w:hAnsi="ITC Avant Garde"/>
          <w:bCs/>
          <w:lang w:val="es-ES"/>
        </w:rPr>
        <w:t xml:space="preserve">contenidas en </w:t>
      </w:r>
      <w:r w:rsidR="00B65F21" w:rsidRPr="00D31A19">
        <w:rPr>
          <w:rFonts w:ascii="ITC Avant Garde" w:hAnsi="ITC Avant Garde"/>
          <w:kern w:val="1"/>
          <w:lang w:val="es-ES" w:eastAsia="ar-SA"/>
        </w:rPr>
        <w:t>los puntos 2,7,</w:t>
      </w:r>
      <w:r w:rsidR="0080561B" w:rsidRPr="00D31A19">
        <w:rPr>
          <w:rFonts w:ascii="ITC Avant Garde" w:hAnsi="ITC Avant Garde"/>
          <w:kern w:val="1"/>
          <w:lang w:val="es-ES" w:eastAsia="ar-SA"/>
        </w:rPr>
        <w:t xml:space="preserve"> </w:t>
      </w:r>
      <w:r w:rsidR="00B65F21" w:rsidRPr="00D31A19">
        <w:rPr>
          <w:rFonts w:ascii="ITC Avant Garde" w:hAnsi="ITC Avant Garde"/>
          <w:kern w:val="1"/>
          <w:lang w:val="es-ES" w:eastAsia="ar-SA"/>
        </w:rPr>
        <w:t xml:space="preserve">5, 12 y 14 </w:t>
      </w:r>
      <w:r w:rsidR="000A7176" w:rsidRPr="00D31A19">
        <w:rPr>
          <w:rFonts w:ascii="ITC Avant Garde" w:hAnsi="ITC Avant Garde"/>
          <w:kern w:val="1"/>
          <w:lang w:val="es-ES" w:eastAsia="ar-SA"/>
        </w:rPr>
        <w:t>del</w:t>
      </w:r>
      <w:r w:rsidR="0073639F" w:rsidRPr="00D31A19">
        <w:rPr>
          <w:rFonts w:ascii="ITC Avant Garde" w:hAnsi="ITC Avant Garde"/>
          <w:kern w:val="1"/>
          <w:lang w:val="es-ES" w:eastAsia="ar-SA"/>
        </w:rPr>
        <w:t xml:space="preserve"> </w:t>
      </w:r>
      <w:r w:rsidR="00B65F21" w:rsidRPr="00D31A19">
        <w:rPr>
          <w:rFonts w:ascii="ITC Avant Garde" w:hAnsi="ITC Avant Garde"/>
          <w:kern w:val="1"/>
          <w:lang w:val="es-ES" w:eastAsia="ar-SA"/>
        </w:rPr>
        <w:t xml:space="preserve">Documento </w:t>
      </w:r>
      <w:r w:rsidR="0073639F" w:rsidRPr="00D31A19">
        <w:rPr>
          <w:rFonts w:ascii="ITC Avant Garde" w:hAnsi="ITC Avant Garde"/>
          <w:kern w:val="1"/>
          <w:lang w:val="es-ES" w:eastAsia="ar-SA"/>
        </w:rPr>
        <w:t xml:space="preserve">del </w:t>
      </w:r>
      <w:r w:rsidR="00B65F21" w:rsidRPr="00D31A19">
        <w:rPr>
          <w:rFonts w:ascii="ITC Avant Garde" w:hAnsi="ITC Avant Garde"/>
          <w:kern w:val="1"/>
          <w:lang w:val="es-ES" w:eastAsia="ar-SA"/>
        </w:rPr>
        <w:t xml:space="preserve">Grupo de Trabajo </w:t>
      </w:r>
      <w:r w:rsidR="00606B66" w:rsidRPr="00D31A19">
        <w:rPr>
          <w:rFonts w:ascii="ITC Avant Garde" w:hAnsi="ITC Avant Garde"/>
          <w:kern w:val="1"/>
          <w:lang w:val="es-ES" w:eastAsia="ar-SA"/>
        </w:rPr>
        <w:t xml:space="preserve">de </w:t>
      </w:r>
      <w:r w:rsidR="00B65F21" w:rsidRPr="00D31A19">
        <w:rPr>
          <w:rFonts w:ascii="ITC Avant Garde" w:hAnsi="ITC Avant Garde"/>
          <w:kern w:val="1"/>
          <w:lang w:val="es-ES" w:eastAsia="ar-SA"/>
        </w:rPr>
        <w:t>Mejoras al SEG</w:t>
      </w:r>
      <w:r w:rsidR="00F26423" w:rsidRPr="00D31A19">
        <w:rPr>
          <w:rFonts w:ascii="ITC Avant Garde" w:hAnsi="ITC Avant Garde"/>
          <w:bCs/>
          <w:lang w:val="es-ES"/>
        </w:rPr>
        <w:t>, en virtud de que dichas modificaciones alterarían lo dispuesto en la “</w:t>
      </w:r>
      <w:r w:rsidR="00F26423" w:rsidRPr="00D31A19">
        <w:rPr>
          <w:rFonts w:ascii="ITC Avant Garde" w:hAnsi="ITC Avant Garde"/>
          <w:i/>
          <w:kern w:val="1"/>
          <w:lang w:val="es-ES" w:eastAsia="ar-SA"/>
        </w:rPr>
        <w:t>RESOLUCIÓN MEDIANTE LA CUAL EL PLENO DEL INSTITUTO FEDERAL DE TELECOMUNICACIONES FORMALIZA Y RESUELVE EN DEFINITIVA LAS CONDICIONES MEDIANTE LAS CUALES SE IMPLEMENTARÁ EL MÓDULO DEL SISTEMA ELECTRÓNICO DE GESTIÓN CORRESPONDIENTE A LA OFERTA DE REFERENCIA PARA LA DESAGREGACIÓN EFECTIVA DE LA RED LOCAL DEL AGENTE ECONÓMICO PREPONDERANTE</w:t>
      </w:r>
      <w:r w:rsidR="00F26423" w:rsidRPr="00D31A19">
        <w:rPr>
          <w:rFonts w:ascii="ITC Avant Garde" w:hAnsi="ITC Avant Garde"/>
          <w:kern w:val="1"/>
          <w:lang w:val="es-ES" w:eastAsia="ar-SA"/>
        </w:rPr>
        <w:t>”.</w:t>
      </w:r>
    </w:p>
    <w:p w14:paraId="455D4708" w14:textId="77777777" w:rsidR="00564981" w:rsidRDefault="00BF291F" w:rsidP="00564981">
      <w:pPr>
        <w:shd w:val="clear" w:color="auto" w:fill="FFFFFF"/>
        <w:spacing w:before="240" w:after="240"/>
        <w:jc w:val="both"/>
        <w:rPr>
          <w:rFonts w:ascii="ITC Avant Garde" w:hAnsi="ITC Avant Garde"/>
          <w:lang w:val="es-ES"/>
        </w:rPr>
      </w:pPr>
      <w:r w:rsidRPr="00D31A19">
        <w:rPr>
          <w:rFonts w:ascii="ITC Avant Garde" w:hAnsi="ITC Avant Garde"/>
          <w:lang w:val="es-ES"/>
        </w:rPr>
        <w:t xml:space="preserve">En </w:t>
      </w:r>
      <w:r w:rsidR="000A7176" w:rsidRPr="00D31A19">
        <w:rPr>
          <w:rFonts w:ascii="ITC Avant Garde" w:hAnsi="ITC Avant Garde"/>
          <w:lang w:val="es-ES"/>
        </w:rPr>
        <w:t>dicho</w:t>
      </w:r>
      <w:r w:rsidRPr="00D31A19">
        <w:rPr>
          <w:rFonts w:ascii="ITC Avant Garde" w:hAnsi="ITC Avant Garde"/>
          <w:lang w:val="es-ES"/>
        </w:rPr>
        <w:t xml:space="preserve"> </w:t>
      </w:r>
      <w:r w:rsidR="000A7176" w:rsidRPr="00D31A19">
        <w:rPr>
          <w:rFonts w:ascii="ITC Avant Garde" w:hAnsi="ITC Avant Garde"/>
          <w:lang w:val="es-ES"/>
        </w:rPr>
        <w:t xml:space="preserve">escrito, </w:t>
      </w:r>
      <w:r w:rsidRPr="00D31A19">
        <w:rPr>
          <w:rFonts w:ascii="ITC Avant Garde" w:hAnsi="ITC Avant Garde"/>
          <w:lang w:val="es-ES"/>
        </w:rPr>
        <w:t>Telmex-</w:t>
      </w:r>
      <w:proofErr w:type="spellStart"/>
      <w:r w:rsidRPr="00D31A19">
        <w:rPr>
          <w:rFonts w:ascii="ITC Avant Garde" w:hAnsi="ITC Avant Garde"/>
          <w:lang w:val="es-ES"/>
        </w:rPr>
        <w:t>Telnor</w:t>
      </w:r>
      <w:proofErr w:type="spellEnd"/>
      <w:r w:rsidRPr="00D31A19">
        <w:rPr>
          <w:rFonts w:ascii="ITC Avant Garde" w:hAnsi="ITC Avant Garde"/>
          <w:lang w:val="es-ES"/>
        </w:rPr>
        <w:t xml:space="preserve"> solicit</w:t>
      </w:r>
      <w:r w:rsidR="00967717" w:rsidRPr="00D31A19">
        <w:rPr>
          <w:rFonts w:ascii="ITC Avant Garde" w:hAnsi="ITC Avant Garde"/>
          <w:lang w:val="es-ES"/>
        </w:rPr>
        <w:t>ó</w:t>
      </w:r>
      <w:r w:rsidR="00736AAF" w:rsidRPr="00D31A19">
        <w:rPr>
          <w:rFonts w:ascii="ITC Avant Garde" w:hAnsi="ITC Avant Garde"/>
          <w:lang w:val="es-ES"/>
        </w:rPr>
        <w:t xml:space="preserve"> expresamente</w:t>
      </w:r>
      <w:r w:rsidRPr="00D31A19">
        <w:rPr>
          <w:rFonts w:ascii="ITC Avant Garde" w:hAnsi="ITC Avant Garde"/>
          <w:lang w:val="es-ES"/>
        </w:rPr>
        <w:t xml:space="preserve"> “</w:t>
      </w:r>
      <w:r w:rsidRPr="00D31A19">
        <w:rPr>
          <w:rFonts w:ascii="ITC Avant Garde" w:hAnsi="ITC Avant Garde"/>
          <w:i/>
          <w:lang w:val="es-ES"/>
        </w:rPr>
        <w:t>ratificar del Anexo 2 de la Minuta de</w:t>
      </w:r>
      <w:r w:rsidRPr="00D31A19">
        <w:rPr>
          <w:rFonts w:ascii="ITC Avant Garde" w:hAnsi="ITC Avant Garde"/>
          <w:i/>
          <w:kern w:val="1"/>
          <w:lang w:val="es-ES" w:eastAsia="ar-SA"/>
        </w:rPr>
        <w:t xml:space="preserve"> la Vigésima Tercera Sesión del Comité Técnico </w:t>
      </w:r>
      <w:r w:rsidRPr="00D31A19">
        <w:rPr>
          <w:rFonts w:ascii="ITC Avant Garde" w:hAnsi="ITC Avant Garde"/>
          <w:i/>
          <w:lang w:val="es-ES"/>
        </w:rPr>
        <w:t>de Desagregación Efectiva de la Red Local, de fecha 30 de agosto de 2017”</w:t>
      </w:r>
      <w:r w:rsidRPr="00D31A19">
        <w:rPr>
          <w:rFonts w:ascii="ITC Avant Garde" w:hAnsi="ITC Avant Garde"/>
          <w:lang w:val="es-ES"/>
        </w:rPr>
        <w:t xml:space="preserve">, </w:t>
      </w:r>
      <w:r w:rsidRPr="00D31A19">
        <w:rPr>
          <w:rFonts w:ascii="ITC Avant Garde" w:hAnsi="ITC Avant Garde"/>
          <w:kern w:val="1"/>
          <w:lang w:val="es-ES" w:eastAsia="ar-SA"/>
        </w:rPr>
        <w:t>los puntos 2,7</w:t>
      </w:r>
      <w:r w:rsidR="006639AC" w:rsidRPr="00D31A19">
        <w:rPr>
          <w:rFonts w:ascii="ITC Avant Garde" w:hAnsi="ITC Avant Garde"/>
          <w:kern w:val="1"/>
          <w:lang w:val="es-ES" w:eastAsia="ar-SA"/>
        </w:rPr>
        <w:t>, 5</w:t>
      </w:r>
      <w:r w:rsidRPr="00D31A19">
        <w:rPr>
          <w:rFonts w:ascii="ITC Avant Garde" w:hAnsi="ITC Avant Garde"/>
          <w:kern w:val="1"/>
          <w:lang w:val="es-ES" w:eastAsia="ar-SA"/>
        </w:rPr>
        <w:t>, 12 y 14</w:t>
      </w:r>
      <w:r w:rsidR="0044734B" w:rsidRPr="00D31A19">
        <w:rPr>
          <w:rFonts w:ascii="ITC Avant Garde" w:hAnsi="ITC Avant Garde"/>
          <w:lang w:val="es-ES"/>
        </w:rPr>
        <w:t>.</w:t>
      </w:r>
    </w:p>
    <w:p w14:paraId="21E18115" w14:textId="6058AFCD" w:rsidR="00564981" w:rsidRDefault="00357C2B" w:rsidP="00564981">
      <w:pPr>
        <w:shd w:val="clear" w:color="auto" w:fill="FFFFFF"/>
        <w:spacing w:before="240" w:after="240"/>
        <w:jc w:val="both"/>
        <w:rPr>
          <w:rFonts w:ascii="ITC Avant Garde" w:hAnsi="ITC Avant Garde"/>
          <w:lang w:val="es-ES"/>
        </w:rPr>
      </w:pPr>
      <w:proofErr w:type="gramStart"/>
      <w:r w:rsidRPr="00D31A19">
        <w:rPr>
          <w:rFonts w:ascii="ITC Avant Garde" w:hAnsi="ITC Avant Garde"/>
          <w:b/>
          <w:lang w:val="es-ES"/>
        </w:rPr>
        <w:t>CUARTO</w:t>
      </w:r>
      <w:r w:rsidR="00E26CB8" w:rsidRPr="00D31A19">
        <w:rPr>
          <w:rFonts w:ascii="ITC Avant Garde" w:hAnsi="ITC Avant Garde"/>
          <w:b/>
          <w:lang w:val="es-ES"/>
        </w:rPr>
        <w:t>.-</w:t>
      </w:r>
      <w:proofErr w:type="gramEnd"/>
      <w:r w:rsidR="00E26CB8" w:rsidRPr="00D31A19">
        <w:rPr>
          <w:rFonts w:ascii="ITC Avant Garde" w:hAnsi="ITC Avant Garde"/>
          <w:b/>
          <w:lang w:val="es-ES"/>
        </w:rPr>
        <w:t xml:space="preserve"> </w:t>
      </w:r>
      <w:r w:rsidR="00E26CB8" w:rsidRPr="00D31A19">
        <w:rPr>
          <w:rFonts w:ascii="ITC Avant Garde" w:hAnsi="ITC Avant Garde"/>
          <w:b/>
          <w:u w:val="single"/>
          <w:lang w:val="es-ES"/>
        </w:rPr>
        <w:t>Análisis Jurídico</w:t>
      </w:r>
      <w:r w:rsidR="00E26CB8" w:rsidRPr="00D31A19">
        <w:rPr>
          <w:rFonts w:ascii="ITC Avant Garde" w:hAnsi="ITC Avant Garde"/>
          <w:b/>
          <w:lang w:val="es-ES"/>
        </w:rPr>
        <w:t>.</w:t>
      </w:r>
      <w:r w:rsidR="005C61E4" w:rsidRPr="00D31A19">
        <w:rPr>
          <w:rFonts w:ascii="ITC Avant Garde" w:hAnsi="ITC Avant Garde"/>
          <w:b/>
          <w:lang w:val="es-ES"/>
        </w:rPr>
        <w:t xml:space="preserve"> </w:t>
      </w:r>
      <w:r w:rsidR="005C61E4" w:rsidRPr="00D31A19">
        <w:rPr>
          <w:rFonts w:ascii="ITC Avant Garde" w:hAnsi="ITC Avant Garde"/>
          <w:lang w:val="es-ES"/>
        </w:rPr>
        <w:t>Telmex-</w:t>
      </w:r>
      <w:proofErr w:type="spellStart"/>
      <w:r w:rsidR="005C61E4" w:rsidRPr="00D31A19">
        <w:rPr>
          <w:rFonts w:ascii="ITC Avant Garde" w:hAnsi="ITC Avant Garde"/>
          <w:lang w:val="es-ES"/>
        </w:rPr>
        <w:t>Telnor</w:t>
      </w:r>
      <w:proofErr w:type="spellEnd"/>
      <w:r w:rsidR="005C61E4" w:rsidRPr="00D31A19">
        <w:rPr>
          <w:rFonts w:ascii="ITC Avant Garde" w:hAnsi="ITC Avant Garde"/>
          <w:lang w:val="es-ES"/>
        </w:rPr>
        <w:t xml:space="preserve"> manifiestan</w:t>
      </w:r>
      <w:r w:rsidR="00083F9C" w:rsidRPr="00D31A19">
        <w:rPr>
          <w:rFonts w:ascii="ITC Avant Garde" w:hAnsi="ITC Avant Garde"/>
          <w:lang w:val="es-ES"/>
        </w:rPr>
        <w:t xml:space="preserve"> </w:t>
      </w:r>
      <w:r w:rsidR="005C61E4" w:rsidRPr="00D31A19">
        <w:rPr>
          <w:rFonts w:ascii="ITC Avant Garde" w:hAnsi="ITC Avant Garde"/>
          <w:lang w:val="es-ES"/>
        </w:rPr>
        <w:t>que</w:t>
      </w:r>
      <w:r w:rsidR="00083F9C" w:rsidRPr="00D31A19">
        <w:rPr>
          <w:rFonts w:ascii="ITC Avant Garde" w:hAnsi="ITC Avant Garde"/>
          <w:lang w:val="es-ES"/>
        </w:rPr>
        <w:t>:</w:t>
      </w:r>
      <w:r w:rsidR="005C61E4" w:rsidRPr="00D31A19">
        <w:rPr>
          <w:rFonts w:ascii="ITC Avant Garde" w:hAnsi="ITC Avant Garde"/>
          <w:lang w:val="es-ES"/>
        </w:rPr>
        <w:t xml:space="preserve"> </w:t>
      </w:r>
      <w:r w:rsidR="00083F9C" w:rsidRPr="00D31A19">
        <w:rPr>
          <w:rFonts w:ascii="ITC Avant Garde" w:hAnsi="ITC Avant Garde"/>
          <w:lang w:val="es-ES"/>
        </w:rPr>
        <w:t>“</w:t>
      </w:r>
      <w:r w:rsidR="00083F9C" w:rsidRPr="00D31A19">
        <w:rPr>
          <w:rFonts w:ascii="ITC Avant Garde" w:hAnsi="ITC Avant Garde"/>
          <w:i/>
          <w:lang w:val="es-ES"/>
        </w:rPr>
        <w:t>Producto</w:t>
      </w:r>
      <w:r w:rsidR="005C61E4" w:rsidRPr="00D31A19">
        <w:rPr>
          <w:rFonts w:ascii="ITC Avant Garde" w:hAnsi="ITC Avant Garde"/>
          <w:i/>
          <w:lang w:val="es-ES"/>
        </w:rPr>
        <w:t xml:space="preserve"> de los</w:t>
      </w:r>
      <w:r w:rsidR="005C61E4" w:rsidRPr="00D31A19">
        <w:rPr>
          <w:rFonts w:ascii="ITC Avant Garde" w:hAnsi="ITC Avant Garde"/>
          <w:lang w:val="es-ES"/>
        </w:rPr>
        <w:t xml:space="preserve"> </w:t>
      </w:r>
      <w:r w:rsidR="005C61E4" w:rsidRPr="00D31A19">
        <w:rPr>
          <w:rFonts w:ascii="ITC Avant Garde" w:hAnsi="ITC Avant Garde"/>
          <w:i/>
          <w:lang w:val="es-ES"/>
        </w:rPr>
        <w:t>trabajos realizados entre Telmex y Grupo Televisa para revisar los puntos de mejora del Sistema Electrónico de Gestión (SEG), se plantearon las siguientes mejoras que altera</w:t>
      </w:r>
      <w:r w:rsidR="00083F9C" w:rsidRPr="00D31A19">
        <w:rPr>
          <w:rFonts w:ascii="ITC Avant Garde" w:hAnsi="ITC Avant Garde"/>
          <w:i/>
          <w:lang w:val="es-ES"/>
        </w:rPr>
        <w:t>n lo resuelto por el Instituto en la Resolución “</w:t>
      </w:r>
      <w:r w:rsidR="00083F9C" w:rsidRPr="00D31A19">
        <w:rPr>
          <w:rFonts w:ascii="ITC Avant Garde" w:hAnsi="ITC Avant Garde"/>
          <w:i/>
          <w:kern w:val="1"/>
          <w:lang w:val="es-ES" w:eastAsia="ar-SA"/>
        </w:rPr>
        <w:t xml:space="preserve">RESOLUCIÓN MEDIANTE LA CUAL EL PLENO DEL INSTITUTO FEDERAL DE TELECOMUNICACIONES FORMALIZA Y RESUELVE EN DEFINITIVA LAS CONDICIONES MEDIANTE LAS CUALES SE IMPLEMENTARÁ EL MÓDULO DEL SISTEMA ELECTRÓNICO DE GESTIÓN CORRESPONDIENTE A LA OFERTA DE REFERENCIA PARA LA DESAGREGACIÓN EFECTIVA DE LA RED LOCAL DEL AGENTE ECONÓMICO </w:t>
      </w:r>
      <w:r w:rsidR="00083F9C" w:rsidRPr="00D31A19">
        <w:rPr>
          <w:rFonts w:ascii="ITC Avant Garde" w:hAnsi="ITC Avant Garde"/>
          <w:i/>
          <w:kern w:val="1"/>
          <w:lang w:val="es-ES" w:eastAsia="ar-SA"/>
        </w:rPr>
        <w:lastRenderedPageBreak/>
        <w:t>PREPONDERANTE” las cuales se ponen a consideración del Instituto para que confirme el criterio a seguir para su implementación”</w:t>
      </w:r>
      <w:r w:rsidR="00083F9C" w:rsidRPr="00D31A19">
        <w:rPr>
          <w:rFonts w:ascii="ITC Avant Garde" w:hAnsi="ITC Avant Garde"/>
          <w:kern w:val="1"/>
          <w:lang w:val="es-ES" w:eastAsia="ar-SA"/>
        </w:rPr>
        <w:t>.</w:t>
      </w:r>
    </w:p>
    <w:p w14:paraId="4EF90B7C" w14:textId="77777777" w:rsidR="00564981" w:rsidRDefault="00D44314" w:rsidP="00564981">
      <w:pPr>
        <w:shd w:val="clear" w:color="auto" w:fill="FFFFFF"/>
        <w:spacing w:before="240" w:after="240"/>
        <w:jc w:val="both"/>
        <w:rPr>
          <w:rFonts w:ascii="ITC Avant Garde" w:hAnsi="ITC Avant Garde"/>
          <w:lang w:val="es-ES"/>
        </w:rPr>
      </w:pPr>
      <w:r w:rsidRPr="00D31A19">
        <w:rPr>
          <w:rFonts w:ascii="ITC Avant Garde" w:hAnsi="ITC Avant Garde"/>
          <w:b/>
          <w:lang w:val="es-ES"/>
        </w:rPr>
        <w:t xml:space="preserve">A) </w:t>
      </w:r>
      <w:r w:rsidR="008E6BA3" w:rsidRPr="00D31A19">
        <w:rPr>
          <w:rFonts w:ascii="ITC Avant Garde" w:hAnsi="ITC Avant Garde"/>
          <w:lang w:val="es-ES"/>
        </w:rPr>
        <w:t>En la solici</w:t>
      </w:r>
      <w:r w:rsidR="001608F6" w:rsidRPr="00D31A19">
        <w:rPr>
          <w:rFonts w:ascii="ITC Avant Garde" w:hAnsi="ITC Avant Garde"/>
          <w:lang w:val="es-ES"/>
        </w:rPr>
        <w:t>tud de confi</w:t>
      </w:r>
      <w:r w:rsidR="008E6BA3" w:rsidRPr="00D31A19">
        <w:rPr>
          <w:rFonts w:ascii="ITC Avant Garde" w:hAnsi="ITC Avant Garde"/>
          <w:lang w:val="es-ES"/>
        </w:rPr>
        <w:t>rmación de cr</w:t>
      </w:r>
      <w:r w:rsidR="00E33535" w:rsidRPr="00D31A19">
        <w:rPr>
          <w:rFonts w:ascii="ITC Avant Garde" w:hAnsi="ITC Avant Garde"/>
          <w:lang w:val="es-ES"/>
        </w:rPr>
        <w:t>iterio Telmex-</w:t>
      </w:r>
      <w:proofErr w:type="spellStart"/>
      <w:r w:rsidR="00E33535" w:rsidRPr="00D31A19">
        <w:rPr>
          <w:rFonts w:ascii="ITC Avant Garde" w:hAnsi="ITC Avant Garde"/>
          <w:lang w:val="es-ES"/>
        </w:rPr>
        <w:t>Telnor</w:t>
      </w:r>
      <w:proofErr w:type="spellEnd"/>
      <w:r w:rsidR="00E33535" w:rsidRPr="00D31A19">
        <w:rPr>
          <w:rFonts w:ascii="ITC Avant Garde" w:hAnsi="ITC Avant Garde"/>
          <w:lang w:val="es-ES"/>
        </w:rPr>
        <w:t xml:space="preserve"> manifiesta</w:t>
      </w:r>
      <w:r w:rsidR="008E6BA3" w:rsidRPr="00D31A19">
        <w:rPr>
          <w:rFonts w:ascii="ITC Avant Garde" w:hAnsi="ITC Avant Garde"/>
          <w:lang w:val="es-ES"/>
        </w:rPr>
        <w:t xml:space="preserve"> lo siguiente</w:t>
      </w:r>
      <w:r w:rsidRPr="00D31A19">
        <w:rPr>
          <w:rFonts w:ascii="ITC Avant Garde" w:hAnsi="ITC Avant Garde"/>
          <w:lang w:val="es-ES"/>
        </w:rPr>
        <w:t>:</w:t>
      </w:r>
    </w:p>
    <w:p w14:paraId="341D890F" w14:textId="77777777" w:rsidR="00564981" w:rsidRDefault="00D44314" w:rsidP="00564981">
      <w:pPr>
        <w:shd w:val="clear" w:color="auto" w:fill="FFFFFF"/>
        <w:spacing w:before="240" w:after="240"/>
        <w:ind w:left="567"/>
        <w:jc w:val="both"/>
        <w:rPr>
          <w:rFonts w:ascii="ITC Avant Garde" w:hAnsi="ITC Avant Garde"/>
          <w:b/>
          <w:i/>
          <w:sz w:val="20"/>
          <w:lang w:val="es-ES"/>
        </w:rPr>
      </w:pPr>
      <w:r w:rsidRPr="00EE0275">
        <w:rPr>
          <w:rFonts w:ascii="ITC Avant Garde" w:hAnsi="ITC Avant Garde"/>
          <w:i/>
          <w:sz w:val="20"/>
          <w:lang w:val="es-ES"/>
        </w:rPr>
        <w:t>“</w:t>
      </w:r>
      <w:r w:rsidR="00DB06CB" w:rsidRPr="00EE0275">
        <w:rPr>
          <w:rFonts w:ascii="ITC Avant Garde" w:hAnsi="ITC Avant Garde"/>
          <w:b/>
          <w:i/>
          <w:sz w:val="20"/>
          <w:lang w:val="es-ES"/>
        </w:rPr>
        <w:t>Validar el punto 2,7, La llave de acceso para ejecutar movimientos e incidencias dentro del SEG.</w:t>
      </w:r>
    </w:p>
    <w:p w14:paraId="1D467291" w14:textId="77777777" w:rsidR="00564981" w:rsidRDefault="00215868" w:rsidP="00564981">
      <w:pPr>
        <w:shd w:val="clear" w:color="auto" w:fill="FFFFFF"/>
        <w:spacing w:before="240" w:after="240"/>
        <w:ind w:left="567"/>
        <w:jc w:val="both"/>
        <w:rPr>
          <w:rFonts w:ascii="ITC Avant Garde" w:hAnsi="ITC Avant Garde"/>
          <w:i/>
          <w:sz w:val="20"/>
          <w:lang w:val="es-ES"/>
        </w:rPr>
      </w:pPr>
      <w:r w:rsidRPr="00EE0275">
        <w:rPr>
          <w:rFonts w:ascii="ITC Avant Garde" w:hAnsi="ITC Avant Garde"/>
          <w:i/>
          <w:sz w:val="20"/>
          <w:lang w:val="es-ES"/>
        </w:rPr>
        <w:t>El IFT, en su resolución P_IFT_140716_4071, resolvió que el CS podrá realizar consultas sobre sus solicitudes de servicios de desagregación, utilizando los campos: Folio SEG y NIS, del “Módulo de Seguimiento a Solicitudes</w:t>
      </w:r>
      <w:r w:rsidR="00F809AD" w:rsidRPr="00EE0275">
        <w:rPr>
          <w:rFonts w:ascii="ITC Avant Garde" w:hAnsi="ITC Avant Garde"/>
          <w:i/>
          <w:sz w:val="20"/>
          <w:lang w:val="es-ES"/>
        </w:rPr>
        <w:t xml:space="preserve"> de Desagregación” (pág. 93, Anexo D3), sin embargo, y derivado de los trabajos realizados en el Comité para revisar las mejoras a implementar al SEG, se determinó que el campo obligatorio para realizar los movimientos señalados es el Número Telefónico del Cliente y el Folio SEG y NIS son opcionales, por lo que se solicitó se </w:t>
      </w:r>
      <w:r w:rsidR="00127038" w:rsidRPr="00EE0275">
        <w:rPr>
          <w:rFonts w:ascii="ITC Avant Garde" w:hAnsi="ITC Avant Garde"/>
          <w:i/>
          <w:sz w:val="20"/>
          <w:lang w:val="es-ES"/>
        </w:rPr>
        <w:t>agregue la opción de realizar búsquedas de las solicitudes por medio del número telefónico (físico o virtual) solamente para el caso de los servicios SRLT, SRI, SRP y SAIB, toda vez que se identificó que dicho campo de búsqueda permite agilizar la consulta</w:t>
      </w:r>
      <w:r w:rsidR="00D44314" w:rsidRPr="00EE0275">
        <w:rPr>
          <w:rFonts w:ascii="ITC Avant Garde" w:hAnsi="ITC Avant Garde"/>
          <w:i/>
          <w:sz w:val="20"/>
          <w:lang w:val="es-ES"/>
        </w:rPr>
        <w:t xml:space="preserve"> de solicitudes de servicios a los CS.</w:t>
      </w:r>
    </w:p>
    <w:p w14:paraId="21398CA2" w14:textId="77777777" w:rsidR="00564981" w:rsidRDefault="00D44314" w:rsidP="00564981">
      <w:pPr>
        <w:shd w:val="clear" w:color="auto" w:fill="FFFFFF"/>
        <w:spacing w:before="240" w:after="240"/>
        <w:ind w:left="567"/>
        <w:jc w:val="both"/>
        <w:rPr>
          <w:rFonts w:ascii="ITC Avant Garde" w:hAnsi="ITC Avant Garde"/>
          <w:i/>
          <w:sz w:val="20"/>
          <w:lang w:val="es-ES"/>
        </w:rPr>
      </w:pPr>
      <w:r w:rsidRPr="00EE0275">
        <w:rPr>
          <w:rFonts w:ascii="ITC Avant Garde" w:hAnsi="ITC Avant Garde"/>
          <w:i/>
          <w:sz w:val="20"/>
          <w:lang w:val="es-ES"/>
        </w:rPr>
        <w:t>Por lo expuesto, se solicita a ese Instituto confirmar la incl</w:t>
      </w:r>
      <w:r w:rsidR="00CF5080" w:rsidRPr="00EE0275">
        <w:rPr>
          <w:rFonts w:ascii="ITC Avant Garde" w:hAnsi="ITC Avant Garde"/>
          <w:i/>
          <w:sz w:val="20"/>
          <w:lang w:val="es-ES"/>
        </w:rPr>
        <w:t>usión en el Mó</w:t>
      </w:r>
      <w:r w:rsidRPr="00EE0275">
        <w:rPr>
          <w:rFonts w:ascii="ITC Avant Garde" w:hAnsi="ITC Avant Garde"/>
          <w:i/>
          <w:sz w:val="20"/>
          <w:lang w:val="es-ES"/>
        </w:rPr>
        <w:t>dulo de Seguimiento a Solicitudes de Desagregación, de la opción de búsqueda por Número Telefónico como campo obligatorio (físico o virtual) para los servicios masivos de desagregación</w:t>
      </w:r>
      <w:r w:rsidR="00E33535" w:rsidRPr="00EE0275">
        <w:rPr>
          <w:rFonts w:ascii="ITC Avant Garde" w:hAnsi="ITC Avant Garde"/>
          <w:i/>
          <w:sz w:val="20"/>
          <w:lang w:val="es-ES"/>
        </w:rPr>
        <w:t>.</w:t>
      </w:r>
      <w:r w:rsidRPr="00EE0275">
        <w:rPr>
          <w:rFonts w:ascii="ITC Avant Garde" w:hAnsi="ITC Avant Garde"/>
          <w:i/>
          <w:sz w:val="20"/>
          <w:lang w:val="es-ES"/>
        </w:rPr>
        <w:t>”</w:t>
      </w:r>
    </w:p>
    <w:p w14:paraId="4330B1B9" w14:textId="32A5E471" w:rsidR="00564981" w:rsidRDefault="008E6BA3" w:rsidP="00564981">
      <w:pPr>
        <w:shd w:val="clear" w:color="auto" w:fill="FFFFFF"/>
        <w:spacing w:before="240" w:after="240"/>
        <w:jc w:val="both"/>
        <w:rPr>
          <w:rFonts w:ascii="ITC Avant Garde" w:hAnsi="ITC Avant Garde"/>
          <w:lang w:val="es-ES"/>
        </w:rPr>
      </w:pPr>
      <w:r w:rsidRPr="005A3B06">
        <w:rPr>
          <w:rFonts w:ascii="ITC Avant Garde" w:hAnsi="ITC Avant Garde"/>
          <w:lang w:val="es-ES"/>
        </w:rPr>
        <w:t>D</w:t>
      </w:r>
      <w:r w:rsidR="00103694" w:rsidRPr="005A3B06">
        <w:rPr>
          <w:rFonts w:ascii="ITC Avant Garde" w:hAnsi="ITC Avant Garde"/>
          <w:lang w:val="es-ES"/>
        </w:rPr>
        <w:t xml:space="preserve">el punto 2,7 </w:t>
      </w:r>
      <w:r w:rsidR="000A7176" w:rsidRPr="005A3B06">
        <w:rPr>
          <w:rFonts w:ascii="ITC Avant Garde" w:hAnsi="ITC Avant Garde"/>
          <w:lang w:val="es-ES"/>
        </w:rPr>
        <w:t xml:space="preserve">del </w:t>
      </w:r>
      <w:r w:rsidR="000A7176" w:rsidRPr="005A3B06">
        <w:rPr>
          <w:rFonts w:ascii="ITC Avant Garde" w:hAnsi="ITC Avant Garde"/>
          <w:kern w:val="1"/>
          <w:lang w:val="es-ES" w:eastAsia="ar-SA"/>
        </w:rPr>
        <w:t>Documento del Grupo de Trabajo</w:t>
      </w:r>
      <w:r w:rsidR="00194FFC" w:rsidRPr="005A3B06">
        <w:rPr>
          <w:rFonts w:ascii="ITC Avant Garde" w:hAnsi="ITC Avant Garde"/>
          <w:kern w:val="1"/>
          <w:lang w:val="es-ES" w:eastAsia="ar-SA"/>
        </w:rPr>
        <w:t xml:space="preserve"> de</w:t>
      </w:r>
      <w:r w:rsidR="000A7176" w:rsidRPr="005A3B06">
        <w:rPr>
          <w:rFonts w:ascii="ITC Avant Garde" w:hAnsi="ITC Avant Garde"/>
          <w:kern w:val="1"/>
          <w:lang w:val="es-ES" w:eastAsia="ar-SA"/>
        </w:rPr>
        <w:t xml:space="preserve"> Mejoras al SEG,</w:t>
      </w:r>
      <w:r w:rsidR="00103694" w:rsidRPr="005A3B06">
        <w:rPr>
          <w:rFonts w:ascii="ITC Avant Garde" w:hAnsi="ITC Avant Garde"/>
          <w:lang w:val="es-ES"/>
        </w:rPr>
        <w:t xml:space="preserve"> </w:t>
      </w:r>
      <w:r w:rsidRPr="005A3B06">
        <w:rPr>
          <w:rFonts w:ascii="ITC Avant Garde" w:hAnsi="ITC Avant Garde"/>
          <w:lang w:val="es-ES"/>
        </w:rPr>
        <w:t xml:space="preserve">se desprende </w:t>
      </w:r>
      <w:r w:rsidR="00103694" w:rsidRPr="005A3B06">
        <w:rPr>
          <w:rFonts w:ascii="ITC Avant Garde" w:hAnsi="ITC Avant Garde"/>
          <w:lang w:val="es-ES"/>
        </w:rPr>
        <w:t>lo siguiente:</w:t>
      </w:r>
    </w:p>
    <w:tbl>
      <w:tblPr>
        <w:tblStyle w:val="Cuadrculadetablaclara"/>
        <w:tblW w:w="8647" w:type="dxa"/>
        <w:tblLayout w:type="fixed"/>
        <w:tblLook w:val="04A0" w:firstRow="1" w:lastRow="0" w:firstColumn="1" w:lastColumn="0" w:noHBand="0" w:noVBand="1"/>
        <w:tblCaption w:val="TABLA 1"/>
        <w:tblDescription w:val="Tablacon 6 Columnas y 2 filas, en la primera fila señalan los 6 títulos y abajo en la segunda fila el comentario relativo a cada título."/>
      </w:tblPr>
      <w:tblGrid>
        <w:gridCol w:w="676"/>
        <w:gridCol w:w="1167"/>
        <w:gridCol w:w="1273"/>
        <w:gridCol w:w="2129"/>
        <w:gridCol w:w="1985"/>
        <w:gridCol w:w="1417"/>
      </w:tblGrid>
      <w:tr w:rsidR="00103694" w:rsidRPr="00D31A19" w14:paraId="76CA9EF2" w14:textId="77777777" w:rsidTr="00F56FAC">
        <w:trPr>
          <w:trHeight w:val="228"/>
          <w:tblHeader/>
        </w:trPr>
        <w:tc>
          <w:tcPr>
            <w:tcW w:w="676" w:type="dxa"/>
            <w:hideMark/>
          </w:tcPr>
          <w:p w14:paraId="54DC2FC4" w14:textId="77777777" w:rsidR="00103694" w:rsidRPr="00D31A19" w:rsidRDefault="00103694"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Punto</w:t>
            </w:r>
          </w:p>
        </w:tc>
        <w:tc>
          <w:tcPr>
            <w:tcW w:w="1167" w:type="dxa"/>
            <w:hideMark/>
          </w:tcPr>
          <w:p w14:paraId="1E214A8C" w14:textId="56568F9A" w:rsidR="00103694" w:rsidRPr="00D31A19" w:rsidRDefault="00103694"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Tema</w:t>
            </w:r>
          </w:p>
        </w:tc>
        <w:tc>
          <w:tcPr>
            <w:tcW w:w="1273" w:type="dxa"/>
            <w:hideMark/>
          </w:tcPr>
          <w:p w14:paraId="7E359640" w14:textId="77777777" w:rsidR="00103694" w:rsidRPr="00D31A19" w:rsidRDefault="00103694"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Conclusiones</w:t>
            </w:r>
          </w:p>
        </w:tc>
        <w:tc>
          <w:tcPr>
            <w:tcW w:w="2129" w:type="dxa"/>
            <w:hideMark/>
          </w:tcPr>
          <w:p w14:paraId="68D21AB2" w14:textId="77777777" w:rsidR="00103694" w:rsidRPr="00D31A19" w:rsidRDefault="00103694"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Notas</w:t>
            </w:r>
          </w:p>
        </w:tc>
        <w:tc>
          <w:tcPr>
            <w:tcW w:w="1985" w:type="dxa"/>
            <w:noWrap/>
            <w:hideMark/>
          </w:tcPr>
          <w:p w14:paraId="5F570BD5" w14:textId="77777777" w:rsidR="00103694" w:rsidRPr="00D31A19" w:rsidRDefault="00103694"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Resultado final</w:t>
            </w:r>
          </w:p>
        </w:tc>
        <w:tc>
          <w:tcPr>
            <w:tcW w:w="1417" w:type="dxa"/>
            <w:noWrap/>
            <w:hideMark/>
          </w:tcPr>
          <w:p w14:paraId="296DDD2C" w14:textId="77777777" w:rsidR="00103694" w:rsidRPr="00D31A19" w:rsidRDefault="00103694"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Fecha</w:t>
            </w:r>
          </w:p>
        </w:tc>
      </w:tr>
      <w:tr w:rsidR="00103694" w:rsidRPr="00D31A19" w14:paraId="5ABDDC22" w14:textId="77777777" w:rsidTr="00F56FAC">
        <w:trPr>
          <w:trHeight w:val="2422"/>
        </w:trPr>
        <w:tc>
          <w:tcPr>
            <w:tcW w:w="676" w:type="dxa"/>
            <w:hideMark/>
          </w:tcPr>
          <w:p w14:paraId="5640B26F" w14:textId="247FCFE0" w:rsidR="00103694" w:rsidRPr="00D31A19" w:rsidRDefault="00103694" w:rsidP="00564981">
            <w:pPr>
              <w:spacing w:after="0"/>
              <w:jc w:val="center"/>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2,7</w:t>
            </w:r>
          </w:p>
        </w:tc>
        <w:tc>
          <w:tcPr>
            <w:tcW w:w="1167" w:type="dxa"/>
            <w:hideMark/>
          </w:tcPr>
          <w:p w14:paraId="0B0A245E" w14:textId="77777777" w:rsidR="00103694" w:rsidRPr="00D31A19" w:rsidRDefault="00103694" w:rsidP="00564981">
            <w:pPr>
              <w:spacing w:after="0"/>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La llave de acceso para ejecutar movimientos e incidencias dentro del SEG.</w:t>
            </w:r>
          </w:p>
        </w:tc>
        <w:tc>
          <w:tcPr>
            <w:tcW w:w="1273" w:type="dxa"/>
            <w:hideMark/>
          </w:tcPr>
          <w:p w14:paraId="1F21EE09" w14:textId="77777777" w:rsidR="00103694" w:rsidRPr="00D31A19" w:rsidRDefault="00103694" w:rsidP="00564981">
            <w:pPr>
              <w:spacing w:after="0"/>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NIS y/o No. Telefónico (Real o Virtual), según el servicio. Se requiere que el IFT apruebe el cambio.</w:t>
            </w:r>
          </w:p>
        </w:tc>
        <w:tc>
          <w:tcPr>
            <w:tcW w:w="2129" w:type="dxa"/>
            <w:hideMark/>
          </w:tcPr>
          <w:p w14:paraId="73B59879" w14:textId="2DC7F846" w:rsidR="00103694" w:rsidRPr="00D31A19" w:rsidRDefault="00103694" w:rsidP="00564981">
            <w:pPr>
              <w:spacing w:after="0"/>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 xml:space="preserve">Para Servicios como cualquier tipo de reventa, SAIB, desagregación total de bucle y compartida cuando el campo llave u obligatorio sea el número de cliente y para servicios auxiliares el campo obligatorio </w:t>
            </w:r>
            <w:r w:rsidR="00D31A19" w:rsidRPr="00D31A19">
              <w:rPr>
                <w:rFonts w:ascii="ITC Avant Garde" w:eastAsia="Times New Roman" w:hAnsi="ITC Avant Garde" w:cs="Times New Roman"/>
                <w:i/>
                <w:color w:val="000000"/>
                <w:sz w:val="14"/>
                <w:szCs w:val="16"/>
                <w:lang w:val="es-ES" w:eastAsia="es-MX"/>
              </w:rPr>
              <w:t>sería</w:t>
            </w:r>
            <w:r w:rsidRPr="00D31A19">
              <w:rPr>
                <w:rFonts w:ascii="ITC Avant Garde" w:eastAsia="Times New Roman" w:hAnsi="ITC Avant Garde" w:cs="Times New Roman"/>
                <w:i/>
                <w:color w:val="000000"/>
                <w:sz w:val="14"/>
                <w:szCs w:val="16"/>
                <w:lang w:val="es-ES" w:eastAsia="es-MX"/>
              </w:rPr>
              <w:t xml:space="preserve"> el NIS, a consideración de AEP, se requiere autorización del instituto por lo que el inicio de su desarrollo dependerá de la misma</w:t>
            </w:r>
            <w:r w:rsidR="00C760E0" w:rsidRPr="00D31A19">
              <w:rPr>
                <w:rFonts w:ascii="ITC Avant Garde" w:eastAsia="Times New Roman" w:hAnsi="ITC Avant Garde" w:cs="Times New Roman"/>
                <w:i/>
                <w:color w:val="000000"/>
                <w:sz w:val="14"/>
                <w:szCs w:val="16"/>
                <w:lang w:val="es-ES" w:eastAsia="es-MX"/>
              </w:rPr>
              <w:t>.</w:t>
            </w:r>
          </w:p>
        </w:tc>
        <w:tc>
          <w:tcPr>
            <w:tcW w:w="1985" w:type="dxa"/>
            <w:hideMark/>
          </w:tcPr>
          <w:p w14:paraId="18A7458F" w14:textId="77777777" w:rsidR="00103694" w:rsidRPr="00D31A19" w:rsidRDefault="00103694" w:rsidP="00564981">
            <w:pPr>
              <w:spacing w:after="0"/>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Sujeto a una autorización del IFT, para Servicios como cualquier tipo de reventa, SAIB, desagregación total del bucle y compartida cuando el campo llave u obligatorio sea el número de cliente y para servicios auxiliares el campo obligatorio sería el NIS.</w:t>
            </w:r>
          </w:p>
        </w:tc>
        <w:tc>
          <w:tcPr>
            <w:tcW w:w="1417" w:type="dxa"/>
            <w:hideMark/>
          </w:tcPr>
          <w:p w14:paraId="64242C21" w14:textId="77777777" w:rsidR="00103694" w:rsidRPr="00D31A19" w:rsidRDefault="00103694" w:rsidP="00564981">
            <w:pPr>
              <w:spacing w:after="0"/>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El IFT no ha dado comentarios sobre este punto. Una vez que el IFT defina y acote en la OREDA y/o en la resolución del SEG, se contemplan 3 meses para su implementación.</w:t>
            </w:r>
          </w:p>
        </w:tc>
      </w:tr>
    </w:tbl>
    <w:p w14:paraId="331B700E" w14:textId="77777777" w:rsidR="00564981" w:rsidRDefault="00A3577C" w:rsidP="00564981">
      <w:pPr>
        <w:autoSpaceDE w:val="0"/>
        <w:autoSpaceDN w:val="0"/>
        <w:adjustRightInd w:val="0"/>
        <w:spacing w:before="240" w:after="240"/>
        <w:jc w:val="both"/>
        <w:rPr>
          <w:rFonts w:ascii="ITC Avant Garde" w:hAnsi="ITC Avant Garde"/>
          <w:lang w:val="es-ES"/>
        </w:rPr>
      </w:pPr>
      <w:r w:rsidRPr="00D31A19">
        <w:rPr>
          <w:rFonts w:ascii="ITC Avant Garde" w:hAnsi="ITC Avant Garde"/>
          <w:lang w:val="es-ES"/>
        </w:rPr>
        <w:t>Al respecto</w:t>
      </w:r>
      <w:r w:rsidR="00DE18E9" w:rsidRPr="00D31A19">
        <w:rPr>
          <w:rFonts w:ascii="ITC Avant Garde" w:hAnsi="ITC Avant Garde"/>
          <w:lang w:val="es-ES"/>
        </w:rPr>
        <w:t xml:space="preserve">, es preciso señalar </w:t>
      </w:r>
      <w:r w:rsidR="006728C2" w:rsidRPr="00D31A19">
        <w:rPr>
          <w:rFonts w:ascii="ITC Avant Garde" w:hAnsi="ITC Avant Garde"/>
          <w:lang w:val="es-ES"/>
        </w:rPr>
        <w:t>lo siguiente:</w:t>
      </w:r>
    </w:p>
    <w:p w14:paraId="2172FE7A" w14:textId="7D514D9D" w:rsidR="00564981" w:rsidRDefault="006728C2"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lang w:val="es-ES"/>
        </w:rPr>
        <w:t>L</w:t>
      </w:r>
      <w:r w:rsidR="005B176D" w:rsidRPr="00D31A19">
        <w:rPr>
          <w:rFonts w:ascii="ITC Avant Garde" w:hAnsi="ITC Avant Garde"/>
          <w:lang w:val="es-ES"/>
        </w:rPr>
        <w:t xml:space="preserve">os servicios de desagregación referidos en la solicitud de confirmación de criterio y en el </w:t>
      </w:r>
      <w:r w:rsidR="005B176D" w:rsidRPr="00D31A19">
        <w:rPr>
          <w:rFonts w:ascii="ITC Avant Garde" w:hAnsi="ITC Avant Garde"/>
          <w:kern w:val="1"/>
          <w:lang w:val="es-ES" w:eastAsia="ar-SA"/>
        </w:rPr>
        <w:t xml:space="preserve">Documento del </w:t>
      </w:r>
      <w:r w:rsidR="007D2D1D" w:rsidRPr="00D31A19">
        <w:rPr>
          <w:rFonts w:ascii="ITC Avant Garde" w:hAnsi="ITC Avant Garde"/>
          <w:kern w:val="1"/>
          <w:lang w:val="es-ES" w:eastAsia="ar-SA"/>
        </w:rPr>
        <w:t>Grupo de Trabajo</w:t>
      </w:r>
      <w:r w:rsidR="00083F9C" w:rsidRPr="00D31A19">
        <w:rPr>
          <w:rFonts w:ascii="ITC Avant Garde" w:hAnsi="ITC Avant Garde"/>
          <w:kern w:val="1"/>
          <w:lang w:val="es-ES" w:eastAsia="ar-SA"/>
        </w:rPr>
        <w:t xml:space="preserve"> de</w:t>
      </w:r>
      <w:r w:rsidR="007D2D1D" w:rsidRPr="00D31A19">
        <w:rPr>
          <w:rFonts w:ascii="ITC Avant Garde" w:hAnsi="ITC Avant Garde"/>
          <w:kern w:val="1"/>
          <w:lang w:val="es-ES" w:eastAsia="ar-SA"/>
        </w:rPr>
        <w:t xml:space="preserve"> Mejoras al SEG</w:t>
      </w:r>
      <w:r w:rsidR="005B176D" w:rsidRPr="00D31A19">
        <w:rPr>
          <w:rFonts w:ascii="ITC Avant Garde" w:hAnsi="ITC Avant Garde"/>
          <w:kern w:val="1"/>
          <w:lang w:val="es-ES" w:eastAsia="ar-SA"/>
        </w:rPr>
        <w:t xml:space="preserve"> </w:t>
      </w:r>
      <w:r w:rsidR="007D2D1D" w:rsidRPr="00D31A19">
        <w:rPr>
          <w:rFonts w:ascii="ITC Avant Garde" w:hAnsi="ITC Avant Garde"/>
          <w:kern w:val="1"/>
          <w:lang w:val="es-ES" w:eastAsia="ar-SA"/>
        </w:rPr>
        <w:t xml:space="preserve">respectivamente, </w:t>
      </w:r>
      <w:r w:rsidR="005B176D" w:rsidRPr="00D31A19">
        <w:rPr>
          <w:rFonts w:ascii="ITC Avant Garde" w:hAnsi="ITC Avant Garde"/>
          <w:kern w:val="1"/>
          <w:lang w:val="es-ES" w:eastAsia="ar-SA"/>
        </w:rPr>
        <w:t>consisten en</w:t>
      </w:r>
      <w:r w:rsidR="004C4EAF" w:rsidRPr="00D31A19">
        <w:rPr>
          <w:rFonts w:ascii="ITC Avant Garde" w:hAnsi="ITC Avant Garde"/>
          <w:kern w:val="1"/>
          <w:lang w:val="es-ES" w:eastAsia="ar-SA"/>
        </w:rPr>
        <w:t xml:space="preserve"> los siguientes</w:t>
      </w:r>
      <w:r w:rsidR="005B176D" w:rsidRPr="00D31A19">
        <w:rPr>
          <w:rFonts w:ascii="ITC Avant Garde" w:hAnsi="ITC Avant Garde"/>
          <w:kern w:val="1"/>
          <w:lang w:val="es-ES" w:eastAsia="ar-SA"/>
        </w:rPr>
        <w:t>:</w:t>
      </w:r>
    </w:p>
    <w:tbl>
      <w:tblPr>
        <w:tblStyle w:val="Tablaconcuadrcula"/>
        <w:tblW w:w="0" w:type="auto"/>
        <w:jc w:val="center"/>
        <w:tblLook w:val="04A0" w:firstRow="1" w:lastRow="0" w:firstColumn="1" w:lastColumn="0" w:noHBand="0" w:noVBand="1"/>
        <w:tblCaption w:val="TABLA 2"/>
        <w:tblDescription w:val="Tabla de 2 por 8, del lado izquierdo aparecen las siglas de los servicios y de lado derecho el nombre completo a que hacen referencia las siglas."/>
      </w:tblPr>
      <w:tblGrid>
        <w:gridCol w:w="1152"/>
        <w:gridCol w:w="6669"/>
      </w:tblGrid>
      <w:tr w:rsidR="004C4EAF" w:rsidRPr="00D31A19" w14:paraId="7720DD3B" w14:textId="77777777" w:rsidTr="00F56FAC">
        <w:trPr>
          <w:trHeight w:val="303"/>
          <w:tblHeader/>
          <w:jc w:val="center"/>
        </w:trPr>
        <w:tc>
          <w:tcPr>
            <w:tcW w:w="1152" w:type="dxa"/>
          </w:tcPr>
          <w:p w14:paraId="46D34145" w14:textId="77777777" w:rsidR="004C4EAF" w:rsidRPr="00D31A19" w:rsidRDefault="004C4EAF" w:rsidP="00564981">
            <w:pPr>
              <w:autoSpaceDE w:val="0"/>
              <w:autoSpaceDN w:val="0"/>
              <w:adjustRightInd w:val="0"/>
              <w:spacing w:after="0"/>
              <w:jc w:val="both"/>
              <w:rPr>
                <w:rFonts w:ascii="ITC Avant Garde" w:eastAsia="Calibri" w:hAnsi="ITC Avant Garde" w:cs="Arial"/>
                <w:b/>
                <w:lang w:val="es-ES" w:eastAsia="es-ES"/>
              </w:rPr>
            </w:pPr>
            <w:r w:rsidRPr="00D31A19">
              <w:rPr>
                <w:rFonts w:ascii="ITC Avant Garde" w:eastAsia="Calibri" w:hAnsi="ITC Avant Garde" w:cs="Arial"/>
                <w:b/>
                <w:lang w:val="es-ES" w:eastAsia="es-ES"/>
              </w:rPr>
              <w:lastRenderedPageBreak/>
              <w:t>SRLT</w:t>
            </w:r>
          </w:p>
        </w:tc>
        <w:tc>
          <w:tcPr>
            <w:tcW w:w="6669" w:type="dxa"/>
          </w:tcPr>
          <w:p w14:paraId="317BD82C" w14:textId="77777777" w:rsidR="004C4EAF" w:rsidRPr="00D31A19" w:rsidRDefault="004C4EAF" w:rsidP="00564981">
            <w:pPr>
              <w:autoSpaceDE w:val="0"/>
              <w:autoSpaceDN w:val="0"/>
              <w:adjustRightInd w:val="0"/>
              <w:spacing w:after="0"/>
              <w:jc w:val="both"/>
              <w:rPr>
                <w:rFonts w:ascii="ITC Avant Garde" w:eastAsia="Calibri" w:hAnsi="ITC Avant Garde" w:cs="Arial"/>
                <w:lang w:val="es-ES" w:eastAsia="es-ES"/>
              </w:rPr>
            </w:pPr>
            <w:r w:rsidRPr="00D31A19">
              <w:rPr>
                <w:rFonts w:ascii="ITC Avant Garde" w:eastAsia="Calibri" w:hAnsi="ITC Avant Garde" w:cs="Arial"/>
                <w:lang w:val="es-ES" w:eastAsia="es-ES"/>
              </w:rPr>
              <w:t>Servicio de Reventa de Línea Telefónica</w:t>
            </w:r>
          </w:p>
        </w:tc>
      </w:tr>
      <w:tr w:rsidR="004C4EAF" w:rsidRPr="00D31A19" w14:paraId="5358C266" w14:textId="77777777" w:rsidTr="005A7726">
        <w:trPr>
          <w:trHeight w:val="303"/>
          <w:jc w:val="center"/>
        </w:trPr>
        <w:tc>
          <w:tcPr>
            <w:tcW w:w="1152" w:type="dxa"/>
          </w:tcPr>
          <w:p w14:paraId="42D42B0D" w14:textId="77777777" w:rsidR="004C4EAF" w:rsidRPr="00D31A19" w:rsidRDefault="004C4EAF" w:rsidP="00564981">
            <w:pPr>
              <w:autoSpaceDE w:val="0"/>
              <w:autoSpaceDN w:val="0"/>
              <w:adjustRightInd w:val="0"/>
              <w:spacing w:after="0"/>
              <w:jc w:val="both"/>
              <w:rPr>
                <w:rFonts w:ascii="ITC Avant Garde" w:eastAsia="Calibri" w:hAnsi="ITC Avant Garde" w:cs="Arial"/>
                <w:b/>
                <w:lang w:val="es-ES" w:eastAsia="es-ES"/>
              </w:rPr>
            </w:pPr>
            <w:r w:rsidRPr="00D31A19">
              <w:rPr>
                <w:rFonts w:ascii="ITC Avant Garde" w:eastAsia="Calibri" w:hAnsi="ITC Avant Garde" w:cs="Arial"/>
                <w:b/>
                <w:lang w:val="es-ES" w:eastAsia="es-ES"/>
              </w:rPr>
              <w:t>SRI</w:t>
            </w:r>
          </w:p>
        </w:tc>
        <w:tc>
          <w:tcPr>
            <w:tcW w:w="6669" w:type="dxa"/>
          </w:tcPr>
          <w:p w14:paraId="60846D0F" w14:textId="77777777" w:rsidR="004C4EAF" w:rsidRPr="00D31A19" w:rsidRDefault="004C4EAF" w:rsidP="00564981">
            <w:pPr>
              <w:autoSpaceDE w:val="0"/>
              <w:autoSpaceDN w:val="0"/>
              <w:adjustRightInd w:val="0"/>
              <w:spacing w:after="0"/>
              <w:jc w:val="both"/>
              <w:rPr>
                <w:rFonts w:ascii="ITC Avant Garde" w:eastAsia="Calibri" w:hAnsi="ITC Avant Garde" w:cs="Arial"/>
                <w:lang w:val="es-ES" w:eastAsia="es-ES"/>
              </w:rPr>
            </w:pPr>
            <w:r w:rsidRPr="00D31A19">
              <w:rPr>
                <w:rFonts w:ascii="ITC Avant Garde" w:eastAsia="Calibri" w:hAnsi="ITC Avant Garde" w:cs="Arial"/>
                <w:lang w:val="es-ES" w:eastAsia="es-ES"/>
              </w:rPr>
              <w:t>Servicio de Reventa de Internet</w:t>
            </w:r>
          </w:p>
        </w:tc>
      </w:tr>
      <w:tr w:rsidR="004C4EAF" w:rsidRPr="00D31A19" w14:paraId="7247E2A3" w14:textId="77777777" w:rsidTr="005A7726">
        <w:trPr>
          <w:trHeight w:val="326"/>
          <w:jc w:val="center"/>
        </w:trPr>
        <w:tc>
          <w:tcPr>
            <w:tcW w:w="1152" w:type="dxa"/>
          </w:tcPr>
          <w:p w14:paraId="0F2696C1" w14:textId="77777777" w:rsidR="004C4EAF" w:rsidRPr="00D31A19" w:rsidRDefault="004C4EAF" w:rsidP="00564981">
            <w:pPr>
              <w:autoSpaceDE w:val="0"/>
              <w:autoSpaceDN w:val="0"/>
              <w:adjustRightInd w:val="0"/>
              <w:spacing w:after="0"/>
              <w:jc w:val="both"/>
              <w:rPr>
                <w:rFonts w:ascii="ITC Avant Garde" w:eastAsia="Calibri" w:hAnsi="ITC Avant Garde" w:cs="Arial"/>
                <w:b/>
                <w:lang w:val="es-ES" w:eastAsia="es-ES"/>
              </w:rPr>
            </w:pPr>
            <w:r w:rsidRPr="00D31A19">
              <w:rPr>
                <w:rFonts w:ascii="ITC Avant Garde" w:eastAsia="Calibri" w:hAnsi="ITC Avant Garde" w:cs="Arial"/>
                <w:b/>
                <w:lang w:val="es-ES" w:eastAsia="es-ES"/>
              </w:rPr>
              <w:t>SRP</w:t>
            </w:r>
          </w:p>
        </w:tc>
        <w:tc>
          <w:tcPr>
            <w:tcW w:w="6669" w:type="dxa"/>
          </w:tcPr>
          <w:p w14:paraId="56721978" w14:textId="77777777" w:rsidR="004C4EAF" w:rsidRPr="00D31A19" w:rsidRDefault="004C4EAF" w:rsidP="00564981">
            <w:pPr>
              <w:autoSpaceDE w:val="0"/>
              <w:autoSpaceDN w:val="0"/>
              <w:adjustRightInd w:val="0"/>
              <w:spacing w:after="0"/>
              <w:jc w:val="both"/>
              <w:rPr>
                <w:rFonts w:ascii="ITC Avant Garde" w:eastAsia="Calibri" w:hAnsi="ITC Avant Garde" w:cs="Arial"/>
                <w:lang w:val="es-ES" w:eastAsia="es-ES"/>
              </w:rPr>
            </w:pPr>
            <w:r w:rsidRPr="00D31A19">
              <w:rPr>
                <w:rFonts w:ascii="ITC Avant Garde" w:eastAsia="Calibri" w:hAnsi="ITC Avant Garde" w:cs="Arial"/>
                <w:lang w:val="es-ES" w:eastAsia="es-ES"/>
              </w:rPr>
              <w:t>Servicio de Reventa de Paquetes</w:t>
            </w:r>
          </w:p>
        </w:tc>
      </w:tr>
      <w:tr w:rsidR="004C4EAF" w:rsidRPr="00D31A19" w14:paraId="573DB26C" w14:textId="77777777" w:rsidTr="00F809AD">
        <w:trPr>
          <w:trHeight w:val="320"/>
          <w:jc w:val="center"/>
        </w:trPr>
        <w:tc>
          <w:tcPr>
            <w:tcW w:w="1152" w:type="dxa"/>
          </w:tcPr>
          <w:p w14:paraId="4ACE8372" w14:textId="77777777" w:rsidR="004C4EAF" w:rsidRPr="00D31A19" w:rsidRDefault="004C4EAF" w:rsidP="00564981">
            <w:pPr>
              <w:autoSpaceDE w:val="0"/>
              <w:autoSpaceDN w:val="0"/>
              <w:adjustRightInd w:val="0"/>
              <w:spacing w:after="0"/>
              <w:jc w:val="both"/>
              <w:rPr>
                <w:rFonts w:ascii="ITC Avant Garde" w:eastAsia="Calibri" w:hAnsi="ITC Avant Garde" w:cs="Arial"/>
                <w:b/>
                <w:lang w:val="es-ES" w:eastAsia="es-ES"/>
              </w:rPr>
            </w:pPr>
            <w:r w:rsidRPr="00D31A19">
              <w:rPr>
                <w:rFonts w:ascii="ITC Avant Garde" w:eastAsia="Calibri" w:hAnsi="ITC Avant Garde" w:cs="Arial"/>
                <w:b/>
                <w:lang w:val="es-ES" w:eastAsia="es-ES"/>
              </w:rPr>
              <w:t>SAIB</w:t>
            </w:r>
          </w:p>
        </w:tc>
        <w:tc>
          <w:tcPr>
            <w:tcW w:w="6669" w:type="dxa"/>
          </w:tcPr>
          <w:p w14:paraId="6F958C8B" w14:textId="77777777" w:rsidR="004C4EAF" w:rsidRPr="00D31A19" w:rsidRDefault="004C4EAF" w:rsidP="00564981">
            <w:pPr>
              <w:autoSpaceDE w:val="0"/>
              <w:autoSpaceDN w:val="0"/>
              <w:adjustRightInd w:val="0"/>
              <w:spacing w:after="0"/>
              <w:jc w:val="both"/>
              <w:rPr>
                <w:rFonts w:ascii="ITC Avant Garde" w:eastAsia="Calibri" w:hAnsi="ITC Avant Garde" w:cs="Arial"/>
                <w:lang w:val="es-ES" w:eastAsia="es-ES"/>
              </w:rPr>
            </w:pPr>
            <w:r w:rsidRPr="00D31A19">
              <w:rPr>
                <w:rFonts w:ascii="ITC Avant Garde" w:eastAsia="Calibri" w:hAnsi="ITC Avant Garde" w:cs="Arial"/>
                <w:lang w:val="es-ES" w:eastAsia="es-ES"/>
              </w:rPr>
              <w:t>Servicio de Acceso Indirecto al Bucle</w:t>
            </w:r>
          </w:p>
        </w:tc>
      </w:tr>
      <w:tr w:rsidR="004C4EAF" w:rsidRPr="00D31A19" w14:paraId="6C5E8FB0" w14:textId="77777777" w:rsidTr="005A7726">
        <w:trPr>
          <w:trHeight w:val="314"/>
          <w:jc w:val="center"/>
        </w:trPr>
        <w:tc>
          <w:tcPr>
            <w:tcW w:w="1152" w:type="dxa"/>
          </w:tcPr>
          <w:p w14:paraId="74F2B1DF" w14:textId="77777777" w:rsidR="004C4EAF" w:rsidRPr="00D31A19" w:rsidRDefault="004C4EAF" w:rsidP="00564981">
            <w:pPr>
              <w:autoSpaceDE w:val="0"/>
              <w:autoSpaceDN w:val="0"/>
              <w:adjustRightInd w:val="0"/>
              <w:spacing w:after="0"/>
              <w:jc w:val="both"/>
              <w:rPr>
                <w:rFonts w:ascii="ITC Avant Garde" w:eastAsia="Calibri" w:hAnsi="ITC Avant Garde" w:cs="Arial"/>
                <w:b/>
                <w:lang w:val="es-ES" w:eastAsia="es-ES"/>
              </w:rPr>
            </w:pPr>
            <w:r w:rsidRPr="00D31A19">
              <w:rPr>
                <w:rFonts w:ascii="ITC Avant Garde" w:eastAsia="Calibri" w:hAnsi="ITC Avant Garde" w:cs="Arial"/>
                <w:b/>
                <w:lang w:val="es-ES" w:eastAsia="es-ES"/>
              </w:rPr>
              <w:t>SDTBL</w:t>
            </w:r>
          </w:p>
        </w:tc>
        <w:tc>
          <w:tcPr>
            <w:tcW w:w="6669" w:type="dxa"/>
          </w:tcPr>
          <w:p w14:paraId="1D9EB3A5" w14:textId="77777777" w:rsidR="004C4EAF" w:rsidRPr="00D31A19" w:rsidRDefault="004C4EAF" w:rsidP="00564981">
            <w:pPr>
              <w:autoSpaceDE w:val="0"/>
              <w:autoSpaceDN w:val="0"/>
              <w:adjustRightInd w:val="0"/>
              <w:spacing w:after="0"/>
              <w:jc w:val="both"/>
              <w:rPr>
                <w:rFonts w:ascii="ITC Avant Garde" w:eastAsia="Calibri" w:hAnsi="ITC Avant Garde" w:cs="Arial"/>
                <w:lang w:val="es-ES" w:eastAsia="es-ES"/>
              </w:rPr>
            </w:pPr>
            <w:r w:rsidRPr="00D31A19">
              <w:rPr>
                <w:rFonts w:ascii="ITC Avant Garde" w:eastAsia="Calibri" w:hAnsi="ITC Avant Garde" w:cs="Arial"/>
                <w:lang w:val="es-ES" w:eastAsia="es-ES"/>
              </w:rPr>
              <w:t>Servicio de Desagregación Total del Bucle Local</w:t>
            </w:r>
          </w:p>
        </w:tc>
      </w:tr>
      <w:tr w:rsidR="004C4EAF" w:rsidRPr="00D31A19" w14:paraId="67B1E33D" w14:textId="77777777" w:rsidTr="005A7726">
        <w:trPr>
          <w:trHeight w:val="314"/>
          <w:jc w:val="center"/>
        </w:trPr>
        <w:tc>
          <w:tcPr>
            <w:tcW w:w="1152" w:type="dxa"/>
          </w:tcPr>
          <w:p w14:paraId="02BB4F79" w14:textId="77777777" w:rsidR="004C4EAF" w:rsidRPr="00D31A19" w:rsidRDefault="004C4EAF" w:rsidP="00564981">
            <w:pPr>
              <w:autoSpaceDE w:val="0"/>
              <w:autoSpaceDN w:val="0"/>
              <w:adjustRightInd w:val="0"/>
              <w:spacing w:after="0"/>
              <w:jc w:val="both"/>
              <w:rPr>
                <w:rFonts w:ascii="ITC Avant Garde" w:eastAsia="Calibri" w:hAnsi="ITC Avant Garde" w:cs="Arial"/>
                <w:b/>
                <w:lang w:val="es-ES" w:eastAsia="es-ES"/>
              </w:rPr>
            </w:pPr>
            <w:r w:rsidRPr="00D31A19">
              <w:rPr>
                <w:rFonts w:ascii="ITC Avant Garde" w:eastAsia="Calibri" w:hAnsi="ITC Avant Garde" w:cs="Arial"/>
                <w:b/>
                <w:lang w:val="es-ES" w:eastAsia="es-ES"/>
              </w:rPr>
              <w:t>SDCBL</w:t>
            </w:r>
          </w:p>
        </w:tc>
        <w:tc>
          <w:tcPr>
            <w:tcW w:w="6669" w:type="dxa"/>
          </w:tcPr>
          <w:p w14:paraId="66E4843C" w14:textId="77777777" w:rsidR="004C4EAF" w:rsidRPr="00D31A19" w:rsidRDefault="004C4EAF" w:rsidP="00564981">
            <w:pPr>
              <w:autoSpaceDE w:val="0"/>
              <w:autoSpaceDN w:val="0"/>
              <w:adjustRightInd w:val="0"/>
              <w:spacing w:after="0"/>
              <w:jc w:val="both"/>
              <w:rPr>
                <w:rFonts w:ascii="ITC Avant Garde" w:eastAsia="Calibri" w:hAnsi="ITC Avant Garde" w:cs="Arial"/>
                <w:lang w:val="es-ES" w:eastAsia="es-ES"/>
              </w:rPr>
            </w:pPr>
            <w:r w:rsidRPr="00D31A19">
              <w:rPr>
                <w:rFonts w:ascii="ITC Avant Garde" w:eastAsia="Calibri" w:hAnsi="ITC Avant Garde" w:cs="Arial"/>
                <w:lang w:val="es-ES" w:eastAsia="es-ES"/>
              </w:rPr>
              <w:t>Servicio de Desagregación Compartida del Bucle Local</w:t>
            </w:r>
          </w:p>
        </w:tc>
      </w:tr>
      <w:tr w:rsidR="004C4EAF" w:rsidRPr="00D31A19" w14:paraId="0C6E3A18" w14:textId="77777777" w:rsidTr="005A7726">
        <w:trPr>
          <w:trHeight w:val="326"/>
          <w:jc w:val="center"/>
        </w:trPr>
        <w:tc>
          <w:tcPr>
            <w:tcW w:w="1152" w:type="dxa"/>
          </w:tcPr>
          <w:p w14:paraId="2E678C27" w14:textId="77777777" w:rsidR="004C4EAF" w:rsidRPr="00D31A19" w:rsidRDefault="004C4EAF" w:rsidP="00564981">
            <w:pPr>
              <w:autoSpaceDE w:val="0"/>
              <w:autoSpaceDN w:val="0"/>
              <w:adjustRightInd w:val="0"/>
              <w:spacing w:after="0"/>
              <w:jc w:val="both"/>
              <w:rPr>
                <w:rFonts w:ascii="ITC Avant Garde" w:eastAsia="Calibri" w:hAnsi="ITC Avant Garde" w:cs="Arial"/>
                <w:b/>
                <w:lang w:val="es-ES" w:eastAsia="es-ES"/>
              </w:rPr>
            </w:pPr>
            <w:r w:rsidRPr="00D31A19">
              <w:rPr>
                <w:rFonts w:ascii="ITC Avant Garde" w:eastAsia="Calibri" w:hAnsi="ITC Avant Garde" w:cs="Arial"/>
                <w:b/>
                <w:lang w:val="es-ES" w:eastAsia="es-ES"/>
              </w:rPr>
              <w:t xml:space="preserve">SDTSBL </w:t>
            </w:r>
          </w:p>
        </w:tc>
        <w:tc>
          <w:tcPr>
            <w:tcW w:w="6669" w:type="dxa"/>
          </w:tcPr>
          <w:p w14:paraId="55788AB6" w14:textId="77777777" w:rsidR="004C4EAF" w:rsidRPr="00D31A19" w:rsidRDefault="004C4EAF" w:rsidP="00564981">
            <w:pPr>
              <w:autoSpaceDE w:val="0"/>
              <w:autoSpaceDN w:val="0"/>
              <w:adjustRightInd w:val="0"/>
              <w:spacing w:after="0"/>
              <w:jc w:val="both"/>
              <w:rPr>
                <w:rFonts w:ascii="ITC Avant Garde" w:eastAsia="Calibri" w:hAnsi="ITC Avant Garde" w:cs="Arial"/>
                <w:lang w:val="es-ES" w:eastAsia="es-ES"/>
              </w:rPr>
            </w:pPr>
            <w:r w:rsidRPr="00D31A19">
              <w:rPr>
                <w:rFonts w:ascii="ITC Avant Garde" w:eastAsia="Calibri" w:hAnsi="ITC Avant Garde" w:cs="Arial"/>
                <w:lang w:val="es-ES" w:eastAsia="es-ES"/>
              </w:rPr>
              <w:t>Servicio de Desagregación Total del Sub-Bucle Local</w:t>
            </w:r>
          </w:p>
        </w:tc>
      </w:tr>
      <w:tr w:rsidR="004C4EAF" w:rsidRPr="00D31A19" w14:paraId="367E0819" w14:textId="77777777" w:rsidTr="005A7726">
        <w:trPr>
          <w:trHeight w:val="303"/>
          <w:jc w:val="center"/>
        </w:trPr>
        <w:tc>
          <w:tcPr>
            <w:tcW w:w="1152" w:type="dxa"/>
          </w:tcPr>
          <w:p w14:paraId="7BB75340" w14:textId="77777777" w:rsidR="004C4EAF" w:rsidRPr="00D31A19" w:rsidRDefault="004C4EAF" w:rsidP="00564981">
            <w:pPr>
              <w:autoSpaceDE w:val="0"/>
              <w:autoSpaceDN w:val="0"/>
              <w:adjustRightInd w:val="0"/>
              <w:spacing w:after="0"/>
              <w:jc w:val="both"/>
              <w:rPr>
                <w:rFonts w:ascii="ITC Avant Garde" w:hAnsi="ITC Avant Garde"/>
                <w:b/>
                <w:lang w:val="es-ES"/>
              </w:rPr>
            </w:pPr>
            <w:r w:rsidRPr="00D31A19">
              <w:rPr>
                <w:rFonts w:ascii="ITC Avant Garde" w:eastAsia="Calibri" w:hAnsi="ITC Avant Garde" w:cs="Arial"/>
                <w:b/>
                <w:lang w:val="es-ES" w:eastAsia="es-ES"/>
              </w:rPr>
              <w:t>SDCSBL</w:t>
            </w:r>
          </w:p>
        </w:tc>
        <w:tc>
          <w:tcPr>
            <w:tcW w:w="6669" w:type="dxa"/>
          </w:tcPr>
          <w:p w14:paraId="4301C8B8" w14:textId="77777777" w:rsidR="005A7726" w:rsidRPr="00D31A19" w:rsidRDefault="004C4EAF" w:rsidP="00564981">
            <w:pPr>
              <w:autoSpaceDE w:val="0"/>
              <w:autoSpaceDN w:val="0"/>
              <w:adjustRightInd w:val="0"/>
              <w:spacing w:after="0"/>
              <w:jc w:val="both"/>
              <w:rPr>
                <w:rFonts w:ascii="ITC Avant Garde" w:eastAsia="Calibri" w:hAnsi="ITC Avant Garde" w:cs="Arial"/>
                <w:lang w:val="es-ES" w:eastAsia="es-ES"/>
              </w:rPr>
            </w:pPr>
            <w:r w:rsidRPr="00D31A19">
              <w:rPr>
                <w:rFonts w:ascii="ITC Avant Garde" w:eastAsia="Calibri" w:hAnsi="ITC Avant Garde" w:cs="Arial"/>
                <w:lang w:val="es-ES" w:eastAsia="es-ES"/>
              </w:rPr>
              <w:t>Servicio de Desagregación Compartida del Sub-bucle Local</w:t>
            </w:r>
          </w:p>
        </w:tc>
      </w:tr>
    </w:tbl>
    <w:p w14:paraId="1735CD42" w14:textId="77777777" w:rsidR="00564981" w:rsidRDefault="00D7426D" w:rsidP="00564981">
      <w:pPr>
        <w:shd w:val="clear" w:color="auto" w:fill="FFFFFF"/>
        <w:spacing w:before="240" w:after="240"/>
        <w:ind w:left="993"/>
        <w:jc w:val="both"/>
        <w:rPr>
          <w:rFonts w:ascii="ITC Avant Garde" w:hAnsi="ITC Avant Garde"/>
          <w:sz w:val="18"/>
          <w:szCs w:val="18"/>
          <w:lang w:val="es-ES"/>
        </w:rPr>
      </w:pPr>
      <w:r w:rsidRPr="00D31A19">
        <w:rPr>
          <w:rFonts w:ascii="ITC Avant Garde" w:hAnsi="ITC Avant Garde"/>
          <w:sz w:val="18"/>
          <w:szCs w:val="18"/>
          <w:lang w:val="es-ES"/>
        </w:rPr>
        <w:t>(Acrónimos utilizados en la OREDA 2017 Telmex-</w:t>
      </w:r>
      <w:proofErr w:type="spellStart"/>
      <w:r w:rsidRPr="00D31A19">
        <w:rPr>
          <w:rFonts w:ascii="ITC Avant Garde" w:hAnsi="ITC Avant Garde"/>
          <w:sz w:val="18"/>
          <w:szCs w:val="18"/>
          <w:lang w:val="es-ES"/>
        </w:rPr>
        <w:t>Telnor</w:t>
      </w:r>
      <w:proofErr w:type="spellEnd"/>
      <w:r w:rsidRPr="00D31A19">
        <w:rPr>
          <w:rFonts w:ascii="ITC Avant Garde" w:hAnsi="ITC Avant Garde"/>
          <w:sz w:val="18"/>
          <w:szCs w:val="18"/>
          <w:lang w:val="es-ES"/>
        </w:rPr>
        <w:t>)</w:t>
      </w:r>
      <w:r w:rsidRPr="00D31A19">
        <w:rPr>
          <w:rStyle w:val="Refdenotaalpie"/>
          <w:rFonts w:ascii="ITC Avant Garde" w:hAnsi="ITC Avant Garde"/>
          <w:lang w:val="es-ES"/>
        </w:rPr>
        <w:footnoteReference w:id="11"/>
      </w:r>
    </w:p>
    <w:p w14:paraId="34172400" w14:textId="77777777" w:rsidR="00564981" w:rsidRDefault="00D04916" w:rsidP="00564981">
      <w:pPr>
        <w:autoSpaceDE w:val="0"/>
        <w:autoSpaceDN w:val="0"/>
        <w:adjustRightInd w:val="0"/>
        <w:spacing w:before="240" w:after="240"/>
        <w:jc w:val="both"/>
        <w:rPr>
          <w:rFonts w:ascii="ITC Avant Garde" w:hAnsi="ITC Avant Garde"/>
          <w:lang w:val="es-ES"/>
        </w:rPr>
      </w:pPr>
      <w:r w:rsidRPr="00D31A19">
        <w:rPr>
          <w:rFonts w:ascii="ITC Avant Garde" w:hAnsi="ITC Avant Garde"/>
          <w:lang w:val="es-ES"/>
        </w:rPr>
        <w:t>Como parte</w:t>
      </w:r>
      <w:r w:rsidR="007D2D1D" w:rsidRPr="00D31A19">
        <w:rPr>
          <w:rFonts w:ascii="ITC Avant Garde" w:hAnsi="ITC Avant Garde"/>
          <w:lang w:val="es-ES"/>
        </w:rPr>
        <w:t xml:space="preserve"> </w:t>
      </w:r>
      <w:r w:rsidRPr="00D31A19">
        <w:rPr>
          <w:rFonts w:ascii="ITC Avant Garde" w:hAnsi="ITC Avant Garde"/>
          <w:lang w:val="es-ES"/>
        </w:rPr>
        <w:t>de la prestación</w:t>
      </w:r>
      <w:r w:rsidR="007D2D1D" w:rsidRPr="00D31A19">
        <w:rPr>
          <w:rFonts w:ascii="ITC Avant Garde" w:hAnsi="ITC Avant Garde"/>
          <w:lang w:val="es-ES"/>
        </w:rPr>
        <w:t xml:space="preserve"> de servicios de desagregación, </w:t>
      </w:r>
      <w:r w:rsidRPr="00D31A19">
        <w:rPr>
          <w:rFonts w:ascii="ITC Avant Garde" w:hAnsi="ITC Avant Garde"/>
          <w:lang w:val="es-ES"/>
        </w:rPr>
        <w:t xml:space="preserve">se </w:t>
      </w:r>
      <w:r w:rsidR="00D93DCD" w:rsidRPr="00D31A19">
        <w:rPr>
          <w:rFonts w:ascii="ITC Avant Garde" w:hAnsi="ITC Avant Garde"/>
          <w:lang w:val="es-ES"/>
        </w:rPr>
        <w:t>estableci</w:t>
      </w:r>
      <w:r w:rsidR="00026286" w:rsidRPr="00D31A19">
        <w:rPr>
          <w:rFonts w:ascii="ITC Avant Garde" w:hAnsi="ITC Avant Garde"/>
          <w:lang w:val="es-ES"/>
        </w:rPr>
        <w:t>ó</w:t>
      </w:r>
      <w:r w:rsidR="00D93DCD" w:rsidRPr="00D31A19">
        <w:rPr>
          <w:rFonts w:ascii="ITC Avant Garde" w:hAnsi="ITC Avant Garde"/>
          <w:lang w:val="es-ES"/>
        </w:rPr>
        <w:t xml:space="preserve"> la especificación del AEP </w:t>
      </w:r>
      <w:r w:rsidR="00344054" w:rsidRPr="00D31A19">
        <w:rPr>
          <w:rFonts w:ascii="ITC Avant Garde" w:hAnsi="ITC Avant Garde"/>
          <w:lang w:val="es-ES"/>
        </w:rPr>
        <w:t>de</w:t>
      </w:r>
      <w:r w:rsidR="00D93DCD" w:rsidRPr="00D31A19">
        <w:rPr>
          <w:rFonts w:ascii="ITC Avant Garde" w:hAnsi="ITC Avant Garde"/>
          <w:lang w:val="es-ES"/>
        </w:rPr>
        <w:t xml:space="preserve"> asignar</w:t>
      </w:r>
      <w:r w:rsidR="002902F7" w:rsidRPr="00D31A19">
        <w:rPr>
          <w:rFonts w:ascii="ITC Avant Garde" w:hAnsi="ITC Avant Garde"/>
          <w:lang w:val="es-ES"/>
        </w:rPr>
        <w:t xml:space="preserve"> a los</w:t>
      </w:r>
      <w:r w:rsidR="000C7857" w:rsidRPr="00D31A19">
        <w:rPr>
          <w:rFonts w:ascii="ITC Avant Garde" w:hAnsi="ITC Avant Garde"/>
          <w:lang w:val="es-ES"/>
        </w:rPr>
        <w:t xml:space="preserve"> </w:t>
      </w:r>
      <w:r w:rsidR="00344054" w:rsidRPr="00D31A19">
        <w:rPr>
          <w:rFonts w:ascii="ITC Avant Garde" w:hAnsi="ITC Avant Garde"/>
          <w:lang w:val="es-ES"/>
        </w:rPr>
        <w:t>CS</w:t>
      </w:r>
      <w:r w:rsidR="00D93DCD" w:rsidRPr="00D31A19">
        <w:rPr>
          <w:rFonts w:ascii="ITC Avant Garde" w:hAnsi="ITC Avant Garde"/>
          <w:lang w:val="es-ES"/>
        </w:rPr>
        <w:t xml:space="preserve"> un </w:t>
      </w:r>
      <w:r w:rsidR="00D93DCD" w:rsidRPr="00D31A19">
        <w:rPr>
          <w:rFonts w:ascii="ITC Avant Garde" w:hAnsi="ITC Avant Garde"/>
          <w:b/>
          <w:lang w:val="es-ES"/>
        </w:rPr>
        <w:t>Número</w:t>
      </w:r>
      <w:r w:rsidR="003F2E46" w:rsidRPr="00D31A19">
        <w:rPr>
          <w:rFonts w:ascii="ITC Avant Garde" w:hAnsi="ITC Avant Garde"/>
          <w:b/>
          <w:lang w:val="es-ES"/>
        </w:rPr>
        <w:t xml:space="preserve"> de Identificación </w:t>
      </w:r>
      <w:r w:rsidR="00D93DCD" w:rsidRPr="00D31A19">
        <w:rPr>
          <w:rFonts w:ascii="ITC Avant Garde" w:hAnsi="ITC Avant Garde"/>
          <w:b/>
          <w:lang w:val="es-ES"/>
        </w:rPr>
        <w:t>de S</w:t>
      </w:r>
      <w:r w:rsidR="003F2E46" w:rsidRPr="00D31A19">
        <w:rPr>
          <w:rFonts w:ascii="ITC Avant Garde" w:hAnsi="ITC Avant Garde"/>
          <w:b/>
          <w:lang w:val="es-ES"/>
        </w:rPr>
        <w:t>olicitud</w:t>
      </w:r>
      <w:r w:rsidR="000C7857" w:rsidRPr="00D31A19">
        <w:rPr>
          <w:rFonts w:ascii="ITC Avant Garde" w:hAnsi="ITC Avant Garde"/>
          <w:b/>
          <w:lang w:val="es-ES"/>
        </w:rPr>
        <w:t xml:space="preserve"> (“NIS”)</w:t>
      </w:r>
      <w:r w:rsidR="00D56EAC" w:rsidRPr="00D31A19">
        <w:rPr>
          <w:rFonts w:ascii="ITC Avant Garde" w:hAnsi="ITC Avant Garde"/>
          <w:lang w:val="es-ES"/>
        </w:rPr>
        <w:t xml:space="preserve"> </w:t>
      </w:r>
      <w:r w:rsidR="0026476D" w:rsidRPr="00D31A19">
        <w:rPr>
          <w:rFonts w:ascii="ITC Avant Garde" w:hAnsi="ITC Avant Garde"/>
          <w:lang w:val="es-ES"/>
        </w:rPr>
        <w:t>como</w:t>
      </w:r>
      <w:r w:rsidR="00636926" w:rsidRPr="00D31A19">
        <w:rPr>
          <w:rFonts w:ascii="ITC Avant Garde" w:hAnsi="ITC Avant Garde"/>
          <w:lang w:val="es-ES"/>
        </w:rPr>
        <w:t xml:space="preserve"> identificador asignado a cada solicitud de servicios</w:t>
      </w:r>
      <w:r w:rsidR="0026476D" w:rsidRPr="00D31A19">
        <w:rPr>
          <w:rFonts w:ascii="ITC Avant Garde" w:hAnsi="ITC Avant Garde"/>
          <w:lang w:val="es-ES"/>
        </w:rPr>
        <w:t>.</w:t>
      </w:r>
      <w:r w:rsidR="00636926" w:rsidRPr="00D31A19">
        <w:rPr>
          <w:rFonts w:ascii="ITC Avant Garde" w:hAnsi="ITC Avant Garde"/>
          <w:vertAlign w:val="superscript"/>
          <w:lang w:val="es-ES"/>
        </w:rPr>
        <w:footnoteReference w:id="12"/>
      </w:r>
      <w:r w:rsidR="00D56EAC" w:rsidRPr="00D31A19">
        <w:rPr>
          <w:rFonts w:ascii="ITC Avant Garde" w:hAnsi="ITC Avant Garde"/>
          <w:lang w:val="es-ES"/>
        </w:rPr>
        <w:t xml:space="preserve"> En</w:t>
      </w:r>
      <w:r w:rsidR="0026476D" w:rsidRPr="00D31A19">
        <w:rPr>
          <w:rFonts w:ascii="ITC Avant Garde" w:hAnsi="ITC Avant Garde"/>
          <w:lang w:val="es-ES"/>
        </w:rPr>
        <w:t xml:space="preserve"> la OREDA 2015 Telmex-</w:t>
      </w:r>
      <w:proofErr w:type="spellStart"/>
      <w:r w:rsidR="0026476D" w:rsidRPr="00D31A19">
        <w:rPr>
          <w:rFonts w:ascii="ITC Avant Garde" w:hAnsi="ITC Avant Garde"/>
          <w:lang w:val="es-ES"/>
        </w:rPr>
        <w:t>Telnor</w:t>
      </w:r>
      <w:proofErr w:type="spellEnd"/>
      <w:r w:rsidR="00740672" w:rsidRPr="00D31A19">
        <w:rPr>
          <w:rFonts w:ascii="ITC Avant Garde" w:hAnsi="ITC Avant Garde"/>
          <w:lang w:val="es-ES"/>
        </w:rPr>
        <w:t>,</w:t>
      </w:r>
      <w:r w:rsidR="0026476D" w:rsidRPr="00D31A19">
        <w:rPr>
          <w:rFonts w:ascii="ITC Avant Garde" w:hAnsi="ITC Avant Garde"/>
          <w:vertAlign w:val="superscript"/>
          <w:lang w:val="es-ES"/>
        </w:rPr>
        <w:footnoteReference w:id="13"/>
      </w:r>
      <w:r w:rsidR="0026476D" w:rsidRPr="00D31A19">
        <w:rPr>
          <w:rFonts w:ascii="ITC Avant Garde" w:hAnsi="ITC Avant Garde"/>
          <w:lang w:val="es-ES"/>
        </w:rPr>
        <w:t xml:space="preserve"> </w:t>
      </w:r>
      <w:r w:rsidR="00D56EAC" w:rsidRPr="00D31A19">
        <w:rPr>
          <w:rFonts w:ascii="ITC Avant Garde" w:hAnsi="ITC Avant Garde"/>
          <w:lang w:val="es-ES"/>
        </w:rPr>
        <w:t xml:space="preserve">se señaló que asignar un NIS </w:t>
      </w:r>
      <w:r w:rsidR="00D93DCD" w:rsidRPr="00D31A19">
        <w:rPr>
          <w:rFonts w:ascii="ITC Avant Garde" w:hAnsi="ITC Avant Garde"/>
          <w:lang w:val="es-ES"/>
        </w:rPr>
        <w:t>en cada fase de los procesos</w:t>
      </w:r>
      <w:r w:rsidR="001F044A" w:rsidRPr="00D31A19">
        <w:rPr>
          <w:rFonts w:ascii="ITC Avant Garde" w:hAnsi="ITC Avant Garde"/>
          <w:lang w:val="es-ES"/>
        </w:rPr>
        <w:t xml:space="preserve"> de los servicios</w:t>
      </w:r>
      <w:r w:rsidR="00740672" w:rsidRPr="00D31A19">
        <w:rPr>
          <w:rFonts w:ascii="ITC Avant Garde" w:hAnsi="ITC Avant Garde"/>
          <w:lang w:val="es-ES"/>
        </w:rPr>
        <w:t xml:space="preserve"> de desagregación</w:t>
      </w:r>
      <w:r w:rsidR="001F044A" w:rsidRPr="00D31A19">
        <w:rPr>
          <w:rFonts w:ascii="ITC Avant Garde" w:hAnsi="ITC Avant Garde"/>
          <w:lang w:val="es-ES"/>
        </w:rPr>
        <w:t xml:space="preserve"> </w:t>
      </w:r>
      <w:r w:rsidR="00344054" w:rsidRPr="00D31A19">
        <w:rPr>
          <w:rFonts w:ascii="ITC Avant Garde" w:hAnsi="ITC Avant Garde"/>
          <w:lang w:val="es-ES"/>
        </w:rPr>
        <w:t>permitir</w:t>
      </w:r>
      <w:r w:rsidR="00A93E14" w:rsidRPr="00D31A19">
        <w:rPr>
          <w:rFonts w:ascii="ITC Avant Garde" w:hAnsi="ITC Avant Garde"/>
          <w:lang w:val="es-ES"/>
        </w:rPr>
        <w:t>á</w:t>
      </w:r>
      <w:r w:rsidR="00344054" w:rsidRPr="00D31A19">
        <w:rPr>
          <w:rFonts w:ascii="ITC Avant Garde" w:hAnsi="ITC Avant Garde"/>
          <w:lang w:val="es-ES"/>
        </w:rPr>
        <w:t xml:space="preserve"> que resulte más sencillo a</w:t>
      </w:r>
      <w:r w:rsidR="00D93DCD" w:rsidRPr="00D31A19">
        <w:rPr>
          <w:rFonts w:ascii="ITC Avant Garde" w:hAnsi="ITC Avant Garde"/>
          <w:lang w:val="es-ES"/>
        </w:rPr>
        <w:t>l CS segui</w:t>
      </w:r>
      <w:r w:rsidR="00610AC9" w:rsidRPr="00D31A19">
        <w:rPr>
          <w:rFonts w:ascii="ITC Avant Garde" w:hAnsi="ITC Avant Garde"/>
          <w:lang w:val="es-ES"/>
        </w:rPr>
        <w:t>r cada paso de</w:t>
      </w:r>
      <w:r w:rsidR="00740672" w:rsidRPr="00D31A19">
        <w:rPr>
          <w:rFonts w:ascii="ITC Avant Garde" w:hAnsi="ITC Avant Garde"/>
          <w:lang w:val="es-ES"/>
        </w:rPr>
        <w:t xml:space="preserve"> </w:t>
      </w:r>
      <w:r w:rsidR="00610AC9" w:rsidRPr="00D31A19">
        <w:rPr>
          <w:rFonts w:ascii="ITC Avant Garde" w:hAnsi="ITC Avant Garde"/>
          <w:lang w:val="es-ES"/>
        </w:rPr>
        <w:t>l</w:t>
      </w:r>
      <w:r w:rsidR="00740672" w:rsidRPr="00D31A19">
        <w:rPr>
          <w:rFonts w:ascii="ITC Avant Garde" w:hAnsi="ITC Avant Garde"/>
          <w:lang w:val="es-ES"/>
        </w:rPr>
        <w:t>os</w:t>
      </w:r>
      <w:r w:rsidR="00610AC9" w:rsidRPr="00D31A19">
        <w:rPr>
          <w:rFonts w:ascii="ITC Avant Garde" w:hAnsi="ITC Avant Garde"/>
          <w:lang w:val="es-ES"/>
        </w:rPr>
        <w:t xml:space="preserve"> procedimiento</w:t>
      </w:r>
      <w:r w:rsidR="00740672" w:rsidRPr="00D31A19">
        <w:rPr>
          <w:rFonts w:ascii="ITC Avant Garde" w:hAnsi="ITC Avant Garde"/>
          <w:lang w:val="es-ES"/>
        </w:rPr>
        <w:t>s</w:t>
      </w:r>
      <w:r w:rsidR="00610AC9" w:rsidRPr="00D31A19">
        <w:rPr>
          <w:rFonts w:ascii="ITC Avant Garde" w:hAnsi="ITC Avant Garde"/>
          <w:lang w:val="es-ES"/>
        </w:rPr>
        <w:t xml:space="preserve"> y</w:t>
      </w:r>
      <w:r w:rsidR="00740672" w:rsidRPr="00D31A19">
        <w:rPr>
          <w:rFonts w:ascii="ITC Avant Garde" w:hAnsi="ITC Avant Garde"/>
          <w:lang w:val="es-ES"/>
        </w:rPr>
        <w:t xml:space="preserve"> </w:t>
      </w:r>
      <w:r w:rsidR="00D93DCD" w:rsidRPr="00D31A19">
        <w:rPr>
          <w:rFonts w:ascii="ITC Avant Garde" w:hAnsi="ITC Avant Garde"/>
          <w:lang w:val="es-ES"/>
        </w:rPr>
        <w:t xml:space="preserve">evaluar el cumplimiento de plazos </w:t>
      </w:r>
      <w:r w:rsidR="00610AC9" w:rsidRPr="00D31A19">
        <w:rPr>
          <w:rFonts w:ascii="ITC Avant Garde" w:hAnsi="ITC Avant Garde"/>
          <w:lang w:val="es-ES"/>
        </w:rPr>
        <w:t xml:space="preserve">correspondientes. Para mayor referencia </w:t>
      </w:r>
      <w:r w:rsidR="00740672" w:rsidRPr="00D31A19">
        <w:rPr>
          <w:rFonts w:ascii="ITC Avant Garde" w:hAnsi="ITC Avant Garde"/>
          <w:lang w:val="es-ES"/>
        </w:rPr>
        <w:t xml:space="preserve">se </w:t>
      </w:r>
      <w:r w:rsidR="00610AC9" w:rsidRPr="00D31A19">
        <w:rPr>
          <w:rFonts w:ascii="ITC Avant Garde" w:hAnsi="ITC Avant Garde"/>
          <w:lang w:val="es-ES"/>
        </w:rPr>
        <w:t>cita a continuación:</w:t>
      </w:r>
    </w:p>
    <w:p w14:paraId="456FD645" w14:textId="061022E3" w:rsidR="00564981" w:rsidRDefault="00BB2D7C" w:rsidP="00564981">
      <w:pPr>
        <w:pStyle w:val="CitaIFT"/>
        <w:spacing w:before="240" w:after="240"/>
        <w:rPr>
          <w:rFonts w:eastAsia="Calibri"/>
          <w:b/>
          <w:lang w:val="es-ES"/>
        </w:rPr>
      </w:pPr>
      <w:r w:rsidRPr="00D31A19">
        <w:rPr>
          <w:rFonts w:eastAsia="Calibri"/>
          <w:lang w:val="es-ES"/>
        </w:rPr>
        <w:t>“</w:t>
      </w:r>
      <w:r w:rsidRPr="00D31A19">
        <w:rPr>
          <w:rFonts w:eastAsia="Calibri"/>
          <w:b/>
          <w:lang w:val="es-ES"/>
        </w:rPr>
        <w:t>Análisis de la Oferta de Referencia Modificada</w:t>
      </w:r>
    </w:p>
    <w:p w14:paraId="2C493FBF" w14:textId="77777777" w:rsidR="00564981" w:rsidRDefault="00C122B0" w:rsidP="00564981">
      <w:pPr>
        <w:pStyle w:val="CitaIFT"/>
        <w:spacing w:before="240" w:after="240"/>
        <w:rPr>
          <w:rFonts w:eastAsia="Calibri"/>
          <w:b/>
          <w:lang w:val="es-ES"/>
        </w:rPr>
      </w:pPr>
      <w:r w:rsidRPr="00D31A19">
        <w:rPr>
          <w:rFonts w:eastAsia="Calibri"/>
          <w:lang w:val="es-ES"/>
        </w:rPr>
        <w:t xml:space="preserve">El Instituto considera que: 1) la redacción incluida por el AEP en su Propuesta Final de Oferta de Referencia satisface el requerimiento de detallar más la descripción de fases, así como mencionar su objetivo y alcance; 2) si bien el AEP especifica respecto a los análisis de factibilidad que en caso de ser negativos irán acompañados de una justificación, no aclara de manera específica que también las solicitudes rechazadas, así como la no realización de pruebas y habilitación de servicio deberán ir acompañadas de tales explicaciones y justificaciones; 3) la especificación del AEP respecto a que el CS contará con la posibilidad de solicitar ajustes o aclaraciones respecto al contenido de su factura permite la resolución de dudas o malentendidos de manera previa a cualquier cobro o inicio de no cumplimiento; </w:t>
      </w:r>
      <w:r w:rsidRPr="00D31A19">
        <w:rPr>
          <w:rFonts w:eastAsia="Calibri"/>
          <w:b/>
          <w:u w:val="single"/>
          <w:lang w:val="es-ES"/>
        </w:rPr>
        <w:t>4) la especificación del AEP respecto a que asignará al CS un NIS en cada fase de los procesos permitirá que resulte más sencillo a los CS seguir cada paso del procedimiento de los servicios solicitados y evaluar el cumplimiento de plazos en cada fase del proceso;</w:t>
      </w:r>
      <w:r w:rsidRPr="00D31A19">
        <w:rPr>
          <w:rFonts w:eastAsia="Calibri"/>
          <w:lang w:val="es-ES"/>
        </w:rPr>
        <w:t xml:space="preserve"> y 5) la eliminación del AEP de referencias a que algún incumplimiento conlleve el reinicio del procedimiento, resulta adecuado para dejar claro </w:t>
      </w:r>
      <w:r w:rsidRPr="00D31A19">
        <w:rPr>
          <w:rFonts w:eastAsia="Calibri"/>
          <w:lang w:val="es-ES"/>
        </w:rPr>
        <w:lastRenderedPageBreak/>
        <w:t>a los CS que en caso de cualquier incumplimiento podrán realizar los ajustes pertinentes y continuar desde el paso donde se había quedado la solicitud.”</w:t>
      </w:r>
      <w:r w:rsidRPr="00D31A19">
        <w:rPr>
          <w:rStyle w:val="Refdenotaalpie"/>
          <w:kern w:val="1"/>
          <w:lang w:val="es-ES" w:eastAsia="ar-SA"/>
        </w:rPr>
        <w:t xml:space="preserve"> </w:t>
      </w:r>
      <w:r w:rsidRPr="00D31A19">
        <w:rPr>
          <w:rStyle w:val="Refdenotaalpie"/>
          <w:kern w:val="1"/>
          <w:lang w:val="es-ES" w:eastAsia="ar-SA"/>
        </w:rPr>
        <w:footnoteReference w:id="14"/>
      </w:r>
    </w:p>
    <w:p w14:paraId="7B726B1E" w14:textId="77777777" w:rsidR="00564981" w:rsidRDefault="00FF4762" w:rsidP="00564981">
      <w:pPr>
        <w:autoSpaceDE w:val="0"/>
        <w:autoSpaceDN w:val="0"/>
        <w:adjustRightInd w:val="0"/>
        <w:spacing w:before="240" w:after="240"/>
        <w:jc w:val="both"/>
        <w:rPr>
          <w:rFonts w:ascii="ITC Avant Garde" w:hAnsi="ITC Avant Garde"/>
          <w:lang w:val="es-ES"/>
        </w:rPr>
      </w:pPr>
      <w:r w:rsidRPr="00D31A19">
        <w:rPr>
          <w:rFonts w:ascii="ITC Avant Garde" w:hAnsi="ITC Avant Garde"/>
          <w:lang w:val="es-ES"/>
        </w:rPr>
        <w:t xml:space="preserve">De lo anterior, se posible </w:t>
      </w:r>
      <w:r w:rsidR="0029517E" w:rsidRPr="00D31A19">
        <w:rPr>
          <w:rFonts w:ascii="ITC Avant Garde" w:hAnsi="ITC Avant Garde"/>
          <w:lang w:val="es-ES"/>
        </w:rPr>
        <w:t>observar</w:t>
      </w:r>
      <w:r w:rsidRPr="00D31A19">
        <w:rPr>
          <w:rFonts w:ascii="ITC Avant Garde" w:hAnsi="ITC Avant Garde"/>
          <w:lang w:val="es-ES"/>
        </w:rPr>
        <w:t xml:space="preserve"> que el </w:t>
      </w:r>
      <w:r w:rsidR="00636926" w:rsidRPr="00D31A19">
        <w:rPr>
          <w:rFonts w:ascii="ITC Avant Garde" w:hAnsi="ITC Avant Garde"/>
          <w:lang w:val="es-ES"/>
        </w:rPr>
        <w:t>NIS</w:t>
      </w:r>
      <w:r w:rsidR="007D0A8D" w:rsidRPr="00D31A19">
        <w:rPr>
          <w:rFonts w:ascii="ITC Avant Garde" w:hAnsi="ITC Avant Garde"/>
          <w:lang w:val="es-ES"/>
        </w:rPr>
        <w:t xml:space="preserve"> asignado a cada procedimiento, </w:t>
      </w:r>
      <w:r w:rsidR="0099560F" w:rsidRPr="00D31A19">
        <w:rPr>
          <w:rFonts w:ascii="ITC Avant Garde" w:hAnsi="ITC Avant Garde"/>
          <w:lang w:val="es-ES"/>
        </w:rPr>
        <w:t>es</w:t>
      </w:r>
      <w:r w:rsidR="00A93E14" w:rsidRPr="00D31A19">
        <w:rPr>
          <w:rFonts w:ascii="ITC Avant Garde" w:hAnsi="ITC Avant Garde"/>
          <w:lang w:val="es-ES"/>
        </w:rPr>
        <w:t xml:space="preserve"> utiliza</w:t>
      </w:r>
      <w:r w:rsidR="0099560F" w:rsidRPr="00D31A19">
        <w:rPr>
          <w:rFonts w:ascii="ITC Avant Garde" w:hAnsi="ITC Avant Garde"/>
          <w:lang w:val="es-ES"/>
        </w:rPr>
        <w:t>do</w:t>
      </w:r>
      <w:r w:rsidR="00A93E14" w:rsidRPr="00D31A19">
        <w:rPr>
          <w:rFonts w:ascii="ITC Avant Garde" w:hAnsi="ITC Avant Garde"/>
          <w:lang w:val="es-ES"/>
        </w:rPr>
        <w:t xml:space="preserve"> como </w:t>
      </w:r>
      <w:r w:rsidR="00A93E14" w:rsidRPr="00D31A19">
        <w:rPr>
          <w:rFonts w:ascii="ITC Avant Garde" w:hAnsi="ITC Avant Garde"/>
          <w:i/>
          <w:lang w:val="es-ES"/>
        </w:rPr>
        <w:t>llave</w:t>
      </w:r>
      <w:r w:rsidR="00610AC9" w:rsidRPr="00D31A19">
        <w:rPr>
          <w:rFonts w:ascii="ITC Avant Garde" w:hAnsi="ITC Avant Garde"/>
          <w:i/>
          <w:lang w:val="es-ES"/>
        </w:rPr>
        <w:t xml:space="preserve"> </w:t>
      </w:r>
      <w:r w:rsidR="00636926" w:rsidRPr="00D31A19">
        <w:rPr>
          <w:rFonts w:ascii="ITC Avant Garde" w:hAnsi="ITC Avant Garde"/>
          <w:i/>
          <w:lang w:val="es-ES"/>
        </w:rPr>
        <w:t>de acceso</w:t>
      </w:r>
      <w:r w:rsidR="00636926" w:rsidRPr="00D31A19">
        <w:rPr>
          <w:rFonts w:ascii="ITC Avant Garde" w:hAnsi="ITC Avant Garde"/>
          <w:lang w:val="es-ES"/>
        </w:rPr>
        <w:t xml:space="preserve"> para la </w:t>
      </w:r>
      <w:r w:rsidR="00610AC9" w:rsidRPr="00D31A19">
        <w:rPr>
          <w:rFonts w:ascii="ITC Avant Garde" w:hAnsi="ITC Avant Garde"/>
          <w:lang w:val="es-ES"/>
        </w:rPr>
        <w:t>prestación de servicios</w:t>
      </w:r>
      <w:r w:rsidR="007D0A8D" w:rsidRPr="00D31A19">
        <w:rPr>
          <w:rFonts w:ascii="ITC Avant Garde" w:hAnsi="ITC Avant Garde"/>
          <w:lang w:val="es-ES"/>
        </w:rPr>
        <w:t xml:space="preserve"> de desagregación</w:t>
      </w:r>
      <w:r w:rsidRPr="00D31A19">
        <w:rPr>
          <w:rFonts w:ascii="ITC Avant Garde" w:hAnsi="ITC Avant Garde"/>
          <w:lang w:val="es-ES"/>
        </w:rPr>
        <w:t>.</w:t>
      </w:r>
    </w:p>
    <w:p w14:paraId="43FE1E7C" w14:textId="77777777" w:rsidR="00564981" w:rsidRDefault="00F809AD" w:rsidP="00564981">
      <w:pPr>
        <w:spacing w:before="240" w:after="240"/>
        <w:jc w:val="both"/>
        <w:rPr>
          <w:rFonts w:ascii="ITC Avant Garde" w:hAnsi="ITC Avant Garde"/>
          <w:lang w:val="es-ES"/>
        </w:rPr>
      </w:pPr>
      <w:r w:rsidRPr="00D31A19">
        <w:rPr>
          <w:rFonts w:ascii="ITC Avant Garde" w:hAnsi="ITC Avant Garde"/>
          <w:lang w:val="es-ES"/>
        </w:rPr>
        <w:t xml:space="preserve">Ahora bien, de la revisión integral </w:t>
      </w:r>
      <w:r w:rsidR="00A56F6C" w:rsidRPr="00D31A19">
        <w:rPr>
          <w:rFonts w:ascii="ITC Avant Garde" w:hAnsi="ITC Avant Garde"/>
          <w:lang w:val="es-ES"/>
        </w:rPr>
        <w:t>a la solicitud de confirmación de criterio y</w:t>
      </w:r>
      <w:r w:rsidR="00FF150A" w:rsidRPr="00D31A19">
        <w:rPr>
          <w:rFonts w:ascii="ITC Avant Garde" w:hAnsi="ITC Avant Garde"/>
          <w:lang w:val="es-ES"/>
        </w:rPr>
        <w:t xml:space="preserve"> al Documento del Grupo de Trabajo de Mejoras al SEG, </w:t>
      </w:r>
      <w:r w:rsidR="003B24A7" w:rsidRPr="00D31A19">
        <w:rPr>
          <w:rFonts w:ascii="ITC Avant Garde" w:hAnsi="ITC Avant Garde"/>
          <w:lang w:val="es-ES"/>
        </w:rPr>
        <w:t>se desprend</w:t>
      </w:r>
      <w:r w:rsidR="00A72677" w:rsidRPr="00D31A19">
        <w:rPr>
          <w:rFonts w:ascii="ITC Avant Garde" w:hAnsi="ITC Avant Garde"/>
          <w:lang w:val="es-ES"/>
        </w:rPr>
        <w:t>e la necesidad de incluir como opción adicional la búsqueda por número telefónico para ejecutar movimientos e incidencias, así como búsquedas y consultas en los siguientes servicios de desagregación: SRLT, SRI, SRP, SAIB, SDTBL, SDCBL, SDTSBL y SDCSBL. Asimismo, se estima procedente que para el caso de los servicios</w:t>
      </w:r>
      <w:r w:rsidR="00C23CFE" w:rsidRPr="00D31A19">
        <w:rPr>
          <w:rFonts w:ascii="ITC Avant Garde" w:hAnsi="ITC Avant Garde"/>
          <w:lang w:val="es-ES"/>
        </w:rPr>
        <w:t xml:space="preserve"> </w:t>
      </w:r>
      <w:r w:rsidR="00A72677" w:rsidRPr="00D31A19">
        <w:rPr>
          <w:rFonts w:ascii="ITC Avant Garde" w:hAnsi="ITC Avant Garde"/>
          <w:lang w:val="es-ES"/>
        </w:rPr>
        <w:t xml:space="preserve">auxiliares el </w:t>
      </w:r>
      <w:r w:rsidR="00C23CFE" w:rsidRPr="00D31A19">
        <w:rPr>
          <w:rFonts w:ascii="ITC Avant Garde" w:hAnsi="ITC Avant Garde"/>
          <w:lang w:val="es-ES"/>
        </w:rPr>
        <w:t>campo obligatorio continúe siendo el NIS.</w:t>
      </w:r>
    </w:p>
    <w:p w14:paraId="020389D9" w14:textId="77777777" w:rsidR="00564981" w:rsidRDefault="00C23CFE" w:rsidP="00564981">
      <w:pPr>
        <w:autoSpaceDE w:val="0"/>
        <w:autoSpaceDN w:val="0"/>
        <w:adjustRightInd w:val="0"/>
        <w:spacing w:before="240" w:after="240"/>
        <w:jc w:val="both"/>
        <w:rPr>
          <w:rFonts w:ascii="ITC Avant Garde" w:hAnsi="ITC Avant Garde"/>
          <w:lang w:val="es-ES"/>
        </w:rPr>
      </w:pPr>
      <w:r w:rsidRPr="00D31A19">
        <w:rPr>
          <w:rFonts w:ascii="ITC Avant Garde" w:hAnsi="ITC Avant Garde"/>
          <w:kern w:val="1"/>
          <w:lang w:val="es-ES" w:eastAsia="ar-SA"/>
        </w:rPr>
        <w:t xml:space="preserve">Atendiendo a ello, </w:t>
      </w:r>
      <w:r w:rsidR="00431978" w:rsidRPr="00D31A19">
        <w:rPr>
          <w:rFonts w:ascii="ITC Avant Garde" w:hAnsi="ITC Avant Garde"/>
          <w:kern w:val="1"/>
          <w:lang w:val="es-ES" w:eastAsia="ar-SA"/>
        </w:rPr>
        <w:t>el Instituto determina que no existe limitación alguna en términos de desarrollo para incluir en el SEG la opción de Número Telefónico (físico o virtual), toda vez que existen servicios de desagregación que efectivamente se relacionan con el número telefónico y, otros servicios que únicamente son rastreables mediante el NIS, sin que deriven implicaciones negativas en la prestación de los servicios.</w:t>
      </w:r>
    </w:p>
    <w:p w14:paraId="159CB596" w14:textId="77777777" w:rsidR="00564981" w:rsidRDefault="0070073E"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kern w:val="1"/>
          <w:lang w:val="es-ES" w:eastAsia="ar-SA"/>
        </w:rPr>
        <w:t>En conclusión</w:t>
      </w:r>
      <w:r w:rsidR="00431978" w:rsidRPr="00D31A19">
        <w:rPr>
          <w:rFonts w:ascii="ITC Avant Garde" w:hAnsi="ITC Avant Garde"/>
          <w:kern w:val="1"/>
          <w:lang w:val="es-ES" w:eastAsia="ar-SA"/>
        </w:rPr>
        <w:t>,</w:t>
      </w:r>
      <w:r w:rsidR="005340C3" w:rsidRPr="00D31A19">
        <w:rPr>
          <w:rFonts w:ascii="ITC Avant Garde" w:hAnsi="ITC Avant Garde"/>
          <w:kern w:val="1"/>
          <w:lang w:val="es-ES" w:eastAsia="ar-SA"/>
        </w:rPr>
        <w:t xml:space="preserve"> se</w:t>
      </w:r>
      <w:r w:rsidR="00431978" w:rsidRPr="00D31A19">
        <w:rPr>
          <w:rFonts w:ascii="ITC Avant Garde" w:hAnsi="ITC Avant Garde"/>
          <w:kern w:val="1"/>
          <w:lang w:val="es-ES" w:eastAsia="ar-SA"/>
        </w:rPr>
        <w:t xml:space="preserve"> </w:t>
      </w:r>
      <w:r w:rsidR="008D4D82" w:rsidRPr="00D31A19">
        <w:rPr>
          <w:rFonts w:ascii="ITC Avant Garde" w:hAnsi="ITC Avant Garde"/>
          <w:kern w:val="1"/>
          <w:lang w:val="es-ES" w:eastAsia="ar-SA"/>
        </w:rPr>
        <w:t>considera procedente</w:t>
      </w:r>
      <w:r w:rsidRPr="00D31A19">
        <w:rPr>
          <w:rFonts w:ascii="ITC Avant Garde" w:hAnsi="ITC Avant Garde"/>
          <w:kern w:val="1"/>
          <w:lang w:val="es-ES" w:eastAsia="ar-SA"/>
        </w:rPr>
        <w:t xml:space="preserve"> u</w:t>
      </w:r>
      <w:r w:rsidR="00F605C6" w:rsidRPr="00D31A19">
        <w:rPr>
          <w:rFonts w:ascii="ITC Avant Garde" w:hAnsi="ITC Avant Garde"/>
          <w:kern w:val="1"/>
          <w:lang w:val="es-ES" w:eastAsia="ar-SA"/>
        </w:rPr>
        <w:t xml:space="preserve">tilizar como campo adicional el </w:t>
      </w:r>
      <w:r w:rsidR="00F605C6" w:rsidRPr="00D31A19">
        <w:rPr>
          <w:rFonts w:ascii="ITC Avant Garde" w:hAnsi="ITC Avant Garde"/>
          <w:b/>
          <w:kern w:val="1"/>
          <w:lang w:val="es-ES" w:eastAsia="ar-SA"/>
        </w:rPr>
        <w:t>N</w:t>
      </w:r>
      <w:r w:rsidR="003947E0" w:rsidRPr="00D31A19">
        <w:rPr>
          <w:rFonts w:ascii="ITC Avant Garde" w:hAnsi="ITC Avant Garde"/>
          <w:b/>
          <w:kern w:val="1"/>
          <w:lang w:val="es-ES" w:eastAsia="ar-SA"/>
        </w:rPr>
        <w:t>úmero Telefónico (físico o virtual)</w:t>
      </w:r>
      <w:r w:rsidR="001C54E4" w:rsidRPr="00D31A19">
        <w:rPr>
          <w:rFonts w:ascii="ITC Avant Garde" w:hAnsi="ITC Avant Garde"/>
          <w:kern w:val="1"/>
          <w:lang w:val="es-ES" w:eastAsia="ar-SA"/>
        </w:rPr>
        <w:t>, p</w:t>
      </w:r>
      <w:r w:rsidR="003947E0" w:rsidRPr="00D31A19">
        <w:rPr>
          <w:rFonts w:ascii="ITC Avant Garde" w:hAnsi="ITC Avant Garde"/>
          <w:kern w:val="1"/>
          <w:lang w:val="es-ES" w:eastAsia="ar-SA"/>
        </w:rPr>
        <w:t xml:space="preserve">ara </w:t>
      </w:r>
      <w:r w:rsidR="001C54E4" w:rsidRPr="00D31A19">
        <w:rPr>
          <w:rFonts w:ascii="ITC Avant Garde" w:hAnsi="ITC Avant Garde"/>
          <w:kern w:val="1"/>
          <w:lang w:val="es-ES" w:eastAsia="ar-SA"/>
        </w:rPr>
        <w:t xml:space="preserve">ejecutar movimientos e incidencias, así como búsquedas y consultas en </w:t>
      </w:r>
      <w:r w:rsidR="003947E0" w:rsidRPr="00D31A19">
        <w:rPr>
          <w:rFonts w:ascii="ITC Avant Garde" w:hAnsi="ITC Avant Garde"/>
          <w:kern w:val="1"/>
          <w:lang w:val="es-ES" w:eastAsia="ar-SA"/>
        </w:rPr>
        <w:t>los</w:t>
      </w:r>
      <w:r w:rsidR="00E57EE1" w:rsidRPr="00D31A19">
        <w:rPr>
          <w:rFonts w:ascii="ITC Avant Garde" w:hAnsi="ITC Avant Garde"/>
          <w:kern w:val="1"/>
          <w:lang w:val="es-ES" w:eastAsia="ar-SA"/>
        </w:rPr>
        <w:t xml:space="preserve"> siguientes servicios de desagregación:</w:t>
      </w:r>
      <w:r w:rsidR="003947E0" w:rsidRPr="00D31A19">
        <w:rPr>
          <w:rFonts w:ascii="ITC Avant Garde" w:hAnsi="ITC Avant Garde"/>
          <w:kern w:val="1"/>
          <w:lang w:val="es-ES" w:eastAsia="ar-SA"/>
        </w:rPr>
        <w:t xml:space="preserve"> SRLT, SRI, SRP, SAIB, SDTBL, SDCBL, SDTSBL y SDCSBL</w:t>
      </w:r>
      <w:r w:rsidR="001C54E4" w:rsidRPr="00D31A19">
        <w:rPr>
          <w:rFonts w:ascii="ITC Avant Garde" w:hAnsi="ITC Avant Garde"/>
          <w:kern w:val="1"/>
          <w:lang w:val="es-ES" w:eastAsia="ar-SA"/>
        </w:rPr>
        <w:t>.</w:t>
      </w:r>
      <w:r w:rsidR="008D4D82" w:rsidRPr="00D31A19">
        <w:rPr>
          <w:rFonts w:ascii="ITC Avant Garde" w:hAnsi="ITC Avant Garde"/>
          <w:kern w:val="1"/>
          <w:lang w:val="es-ES" w:eastAsia="ar-SA"/>
        </w:rPr>
        <w:t xml:space="preserve"> </w:t>
      </w:r>
    </w:p>
    <w:p w14:paraId="6826A5AA" w14:textId="77777777" w:rsidR="00564981" w:rsidRDefault="00BD2AA6" w:rsidP="00564981">
      <w:pPr>
        <w:autoSpaceDE w:val="0"/>
        <w:autoSpaceDN w:val="0"/>
        <w:adjustRightInd w:val="0"/>
        <w:spacing w:before="240" w:after="240"/>
        <w:jc w:val="both"/>
        <w:rPr>
          <w:rFonts w:ascii="ITC Avant Garde" w:hAnsi="ITC Avant Garde"/>
          <w:lang w:val="es-ES"/>
        </w:rPr>
      </w:pPr>
      <w:r w:rsidRPr="00D31A19">
        <w:rPr>
          <w:rFonts w:ascii="ITC Avant Garde" w:hAnsi="ITC Avant Garde"/>
          <w:kern w:val="1"/>
          <w:lang w:val="es-ES" w:eastAsia="ar-SA"/>
        </w:rPr>
        <w:t xml:space="preserve">En este sentido, </w:t>
      </w:r>
      <w:r w:rsidR="00B91D53" w:rsidRPr="00D31A19">
        <w:rPr>
          <w:rFonts w:ascii="ITC Avant Garde" w:hAnsi="ITC Avant Garde"/>
          <w:kern w:val="1"/>
          <w:lang w:val="es-ES" w:eastAsia="ar-SA"/>
        </w:rPr>
        <w:t>las</w:t>
      </w:r>
      <w:r w:rsidRPr="00D31A19">
        <w:rPr>
          <w:rFonts w:ascii="ITC Avant Garde" w:hAnsi="ITC Avant Garde"/>
          <w:kern w:val="1"/>
          <w:lang w:val="es-ES" w:eastAsia="ar-SA"/>
        </w:rPr>
        <w:t xml:space="preserve"> </w:t>
      </w:r>
      <w:r w:rsidR="003C1C74" w:rsidRPr="00D31A19">
        <w:rPr>
          <w:rFonts w:ascii="ITC Avant Garde" w:hAnsi="ITC Avant Garde"/>
          <w:kern w:val="1"/>
          <w:lang w:val="es-ES" w:eastAsia="ar-SA"/>
        </w:rPr>
        <w:t xml:space="preserve">actualizaciones </w:t>
      </w:r>
      <w:r w:rsidRPr="00D31A19">
        <w:rPr>
          <w:rFonts w:ascii="ITC Avant Garde" w:hAnsi="ITC Avant Garde"/>
          <w:kern w:val="1"/>
          <w:lang w:val="es-ES" w:eastAsia="ar-SA"/>
        </w:rPr>
        <w:t xml:space="preserve">al SEG no atentan contra la Resolución del SEG o la OREDA correspondiente, </w:t>
      </w:r>
      <w:r w:rsidR="00F03DD6" w:rsidRPr="00D31A19">
        <w:rPr>
          <w:rFonts w:ascii="ITC Avant Garde" w:hAnsi="ITC Avant Garde"/>
          <w:kern w:val="1"/>
          <w:lang w:val="es-ES" w:eastAsia="ar-SA"/>
        </w:rPr>
        <w:t xml:space="preserve">en virtud de que </w:t>
      </w:r>
      <w:r w:rsidR="009B4804" w:rsidRPr="00D31A19">
        <w:rPr>
          <w:rFonts w:ascii="ITC Avant Garde" w:hAnsi="ITC Avant Garde"/>
          <w:kern w:val="1"/>
          <w:lang w:val="es-ES" w:eastAsia="ar-SA"/>
        </w:rPr>
        <w:t>las mismas</w:t>
      </w:r>
      <w:r w:rsidR="00F03DD6" w:rsidRPr="00D31A19">
        <w:rPr>
          <w:rFonts w:ascii="ITC Avant Garde" w:hAnsi="ITC Avant Garde"/>
          <w:kern w:val="1"/>
          <w:lang w:val="es-ES" w:eastAsia="ar-SA"/>
        </w:rPr>
        <w:t xml:space="preserve"> generan mayor precisión entre los</w:t>
      </w:r>
      <w:r w:rsidR="00E42C8F" w:rsidRPr="00D31A19">
        <w:rPr>
          <w:rFonts w:ascii="ITC Avant Garde" w:hAnsi="ITC Avant Garde"/>
          <w:kern w:val="1"/>
          <w:lang w:val="es-ES" w:eastAsia="ar-SA"/>
        </w:rPr>
        <w:t xml:space="preserve"> CS y el AEP</w:t>
      </w:r>
      <w:r w:rsidR="00F03DD6" w:rsidRPr="00D31A19">
        <w:rPr>
          <w:rFonts w:ascii="ITC Avant Garde" w:hAnsi="ITC Avant Garde"/>
          <w:kern w:val="1"/>
          <w:lang w:val="es-ES" w:eastAsia="ar-SA"/>
        </w:rPr>
        <w:t xml:space="preserve"> </w:t>
      </w:r>
      <w:r w:rsidR="009B4804" w:rsidRPr="00D31A19">
        <w:rPr>
          <w:rFonts w:ascii="ITC Avant Garde" w:hAnsi="ITC Avant Garde"/>
          <w:lang w:val="es-ES"/>
        </w:rPr>
        <w:t>para</w:t>
      </w:r>
      <w:r w:rsidR="00F03DD6" w:rsidRPr="00D31A19">
        <w:rPr>
          <w:rFonts w:ascii="ITC Avant Garde" w:hAnsi="ITC Avant Garde"/>
          <w:lang w:val="es-ES"/>
        </w:rPr>
        <w:t xml:space="preserve"> la adecuada prestación de los servicios.</w:t>
      </w:r>
    </w:p>
    <w:p w14:paraId="13987B97" w14:textId="77777777" w:rsidR="00564981" w:rsidRDefault="00F01AAF" w:rsidP="00564981">
      <w:pPr>
        <w:shd w:val="clear" w:color="auto" w:fill="FFFFFF"/>
        <w:spacing w:before="240" w:after="240"/>
        <w:jc w:val="both"/>
        <w:rPr>
          <w:rFonts w:ascii="ITC Avant Garde" w:hAnsi="ITC Avant Garde"/>
          <w:lang w:val="es-ES"/>
        </w:rPr>
      </w:pPr>
      <w:r w:rsidRPr="00D31A19">
        <w:rPr>
          <w:rFonts w:ascii="ITC Avant Garde" w:hAnsi="ITC Avant Garde"/>
          <w:b/>
          <w:lang w:val="es-ES"/>
        </w:rPr>
        <w:t>B)</w:t>
      </w:r>
      <w:r w:rsidRPr="00D31A19">
        <w:rPr>
          <w:rFonts w:ascii="ITC Avant Garde" w:hAnsi="ITC Avant Garde"/>
          <w:lang w:val="es-ES"/>
        </w:rPr>
        <w:t xml:space="preserve"> </w:t>
      </w:r>
      <w:r w:rsidR="00EF3FB7" w:rsidRPr="00D31A19">
        <w:rPr>
          <w:rFonts w:ascii="ITC Avant Garde" w:hAnsi="ITC Avant Garde"/>
          <w:lang w:val="es-ES"/>
        </w:rPr>
        <w:t xml:space="preserve">En la solicitud de confirmación de criterio </w:t>
      </w:r>
      <w:r w:rsidRPr="00D31A19">
        <w:rPr>
          <w:rFonts w:ascii="ITC Avant Garde" w:hAnsi="ITC Avant Garde"/>
          <w:lang w:val="es-ES"/>
        </w:rPr>
        <w:t>Telmex-</w:t>
      </w:r>
      <w:proofErr w:type="spellStart"/>
      <w:r w:rsidR="003210FF" w:rsidRPr="00D31A19">
        <w:rPr>
          <w:rFonts w:ascii="ITC Avant Garde" w:hAnsi="ITC Avant Garde"/>
          <w:lang w:val="es-ES"/>
        </w:rPr>
        <w:t>Telnor</w:t>
      </w:r>
      <w:proofErr w:type="spellEnd"/>
      <w:r w:rsidR="003210FF" w:rsidRPr="00D31A19">
        <w:rPr>
          <w:rFonts w:ascii="ITC Avant Garde" w:hAnsi="ITC Avant Garde"/>
          <w:lang w:val="es-ES"/>
        </w:rPr>
        <w:t>, solicita</w:t>
      </w:r>
      <w:r w:rsidRPr="00D31A19">
        <w:rPr>
          <w:rFonts w:ascii="ITC Avant Garde" w:hAnsi="ITC Avant Garde"/>
          <w:lang w:val="es-ES"/>
        </w:rPr>
        <w:t xml:space="preserve"> lo siguiente:</w:t>
      </w:r>
    </w:p>
    <w:p w14:paraId="39392F77" w14:textId="2DAE524F" w:rsidR="00564981" w:rsidRDefault="00F01AAF" w:rsidP="00564981">
      <w:pPr>
        <w:autoSpaceDE w:val="0"/>
        <w:autoSpaceDN w:val="0"/>
        <w:adjustRightInd w:val="0"/>
        <w:spacing w:before="240" w:after="240"/>
        <w:ind w:left="567"/>
        <w:jc w:val="both"/>
        <w:rPr>
          <w:rFonts w:ascii="ITC Avant Garde" w:hAnsi="ITC Avant Garde"/>
          <w:i/>
          <w:kern w:val="1"/>
          <w:lang w:val="es-ES" w:eastAsia="ar-SA"/>
        </w:rPr>
      </w:pPr>
      <w:r w:rsidRPr="00D31A19">
        <w:rPr>
          <w:rFonts w:ascii="ITC Avant Garde" w:hAnsi="ITC Avant Garde"/>
          <w:kern w:val="1"/>
          <w:lang w:val="es-ES" w:eastAsia="ar-SA"/>
        </w:rPr>
        <w:t>“</w:t>
      </w:r>
      <w:r w:rsidR="00D44314" w:rsidRPr="00D31A19">
        <w:rPr>
          <w:rFonts w:ascii="ITC Avant Garde" w:hAnsi="ITC Avant Garde"/>
          <w:b/>
          <w:i/>
          <w:kern w:val="1"/>
          <w:lang w:val="es-ES" w:eastAsia="ar-SA"/>
        </w:rPr>
        <w:t>Validar el Punto 5, Cambio de Etiqueta de Fecha Estimada por Fecha Programada</w:t>
      </w:r>
    </w:p>
    <w:p w14:paraId="71D46FB1" w14:textId="77777777" w:rsidR="00564981" w:rsidRDefault="00D44314" w:rsidP="00564981">
      <w:pPr>
        <w:autoSpaceDE w:val="0"/>
        <w:autoSpaceDN w:val="0"/>
        <w:adjustRightInd w:val="0"/>
        <w:spacing w:before="240" w:after="240"/>
        <w:ind w:left="567"/>
        <w:jc w:val="both"/>
        <w:rPr>
          <w:rFonts w:ascii="ITC Avant Garde" w:hAnsi="ITC Avant Garde"/>
          <w:i/>
          <w:kern w:val="1"/>
          <w:lang w:val="es-ES" w:eastAsia="ar-SA"/>
        </w:rPr>
      </w:pPr>
      <w:r w:rsidRPr="00D31A19">
        <w:rPr>
          <w:rFonts w:ascii="ITC Avant Garde" w:hAnsi="ITC Avant Garde"/>
          <w:i/>
          <w:kern w:val="1"/>
          <w:lang w:val="es-ES" w:eastAsia="ar-SA"/>
        </w:rPr>
        <w:t>…uno de los acuerdos tomados en la citada sesión de Comité, fue modificar la etiqueta de campo “Fecha estimada de entrega”, por “Fecha programada”.</w:t>
      </w:r>
    </w:p>
    <w:p w14:paraId="5C29A6AD" w14:textId="77777777" w:rsidR="00564981" w:rsidRDefault="00D44314" w:rsidP="00564981">
      <w:pPr>
        <w:autoSpaceDE w:val="0"/>
        <w:autoSpaceDN w:val="0"/>
        <w:adjustRightInd w:val="0"/>
        <w:spacing w:before="240" w:after="240"/>
        <w:ind w:left="567"/>
        <w:jc w:val="both"/>
        <w:rPr>
          <w:rFonts w:ascii="ITC Avant Garde" w:hAnsi="ITC Avant Garde"/>
          <w:kern w:val="1"/>
          <w:lang w:val="es-ES" w:eastAsia="ar-SA"/>
        </w:rPr>
      </w:pPr>
      <w:r w:rsidRPr="00D31A19">
        <w:rPr>
          <w:rFonts w:ascii="ITC Avant Garde" w:hAnsi="ITC Avant Garde"/>
          <w:i/>
          <w:kern w:val="1"/>
          <w:lang w:val="es-ES" w:eastAsia="ar-SA"/>
        </w:rPr>
        <w:t>Por lo anterior, se solicita a ese Instituto confirmar la modificación del nombre del campo “fecha estimada de entrega” por “fecha de Programación</w:t>
      </w:r>
      <w:r w:rsidRPr="00D31A19">
        <w:rPr>
          <w:rFonts w:ascii="ITC Avant Garde" w:hAnsi="ITC Avant Garde"/>
          <w:kern w:val="1"/>
          <w:lang w:val="es-ES" w:eastAsia="ar-SA"/>
        </w:rPr>
        <w:t>”.</w:t>
      </w:r>
      <w:r w:rsidR="00F01AAF" w:rsidRPr="00D31A19">
        <w:rPr>
          <w:rFonts w:ascii="ITC Avant Garde" w:hAnsi="ITC Avant Garde"/>
          <w:kern w:val="1"/>
          <w:lang w:val="es-ES" w:eastAsia="ar-SA"/>
        </w:rPr>
        <w:t>”</w:t>
      </w:r>
    </w:p>
    <w:p w14:paraId="4DC84970" w14:textId="3ABFB17E" w:rsidR="00EB0E59" w:rsidRPr="00564981" w:rsidRDefault="00132911"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kern w:val="1"/>
          <w:lang w:val="es-ES" w:eastAsia="ar-SA"/>
        </w:rPr>
        <w:lastRenderedPageBreak/>
        <w:t xml:space="preserve">Del punto 5, del Documento del Grupo de Trabajo </w:t>
      </w:r>
      <w:r w:rsidR="00263BB4" w:rsidRPr="00D31A19">
        <w:rPr>
          <w:rFonts w:ascii="ITC Avant Garde" w:hAnsi="ITC Avant Garde"/>
          <w:kern w:val="1"/>
          <w:lang w:val="es-ES" w:eastAsia="ar-SA"/>
        </w:rPr>
        <w:t xml:space="preserve">de </w:t>
      </w:r>
      <w:r w:rsidRPr="00D31A19">
        <w:rPr>
          <w:rFonts w:ascii="ITC Avant Garde" w:hAnsi="ITC Avant Garde"/>
          <w:kern w:val="1"/>
          <w:lang w:val="es-ES" w:eastAsia="ar-SA"/>
        </w:rPr>
        <w:t>Mejoras al SEG, se desprende lo siguiente:</w:t>
      </w:r>
    </w:p>
    <w:tbl>
      <w:tblPr>
        <w:tblStyle w:val="Cuadrculadetablaclara"/>
        <w:tblW w:w="7869" w:type="dxa"/>
        <w:jc w:val="center"/>
        <w:tblLayout w:type="fixed"/>
        <w:tblLook w:val="04A0" w:firstRow="1" w:lastRow="0" w:firstColumn="1" w:lastColumn="0" w:noHBand="0" w:noVBand="1"/>
        <w:tblCaption w:val="TABLA 3"/>
        <w:tblDescription w:val="Tabla con 6 Columnas y 2 filas, en la primera fila señalan los 6 títulos y abajo en la segunda fila el comentario relativo a cada título."/>
      </w:tblPr>
      <w:tblGrid>
        <w:gridCol w:w="636"/>
        <w:gridCol w:w="1065"/>
        <w:gridCol w:w="1559"/>
        <w:gridCol w:w="1560"/>
        <w:gridCol w:w="1275"/>
        <w:gridCol w:w="1774"/>
      </w:tblGrid>
      <w:tr w:rsidR="00E57EE1" w:rsidRPr="00D31A19" w14:paraId="15AEDFF5" w14:textId="77777777" w:rsidTr="00564981">
        <w:trPr>
          <w:trHeight w:val="70"/>
          <w:tblHeader/>
          <w:jc w:val="center"/>
        </w:trPr>
        <w:tc>
          <w:tcPr>
            <w:tcW w:w="636" w:type="dxa"/>
            <w:hideMark/>
          </w:tcPr>
          <w:p w14:paraId="48B89A1E" w14:textId="77777777" w:rsidR="00E57EE1" w:rsidRPr="00D31A19" w:rsidRDefault="00E57EE1"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Punto</w:t>
            </w:r>
          </w:p>
        </w:tc>
        <w:tc>
          <w:tcPr>
            <w:tcW w:w="1065" w:type="dxa"/>
            <w:hideMark/>
          </w:tcPr>
          <w:p w14:paraId="6CFD5AC5" w14:textId="77777777" w:rsidR="00E57EE1" w:rsidRPr="00D31A19" w:rsidRDefault="00E57EE1"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 xml:space="preserve">Tema </w:t>
            </w:r>
          </w:p>
        </w:tc>
        <w:tc>
          <w:tcPr>
            <w:tcW w:w="1559" w:type="dxa"/>
            <w:hideMark/>
          </w:tcPr>
          <w:p w14:paraId="4E902AA8" w14:textId="77777777" w:rsidR="00E57EE1" w:rsidRPr="00D31A19" w:rsidRDefault="00E57EE1"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Conclusiones</w:t>
            </w:r>
          </w:p>
        </w:tc>
        <w:tc>
          <w:tcPr>
            <w:tcW w:w="1560" w:type="dxa"/>
            <w:hideMark/>
          </w:tcPr>
          <w:p w14:paraId="0BC148E0" w14:textId="77777777" w:rsidR="00E57EE1" w:rsidRPr="00D31A19" w:rsidRDefault="00E57EE1"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Notas</w:t>
            </w:r>
          </w:p>
        </w:tc>
        <w:tc>
          <w:tcPr>
            <w:tcW w:w="1275" w:type="dxa"/>
            <w:noWrap/>
            <w:hideMark/>
          </w:tcPr>
          <w:p w14:paraId="111564B0" w14:textId="77777777" w:rsidR="00E57EE1" w:rsidRPr="00D31A19" w:rsidRDefault="00E57EE1"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Resultado final</w:t>
            </w:r>
          </w:p>
        </w:tc>
        <w:tc>
          <w:tcPr>
            <w:tcW w:w="1774" w:type="dxa"/>
            <w:noWrap/>
            <w:hideMark/>
          </w:tcPr>
          <w:p w14:paraId="7CC466F6" w14:textId="77777777" w:rsidR="00E57EE1" w:rsidRPr="00D31A19" w:rsidRDefault="00E57EE1" w:rsidP="00564981">
            <w:pPr>
              <w:spacing w:after="0"/>
              <w:jc w:val="center"/>
              <w:rPr>
                <w:rFonts w:ascii="ITC Avant Garde" w:eastAsia="Times New Roman" w:hAnsi="ITC Avant Garde" w:cs="Times New Roman"/>
                <w:b/>
                <w:bCs/>
                <w:i/>
                <w:color w:val="000000"/>
                <w:sz w:val="14"/>
                <w:szCs w:val="16"/>
                <w:lang w:val="es-ES" w:eastAsia="es-MX"/>
              </w:rPr>
            </w:pPr>
            <w:r w:rsidRPr="00D31A19">
              <w:rPr>
                <w:rFonts w:ascii="ITC Avant Garde" w:eastAsia="Times New Roman" w:hAnsi="ITC Avant Garde" w:cs="Times New Roman"/>
                <w:b/>
                <w:bCs/>
                <w:i/>
                <w:color w:val="000000"/>
                <w:sz w:val="14"/>
                <w:szCs w:val="16"/>
                <w:lang w:val="es-ES" w:eastAsia="es-MX"/>
              </w:rPr>
              <w:t>Fecha</w:t>
            </w:r>
          </w:p>
        </w:tc>
      </w:tr>
      <w:tr w:rsidR="00E57EE1" w:rsidRPr="00D31A19" w14:paraId="3E4C5DD2" w14:textId="77777777" w:rsidTr="00564981">
        <w:trPr>
          <w:trHeight w:val="909"/>
          <w:jc w:val="center"/>
        </w:trPr>
        <w:tc>
          <w:tcPr>
            <w:tcW w:w="636" w:type="dxa"/>
            <w:hideMark/>
          </w:tcPr>
          <w:p w14:paraId="70D285C1" w14:textId="77777777" w:rsidR="00E57EE1" w:rsidRPr="00D31A19" w:rsidRDefault="00E57EE1" w:rsidP="00564981">
            <w:pPr>
              <w:spacing w:after="0"/>
              <w:jc w:val="center"/>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5</w:t>
            </w:r>
          </w:p>
        </w:tc>
        <w:tc>
          <w:tcPr>
            <w:tcW w:w="1065" w:type="dxa"/>
            <w:hideMark/>
          </w:tcPr>
          <w:p w14:paraId="57622F74" w14:textId="77777777" w:rsidR="00E57EE1" w:rsidRPr="00D31A19" w:rsidRDefault="00E57EE1" w:rsidP="00564981">
            <w:pPr>
              <w:spacing w:after="0"/>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Cambio de Etiqueta de Fecha Estimada por Fecha Programada</w:t>
            </w:r>
          </w:p>
        </w:tc>
        <w:tc>
          <w:tcPr>
            <w:tcW w:w="1559" w:type="dxa"/>
            <w:hideMark/>
          </w:tcPr>
          <w:p w14:paraId="6CC3562C" w14:textId="77777777" w:rsidR="00E57EE1" w:rsidRPr="00D31A19" w:rsidRDefault="00E57EE1" w:rsidP="00564981">
            <w:pPr>
              <w:spacing w:after="0"/>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Se solicitará al IFT defina la postura del tema, para desambiguar las diferencias entre la implementación SEG y la OREDA.</w:t>
            </w:r>
          </w:p>
        </w:tc>
        <w:tc>
          <w:tcPr>
            <w:tcW w:w="1560" w:type="dxa"/>
            <w:hideMark/>
          </w:tcPr>
          <w:p w14:paraId="1CCDB871" w14:textId="77777777" w:rsidR="00E57EE1" w:rsidRPr="00D31A19" w:rsidRDefault="00E57EE1" w:rsidP="00564981">
            <w:pPr>
              <w:spacing w:after="0"/>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Telmex no ve que sea mayor tema, se solicita que el instituto valide que no hay algún problema.</w:t>
            </w:r>
          </w:p>
        </w:tc>
        <w:tc>
          <w:tcPr>
            <w:tcW w:w="1275" w:type="dxa"/>
            <w:noWrap/>
            <w:hideMark/>
          </w:tcPr>
          <w:p w14:paraId="1B29949B" w14:textId="77777777" w:rsidR="00E57EE1" w:rsidRPr="00D31A19" w:rsidRDefault="00E57EE1" w:rsidP="00564981">
            <w:pPr>
              <w:pStyle w:val="Sinespaciado"/>
              <w:spacing w:line="276" w:lineRule="auto"/>
              <w:rPr>
                <w:rFonts w:ascii="ITC Avant Garde" w:eastAsia="Times New Roman" w:hAnsi="ITC Avant Garde"/>
                <w:i/>
                <w:color w:val="000000"/>
                <w:sz w:val="14"/>
                <w:szCs w:val="16"/>
                <w:lang w:val="es-ES" w:eastAsia="es-MX"/>
              </w:rPr>
            </w:pPr>
            <w:r w:rsidRPr="00D31A19">
              <w:rPr>
                <w:rFonts w:ascii="ITC Avant Garde" w:eastAsia="Times New Roman" w:hAnsi="ITC Avant Garde"/>
                <w:i/>
                <w:color w:val="000000"/>
                <w:sz w:val="14"/>
                <w:szCs w:val="16"/>
                <w:lang w:val="es-ES" w:eastAsia="es-MX"/>
              </w:rPr>
              <w:t>Pendiente autorización IFT para realizar cambio</w:t>
            </w:r>
          </w:p>
        </w:tc>
        <w:tc>
          <w:tcPr>
            <w:tcW w:w="1774" w:type="dxa"/>
            <w:hideMark/>
          </w:tcPr>
          <w:p w14:paraId="2536B1B6" w14:textId="77777777" w:rsidR="00E57EE1" w:rsidRPr="00D31A19" w:rsidRDefault="00E57EE1" w:rsidP="00564981">
            <w:pPr>
              <w:spacing w:after="0"/>
              <w:rPr>
                <w:rFonts w:ascii="ITC Avant Garde" w:eastAsia="Times New Roman" w:hAnsi="ITC Avant Garde" w:cs="Times New Roman"/>
                <w:i/>
                <w:color w:val="000000"/>
                <w:sz w:val="14"/>
                <w:szCs w:val="16"/>
                <w:lang w:val="es-ES" w:eastAsia="es-MX"/>
              </w:rPr>
            </w:pPr>
            <w:r w:rsidRPr="00D31A19">
              <w:rPr>
                <w:rFonts w:ascii="ITC Avant Garde" w:eastAsia="Times New Roman" w:hAnsi="ITC Avant Garde" w:cs="Times New Roman"/>
                <w:i/>
                <w:color w:val="000000"/>
                <w:sz w:val="14"/>
                <w:szCs w:val="16"/>
                <w:lang w:val="es-ES" w:eastAsia="es-MX"/>
              </w:rPr>
              <w:t>El IFT no ha dado comentarios sobre este punto. Una vez que el IFT defina, se contemplan 1 meses para su implementación.</w:t>
            </w:r>
          </w:p>
        </w:tc>
      </w:tr>
    </w:tbl>
    <w:p w14:paraId="32AB558A" w14:textId="77777777" w:rsidR="00564981" w:rsidRDefault="006F17FF"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lang w:val="es-ES"/>
        </w:rPr>
        <w:t>Ahora bien, de la revisión integral a la solicitud de confirmación de criterio y al Documento del Grupo de Trabajo de Mejoras al SEG,</w:t>
      </w:r>
      <w:r w:rsidRPr="00D31A19" w:rsidDel="006F17FF">
        <w:rPr>
          <w:rFonts w:ascii="ITC Avant Garde" w:hAnsi="ITC Avant Garde"/>
          <w:kern w:val="1"/>
          <w:lang w:val="es-ES" w:eastAsia="ar-SA"/>
        </w:rPr>
        <w:t xml:space="preserve"> </w:t>
      </w:r>
      <w:r w:rsidRPr="00D31A19">
        <w:rPr>
          <w:rFonts w:ascii="ITC Avant Garde" w:hAnsi="ITC Avant Garde"/>
          <w:kern w:val="1"/>
          <w:lang w:val="es-ES" w:eastAsia="ar-SA"/>
        </w:rPr>
        <w:t xml:space="preserve">se considera procedente </w:t>
      </w:r>
      <w:r w:rsidR="00DE223A" w:rsidRPr="00D31A19">
        <w:rPr>
          <w:rFonts w:ascii="ITC Avant Garde" w:hAnsi="ITC Avant Garde"/>
          <w:kern w:val="1"/>
          <w:lang w:val="es-ES" w:eastAsia="ar-SA"/>
        </w:rPr>
        <w:t>sustituir</w:t>
      </w:r>
      <w:r w:rsidRPr="00D31A19">
        <w:rPr>
          <w:rFonts w:ascii="ITC Avant Garde" w:hAnsi="ITC Avant Garde"/>
          <w:kern w:val="1"/>
          <w:lang w:val="es-ES" w:eastAsia="ar-SA"/>
        </w:rPr>
        <w:t xml:space="preserve"> la etiqueta denominada</w:t>
      </w:r>
      <w:r w:rsidR="007A32B1" w:rsidRPr="00D31A19">
        <w:rPr>
          <w:rFonts w:ascii="ITC Avant Garde" w:hAnsi="ITC Avant Garde"/>
          <w:kern w:val="1"/>
          <w:lang w:val="es-ES" w:eastAsia="ar-SA"/>
        </w:rPr>
        <w:t xml:space="preserve"> </w:t>
      </w:r>
      <w:r w:rsidR="001E7F78" w:rsidRPr="00D31A19">
        <w:rPr>
          <w:rFonts w:ascii="ITC Avant Garde" w:hAnsi="ITC Avant Garde"/>
          <w:i/>
          <w:kern w:val="1"/>
          <w:lang w:val="es-ES" w:eastAsia="ar-SA"/>
        </w:rPr>
        <w:t xml:space="preserve">“fecha estimada de entrega” </w:t>
      </w:r>
      <w:r w:rsidR="007A32B1" w:rsidRPr="00D31A19">
        <w:rPr>
          <w:rFonts w:ascii="ITC Avant Garde" w:hAnsi="ITC Avant Garde"/>
          <w:kern w:val="1"/>
          <w:lang w:val="es-ES" w:eastAsia="ar-SA"/>
        </w:rPr>
        <w:t xml:space="preserve">por </w:t>
      </w:r>
      <w:r w:rsidR="00211441" w:rsidRPr="00D31A19">
        <w:rPr>
          <w:rFonts w:ascii="ITC Avant Garde" w:hAnsi="ITC Avant Garde"/>
          <w:kern w:val="1"/>
          <w:lang w:val="es-ES" w:eastAsia="ar-SA"/>
        </w:rPr>
        <w:t>“</w:t>
      </w:r>
      <w:r w:rsidR="00211441" w:rsidRPr="00D31A19">
        <w:rPr>
          <w:rFonts w:ascii="ITC Avant Garde" w:hAnsi="ITC Avant Garde"/>
          <w:i/>
          <w:kern w:val="1"/>
          <w:lang w:val="es-ES" w:eastAsia="ar-SA"/>
        </w:rPr>
        <w:t>fecha programada</w:t>
      </w:r>
      <w:r w:rsidR="00211441" w:rsidRPr="00D31A19">
        <w:rPr>
          <w:rFonts w:ascii="ITC Avant Garde" w:hAnsi="ITC Avant Garde"/>
          <w:kern w:val="1"/>
          <w:lang w:val="es-ES" w:eastAsia="ar-SA"/>
        </w:rPr>
        <w:t xml:space="preserve">”, </w:t>
      </w:r>
      <w:r w:rsidRPr="00D31A19">
        <w:rPr>
          <w:rFonts w:ascii="ITC Avant Garde" w:hAnsi="ITC Avant Garde"/>
          <w:kern w:val="1"/>
          <w:lang w:val="es-ES" w:eastAsia="ar-SA"/>
        </w:rPr>
        <w:t>toda vez que con ello se precisa</w:t>
      </w:r>
      <w:r w:rsidR="00211441" w:rsidRPr="00D31A19">
        <w:rPr>
          <w:rFonts w:ascii="ITC Avant Garde" w:hAnsi="ITC Avant Garde"/>
          <w:kern w:val="1"/>
          <w:lang w:val="es-ES" w:eastAsia="ar-SA"/>
        </w:rPr>
        <w:t xml:space="preserve"> que es el momento determinado</w:t>
      </w:r>
      <w:r w:rsidR="007A32B1" w:rsidRPr="00D31A19">
        <w:rPr>
          <w:rFonts w:ascii="ITC Avant Garde" w:hAnsi="ITC Avant Garde"/>
          <w:kern w:val="1"/>
          <w:lang w:val="es-ES" w:eastAsia="ar-SA"/>
        </w:rPr>
        <w:t xml:space="preserve"> </w:t>
      </w:r>
      <w:r w:rsidR="00211441" w:rsidRPr="00D31A19">
        <w:rPr>
          <w:rFonts w:ascii="ITC Avant Garde" w:hAnsi="ITC Avant Garde"/>
          <w:kern w:val="1"/>
          <w:lang w:val="es-ES" w:eastAsia="ar-SA"/>
        </w:rPr>
        <w:t xml:space="preserve">en que debe realizarse </w:t>
      </w:r>
      <w:r w:rsidRPr="00D31A19">
        <w:rPr>
          <w:rFonts w:ascii="ITC Avant Garde" w:hAnsi="ITC Avant Garde"/>
          <w:kern w:val="1"/>
          <w:lang w:val="es-ES" w:eastAsia="ar-SA"/>
        </w:rPr>
        <w:t xml:space="preserve">la </w:t>
      </w:r>
      <w:r w:rsidR="00211441" w:rsidRPr="00D31A19">
        <w:rPr>
          <w:rFonts w:ascii="ITC Avant Garde" w:hAnsi="ITC Avant Garde"/>
          <w:kern w:val="1"/>
          <w:lang w:val="es-ES" w:eastAsia="ar-SA"/>
        </w:rPr>
        <w:t>acción</w:t>
      </w:r>
      <w:r w:rsidRPr="00D31A19">
        <w:rPr>
          <w:rFonts w:ascii="ITC Avant Garde" w:hAnsi="ITC Avant Garde"/>
          <w:kern w:val="1"/>
          <w:lang w:val="es-ES" w:eastAsia="ar-SA"/>
        </w:rPr>
        <w:t xml:space="preserve"> correspondiente</w:t>
      </w:r>
      <w:r w:rsidR="00C67DA4" w:rsidRPr="00D31A19">
        <w:rPr>
          <w:rFonts w:ascii="ITC Avant Garde" w:hAnsi="ITC Avant Garde"/>
          <w:kern w:val="1"/>
          <w:lang w:val="es-ES" w:eastAsia="ar-SA"/>
        </w:rPr>
        <w:t>,</w:t>
      </w:r>
      <w:r w:rsidR="00083D24" w:rsidRPr="00D31A19">
        <w:rPr>
          <w:rStyle w:val="Refdenotaalpie"/>
          <w:rFonts w:ascii="ITC Avant Garde" w:hAnsi="ITC Avant Garde"/>
          <w:kern w:val="1"/>
          <w:lang w:val="es-ES" w:eastAsia="ar-SA"/>
        </w:rPr>
        <w:footnoteReference w:id="15"/>
      </w:r>
      <w:r w:rsidR="007D703F" w:rsidRPr="00D31A19">
        <w:rPr>
          <w:rFonts w:ascii="ITC Avant Garde" w:hAnsi="ITC Avant Garde"/>
          <w:kern w:val="1"/>
          <w:lang w:val="es-ES" w:eastAsia="ar-SA"/>
        </w:rPr>
        <w:t xml:space="preserve"> </w:t>
      </w:r>
      <w:r w:rsidR="00C67DA4" w:rsidRPr="00D31A19">
        <w:rPr>
          <w:rFonts w:ascii="ITC Avant Garde" w:hAnsi="ITC Avant Garde"/>
          <w:kern w:val="1"/>
          <w:lang w:val="es-ES" w:eastAsia="ar-SA"/>
        </w:rPr>
        <w:t>lo cual guarda consistencia con lo siguiente:</w:t>
      </w:r>
    </w:p>
    <w:p w14:paraId="1DF0D553" w14:textId="77777777" w:rsidR="00564981" w:rsidRDefault="00533233" w:rsidP="00564981">
      <w:pPr>
        <w:pStyle w:val="Prrafodelista"/>
        <w:numPr>
          <w:ilvl w:val="0"/>
          <w:numId w:val="10"/>
        </w:numPr>
        <w:autoSpaceDE w:val="0"/>
        <w:autoSpaceDN w:val="0"/>
        <w:adjustRightInd w:val="0"/>
        <w:spacing w:before="240" w:after="240"/>
        <w:ind w:left="0" w:firstLine="0"/>
        <w:jc w:val="both"/>
        <w:rPr>
          <w:rFonts w:ascii="ITC Avant Garde" w:hAnsi="ITC Avant Garde"/>
          <w:kern w:val="1"/>
          <w:lang w:val="es-ES" w:eastAsia="ar-SA"/>
        </w:rPr>
      </w:pPr>
      <w:r w:rsidRPr="00D31A19">
        <w:rPr>
          <w:rFonts w:ascii="ITC Avant Garde" w:hAnsi="ITC Avant Garde"/>
          <w:kern w:val="1"/>
          <w:lang w:val="es-ES" w:eastAsia="ar-SA"/>
        </w:rPr>
        <w:t>En la Resolución del SEG</w:t>
      </w:r>
      <w:r w:rsidR="0040417B" w:rsidRPr="00D31A19">
        <w:rPr>
          <w:rFonts w:ascii="ITC Avant Garde" w:hAnsi="ITC Avant Garde"/>
          <w:kern w:val="1"/>
          <w:lang w:val="es-ES" w:eastAsia="ar-SA"/>
        </w:rPr>
        <w:t xml:space="preserve"> </w:t>
      </w:r>
      <w:r w:rsidRPr="00D31A19">
        <w:rPr>
          <w:rFonts w:ascii="ITC Avant Garde" w:hAnsi="ITC Avant Garde"/>
          <w:kern w:val="1"/>
          <w:lang w:val="es-ES" w:eastAsia="ar-SA"/>
        </w:rPr>
        <w:t>quedó asentad</w:t>
      </w:r>
      <w:r w:rsidR="006F17FF" w:rsidRPr="00D31A19">
        <w:rPr>
          <w:rFonts w:ascii="ITC Avant Garde" w:hAnsi="ITC Avant Garde"/>
          <w:kern w:val="1"/>
          <w:lang w:val="es-ES" w:eastAsia="ar-SA"/>
        </w:rPr>
        <w:t>a</w:t>
      </w:r>
      <w:r w:rsidRPr="00D31A19">
        <w:rPr>
          <w:rFonts w:ascii="ITC Avant Garde" w:hAnsi="ITC Avant Garde"/>
          <w:kern w:val="1"/>
          <w:lang w:val="es-ES" w:eastAsia="ar-SA"/>
        </w:rPr>
        <w:t xml:space="preserve"> en los formatos de “</w:t>
      </w:r>
      <w:r w:rsidRPr="00D31A19">
        <w:rPr>
          <w:rFonts w:ascii="ITC Avant Garde" w:hAnsi="ITC Avant Garde"/>
          <w:i/>
          <w:kern w:val="1"/>
          <w:lang w:val="es-ES" w:eastAsia="ar-SA"/>
        </w:rPr>
        <w:t>Alta, Baja, Cambio o Cancelación de los servicios</w:t>
      </w:r>
      <w:r w:rsidRPr="00D31A19">
        <w:rPr>
          <w:rFonts w:ascii="ITC Avant Garde" w:hAnsi="ITC Avant Garde"/>
          <w:kern w:val="1"/>
          <w:lang w:val="es-ES" w:eastAsia="ar-SA"/>
        </w:rPr>
        <w:t xml:space="preserve">” </w:t>
      </w:r>
      <w:r w:rsidR="006F17FF" w:rsidRPr="00D31A19">
        <w:rPr>
          <w:rFonts w:ascii="ITC Avant Garde" w:hAnsi="ITC Avant Garde"/>
          <w:kern w:val="1"/>
          <w:lang w:val="es-ES" w:eastAsia="ar-SA"/>
        </w:rPr>
        <w:t>la etiqueta</w:t>
      </w:r>
      <w:r w:rsidRPr="00D31A19">
        <w:rPr>
          <w:rFonts w:ascii="ITC Avant Garde" w:hAnsi="ITC Avant Garde"/>
          <w:kern w:val="1"/>
          <w:lang w:val="es-ES" w:eastAsia="ar-SA"/>
        </w:rPr>
        <w:t xml:space="preserve"> de “</w:t>
      </w:r>
      <w:r w:rsidRPr="00D31A19">
        <w:rPr>
          <w:rFonts w:ascii="ITC Avant Garde" w:hAnsi="ITC Avant Garde"/>
          <w:i/>
          <w:kern w:val="1"/>
          <w:lang w:val="es-ES" w:eastAsia="ar-SA"/>
        </w:rPr>
        <w:t>Fecha Estimada de entrega</w:t>
      </w:r>
      <w:r w:rsidRPr="00D31A19">
        <w:rPr>
          <w:rFonts w:ascii="ITC Avant Garde" w:hAnsi="ITC Avant Garde"/>
          <w:kern w:val="1"/>
          <w:lang w:val="es-ES" w:eastAsia="ar-SA"/>
        </w:rPr>
        <w:t>” para referirse a la “</w:t>
      </w:r>
      <w:r w:rsidRPr="00D31A19">
        <w:rPr>
          <w:rFonts w:ascii="ITC Avant Garde" w:hAnsi="ITC Avant Garde"/>
          <w:i/>
          <w:kern w:val="1"/>
          <w:lang w:val="es-ES" w:eastAsia="ar-SA"/>
        </w:rPr>
        <w:t xml:space="preserve">Fecha de entrega </w:t>
      </w:r>
      <w:r w:rsidR="002D5A7E" w:rsidRPr="00D31A19">
        <w:rPr>
          <w:rFonts w:ascii="ITC Avant Garde" w:hAnsi="ITC Avant Garde"/>
          <w:i/>
          <w:kern w:val="1"/>
          <w:lang w:val="es-ES" w:eastAsia="ar-SA"/>
        </w:rPr>
        <w:t>d</w:t>
      </w:r>
      <w:r w:rsidRPr="00D31A19">
        <w:rPr>
          <w:rFonts w:ascii="ITC Avant Garde" w:hAnsi="ITC Avant Garde"/>
          <w:i/>
          <w:kern w:val="1"/>
          <w:lang w:val="es-ES" w:eastAsia="ar-SA"/>
        </w:rPr>
        <w:t>el servicio</w:t>
      </w:r>
      <w:r w:rsidR="0040417B" w:rsidRPr="00D31A19">
        <w:rPr>
          <w:rFonts w:ascii="ITC Avant Garde" w:hAnsi="ITC Avant Garde"/>
          <w:kern w:val="1"/>
          <w:lang w:val="es-ES" w:eastAsia="ar-SA"/>
        </w:rPr>
        <w:t>”,</w:t>
      </w:r>
      <w:r w:rsidR="0040417B" w:rsidRPr="00D31A19">
        <w:rPr>
          <w:rStyle w:val="Refdenotaalpie"/>
          <w:lang w:val="es-ES"/>
        </w:rPr>
        <w:t xml:space="preserve"> </w:t>
      </w:r>
      <w:r w:rsidR="0040417B" w:rsidRPr="00D31A19">
        <w:rPr>
          <w:rStyle w:val="Refdenotaalpie"/>
          <w:lang w:val="es-ES"/>
        </w:rPr>
        <w:footnoteReference w:id="16"/>
      </w:r>
      <w:r w:rsidR="0040417B" w:rsidRPr="00D31A19">
        <w:rPr>
          <w:rFonts w:ascii="ITC Avant Garde" w:hAnsi="ITC Avant Garde"/>
          <w:kern w:val="1"/>
          <w:lang w:val="es-ES" w:eastAsia="ar-SA"/>
        </w:rPr>
        <w:t xml:space="preserve"> como se advierte a continuación:</w:t>
      </w:r>
    </w:p>
    <w:p w14:paraId="7214C266" w14:textId="77777777" w:rsidR="00564981" w:rsidRDefault="00FB1447" w:rsidP="00564981">
      <w:pPr>
        <w:pStyle w:val="CitaIFT"/>
        <w:spacing w:before="240" w:after="240"/>
        <w:rPr>
          <w:b/>
          <w:lang w:val="es-ES"/>
        </w:rPr>
      </w:pPr>
      <w:r w:rsidRPr="00D31A19">
        <w:rPr>
          <w:b/>
          <w:lang w:val="es-ES"/>
        </w:rPr>
        <w:t>“Anexo D3, Formulario de Seguimiento a Solicitudes de Desagregación (Alta, Baja, Cambio o Cancelación):</w:t>
      </w:r>
    </w:p>
    <w:p w14:paraId="6DCD2CBD" w14:textId="77777777" w:rsidR="00564981" w:rsidRDefault="00FB1447" w:rsidP="00564981">
      <w:pPr>
        <w:pStyle w:val="Citaift0"/>
        <w:spacing w:before="240" w:after="240"/>
        <w:rPr>
          <w:color w:val="auto"/>
          <w:lang w:val="es-ES"/>
        </w:rPr>
      </w:pPr>
      <w:r w:rsidRPr="00D31A19">
        <w:rPr>
          <w:color w:val="auto"/>
          <w:lang w:val="es-ES"/>
        </w:rPr>
        <w:t>Campos para el seguimiento a solicitudes de desagregación:</w:t>
      </w:r>
    </w:p>
    <w:p w14:paraId="59F4DCAB" w14:textId="3B34A5E6" w:rsidR="004014C1" w:rsidRPr="00D31A19" w:rsidRDefault="00C81EEC" w:rsidP="00564981">
      <w:pPr>
        <w:pStyle w:val="Citaift0"/>
        <w:spacing w:before="240" w:after="240"/>
        <w:ind w:left="0"/>
        <w:rPr>
          <w:color w:val="auto"/>
          <w:lang w:val="es-ES"/>
        </w:rPr>
      </w:pPr>
      <w:r w:rsidRPr="00D31A19">
        <w:rPr>
          <w:b/>
          <w:color w:val="auto"/>
          <w:sz w:val="16"/>
          <w:szCs w:val="16"/>
          <w:lang w:val="es-ES"/>
        </w:rPr>
        <w:t>DATOS QUE DESPLEGARÁ LA CONSULTA PARA EL SIGUIMIENTO DE SERVICIOS</w:t>
      </w:r>
    </w:p>
    <w:tbl>
      <w:tblPr>
        <w:tblStyle w:val="Cuadrculadetablaclara"/>
        <w:tblW w:w="4219" w:type="pct"/>
        <w:jc w:val="center"/>
        <w:tblLook w:val="00A0" w:firstRow="1" w:lastRow="0" w:firstColumn="1" w:lastColumn="0" w:noHBand="0" w:noVBand="0"/>
        <w:tblCaption w:val="TABLA 4"/>
        <w:tblDescription w:val="Tabla de 5 por 7, en la primera fila se muestra el rubro y en las sigueintes los datos que despelgará ña consulta para el seguimiento de servicios, en la última fila las fechas."/>
      </w:tblPr>
      <w:tblGrid>
        <w:gridCol w:w="1584"/>
        <w:gridCol w:w="2360"/>
        <w:gridCol w:w="1264"/>
        <w:gridCol w:w="1490"/>
        <w:gridCol w:w="1229"/>
      </w:tblGrid>
      <w:tr w:rsidR="00FB1447" w:rsidRPr="00564981" w14:paraId="34EFE2E3" w14:textId="77777777" w:rsidTr="00564981">
        <w:trPr>
          <w:trHeight w:val="600"/>
          <w:tblHeader/>
          <w:jc w:val="center"/>
        </w:trPr>
        <w:tc>
          <w:tcPr>
            <w:tcW w:w="999" w:type="pct"/>
          </w:tcPr>
          <w:p w14:paraId="34ABCFD0" w14:textId="77777777" w:rsidR="00FB1447" w:rsidRPr="00564981" w:rsidRDefault="00FB1447" w:rsidP="00564981">
            <w:pPr>
              <w:pStyle w:val="Citaift0"/>
              <w:spacing w:after="0"/>
              <w:ind w:left="0" w:right="0"/>
              <w:rPr>
                <w:b/>
                <w:i w:val="0"/>
                <w:color w:val="auto"/>
                <w:sz w:val="16"/>
                <w:szCs w:val="16"/>
                <w:lang w:val="es-ES"/>
              </w:rPr>
            </w:pPr>
            <w:r w:rsidRPr="00564981">
              <w:rPr>
                <w:b/>
                <w:i w:val="0"/>
                <w:color w:val="auto"/>
                <w:sz w:val="16"/>
                <w:szCs w:val="16"/>
                <w:lang w:val="es-ES"/>
              </w:rPr>
              <w:lastRenderedPageBreak/>
              <w:t>CAMPO</w:t>
            </w:r>
          </w:p>
        </w:tc>
        <w:tc>
          <w:tcPr>
            <w:tcW w:w="1489" w:type="pct"/>
          </w:tcPr>
          <w:p w14:paraId="3E501CFA" w14:textId="77777777" w:rsidR="00FB1447" w:rsidRPr="00564981" w:rsidRDefault="00FB1447" w:rsidP="00564981">
            <w:pPr>
              <w:pStyle w:val="Citaift0"/>
              <w:spacing w:after="0"/>
              <w:ind w:left="0" w:right="0"/>
              <w:rPr>
                <w:b/>
                <w:i w:val="0"/>
                <w:color w:val="auto"/>
                <w:sz w:val="16"/>
                <w:szCs w:val="16"/>
                <w:lang w:val="es-ES"/>
              </w:rPr>
            </w:pPr>
            <w:r w:rsidRPr="00564981">
              <w:rPr>
                <w:b/>
                <w:i w:val="0"/>
                <w:color w:val="auto"/>
                <w:sz w:val="16"/>
                <w:szCs w:val="16"/>
                <w:lang w:val="es-ES"/>
              </w:rPr>
              <w:t>DESCRIPCIÓN</w:t>
            </w:r>
          </w:p>
        </w:tc>
        <w:tc>
          <w:tcPr>
            <w:tcW w:w="797" w:type="pct"/>
          </w:tcPr>
          <w:p w14:paraId="2274886D" w14:textId="77777777" w:rsidR="00FB1447" w:rsidRPr="00564981" w:rsidRDefault="00FB1447" w:rsidP="00564981">
            <w:pPr>
              <w:pStyle w:val="Citaift0"/>
              <w:spacing w:after="0"/>
              <w:ind w:left="0" w:right="60"/>
              <w:rPr>
                <w:b/>
                <w:i w:val="0"/>
                <w:color w:val="auto"/>
                <w:sz w:val="16"/>
                <w:szCs w:val="16"/>
                <w:lang w:val="es-ES"/>
              </w:rPr>
            </w:pPr>
            <w:r w:rsidRPr="00564981">
              <w:rPr>
                <w:b/>
                <w:i w:val="0"/>
                <w:color w:val="auto"/>
                <w:sz w:val="16"/>
                <w:szCs w:val="16"/>
                <w:lang w:val="es-ES"/>
              </w:rPr>
              <w:t>CAPTURA</w:t>
            </w:r>
          </w:p>
        </w:tc>
        <w:tc>
          <w:tcPr>
            <w:tcW w:w="940" w:type="pct"/>
          </w:tcPr>
          <w:p w14:paraId="6BA27CC3" w14:textId="77777777" w:rsidR="00FB1447" w:rsidRPr="00564981" w:rsidRDefault="00FB1447" w:rsidP="00564981">
            <w:pPr>
              <w:pStyle w:val="Citaift0"/>
              <w:spacing w:after="0"/>
              <w:ind w:left="0" w:right="13"/>
              <w:rPr>
                <w:b/>
                <w:i w:val="0"/>
                <w:color w:val="auto"/>
                <w:sz w:val="16"/>
                <w:szCs w:val="16"/>
                <w:lang w:val="es-ES"/>
              </w:rPr>
            </w:pPr>
            <w:r w:rsidRPr="00564981">
              <w:rPr>
                <w:b/>
                <w:i w:val="0"/>
                <w:color w:val="auto"/>
                <w:sz w:val="16"/>
                <w:szCs w:val="16"/>
                <w:lang w:val="es-ES"/>
              </w:rPr>
              <w:t>TIPO</w:t>
            </w:r>
          </w:p>
        </w:tc>
        <w:tc>
          <w:tcPr>
            <w:tcW w:w="775" w:type="pct"/>
          </w:tcPr>
          <w:p w14:paraId="53992366" w14:textId="77777777" w:rsidR="00FB1447" w:rsidRPr="00564981" w:rsidRDefault="00FB1447" w:rsidP="00564981">
            <w:pPr>
              <w:pStyle w:val="Citaift0"/>
              <w:spacing w:after="0"/>
              <w:ind w:left="0" w:right="0"/>
              <w:rPr>
                <w:b/>
                <w:i w:val="0"/>
                <w:color w:val="auto"/>
                <w:sz w:val="16"/>
                <w:szCs w:val="16"/>
                <w:lang w:val="es-ES"/>
              </w:rPr>
            </w:pPr>
            <w:r w:rsidRPr="00564981">
              <w:rPr>
                <w:b/>
                <w:i w:val="0"/>
                <w:color w:val="auto"/>
                <w:sz w:val="16"/>
                <w:szCs w:val="16"/>
                <w:lang w:val="es-ES"/>
              </w:rPr>
              <w:t>CARACTERES</w:t>
            </w:r>
          </w:p>
        </w:tc>
      </w:tr>
      <w:tr w:rsidR="00FB1447" w:rsidRPr="00564981" w14:paraId="7CF16E6B" w14:textId="77777777" w:rsidTr="00564981">
        <w:trPr>
          <w:trHeight w:val="510"/>
          <w:tblHeader/>
          <w:jc w:val="center"/>
        </w:trPr>
        <w:tc>
          <w:tcPr>
            <w:tcW w:w="999" w:type="pct"/>
          </w:tcPr>
          <w:p w14:paraId="2048A0AD"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CONCESIONARIO</w:t>
            </w:r>
          </w:p>
        </w:tc>
        <w:tc>
          <w:tcPr>
            <w:tcW w:w="1489" w:type="pct"/>
          </w:tcPr>
          <w:p w14:paraId="1D48C259" w14:textId="77777777" w:rsidR="00FB1447" w:rsidRPr="00564981" w:rsidRDefault="00FB1447" w:rsidP="00564981">
            <w:pPr>
              <w:pStyle w:val="Citaift0"/>
              <w:spacing w:after="0"/>
              <w:ind w:left="0" w:right="0"/>
              <w:jc w:val="left"/>
              <w:rPr>
                <w:i w:val="0"/>
                <w:color w:val="auto"/>
                <w:sz w:val="16"/>
                <w:szCs w:val="16"/>
                <w:lang w:val="es-ES"/>
              </w:rPr>
            </w:pPr>
            <w:r w:rsidRPr="00564981">
              <w:rPr>
                <w:i w:val="0"/>
                <w:color w:val="auto"/>
                <w:sz w:val="16"/>
                <w:szCs w:val="16"/>
                <w:lang w:val="es-ES"/>
              </w:rPr>
              <w:t>Razón Social Concesionario</w:t>
            </w:r>
          </w:p>
        </w:tc>
        <w:tc>
          <w:tcPr>
            <w:tcW w:w="797" w:type="pct"/>
          </w:tcPr>
          <w:p w14:paraId="0B549E56" w14:textId="77777777" w:rsidR="00FB1447" w:rsidRPr="00564981" w:rsidRDefault="00FB1447" w:rsidP="00564981">
            <w:pPr>
              <w:pStyle w:val="Citaift0"/>
              <w:spacing w:after="0"/>
              <w:ind w:left="0" w:right="60"/>
              <w:rPr>
                <w:i w:val="0"/>
                <w:color w:val="auto"/>
                <w:sz w:val="16"/>
                <w:szCs w:val="16"/>
                <w:lang w:val="es-ES"/>
              </w:rPr>
            </w:pPr>
            <w:r w:rsidRPr="00564981">
              <w:rPr>
                <w:i w:val="0"/>
                <w:color w:val="auto"/>
                <w:sz w:val="16"/>
                <w:szCs w:val="16"/>
                <w:lang w:val="es-ES"/>
              </w:rPr>
              <w:t>Automático</w:t>
            </w:r>
          </w:p>
        </w:tc>
        <w:tc>
          <w:tcPr>
            <w:tcW w:w="940" w:type="pct"/>
          </w:tcPr>
          <w:p w14:paraId="484B0017" w14:textId="77777777" w:rsidR="00FB1447" w:rsidRPr="00564981" w:rsidRDefault="00FB1447" w:rsidP="00564981">
            <w:pPr>
              <w:pStyle w:val="Citaift0"/>
              <w:spacing w:after="0"/>
              <w:ind w:left="0" w:right="13"/>
              <w:rPr>
                <w:i w:val="0"/>
                <w:color w:val="auto"/>
                <w:sz w:val="16"/>
                <w:szCs w:val="16"/>
                <w:lang w:val="es-ES"/>
              </w:rPr>
            </w:pPr>
            <w:r w:rsidRPr="00564981">
              <w:rPr>
                <w:i w:val="0"/>
                <w:color w:val="auto"/>
                <w:sz w:val="16"/>
                <w:szCs w:val="16"/>
                <w:lang w:val="es-ES"/>
              </w:rPr>
              <w:t>Alfanumérico</w:t>
            </w:r>
          </w:p>
        </w:tc>
        <w:tc>
          <w:tcPr>
            <w:tcW w:w="775" w:type="pct"/>
          </w:tcPr>
          <w:p w14:paraId="004F4AB3"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100</w:t>
            </w:r>
          </w:p>
        </w:tc>
      </w:tr>
      <w:tr w:rsidR="00FB1447" w:rsidRPr="00564981" w14:paraId="15FDB744" w14:textId="77777777" w:rsidTr="00564981">
        <w:trPr>
          <w:trHeight w:val="510"/>
          <w:tblHeader/>
          <w:jc w:val="center"/>
        </w:trPr>
        <w:tc>
          <w:tcPr>
            <w:tcW w:w="999" w:type="pct"/>
          </w:tcPr>
          <w:p w14:paraId="55260452"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TIPO DE SERVICIO SOLICITADO</w:t>
            </w:r>
          </w:p>
        </w:tc>
        <w:tc>
          <w:tcPr>
            <w:tcW w:w="1489" w:type="pct"/>
          </w:tcPr>
          <w:p w14:paraId="2E8092FC" w14:textId="77777777" w:rsidR="00FB1447" w:rsidRPr="00564981" w:rsidRDefault="00FB1447" w:rsidP="00564981">
            <w:pPr>
              <w:pStyle w:val="Citaift0"/>
              <w:spacing w:after="0"/>
              <w:ind w:left="0" w:right="0"/>
              <w:jc w:val="left"/>
              <w:rPr>
                <w:i w:val="0"/>
                <w:color w:val="auto"/>
                <w:sz w:val="16"/>
                <w:szCs w:val="16"/>
                <w:lang w:val="es-ES"/>
              </w:rPr>
            </w:pPr>
            <w:r w:rsidRPr="00564981">
              <w:rPr>
                <w:i w:val="0"/>
                <w:color w:val="auto"/>
                <w:sz w:val="16"/>
                <w:szCs w:val="16"/>
                <w:lang w:val="es-ES"/>
              </w:rPr>
              <w:t>Servicio de Desagregación solicitado</w:t>
            </w:r>
          </w:p>
        </w:tc>
        <w:tc>
          <w:tcPr>
            <w:tcW w:w="797" w:type="pct"/>
          </w:tcPr>
          <w:p w14:paraId="1593952E" w14:textId="77777777" w:rsidR="00FB1447" w:rsidRPr="00564981" w:rsidRDefault="00FB1447" w:rsidP="00564981">
            <w:pPr>
              <w:pStyle w:val="Citaift0"/>
              <w:spacing w:after="0"/>
              <w:ind w:left="0" w:right="60"/>
              <w:rPr>
                <w:i w:val="0"/>
                <w:color w:val="auto"/>
                <w:sz w:val="16"/>
                <w:szCs w:val="16"/>
                <w:lang w:val="es-ES"/>
              </w:rPr>
            </w:pPr>
            <w:r w:rsidRPr="00564981">
              <w:rPr>
                <w:i w:val="0"/>
                <w:color w:val="auto"/>
                <w:sz w:val="16"/>
                <w:szCs w:val="16"/>
                <w:lang w:val="es-ES"/>
              </w:rPr>
              <w:t>Automático</w:t>
            </w:r>
          </w:p>
        </w:tc>
        <w:tc>
          <w:tcPr>
            <w:tcW w:w="940" w:type="pct"/>
          </w:tcPr>
          <w:p w14:paraId="59CED210" w14:textId="77777777" w:rsidR="00FB1447" w:rsidRPr="00564981" w:rsidRDefault="00FB1447" w:rsidP="00564981">
            <w:pPr>
              <w:pStyle w:val="Citaift0"/>
              <w:spacing w:after="0"/>
              <w:ind w:left="0" w:right="13"/>
              <w:rPr>
                <w:i w:val="0"/>
                <w:color w:val="auto"/>
                <w:sz w:val="16"/>
                <w:szCs w:val="16"/>
                <w:lang w:val="es-ES"/>
              </w:rPr>
            </w:pPr>
            <w:r w:rsidRPr="00564981">
              <w:rPr>
                <w:i w:val="0"/>
                <w:color w:val="auto"/>
                <w:sz w:val="16"/>
                <w:szCs w:val="16"/>
                <w:lang w:val="es-ES"/>
              </w:rPr>
              <w:t>Alfanumérico</w:t>
            </w:r>
          </w:p>
        </w:tc>
        <w:tc>
          <w:tcPr>
            <w:tcW w:w="775" w:type="pct"/>
          </w:tcPr>
          <w:p w14:paraId="6E5D8D2C"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50</w:t>
            </w:r>
          </w:p>
        </w:tc>
      </w:tr>
      <w:tr w:rsidR="00FB1447" w:rsidRPr="00564981" w14:paraId="56246D70" w14:textId="77777777" w:rsidTr="00564981">
        <w:trPr>
          <w:trHeight w:val="510"/>
          <w:tblHeader/>
          <w:jc w:val="center"/>
        </w:trPr>
        <w:tc>
          <w:tcPr>
            <w:tcW w:w="999" w:type="pct"/>
          </w:tcPr>
          <w:p w14:paraId="416C5CEE"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MOVIMIENTO</w:t>
            </w:r>
          </w:p>
        </w:tc>
        <w:tc>
          <w:tcPr>
            <w:tcW w:w="1489" w:type="pct"/>
          </w:tcPr>
          <w:p w14:paraId="7535FD42" w14:textId="77777777" w:rsidR="00FB1447" w:rsidRPr="00564981" w:rsidRDefault="00FB1447" w:rsidP="00564981">
            <w:pPr>
              <w:pStyle w:val="Citaift0"/>
              <w:spacing w:after="0"/>
              <w:ind w:left="0" w:right="0"/>
              <w:jc w:val="left"/>
              <w:rPr>
                <w:i w:val="0"/>
                <w:color w:val="auto"/>
                <w:sz w:val="16"/>
                <w:szCs w:val="16"/>
                <w:lang w:val="es-ES"/>
              </w:rPr>
            </w:pPr>
            <w:r w:rsidRPr="00564981">
              <w:rPr>
                <w:i w:val="0"/>
                <w:color w:val="auto"/>
                <w:sz w:val="16"/>
                <w:szCs w:val="16"/>
                <w:lang w:val="es-ES"/>
              </w:rPr>
              <w:t>Alta, Baja, Cambio, Cancelado.</w:t>
            </w:r>
          </w:p>
        </w:tc>
        <w:tc>
          <w:tcPr>
            <w:tcW w:w="797" w:type="pct"/>
          </w:tcPr>
          <w:p w14:paraId="3341D546" w14:textId="77777777" w:rsidR="00FB1447" w:rsidRPr="00564981" w:rsidRDefault="00FB1447" w:rsidP="00564981">
            <w:pPr>
              <w:pStyle w:val="Citaift0"/>
              <w:spacing w:after="0"/>
              <w:ind w:left="0" w:right="60"/>
              <w:rPr>
                <w:i w:val="0"/>
                <w:color w:val="auto"/>
                <w:sz w:val="16"/>
                <w:szCs w:val="16"/>
                <w:lang w:val="es-ES"/>
              </w:rPr>
            </w:pPr>
            <w:r w:rsidRPr="00564981">
              <w:rPr>
                <w:i w:val="0"/>
                <w:color w:val="auto"/>
                <w:sz w:val="16"/>
                <w:szCs w:val="16"/>
                <w:lang w:val="es-ES"/>
              </w:rPr>
              <w:t>Automático</w:t>
            </w:r>
          </w:p>
        </w:tc>
        <w:tc>
          <w:tcPr>
            <w:tcW w:w="940" w:type="pct"/>
          </w:tcPr>
          <w:p w14:paraId="7F9FA17D" w14:textId="77777777" w:rsidR="00FB1447" w:rsidRPr="00564981" w:rsidRDefault="00FB1447" w:rsidP="00564981">
            <w:pPr>
              <w:pStyle w:val="Citaift0"/>
              <w:spacing w:after="0"/>
              <w:ind w:left="0" w:right="13"/>
              <w:rPr>
                <w:i w:val="0"/>
                <w:color w:val="auto"/>
                <w:sz w:val="16"/>
                <w:szCs w:val="16"/>
                <w:lang w:val="es-ES"/>
              </w:rPr>
            </w:pPr>
            <w:r w:rsidRPr="00564981">
              <w:rPr>
                <w:i w:val="0"/>
                <w:color w:val="auto"/>
                <w:sz w:val="16"/>
                <w:szCs w:val="16"/>
                <w:lang w:val="es-ES"/>
              </w:rPr>
              <w:t>Alfanumérico</w:t>
            </w:r>
          </w:p>
        </w:tc>
        <w:tc>
          <w:tcPr>
            <w:tcW w:w="775" w:type="pct"/>
          </w:tcPr>
          <w:p w14:paraId="2A03280E"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50</w:t>
            </w:r>
          </w:p>
        </w:tc>
      </w:tr>
      <w:tr w:rsidR="00FB1447" w:rsidRPr="00564981" w14:paraId="67CD7D96" w14:textId="77777777" w:rsidTr="00564981">
        <w:trPr>
          <w:trHeight w:val="510"/>
          <w:tblHeader/>
          <w:jc w:val="center"/>
        </w:trPr>
        <w:tc>
          <w:tcPr>
            <w:tcW w:w="999" w:type="pct"/>
          </w:tcPr>
          <w:p w14:paraId="4E873F0C"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SERVICIO PRONOSTICADO</w:t>
            </w:r>
          </w:p>
        </w:tc>
        <w:tc>
          <w:tcPr>
            <w:tcW w:w="1489" w:type="pct"/>
          </w:tcPr>
          <w:p w14:paraId="358A95A3" w14:textId="77777777" w:rsidR="00FB1447" w:rsidRPr="00564981" w:rsidRDefault="00FB1447" w:rsidP="00564981">
            <w:pPr>
              <w:pStyle w:val="Citaift0"/>
              <w:spacing w:after="0"/>
              <w:ind w:left="0" w:right="0"/>
              <w:jc w:val="left"/>
              <w:rPr>
                <w:i w:val="0"/>
                <w:color w:val="auto"/>
                <w:sz w:val="16"/>
                <w:szCs w:val="16"/>
                <w:lang w:val="es-ES"/>
              </w:rPr>
            </w:pPr>
            <w:r w:rsidRPr="00564981">
              <w:rPr>
                <w:i w:val="0"/>
                <w:color w:val="auto"/>
                <w:sz w:val="16"/>
                <w:szCs w:val="16"/>
                <w:lang w:val="es-ES"/>
              </w:rPr>
              <w:t>Valores: Si/No</w:t>
            </w:r>
          </w:p>
        </w:tc>
        <w:tc>
          <w:tcPr>
            <w:tcW w:w="797" w:type="pct"/>
          </w:tcPr>
          <w:p w14:paraId="209B65BC" w14:textId="77777777" w:rsidR="00FB1447" w:rsidRPr="00564981" w:rsidRDefault="00FB1447" w:rsidP="00564981">
            <w:pPr>
              <w:pStyle w:val="Citaift0"/>
              <w:spacing w:after="0"/>
              <w:ind w:left="0" w:right="60"/>
              <w:rPr>
                <w:i w:val="0"/>
                <w:color w:val="auto"/>
                <w:sz w:val="16"/>
                <w:szCs w:val="16"/>
                <w:lang w:val="es-ES"/>
              </w:rPr>
            </w:pPr>
            <w:r w:rsidRPr="00564981">
              <w:rPr>
                <w:i w:val="0"/>
                <w:color w:val="auto"/>
                <w:sz w:val="16"/>
                <w:szCs w:val="16"/>
                <w:lang w:val="es-ES"/>
              </w:rPr>
              <w:t>Automático</w:t>
            </w:r>
          </w:p>
        </w:tc>
        <w:tc>
          <w:tcPr>
            <w:tcW w:w="940" w:type="pct"/>
          </w:tcPr>
          <w:p w14:paraId="049A96C5" w14:textId="77777777" w:rsidR="00FB1447" w:rsidRPr="00564981" w:rsidRDefault="00FB1447" w:rsidP="00564981">
            <w:pPr>
              <w:pStyle w:val="Citaift0"/>
              <w:spacing w:after="0"/>
              <w:ind w:left="0" w:right="13"/>
              <w:rPr>
                <w:i w:val="0"/>
                <w:color w:val="auto"/>
                <w:sz w:val="16"/>
                <w:szCs w:val="16"/>
                <w:lang w:val="es-ES"/>
              </w:rPr>
            </w:pPr>
            <w:r w:rsidRPr="00564981">
              <w:rPr>
                <w:i w:val="0"/>
                <w:color w:val="auto"/>
                <w:sz w:val="16"/>
                <w:szCs w:val="16"/>
                <w:lang w:val="es-ES"/>
              </w:rPr>
              <w:t>Texto</w:t>
            </w:r>
          </w:p>
        </w:tc>
        <w:tc>
          <w:tcPr>
            <w:tcW w:w="775" w:type="pct"/>
          </w:tcPr>
          <w:p w14:paraId="3996C342"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2</w:t>
            </w:r>
          </w:p>
        </w:tc>
      </w:tr>
      <w:tr w:rsidR="00FB1447" w:rsidRPr="00564981" w14:paraId="294790A5" w14:textId="77777777" w:rsidTr="00564981">
        <w:trPr>
          <w:trHeight w:val="510"/>
          <w:tblHeader/>
          <w:jc w:val="center"/>
        </w:trPr>
        <w:tc>
          <w:tcPr>
            <w:tcW w:w="999" w:type="pct"/>
          </w:tcPr>
          <w:p w14:paraId="5157CFB0"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PRONÓSTICO RATIFICADO</w:t>
            </w:r>
          </w:p>
        </w:tc>
        <w:tc>
          <w:tcPr>
            <w:tcW w:w="1489" w:type="pct"/>
          </w:tcPr>
          <w:p w14:paraId="30C777DE" w14:textId="77777777" w:rsidR="00FB1447" w:rsidRPr="00564981" w:rsidRDefault="00FB1447" w:rsidP="00564981">
            <w:pPr>
              <w:pStyle w:val="Citaift0"/>
              <w:spacing w:after="0"/>
              <w:ind w:left="0" w:right="0"/>
              <w:jc w:val="left"/>
              <w:rPr>
                <w:i w:val="0"/>
                <w:color w:val="auto"/>
                <w:sz w:val="16"/>
                <w:szCs w:val="16"/>
                <w:lang w:val="es-ES"/>
              </w:rPr>
            </w:pPr>
            <w:r w:rsidRPr="00564981">
              <w:rPr>
                <w:i w:val="0"/>
                <w:color w:val="auto"/>
                <w:sz w:val="16"/>
                <w:szCs w:val="16"/>
                <w:lang w:val="es-ES"/>
              </w:rPr>
              <w:t>Valores: Si/No</w:t>
            </w:r>
          </w:p>
        </w:tc>
        <w:tc>
          <w:tcPr>
            <w:tcW w:w="797" w:type="pct"/>
          </w:tcPr>
          <w:p w14:paraId="6F4E4CD2" w14:textId="77777777" w:rsidR="00FB1447" w:rsidRPr="00564981" w:rsidRDefault="00FB1447" w:rsidP="00564981">
            <w:pPr>
              <w:pStyle w:val="Citaift0"/>
              <w:spacing w:after="0"/>
              <w:ind w:left="0" w:right="60"/>
              <w:rPr>
                <w:i w:val="0"/>
                <w:color w:val="auto"/>
                <w:sz w:val="16"/>
                <w:szCs w:val="16"/>
                <w:lang w:val="es-ES"/>
              </w:rPr>
            </w:pPr>
            <w:r w:rsidRPr="00564981">
              <w:rPr>
                <w:i w:val="0"/>
                <w:color w:val="auto"/>
                <w:sz w:val="16"/>
                <w:szCs w:val="16"/>
                <w:lang w:val="es-ES"/>
              </w:rPr>
              <w:t>Automático</w:t>
            </w:r>
          </w:p>
        </w:tc>
        <w:tc>
          <w:tcPr>
            <w:tcW w:w="940" w:type="pct"/>
          </w:tcPr>
          <w:p w14:paraId="29E617F1" w14:textId="77777777" w:rsidR="00FB1447" w:rsidRPr="00564981" w:rsidRDefault="00FB1447" w:rsidP="00564981">
            <w:pPr>
              <w:pStyle w:val="Citaift0"/>
              <w:spacing w:after="0"/>
              <w:ind w:left="0" w:right="13"/>
              <w:rPr>
                <w:i w:val="0"/>
                <w:color w:val="auto"/>
                <w:sz w:val="16"/>
                <w:szCs w:val="16"/>
                <w:lang w:val="es-ES"/>
              </w:rPr>
            </w:pPr>
            <w:r w:rsidRPr="00564981">
              <w:rPr>
                <w:i w:val="0"/>
                <w:color w:val="auto"/>
                <w:sz w:val="16"/>
                <w:szCs w:val="16"/>
                <w:lang w:val="es-ES"/>
              </w:rPr>
              <w:t>Texto</w:t>
            </w:r>
          </w:p>
        </w:tc>
        <w:tc>
          <w:tcPr>
            <w:tcW w:w="775" w:type="pct"/>
          </w:tcPr>
          <w:p w14:paraId="7B313191"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2</w:t>
            </w:r>
          </w:p>
        </w:tc>
      </w:tr>
      <w:tr w:rsidR="00FB1447" w:rsidRPr="00564981" w14:paraId="7696EF49" w14:textId="77777777" w:rsidTr="00564981">
        <w:trPr>
          <w:trHeight w:val="510"/>
          <w:tblHeader/>
          <w:jc w:val="center"/>
        </w:trPr>
        <w:tc>
          <w:tcPr>
            <w:tcW w:w="999" w:type="pct"/>
          </w:tcPr>
          <w:p w14:paraId="3984E548"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FECHA SOLICITUD</w:t>
            </w:r>
          </w:p>
        </w:tc>
        <w:tc>
          <w:tcPr>
            <w:tcW w:w="1489" w:type="pct"/>
          </w:tcPr>
          <w:p w14:paraId="3A5CBEBE" w14:textId="77777777" w:rsidR="00FB1447" w:rsidRPr="00564981" w:rsidRDefault="00FB1447" w:rsidP="00564981">
            <w:pPr>
              <w:pStyle w:val="Citaift0"/>
              <w:spacing w:after="0"/>
              <w:ind w:left="0" w:right="0"/>
              <w:jc w:val="left"/>
              <w:rPr>
                <w:i w:val="0"/>
                <w:color w:val="auto"/>
                <w:sz w:val="16"/>
                <w:szCs w:val="16"/>
                <w:lang w:val="es-ES"/>
              </w:rPr>
            </w:pPr>
            <w:r w:rsidRPr="00564981">
              <w:rPr>
                <w:i w:val="0"/>
                <w:color w:val="auto"/>
                <w:sz w:val="16"/>
                <w:szCs w:val="16"/>
                <w:lang w:val="es-ES"/>
              </w:rPr>
              <w:t xml:space="preserve">Fecha de recepción de la solicitud, la asigna el Sistema </w:t>
            </w:r>
          </w:p>
        </w:tc>
        <w:tc>
          <w:tcPr>
            <w:tcW w:w="797" w:type="pct"/>
          </w:tcPr>
          <w:p w14:paraId="130E52B9" w14:textId="77777777" w:rsidR="00FB1447" w:rsidRPr="00564981" w:rsidRDefault="00FB1447" w:rsidP="00564981">
            <w:pPr>
              <w:pStyle w:val="Citaift0"/>
              <w:spacing w:after="0"/>
              <w:ind w:left="0" w:right="60"/>
              <w:rPr>
                <w:i w:val="0"/>
                <w:color w:val="auto"/>
                <w:sz w:val="16"/>
                <w:szCs w:val="16"/>
                <w:lang w:val="es-ES"/>
              </w:rPr>
            </w:pPr>
            <w:r w:rsidRPr="00564981">
              <w:rPr>
                <w:i w:val="0"/>
                <w:color w:val="auto"/>
                <w:sz w:val="16"/>
                <w:szCs w:val="16"/>
                <w:lang w:val="es-ES"/>
              </w:rPr>
              <w:t>Automático</w:t>
            </w:r>
          </w:p>
        </w:tc>
        <w:tc>
          <w:tcPr>
            <w:tcW w:w="940" w:type="pct"/>
          </w:tcPr>
          <w:p w14:paraId="27883290" w14:textId="77777777" w:rsidR="00FB1447" w:rsidRPr="00564981" w:rsidRDefault="00FB1447" w:rsidP="00564981">
            <w:pPr>
              <w:pStyle w:val="Citaift0"/>
              <w:spacing w:after="0"/>
              <w:ind w:left="0" w:right="13"/>
              <w:rPr>
                <w:i w:val="0"/>
                <w:color w:val="auto"/>
                <w:sz w:val="16"/>
                <w:szCs w:val="16"/>
                <w:lang w:val="es-ES"/>
              </w:rPr>
            </w:pPr>
            <w:r w:rsidRPr="00564981">
              <w:rPr>
                <w:i w:val="0"/>
                <w:color w:val="auto"/>
                <w:sz w:val="16"/>
                <w:szCs w:val="16"/>
                <w:lang w:val="es-ES"/>
              </w:rPr>
              <w:t>DD/MM/AAAA</w:t>
            </w:r>
          </w:p>
        </w:tc>
        <w:tc>
          <w:tcPr>
            <w:tcW w:w="775" w:type="pct"/>
          </w:tcPr>
          <w:p w14:paraId="2F08905C" w14:textId="77777777" w:rsidR="00FB1447" w:rsidRPr="00564981" w:rsidRDefault="00FB1447" w:rsidP="00564981">
            <w:pPr>
              <w:pStyle w:val="Citaift0"/>
              <w:spacing w:after="0"/>
              <w:ind w:left="0" w:right="0"/>
              <w:rPr>
                <w:i w:val="0"/>
                <w:color w:val="auto"/>
                <w:sz w:val="16"/>
                <w:szCs w:val="16"/>
                <w:lang w:val="es-ES"/>
              </w:rPr>
            </w:pPr>
            <w:r w:rsidRPr="00564981">
              <w:rPr>
                <w:i w:val="0"/>
                <w:color w:val="auto"/>
                <w:sz w:val="16"/>
                <w:szCs w:val="16"/>
                <w:lang w:val="es-ES"/>
              </w:rPr>
              <w:t>8</w:t>
            </w:r>
          </w:p>
        </w:tc>
      </w:tr>
      <w:tr w:rsidR="00FB1447" w:rsidRPr="00564981" w14:paraId="375B48F9" w14:textId="77777777" w:rsidTr="00564981">
        <w:trPr>
          <w:trHeight w:val="510"/>
          <w:tblHeader/>
          <w:jc w:val="center"/>
        </w:trPr>
        <w:tc>
          <w:tcPr>
            <w:tcW w:w="999" w:type="pct"/>
          </w:tcPr>
          <w:p w14:paraId="1766C9DE" w14:textId="77777777" w:rsidR="00FB1447" w:rsidRPr="00564981" w:rsidRDefault="00FB1447" w:rsidP="00564981">
            <w:pPr>
              <w:pStyle w:val="Citaift0"/>
              <w:spacing w:after="0"/>
              <w:ind w:left="0" w:right="0"/>
              <w:rPr>
                <w:b/>
                <w:i w:val="0"/>
                <w:color w:val="auto"/>
                <w:sz w:val="16"/>
                <w:szCs w:val="16"/>
                <w:u w:val="single"/>
                <w:lang w:val="es-ES"/>
              </w:rPr>
            </w:pPr>
            <w:r w:rsidRPr="00564981">
              <w:rPr>
                <w:b/>
                <w:i w:val="0"/>
                <w:color w:val="auto"/>
                <w:sz w:val="16"/>
                <w:szCs w:val="16"/>
                <w:u w:val="single"/>
                <w:lang w:val="es-ES"/>
              </w:rPr>
              <w:t>FECHA ESTIMADA DE ENTREGA</w:t>
            </w:r>
          </w:p>
        </w:tc>
        <w:tc>
          <w:tcPr>
            <w:tcW w:w="1489" w:type="pct"/>
          </w:tcPr>
          <w:p w14:paraId="5D5B1759" w14:textId="77777777" w:rsidR="00FB1447" w:rsidRPr="00564981" w:rsidRDefault="00FB1447" w:rsidP="00564981">
            <w:pPr>
              <w:pStyle w:val="Citaift0"/>
              <w:spacing w:after="0"/>
              <w:ind w:left="0" w:right="0"/>
              <w:jc w:val="left"/>
              <w:rPr>
                <w:b/>
                <w:i w:val="0"/>
                <w:color w:val="auto"/>
                <w:sz w:val="16"/>
                <w:szCs w:val="16"/>
                <w:u w:val="single"/>
                <w:lang w:val="es-ES"/>
              </w:rPr>
            </w:pPr>
            <w:r w:rsidRPr="00564981">
              <w:rPr>
                <w:b/>
                <w:i w:val="0"/>
                <w:color w:val="auto"/>
                <w:sz w:val="16"/>
                <w:szCs w:val="16"/>
                <w:u w:val="single"/>
                <w:lang w:val="es-ES"/>
              </w:rPr>
              <w:t>Fecha de entrega del servicio al CS</w:t>
            </w:r>
          </w:p>
        </w:tc>
        <w:tc>
          <w:tcPr>
            <w:tcW w:w="797" w:type="pct"/>
          </w:tcPr>
          <w:p w14:paraId="0A9B9909" w14:textId="77777777" w:rsidR="00FB1447" w:rsidRPr="00564981" w:rsidRDefault="00FB1447" w:rsidP="00564981">
            <w:pPr>
              <w:pStyle w:val="Citaift0"/>
              <w:spacing w:after="0"/>
              <w:ind w:left="0" w:right="60"/>
              <w:rPr>
                <w:b/>
                <w:i w:val="0"/>
                <w:color w:val="auto"/>
                <w:sz w:val="16"/>
                <w:szCs w:val="16"/>
                <w:u w:val="single"/>
                <w:lang w:val="es-ES"/>
              </w:rPr>
            </w:pPr>
            <w:r w:rsidRPr="00564981">
              <w:rPr>
                <w:b/>
                <w:i w:val="0"/>
                <w:color w:val="auto"/>
                <w:sz w:val="16"/>
                <w:szCs w:val="16"/>
                <w:u w:val="single"/>
                <w:lang w:val="es-ES"/>
              </w:rPr>
              <w:t>Automático</w:t>
            </w:r>
          </w:p>
        </w:tc>
        <w:tc>
          <w:tcPr>
            <w:tcW w:w="940" w:type="pct"/>
          </w:tcPr>
          <w:p w14:paraId="0E4AB0BC" w14:textId="77777777" w:rsidR="00FB1447" w:rsidRPr="00564981" w:rsidRDefault="00FB1447" w:rsidP="00564981">
            <w:pPr>
              <w:pStyle w:val="Citaift0"/>
              <w:spacing w:after="0"/>
              <w:ind w:left="0" w:right="13"/>
              <w:rPr>
                <w:b/>
                <w:i w:val="0"/>
                <w:color w:val="auto"/>
                <w:sz w:val="16"/>
                <w:szCs w:val="16"/>
                <w:u w:val="single"/>
                <w:lang w:val="es-ES"/>
              </w:rPr>
            </w:pPr>
            <w:r w:rsidRPr="00564981">
              <w:rPr>
                <w:b/>
                <w:i w:val="0"/>
                <w:color w:val="auto"/>
                <w:sz w:val="16"/>
                <w:szCs w:val="16"/>
                <w:u w:val="single"/>
                <w:lang w:val="es-ES"/>
              </w:rPr>
              <w:t>DD/MM/AAAA</w:t>
            </w:r>
          </w:p>
        </w:tc>
        <w:tc>
          <w:tcPr>
            <w:tcW w:w="775" w:type="pct"/>
          </w:tcPr>
          <w:p w14:paraId="626AD431" w14:textId="77777777" w:rsidR="00FB1447" w:rsidRPr="00564981" w:rsidRDefault="00FB1447" w:rsidP="00564981">
            <w:pPr>
              <w:pStyle w:val="Citaift0"/>
              <w:spacing w:after="0"/>
              <w:ind w:left="0" w:right="0"/>
              <w:rPr>
                <w:b/>
                <w:i w:val="0"/>
                <w:color w:val="auto"/>
                <w:sz w:val="16"/>
                <w:szCs w:val="16"/>
                <w:u w:val="single"/>
                <w:lang w:val="es-ES"/>
              </w:rPr>
            </w:pPr>
            <w:r w:rsidRPr="00564981">
              <w:rPr>
                <w:b/>
                <w:i w:val="0"/>
                <w:color w:val="auto"/>
                <w:sz w:val="16"/>
                <w:szCs w:val="16"/>
                <w:u w:val="single"/>
                <w:lang w:val="es-ES"/>
              </w:rPr>
              <w:t>8</w:t>
            </w:r>
          </w:p>
        </w:tc>
      </w:tr>
    </w:tbl>
    <w:p w14:paraId="1ADFB4DA" w14:textId="77777777" w:rsidR="00564981" w:rsidRDefault="00533233" w:rsidP="00564981">
      <w:pPr>
        <w:pStyle w:val="CitaIFT"/>
        <w:spacing w:before="240" w:after="240"/>
        <w:ind w:left="709"/>
        <w:rPr>
          <w:i w:val="0"/>
          <w:lang w:val="es-ES"/>
        </w:rPr>
      </w:pPr>
      <w:r w:rsidRPr="00D31A19">
        <w:rPr>
          <w:i w:val="0"/>
          <w:lang w:val="es-ES"/>
        </w:rPr>
        <w:t>(Énfasis añadido</w:t>
      </w:r>
      <w:r w:rsidR="00FB1447" w:rsidRPr="00D31A19">
        <w:rPr>
          <w:i w:val="0"/>
          <w:lang w:val="es-ES"/>
        </w:rPr>
        <w:t>)</w:t>
      </w:r>
    </w:p>
    <w:p w14:paraId="44744E47" w14:textId="77777777" w:rsidR="00564981" w:rsidRDefault="00441D6D" w:rsidP="00564981">
      <w:pPr>
        <w:pStyle w:val="Prrafodelista"/>
        <w:numPr>
          <w:ilvl w:val="0"/>
          <w:numId w:val="10"/>
        </w:numPr>
        <w:autoSpaceDE w:val="0"/>
        <w:autoSpaceDN w:val="0"/>
        <w:adjustRightInd w:val="0"/>
        <w:spacing w:before="240" w:after="240"/>
        <w:ind w:left="0" w:firstLine="0"/>
        <w:jc w:val="both"/>
        <w:rPr>
          <w:rFonts w:ascii="ITC Avant Garde" w:hAnsi="ITC Avant Garde"/>
          <w:kern w:val="1"/>
          <w:lang w:val="es-ES" w:eastAsia="ar-SA"/>
        </w:rPr>
      </w:pPr>
      <w:r w:rsidRPr="00D31A19">
        <w:rPr>
          <w:rFonts w:ascii="ITC Avant Garde" w:hAnsi="ITC Avant Garde"/>
          <w:kern w:val="1"/>
          <w:lang w:val="es-ES" w:eastAsia="ar-SA"/>
        </w:rPr>
        <w:t>En</w:t>
      </w:r>
      <w:r w:rsidR="00533233" w:rsidRPr="00D31A19">
        <w:rPr>
          <w:rFonts w:ascii="ITC Avant Garde" w:hAnsi="ITC Avant Garde"/>
          <w:kern w:val="1"/>
          <w:lang w:val="es-ES" w:eastAsia="ar-SA"/>
        </w:rPr>
        <w:t xml:space="preserve"> la OREDA 2017 Telmex-</w:t>
      </w:r>
      <w:proofErr w:type="spellStart"/>
      <w:r w:rsidR="00533233" w:rsidRPr="00D31A19">
        <w:rPr>
          <w:rFonts w:ascii="ITC Avant Garde" w:hAnsi="ITC Avant Garde"/>
          <w:kern w:val="1"/>
          <w:lang w:val="es-ES" w:eastAsia="ar-SA"/>
        </w:rPr>
        <w:t>Telnor</w:t>
      </w:r>
      <w:proofErr w:type="spellEnd"/>
      <w:r w:rsidRPr="00D31A19">
        <w:rPr>
          <w:rFonts w:ascii="ITC Avant Garde" w:hAnsi="ITC Avant Garde"/>
          <w:kern w:val="1"/>
          <w:lang w:val="es-ES" w:eastAsia="ar-SA"/>
        </w:rPr>
        <w:t>, quedó asentado que fue integrado el “</w:t>
      </w:r>
      <w:r w:rsidRPr="00D31A19">
        <w:rPr>
          <w:rFonts w:ascii="ITC Avant Garde" w:hAnsi="ITC Avant Garde"/>
          <w:i/>
          <w:kern w:val="1"/>
          <w:lang w:val="es-ES" w:eastAsia="ar-SA"/>
        </w:rPr>
        <w:t>Procedimiento de Citas”</w:t>
      </w:r>
      <w:r w:rsidRPr="00D31A19">
        <w:rPr>
          <w:rFonts w:ascii="ITC Avant Garde" w:hAnsi="ITC Avant Garde"/>
          <w:kern w:val="1"/>
          <w:lang w:val="es-ES" w:eastAsia="ar-SA"/>
        </w:rPr>
        <w:t xml:space="preserve"> para la instalación de servicios, </w:t>
      </w:r>
      <w:r w:rsidR="00E53B17" w:rsidRPr="00D31A19">
        <w:rPr>
          <w:rFonts w:ascii="ITC Avant Garde" w:hAnsi="ITC Avant Garde"/>
          <w:kern w:val="1"/>
          <w:lang w:val="es-ES" w:eastAsia="ar-SA"/>
        </w:rPr>
        <w:t>lo cual busca generar</w:t>
      </w:r>
      <w:r w:rsidRPr="00D31A19">
        <w:rPr>
          <w:rFonts w:ascii="ITC Avant Garde" w:hAnsi="ITC Avant Garde"/>
          <w:kern w:val="1"/>
          <w:lang w:val="es-ES" w:eastAsia="ar-SA"/>
        </w:rPr>
        <w:t xml:space="preserve"> certeza a los CS de la instalación de los servicios (con fecha y hora) para asistir al domicilio del usuario final,</w:t>
      </w:r>
      <w:r w:rsidRPr="00D31A19">
        <w:rPr>
          <w:rStyle w:val="Refdenotaalpie"/>
          <w:rFonts w:ascii="ITC Avant Garde" w:hAnsi="ITC Avant Garde"/>
          <w:kern w:val="1"/>
          <w:lang w:val="es-ES" w:eastAsia="ar-SA"/>
        </w:rPr>
        <w:footnoteReference w:id="17"/>
      </w:r>
      <w:r w:rsidRPr="00D31A19">
        <w:rPr>
          <w:rFonts w:ascii="ITC Avant Garde" w:hAnsi="ITC Avant Garde"/>
          <w:kern w:val="1"/>
          <w:lang w:val="es-ES" w:eastAsia="ar-SA"/>
        </w:rPr>
        <w:t xml:space="preserve"> tal y como se advierte de lo siguiente:</w:t>
      </w:r>
    </w:p>
    <w:p w14:paraId="52227C3B" w14:textId="1329C4EC" w:rsidR="00564981" w:rsidRDefault="00FB1447" w:rsidP="00564981">
      <w:pPr>
        <w:autoSpaceDE w:val="0"/>
        <w:autoSpaceDN w:val="0"/>
        <w:adjustRightInd w:val="0"/>
        <w:spacing w:before="240" w:after="240"/>
        <w:ind w:left="567"/>
        <w:jc w:val="both"/>
        <w:rPr>
          <w:rFonts w:ascii="ITC Avant Garde" w:hAnsi="ITC Avant Garde"/>
          <w:b/>
          <w:i/>
          <w:kern w:val="1"/>
          <w:sz w:val="18"/>
          <w:szCs w:val="16"/>
          <w:lang w:val="es-ES" w:eastAsia="ar-SA"/>
        </w:rPr>
      </w:pPr>
      <w:r w:rsidRPr="00D31A19">
        <w:rPr>
          <w:rFonts w:ascii="ITC Avant Garde" w:hAnsi="ITC Avant Garde"/>
          <w:kern w:val="1"/>
          <w:sz w:val="18"/>
          <w:szCs w:val="16"/>
          <w:lang w:val="es-ES" w:eastAsia="ar-SA"/>
        </w:rPr>
        <w:t>“</w:t>
      </w:r>
      <w:r w:rsidRPr="00D31A19">
        <w:rPr>
          <w:rFonts w:ascii="ITC Avant Garde" w:hAnsi="ITC Avant Garde"/>
          <w:b/>
          <w:i/>
          <w:kern w:val="1"/>
          <w:sz w:val="18"/>
          <w:szCs w:val="16"/>
          <w:lang w:val="es-ES" w:eastAsia="ar-SA"/>
        </w:rPr>
        <w:t>Análisis de la Oferta de Referencia Modificada</w:t>
      </w:r>
    </w:p>
    <w:p w14:paraId="20260061" w14:textId="77777777" w:rsidR="00564981" w:rsidRDefault="00B82881" w:rsidP="00564981">
      <w:pPr>
        <w:autoSpaceDE w:val="0"/>
        <w:autoSpaceDN w:val="0"/>
        <w:adjustRightInd w:val="0"/>
        <w:spacing w:before="240" w:after="240"/>
        <w:ind w:left="567"/>
        <w:jc w:val="both"/>
        <w:rPr>
          <w:rFonts w:ascii="ITC Avant Garde" w:hAnsi="ITC Avant Garde"/>
          <w:i/>
          <w:kern w:val="1"/>
          <w:sz w:val="18"/>
          <w:szCs w:val="16"/>
          <w:lang w:val="es-ES" w:eastAsia="ar-SA"/>
        </w:rPr>
      </w:pPr>
      <w:r w:rsidRPr="00D31A19">
        <w:rPr>
          <w:rFonts w:ascii="ITC Avant Garde" w:hAnsi="ITC Avant Garde"/>
          <w:i/>
          <w:kern w:val="1"/>
          <w:sz w:val="18"/>
          <w:szCs w:val="16"/>
          <w:lang w:val="es-ES" w:eastAsia="ar-SA"/>
        </w:rPr>
        <w:t>…</w:t>
      </w:r>
    </w:p>
    <w:p w14:paraId="4FC190FD" w14:textId="77777777" w:rsidR="00564981" w:rsidRDefault="00FB1447" w:rsidP="00564981">
      <w:pPr>
        <w:autoSpaceDE w:val="0"/>
        <w:autoSpaceDN w:val="0"/>
        <w:adjustRightInd w:val="0"/>
        <w:spacing w:before="240" w:after="240"/>
        <w:ind w:left="567"/>
        <w:jc w:val="both"/>
        <w:rPr>
          <w:rFonts w:ascii="ITC Avant Garde" w:hAnsi="ITC Avant Garde"/>
          <w:i/>
          <w:kern w:val="1"/>
          <w:sz w:val="18"/>
          <w:szCs w:val="16"/>
          <w:lang w:val="es-ES" w:eastAsia="ar-SA"/>
        </w:rPr>
      </w:pPr>
      <w:r w:rsidRPr="00D31A19">
        <w:rPr>
          <w:rFonts w:ascii="ITC Avant Garde" w:hAnsi="ITC Avant Garde"/>
          <w:i/>
          <w:kern w:val="1"/>
          <w:sz w:val="18"/>
          <w:szCs w:val="16"/>
          <w:lang w:val="es-ES" w:eastAsia="ar-SA"/>
        </w:rPr>
        <w:t>Aunado a lo anterior, de la revisión a los “Procedimientos de contratación, modificación y baja de los servicios de Reventa”, y en virtud de que la mayoría de los procedimientos para los diversos servicios comparten actividades en común se considera la integración de los mismos e incorporar diversas modificaciones que otorgaran mayor claridad en su comprensión y seguimiento.</w:t>
      </w:r>
    </w:p>
    <w:p w14:paraId="7EC1DCCB" w14:textId="77777777" w:rsidR="00564981" w:rsidRDefault="00B82881" w:rsidP="00564981">
      <w:pPr>
        <w:autoSpaceDE w:val="0"/>
        <w:autoSpaceDN w:val="0"/>
        <w:adjustRightInd w:val="0"/>
        <w:spacing w:before="240" w:after="240"/>
        <w:ind w:left="567"/>
        <w:jc w:val="both"/>
        <w:rPr>
          <w:rFonts w:ascii="ITC Avant Garde" w:hAnsi="ITC Avant Garde"/>
          <w:i/>
          <w:kern w:val="1"/>
          <w:sz w:val="18"/>
          <w:szCs w:val="16"/>
          <w:lang w:val="es-ES" w:eastAsia="ar-SA"/>
        </w:rPr>
      </w:pPr>
      <w:r w:rsidRPr="00D31A19">
        <w:rPr>
          <w:rFonts w:ascii="ITC Avant Garde" w:hAnsi="ITC Avant Garde"/>
          <w:i/>
          <w:kern w:val="1"/>
          <w:sz w:val="18"/>
          <w:szCs w:val="16"/>
          <w:lang w:val="es-ES" w:eastAsia="ar-SA"/>
        </w:rPr>
        <w:t>…</w:t>
      </w:r>
    </w:p>
    <w:p w14:paraId="3CC9CF0B" w14:textId="77777777" w:rsidR="00564981" w:rsidRDefault="00FB1447" w:rsidP="00564981">
      <w:pPr>
        <w:autoSpaceDE w:val="0"/>
        <w:autoSpaceDN w:val="0"/>
        <w:adjustRightInd w:val="0"/>
        <w:spacing w:before="240" w:after="240"/>
        <w:ind w:left="567"/>
        <w:jc w:val="both"/>
        <w:rPr>
          <w:rFonts w:ascii="ITC Avant Garde" w:hAnsi="ITC Avant Garde"/>
          <w:kern w:val="1"/>
          <w:sz w:val="18"/>
          <w:szCs w:val="16"/>
          <w:lang w:val="es-ES" w:eastAsia="ar-SA"/>
        </w:rPr>
      </w:pPr>
      <w:r w:rsidRPr="00D31A19">
        <w:rPr>
          <w:rFonts w:ascii="ITC Avant Garde" w:hAnsi="ITC Avant Garde"/>
          <w:i/>
          <w:kern w:val="1"/>
          <w:sz w:val="18"/>
          <w:szCs w:val="16"/>
          <w:lang w:val="es-ES" w:eastAsia="ar-SA"/>
        </w:rPr>
        <w:t xml:space="preserve">3) Se revisa y establece que </w:t>
      </w:r>
      <w:r w:rsidRPr="00D31A19">
        <w:rPr>
          <w:rFonts w:ascii="ITC Avant Garde" w:hAnsi="ITC Avant Garde"/>
          <w:b/>
          <w:i/>
          <w:kern w:val="1"/>
          <w:sz w:val="18"/>
          <w:szCs w:val="16"/>
          <w:lang w:val="es-ES" w:eastAsia="ar-SA"/>
        </w:rPr>
        <w:t>el procedimiento de Citas para la instalación de servicios a fin de atender los servicios</w:t>
      </w:r>
      <w:r w:rsidRPr="00D31A19">
        <w:rPr>
          <w:rFonts w:ascii="ITC Avant Garde" w:hAnsi="ITC Avant Garde"/>
          <w:i/>
          <w:kern w:val="1"/>
          <w:sz w:val="18"/>
          <w:szCs w:val="16"/>
          <w:lang w:val="es-ES" w:eastAsia="ar-SA"/>
        </w:rPr>
        <w:t xml:space="preserve"> que requieran presencia de personal del AEP en el domicilio del Usuario Final al ser una actividad común a diversos servicios, se considera darle un tratamiento separado para su aplicac</w:t>
      </w:r>
      <w:r w:rsidR="00441D6D" w:rsidRPr="00D31A19">
        <w:rPr>
          <w:rFonts w:ascii="ITC Avant Garde" w:hAnsi="ITC Avant Garde"/>
          <w:i/>
          <w:kern w:val="1"/>
          <w:sz w:val="18"/>
          <w:szCs w:val="16"/>
          <w:lang w:val="es-ES" w:eastAsia="ar-SA"/>
        </w:rPr>
        <w:t xml:space="preserve">ión </w:t>
      </w:r>
      <w:r w:rsidR="00441D6D" w:rsidRPr="00D31A19">
        <w:rPr>
          <w:rFonts w:ascii="ITC Avant Garde" w:hAnsi="ITC Avant Garde"/>
          <w:b/>
          <w:i/>
          <w:kern w:val="1"/>
          <w:sz w:val="18"/>
          <w:szCs w:val="16"/>
          <w:lang w:val="es-ES" w:eastAsia="ar-SA"/>
        </w:rPr>
        <w:t>donde y cuando</w:t>
      </w:r>
      <w:r w:rsidR="00441D6D" w:rsidRPr="00D31A19">
        <w:rPr>
          <w:rFonts w:ascii="ITC Avant Garde" w:hAnsi="ITC Avant Garde"/>
          <w:i/>
          <w:kern w:val="1"/>
          <w:sz w:val="18"/>
          <w:szCs w:val="16"/>
          <w:lang w:val="es-ES" w:eastAsia="ar-SA"/>
        </w:rPr>
        <w:t xml:space="preserve"> corresponda</w:t>
      </w:r>
      <w:r w:rsidR="00441D6D" w:rsidRPr="00D31A19">
        <w:rPr>
          <w:rFonts w:ascii="ITC Avant Garde" w:hAnsi="ITC Avant Garde"/>
          <w:kern w:val="1"/>
          <w:sz w:val="18"/>
          <w:szCs w:val="16"/>
          <w:lang w:val="es-ES" w:eastAsia="ar-SA"/>
        </w:rPr>
        <w:t>.”</w:t>
      </w:r>
    </w:p>
    <w:p w14:paraId="3EDF556F" w14:textId="77777777" w:rsidR="00564981" w:rsidRDefault="00441D6D" w:rsidP="00564981">
      <w:pPr>
        <w:autoSpaceDE w:val="0"/>
        <w:autoSpaceDN w:val="0"/>
        <w:adjustRightInd w:val="0"/>
        <w:spacing w:before="240" w:after="240"/>
        <w:ind w:left="567"/>
        <w:jc w:val="both"/>
        <w:rPr>
          <w:rFonts w:ascii="ITC Avant Garde" w:hAnsi="ITC Avant Garde"/>
          <w:kern w:val="1"/>
          <w:sz w:val="18"/>
          <w:szCs w:val="16"/>
          <w:lang w:val="es-ES" w:eastAsia="ar-SA"/>
        </w:rPr>
      </w:pPr>
      <w:r w:rsidRPr="00D31A19">
        <w:rPr>
          <w:rFonts w:ascii="ITC Avant Garde" w:hAnsi="ITC Avant Garde"/>
          <w:kern w:val="1"/>
          <w:sz w:val="18"/>
          <w:szCs w:val="16"/>
          <w:lang w:val="es-ES" w:eastAsia="ar-SA"/>
        </w:rPr>
        <w:t>(</w:t>
      </w:r>
      <w:r w:rsidR="00FB1447" w:rsidRPr="00D31A19">
        <w:rPr>
          <w:rFonts w:ascii="ITC Avant Garde" w:hAnsi="ITC Avant Garde"/>
          <w:kern w:val="1"/>
          <w:sz w:val="18"/>
          <w:szCs w:val="16"/>
          <w:lang w:val="es-ES" w:eastAsia="ar-SA"/>
        </w:rPr>
        <w:t>Énfasis añadido</w:t>
      </w:r>
      <w:r w:rsidRPr="00D31A19">
        <w:rPr>
          <w:rFonts w:ascii="ITC Avant Garde" w:hAnsi="ITC Avant Garde"/>
          <w:kern w:val="1"/>
          <w:sz w:val="18"/>
          <w:szCs w:val="16"/>
          <w:lang w:val="es-ES" w:eastAsia="ar-SA"/>
        </w:rPr>
        <w:t>)</w:t>
      </w:r>
    </w:p>
    <w:p w14:paraId="7D467D34" w14:textId="77777777" w:rsidR="00564981" w:rsidRDefault="00CB3324" w:rsidP="00564981">
      <w:pPr>
        <w:autoSpaceDE w:val="0"/>
        <w:autoSpaceDN w:val="0"/>
        <w:adjustRightInd w:val="0"/>
        <w:spacing w:before="240" w:after="240"/>
        <w:jc w:val="both"/>
        <w:rPr>
          <w:rFonts w:ascii="ITC Avant Garde" w:hAnsi="ITC Avant Garde"/>
          <w:i/>
          <w:lang w:val="es-ES"/>
        </w:rPr>
      </w:pPr>
      <w:r w:rsidRPr="00D31A19">
        <w:rPr>
          <w:rFonts w:ascii="ITC Avant Garde" w:hAnsi="ITC Avant Garde"/>
          <w:kern w:val="1"/>
          <w:lang w:val="es-ES" w:eastAsia="ar-SA"/>
        </w:rPr>
        <w:lastRenderedPageBreak/>
        <w:t>En ese contexto,</w:t>
      </w:r>
      <w:r w:rsidR="00FB1447" w:rsidRPr="00D31A19">
        <w:rPr>
          <w:rFonts w:ascii="ITC Avant Garde" w:hAnsi="ITC Avant Garde"/>
          <w:kern w:val="1"/>
          <w:lang w:val="es-ES" w:eastAsia="ar-SA"/>
        </w:rPr>
        <w:t xml:space="preserve"> </w:t>
      </w:r>
      <w:r w:rsidR="00275410" w:rsidRPr="00D31A19">
        <w:rPr>
          <w:rFonts w:ascii="ITC Avant Garde" w:hAnsi="ITC Avant Garde"/>
          <w:kern w:val="1"/>
          <w:lang w:val="es-ES" w:eastAsia="ar-SA"/>
        </w:rPr>
        <w:t xml:space="preserve">el </w:t>
      </w:r>
      <w:r w:rsidR="00FE1FD7" w:rsidRPr="00D31A19">
        <w:rPr>
          <w:rFonts w:ascii="ITC Avant Garde" w:hAnsi="ITC Avant Garde"/>
          <w:kern w:val="1"/>
          <w:lang w:val="es-ES" w:eastAsia="ar-SA"/>
        </w:rPr>
        <w:t xml:space="preserve">Instituto considera procedente </w:t>
      </w:r>
      <w:r w:rsidR="00275410" w:rsidRPr="00D31A19">
        <w:rPr>
          <w:rFonts w:ascii="ITC Avant Garde" w:hAnsi="ITC Avant Garde"/>
          <w:lang w:val="es-ES"/>
        </w:rPr>
        <w:t>sustituir</w:t>
      </w:r>
      <w:r w:rsidR="006641EA" w:rsidRPr="00D31A19">
        <w:rPr>
          <w:rFonts w:ascii="ITC Avant Garde" w:hAnsi="ITC Avant Garde"/>
          <w:lang w:val="es-ES"/>
        </w:rPr>
        <w:t xml:space="preserve"> </w:t>
      </w:r>
      <w:r w:rsidR="00FD5C98" w:rsidRPr="00D31A19">
        <w:rPr>
          <w:rFonts w:ascii="ITC Avant Garde" w:hAnsi="ITC Avant Garde"/>
          <w:lang w:val="es-ES"/>
        </w:rPr>
        <w:t>la etiqueta</w:t>
      </w:r>
      <w:r w:rsidR="00275410" w:rsidRPr="00D31A19">
        <w:rPr>
          <w:rFonts w:ascii="ITC Avant Garde" w:hAnsi="ITC Avant Garde"/>
          <w:lang w:val="es-ES"/>
        </w:rPr>
        <w:t xml:space="preserve"> denominada</w:t>
      </w:r>
      <w:r w:rsidRPr="00D31A19">
        <w:rPr>
          <w:rFonts w:ascii="ITC Avant Garde" w:hAnsi="ITC Avant Garde"/>
          <w:i/>
          <w:lang w:val="es-ES"/>
        </w:rPr>
        <w:t xml:space="preserve"> </w:t>
      </w:r>
      <w:r w:rsidR="00FD5C98" w:rsidRPr="00D31A19">
        <w:rPr>
          <w:rFonts w:ascii="ITC Avant Garde" w:hAnsi="ITC Avant Garde"/>
          <w:i/>
          <w:lang w:val="es-ES"/>
        </w:rPr>
        <w:t>“</w:t>
      </w:r>
      <w:r w:rsidRPr="00D31A19">
        <w:rPr>
          <w:rFonts w:ascii="ITC Avant Garde" w:hAnsi="ITC Avant Garde"/>
          <w:i/>
          <w:lang w:val="es-ES"/>
        </w:rPr>
        <w:t xml:space="preserve">Fecha Estimada </w:t>
      </w:r>
      <w:r w:rsidR="00FD5C98" w:rsidRPr="00D31A19">
        <w:rPr>
          <w:rFonts w:ascii="ITC Avant Garde" w:hAnsi="ITC Avant Garde"/>
          <w:i/>
          <w:lang w:val="es-ES"/>
        </w:rPr>
        <w:t xml:space="preserve">de Entrega” </w:t>
      </w:r>
      <w:r w:rsidRPr="00D31A19">
        <w:rPr>
          <w:rFonts w:ascii="ITC Avant Garde" w:hAnsi="ITC Avant Garde"/>
          <w:lang w:val="es-ES"/>
        </w:rPr>
        <w:t>por</w:t>
      </w:r>
      <w:r w:rsidRPr="00D31A19">
        <w:rPr>
          <w:rFonts w:ascii="ITC Avant Garde" w:hAnsi="ITC Avant Garde"/>
          <w:i/>
          <w:lang w:val="es-ES"/>
        </w:rPr>
        <w:t xml:space="preserve"> </w:t>
      </w:r>
      <w:r w:rsidR="00FD5C98" w:rsidRPr="00D31A19">
        <w:rPr>
          <w:rFonts w:ascii="ITC Avant Garde" w:hAnsi="ITC Avant Garde"/>
          <w:i/>
          <w:lang w:val="es-ES"/>
        </w:rPr>
        <w:t>“</w:t>
      </w:r>
      <w:r w:rsidRPr="00D31A19">
        <w:rPr>
          <w:rFonts w:ascii="ITC Avant Garde" w:hAnsi="ITC Avant Garde"/>
          <w:i/>
          <w:lang w:val="es-ES"/>
        </w:rPr>
        <w:t>Fecha Programada</w:t>
      </w:r>
      <w:r w:rsidRPr="00D31A19">
        <w:rPr>
          <w:rFonts w:ascii="ITC Avant Garde" w:hAnsi="ITC Avant Garde"/>
          <w:lang w:val="es-ES"/>
        </w:rPr>
        <w:t>”</w:t>
      </w:r>
      <w:r w:rsidR="00FE1FD7" w:rsidRPr="00D31A19">
        <w:rPr>
          <w:rFonts w:ascii="ITC Avant Garde" w:hAnsi="ITC Avant Garde"/>
          <w:kern w:val="1"/>
          <w:lang w:val="es-ES" w:eastAsia="ar-SA"/>
        </w:rPr>
        <w:t>,</w:t>
      </w:r>
      <w:r w:rsidR="00FE1FD7" w:rsidRPr="00D31A19">
        <w:rPr>
          <w:lang w:val="es-ES"/>
        </w:rPr>
        <w:t xml:space="preserve"> </w:t>
      </w:r>
      <w:r w:rsidR="001E7F78" w:rsidRPr="00D31A19">
        <w:rPr>
          <w:rFonts w:ascii="ITC Avant Garde" w:hAnsi="ITC Avant Garde"/>
          <w:kern w:val="1"/>
          <w:lang w:val="es-ES" w:eastAsia="ar-SA"/>
        </w:rPr>
        <w:t xml:space="preserve">al generar </w:t>
      </w:r>
      <w:r w:rsidR="00B25FD5" w:rsidRPr="00D31A19">
        <w:rPr>
          <w:rFonts w:ascii="ITC Avant Garde" w:hAnsi="ITC Avant Garde"/>
          <w:kern w:val="1"/>
          <w:lang w:val="es-ES" w:eastAsia="ar-SA"/>
        </w:rPr>
        <w:t xml:space="preserve">mayor </w:t>
      </w:r>
      <w:r w:rsidR="001E7F78" w:rsidRPr="00D31A19">
        <w:rPr>
          <w:rFonts w:ascii="ITC Avant Garde" w:hAnsi="ITC Avant Garde"/>
          <w:kern w:val="1"/>
          <w:lang w:val="es-ES" w:eastAsia="ar-SA"/>
        </w:rPr>
        <w:t xml:space="preserve">certeza entre los CS y el AEP </w:t>
      </w:r>
      <w:r w:rsidR="00B25FD5" w:rsidRPr="00D31A19">
        <w:rPr>
          <w:rFonts w:ascii="ITC Avant Garde" w:hAnsi="ITC Avant Garde"/>
          <w:kern w:val="1"/>
          <w:lang w:val="es-ES" w:eastAsia="ar-SA"/>
        </w:rPr>
        <w:t>por lo que hace a</w:t>
      </w:r>
      <w:r w:rsidR="001E7F78" w:rsidRPr="00D31A19">
        <w:rPr>
          <w:rFonts w:ascii="ITC Avant Garde" w:hAnsi="ITC Avant Garde"/>
          <w:kern w:val="1"/>
          <w:lang w:val="es-ES" w:eastAsia="ar-SA"/>
        </w:rPr>
        <w:t xml:space="preserve"> la instalación de los servicios, </w:t>
      </w:r>
      <w:r w:rsidR="00FE1FD7" w:rsidRPr="00D31A19">
        <w:rPr>
          <w:rFonts w:ascii="ITC Avant Garde" w:hAnsi="ITC Avant Garde"/>
          <w:kern w:val="1"/>
          <w:lang w:val="es-ES" w:eastAsia="ar-SA"/>
        </w:rPr>
        <w:t>sin que</w:t>
      </w:r>
      <w:r w:rsidR="001E7F78" w:rsidRPr="00D31A19">
        <w:rPr>
          <w:rFonts w:ascii="ITC Avant Garde" w:hAnsi="ITC Avant Garde"/>
          <w:kern w:val="1"/>
          <w:lang w:val="es-ES" w:eastAsia="ar-SA"/>
        </w:rPr>
        <w:t xml:space="preserve"> deriven</w:t>
      </w:r>
      <w:r w:rsidR="00FE1FD7" w:rsidRPr="00D31A19">
        <w:rPr>
          <w:rFonts w:ascii="ITC Avant Garde" w:hAnsi="ITC Avant Garde"/>
          <w:kern w:val="1"/>
          <w:lang w:val="es-ES" w:eastAsia="ar-SA"/>
        </w:rPr>
        <w:t xml:space="preserve"> limitaciones negativas o impliquen un desarrollo adicional sustancial al SEG</w:t>
      </w:r>
      <w:r w:rsidRPr="00D31A19">
        <w:rPr>
          <w:rFonts w:ascii="ITC Avant Garde" w:hAnsi="ITC Avant Garde"/>
          <w:kern w:val="1"/>
          <w:lang w:val="es-ES" w:eastAsia="ar-SA"/>
        </w:rPr>
        <w:t xml:space="preserve">. </w:t>
      </w:r>
      <w:r w:rsidR="003463F4" w:rsidRPr="00D31A19">
        <w:rPr>
          <w:rFonts w:ascii="ITC Avant Garde" w:hAnsi="ITC Avant Garde"/>
          <w:kern w:val="1"/>
          <w:lang w:val="es-ES" w:eastAsia="ar-SA"/>
        </w:rPr>
        <w:t>Finalmente, es</w:t>
      </w:r>
      <w:r w:rsidRPr="00D31A19">
        <w:rPr>
          <w:rFonts w:ascii="ITC Avant Garde" w:hAnsi="ITC Avant Garde"/>
          <w:kern w:val="1"/>
          <w:lang w:val="es-ES" w:eastAsia="ar-SA"/>
        </w:rPr>
        <w:t xml:space="preserve"> importante adicionar </w:t>
      </w:r>
      <w:r w:rsidR="00FB1447" w:rsidRPr="00D31A19">
        <w:rPr>
          <w:rFonts w:ascii="ITC Avant Garde" w:hAnsi="ITC Avant Garde"/>
          <w:kern w:val="1"/>
          <w:lang w:val="es-ES" w:eastAsia="ar-SA"/>
        </w:rPr>
        <w:t xml:space="preserve">que en el seno del Comité </w:t>
      </w:r>
      <w:r w:rsidR="00B82881" w:rsidRPr="00D31A19">
        <w:rPr>
          <w:rFonts w:ascii="ITC Avant Garde" w:hAnsi="ITC Avant Garde"/>
          <w:kern w:val="1"/>
          <w:lang w:val="es-ES" w:eastAsia="ar-SA"/>
        </w:rPr>
        <w:t xml:space="preserve">Técnico de Desagregación, </w:t>
      </w:r>
      <w:r w:rsidR="00580721" w:rsidRPr="00D31A19">
        <w:rPr>
          <w:rFonts w:ascii="ITC Avant Garde" w:hAnsi="ITC Avant Garde"/>
          <w:kern w:val="1"/>
          <w:lang w:val="es-ES" w:eastAsia="ar-SA"/>
        </w:rPr>
        <w:t xml:space="preserve">el AEP </w:t>
      </w:r>
      <w:r w:rsidR="00FB1447" w:rsidRPr="00D31A19">
        <w:rPr>
          <w:rFonts w:ascii="ITC Avant Garde" w:hAnsi="ITC Avant Garde"/>
          <w:kern w:val="1"/>
          <w:lang w:val="es-ES" w:eastAsia="ar-SA"/>
        </w:rPr>
        <w:t xml:space="preserve">manifestó que </w:t>
      </w:r>
      <w:r w:rsidR="00580721" w:rsidRPr="00D31A19">
        <w:rPr>
          <w:rFonts w:ascii="ITC Avant Garde" w:hAnsi="ITC Avant Garde"/>
          <w:kern w:val="1"/>
          <w:lang w:val="es-ES" w:eastAsia="ar-SA"/>
        </w:rPr>
        <w:t xml:space="preserve">dicho </w:t>
      </w:r>
      <w:r w:rsidR="00FB1447" w:rsidRPr="00D31A19">
        <w:rPr>
          <w:rFonts w:ascii="ITC Avant Garde" w:hAnsi="ITC Avant Garde"/>
          <w:kern w:val="1"/>
          <w:lang w:val="es-ES" w:eastAsia="ar-SA"/>
        </w:rPr>
        <w:t>cambio no implicaba mayor tema.</w:t>
      </w:r>
      <w:r w:rsidR="00B82881" w:rsidRPr="00D31A19">
        <w:rPr>
          <w:vertAlign w:val="superscript"/>
          <w:lang w:val="es-ES"/>
        </w:rPr>
        <w:footnoteReference w:id="18"/>
      </w:r>
    </w:p>
    <w:p w14:paraId="333E7900" w14:textId="77777777" w:rsidR="00564981" w:rsidRDefault="00F01AAF" w:rsidP="00564981">
      <w:pPr>
        <w:shd w:val="clear" w:color="auto" w:fill="FFFFFF"/>
        <w:spacing w:before="240" w:after="240"/>
        <w:jc w:val="both"/>
        <w:rPr>
          <w:rFonts w:ascii="ITC Avant Garde" w:hAnsi="ITC Avant Garde"/>
          <w:lang w:val="es-ES"/>
        </w:rPr>
      </w:pPr>
      <w:r w:rsidRPr="00D31A19">
        <w:rPr>
          <w:rFonts w:ascii="ITC Avant Garde" w:hAnsi="ITC Avant Garde"/>
          <w:b/>
          <w:lang w:val="es-ES"/>
        </w:rPr>
        <w:t>C)</w:t>
      </w:r>
      <w:r w:rsidRPr="00D31A19">
        <w:rPr>
          <w:rFonts w:ascii="ITC Avant Garde" w:hAnsi="ITC Avant Garde"/>
          <w:lang w:val="es-ES"/>
        </w:rPr>
        <w:t xml:space="preserve"> </w:t>
      </w:r>
      <w:r w:rsidR="003463F4" w:rsidRPr="00D31A19">
        <w:rPr>
          <w:rFonts w:ascii="ITC Avant Garde" w:hAnsi="ITC Avant Garde"/>
          <w:lang w:val="es-ES"/>
        </w:rPr>
        <w:t>En la solicitud de confirmación de criterio Telmex-</w:t>
      </w:r>
      <w:proofErr w:type="spellStart"/>
      <w:r w:rsidR="003463F4" w:rsidRPr="00D31A19">
        <w:rPr>
          <w:rFonts w:ascii="ITC Avant Garde" w:hAnsi="ITC Avant Garde"/>
          <w:lang w:val="es-ES"/>
        </w:rPr>
        <w:t>Telnor</w:t>
      </w:r>
      <w:proofErr w:type="spellEnd"/>
      <w:r w:rsidR="003463F4" w:rsidRPr="00D31A19">
        <w:rPr>
          <w:rFonts w:ascii="ITC Avant Garde" w:hAnsi="ITC Avant Garde"/>
          <w:lang w:val="es-ES"/>
        </w:rPr>
        <w:t>, solicita</w:t>
      </w:r>
      <w:r w:rsidRPr="00D31A19">
        <w:rPr>
          <w:rFonts w:ascii="ITC Avant Garde" w:hAnsi="ITC Avant Garde"/>
          <w:lang w:val="es-ES"/>
        </w:rPr>
        <w:t xml:space="preserve"> lo siguiente:</w:t>
      </w:r>
    </w:p>
    <w:p w14:paraId="75A16B9E" w14:textId="77777777" w:rsidR="00564981" w:rsidRDefault="00F01AAF" w:rsidP="00564981">
      <w:pPr>
        <w:shd w:val="clear" w:color="auto" w:fill="FFFFFF"/>
        <w:spacing w:before="240" w:after="240"/>
        <w:ind w:left="567"/>
        <w:jc w:val="both"/>
        <w:rPr>
          <w:rFonts w:ascii="ITC Avant Garde" w:hAnsi="ITC Avant Garde"/>
          <w:b/>
          <w:i/>
          <w:sz w:val="20"/>
          <w:szCs w:val="20"/>
          <w:lang w:val="es-ES"/>
        </w:rPr>
      </w:pPr>
      <w:r w:rsidRPr="00EB0E59">
        <w:rPr>
          <w:rFonts w:ascii="ITC Avant Garde" w:hAnsi="ITC Avant Garde"/>
          <w:i/>
          <w:sz w:val="20"/>
          <w:szCs w:val="20"/>
          <w:lang w:val="es-ES"/>
        </w:rPr>
        <w:t>“</w:t>
      </w:r>
      <w:r w:rsidR="00D44314" w:rsidRPr="00EB0E59">
        <w:rPr>
          <w:rFonts w:ascii="ITC Avant Garde" w:hAnsi="ITC Avant Garde"/>
          <w:b/>
          <w:i/>
          <w:sz w:val="20"/>
          <w:szCs w:val="20"/>
          <w:lang w:val="es-ES"/>
        </w:rPr>
        <w:t xml:space="preserve">Validar el Punto 12. SAIB Eliminar el campo de referencia al </w:t>
      </w:r>
      <w:proofErr w:type="spellStart"/>
      <w:r w:rsidR="00D44314" w:rsidRPr="00EB0E59">
        <w:rPr>
          <w:rFonts w:ascii="ITC Avant Garde" w:hAnsi="ITC Avant Garde"/>
          <w:b/>
          <w:i/>
          <w:sz w:val="20"/>
          <w:szCs w:val="20"/>
          <w:lang w:val="es-ES"/>
        </w:rPr>
        <w:t>SCyD</w:t>
      </w:r>
      <w:proofErr w:type="spellEnd"/>
    </w:p>
    <w:p w14:paraId="4276E902" w14:textId="77777777" w:rsidR="00564981" w:rsidRDefault="00220FFF" w:rsidP="00564981">
      <w:pPr>
        <w:shd w:val="clear" w:color="auto" w:fill="FFFFFF"/>
        <w:spacing w:before="240" w:after="240"/>
        <w:ind w:left="567"/>
        <w:jc w:val="both"/>
        <w:rPr>
          <w:rFonts w:ascii="ITC Avant Garde" w:hAnsi="ITC Avant Garde"/>
          <w:i/>
          <w:sz w:val="20"/>
          <w:szCs w:val="20"/>
          <w:lang w:val="es-ES"/>
        </w:rPr>
      </w:pPr>
      <w:r w:rsidRPr="00EB0E59">
        <w:rPr>
          <w:rFonts w:ascii="ITC Avant Garde" w:hAnsi="ITC Avant Garde"/>
          <w:i/>
          <w:sz w:val="20"/>
          <w:szCs w:val="20"/>
          <w:lang w:val="es-ES"/>
        </w:rPr>
        <w:t xml:space="preserve">…existe la obligación </w:t>
      </w:r>
      <w:r w:rsidR="003B24A4" w:rsidRPr="00EB0E59">
        <w:rPr>
          <w:rFonts w:ascii="ITC Avant Garde" w:hAnsi="ITC Avant Garde"/>
          <w:i/>
          <w:sz w:val="20"/>
          <w:szCs w:val="20"/>
          <w:lang w:val="es-ES"/>
        </w:rPr>
        <w:t xml:space="preserve">para Telmex de incluir y solicitar al CS completar el campo de referencia de </w:t>
      </w:r>
      <w:proofErr w:type="spellStart"/>
      <w:r w:rsidR="003B24A4" w:rsidRPr="00EB0E59">
        <w:rPr>
          <w:rFonts w:ascii="ITC Avant Garde" w:hAnsi="ITC Avant Garde"/>
          <w:i/>
          <w:sz w:val="20"/>
          <w:szCs w:val="20"/>
          <w:lang w:val="es-ES"/>
        </w:rPr>
        <w:t>SCyD</w:t>
      </w:r>
      <w:proofErr w:type="spellEnd"/>
      <w:r w:rsidR="003B24A4" w:rsidRPr="00EB0E59">
        <w:rPr>
          <w:rFonts w:ascii="ITC Avant Garde" w:hAnsi="ITC Avant Garde"/>
          <w:i/>
          <w:sz w:val="20"/>
          <w:szCs w:val="20"/>
          <w:lang w:val="es-ES"/>
        </w:rPr>
        <w:t xml:space="preserve"> para contratar el SAIB, sin embargo, de la revisión de los resultados del Grupo de Trabajo del Sistema Electrónico de Gestión acordados en el Comité, se identificó que dicha información ya es de conocimiento de Telmex desde que el CS contrata su servicio de </w:t>
      </w:r>
      <w:proofErr w:type="spellStart"/>
      <w:r w:rsidR="003B24A4" w:rsidRPr="00EB0E59">
        <w:rPr>
          <w:rFonts w:ascii="ITC Avant Garde" w:hAnsi="ITC Avant Garde"/>
          <w:i/>
          <w:sz w:val="20"/>
          <w:szCs w:val="20"/>
          <w:lang w:val="es-ES"/>
        </w:rPr>
        <w:t>SCyD</w:t>
      </w:r>
      <w:proofErr w:type="spellEnd"/>
      <w:r w:rsidR="003B24A4" w:rsidRPr="00EB0E59">
        <w:rPr>
          <w:rFonts w:ascii="ITC Avant Garde" w:hAnsi="ITC Avant Garde"/>
          <w:i/>
          <w:sz w:val="20"/>
          <w:szCs w:val="20"/>
          <w:lang w:val="es-ES"/>
        </w:rPr>
        <w:t>, por lo que resulta redundante incluirla en los formularios del SAIB…</w:t>
      </w:r>
    </w:p>
    <w:p w14:paraId="31EF76DC" w14:textId="77777777" w:rsidR="00564981" w:rsidRDefault="003B24A4" w:rsidP="00564981">
      <w:pPr>
        <w:shd w:val="clear" w:color="auto" w:fill="FFFFFF"/>
        <w:spacing w:before="240" w:after="240"/>
        <w:ind w:left="567"/>
        <w:jc w:val="both"/>
        <w:rPr>
          <w:rFonts w:ascii="ITC Avant Garde" w:hAnsi="ITC Avant Garde"/>
          <w:i/>
          <w:sz w:val="20"/>
          <w:szCs w:val="20"/>
          <w:lang w:val="es-ES"/>
        </w:rPr>
      </w:pPr>
      <w:r w:rsidRPr="00EB0E59">
        <w:rPr>
          <w:rFonts w:ascii="ITC Avant Garde" w:hAnsi="ITC Avant Garde"/>
          <w:i/>
          <w:sz w:val="20"/>
          <w:szCs w:val="20"/>
          <w:lang w:val="es-ES"/>
        </w:rPr>
        <w:t>Por lo anterior se considera que para la</w:t>
      </w:r>
      <w:r w:rsidR="00F01AAF" w:rsidRPr="00EB0E59">
        <w:rPr>
          <w:rFonts w:ascii="ITC Avant Garde" w:hAnsi="ITC Avant Garde"/>
          <w:i/>
          <w:sz w:val="20"/>
          <w:szCs w:val="20"/>
          <w:lang w:val="es-ES"/>
        </w:rPr>
        <w:t xml:space="preserve"> solicitud del SAIB, no es necesaria la información de dicho campo, de modo que, para agilizar y hacer más eficiente el llenado de la solicitud de servicio por parte de los CS, se solicita a ese Instituto confirmar la viabilidad de eliminar de los módulos de alta del SAIB en SEG el campo antes referido.”</w:t>
      </w:r>
    </w:p>
    <w:p w14:paraId="373743C0" w14:textId="66D5C4E5" w:rsidR="00564981" w:rsidRDefault="00132911"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kern w:val="1"/>
          <w:lang w:val="es-ES" w:eastAsia="ar-SA"/>
        </w:rPr>
        <w:t>Del punto 12, del Documento del Grupo de Trabajo</w:t>
      </w:r>
      <w:r w:rsidR="00263BB4" w:rsidRPr="00D31A19">
        <w:rPr>
          <w:rFonts w:ascii="ITC Avant Garde" w:hAnsi="ITC Avant Garde"/>
          <w:kern w:val="1"/>
          <w:lang w:val="es-ES" w:eastAsia="ar-SA"/>
        </w:rPr>
        <w:t xml:space="preserve"> de</w:t>
      </w:r>
      <w:r w:rsidRPr="00D31A19">
        <w:rPr>
          <w:rFonts w:ascii="ITC Avant Garde" w:hAnsi="ITC Avant Garde"/>
          <w:kern w:val="1"/>
          <w:lang w:val="es-ES" w:eastAsia="ar-SA"/>
        </w:rPr>
        <w:t xml:space="preserve"> Mejoras al SEG, se desprende lo siguiente:</w:t>
      </w:r>
    </w:p>
    <w:tbl>
      <w:tblPr>
        <w:tblStyle w:val="Cuadrculadetablaclara"/>
        <w:tblW w:w="7513" w:type="dxa"/>
        <w:jc w:val="center"/>
        <w:tblLayout w:type="fixed"/>
        <w:tblLook w:val="04A0" w:firstRow="1" w:lastRow="0" w:firstColumn="1" w:lastColumn="0" w:noHBand="0" w:noVBand="1"/>
        <w:tblCaption w:val="TABLA 5"/>
        <w:tblDescription w:val="Tabla con 6 Columnas y 2 filas, en la primera fila señalan los 6 títulos y abajo en la segunda fila el comentario relativo a cada título."/>
      </w:tblPr>
      <w:tblGrid>
        <w:gridCol w:w="649"/>
        <w:gridCol w:w="1194"/>
        <w:gridCol w:w="1417"/>
        <w:gridCol w:w="1560"/>
        <w:gridCol w:w="1146"/>
        <w:gridCol w:w="1547"/>
      </w:tblGrid>
      <w:tr w:rsidR="00D31A19" w:rsidRPr="00564981" w14:paraId="538C5D65" w14:textId="77777777" w:rsidTr="00564981">
        <w:trPr>
          <w:trHeight w:val="70"/>
          <w:tblHeader/>
          <w:jc w:val="center"/>
        </w:trPr>
        <w:tc>
          <w:tcPr>
            <w:tcW w:w="649" w:type="dxa"/>
            <w:hideMark/>
          </w:tcPr>
          <w:p w14:paraId="13469967"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Punto</w:t>
            </w:r>
          </w:p>
        </w:tc>
        <w:tc>
          <w:tcPr>
            <w:tcW w:w="1194" w:type="dxa"/>
            <w:hideMark/>
          </w:tcPr>
          <w:p w14:paraId="1677AF94" w14:textId="5B63D73B"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Tema</w:t>
            </w:r>
          </w:p>
        </w:tc>
        <w:tc>
          <w:tcPr>
            <w:tcW w:w="1417" w:type="dxa"/>
            <w:hideMark/>
          </w:tcPr>
          <w:p w14:paraId="08978C39"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Conclusiones</w:t>
            </w:r>
          </w:p>
        </w:tc>
        <w:tc>
          <w:tcPr>
            <w:tcW w:w="1560" w:type="dxa"/>
            <w:hideMark/>
          </w:tcPr>
          <w:p w14:paraId="38EB16D0"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Notas</w:t>
            </w:r>
          </w:p>
        </w:tc>
        <w:tc>
          <w:tcPr>
            <w:tcW w:w="1146" w:type="dxa"/>
            <w:noWrap/>
            <w:hideMark/>
          </w:tcPr>
          <w:p w14:paraId="2DD6F491"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Resultado final</w:t>
            </w:r>
          </w:p>
        </w:tc>
        <w:tc>
          <w:tcPr>
            <w:tcW w:w="1547" w:type="dxa"/>
            <w:noWrap/>
            <w:hideMark/>
          </w:tcPr>
          <w:p w14:paraId="2A7131B3"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Fecha</w:t>
            </w:r>
          </w:p>
        </w:tc>
      </w:tr>
      <w:tr w:rsidR="00D31A19" w:rsidRPr="00564981" w14:paraId="1FD2BF95" w14:textId="77777777" w:rsidTr="00564981">
        <w:trPr>
          <w:trHeight w:val="945"/>
          <w:tblHeader/>
          <w:jc w:val="center"/>
        </w:trPr>
        <w:tc>
          <w:tcPr>
            <w:tcW w:w="649" w:type="dxa"/>
            <w:hideMark/>
          </w:tcPr>
          <w:p w14:paraId="4AE7BC77" w14:textId="77777777" w:rsidR="00C2121A" w:rsidRPr="00564981" w:rsidRDefault="00C2121A" w:rsidP="00564981">
            <w:pPr>
              <w:spacing w:after="0"/>
              <w:jc w:val="center"/>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12</w:t>
            </w:r>
          </w:p>
        </w:tc>
        <w:tc>
          <w:tcPr>
            <w:tcW w:w="1194" w:type="dxa"/>
            <w:hideMark/>
          </w:tcPr>
          <w:p w14:paraId="3735F3BA" w14:textId="77777777" w:rsidR="00C2121A" w:rsidRPr="00564981" w:rsidRDefault="00C2121A" w:rsidP="00564981">
            <w:pPr>
              <w:spacing w:after="0"/>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 xml:space="preserve">SAIB Eliminar el campo de referencia al </w:t>
            </w:r>
            <w:proofErr w:type="spellStart"/>
            <w:r w:rsidRPr="00564981">
              <w:rPr>
                <w:rFonts w:ascii="ITC Avant Garde" w:eastAsia="Times New Roman" w:hAnsi="ITC Avant Garde" w:cs="Times New Roman"/>
                <w:color w:val="000000"/>
                <w:sz w:val="14"/>
                <w:szCs w:val="16"/>
                <w:lang w:val="es-ES" w:eastAsia="es-MX"/>
              </w:rPr>
              <w:t>SCyD</w:t>
            </w:r>
            <w:proofErr w:type="spellEnd"/>
          </w:p>
        </w:tc>
        <w:tc>
          <w:tcPr>
            <w:tcW w:w="1417" w:type="dxa"/>
            <w:hideMark/>
          </w:tcPr>
          <w:p w14:paraId="2BD3FFE3" w14:textId="77777777" w:rsidR="00C2121A" w:rsidRPr="00564981" w:rsidRDefault="00C2121A" w:rsidP="00564981">
            <w:pPr>
              <w:spacing w:after="0"/>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Telmex revisará implicaciones y se</w:t>
            </w:r>
            <w:r w:rsidR="0000636E" w:rsidRPr="00564981">
              <w:rPr>
                <w:rFonts w:ascii="ITC Avant Garde" w:eastAsia="Times New Roman" w:hAnsi="ITC Avant Garde" w:cs="Times New Roman"/>
                <w:color w:val="000000"/>
                <w:sz w:val="14"/>
                <w:szCs w:val="16"/>
                <w:lang w:val="es-ES" w:eastAsia="es-MX"/>
              </w:rPr>
              <w:t xml:space="preserve"> solicita al IFT defina postura</w:t>
            </w:r>
          </w:p>
        </w:tc>
        <w:tc>
          <w:tcPr>
            <w:tcW w:w="1560" w:type="dxa"/>
            <w:hideMark/>
          </w:tcPr>
          <w:p w14:paraId="7F0C6EB8" w14:textId="77777777" w:rsidR="00C2121A" w:rsidRPr="00564981" w:rsidRDefault="00C2121A" w:rsidP="00564981">
            <w:pPr>
              <w:spacing w:after="0"/>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 xml:space="preserve">Telmex </w:t>
            </w:r>
            <w:r w:rsidR="0000636E" w:rsidRPr="00564981">
              <w:rPr>
                <w:rFonts w:ascii="ITC Avant Garde" w:eastAsia="Times New Roman" w:hAnsi="ITC Avant Garde" w:cs="Times New Roman"/>
                <w:color w:val="000000"/>
                <w:sz w:val="14"/>
                <w:szCs w:val="16"/>
                <w:lang w:val="es-ES" w:eastAsia="es-MX"/>
              </w:rPr>
              <w:t>no ve que sea mayor tema, se solicita que el instituto valide que no hay algún problema</w:t>
            </w:r>
          </w:p>
        </w:tc>
        <w:tc>
          <w:tcPr>
            <w:tcW w:w="1146" w:type="dxa"/>
            <w:noWrap/>
            <w:hideMark/>
          </w:tcPr>
          <w:p w14:paraId="1B007F15" w14:textId="77777777" w:rsidR="00C2121A" w:rsidRPr="00564981" w:rsidRDefault="0000636E" w:rsidP="00564981">
            <w:pPr>
              <w:pStyle w:val="Sinespaciado"/>
              <w:spacing w:line="276" w:lineRule="auto"/>
              <w:rPr>
                <w:rFonts w:ascii="ITC Avant Garde" w:hAnsi="ITC Avant Garde"/>
                <w:sz w:val="14"/>
                <w:szCs w:val="16"/>
                <w:lang w:val="es-ES" w:eastAsia="es-MX"/>
              </w:rPr>
            </w:pPr>
            <w:r w:rsidRPr="00564981">
              <w:rPr>
                <w:rFonts w:ascii="ITC Avant Garde" w:hAnsi="ITC Avant Garde"/>
                <w:sz w:val="14"/>
                <w:szCs w:val="16"/>
                <w:lang w:val="es-ES" w:eastAsia="es-MX"/>
              </w:rPr>
              <w:t>Pendiente autorización para a IFT para realizar cambio</w:t>
            </w:r>
          </w:p>
        </w:tc>
        <w:tc>
          <w:tcPr>
            <w:tcW w:w="1547" w:type="dxa"/>
            <w:hideMark/>
          </w:tcPr>
          <w:p w14:paraId="7D181461" w14:textId="77777777" w:rsidR="00C2121A" w:rsidRPr="00564981" w:rsidRDefault="0000636E" w:rsidP="00564981">
            <w:pPr>
              <w:spacing w:after="0"/>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El IFT no ha dado comentarios sobre este punto. Una vez que el IFT defina, se contempla 1 mes para su implementación</w:t>
            </w:r>
          </w:p>
        </w:tc>
      </w:tr>
    </w:tbl>
    <w:p w14:paraId="4E5E9B63" w14:textId="77777777" w:rsidR="00564981" w:rsidRDefault="00A80DC8"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kern w:val="1"/>
          <w:lang w:val="es-ES" w:eastAsia="ar-SA"/>
        </w:rPr>
        <w:t>Para mayor claridad, se incluye una imagen de los campos requeridos para la solicitud del Servicio de Acceso Indirecto</w:t>
      </w:r>
      <w:r w:rsidR="00811D2A" w:rsidRPr="00D31A19">
        <w:rPr>
          <w:rFonts w:ascii="ITC Avant Garde" w:hAnsi="ITC Avant Garde"/>
          <w:kern w:val="1"/>
          <w:lang w:val="es-ES" w:eastAsia="ar-SA"/>
        </w:rPr>
        <w:t xml:space="preserve"> (SAIB)</w:t>
      </w:r>
      <w:r w:rsidRPr="00D31A19">
        <w:rPr>
          <w:rFonts w:ascii="ITC Avant Garde" w:hAnsi="ITC Avant Garde"/>
          <w:kern w:val="1"/>
          <w:lang w:val="es-ES" w:eastAsia="ar-SA"/>
        </w:rPr>
        <w:t xml:space="preserve"> mediante el SEG. El campo a eliminar es “</w:t>
      </w:r>
      <w:r w:rsidRPr="00D31A19">
        <w:rPr>
          <w:rFonts w:ascii="ITC Avant Garde" w:hAnsi="ITC Avant Garde"/>
          <w:i/>
          <w:kern w:val="1"/>
          <w:lang w:val="es-ES" w:eastAsia="ar-SA"/>
        </w:rPr>
        <w:t>Referencia del Servicio de Concentración y distribución donde se entregará el tráfico de datos</w:t>
      </w:r>
      <w:r w:rsidRPr="00D31A19">
        <w:rPr>
          <w:rFonts w:ascii="ITC Avant Garde" w:hAnsi="ITC Avant Garde"/>
          <w:kern w:val="1"/>
          <w:lang w:val="es-ES" w:eastAsia="ar-SA"/>
        </w:rPr>
        <w:t>”, como se muestra a continuación:</w:t>
      </w:r>
    </w:p>
    <w:p w14:paraId="14C8A393" w14:textId="77777777" w:rsidR="00564981" w:rsidRDefault="00AF7C2E" w:rsidP="00564981">
      <w:pPr>
        <w:keepNext/>
        <w:shd w:val="clear" w:color="auto" w:fill="FFFFFF"/>
        <w:spacing w:before="240" w:after="240"/>
        <w:jc w:val="center"/>
      </w:pPr>
      <w:r w:rsidRPr="00D31A19">
        <w:rPr>
          <w:rFonts w:ascii="ITC Avant Garde" w:eastAsia="Calibri" w:hAnsi="ITC Avant Garde" w:cs="Arial"/>
          <w:noProof/>
          <w:lang w:eastAsia="es-MX"/>
        </w:rPr>
        <w:lastRenderedPageBreak/>
        <w:drawing>
          <wp:inline distT="0" distB="0" distL="0" distR="0" wp14:anchorId="0EC4C90B" wp14:editId="48224E07">
            <wp:extent cx="5638165" cy="2619375"/>
            <wp:effectExtent l="0" t="0" r="635" b="9525"/>
            <wp:docPr id="4" name="Imagen 4" descr="Captura de pantalla en azul en donde aparecen los siguientes campos en blanco a llenar con Datos del usuario final:&#10;&#10;(de izquierda a derecha y de arriba hacia abajo)&#10;&#10;1. Nombre del Usuario&#10;2. Identificación&#10;3. Descripción de la indentificación&#10;4. RFC&#10;5. Referncia del Domicilio&#10;6. Modem (en su caso), y&#10;7. Referncia del Servicio de concentración y distribución donde se entregara el tráfico de datos." title="Ilustra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luis.martinezb\Documents\IFT\TELMEX\SEG\Grupo de Trabajo Junio 2017\Referencia al SCyD.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782"/>
                    <a:stretch/>
                  </pic:blipFill>
                  <pic:spPr bwMode="auto">
                    <a:xfrm>
                      <a:off x="0" y="0"/>
                      <a:ext cx="5662159" cy="2630522"/>
                    </a:xfrm>
                    <a:prstGeom prst="rect">
                      <a:avLst/>
                    </a:prstGeom>
                    <a:noFill/>
                    <a:ln>
                      <a:noFill/>
                    </a:ln>
                    <a:extLst>
                      <a:ext uri="{53640926-AAD7-44D8-BBD7-CCE9431645EC}">
                        <a14:shadowObscured xmlns:a14="http://schemas.microsoft.com/office/drawing/2010/main"/>
                      </a:ext>
                    </a:extLst>
                  </pic:spPr>
                </pic:pic>
              </a:graphicData>
            </a:graphic>
          </wp:inline>
        </w:drawing>
      </w:r>
    </w:p>
    <w:p w14:paraId="2C588125" w14:textId="77777777" w:rsidR="00564981" w:rsidRDefault="00811D2A"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kern w:val="1"/>
          <w:lang w:val="es-ES" w:eastAsia="ar-SA"/>
        </w:rPr>
        <w:t>Ahora bien, la</w:t>
      </w:r>
      <w:r w:rsidR="00AF7C2E" w:rsidRPr="00D31A19">
        <w:rPr>
          <w:rFonts w:ascii="ITC Avant Garde" w:hAnsi="ITC Avant Garde"/>
          <w:kern w:val="1"/>
          <w:lang w:val="es-ES" w:eastAsia="ar-SA"/>
        </w:rPr>
        <w:t xml:space="preserve"> OREDA 2017</w:t>
      </w:r>
      <w:r w:rsidR="009B6509" w:rsidRPr="00D31A19">
        <w:rPr>
          <w:rFonts w:ascii="ITC Avant Garde" w:hAnsi="ITC Avant Garde"/>
          <w:kern w:val="1"/>
          <w:lang w:val="es-ES" w:eastAsia="ar-SA"/>
        </w:rPr>
        <w:t xml:space="preserve"> Telmex-</w:t>
      </w:r>
      <w:proofErr w:type="spellStart"/>
      <w:r w:rsidR="009B6509" w:rsidRPr="00D31A19">
        <w:rPr>
          <w:rFonts w:ascii="ITC Avant Garde" w:hAnsi="ITC Avant Garde"/>
          <w:kern w:val="1"/>
          <w:lang w:val="es-ES" w:eastAsia="ar-SA"/>
        </w:rPr>
        <w:t>Telnor</w:t>
      </w:r>
      <w:proofErr w:type="spellEnd"/>
      <w:r w:rsidR="00AF7C2E" w:rsidRPr="00D31A19">
        <w:rPr>
          <w:rFonts w:ascii="ITC Avant Garde" w:hAnsi="ITC Avant Garde"/>
          <w:kern w:val="1"/>
          <w:lang w:val="es-ES" w:eastAsia="ar-SA"/>
        </w:rPr>
        <w:t xml:space="preserve"> establece </w:t>
      </w:r>
      <w:r w:rsidRPr="00D31A19">
        <w:rPr>
          <w:rFonts w:ascii="ITC Avant Garde" w:hAnsi="ITC Avant Garde"/>
          <w:kern w:val="1"/>
          <w:lang w:val="es-ES" w:eastAsia="ar-SA"/>
        </w:rPr>
        <w:t xml:space="preserve">que </w:t>
      </w:r>
      <w:r w:rsidR="00AF7C2E" w:rsidRPr="00D31A19">
        <w:rPr>
          <w:rFonts w:ascii="ITC Avant Garde" w:hAnsi="ITC Avant Garde"/>
          <w:kern w:val="1"/>
          <w:lang w:val="es-ES" w:eastAsia="ar-SA"/>
        </w:rPr>
        <w:t>para el SAIB los elementos o funciones de acceso y los de agregación de tráfico</w:t>
      </w:r>
      <w:r w:rsidR="009B6509" w:rsidRPr="00D31A19">
        <w:rPr>
          <w:rFonts w:ascii="ITC Avant Garde" w:hAnsi="ITC Avant Garde"/>
          <w:kern w:val="1"/>
          <w:lang w:val="es-ES" w:eastAsia="ar-SA"/>
        </w:rPr>
        <w:t xml:space="preserve"> de</w:t>
      </w:r>
      <w:r w:rsidR="00AF7C2E" w:rsidRPr="00D31A19">
        <w:rPr>
          <w:rFonts w:ascii="ITC Avant Garde" w:hAnsi="ITC Avant Garde"/>
          <w:kern w:val="1"/>
          <w:lang w:val="es-ES" w:eastAsia="ar-SA"/>
        </w:rPr>
        <w:t xml:space="preserve"> Servicio de Concentración y Distribución</w:t>
      </w:r>
      <w:r w:rsidR="009B6509" w:rsidRPr="00D31A19">
        <w:rPr>
          <w:rFonts w:ascii="ITC Avant Garde" w:hAnsi="ITC Avant Garde"/>
          <w:kern w:val="1"/>
          <w:lang w:val="es-ES" w:eastAsia="ar-SA"/>
        </w:rPr>
        <w:t xml:space="preserve"> (</w:t>
      </w:r>
      <w:proofErr w:type="spellStart"/>
      <w:r w:rsidR="009B6509" w:rsidRPr="00D31A19">
        <w:rPr>
          <w:rFonts w:ascii="ITC Avant Garde" w:hAnsi="ITC Avant Garde"/>
          <w:kern w:val="1"/>
          <w:lang w:val="es-ES" w:eastAsia="ar-SA"/>
        </w:rPr>
        <w:t>SCyD</w:t>
      </w:r>
      <w:proofErr w:type="spellEnd"/>
      <w:r w:rsidR="009B6509" w:rsidRPr="00D31A19">
        <w:rPr>
          <w:rFonts w:ascii="ITC Avant Garde" w:hAnsi="ITC Avant Garde"/>
          <w:kern w:val="1"/>
          <w:lang w:val="es-ES" w:eastAsia="ar-SA"/>
        </w:rPr>
        <w:t xml:space="preserve">) </w:t>
      </w:r>
      <w:r w:rsidRPr="00D31A19">
        <w:rPr>
          <w:rFonts w:ascii="ITC Avant Garde" w:hAnsi="ITC Avant Garde"/>
          <w:kern w:val="1"/>
          <w:lang w:val="es-ES" w:eastAsia="ar-SA"/>
        </w:rPr>
        <w:t>se integre</w:t>
      </w:r>
      <w:r w:rsidR="00AF7C2E" w:rsidRPr="00D31A19">
        <w:rPr>
          <w:rFonts w:ascii="ITC Avant Garde" w:hAnsi="ITC Avant Garde"/>
          <w:kern w:val="1"/>
          <w:lang w:val="es-ES" w:eastAsia="ar-SA"/>
        </w:rPr>
        <w:t>n</w:t>
      </w:r>
      <w:r w:rsidR="009B6509" w:rsidRPr="00D31A19">
        <w:rPr>
          <w:rFonts w:ascii="ITC Avant Garde" w:hAnsi="ITC Avant Garde"/>
          <w:kern w:val="1"/>
          <w:lang w:val="es-ES" w:eastAsia="ar-SA"/>
        </w:rPr>
        <w:t xml:space="preserve"> en un solo servicio,</w:t>
      </w:r>
      <w:r w:rsidR="009B6509" w:rsidRPr="00D31A19">
        <w:rPr>
          <w:rStyle w:val="Refdenotaalpie"/>
          <w:rFonts w:ascii="ITC Avant Garde" w:hAnsi="ITC Avant Garde"/>
          <w:kern w:val="1"/>
          <w:lang w:val="es-ES" w:eastAsia="ar-SA"/>
        </w:rPr>
        <w:footnoteReference w:id="19"/>
      </w:r>
      <w:r w:rsidR="009B6509" w:rsidRPr="00D31A19">
        <w:rPr>
          <w:rFonts w:ascii="ITC Avant Garde" w:hAnsi="ITC Avant Garde"/>
          <w:kern w:val="1"/>
          <w:lang w:val="es-ES" w:eastAsia="ar-SA"/>
        </w:rPr>
        <w:t xml:space="preserve"> </w:t>
      </w:r>
      <w:r w:rsidR="00AF7C2E" w:rsidRPr="00D31A19">
        <w:rPr>
          <w:rFonts w:ascii="ITC Avant Garde" w:hAnsi="ITC Avant Garde"/>
          <w:kern w:val="1"/>
          <w:lang w:val="es-ES" w:eastAsia="ar-SA"/>
        </w:rPr>
        <w:t xml:space="preserve">como se </w:t>
      </w:r>
      <w:r w:rsidRPr="00D31A19">
        <w:rPr>
          <w:rFonts w:ascii="ITC Avant Garde" w:hAnsi="ITC Avant Garde"/>
          <w:kern w:val="1"/>
          <w:lang w:val="es-ES" w:eastAsia="ar-SA"/>
        </w:rPr>
        <w:t>advierte</w:t>
      </w:r>
      <w:r w:rsidR="00AF7C2E" w:rsidRPr="00D31A19">
        <w:rPr>
          <w:rFonts w:ascii="ITC Avant Garde" w:hAnsi="ITC Avant Garde"/>
          <w:kern w:val="1"/>
          <w:lang w:val="es-ES" w:eastAsia="ar-SA"/>
        </w:rPr>
        <w:t xml:space="preserve"> a continuación:</w:t>
      </w:r>
    </w:p>
    <w:p w14:paraId="12F49C0A" w14:textId="77777777" w:rsidR="00564981" w:rsidRDefault="00AF7C2E" w:rsidP="00564981">
      <w:pPr>
        <w:autoSpaceDE w:val="0"/>
        <w:autoSpaceDN w:val="0"/>
        <w:adjustRightInd w:val="0"/>
        <w:spacing w:before="240" w:after="240"/>
        <w:ind w:left="567"/>
        <w:jc w:val="both"/>
        <w:rPr>
          <w:rFonts w:ascii="ITC Avant Garde" w:hAnsi="ITC Avant Garde"/>
          <w:b/>
          <w:i/>
          <w:kern w:val="1"/>
          <w:sz w:val="21"/>
          <w:szCs w:val="21"/>
          <w:lang w:val="es-ES" w:eastAsia="ar-SA"/>
        </w:rPr>
      </w:pPr>
      <w:bookmarkStart w:id="0" w:name="_Toc467248709"/>
      <w:bookmarkStart w:id="1" w:name="_Toc467852879"/>
      <w:r w:rsidRPr="004014C1">
        <w:rPr>
          <w:rFonts w:ascii="ITC Avant Garde" w:hAnsi="ITC Avant Garde"/>
          <w:b/>
          <w:i/>
          <w:kern w:val="1"/>
          <w:sz w:val="21"/>
          <w:szCs w:val="21"/>
          <w:lang w:val="es-ES" w:eastAsia="ar-SA"/>
        </w:rPr>
        <w:t>“5. Servicio de Acceso Indirecto al Bucle</w:t>
      </w:r>
      <w:bookmarkStart w:id="2" w:name="_Toc436840896"/>
      <w:bookmarkStart w:id="3" w:name="_Toc436846333"/>
      <w:bookmarkStart w:id="4" w:name="_Toc436848283"/>
      <w:bookmarkStart w:id="5" w:name="_Toc436856531"/>
      <w:bookmarkStart w:id="6" w:name="_Toc436862677"/>
      <w:bookmarkStart w:id="7" w:name="_Toc436866327"/>
      <w:bookmarkStart w:id="8" w:name="_Toc436870906"/>
      <w:bookmarkStart w:id="9" w:name="_Toc436875898"/>
      <w:bookmarkStart w:id="10" w:name="_Toc467248710"/>
      <w:bookmarkStart w:id="11" w:name="_Toc467852880"/>
      <w:bookmarkEnd w:id="0"/>
      <w:bookmarkEnd w:id="1"/>
    </w:p>
    <w:p w14:paraId="6D481212" w14:textId="77777777" w:rsidR="00564981" w:rsidRDefault="00AF7C2E" w:rsidP="00564981">
      <w:pPr>
        <w:autoSpaceDE w:val="0"/>
        <w:autoSpaceDN w:val="0"/>
        <w:adjustRightInd w:val="0"/>
        <w:spacing w:before="240" w:after="240"/>
        <w:ind w:left="567"/>
        <w:jc w:val="both"/>
        <w:rPr>
          <w:rFonts w:ascii="ITC Avant Garde" w:hAnsi="ITC Avant Garde"/>
          <w:b/>
          <w:i/>
          <w:kern w:val="1"/>
          <w:sz w:val="21"/>
          <w:szCs w:val="21"/>
          <w:lang w:val="es-ES" w:eastAsia="ar-SA"/>
        </w:rPr>
      </w:pPr>
      <w:r w:rsidRPr="004014C1">
        <w:rPr>
          <w:rFonts w:ascii="ITC Avant Garde" w:hAnsi="ITC Avant Garde"/>
          <w:b/>
          <w:i/>
          <w:kern w:val="1"/>
          <w:sz w:val="21"/>
          <w:szCs w:val="21"/>
          <w:lang w:val="es-ES" w:eastAsia="ar-SA"/>
        </w:rPr>
        <w:t>5.1 Descripción del Servicio de Acceso Indirecto al Bucle</w:t>
      </w:r>
      <w:bookmarkEnd w:id="2"/>
      <w:bookmarkEnd w:id="3"/>
      <w:bookmarkEnd w:id="4"/>
      <w:bookmarkEnd w:id="5"/>
      <w:bookmarkEnd w:id="6"/>
      <w:bookmarkEnd w:id="7"/>
      <w:bookmarkEnd w:id="8"/>
      <w:bookmarkEnd w:id="9"/>
      <w:bookmarkEnd w:id="10"/>
      <w:bookmarkEnd w:id="11"/>
    </w:p>
    <w:p w14:paraId="34F55919" w14:textId="77777777" w:rsidR="00564981" w:rsidRDefault="00AF7C2E" w:rsidP="00564981">
      <w:pPr>
        <w:autoSpaceDE w:val="0"/>
        <w:autoSpaceDN w:val="0"/>
        <w:adjustRightInd w:val="0"/>
        <w:spacing w:before="240" w:after="240"/>
        <w:ind w:left="567"/>
        <w:jc w:val="both"/>
        <w:rPr>
          <w:rFonts w:ascii="ITC Avant Garde" w:hAnsi="ITC Avant Garde"/>
          <w:i/>
          <w:kern w:val="1"/>
          <w:sz w:val="21"/>
          <w:szCs w:val="21"/>
          <w:lang w:val="es-ES" w:eastAsia="ar-SA"/>
        </w:rPr>
      </w:pPr>
      <w:r w:rsidRPr="004014C1">
        <w:rPr>
          <w:rFonts w:ascii="ITC Avant Garde" w:hAnsi="ITC Avant Garde"/>
          <w:i/>
          <w:kern w:val="1"/>
          <w:sz w:val="21"/>
          <w:szCs w:val="21"/>
          <w:lang w:val="es-ES" w:eastAsia="ar-SA"/>
        </w:rPr>
        <w:t>El Servicio de Acceso Indirecto al Bucle Local es aquel mediante el cual Telmex pone a disposición del CS capacidad de transmisión entre el Usuario Final y un Punto de Interconexión con la red del CS, de tal forma que se permita la provisión de servicios de telecomunicaciones a un Usuario Final que se conecta a la red pública de telecomunicaciones mediante una acometida de Telmex. El SAIB será ofrecido por Telmex de manera que permita al CS disponer del Tráfico de datos originado por el usuario, ya sea por medio de cobre o fibra óptica, desde el Punto de Conexión Terminal en el sitio del Usuario Final, transportando el Tráfico hasta una Central Telefónica o Instalación Equivalente donde radican los equipos de acceso realizando la conexión del DFO Telmex hasta el DFO del CS o donde Telmex entrega en punta el servicio a solicitud del CS.</w:t>
      </w:r>
    </w:p>
    <w:p w14:paraId="05B7AD0F" w14:textId="77777777" w:rsidR="00564981" w:rsidRDefault="00AF7C2E" w:rsidP="00564981">
      <w:pPr>
        <w:autoSpaceDE w:val="0"/>
        <w:autoSpaceDN w:val="0"/>
        <w:adjustRightInd w:val="0"/>
        <w:spacing w:before="240" w:after="240"/>
        <w:ind w:left="567"/>
        <w:jc w:val="both"/>
        <w:rPr>
          <w:rFonts w:ascii="ITC Avant Garde" w:hAnsi="ITC Avant Garde"/>
          <w:i/>
          <w:kern w:val="1"/>
          <w:sz w:val="21"/>
          <w:szCs w:val="21"/>
          <w:lang w:val="es-ES" w:eastAsia="ar-SA"/>
        </w:rPr>
      </w:pPr>
      <w:r w:rsidRPr="004014C1">
        <w:rPr>
          <w:rFonts w:ascii="ITC Avant Garde" w:hAnsi="ITC Avant Garde"/>
          <w:i/>
          <w:kern w:val="1"/>
          <w:sz w:val="21"/>
          <w:szCs w:val="21"/>
          <w:lang w:val="es-ES" w:eastAsia="ar-SA"/>
        </w:rPr>
        <w:t>El SAIB se compone de dos conjuntos de funcionalidades:</w:t>
      </w:r>
    </w:p>
    <w:p w14:paraId="509FCA1C" w14:textId="77777777" w:rsidR="00564981" w:rsidRDefault="00AF7C2E" w:rsidP="00564981">
      <w:pPr>
        <w:autoSpaceDE w:val="0"/>
        <w:autoSpaceDN w:val="0"/>
        <w:adjustRightInd w:val="0"/>
        <w:spacing w:before="240" w:after="240"/>
        <w:ind w:left="567"/>
        <w:jc w:val="both"/>
        <w:rPr>
          <w:rFonts w:ascii="ITC Avant Garde" w:hAnsi="ITC Avant Garde"/>
          <w:i/>
          <w:kern w:val="1"/>
          <w:sz w:val="21"/>
          <w:szCs w:val="21"/>
          <w:lang w:val="es-ES" w:eastAsia="ar-SA"/>
        </w:rPr>
      </w:pPr>
      <w:r w:rsidRPr="004014C1">
        <w:rPr>
          <w:rFonts w:ascii="ITC Avant Garde" w:hAnsi="ITC Avant Garde"/>
          <w:i/>
          <w:kern w:val="1"/>
          <w:sz w:val="21"/>
          <w:szCs w:val="21"/>
          <w:lang w:val="es-ES" w:eastAsia="ar-SA"/>
        </w:rPr>
        <w:t>…</w:t>
      </w:r>
    </w:p>
    <w:p w14:paraId="71FA8DA4" w14:textId="77777777" w:rsidR="00564981" w:rsidRDefault="00AF7C2E" w:rsidP="00564981">
      <w:pPr>
        <w:autoSpaceDE w:val="0"/>
        <w:autoSpaceDN w:val="0"/>
        <w:adjustRightInd w:val="0"/>
        <w:spacing w:before="240" w:after="240"/>
        <w:ind w:left="567"/>
        <w:jc w:val="both"/>
        <w:rPr>
          <w:rFonts w:ascii="ITC Avant Garde" w:hAnsi="ITC Avant Garde"/>
          <w:i/>
          <w:kern w:val="1"/>
          <w:sz w:val="21"/>
          <w:szCs w:val="21"/>
          <w:lang w:val="es-ES" w:eastAsia="ar-SA"/>
        </w:rPr>
      </w:pPr>
      <w:r w:rsidRPr="004014C1">
        <w:rPr>
          <w:rFonts w:ascii="ITC Avant Garde" w:hAnsi="ITC Avant Garde"/>
          <w:i/>
          <w:kern w:val="1"/>
          <w:sz w:val="21"/>
          <w:szCs w:val="21"/>
          <w:lang w:val="es-ES" w:eastAsia="ar-SA"/>
        </w:rPr>
        <w:lastRenderedPageBreak/>
        <w:t xml:space="preserve">El segundo conjunto de funcionalidades corresponden a la agregación en sentido ascendente y desagregación en el descendente de los flujos del tráfico de datos provenientes de los distintos equipos de los Usuarios Finales que llegan a los diferentes equipos de acceso de TELMEX para su organización en VLAN y su </w:t>
      </w:r>
      <w:r w:rsidRPr="004014C1">
        <w:rPr>
          <w:rFonts w:ascii="ITC Avant Garde" w:hAnsi="ITC Avant Garde"/>
          <w:b/>
          <w:i/>
          <w:kern w:val="1"/>
          <w:sz w:val="21"/>
          <w:szCs w:val="21"/>
          <w:lang w:val="es-ES" w:eastAsia="ar-SA"/>
        </w:rPr>
        <w:t>posterior transporte y entrega a nivel de Capa 2 (Ethernet) en un Puerto de Conexión de Acceso Indirecto (</w:t>
      </w:r>
      <w:proofErr w:type="spellStart"/>
      <w:r w:rsidRPr="004014C1">
        <w:rPr>
          <w:rFonts w:ascii="ITC Avant Garde" w:hAnsi="ITC Avant Garde"/>
          <w:b/>
          <w:i/>
          <w:kern w:val="1"/>
          <w:sz w:val="21"/>
          <w:szCs w:val="21"/>
          <w:lang w:val="es-ES" w:eastAsia="ar-SA"/>
        </w:rPr>
        <w:t>pCAI</w:t>
      </w:r>
      <w:proofErr w:type="spellEnd"/>
      <w:r w:rsidRPr="004014C1">
        <w:rPr>
          <w:rFonts w:ascii="ITC Avant Garde" w:hAnsi="ITC Avant Garde"/>
          <w:b/>
          <w:i/>
          <w:kern w:val="1"/>
          <w:sz w:val="21"/>
          <w:szCs w:val="21"/>
          <w:lang w:val="es-ES" w:eastAsia="ar-SA"/>
        </w:rPr>
        <w:t>), ubicado en un Nodo de Conexión de Acceso Indirecto (NCAI) elegido por el CS y al que accede a través del correspondiente distribuidor de fibra óptica, en adelante denominado Servicio de Concentración y Distribución (</w:t>
      </w:r>
      <w:proofErr w:type="spellStart"/>
      <w:r w:rsidRPr="004014C1">
        <w:rPr>
          <w:rFonts w:ascii="ITC Avant Garde" w:hAnsi="ITC Avant Garde"/>
          <w:b/>
          <w:i/>
          <w:kern w:val="1"/>
          <w:sz w:val="21"/>
          <w:szCs w:val="21"/>
          <w:lang w:val="es-ES" w:eastAsia="ar-SA"/>
        </w:rPr>
        <w:t>SCyD</w:t>
      </w:r>
      <w:proofErr w:type="spellEnd"/>
      <w:r w:rsidRPr="004014C1">
        <w:rPr>
          <w:rFonts w:ascii="ITC Avant Garde" w:hAnsi="ITC Avant Garde"/>
          <w:b/>
          <w:i/>
          <w:kern w:val="1"/>
          <w:sz w:val="21"/>
          <w:szCs w:val="21"/>
          <w:lang w:val="es-ES" w:eastAsia="ar-SA"/>
        </w:rPr>
        <w:t>)</w:t>
      </w:r>
      <w:r w:rsidRPr="004014C1">
        <w:rPr>
          <w:rFonts w:ascii="ITC Avant Garde" w:hAnsi="ITC Avant Garde"/>
          <w:i/>
          <w:kern w:val="1"/>
          <w:sz w:val="21"/>
          <w:szCs w:val="21"/>
          <w:lang w:val="es-ES" w:eastAsia="ar-SA"/>
        </w:rPr>
        <w:t>.”</w:t>
      </w:r>
    </w:p>
    <w:p w14:paraId="3491FC21" w14:textId="77777777" w:rsidR="00564981" w:rsidRDefault="00AF7C2E" w:rsidP="00564981">
      <w:pPr>
        <w:autoSpaceDE w:val="0"/>
        <w:autoSpaceDN w:val="0"/>
        <w:adjustRightInd w:val="0"/>
        <w:spacing w:before="240" w:after="240"/>
        <w:ind w:left="567"/>
        <w:jc w:val="both"/>
        <w:rPr>
          <w:rFonts w:ascii="ITC Avant Garde" w:hAnsi="ITC Avant Garde"/>
          <w:kern w:val="1"/>
          <w:sz w:val="21"/>
          <w:szCs w:val="21"/>
          <w:lang w:val="es-ES" w:eastAsia="ar-SA"/>
        </w:rPr>
      </w:pPr>
      <w:r w:rsidRPr="004014C1">
        <w:rPr>
          <w:rFonts w:ascii="ITC Avant Garde" w:hAnsi="ITC Avant Garde"/>
          <w:kern w:val="1"/>
          <w:sz w:val="21"/>
          <w:szCs w:val="21"/>
          <w:lang w:val="es-ES" w:eastAsia="ar-SA"/>
        </w:rPr>
        <w:t>(Énfasis añadido)</w:t>
      </w:r>
    </w:p>
    <w:p w14:paraId="27AF4356" w14:textId="77777777" w:rsidR="00564981" w:rsidRDefault="00811D2A"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kern w:val="1"/>
          <w:lang w:val="es-ES" w:eastAsia="ar-SA"/>
        </w:rPr>
        <w:t>De lo anterior</w:t>
      </w:r>
      <w:r w:rsidR="00AF7C2E" w:rsidRPr="00D31A19">
        <w:rPr>
          <w:rFonts w:ascii="ITC Avant Garde" w:hAnsi="ITC Avant Garde"/>
          <w:kern w:val="1"/>
          <w:lang w:val="es-ES" w:eastAsia="ar-SA"/>
        </w:rPr>
        <w:t xml:space="preserve"> </w:t>
      </w:r>
      <w:r w:rsidRPr="00D31A19">
        <w:rPr>
          <w:rFonts w:ascii="ITC Avant Garde" w:hAnsi="ITC Avant Garde"/>
          <w:kern w:val="1"/>
          <w:lang w:val="es-ES" w:eastAsia="ar-SA"/>
        </w:rPr>
        <w:t xml:space="preserve">se entiende </w:t>
      </w:r>
      <w:r w:rsidR="00AF7C2E" w:rsidRPr="00D31A19">
        <w:rPr>
          <w:rFonts w:ascii="ITC Avant Garde" w:hAnsi="ITC Avant Garde"/>
          <w:kern w:val="1"/>
          <w:lang w:val="es-ES" w:eastAsia="ar-SA"/>
        </w:rPr>
        <w:t>que el CS únicamente debe proporcionar los datos conocidos del usuario (nombre, domicilio, etc.), y características del servicio (velocidad, tipo de módem, etc.) en las solicitudes de contratación. La información relativa a las funciones de concentración y distribución (</w:t>
      </w:r>
      <w:proofErr w:type="spellStart"/>
      <w:r w:rsidR="00AF7C2E" w:rsidRPr="00D31A19">
        <w:rPr>
          <w:rFonts w:ascii="ITC Avant Garde" w:hAnsi="ITC Avant Garde"/>
          <w:kern w:val="1"/>
          <w:lang w:val="es-ES" w:eastAsia="ar-SA"/>
        </w:rPr>
        <w:t>SCyD</w:t>
      </w:r>
      <w:proofErr w:type="spellEnd"/>
      <w:r w:rsidR="00AF7C2E" w:rsidRPr="00D31A19">
        <w:rPr>
          <w:rFonts w:ascii="ITC Avant Garde" w:hAnsi="ITC Avant Garde"/>
          <w:kern w:val="1"/>
          <w:lang w:val="es-ES" w:eastAsia="ar-SA"/>
        </w:rPr>
        <w:t>), es determinada por T</w:t>
      </w:r>
      <w:r w:rsidR="004C2EAA" w:rsidRPr="00D31A19">
        <w:rPr>
          <w:rFonts w:ascii="ITC Avant Garde" w:hAnsi="ITC Avant Garde"/>
          <w:kern w:val="1"/>
          <w:lang w:val="es-ES" w:eastAsia="ar-SA"/>
        </w:rPr>
        <w:t>elmex-</w:t>
      </w:r>
      <w:proofErr w:type="spellStart"/>
      <w:r w:rsidR="004C2EAA" w:rsidRPr="00D31A19">
        <w:rPr>
          <w:rFonts w:ascii="ITC Avant Garde" w:hAnsi="ITC Avant Garde"/>
          <w:kern w:val="1"/>
          <w:lang w:val="es-ES" w:eastAsia="ar-SA"/>
        </w:rPr>
        <w:t>Telnor</w:t>
      </w:r>
      <w:proofErr w:type="spellEnd"/>
      <w:r w:rsidR="00AF7C2E" w:rsidRPr="00D31A19">
        <w:rPr>
          <w:rFonts w:ascii="ITC Avant Garde" w:hAnsi="ITC Avant Garde"/>
          <w:kern w:val="1"/>
          <w:lang w:val="es-ES" w:eastAsia="ar-SA"/>
        </w:rPr>
        <w:t>, ya que es quien organiza y agrupa los equipos de acceso que se conectan a un equipo que realiza estas funciones de concentración.</w:t>
      </w:r>
    </w:p>
    <w:p w14:paraId="4A29593F" w14:textId="77777777" w:rsidR="00564981" w:rsidRDefault="004C2EAA"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kern w:val="1"/>
          <w:lang w:val="es-ES" w:eastAsia="ar-SA"/>
        </w:rPr>
        <w:t>En ese sentido e</w:t>
      </w:r>
      <w:r w:rsidR="00AF7C2E" w:rsidRPr="00D31A19">
        <w:rPr>
          <w:rFonts w:ascii="ITC Avant Garde" w:hAnsi="ITC Avant Garde"/>
          <w:kern w:val="1"/>
          <w:lang w:val="es-ES" w:eastAsia="ar-SA"/>
        </w:rPr>
        <w:t xml:space="preserve">l Instituto puede corroborar que en el caso del SAIB, no es necesario que el CS haga referencia al </w:t>
      </w:r>
      <w:proofErr w:type="spellStart"/>
      <w:r w:rsidR="00AF7C2E" w:rsidRPr="00D31A19">
        <w:rPr>
          <w:rFonts w:ascii="ITC Avant Garde" w:hAnsi="ITC Avant Garde"/>
          <w:kern w:val="1"/>
          <w:lang w:val="es-ES" w:eastAsia="ar-SA"/>
        </w:rPr>
        <w:t>SCyD</w:t>
      </w:r>
      <w:proofErr w:type="spellEnd"/>
      <w:r w:rsidR="00AF7C2E" w:rsidRPr="00D31A19">
        <w:rPr>
          <w:rFonts w:ascii="ITC Avant Garde" w:hAnsi="ITC Avant Garde"/>
          <w:kern w:val="1"/>
          <w:lang w:val="es-ES" w:eastAsia="ar-SA"/>
        </w:rPr>
        <w:t xml:space="preserve"> en la solicitud de contratación dentro del SEG, ya que en la solicitud del servicio se contempla toda la información pertinente para que T</w:t>
      </w:r>
      <w:r w:rsidRPr="00D31A19">
        <w:rPr>
          <w:rFonts w:ascii="ITC Avant Garde" w:hAnsi="ITC Avant Garde"/>
          <w:kern w:val="1"/>
          <w:lang w:val="es-ES" w:eastAsia="ar-SA"/>
        </w:rPr>
        <w:t>elmex-</w:t>
      </w:r>
      <w:proofErr w:type="spellStart"/>
      <w:r w:rsidRPr="00D31A19">
        <w:rPr>
          <w:rFonts w:ascii="ITC Avant Garde" w:hAnsi="ITC Avant Garde"/>
          <w:kern w:val="1"/>
          <w:lang w:val="es-ES" w:eastAsia="ar-SA"/>
        </w:rPr>
        <w:t>Telnor</w:t>
      </w:r>
      <w:proofErr w:type="spellEnd"/>
      <w:r w:rsidR="00AF7C2E" w:rsidRPr="00D31A19">
        <w:rPr>
          <w:rFonts w:ascii="ITC Avant Garde" w:hAnsi="ITC Avant Garde"/>
          <w:kern w:val="1"/>
          <w:lang w:val="es-ES" w:eastAsia="ar-SA"/>
        </w:rPr>
        <w:t xml:space="preserve"> determine a </w:t>
      </w:r>
      <w:r w:rsidR="00202DAB" w:rsidRPr="00D31A19">
        <w:rPr>
          <w:rFonts w:ascii="ITC Avant Garde" w:hAnsi="ITC Avant Garde"/>
          <w:kern w:val="1"/>
          <w:lang w:val="es-ES" w:eastAsia="ar-SA"/>
        </w:rPr>
        <w:t>cuál</w:t>
      </w:r>
      <w:r w:rsidR="00AF7C2E" w:rsidRPr="00D31A19">
        <w:rPr>
          <w:rFonts w:ascii="ITC Avant Garde" w:hAnsi="ITC Avant Garde"/>
          <w:kern w:val="1"/>
          <w:lang w:val="es-ES" w:eastAsia="ar-SA"/>
        </w:rPr>
        <w:t xml:space="preserve"> central y elemento de agregación pertenece.</w:t>
      </w:r>
    </w:p>
    <w:p w14:paraId="6BF5F6E2" w14:textId="77777777" w:rsidR="00564981" w:rsidRDefault="004C2EAA"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kern w:val="1"/>
          <w:lang w:val="es-ES" w:eastAsia="ar-SA"/>
        </w:rPr>
        <w:t>En conclusión, este</w:t>
      </w:r>
      <w:r w:rsidR="00AF7C2E" w:rsidRPr="00D31A19">
        <w:rPr>
          <w:rFonts w:ascii="ITC Avant Garde" w:hAnsi="ITC Avant Garde"/>
          <w:kern w:val="1"/>
          <w:lang w:val="es-ES" w:eastAsia="ar-SA"/>
        </w:rPr>
        <w:t xml:space="preserve"> Instituto</w:t>
      </w:r>
      <w:r w:rsidR="00811D2A" w:rsidRPr="00D31A19">
        <w:rPr>
          <w:rFonts w:ascii="ITC Avant Garde" w:hAnsi="ITC Avant Garde"/>
          <w:kern w:val="1"/>
          <w:lang w:val="es-ES" w:eastAsia="ar-SA"/>
        </w:rPr>
        <w:t xml:space="preserve"> considera procedente</w:t>
      </w:r>
      <w:r w:rsidR="006D00FB" w:rsidRPr="00D31A19">
        <w:rPr>
          <w:rFonts w:ascii="ITC Avant Garde" w:hAnsi="ITC Avant Garde"/>
          <w:kern w:val="1"/>
          <w:lang w:val="es-ES" w:eastAsia="ar-SA"/>
        </w:rPr>
        <w:t xml:space="preserve"> </w:t>
      </w:r>
      <w:r w:rsidR="00AF7C2E" w:rsidRPr="00D31A19">
        <w:rPr>
          <w:rFonts w:ascii="ITC Avant Garde" w:hAnsi="ITC Avant Garde"/>
          <w:kern w:val="1"/>
          <w:lang w:val="es-ES" w:eastAsia="ar-SA"/>
        </w:rPr>
        <w:t>elimina</w:t>
      </w:r>
      <w:r w:rsidR="007E5016" w:rsidRPr="00D31A19">
        <w:rPr>
          <w:rFonts w:ascii="ITC Avant Garde" w:hAnsi="ITC Avant Garde"/>
          <w:kern w:val="1"/>
          <w:lang w:val="es-ES" w:eastAsia="ar-SA"/>
        </w:rPr>
        <w:t>r</w:t>
      </w:r>
      <w:r w:rsidR="00AF7C2E" w:rsidRPr="00D31A19">
        <w:rPr>
          <w:rFonts w:ascii="ITC Avant Garde" w:hAnsi="ITC Avant Garde"/>
          <w:kern w:val="1"/>
          <w:lang w:val="es-ES" w:eastAsia="ar-SA"/>
        </w:rPr>
        <w:t xml:space="preserve"> </w:t>
      </w:r>
      <w:r w:rsidRPr="00D31A19">
        <w:rPr>
          <w:rFonts w:ascii="ITC Avant Garde" w:hAnsi="ITC Avant Garde"/>
          <w:kern w:val="1"/>
          <w:lang w:val="es-ES" w:eastAsia="ar-SA"/>
        </w:rPr>
        <w:t>el campo denominado “</w:t>
      </w:r>
      <w:r w:rsidRPr="00D31A19">
        <w:rPr>
          <w:rFonts w:ascii="ITC Avant Garde" w:hAnsi="ITC Avant Garde"/>
          <w:i/>
          <w:kern w:val="1"/>
          <w:lang w:val="es-ES" w:eastAsia="ar-SA"/>
        </w:rPr>
        <w:t>Referencia del Servicio de Concentración y distribución donde se entregará el tráfico de datos</w:t>
      </w:r>
      <w:r w:rsidRPr="00D31A19">
        <w:rPr>
          <w:rFonts w:ascii="ITC Avant Garde" w:hAnsi="ITC Avant Garde"/>
          <w:kern w:val="1"/>
          <w:lang w:val="es-ES" w:eastAsia="ar-SA"/>
        </w:rPr>
        <w:t xml:space="preserve">” </w:t>
      </w:r>
      <w:r w:rsidR="00AF7C2E" w:rsidRPr="00D31A19">
        <w:rPr>
          <w:rFonts w:ascii="ITC Avant Garde" w:hAnsi="ITC Avant Garde"/>
          <w:kern w:val="1"/>
          <w:lang w:val="es-ES" w:eastAsia="ar-SA"/>
        </w:rPr>
        <w:t xml:space="preserve">en la solicitud del Servicio de Acceso Indirecto al Bucle (SAIB), sin que </w:t>
      </w:r>
      <w:r w:rsidR="006D00FB" w:rsidRPr="00D31A19">
        <w:rPr>
          <w:rFonts w:ascii="ITC Avant Garde" w:hAnsi="ITC Avant Garde"/>
          <w:kern w:val="1"/>
          <w:lang w:val="es-ES" w:eastAsia="ar-SA"/>
        </w:rPr>
        <w:t>deriven</w:t>
      </w:r>
      <w:r w:rsidR="00AF7C2E" w:rsidRPr="00D31A19">
        <w:rPr>
          <w:rFonts w:ascii="ITC Avant Garde" w:hAnsi="ITC Avant Garde"/>
          <w:kern w:val="1"/>
          <w:lang w:val="es-ES" w:eastAsia="ar-SA"/>
        </w:rPr>
        <w:t xml:space="preserve"> implicaciones negativas en el SEG o </w:t>
      </w:r>
      <w:r w:rsidRPr="00D31A19">
        <w:rPr>
          <w:rFonts w:ascii="ITC Avant Garde" w:hAnsi="ITC Avant Garde"/>
          <w:kern w:val="1"/>
          <w:lang w:val="es-ES" w:eastAsia="ar-SA"/>
        </w:rPr>
        <w:t>en</w:t>
      </w:r>
      <w:r w:rsidR="00AF7C2E" w:rsidRPr="00D31A19">
        <w:rPr>
          <w:rFonts w:ascii="ITC Avant Garde" w:hAnsi="ITC Avant Garde"/>
          <w:kern w:val="1"/>
          <w:lang w:val="es-ES" w:eastAsia="ar-SA"/>
        </w:rPr>
        <w:t xml:space="preserve"> la prestación del servicio</w:t>
      </w:r>
      <w:r w:rsidRPr="00D31A19">
        <w:rPr>
          <w:rFonts w:ascii="ITC Avant Garde" w:hAnsi="ITC Avant Garde"/>
          <w:kern w:val="1"/>
          <w:lang w:val="es-ES" w:eastAsia="ar-SA"/>
        </w:rPr>
        <w:t>. Es importante adicionar que en el seno del Comité Técnico de Desagregación, Telmex manifestó que este cambio no implicaba mayor tema.</w:t>
      </w:r>
      <w:r w:rsidRPr="00D31A19">
        <w:rPr>
          <w:vertAlign w:val="superscript"/>
          <w:lang w:val="es-ES"/>
        </w:rPr>
        <w:footnoteReference w:id="20"/>
      </w:r>
    </w:p>
    <w:p w14:paraId="5287C843" w14:textId="77777777" w:rsidR="00564981" w:rsidRDefault="00F01AAF" w:rsidP="00564981">
      <w:pPr>
        <w:shd w:val="clear" w:color="auto" w:fill="FFFFFF"/>
        <w:spacing w:before="240" w:after="240"/>
        <w:jc w:val="both"/>
        <w:rPr>
          <w:rFonts w:ascii="ITC Avant Garde" w:hAnsi="ITC Avant Garde"/>
          <w:lang w:val="es-ES"/>
        </w:rPr>
      </w:pPr>
      <w:r w:rsidRPr="00D31A19">
        <w:rPr>
          <w:rFonts w:ascii="ITC Avant Garde" w:hAnsi="ITC Avant Garde"/>
          <w:b/>
          <w:lang w:val="es-ES"/>
        </w:rPr>
        <w:t>D)</w:t>
      </w:r>
      <w:r w:rsidRPr="00D31A19">
        <w:rPr>
          <w:rFonts w:ascii="ITC Avant Garde" w:hAnsi="ITC Avant Garde"/>
          <w:lang w:val="es-ES"/>
        </w:rPr>
        <w:t xml:space="preserve"> </w:t>
      </w:r>
      <w:r w:rsidR="00FE1ABA" w:rsidRPr="00D31A19">
        <w:rPr>
          <w:rFonts w:ascii="ITC Avant Garde" w:hAnsi="ITC Avant Garde"/>
          <w:lang w:val="es-ES"/>
        </w:rPr>
        <w:t>En la solicitud de confirmación de criterio Telmex-</w:t>
      </w:r>
      <w:proofErr w:type="spellStart"/>
      <w:r w:rsidR="00FE1ABA" w:rsidRPr="00D31A19">
        <w:rPr>
          <w:rFonts w:ascii="ITC Avant Garde" w:hAnsi="ITC Avant Garde"/>
          <w:lang w:val="es-ES"/>
        </w:rPr>
        <w:t>Telnor</w:t>
      </w:r>
      <w:proofErr w:type="spellEnd"/>
      <w:r w:rsidR="00FE1ABA" w:rsidRPr="00D31A19">
        <w:rPr>
          <w:rFonts w:ascii="ITC Avant Garde" w:hAnsi="ITC Avant Garde"/>
          <w:lang w:val="es-ES"/>
        </w:rPr>
        <w:t>, solicita lo siguiente:</w:t>
      </w:r>
    </w:p>
    <w:p w14:paraId="1A52BFF7" w14:textId="77777777" w:rsidR="00564981" w:rsidRDefault="00F01AAF" w:rsidP="00564981">
      <w:pPr>
        <w:shd w:val="clear" w:color="auto" w:fill="FFFFFF"/>
        <w:spacing w:before="240" w:after="240"/>
        <w:ind w:left="567"/>
        <w:jc w:val="both"/>
        <w:rPr>
          <w:rFonts w:ascii="ITC Avant Garde" w:hAnsi="ITC Avant Garde"/>
          <w:b/>
          <w:i/>
          <w:lang w:val="es-ES"/>
        </w:rPr>
      </w:pPr>
      <w:r w:rsidRPr="00D31A19">
        <w:rPr>
          <w:rFonts w:ascii="ITC Avant Garde" w:hAnsi="ITC Avant Garde"/>
          <w:b/>
          <w:i/>
          <w:lang w:val="es-ES"/>
        </w:rPr>
        <w:t>Validar el Punto 14. Filtrado por “Tipo de Servicio”</w:t>
      </w:r>
    </w:p>
    <w:p w14:paraId="21D30336" w14:textId="77777777" w:rsidR="00564981" w:rsidRDefault="00F01AAF" w:rsidP="00564981">
      <w:pPr>
        <w:shd w:val="clear" w:color="auto" w:fill="FFFFFF"/>
        <w:spacing w:before="240" w:after="240"/>
        <w:ind w:left="567"/>
        <w:jc w:val="both"/>
        <w:rPr>
          <w:rFonts w:ascii="ITC Avant Garde" w:hAnsi="ITC Avant Garde"/>
          <w:i/>
          <w:lang w:val="es-ES"/>
        </w:rPr>
      </w:pPr>
      <w:r w:rsidRPr="00D31A19">
        <w:rPr>
          <w:rFonts w:ascii="ITC Avant Garde" w:hAnsi="ITC Avant Garde"/>
          <w:i/>
          <w:lang w:val="es-ES"/>
        </w:rPr>
        <w:t>…se solicita a ese Instituto confirmar la viabilidad de incluir como parte de las opciones de búsqueda y presentación de las solicitudes del Módulo de Seguimiento de la opción de Filtrado por “Tipo de Servicio”.”</w:t>
      </w:r>
    </w:p>
    <w:p w14:paraId="2A53FDCE" w14:textId="739B2478" w:rsidR="00564981" w:rsidRDefault="00132911" w:rsidP="00564981">
      <w:pPr>
        <w:shd w:val="clear" w:color="auto" w:fill="FFFFFF"/>
        <w:spacing w:before="240" w:after="240"/>
        <w:jc w:val="both"/>
        <w:rPr>
          <w:rFonts w:ascii="ITC Avant Garde" w:hAnsi="ITC Avant Garde"/>
          <w:lang w:val="es-ES"/>
        </w:rPr>
      </w:pPr>
      <w:r w:rsidRPr="00D31A19">
        <w:rPr>
          <w:rFonts w:ascii="ITC Avant Garde" w:hAnsi="ITC Avant Garde"/>
          <w:lang w:val="es-ES"/>
        </w:rPr>
        <w:lastRenderedPageBreak/>
        <w:t xml:space="preserve">Del punto 14, del </w:t>
      </w:r>
      <w:r w:rsidRPr="00D31A19">
        <w:rPr>
          <w:rFonts w:ascii="ITC Avant Garde" w:hAnsi="ITC Avant Garde"/>
          <w:kern w:val="1"/>
          <w:lang w:val="es-ES" w:eastAsia="ar-SA"/>
        </w:rPr>
        <w:t>Documento del Grupo de Trabajo</w:t>
      </w:r>
      <w:r w:rsidR="0007170E" w:rsidRPr="00D31A19">
        <w:rPr>
          <w:rFonts w:ascii="ITC Avant Garde" w:hAnsi="ITC Avant Garde"/>
          <w:kern w:val="1"/>
          <w:lang w:val="es-ES" w:eastAsia="ar-SA"/>
        </w:rPr>
        <w:t xml:space="preserve"> de</w:t>
      </w:r>
      <w:r w:rsidRPr="00D31A19">
        <w:rPr>
          <w:rFonts w:ascii="ITC Avant Garde" w:hAnsi="ITC Avant Garde"/>
          <w:kern w:val="1"/>
          <w:lang w:val="es-ES" w:eastAsia="ar-SA"/>
        </w:rPr>
        <w:t xml:space="preserve"> Mejoras al SEG,</w:t>
      </w:r>
      <w:r w:rsidRPr="00D31A19">
        <w:rPr>
          <w:rFonts w:ascii="ITC Avant Garde" w:hAnsi="ITC Avant Garde"/>
          <w:lang w:val="es-ES"/>
        </w:rPr>
        <w:t xml:space="preserve"> se desprende lo siguiente:</w:t>
      </w:r>
    </w:p>
    <w:tbl>
      <w:tblPr>
        <w:tblStyle w:val="Cuadrculadetablaclara"/>
        <w:tblW w:w="7513" w:type="dxa"/>
        <w:jc w:val="center"/>
        <w:tblLayout w:type="fixed"/>
        <w:tblLook w:val="04A0" w:firstRow="1" w:lastRow="0" w:firstColumn="1" w:lastColumn="0" w:noHBand="0" w:noVBand="1"/>
        <w:tblCaption w:val="TABLA 6"/>
        <w:tblDescription w:val="Tabla con 6 Columnas y 2 filas, en la primera fila señalan los 6 títulos y abajo en la segunda fila el comentario relativo a cada título."/>
      </w:tblPr>
      <w:tblGrid>
        <w:gridCol w:w="686"/>
        <w:gridCol w:w="1157"/>
        <w:gridCol w:w="1417"/>
        <w:gridCol w:w="1560"/>
        <w:gridCol w:w="1275"/>
        <w:gridCol w:w="1418"/>
      </w:tblGrid>
      <w:tr w:rsidR="00C2121A" w:rsidRPr="00564981" w14:paraId="221A85F2" w14:textId="77777777" w:rsidTr="00564981">
        <w:trPr>
          <w:trHeight w:val="70"/>
          <w:tblHeader/>
          <w:jc w:val="center"/>
        </w:trPr>
        <w:tc>
          <w:tcPr>
            <w:tcW w:w="686" w:type="dxa"/>
            <w:hideMark/>
          </w:tcPr>
          <w:p w14:paraId="230C0DFC"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Punto</w:t>
            </w:r>
          </w:p>
        </w:tc>
        <w:tc>
          <w:tcPr>
            <w:tcW w:w="1157" w:type="dxa"/>
            <w:hideMark/>
          </w:tcPr>
          <w:p w14:paraId="20814BC0"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 xml:space="preserve">Tema </w:t>
            </w:r>
          </w:p>
        </w:tc>
        <w:tc>
          <w:tcPr>
            <w:tcW w:w="1417" w:type="dxa"/>
            <w:hideMark/>
          </w:tcPr>
          <w:p w14:paraId="1B43B801"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Conclusiones</w:t>
            </w:r>
          </w:p>
        </w:tc>
        <w:tc>
          <w:tcPr>
            <w:tcW w:w="1560" w:type="dxa"/>
            <w:hideMark/>
          </w:tcPr>
          <w:p w14:paraId="0FF6BB22"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Notas</w:t>
            </w:r>
          </w:p>
        </w:tc>
        <w:tc>
          <w:tcPr>
            <w:tcW w:w="1275" w:type="dxa"/>
            <w:noWrap/>
            <w:hideMark/>
          </w:tcPr>
          <w:p w14:paraId="0775C6BF"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Resultado final</w:t>
            </w:r>
          </w:p>
        </w:tc>
        <w:tc>
          <w:tcPr>
            <w:tcW w:w="1418" w:type="dxa"/>
            <w:noWrap/>
            <w:hideMark/>
          </w:tcPr>
          <w:p w14:paraId="4C563420" w14:textId="77777777" w:rsidR="00C2121A" w:rsidRPr="00564981" w:rsidRDefault="00C2121A" w:rsidP="00564981">
            <w:pPr>
              <w:spacing w:after="0"/>
              <w:jc w:val="center"/>
              <w:rPr>
                <w:rFonts w:ascii="ITC Avant Garde" w:eastAsia="Times New Roman" w:hAnsi="ITC Avant Garde" w:cs="Times New Roman"/>
                <w:b/>
                <w:bCs/>
                <w:color w:val="000000"/>
                <w:sz w:val="14"/>
                <w:szCs w:val="16"/>
                <w:lang w:val="es-ES" w:eastAsia="es-MX"/>
              </w:rPr>
            </w:pPr>
            <w:r w:rsidRPr="00564981">
              <w:rPr>
                <w:rFonts w:ascii="ITC Avant Garde" w:eastAsia="Times New Roman" w:hAnsi="ITC Avant Garde" w:cs="Times New Roman"/>
                <w:b/>
                <w:bCs/>
                <w:color w:val="000000"/>
                <w:sz w:val="14"/>
                <w:szCs w:val="16"/>
                <w:lang w:val="es-ES" w:eastAsia="es-MX"/>
              </w:rPr>
              <w:t>Fecha</w:t>
            </w:r>
          </w:p>
        </w:tc>
      </w:tr>
      <w:tr w:rsidR="00C2121A" w:rsidRPr="00564981" w14:paraId="4616704B" w14:textId="77777777" w:rsidTr="00564981">
        <w:trPr>
          <w:trHeight w:val="945"/>
          <w:tblHeader/>
          <w:jc w:val="center"/>
        </w:trPr>
        <w:tc>
          <w:tcPr>
            <w:tcW w:w="686" w:type="dxa"/>
          </w:tcPr>
          <w:p w14:paraId="6E9151FA" w14:textId="77777777" w:rsidR="00C2121A" w:rsidRPr="00564981" w:rsidRDefault="0000636E" w:rsidP="00564981">
            <w:pPr>
              <w:spacing w:after="0"/>
              <w:jc w:val="center"/>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14</w:t>
            </w:r>
          </w:p>
        </w:tc>
        <w:tc>
          <w:tcPr>
            <w:tcW w:w="1157" w:type="dxa"/>
          </w:tcPr>
          <w:p w14:paraId="5802E572" w14:textId="77777777" w:rsidR="00C2121A" w:rsidRPr="00564981" w:rsidRDefault="0000636E" w:rsidP="00564981">
            <w:pPr>
              <w:spacing w:after="0"/>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Filtrado por “Tipo de Servicio”</w:t>
            </w:r>
          </w:p>
        </w:tc>
        <w:tc>
          <w:tcPr>
            <w:tcW w:w="1417" w:type="dxa"/>
          </w:tcPr>
          <w:p w14:paraId="73A98E57" w14:textId="77777777" w:rsidR="00564981" w:rsidRPr="00564981" w:rsidRDefault="0000636E" w:rsidP="00564981">
            <w:pPr>
              <w:spacing w:after="0"/>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Televisa acota la mejora referenciándola al INBOX dentro SEG, creando una descripción más detallada.</w:t>
            </w:r>
          </w:p>
          <w:p w14:paraId="002B9F41" w14:textId="733C843A" w:rsidR="0000636E" w:rsidRPr="00564981" w:rsidRDefault="0000636E" w:rsidP="00564981">
            <w:pPr>
              <w:spacing w:after="0"/>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Será revisado por Telmex</w:t>
            </w:r>
          </w:p>
        </w:tc>
        <w:tc>
          <w:tcPr>
            <w:tcW w:w="1560" w:type="dxa"/>
          </w:tcPr>
          <w:p w14:paraId="2489275B" w14:textId="77777777" w:rsidR="00C2121A" w:rsidRPr="00564981" w:rsidRDefault="0000636E" w:rsidP="00564981">
            <w:pPr>
              <w:spacing w:after="0"/>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 xml:space="preserve">Grupo Televisa enviará manda la definición de los tipos de servicio que se requieren para el </w:t>
            </w:r>
            <w:proofErr w:type="spellStart"/>
            <w:r w:rsidRPr="00564981">
              <w:rPr>
                <w:rFonts w:ascii="ITC Avant Garde" w:eastAsia="Times New Roman" w:hAnsi="ITC Avant Garde" w:cs="Times New Roman"/>
                <w:color w:val="000000"/>
                <w:sz w:val="14"/>
                <w:szCs w:val="16"/>
                <w:lang w:val="es-ES" w:eastAsia="es-MX"/>
              </w:rPr>
              <w:t>inbox</w:t>
            </w:r>
            <w:proofErr w:type="spellEnd"/>
          </w:p>
        </w:tc>
        <w:tc>
          <w:tcPr>
            <w:tcW w:w="1275" w:type="dxa"/>
            <w:noWrap/>
          </w:tcPr>
          <w:p w14:paraId="3CB79503" w14:textId="77777777" w:rsidR="00C2121A" w:rsidRPr="00564981" w:rsidRDefault="0000636E" w:rsidP="00564981">
            <w:pPr>
              <w:pStyle w:val="Sinespaciado"/>
              <w:spacing w:line="276" w:lineRule="auto"/>
              <w:rPr>
                <w:rFonts w:ascii="ITC Avant Garde" w:hAnsi="ITC Avant Garde"/>
                <w:sz w:val="14"/>
                <w:szCs w:val="16"/>
                <w:lang w:val="es-ES" w:eastAsia="es-MX"/>
              </w:rPr>
            </w:pPr>
            <w:r w:rsidRPr="00564981">
              <w:rPr>
                <w:rFonts w:ascii="ITC Avant Garde" w:hAnsi="ITC Avant Garde"/>
                <w:sz w:val="14"/>
                <w:szCs w:val="16"/>
                <w:lang w:val="es-ES" w:eastAsia="es-MX"/>
              </w:rPr>
              <w:t>SAIB, SCYD, SRI, SRPI, SRLT, ALTAS ADICIONALES DE NCAI</w:t>
            </w:r>
          </w:p>
        </w:tc>
        <w:tc>
          <w:tcPr>
            <w:tcW w:w="1418" w:type="dxa"/>
          </w:tcPr>
          <w:p w14:paraId="69DC5E31" w14:textId="77777777" w:rsidR="00C2121A" w:rsidRPr="00564981" w:rsidRDefault="0000636E" w:rsidP="00564981">
            <w:pPr>
              <w:spacing w:after="0"/>
              <w:rPr>
                <w:rFonts w:ascii="ITC Avant Garde" w:eastAsia="Times New Roman" w:hAnsi="ITC Avant Garde" w:cs="Times New Roman"/>
                <w:color w:val="000000"/>
                <w:sz w:val="14"/>
                <w:szCs w:val="16"/>
                <w:lang w:val="es-ES" w:eastAsia="es-MX"/>
              </w:rPr>
            </w:pPr>
            <w:r w:rsidRPr="00564981">
              <w:rPr>
                <w:rFonts w:ascii="ITC Avant Garde" w:eastAsia="Times New Roman" w:hAnsi="ITC Avant Garde" w:cs="Times New Roman"/>
                <w:color w:val="000000"/>
                <w:sz w:val="14"/>
                <w:szCs w:val="16"/>
                <w:lang w:val="es-ES" w:eastAsia="es-MX"/>
              </w:rPr>
              <w:t>El IFT no ha dado comentarios sobre este punto. Una vez que el IFT defina, se contemplan 3-4 meses para su implementación</w:t>
            </w:r>
          </w:p>
        </w:tc>
      </w:tr>
    </w:tbl>
    <w:p w14:paraId="1E36F24A" w14:textId="77777777" w:rsidR="00564981" w:rsidRDefault="0053067E" w:rsidP="00564981">
      <w:pPr>
        <w:autoSpaceDE w:val="0"/>
        <w:autoSpaceDN w:val="0"/>
        <w:adjustRightInd w:val="0"/>
        <w:spacing w:before="240" w:after="240"/>
        <w:jc w:val="both"/>
        <w:rPr>
          <w:rFonts w:ascii="ITC Avant Garde" w:hAnsi="ITC Avant Garde"/>
          <w:lang w:val="es-ES"/>
        </w:rPr>
      </w:pPr>
      <w:r w:rsidRPr="00D31A19">
        <w:rPr>
          <w:rFonts w:ascii="ITC Avant Garde" w:hAnsi="ITC Avant Garde"/>
          <w:kern w:val="1"/>
          <w:lang w:val="es-ES" w:eastAsia="ar-SA"/>
        </w:rPr>
        <w:t>Al respecto, es preciso señalar que la Resolución del SEG no tiene algún elemento denominado “</w:t>
      </w:r>
      <w:r w:rsidRPr="00D31A19">
        <w:rPr>
          <w:rFonts w:ascii="ITC Avant Garde" w:hAnsi="ITC Avant Garde"/>
          <w:i/>
          <w:kern w:val="1"/>
          <w:lang w:val="es-ES" w:eastAsia="ar-SA"/>
        </w:rPr>
        <w:t>INBOX</w:t>
      </w:r>
      <w:r w:rsidRPr="00D31A19">
        <w:rPr>
          <w:rFonts w:ascii="ITC Avant Garde" w:hAnsi="ITC Avant Garde"/>
          <w:kern w:val="1"/>
          <w:lang w:val="es-ES" w:eastAsia="ar-SA"/>
        </w:rPr>
        <w:t>”, y en este caso se considera por su descripción que se refiere en efecto al “</w:t>
      </w:r>
      <w:r w:rsidRPr="00D31A19">
        <w:rPr>
          <w:rFonts w:ascii="ITC Avant Garde" w:hAnsi="ITC Avant Garde"/>
          <w:i/>
          <w:kern w:val="1"/>
          <w:lang w:val="es-ES" w:eastAsia="ar-SA"/>
        </w:rPr>
        <w:t>Módulo de Seguimiento</w:t>
      </w:r>
      <w:r w:rsidRPr="00D31A19">
        <w:rPr>
          <w:rFonts w:ascii="ITC Avant Garde" w:hAnsi="ITC Avant Garde"/>
          <w:kern w:val="1"/>
          <w:lang w:val="es-ES" w:eastAsia="ar-SA"/>
        </w:rPr>
        <w:t xml:space="preserve">” referido en la </w:t>
      </w:r>
      <w:r w:rsidRPr="00D31A19">
        <w:rPr>
          <w:rFonts w:ascii="ITC Avant Garde" w:hAnsi="ITC Avant Garde"/>
          <w:lang w:val="es-ES"/>
        </w:rPr>
        <w:t>solicitud de confirmación de criterio.</w:t>
      </w:r>
    </w:p>
    <w:p w14:paraId="523E4275" w14:textId="77777777" w:rsidR="00564981" w:rsidRDefault="00AE1C71"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lang w:val="es-ES"/>
        </w:rPr>
        <w:t>Ahora bien, d</w:t>
      </w:r>
      <w:r w:rsidR="0007170E" w:rsidRPr="00D31A19">
        <w:rPr>
          <w:rFonts w:ascii="ITC Avant Garde" w:hAnsi="ITC Avant Garde"/>
          <w:lang w:val="es-ES"/>
        </w:rPr>
        <w:t>e la revisión integral a la solicitud de confirmación de criterio y al Documento del Grupo de Trabajo de Mejoras al SEG</w:t>
      </w:r>
      <w:r w:rsidR="00A079D0" w:rsidRPr="00D31A19">
        <w:rPr>
          <w:rFonts w:ascii="ITC Avant Garde" w:hAnsi="ITC Avant Garde"/>
          <w:kern w:val="1"/>
          <w:lang w:val="es-ES" w:eastAsia="ar-SA"/>
        </w:rPr>
        <w:t xml:space="preserve">, </w:t>
      </w:r>
      <w:r w:rsidR="0053067E" w:rsidRPr="00D31A19">
        <w:rPr>
          <w:rFonts w:ascii="ITC Avant Garde" w:hAnsi="ITC Avant Garde"/>
          <w:kern w:val="1"/>
          <w:lang w:val="es-ES" w:eastAsia="ar-SA"/>
        </w:rPr>
        <w:t>fue identificada la necesidad de incluir como parte de las opciones de búsqueda el “</w:t>
      </w:r>
      <w:r w:rsidR="0053067E" w:rsidRPr="00D31A19">
        <w:rPr>
          <w:rFonts w:ascii="ITC Avant Garde" w:hAnsi="ITC Avant Garde"/>
          <w:i/>
          <w:kern w:val="1"/>
          <w:lang w:val="es-ES" w:eastAsia="ar-SA"/>
        </w:rPr>
        <w:t>Tipo de Servicio</w:t>
      </w:r>
      <w:r w:rsidR="0053067E" w:rsidRPr="00D31A19">
        <w:rPr>
          <w:rFonts w:ascii="ITC Avant Garde" w:hAnsi="ITC Avant Garde"/>
          <w:kern w:val="1"/>
          <w:lang w:val="es-ES" w:eastAsia="ar-SA"/>
        </w:rPr>
        <w:t>”, debido a que únicamente se podía hacer la consulta por “</w:t>
      </w:r>
      <w:r w:rsidR="0053067E" w:rsidRPr="00D31A19">
        <w:rPr>
          <w:rFonts w:ascii="ITC Avant Garde" w:hAnsi="ITC Avant Garde"/>
          <w:i/>
          <w:kern w:val="1"/>
          <w:lang w:val="es-ES" w:eastAsia="ar-SA"/>
        </w:rPr>
        <w:t>Rango de fechas, Solicitud y/o NIS</w:t>
      </w:r>
      <w:r w:rsidR="0053067E" w:rsidRPr="00D31A19">
        <w:rPr>
          <w:rFonts w:ascii="ITC Avant Garde" w:hAnsi="ITC Avant Garde"/>
          <w:kern w:val="1"/>
          <w:lang w:val="es-ES" w:eastAsia="ar-SA"/>
        </w:rPr>
        <w:t>”,</w:t>
      </w:r>
      <w:r w:rsidR="00C01C84" w:rsidRPr="00D31A19">
        <w:rPr>
          <w:rStyle w:val="Refdenotaalpie"/>
          <w:rFonts w:ascii="ITC Avant Garde" w:hAnsi="ITC Avant Garde"/>
          <w:kern w:val="1"/>
          <w:lang w:val="es-ES" w:eastAsia="ar-SA"/>
        </w:rPr>
        <w:footnoteReference w:id="21"/>
      </w:r>
      <w:r w:rsidR="0053067E" w:rsidRPr="00D31A19">
        <w:rPr>
          <w:rFonts w:ascii="ITC Avant Garde" w:hAnsi="ITC Avant Garde"/>
          <w:kern w:val="1"/>
          <w:lang w:val="es-ES" w:eastAsia="ar-SA"/>
        </w:rPr>
        <w:t xml:space="preserve"> </w:t>
      </w:r>
      <w:r w:rsidR="00640EC9" w:rsidRPr="00D31A19">
        <w:rPr>
          <w:rFonts w:ascii="ITC Avant Garde" w:hAnsi="ITC Avant Garde"/>
          <w:kern w:val="1"/>
          <w:lang w:val="es-ES" w:eastAsia="ar-SA"/>
        </w:rPr>
        <w:t xml:space="preserve">tal y </w:t>
      </w:r>
      <w:r w:rsidR="0053067E" w:rsidRPr="00D31A19">
        <w:rPr>
          <w:rFonts w:ascii="ITC Avant Garde" w:hAnsi="ITC Avant Garde"/>
          <w:kern w:val="1"/>
          <w:lang w:val="es-ES" w:eastAsia="ar-SA"/>
        </w:rPr>
        <w:t>como se muestra a continuación:</w:t>
      </w:r>
    </w:p>
    <w:p w14:paraId="3E097C20" w14:textId="77777777" w:rsidR="00564981" w:rsidRDefault="00A079D0" w:rsidP="00564981">
      <w:pPr>
        <w:pStyle w:val="Citaift0"/>
        <w:spacing w:before="240" w:after="240"/>
        <w:ind w:left="426"/>
        <w:rPr>
          <w:b/>
          <w:color w:val="auto"/>
          <w:lang w:val="es-ES"/>
        </w:rPr>
      </w:pPr>
      <w:r w:rsidRPr="00D31A19">
        <w:rPr>
          <w:b/>
          <w:color w:val="auto"/>
          <w:lang w:val="es-ES"/>
        </w:rPr>
        <w:t>“Módulo de Seguimiento a Solicitudes:</w:t>
      </w:r>
    </w:p>
    <w:p w14:paraId="4920B29C" w14:textId="77777777" w:rsidR="00564981" w:rsidRDefault="00A079D0" w:rsidP="00564981">
      <w:pPr>
        <w:pStyle w:val="Citaift0"/>
        <w:spacing w:before="240" w:after="240"/>
        <w:ind w:left="426"/>
        <w:rPr>
          <w:color w:val="auto"/>
          <w:lang w:val="es-ES"/>
        </w:rPr>
      </w:pPr>
      <w:r w:rsidRPr="00D31A19">
        <w:rPr>
          <w:color w:val="auto"/>
          <w:lang w:val="es-ES"/>
        </w:rPr>
        <w:t>Por medio de este módulo el SEG permitirá a los CS dar seguimiento a sus solicitudes de servicios de desagregación, en cuanto a Altas, Bajas, Cambios o Cancelaciones.</w:t>
      </w:r>
    </w:p>
    <w:p w14:paraId="0BD2E3C2" w14:textId="0CEBB237" w:rsidR="00564981" w:rsidRDefault="00A079D0" w:rsidP="00564981">
      <w:pPr>
        <w:pStyle w:val="Citaift0"/>
        <w:spacing w:before="240" w:after="240"/>
        <w:ind w:left="426"/>
        <w:rPr>
          <w:color w:val="auto"/>
          <w:lang w:val="es-ES"/>
        </w:rPr>
      </w:pPr>
      <w:r w:rsidRPr="00D31A19">
        <w:rPr>
          <w:color w:val="auto"/>
          <w:lang w:val="es-ES"/>
        </w:rPr>
        <w:t xml:space="preserve">A </w:t>
      </w:r>
      <w:proofErr w:type="gramStart"/>
      <w:r w:rsidRPr="00D31A19">
        <w:rPr>
          <w:color w:val="auto"/>
          <w:lang w:val="es-ES"/>
        </w:rPr>
        <w:t>continuación</w:t>
      </w:r>
      <w:proofErr w:type="gramEnd"/>
      <w:r w:rsidRPr="00D31A19">
        <w:rPr>
          <w:color w:val="auto"/>
          <w:lang w:val="es-ES"/>
        </w:rPr>
        <w:t xml:space="preserve"> se muestra el flujo de este proceso:</w:t>
      </w:r>
    </w:p>
    <w:tbl>
      <w:tblPr>
        <w:tblStyle w:val="Cuadrculadetablaclara"/>
        <w:tblW w:w="4531" w:type="pct"/>
        <w:jc w:val="center"/>
        <w:tblLook w:val="00A0" w:firstRow="1" w:lastRow="0" w:firstColumn="1" w:lastColumn="0" w:noHBand="0" w:noVBand="0"/>
        <w:tblCaption w:val="TABLA 7 "/>
        <w:tblDescription w:val="Tabla dividida en dos columans por 4 filas, de lado izquierdo se muestra el rubro y de lado derecho la descripción o infomración relativa al rubro. "/>
      </w:tblPr>
      <w:tblGrid>
        <w:gridCol w:w="1878"/>
        <w:gridCol w:w="6635"/>
      </w:tblGrid>
      <w:tr w:rsidR="00A079D0" w:rsidRPr="00564981" w14:paraId="7461D1ED" w14:textId="77777777" w:rsidTr="00564981">
        <w:trPr>
          <w:tblHeader/>
          <w:jc w:val="center"/>
        </w:trPr>
        <w:tc>
          <w:tcPr>
            <w:tcW w:w="1103" w:type="pct"/>
          </w:tcPr>
          <w:p w14:paraId="35305791" w14:textId="77777777" w:rsidR="00A079D0" w:rsidRPr="00564981" w:rsidRDefault="00A079D0" w:rsidP="00564981">
            <w:pPr>
              <w:pStyle w:val="Citaift0"/>
              <w:spacing w:after="0"/>
              <w:ind w:left="0" w:right="0"/>
              <w:rPr>
                <w:b/>
                <w:i w:val="0"/>
                <w:color w:val="auto"/>
                <w:lang w:val="es-ES"/>
              </w:rPr>
            </w:pPr>
            <w:r w:rsidRPr="00564981">
              <w:rPr>
                <w:b/>
                <w:i w:val="0"/>
                <w:color w:val="auto"/>
                <w:lang w:val="es-ES"/>
              </w:rPr>
              <w:t>Nombre</w:t>
            </w:r>
          </w:p>
        </w:tc>
        <w:tc>
          <w:tcPr>
            <w:tcW w:w="3897" w:type="pct"/>
          </w:tcPr>
          <w:p w14:paraId="1A9C2C72" w14:textId="77777777" w:rsidR="00A079D0" w:rsidRPr="00564981" w:rsidRDefault="00A079D0" w:rsidP="00564981">
            <w:pPr>
              <w:pStyle w:val="Citaift0"/>
              <w:spacing w:after="0"/>
              <w:ind w:left="0" w:right="0"/>
              <w:rPr>
                <w:b/>
                <w:i w:val="0"/>
                <w:color w:val="auto"/>
                <w:lang w:val="es-ES"/>
              </w:rPr>
            </w:pPr>
            <w:r w:rsidRPr="00564981">
              <w:rPr>
                <w:b/>
                <w:i w:val="0"/>
                <w:color w:val="auto"/>
                <w:lang w:val="es-ES"/>
              </w:rPr>
              <w:t>Proceso: Seguimiento a solicitudes de los Servicios de Desagregación</w:t>
            </w:r>
          </w:p>
        </w:tc>
      </w:tr>
      <w:tr w:rsidR="00A079D0" w:rsidRPr="00564981" w14:paraId="33B2B756" w14:textId="77777777" w:rsidTr="00564981">
        <w:trPr>
          <w:jc w:val="center"/>
        </w:trPr>
        <w:tc>
          <w:tcPr>
            <w:tcW w:w="1103" w:type="pct"/>
          </w:tcPr>
          <w:p w14:paraId="67BF59FF" w14:textId="77777777" w:rsidR="00A079D0" w:rsidRPr="00564981" w:rsidRDefault="00A079D0" w:rsidP="00564981">
            <w:pPr>
              <w:pStyle w:val="Citaift0"/>
              <w:spacing w:after="0"/>
              <w:ind w:left="0" w:right="7"/>
              <w:rPr>
                <w:rFonts w:cs="Calibri"/>
                <w:b/>
                <w:bCs/>
                <w:i w:val="0"/>
                <w:color w:val="auto"/>
                <w:lang w:val="es-ES"/>
              </w:rPr>
            </w:pPr>
            <w:r w:rsidRPr="00564981">
              <w:rPr>
                <w:b/>
                <w:i w:val="0"/>
                <w:color w:val="auto"/>
                <w:lang w:val="es-ES"/>
              </w:rPr>
              <w:t>Descripción</w:t>
            </w:r>
          </w:p>
        </w:tc>
        <w:tc>
          <w:tcPr>
            <w:tcW w:w="3897" w:type="pct"/>
          </w:tcPr>
          <w:p w14:paraId="32EC70DE" w14:textId="77777777" w:rsidR="00A079D0" w:rsidRPr="00564981" w:rsidRDefault="00A079D0" w:rsidP="00564981">
            <w:pPr>
              <w:pStyle w:val="Citaift0"/>
              <w:spacing w:after="0"/>
              <w:ind w:left="0" w:right="0"/>
              <w:rPr>
                <w:rStyle w:val="Ttulo2Car"/>
                <w:rFonts w:eastAsia="Calibri"/>
                <w:i w:val="0"/>
                <w:color w:val="auto"/>
                <w:lang w:val="es-ES"/>
              </w:rPr>
            </w:pPr>
            <w:r w:rsidRPr="00564981">
              <w:rPr>
                <w:i w:val="0"/>
                <w:color w:val="auto"/>
                <w:lang w:val="es-ES"/>
              </w:rPr>
              <w:t>Permite dar seguimiento a la solicitud de Alta, Baja, Cambio o Cancelación de Servicios de Desagregación</w:t>
            </w:r>
          </w:p>
        </w:tc>
      </w:tr>
      <w:tr w:rsidR="00A079D0" w:rsidRPr="00564981" w14:paraId="540BB982" w14:textId="77777777" w:rsidTr="00564981">
        <w:trPr>
          <w:jc w:val="center"/>
        </w:trPr>
        <w:tc>
          <w:tcPr>
            <w:tcW w:w="1103" w:type="pct"/>
          </w:tcPr>
          <w:p w14:paraId="6A302B0B" w14:textId="77777777" w:rsidR="00A079D0" w:rsidRPr="00564981" w:rsidRDefault="00A079D0" w:rsidP="00564981">
            <w:pPr>
              <w:pStyle w:val="Citaift0"/>
              <w:spacing w:after="0"/>
              <w:ind w:left="0" w:right="7"/>
              <w:rPr>
                <w:rFonts w:cs="Calibri"/>
                <w:b/>
                <w:i w:val="0"/>
                <w:color w:val="auto"/>
                <w:lang w:val="es-ES"/>
              </w:rPr>
            </w:pPr>
            <w:r w:rsidRPr="00564981">
              <w:rPr>
                <w:b/>
                <w:i w:val="0"/>
                <w:color w:val="auto"/>
                <w:lang w:val="es-ES"/>
              </w:rPr>
              <w:t>Secuencia</w:t>
            </w:r>
          </w:p>
        </w:tc>
        <w:tc>
          <w:tcPr>
            <w:tcW w:w="3897" w:type="pct"/>
          </w:tcPr>
          <w:p w14:paraId="061193EF" w14:textId="77777777" w:rsidR="00564981" w:rsidRPr="00564981" w:rsidRDefault="00A079D0" w:rsidP="00564981">
            <w:pPr>
              <w:pStyle w:val="Citaift0"/>
              <w:numPr>
                <w:ilvl w:val="0"/>
                <w:numId w:val="12"/>
              </w:numPr>
              <w:spacing w:after="0"/>
              <w:ind w:left="344" w:right="0"/>
              <w:rPr>
                <w:rFonts w:cs="Calibri"/>
                <w:i w:val="0"/>
                <w:color w:val="auto"/>
                <w:lang w:val="es-ES"/>
              </w:rPr>
            </w:pPr>
            <w:r w:rsidRPr="00564981">
              <w:rPr>
                <w:i w:val="0"/>
                <w:color w:val="auto"/>
                <w:lang w:val="es-ES"/>
              </w:rPr>
              <w:t>Entrar al sistema</w:t>
            </w:r>
          </w:p>
          <w:p w14:paraId="1A10F5BC" w14:textId="77777777" w:rsidR="00564981" w:rsidRPr="00564981" w:rsidRDefault="00A079D0" w:rsidP="00564981">
            <w:pPr>
              <w:pStyle w:val="Citaift0"/>
              <w:numPr>
                <w:ilvl w:val="0"/>
                <w:numId w:val="12"/>
              </w:numPr>
              <w:spacing w:after="0"/>
              <w:ind w:left="344" w:right="0"/>
              <w:rPr>
                <w:rFonts w:cs="Calibri"/>
                <w:i w:val="0"/>
                <w:color w:val="auto"/>
                <w:lang w:val="es-ES"/>
              </w:rPr>
            </w:pPr>
            <w:r w:rsidRPr="00564981">
              <w:rPr>
                <w:i w:val="0"/>
                <w:color w:val="auto"/>
                <w:lang w:val="es-ES"/>
              </w:rPr>
              <w:t>Seleccionar la opción de Seguimiento a Solicitudes</w:t>
            </w:r>
          </w:p>
          <w:p w14:paraId="50C4E3CF" w14:textId="77777777" w:rsidR="00564981" w:rsidRPr="00564981" w:rsidRDefault="00A079D0" w:rsidP="00564981">
            <w:pPr>
              <w:pStyle w:val="Citaift0"/>
              <w:numPr>
                <w:ilvl w:val="0"/>
                <w:numId w:val="12"/>
              </w:numPr>
              <w:spacing w:after="0"/>
              <w:ind w:left="344" w:right="0"/>
              <w:rPr>
                <w:rFonts w:cs="Calibri"/>
                <w:i w:val="0"/>
                <w:color w:val="auto"/>
                <w:lang w:val="es-ES"/>
              </w:rPr>
            </w:pPr>
            <w:r w:rsidRPr="00564981">
              <w:rPr>
                <w:i w:val="0"/>
                <w:color w:val="auto"/>
                <w:lang w:val="es-ES"/>
              </w:rPr>
              <w:t xml:space="preserve">Seleccionar la </w:t>
            </w:r>
            <w:r w:rsidRPr="00564981">
              <w:rPr>
                <w:rFonts w:cs="Calibri"/>
                <w:i w:val="0"/>
                <w:color w:val="auto"/>
                <w:lang w:val="es-ES"/>
              </w:rPr>
              <w:t>opción de Servicios de Desagregación</w:t>
            </w:r>
          </w:p>
          <w:p w14:paraId="211A45BD" w14:textId="77777777" w:rsidR="00564981" w:rsidRPr="00564981" w:rsidRDefault="00A079D0" w:rsidP="00564981">
            <w:pPr>
              <w:pStyle w:val="Citaift0"/>
              <w:numPr>
                <w:ilvl w:val="0"/>
                <w:numId w:val="12"/>
              </w:numPr>
              <w:spacing w:after="0"/>
              <w:ind w:left="344" w:right="0"/>
              <w:rPr>
                <w:rFonts w:cs="Calibri"/>
                <w:i w:val="0"/>
                <w:color w:val="auto"/>
                <w:lang w:val="es-ES"/>
              </w:rPr>
            </w:pPr>
            <w:r w:rsidRPr="00564981">
              <w:rPr>
                <w:i w:val="0"/>
                <w:color w:val="auto"/>
                <w:lang w:val="es-ES"/>
              </w:rPr>
              <w:t xml:space="preserve">En la pantalla principal se mostrarán los registros de los servicios solicitados al día de la consulta </w:t>
            </w:r>
          </w:p>
          <w:p w14:paraId="6DA7E8CC" w14:textId="77777777" w:rsidR="00564981" w:rsidRPr="00564981" w:rsidRDefault="00A079D0" w:rsidP="00564981">
            <w:pPr>
              <w:pStyle w:val="Citaift0"/>
              <w:numPr>
                <w:ilvl w:val="0"/>
                <w:numId w:val="12"/>
              </w:numPr>
              <w:spacing w:after="0"/>
              <w:ind w:left="344" w:right="0"/>
              <w:rPr>
                <w:rFonts w:cs="Calibri"/>
                <w:b/>
                <w:i w:val="0"/>
                <w:color w:val="auto"/>
                <w:u w:val="single"/>
                <w:lang w:val="es-ES"/>
              </w:rPr>
            </w:pPr>
            <w:r w:rsidRPr="00564981">
              <w:rPr>
                <w:b/>
                <w:i w:val="0"/>
                <w:color w:val="auto"/>
                <w:u w:val="single"/>
                <w:lang w:val="es-ES"/>
              </w:rPr>
              <w:t>Se muestra pantalla de consulta para el seguimiento de solicitudes con la alternativa de filtrar por: Rango de fechas, Solicitud y/o NIS</w:t>
            </w:r>
          </w:p>
          <w:p w14:paraId="6EE7F76B" w14:textId="07F218A3" w:rsidR="00A079D0" w:rsidRPr="00564981" w:rsidRDefault="00A079D0" w:rsidP="00564981">
            <w:pPr>
              <w:pStyle w:val="Citaift0"/>
              <w:numPr>
                <w:ilvl w:val="0"/>
                <w:numId w:val="12"/>
              </w:numPr>
              <w:spacing w:after="0"/>
              <w:ind w:left="344" w:right="0"/>
              <w:rPr>
                <w:i w:val="0"/>
                <w:color w:val="auto"/>
                <w:lang w:val="es-ES"/>
              </w:rPr>
            </w:pPr>
            <w:r w:rsidRPr="00564981">
              <w:rPr>
                <w:i w:val="0"/>
                <w:color w:val="auto"/>
                <w:lang w:val="es-ES"/>
              </w:rPr>
              <w:t>Se mostrará el o los registros en cuestión para monitoreo y seguimiento de las solicitudes (ver anexo D3)</w:t>
            </w:r>
          </w:p>
        </w:tc>
      </w:tr>
      <w:tr w:rsidR="00A079D0" w:rsidRPr="00564981" w14:paraId="36C48F2A" w14:textId="77777777" w:rsidTr="00564981">
        <w:trPr>
          <w:jc w:val="center"/>
        </w:trPr>
        <w:tc>
          <w:tcPr>
            <w:tcW w:w="1103" w:type="pct"/>
          </w:tcPr>
          <w:p w14:paraId="60D890F5" w14:textId="77777777" w:rsidR="00A079D0" w:rsidRPr="00564981" w:rsidRDefault="00A079D0" w:rsidP="00564981">
            <w:pPr>
              <w:pStyle w:val="Citaift0"/>
              <w:spacing w:after="0"/>
              <w:ind w:left="0" w:right="7"/>
              <w:rPr>
                <w:rFonts w:cs="Calibri"/>
                <w:b/>
                <w:bCs/>
                <w:i w:val="0"/>
                <w:color w:val="auto"/>
                <w:lang w:val="es-ES"/>
              </w:rPr>
            </w:pPr>
            <w:r w:rsidRPr="00564981">
              <w:rPr>
                <w:b/>
                <w:i w:val="0"/>
                <w:color w:val="auto"/>
                <w:lang w:val="es-ES"/>
              </w:rPr>
              <w:t>Comentarios</w:t>
            </w:r>
          </w:p>
        </w:tc>
        <w:tc>
          <w:tcPr>
            <w:tcW w:w="3897" w:type="pct"/>
          </w:tcPr>
          <w:p w14:paraId="6F3DF3F2" w14:textId="77777777" w:rsidR="00A079D0" w:rsidRPr="00564981" w:rsidRDefault="00A079D0" w:rsidP="00564981">
            <w:pPr>
              <w:pStyle w:val="Citaift0"/>
              <w:spacing w:after="0"/>
              <w:ind w:left="0" w:right="0"/>
              <w:rPr>
                <w:i w:val="0"/>
                <w:color w:val="auto"/>
                <w:lang w:val="es-ES"/>
              </w:rPr>
            </w:pPr>
            <w:r w:rsidRPr="00564981">
              <w:rPr>
                <w:i w:val="0"/>
                <w:color w:val="auto"/>
                <w:lang w:val="es-ES"/>
              </w:rPr>
              <w:t>Se indicarán las etapas de seguimiento y el responsable (TELMEX o CS)</w:t>
            </w:r>
          </w:p>
        </w:tc>
      </w:tr>
    </w:tbl>
    <w:p w14:paraId="337CCCF4" w14:textId="77777777" w:rsidR="00564981" w:rsidRDefault="00C01C84" w:rsidP="00564981">
      <w:pPr>
        <w:autoSpaceDE w:val="0"/>
        <w:autoSpaceDN w:val="0"/>
        <w:adjustRightInd w:val="0"/>
        <w:spacing w:before="240" w:after="240"/>
        <w:ind w:left="426"/>
        <w:jc w:val="both"/>
        <w:rPr>
          <w:rFonts w:ascii="ITC Avant Garde" w:hAnsi="ITC Avant Garde"/>
          <w:kern w:val="1"/>
          <w:sz w:val="20"/>
          <w:szCs w:val="16"/>
          <w:lang w:val="es-ES" w:eastAsia="ar-SA"/>
        </w:rPr>
      </w:pPr>
      <w:r w:rsidRPr="00D31A19">
        <w:rPr>
          <w:rFonts w:ascii="ITC Avant Garde" w:hAnsi="ITC Avant Garde"/>
          <w:kern w:val="1"/>
          <w:sz w:val="20"/>
          <w:szCs w:val="16"/>
          <w:lang w:val="es-ES" w:eastAsia="ar-SA"/>
        </w:rPr>
        <w:lastRenderedPageBreak/>
        <w:t>(Énfasis añadido)</w:t>
      </w:r>
    </w:p>
    <w:p w14:paraId="13C3413D" w14:textId="77777777" w:rsidR="00564981" w:rsidRDefault="00C01C84" w:rsidP="00564981">
      <w:pPr>
        <w:pStyle w:val="Citaift0"/>
        <w:spacing w:before="240" w:after="240"/>
        <w:ind w:left="426"/>
        <w:rPr>
          <w:b/>
          <w:color w:val="auto"/>
          <w:lang w:val="es-ES"/>
        </w:rPr>
      </w:pPr>
      <w:r w:rsidRPr="00D31A19">
        <w:rPr>
          <w:b/>
          <w:color w:val="auto"/>
          <w:lang w:val="es-ES"/>
        </w:rPr>
        <w:t>“</w:t>
      </w:r>
      <w:r w:rsidR="00A079D0" w:rsidRPr="00D31A19">
        <w:rPr>
          <w:b/>
          <w:color w:val="auto"/>
          <w:lang w:val="es-ES"/>
        </w:rPr>
        <w:t>Anexo D3, Formulario de Seguimiento a Solicitudes de Desagregación (Alta, Baja, Cambio o Cancelación):</w:t>
      </w:r>
    </w:p>
    <w:p w14:paraId="5E263666" w14:textId="77777777" w:rsidR="00564981" w:rsidRDefault="00A079D0" w:rsidP="00564981">
      <w:pPr>
        <w:pStyle w:val="Citaift0"/>
        <w:spacing w:before="240" w:after="240"/>
        <w:ind w:left="426"/>
        <w:rPr>
          <w:color w:val="auto"/>
          <w:lang w:val="es-ES"/>
        </w:rPr>
      </w:pPr>
      <w:r w:rsidRPr="00D31A19">
        <w:rPr>
          <w:color w:val="auto"/>
          <w:lang w:val="es-ES"/>
        </w:rPr>
        <w:t>Campos para el seguimiento a solicitudes de desagregación:</w:t>
      </w:r>
    </w:p>
    <w:p w14:paraId="490ACE8E" w14:textId="44AA8E69" w:rsidR="005A3B06" w:rsidRPr="00C81EEC" w:rsidRDefault="00C81EEC" w:rsidP="00564981">
      <w:pPr>
        <w:pStyle w:val="Citaift0"/>
        <w:spacing w:before="240" w:after="240"/>
        <w:ind w:left="426"/>
        <w:rPr>
          <w:b/>
          <w:color w:val="auto"/>
          <w:lang w:val="es-ES"/>
        </w:rPr>
      </w:pPr>
      <w:r w:rsidRPr="00C81EEC">
        <w:rPr>
          <w:b/>
          <w:color w:val="auto"/>
          <w:lang w:val="es-ES"/>
        </w:rPr>
        <w:t>CAMPOS PARA CONSULTA POR SERVICIO</w:t>
      </w:r>
    </w:p>
    <w:tbl>
      <w:tblPr>
        <w:tblStyle w:val="Cuadrculadetablaclara"/>
        <w:tblW w:w="4557" w:type="pct"/>
        <w:jc w:val="center"/>
        <w:tblLook w:val="00A0" w:firstRow="1" w:lastRow="0" w:firstColumn="1" w:lastColumn="0" w:noHBand="0" w:noVBand="0"/>
        <w:tblCaption w:val="TABLA 8"/>
        <w:tblDescription w:val="Tabla de 5 por 4 , en la primera fila se muestra el rubro de los tipos de  campos que se requiren para consultar por servicicio."/>
      </w:tblPr>
      <w:tblGrid>
        <w:gridCol w:w="1344"/>
        <w:gridCol w:w="2668"/>
        <w:gridCol w:w="1567"/>
        <w:gridCol w:w="1628"/>
        <w:gridCol w:w="1355"/>
      </w:tblGrid>
      <w:tr w:rsidR="00A079D0" w:rsidRPr="00564981" w14:paraId="57CE66F2" w14:textId="77777777" w:rsidTr="00564981">
        <w:trPr>
          <w:trHeight w:val="600"/>
          <w:tblHeader/>
          <w:jc w:val="center"/>
        </w:trPr>
        <w:tc>
          <w:tcPr>
            <w:tcW w:w="785" w:type="pct"/>
          </w:tcPr>
          <w:p w14:paraId="6011BC18" w14:textId="77777777" w:rsidR="00A079D0" w:rsidRPr="00564981" w:rsidRDefault="00A079D0" w:rsidP="00564981">
            <w:pPr>
              <w:pStyle w:val="Citaift0"/>
              <w:spacing w:after="0"/>
              <w:ind w:left="0" w:right="0"/>
              <w:rPr>
                <w:b/>
                <w:i w:val="0"/>
                <w:color w:val="auto"/>
                <w:lang w:val="es-ES"/>
              </w:rPr>
            </w:pPr>
            <w:r w:rsidRPr="00564981">
              <w:rPr>
                <w:b/>
                <w:i w:val="0"/>
                <w:color w:val="auto"/>
                <w:lang w:val="es-ES"/>
              </w:rPr>
              <w:t>CAMPO</w:t>
            </w:r>
          </w:p>
        </w:tc>
        <w:tc>
          <w:tcPr>
            <w:tcW w:w="1558" w:type="pct"/>
          </w:tcPr>
          <w:p w14:paraId="2369C96D" w14:textId="77777777" w:rsidR="00A079D0" w:rsidRPr="00564981" w:rsidRDefault="00A079D0" w:rsidP="00564981">
            <w:pPr>
              <w:pStyle w:val="Citaift0"/>
              <w:spacing w:after="0"/>
              <w:ind w:left="0" w:right="0"/>
              <w:rPr>
                <w:b/>
                <w:i w:val="0"/>
                <w:color w:val="auto"/>
                <w:lang w:val="es-ES"/>
              </w:rPr>
            </w:pPr>
            <w:r w:rsidRPr="00564981">
              <w:rPr>
                <w:b/>
                <w:i w:val="0"/>
                <w:color w:val="auto"/>
                <w:lang w:val="es-ES"/>
              </w:rPr>
              <w:t>DESCRIPCIÓN</w:t>
            </w:r>
          </w:p>
        </w:tc>
        <w:tc>
          <w:tcPr>
            <w:tcW w:w="915" w:type="pct"/>
          </w:tcPr>
          <w:p w14:paraId="2C6112DF" w14:textId="77777777" w:rsidR="00A079D0" w:rsidRPr="00564981" w:rsidRDefault="00A079D0" w:rsidP="00564981">
            <w:pPr>
              <w:pStyle w:val="Citaift0"/>
              <w:spacing w:after="0"/>
              <w:ind w:left="0" w:right="60"/>
              <w:rPr>
                <w:b/>
                <w:i w:val="0"/>
                <w:color w:val="auto"/>
                <w:lang w:val="es-ES"/>
              </w:rPr>
            </w:pPr>
            <w:r w:rsidRPr="00564981">
              <w:rPr>
                <w:b/>
                <w:i w:val="0"/>
                <w:color w:val="auto"/>
                <w:lang w:val="es-ES"/>
              </w:rPr>
              <w:t>CAPTURA</w:t>
            </w:r>
          </w:p>
        </w:tc>
        <w:tc>
          <w:tcPr>
            <w:tcW w:w="951" w:type="pct"/>
          </w:tcPr>
          <w:p w14:paraId="231DB84D" w14:textId="77777777" w:rsidR="00A079D0" w:rsidRPr="00564981" w:rsidRDefault="00A079D0" w:rsidP="00564981">
            <w:pPr>
              <w:pStyle w:val="Citaift0"/>
              <w:spacing w:after="0"/>
              <w:ind w:left="0" w:right="13"/>
              <w:rPr>
                <w:b/>
                <w:i w:val="0"/>
                <w:color w:val="auto"/>
                <w:lang w:val="es-ES"/>
              </w:rPr>
            </w:pPr>
            <w:r w:rsidRPr="00564981">
              <w:rPr>
                <w:b/>
                <w:i w:val="0"/>
                <w:color w:val="auto"/>
                <w:lang w:val="es-ES"/>
              </w:rPr>
              <w:t>TIPO</w:t>
            </w:r>
          </w:p>
        </w:tc>
        <w:tc>
          <w:tcPr>
            <w:tcW w:w="791" w:type="pct"/>
          </w:tcPr>
          <w:p w14:paraId="463419CB" w14:textId="77777777" w:rsidR="00A079D0" w:rsidRPr="00564981" w:rsidRDefault="00A079D0" w:rsidP="00564981">
            <w:pPr>
              <w:pStyle w:val="Citaift0"/>
              <w:spacing w:after="0"/>
              <w:ind w:left="0" w:right="0"/>
              <w:rPr>
                <w:b/>
                <w:i w:val="0"/>
                <w:color w:val="auto"/>
                <w:lang w:val="es-ES"/>
              </w:rPr>
            </w:pPr>
            <w:r w:rsidRPr="00564981">
              <w:rPr>
                <w:b/>
                <w:i w:val="0"/>
                <w:color w:val="auto"/>
                <w:lang w:val="es-ES"/>
              </w:rPr>
              <w:t>CARACTERES</w:t>
            </w:r>
          </w:p>
        </w:tc>
      </w:tr>
      <w:tr w:rsidR="00A079D0" w:rsidRPr="00564981" w14:paraId="076B3261" w14:textId="77777777" w:rsidTr="00564981">
        <w:trPr>
          <w:trHeight w:val="510"/>
          <w:jc w:val="center"/>
        </w:trPr>
        <w:tc>
          <w:tcPr>
            <w:tcW w:w="785" w:type="pct"/>
          </w:tcPr>
          <w:p w14:paraId="03C91970"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FOLIO SEG</w:t>
            </w:r>
          </w:p>
        </w:tc>
        <w:tc>
          <w:tcPr>
            <w:tcW w:w="1558" w:type="pct"/>
          </w:tcPr>
          <w:p w14:paraId="54E19A61"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Número asignado por el SEG una vez que el CS envía su solicitud</w:t>
            </w:r>
          </w:p>
        </w:tc>
        <w:tc>
          <w:tcPr>
            <w:tcW w:w="915" w:type="pct"/>
          </w:tcPr>
          <w:p w14:paraId="6DEC5A05" w14:textId="77777777" w:rsidR="00A079D0" w:rsidRPr="00564981" w:rsidRDefault="00A079D0" w:rsidP="00564981">
            <w:pPr>
              <w:pStyle w:val="Citaift0"/>
              <w:spacing w:after="0"/>
              <w:ind w:left="0" w:right="60"/>
              <w:rPr>
                <w:b/>
                <w:i w:val="0"/>
                <w:color w:val="auto"/>
                <w:u w:val="single"/>
                <w:lang w:val="es-ES"/>
              </w:rPr>
            </w:pPr>
            <w:r w:rsidRPr="00564981">
              <w:rPr>
                <w:b/>
                <w:i w:val="0"/>
                <w:color w:val="auto"/>
                <w:u w:val="single"/>
                <w:lang w:val="es-ES"/>
              </w:rPr>
              <w:t>Captura Manual</w:t>
            </w:r>
          </w:p>
        </w:tc>
        <w:tc>
          <w:tcPr>
            <w:tcW w:w="951" w:type="pct"/>
          </w:tcPr>
          <w:p w14:paraId="1F466967" w14:textId="77777777" w:rsidR="00A079D0" w:rsidRPr="00564981" w:rsidRDefault="00A079D0" w:rsidP="00564981">
            <w:pPr>
              <w:pStyle w:val="Citaift0"/>
              <w:spacing w:after="0"/>
              <w:ind w:left="0" w:right="13"/>
              <w:rPr>
                <w:b/>
                <w:i w:val="0"/>
                <w:color w:val="auto"/>
                <w:u w:val="single"/>
                <w:lang w:val="es-ES"/>
              </w:rPr>
            </w:pPr>
            <w:r w:rsidRPr="00564981">
              <w:rPr>
                <w:b/>
                <w:i w:val="0"/>
                <w:color w:val="auto"/>
                <w:u w:val="single"/>
                <w:lang w:val="es-ES"/>
              </w:rPr>
              <w:t>Alfanumérico</w:t>
            </w:r>
          </w:p>
        </w:tc>
        <w:tc>
          <w:tcPr>
            <w:tcW w:w="791" w:type="pct"/>
          </w:tcPr>
          <w:p w14:paraId="6B466A5C"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10</w:t>
            </w:r>
          </w:p>
        </w:tc>
      </w:tr>
      <w:tr w:rsidR="00A079D0" w:rsidRPr="00564981" w14:paraId="675AFCB4" w14:textId="77777777" w:rsidTr="00564981">
        <w:trPr>
          <w:trHeight w:val="510"/>
          <w:jc w:val="center"/>
        </w:trPr>
        <w:tc>
          <w:tcPr>
            <w:tcW w:w="785" w:type="pct"/>
          </w:tcPr>
          <w:p w14:paraId="36785688"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NIS</w:t>
            </w:r>
          </w:p>
        </w:tc>
        <w:tc>
          <w:tcPr>
            <w:tcW w:w="1558" w:type="pct"/>
          </w:tcPr>
          <w:p w14:paraId="419C6816"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Identificación del servicio solicitado</w:t>
            </w:r>
          </w:p>
        </w:tc>
        <w:tc>
          <w:tcPr>
            <w:tcW w:w="915" w:type="pct"/>
          </w:tcPr>
          <w:p w14:paraId="2851F52D" w14:textId="77777777" w:rsidR="00A079D0" w:rsidRPr="00564981" w:rsidRDefault="00A079D0" w:rsidP="00564981">
            <w:pPr>
              <w:pStyle w:val="Citaift0"/>
              <w:spacing w:after="0"/>
              <w:ind w:left="0" w:right="60"/>
              <w:rPr>
                <w:b/>
                <w:i w:val="0"/>
                <w:color w:val="auto"/>
                <w:u w:val="single"/>
                <w:lang w:val="es-ES"/>
              </w:rPr>
            </w:pPr>
            <w:r w:rsidRPr="00564981">
              <w:rPr>
                <w:b/>
                <w:i w:val="0"/>
                <w:color w:val="auto"/>
                <w:u w:val="single"/>
                <w:lang w:val="es-ES"/>
              </w:rPr>
              <w:t>Captura Manual</w:t>
            </w:r>
          </w:p>
        </w:tc>
        <w:tc>
          <w:tcPr>
            <w:tcW w:w="951" w:type="pct"/>
          </w:tcPr>
          <w:p w14:paraId="6B378960" w14:textId="77777777" w:rsidR="00A079D0" w:rsidRPr="00564981" w:rsidRDefault="00A079D0" w:rsidP="00564981">
            <w:pPr>
              <w:pStyle w:val="Citaift0"/>
              <w:spacing w:after="0"/>
              <w:ind w:left="0" w:right="13"/>
              <w:rPr>
                <w:b/>
                <w:i w:val="0"/>
                <w:color w:val="auto"/>
                <w:u w:val="single"/>
                <w:lang w:val="es-ES"/>
              </w:rPr>
            </w:pPr>
            <w:r w:rsidRPr="00564981">
              <w:rPr>
                <w:b/>
                <w:i w:val="0"/>
                <w:color w:val="auto"/>
                <w:u w:val="single"/>
                <w:lang w:val="es-ES"/>
              </w:rPr>
              <w:t>Alfanumérico</w:t>
            </w:r>
          </w:p>
        </w:tc>
        <w:tc>
          <w:tcPr>
            <w:tcW w:w="791" w:type="pct"/>
          </w:tcPr>
          <w:p w14:paraId="4C9E1366"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10</w:t>
            </w:r>
          </w:p>
        </w:tc>
      </w:tr>
      <w:tr w:rsidR="00A079D0" w:rsidRPr="00564981" w14:paraId="3D75F46D" w14:textId="77777777" w:rsidTr="00564981">
        <w:trPr>
          <w:trHeight w:val="510"/>
          <w:jc w:val="center"/>
        </w:trPr>
        <w:tc>
          <w:tcPr>
            <w:tcW w:w="785" w:type="pct"/>
          </w:tcPr>
          <w:p w14:paraId="289D7EA0"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 xml:space="preserve">FECHA DE INICIO DE CONSULTA </w:t>
            </w:r>
          </w:p>
        </w:tc>
        <w:tc>
          <w:tcPr>
            <w:tcW w:w="1558" w:type="pct"/>
          </w:tcPr>
          <w:p w14:paraId="3D0F95EB"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Fecha de inicio de la consulta que requiere el CS</w:t>
            </w:r>
          </w:p>
        </w:tc>
        <w:tc>
          <w:tcPr>
            <w:tcW w:w="915" w:type="pct"/>
          </w:tcPr>
          <w:p w14:paraId="19F73163" w14:textId="77777777" w:rsidR="00A079D0" w:rsidRPr="00564981" w:rsidRDefault="00A079D0" w:rsidP="00564981">
            <w:pPr>
              <w:pStyle w:val="Citaift0"/>
              <w:spacing w:after="0"/>
              <w:ind w:left="0" w:right="60"/>
              <w:rPr>
                <w:b/>
                <w:i w:val="0"/>
                <w:color w:val="auto"/>
                <w:u w:val="single"/>
                <w:lang w:val="es-ES"/>
              </w:rPr>
            </w:pPr>
            <w:r w:rsidRPr="00564981">
              <w:rPr>
                <w:b/>
                <w:i w:val="0"/>
                <w:color w:val="auto"/>
                <w:u w:val="single"/>
                <w:lang w:val="es-ES"/>
              </w:rPr>
              <w:t>Captura Manual</w:t>
            </w:r>
          </w:p>
        </w:tc>
        <w:tc>
          <w:tcPr>
            <w:tcW w:w="951" w:type="pct"/>
          </w:tcPr>
          <w:p w14:paraId="3B2E74B6" w14:textId="77777777" w:rsidR="00A079D0" w:rsidRPr="00564981" w:rsidRDefault="00A079D0" w:rsidP="00564981">
            <w:pPr>
              <w:pStyle w:val="Citaift0"/>
              <w:spacing w:after="0"/>
              <w:ind w:left="0" w:right="13"/>
              <w:rPr>
                <w:b/>
                <w:i w:val="0"/>
                <w:color w:val="auto"/>
                <w:u w:val="single"/>
                <w:lang w:val="es-ES"/>
              </w:rPr>
            </w:pPr>
            <w:r w:rsidRPr="00564981">
              <w:rPr>
                <w:b/>
                <w:i w:val="0"/>
                <w:color w:val="auto"/>
                <w:u w:val="single"/>
                <w:lang w:val="es-ES"/>
              </w:rPr>
              <w:t>DD/MM/AAA</w:t>
            </w:r>
          </w:p>
        </w:tc>
        <w:tc>
          <w:tcPr>
            <w:tcW w:w="791" w:type="pct"/>
          </w:tcPr>
          <w:p w14:paraId="00404A7B"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8</w:t>
            </w:r>
          </w:p>
        </w:tc>
      </w:tr>
      <w:tr w:rsidR="00A079D0" w:rsidRPr="00564981" w14:paraId="69EFF6F0" w14:textId="77777777" w:rsidTr="00564981">
        <w:trPr>
          <w:trHeight w:val="510"/>
          <w:jc w:val="center"/>
        </w:trPr>
        <w:tc>
          <w:tcPr>
            <w:tcW w:w="785" w:type="pct"/>
          </w:tcPr>
          <w:p w14:paraId="712EC5B9"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 xml:space="preserve">FECHA FIN DE CONSULTA </w:t>
            </w:r>
          </w:p>
        </w:tc>
        <w:tc>
          <w:tcPr>
            <w:tcW w:w="1558" w:type="pct"/>
          </w:tcPr>
          <w:p w14:paraId="2A64476A"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Fecha final de la consulta que requiere el CS</w:t>
            </w:r>
          </w:p>
        </w:tc>
        <w:tc>
          <w:tcPr>
            <w:tcW w:w="915" w:type="pct"/>
          </w:tcPr>
          <w:p w14:paraId="64147510" w14:textId="77777777" w:rsidR="00A079D0" w:rsidRPr="00564981" w:rsidRDefault="00A079D0" w:rsidP="00564981">
            <w:pPr>
              <w:pStyle w:val="Citaift0"/>
              <w:spacing w:after="0"/>
              <w:ind w:left="0" w:right="60"/>
              <w:rPr>
                <w:b/>
                <w:i w:val="0"/>
                <w:color w:val="auto"/>
                <w:u w:val="single"/>
                <w:lang w:val="es-ES"/>
              </w:rPr>
            </w:pPr>
            <w:r w:rsidRPr="00564981">
              <w:rPr>
                <w:b/>
                <w:i w:val="0"/>
                <w:color w:val="auto"/>
                <w:u w:val="single"/>
                <w:lang w:val="es-ES"/>
              </w:rPr>
              <w:t>Captura Manual</w:t>
            </w:r>
          </w:p>
        </w:tc>
        <w:tc>
          <w:tcPr>
            <w:tcW w:w="951" w:type="pct"/>
          </w:tcPr>
          <w:p w14:paraId="7FDBD28E" w14:textId="77777777" w:rsidR="00A079D0" w:rsidRPr="00564981" w:rsidRDefault="00A079D0" w:rsidP="00564981">
            <w:pPr>
              <w:pStyle w:val="Citaift0"/>
              <w:spacing w:after="0"/>
              <w:ind w:left="0" w:right="13"/>
              <w:rPr>
                <w:b/>
                <w:i w:val="0"/>
                <w:color w:val="auto"/>
                <w:u w:val="single"/>
                <w:lang w:val="es-ES"/>
              </w:rPr>
            </w:pPr>
            <w:r w:rsidRPr="00564981">
              <w:rPr>
                <w:b/>
                <w:i w:val="0"/>
                <w:color w:val="auto"/>
                <w:u w:val="single"/>
                <w:lang w:val="es-ES"/>
              </w:rPr>
              <w:t>DD/MM/AAA</w:t>
            </w:r>
          </w:p>
        </w:tc>
        <w:tc>
          <w:tcPr>
            <w:tcW w:w="791" w:type="pct"/>
          </w:tcPr>
          <w:p w14:paraId="2F29996F" w14:textId="77777777" w:rsidR="00A079D0" w:rsidRPr="00564981" w:rsidRDefault="00A079D0" w:rsidP="00564981">
            <w:pPr>
              <w:pStyle w:val="Citaift0"/>
              <w:spacing w:after="0"/>
              <w:ind w:left="0" w:right="0"/>
              <w:rPr>
                <w:b/>
                <w:i w:val="0"/>
                <w:color w:val="auto"/>
                <w:u w:val="single"/>
                <w:lang w:val="es-ES"/>
              </w:rPr>
            </w:pPr>
            <w:r w:rsidRPr="00564981">
              <w:rPr>
                <w:b/>
                <w:i w:val="0"/>
                <w:color w:val="auto"/>
                <w:u w:val="single"/>
                <w:lang w:val="es-ES"/>
              </w:rPr>
              <w:t>8</w:t>
            </w:r>
          </w:p>
        </w:tc>
      </w:tr>
    </w:tbl>
    <w:p w14:paraId="0D85A08A" w14:textId="77777777" w:rsidR="00564981" w:rsidRDefault="00C01C84" w:rsidP="00564981">
      <w:pPr>
        <w:autoSpaceDE w:val="0"/>
        <w:autoSpaceDN w:val="0"/>
        <w:adjustRightInd w:val="0"/>
        <w:spacing w:before="240" w:after="240"/>
        <w:ind w:left="426"/>
        <w:jc w:val="both"/>
        <w:rPr>
          <w:rFonts w:ascii="ITC Avant Garde" w:hAnsi="ITC Avant Garde"/>
          <w:kern w:val="1"/>
          <w:sz w:val="20"/>
          <w:szCs w:val="16"/>
          <w:lang w:val="es-ES" w:eastAsia="ar-SA"/>
        </w:rPr>
      </w:pPr>
      <w:r w:rsidRPr="00D31A19">
        <w:rPr>
          <w:rFonts w:ascii="ITC Avant Garde" w:hAnsi="ITC Avant Garde"/>
          <w:kern w:val="1"/>
          <w:sz w:val="20"/>
          <w:szCs w:val="16"/>
          <w:lang w:val="es-ES" w:eastAsia="ar-SA"/>
        </w:rPr>
        <w:t>(Énfasis añadido)</w:t>
      </w:r>
    </w:p>
    <w:p w14:paraId="10058BBA" w14:textId="77777777" w:rsidR="00564981" w:rsidRDefault="00F56ED9" w:rsidP="00564981">
      <w:pPr>
        <w:autoSpaceDE w:val="0"/>
        <w:autoSpaceDN w:val="0"/>
        <w:adjustRightInd w:val="0"/>
        <w:spacing w:before="240" w:after="240"/>
        <w:jc w:val="both"/>
        <w:rPr>
          <w:rFonts w:ascii="ITC Avant Garde" w:hAnsi="ITC Avant Garde"/>
          <w:kern w:val="1"/>
          <w:lang w:val="es-ES" w:eastAsia="ar-SA"/>
        </w:rPr>
      </w:pPr>
      <w:r w:rsidRPr="00D31A19">
        <w:rPr>
          <w:rFonts w:ascii="ITC Avant Garde" w:hAnsi="ITC Avant Garde"/>
          <w:kern w:val="1"/>
          <w:lang w:val="es-ES" w:eastAsia="ar-SA"/>
        </w:rPr>
        <w:t>Derivado de lo anterior</w:t>
      </w:r>
      <w:r w:rsidR="00640EC9" w:rsidRPr="00D31A19">
        <w:rPr>
          <w:rFonts w:ascii="ITC Avant Garde" w:hAnsi="ITC Avant Garde"/>
          <w:kern w:val="1"/>
          <w:lang w:val="es-ES" w:eastAsia="ar-SA"/>
        </w:rPr>
        <w:t xml:space="preserve">, </w:t>
      </w:r>
      <w:r w:rsidR="00DB0B9D" w:rsidRPr="00D31A19">
        <w:rPr>
          <w:rFonts w:ascii="ITC Avant Garde" w:hAnsi="ITC Avant Garde"/>
          <w:kern w:val="1"/>
          <w:lang w:val="es-ES" w:eastAsia="ar-SA"/>
        </w:rPr>
        <w:t>el Instituto considera</w:t>
      </w:r>
      <w:r w:rsidR="00640EC9" w:rsidRPr="00D31A19">
        <w:rPr>
          <w:rFonts w:ascii="ITC Avant Garde" w:hAnsi="ITC Avant Garde"/>
          <w:kern w:val="1"/>
          <w:lang w:val="es-ES" w:eastAsia="ar-SA"/>
        </w:rPr>
        <w:t xml:space="preserve"> procedente</w:t>
      </w:r>
      <w:r w:rsidRPr="00D31A19">
        <w:rPr>
          <w:rFonts w:ascii="ITC Avant Garde" w:hAnsi="ITC Avant Garde"/>
          <w:kern w:val="1"/>
          <w:lang w:val="es-ES" w:eastAsia="ar-SA"/>
        </w:rPr>
        <w:t xml:space="preserve"> incluir como campo de filtrado la opción de “</w:t>
      </w:r>
      <w:r w:rsidRPr="00D31A19">
        <w:rPr>
          <w:rFonts w:ascii="ITC Avant Garde" w:hAnsi="ITC Avant Garde"/>
          <w:i/>
          <w:kern w:val="1"/>
          <w:lang w:val="es-ES" w:eastAsia="ar-SA"/>
        </w:rPr>
        <w:t>Tipo de Servicio</w:t>
      </w:r>
      <w:r w:rsidRPr="00D31A19">
        <w:rPr>
          <w:rFonts w:ascii="ITC Avant Garde" w:hAnsi="ITC Avant Garde"/>
          <w:kern w:val="1"/>
          <w:lang w:val="es-ES" w:eastAsia="ar-SA"/>
        </w:rPr>
        <w:t>” en el “</w:t>
      </w:r>
      <w:r w:rsidRPr="00D31A19">
        <w:rPr>
          <w:rFonts w:ascii="ITC Avant Garde" w:hAnsi="ITC Avant Garde"/>
          <w:i/>
          <w:kern w:val="1"/>
          <w:lang w:val="es-ES" w:eastAsia="ar-SA"/>
        </w:rPr>
        <w:t>Módulo de Seguimiento a Solicitudes</w:t>
      </w:r>
      <w:r w:rsidRPr="00D31A19">
        <w:rPr>
          <w:rFonts w:ascii="ITC Avant Garde" w:hAnsi="ITC Avant Garde"/>
          <w:kern w:val="1"/>
          <w:lang w:val="es-ES" w:eastAsia="ar-SA"/>
        </w:rPr>
        <w:t>”, adicional a los que actualmente se utilizan, como “</w:t>
      </w:r>
      <w:r w:rsidRPr="00D31A19">
        <w:rPr>
          <w:rFonts w:ascii="ITC Avant Garde" w:hAnsi="ITC Avant Garde"/>
          <w:i/>
          <w:kern w:val="1"/>
          <w:lang w:val="es-ES" w:eastAsia="ar-SA"/>
        </w:rPr>
        <w:t>Folio SEG</w:t>
      </w:r>
      <w:r w:rsidRPr="00D31A19">
        <w:rPr>
          <w:rFonts w:ascii="ITC Avant Garde" w:hAnsi="ITC Avant Garde"/>
          <w:kern w:val="1"/>
          <w:lang w:val="es-ES" w:eastAsia="ar-SA"/>
        </w:rPr>
        <w:t>”, “</w:t>
      </w:r>
      <w:r w:rsidRPr="00D31A19">
        <w:rPr>
          <w:rFonts w:ascii="ITC Avant Garde" w:hAnsi="ITC Avant Garde"/>
          <w:i/>
          <w:kern w:val="1"/>
          <w:lang w:val="es-ES" w:eastAsia="ar-SA"/>
        </w:rPr>
        <w:t>NIS</w:t>
      </w:r>
      <w:r w:rsidRPr="00D31A19">
        <w:rPr>
          <w:rFonts w:ascii="ITC Avant Garde" w:hAnsi="ITC Avant Garde"/>
          <w:kern w:val="1"/>
          <w:lang w:val="es-ES" w:eastAsia="ar-SA"/>
        </w:rPr>
        <w:t>”, “</w:t>
      </w:r>
      <w:r w:rsidRPr="00D31A19">
        <w:rPr>
          <w:rFonts w:ascii="ITC Avant Garde" w:hAnsi="ITC Avant Garde"/>
          <w:i/>
          <w:kern w:val="1"/>
          <w:lang w:val="es-ES" w:eastAsia="ar-SA"/>
        </w:rPr>
        <w:t>FECHA DE INICIO DE CONSULTA</w:t>
      </w:r>
      <w:r w:rsidRPr="00D31A19">
        <w:rPr>
          <w:rFonts w:ascii="ITC Avant Garde" w:hAnsi="ITC Avant Garde"/>
          <w:kern w:val="1"/>
          <w:lang w:val="es-ES" w:eastAsia="ar-SA"/>
        </w:rPr>
        <w:t>” y “</w:t>
      </w:r>
      <w:r w:rsidRPr="00D31A19">
        <w:rPr>
          <w:rFonts w:ascii="ITC Avant Garde" w:hAnsi="ITC Avant Garde"/>
          <w:i/>
          <w:kern w:val="1"/>
          <w:lang w:val="es-ES" w:eastAsia="ar-SA"/>
        </w:rPr>
        <w:t>FECHA FIN DE CONSULTA</w:t>
      </w:r>
      <w:r w:rsidRPr="00D31A19">
        <w:rPr>
          <w:rFonts w:ascii="ITC Avant Garde" w:hAnsi="ITC Avant Garde"/>
          <w:kern w:val="1"/>
          <w:lang w:val="es-ES" w:eastAsia="ar-SA"/>
        </w:rPr>
        <w:t>”</w:t>
      </w:r>
      <w:r w:rsidR="00AE1C71" w:rsidRPr="00D31A19">
        <w:rPr>
          <w:rFonts w:ascii="ITC Avant Garde" w:hAnsi="ITC Avant Garde"/>
          <w:kern w:val="1"/>
          <w:lang w:val="es-ES" w:eastAsia="ar-SA"/>
        </w:rPr>
        <w:t xml:space="preserve">, </w:t>
      </w:r>
      <w:r w:rsidR="003C6047" w:rsidRPr="00D31A19">
        <w:rPr>
          <w:rFonts w:ascii="ITC Avant Garde" w:hAnsi="ITC Avant Garde"/>
          <w:kern w:val="1"/>
          <w:lang w:val="es-ES" w:eastAsia="ar-SA"/>
        </w:rPr>
        <w:t>y con ello generar</w:t>
      </w:r>
      <w:r w:rsidR="00AE1C71" w:rsidRPr="00D31A19">
        <w:rPr>
          <w:rFonts w:ascii="ITC Avant Garde" w:hAnsi="ITC Avant Garde"/>
          <w:kern w:val="1"/>
          <w:lang w:val="es-ES" w:eastAsia="ar-SA"/>
        </w:rPr>
        <w:t xml:space="preserve"> mayor precisión entre los CS y el AEP </w:t>
      </w:r>
      <w:r w:rsidR="00AE1C71" w:rsidRPr="00D31A19">
        <w:rPr>
          <w:rFonts w:ascii="ITC Avant Garde" w:hAnsi="ITC Avant Garde"/>
          <w:lang w:val="es-ES"/>
        </w:rPr>
        <w:t>para la adecuada prestación de los servicios</w:t>
      </w:r>
    </w:p>
    <w:p w14:paraId="5F7A6953" w14:textId="77777777" w:rsidR="00564981" w:rsidRDefault="004F1988" w:rsidP="00564981">
      <w:pPr>
        <w:autoSpaceDE w:val="0"/>
        <w:autoSpaceDN w:val="0"/>
        <w:adjustRightInd w:val="0"/>
        <w:spacing w:before="240" w:after="240"/>
        <w:jc w:val="both"/>
        <w:rPr>
          <w:rFonts w:ascii="ITC Avant Garde" w:hAnsi="ITC Avant Garde"/>
          <w:lang w:val="es-ES"/>
        </w:rPr>
      </w:pPr>
      <w:r w:rsidRPr="00D31A19">
        <w:rPr>
          <w:rFonts w:ascii="ITC Avant Garde" w:hAnsi="ITC Avant Garde"/>
          <w:kern w:val="1"/>
          <w:u w:val="single"/>
          <w:lang w:val="es-ES" w:eastAsia="ar-SA"/>
        </w:rPr>
        <w:t xml:space="preserve">La emisión del presente criterio </w:t>
      </w:r>
      <w:r w:rsidR="009B4804" w:rsidRPr="00D31A19">
        <w:rPr>
          <w:rFonts w:ascii="ITC Avant Garde" w:hAnsi="ITC Avant Garde"/>
          <w:kern w:val="1"/>
          <w:u w:val="single"/>
          <w:lang w:val="es-ES" w:eastAsia="ar-SA"/>
        </w:rPr>
        <w:t xml:space="preserve">no </w:t>
      </w:r>
      <w:r w:rsidR="002C2C1A" w:rsidRPr="00D31A19">
        <w:rPr>
          <w:rFonts w:ascii="ITC Avant Garde" w:hAnsi="ITC Avant Garde"/>
          <w:kern w:val="1"/>
          <w:u w:val="single"/>
          <w:lang w:val="es-ES" w:eastAsia="ar-SA"/>
        </w:rPr>
        <w:t>implica modificación alguna a</w:t>
      </w:r>
      <w:r w:rsidR="009B4804" w:rsidRPr="00D31A19">
        <w:rPr>
          <w:rFonts w:ascii="ITC Avant Garde" w:hAnsi="ITC Avant Garde"/>
          <w:kern w:val="1"/>
          <w:u w:val="single"/>
          <w:lang w:val="es-ES" w:eastAsia="ar-SA"/>
        </w:rPr>
        <w:t xml:space="preserve"> la Resolución del SEG o la OREDA correspondiente, </w:t>
      </w:r>
      <w:r w:rsidR="002C2C1A" w:rsidRPr="00D31A19">
        <w:rPr>
          <w:rFonts w:ascii="ITC Avant Garde" w:hAnsi="ITC Avant Garde"/>
          <w:kern w:val="1"/>
          <w:u w:val="single"/>
          <w:lang w:val="es-ES" w:eastAsia="ar-SA"/>
        </w:rPr>
        <w:t xml:space="preserve">y se emite </w:t>
      </w:r>
      <w:r w:rsidR="003B70BF" w:rsidRPr="00D31A19">
        <w:rPr>
          <w:rFonts w:ascii="ITC Avant Garde" w:hAnsi="ITC Avant Garde"/>
          <w:kern w:val="1"/>
          <w:u w:val="single"/>
          <w:lang w:val="es-ES" w:eastAsia="ar-SA"/>
        </w:rPr>
        <w:t xml:space="preserve">en atención a lo planteado en la solicitud de confirmación de criterio presentada por </w:t>
      </w:r>
      <w:r w:rsidR="003B70BF" w:rsidRPr="00D31A19">
        <w:rPr>
          <w:rFonts w:ascii="ITC Avant Garde" w:hAnsi="ITC Avant Garde"/>
          <w:bCs/>
          <w:kern w:val="1"/>
          <w:u w:val="single"/>
          <w:lang w:val="es-ES" w:eastAsia="ar-SA"/>
        </w:rPr>
        <w:t>Telmex-</w:t>
      </w:r>
      <w:proofErr w:type="spellStart"/>
      <w:r w:rsidR="003B70BF" w:rsidRPr="00D31A19">
        <w:rPr>
          <w:rFonts w:ascii="ITC Avant Garde" w:hAnsi="ITC Avant Garde"/>
          <w:bCs/>
          <w:kern w:val="1"/>
          <w:u w:val="single"/>
          <w:lang w:val="es-ES" w:eastAsia="ar-SA"/>
        </w:rPr>
        <w:t>Telnor</w:t>
      </w:r>
      <w:proofErr w:type="spellEnd"/>
      <w:r w:rsidR="003B70BF" w:rsidRPr="00D31A19">
        <w:rPr>
          <w:rFonts w:ascii="ITC Avant Garde" w:hAnsi="ITC Avant Garde"/>
          <w:kern w:val="1"/>
          <w:u w:val="single"/>
          <w:lang w:val="es-ES" w:eastAsia="ar-SA"/>
        </w:rPr>
        <w:t xml:space="preserve">, así como en el Documento del Grupo de Trabajo </w:t>
      </w:r>
      <w:r w:rsidR="00D95A91" w:rsidRPr="00D31A19">
        <w:rPr>
          <w:rFonts w:ascii="ITC Avant Garde" w:hAnsi="ITC Avant Garde"/>
          <w:kern w:val="1"/>
          <w:u w:val="single"/>
          <w:lang w:val="es-ES" w:eastAsia="ar-SA"/>
        </w:rPr>
        <w:t xml:space="preserve">de </w:t>
      </w:r>
      <w:r w:rsidR="003B70BF" w:rsidRPr="00D31A19">
        <w:rPr>
          <w:rFonts w:ascii="ITC Avant Garde" w:hAnsi="ITC Avant Garde"/>
          <w:kern w:val="1"/>
          <w:u w:val="single"/>
          <w:lang w:val="es-ES" w:eastAsia="ar-SA"/>
        </w:rPr>
        <w:t>Mejoras al SEG</w:t>
      </w:r>
      <w:r w:rsidR="009B4804" w:rsidRPr="00D31A19">
        <w:rPr>
          <w:rFonts w:ascii="ITC Avant Garde" w:hAnsi="ITC Avant Garde"/>
          <w:lang w:val="es-ES"/>
        </w:rPr>
        <w:t>.</w:t>
      </w:r>
    </w:p>
    <w:p w14:paraId="6235D3CE" w14:textId="77777777" w:rsidR="00564981" w:rsidRDefault="00E26CB8" w:rsidP="00564981">
      <w:pPr>
        <w:pStyle w:val="Ttulo2"/>
        <w:keepLines/>
        <w:spacing w:before="240" w:after="240"/>
        <w:jc w:val="center"/>
        <w:rPr>
          <w:b/>
          <w:lang w:val="es-ES"/>
        </w:rPr>
      </w:pPr>
      <w:r w:rsidRPr="00D31A19">
        <w:rPr>
          <w:b/>
          <w:lang w:val="es-ES"/>
        </w:rPr>
        <w:t>ACUERDO</w:t>
      </w:r>
    </w:p>
    <w:p w14:paraId="40929CCB" w14:textId="77777777" w:rsidR="00564981" w:rsidRDefault="00E26CB8" w:rsidP="00564981">
      <w:pPr>
        <w:shd w:val="clear" w:color="auto" w:fill="FFFFFF"/>
        <w:spacing w:before="240" w:after="240"/>
        <w:jc w:val="both"/>
        <w:rPr>
          <w:rFonts w:ascii="ITC Avant Garde" w:hAnsi="ITC Avant Garde"/>
          <w:lang w:val="es-ES"/>
        </w:rPr>
      </w:pPr>
      <w:proofErr w:type="gramStart"/>
      <w:r w:rsidRPr="00D31A19">
        <w:rPr>
          <w:rFonts w:ascii="ITC Avant Garde" w:hAnsi="ITC Avant Garde"/>
          <w:b/>
          <w:lang w:val="es-ES"/>
        </w:rPr>
        <w:t>PRIMERO.-</w:t>
      </w:r>
      <w:proofErr w:type="gramEnd"/>
      <w:r w:rsidR="005671C8" w:rsidRPr="00D31A19">
        <w:rPr>
          <w:rFonts w:ascii="ITC Avant Garde" w:hAnsi="ITC Avant Garde"/>
          <w:b/>
          <w:lang w:val="es-ES"/>
        </w:rPr>
        <w:t xml:space="preserve"> </w:t>
      </w:r>
      <w:r w:rsidR="00091146" w:rsidRPr="00D31A19">
        <w:rPr>
          <w:rFonts w:ascii="ITC Avant Garde" w:hAnsi="ITC Avant Garde"/>
          <w:lang w:val="es-ES"/>
        </w:rPr>
        <w:t xml:space="preserve">Se confirma </w:t>
      </w:r>
      <w:r w:rsidR="006A6414" w:rsidRPr="00D31A19">
        <w:rPr>
          <w:rFonts w:ascii="ITC Avant Garde" w:hAnsi="ITC Avant Garde"/>
          <w:lang w:val="es-ES"/>
        </w:rPr>
        <w:t xml:space="preserve">lo solicitado </w:t>
      </w:r>
      <w:r w:rsidR="00DB5C89" w:rsidRPr="00D31A19">
        <w:rPr>
          <w:rFonts w:ascii="ITC Avant Garde" w:hAnsi="ITC Avant Garde"/>
          <w:lang w:val="es-ES"/>
        </w:rPr>
        <w:t xml:space="preserve">por </w:t>
      </w:r>
      <w:r w:rsidR="00DB5C89" w:rsidRPr="00D31A19">
        <w:rPr>
          <w:rFonts w:ascii="ITC Avant Garde" w:hAnsi="ITC Avant Garde"/>
          <w:bCs/>
          <w:lang w:val="es-ES"/>
        </w:rPr>
        <w:t>Telmex-</w:t>
      </w:r>
      <w:proofErr w:type="spellStart"/>
      <w:r w:rsidR="00DB5C89" w:rsidRPr="00D31A19">
        <w:rPr>
          <w:rFonts w:ascii="ITC Avant Garde" w:hAnsi="ITC Avant Garde"/>
          <w:bCs/>
          <w:lang w:val="es-ES"/>
        </w:rPr>
        <w:t>Telnor</w:t>
      </w:r>
      <w:proofErr w:type="spellEnd"/>
      <w:r w:rsidR="00DB5C89" w:rsidRPr="00D31A19">
        <w:rPr>
          <w:rFonts w:ascii="ITC Avant Garde" w:hAnsi="ITC Avant Garde"/>
          <w:lang w:val="es-ES"/>
        </w:rPr>
        <w:t xml:space="preserve">, de conformidad con el Documento del Grupo de Trabajo </w:t>
      </w:r>
      <w:r w:rsidR="003C6047" w:rsidRPr="00D31A19">
        <w:rPr>
          <w:rFonts w:ascii="ITC Avant Garde" w:hAnsi="ITC Avant Garde"/>
          <w:lang w:val="es-ES"/>
        </w:rPr>
        <w:t xml:space="preserve">de </w:t>
      </w:r>
      <w:r w:rsidR="00DB5C89" w:rsidRPr="00D31A19">
        <w:rPr>
          <w:rFonts w:ascii="ITC Avant Garde" w:hAnsi="ITC Avant Garde"/>
          <w:lang w:val="es-ES"/>
        </w:rPr>
        <w:t>Mejoras al SEG,</w:t>
      </w:r>
      <w:r w:rsidR="00091146" w:rsidRPr="00D31A19">
        <w:rPr>
          <w:rFonts w:ascii="ITC Avant Garde" w:hAnsi="ITC Avant Garde"/>
          <w:lang w:val="es-ES"/>
        </w:rPr>
        <w:t xml:space="preserve"> </w:t>
      </w:r>
      <w:r w:rsidR="00DA43B7" w:rsidRPr="00D31A19">
        <w:rPr>
          <w:rFonts w:ascii="ITC Avant Garde" w:hAnsi="ITC Avant Garde"/>
          <w:lang w:val="es-ES"/>
        </w:rPr>
        <w:t>por las razones señaladas en</w:t>
      </w:r>
      <w:r w:rsidR="00091146" w:rsidRPr="00D31A19">
        <w:rPr>
          <w:rFonts w:ascii="ITC Avant Garde" w:hAnsi="ITC Avant Garde"/>
          <w:lang w:val="es-ES"/>
        </w:rPr>
        <w:t xml:space="preserve"> el considerando CUARTO del presente Acuerdo</w:t>
      </w:r>
      <w:r w:rsidR="00DB5C89" w:rsidRPr="00D31A19">
        <w:rPr>
          <w:rFonts w:ascii="ITC Avant Garde" w:hAnsi="ITC Avant Garde"/>
          <w:lang w:val="es-ES"/>
        </w:rPr>
        <w:t>, en los términos siguientes</w:t>
      </w:r>
      <w:r w:rsidR="00AB608E" w:rsidRPr="00D31A19">
        <w:rPr>
          <w:rFonts w:ascii="ITC Avant Garde" w:hAnsi="ITC Avant Garde"/>
          <w:lang w:val="es-ES"/>
        </w:rPr>
        <w:t>:</w:t>
      </w:r>
    </w:p>
    <w:p w14:paraId="37653B91" w14:textId="77777777" w:rsidR="00564981" w:rsidRDefault="00455EC2" w:rsidP="00564981">
      <w:pPr>
        <w:autoSpaceDE w:val="0"/>
        <w:autoSpaceDN w:val="0"/>
        <w:adjustRightInd w:val="0"/>
        <w:spacing w:before="240" w:after="240"/>
        <w:ind w:left="567"/>
        <w:jc w:val="both"/>
        <w:rPr>
          <w:rFonts w:ascii="ITC Avant Garde" w:hAnsi="ITC Avant Garde"/>
          <w:kern w:val="1"/>
          <w:lang w:val="es-ES" w:eastAsia="ar-SA"/>
        </w:rPr>
      </w:pPr>
      <w:r w:rsidRPr="00D31A19">
        <w:rPr>
          <w:rFonts w:ascii="ITC Avant Garde" w:eastAsia="Calibri" w:hAnsi="ITC Avant Garde" w:cs="Times New Roman"/>
          <w:b/>
          <w:kern w:val="1"/>
          <w:lang w:val="es-ES" w:eastAsia="ar-SA"/>
        </w:rPr>
        <w:t>A)</w:t>
      </w:r>
      <w:r w:rsidRPr="00D31A19">
        <w:rPr>
          <w:rFonts w:ascii="ITC Avant Garde" w:hAnsi="ITC Avant Garde"/>
          <w:kern w:val="1"/>
          <w:lang w:val="es-ES" w:eastAsia="ar-SA"/>
        </w:rPr>
        <w:t xml:space="preserve"> </w:t>
      </w:r>
      <w:r w:rsidR="00AB608E" w:rsidRPr="00D31A19">
        <w:rPr>
          <w:rFonts w:ascii="ITC Avant Garde" w:hAnsi="ITC Avant Garde"/>
          <w:kern w:val="1"/>
          <w:lang w:val="es-ES" w:eastAsia="ar-SA"/>
        </w:rPr>
        <w:t>S</w:t>
      </w:r>
      <w:r w:rsidR="0018704E" w:rsidRPr="00D31A19">
        <w:rPr>
          <w:rFonts w:ascii="ITC Avant Garde" w:hAnsi="ITC Avant Garde"/>
          <w:kern w:val="1"/>
          <w:lang w:val="es-ES" w:eastAsia="ar-SA"/>
        </w:rPr>
        <w:t xml:space="preserve">e considera procedente </w:t>
      </w:r>
      <w:r w:rsidR="00DA43B7" w:rsidRPr="00D31A19">
        <w:rPr>
          <w:rFonts w:ascii="ITC Avant Garde" w:hAnsi="ITC Avant Garde"/>
          <w:kern w:val="1"/>
          <w:lang w:val="es-ES" w:eastAsia="ar-SA"/>
        </w:rPr>
        <w:t>la utilización de</w:t>
      </w:r>
      <w:r w:rsidR="00042257" w:rsidRPr="00D31A19">
        <w:rPr>
          <w:rFonts w:ascii="ITC Avant Garde" w:hAnsi="ITC Avant Garde"/>
          <w:kern w:val="1"/>
          <w:lang w:val="es-ES" w:eastAsia="ar-SA"/>
        </w:rPr>
        <w:t>l</w:t>
      </w:r>
      <w:r w:rsidR="00DA43B7" w:rsidRPr="00D31A19">
        <w:rPr>
          <w:rFonts w:ascii="ITC Avant Garde" w:hAnsi="ITC Avant Garde"/>
          <w:kern w:val="1"/>
          <w:lang w:val="es-ES" w:eastAsia="ar-SA"/>
        </w:rPr>
        <w:t xml:space="preserve"> </w:t>
      </w:r>
      <w:r w:rsidR="003C6047" w:rsidRPr="00D31A19">
        <w:rPr>
          <w:rFonts w:ascii="ITC Avant Garde" w:hAnsi="ITC Avant Garde"/>
          <w:kern w:val="1"/>
          <w:lang w:val="es-ES" w:eastAsia="ar-SA"/>
        </w:rPr>
        <w:t xml:space="preserve">Número Telefónico (físico o virtual), como campo aplicable para ejecutar movimientos e incidencias, así como </w:t>
      </w:r>
      <w:r w:rsidR="003C6047" w:rsidRPr="00D31A19">
        <w:rPr>
          <w:rFonts w:ascii="ITC Avant Garde" w:hAnsi="ITC Avant Garde"/>
          <w:kern w:val="1"/>
          <w:lang w:val="es-ES" w:eastAsia="ar-SA"/>
        </w:rPr>
        <w:lastRenderedPageBreak/>
        <w:t xml:space="preserve">búsquedas y consultas en los siguientes servicios de desagregación: SRLT, SRI, SRP, SAIB, SDTBL, SDCBL, SDTSBL y SDCSBL. </w:t>
      </w:r>
    </w:p>
    <w:p w14:paraId="562ECD98" w14:textId="77777777" w:rsidR="00564981" w:rsidRDefault="00455EC2" w:rsidP="00564981">
      <w:pPr>
        <w:shd w:val="clear" w:color="auto" w:fill="FFFFFF"/>
        <w:spacing w:before="240" w:after="240"/>
        <w:ind w:left="567"/>
        <w:jc w:val="both"/>
        <w:rPr>
          <w:rFonts w:ascii="ITC Avant Garde" w:hAnsi="ITC Avant Garde"/>
          <w:b/>
          <w:lang w:val="es-ES"/>
        </w:rPr>
      </w:pPr>
      <w:r w:rsidRPr="00D31A19">
        <w:rPr>
          <w:rFonts w:ascii="ITC Avant Garde" w:hAnsi="ITC Avant Garde"/>
          <w:b/>
          <w:kern w:val="1"/>
          <w:lang w:val="es-ES" w:eastAsia="ar-SA"/>
        </w:rPr>
        <w:t xml:space="preserve">B) </w:t>
      </w:r>
      <w:r w:rsidR="003215FA" w:rsidRPr="00D31A19">
        <w:rPr>
          <w:rFonts w:ascii="ITC Avant Garde" w:hAnsi="ITC Avant Garde"/>
          <w:kern w:val="1"/>
          <w:lang w:val="es-ES" w:eastAsia="ar-SA"/>
        </w:rPr>
        <w:t xml:space="preserve">Se considera procedente </w:t>
      </w:r>
      <w:r w:rsidRPr="00D31A19">
        <w:rPr>
          <w:rFonts w:ascii="ITC Avant Garde" w:hAnsi="ITC Avant Garde"/>
          <w:kern w:val="1"/>
          <w:lang w:val="es-ES" w:eastAsia="ar-SA"/>
        </w:rPr>
        <w:t xml:space="preserve">actualizar </w:t>
      </w:r>
      <w:r w:rsidR="00FD5C98" w:rsidRPr="00D31A19">
        <w:rPr>
          <w:rFonts w:ascii="ITC Avant Garde" w:hAnsi="ITC Avant Garde"/>
          <w:lang w:val="es-ES"/>
        </w:rPr>
        <w:t>la etiqueta</w:t>
      </w:r>
      <w:r w:rsidR="003215FA" w:rsidRPr="00D31A19">
        <w:rPr>
          <w:rFonts w:ascii="ITC Avant Garde" w:hAnsi="ITC Avant Garde"/>
          <w:i/>
          <w:lang w:val="es-ES"/>
        </w:rPr>
        <w:t xml:space="preserve"> </w:t>
      </w:r>
      <w:r w:rsidR="00FD5C98" w:rsidRPr="00D31A19">
        <w:rPr>
          <w:rFonts w:ascii="ITC Avant Garde" w:hAnsi="ITC Avant Garde"/>
          <w:i/>
          <w:lang w:val="es-ES"/>
        </w:rPr>
        <w:t xml:space="preserve">“Fecha Estimada de Entrega” </w:t>
      </w:r>
      <w:r w:rsidR="00FD5C98" w:rsidRPr="00D31A19">
        <w:rPr>
          <w:rFonts w:ascii="ITC Avant Garde" w:hAnsi="ITC Avant Garde"/>
          <w:lang w:val="es-ES"/>
        </w:rPr>
        <w:t>por</w:t>
      </w:r>
      <w:r w:rsidR="00FD5C98" w:rsidRPr="00D31A19">
        <w:rPr>
          <w:rFonts w:ascii="ITC Avant Garde" w:hAnsi="ITC Avant Garde"/>
          <w:i/>
          <w:lang w:val="es-ES"/>
        </w:rPr>
        <w:t xml:space="preserve"> “Fecha Programada</w:t>
      </w:r>
      <w:r w:rsidR="003215FA" w:rsidRPr="00D31A19">
        <w:rPr>
          <w:rFonts w:ascii="ITC Avant Garde" w:hAnsi="ITC Avant Garde"/>
          <w:lang w:val="es-ES"/>
        </w:rPr>
        <w:t>”</w:t>
      </w:r>
      <w:r w:rsidR="003215FA" w:rsidRPr="00D31A19">
        <w:rPr>
          <w:rFonts w:ascii="ITC Avant Garde" w:hAnsi="ITC Avant Garde"/>
          <w:kern w:val="1"/>
          <w:lang w:val="es-ES" w:eastAsia="ar-SA"/>
        </w:rPr>
        <w:t>.</w:t>
      </w:r>
    </w:p>
    <w:p w14:paraId="6C493FC2" w14:textId="77777777" w:rsidR="00564981" w:rsidRDefault="00455EC2" w:rsidP="00564981">
      <w:pPr>
        <w:shd w:val="clear" w:color="auto" w:fill="FFFFFF"/>
        <w:spacing w:before="240" w:after="240"/>
        <w:ind w:left="567"/>
        <w:jc w:val="both"/>
        <w:rPr>
          <w:rFonts w:ascii="ITC Avant Garde" w:hAnsi="ITC Avant Garde"/>
          <w:kern w:val="1"/>
          <w:lang w:val="es-ES" w:eastAsia="ar-SA"/>
        </w:rPr>
      </w:pPr>
      <w:r w:rsidRPr="00D31A19">
        <w:rPr>
          <w:rFonts w:ascii="ITC Avant Garde" w:hAnsi="ITC Avant Garde"/>
          <w:b/>
          <w:kern w:val="1"/>
          <w:lang w:val="es-ES" w:eastAsia="ar-SA"/>
        </w:rPr>
        <w:t xml:space="preserve">C) </w:t>
      </w:r>
      <w:r w:rsidR="003215FA" w:rsidRPr="00D31A19">
        <w:rPr>
          <w:rFonts w:ascii="ITC Avant Garde" w:hAnsi="ITC Avant Garde"/>
          <w:kern w:val="1"/>
          <w:lang w:val="es-ES" w:eastAsia="ar-SA"/>
        </w:rPr>
        <w:t>Se considera p</w:t>
      </w:r>
      <w:r w:rsidR="00A4053E" w:rsidRPr="00D31A19">
        <w:rPr>
          <w:rFonts w:ascii="ITC Avant Garde" w:hAnsi="ITC Avant Garde"/>
          <w:kern w:val="1"/>
          <w:lang w:val="es-ES" w:eastAsia="ar-SA"/>
        </w:rPr>
        <w:t xml:space="preserve">rocedente </w:t>
      </w:r>
      <w:r w:rsidRPr="00D31A19">
        <w:rPr>
          <w:rFonts w:ascii="ITC Avant Garde" w:hAnsi="ITC Avant Garde"/>
          <w:kern w:val="1"/>
          <w:lang w:val="es-ES" w:eastAsia="ar-SA"/>
        </w:rPr>
        <w:t>eliminar</w:t>
      </w:r>
      <w:r w:rsidR="00A4053E" w:rsidRPr="00D31A19">
        <w:rPr>
          <w:rFonts w:ascii="ITC Avant Garde" w:hAnsi="ITC Avant Garde"/>
          <w:kern w:val="1"/>
          <w:lang w:val="es-ES" w:eastAsia="ar-SA"/>
        </w:rPr>
        <w:t xml:space="preserve"> el campo denominado “Referencia del Servicio de Concentración y distribución donde se entregará el tráfico de datos” en la solicitud del Servicio de A</w:t>
      </w:r>
      <w:r w:rsidR="003215FA" w:rsidRPr="00D31A19">
        <w:rPr>
          <w:rFonts w:ascii="ITC Avant Garde" w:hAnsi="ITC Avant Garde"/>
          <w:kern w:val="1"/>
          <w:lang w:val="es-ES" w:eastAsia="ar-SA"/>
        </w:rPr>
        <w:t>cceso Indirecto al Bucle (SAIB)</w:t>
      </w:r>
      <w:r w:rsidR="00A4053E" w:rsidRPr="00D31A19">
        <w:rPr>
          <w:rFonts w:ascii="ITC Avant Garde" w:hAnsi="ITC Avant Garde"/>
          <w:kern w:val="1"/>
          <w:lang w:val="es-ES" w:eastAsia="ar-SA"/>
        </w:rPr>
        <w:t>.</w:t>
      </w:r>
    </w:p>
    <w:p w14:paraId="4D809B3D" w14:textId="77777777" w:rsidR="00564981" w:rsidRDefault="00455EC2" w:rsidP="00564981">
      <w:pPr>
        <w:autoSpaceDE w:val="0"/>
        <w:autoSpaceDN w:val="0"/>
        <w:adjustRightInd w:val="0"/>
        <w:spacing w:before="240" w:after="240"/>
        <w:ind w:left="567"/>
        <w:jc w:val="both"/>
        <w:rPr>
          <w:rFonts w:ascii="ITC Avant Garde" w:hAnsi="ITC Avant Garde"/>
          <w:kern w:val="1"/>
          <w:lang w:val="es-ES" w:eastAsia="ar-SA"/>
        </w:rPr>
      </w:pPr>
      <w:r w:rsidRPr="00D31A19">
        <w:rPr>
          <w:rFonts w:ascii="ITC Avant Garde" w:hAnsi="ITC Avant Garde"/>
          <w:b/>
          <w:kern w:val="1"/>
          <w:lang w:val="es-ES" w:eastAsia="ar-SA"/>
        </w:rPr>
        <w:t>D)</w:t>
      </w:r>
      <w:r w:rsidRPr="00D31A19">
        <w:rPr>
          <w:rFonts w:ascii="ITC Avant Garde" w:hAnsi="ITC Avant Garde"/>
          <w:kern w:val="1"/>
          <w:lang w:val="es-ES" w:eastAsia="ar-SA"/>
        </w:rPr>
        <w:t xml:space="preserve"> </w:t>
      </w:r>
      <w:r w:rsidR="003215FA" w:rsidRPr="00D31A19">
        <w:rPr>
          <w:rFonts w:ascii="ITC Avant Garde" w:hAnsi="ITC Avant Garde"/>
          <w:kern w:val="1"/>
          <w:lang w:val="es-ES" w:eastAsia="ar-SA"/>
        </w:rPr>
        <w:t>Se considera p</w:t>
      </w:r>
      <w:r w:rsidR="00AC0812" w:rsidRPr="00D31A19">
        <w:rPr>
          <w:rFonts w:ascii="ITC Avant Garde" w:hAnsi="ITC Avant Garde"/>
          <w:kern w:val="1"/>
          <w:lang w:val="es-ES" w:eastAsia="ar-SA"/>
        </w:rPr>
        <w:t xml:space="preserve">rocedente </w:t>
      </w:r>
      <w:r w:rsidRPr="00D31A19">
        <w:rPr>
          <w:rFonts w:ascii="ITC Avant Garde" w:hAnsi="ITC Avant Garde"/>
          <w:kern w:val="1"/>
          <w:lang w:val="es-ES" w:eastAsia="ar-SA"/>
        </w:rPr>
        <w:t>incluir</w:t>
      </w:r>
      <w:r w:rsidR="003215FA" w:rsidRPr="00D31A19">
        <w:rPr>
          <w:rFonts w:ascii="ITC Avant Garde" w:hAnsi="ITC Avant Garde"/>
          <w:kern w:val="1"/>
          <w:lang w:val="es-ES" w:eastAsia="ar-SA"/>
        </w:rPr>
        <w:t xml:space="preserve"> el</w:t>
      </w:r>
      <w:r w:rsidR="00AC0812" w:rsidRPr="00D31A19">
        <w:rPr>
          <w:rFonts w:ascii="ITC Avant Garde" w:hAnsi="ITC Avant Garde"/>
          <w:kern w:val="1"/>
          <w:lang w:val="es-ES" w:eastAsia="ar-SA"/>
        </w:rPr>
        <w:t xml:space="preserve"> campo de filtrado “</w:t>
      </w:r>
      <w:r w:rsidR="00AC0812" w:rsidRPr="00D31A19">
        <w:rPr>
          <w:rFonts w:ascii="ITC Avant Garde" w:hAnsi="ITC Avant Garde"/>
          <w:i/>
          <w:kern w:val="1"/>
          <w:lang w:val="es-ES" w:eastAsia="ar-SA"/>
        </w:rPr>
        <w:t>Tipo de Servicio</w:t>
      </w:r>
      <w:r w:rsidR="00AC0812" w:rsidRPr="00D31A19">
        <w:rPr>
          <w:rFonts w:ascii="ITC Avant Garde" w:hAnsi="ITC Avant Garde"/>
          <w:kern w:val="1"/>
          <w:lang w:val="es-ES" w:eastAsia="ar-SA"/>
        </w:rPr>
        <w:t>” en el “</w:t>
      </w:r>
      <w:r w:rsidR="00AC0812" w:rsidRPr="00D31A19">
        <w:rPr>
          <w:rFonts w:ascii="ITC Avant Garde" w:hAnsi="ITC Avant Garde"/>
          <w:i/>
          <w:kern w:val="1"/>
          <w:lang w:val="es-ES" w:eastAsia="ar-SA"/>
        </w:rPr>
        <w:t>Módulo de Seguimiento a Solicitudes</w:t>
      </w:r>
      <w:r w:rsidR="00AC0812" w:rsidRPr="00D31A19">
        <w:rPr>
          <w:rFonts w:ascii="ITC Avant Garde" w:hAnsi="ITC Avant Garde"/>
          <w:kern w:val="1"/>
          <w:lang w:val="es-ES" w:eastAsia="ar-SA"/>
        </w:rPr>
        <w:t>”.</w:t>
      </w:r>
    </w:p>
    <w:p w14:paraId="299C4E5A" w14:textId="77777777" w:rsidR="00564981" w:rsidRDefault="00E26CB8" w:rsidP="00564981">
      <w:pPr>
        <w:shd w:val="clear" w:color="auto" w:fill="FFFFFF"/>
        <w:spacing w:before="240" w:after="240"/>
        <w:jc w:val="both"/>
        <w:rPr>
          <w:rFonts w:ascii="ITC Avant Garde" w:hAnsi="ITC Avant Garde"/>
          <w:b/>
          <w:lang w:val="es-ES"/>
        </w:rPr>
      </w:pPr>
      <w:proofErr w:type="gramStart"/>
      <w:r w:rsidRPr="00D31A19">
        <w:rPr>
          <w:rFonts w:ascii="ITC Avant Garde" w:hAnsi="ITC Avant Garde"/>
          <w:b/>
          <w:lang w:val="es-ES"/>
        </w:rPr>
        <w:t>SEGUNDO.-</w:t>
      </w:r>
      <w:proofErr w:type="gramEnd"/>
      <w:r w:rsidRPr="00D31A19">
        <w:rPr>
          <w:rFonts w:ascii="ITC Avant Garde" w:hAnsi="ITC Avant Garde"/>
          <w:b/>
          <w:lang w:val="es-ES"/>
        </w:rPr>
        <w:t xml:space="preserve"> </w:t>
      </w:r>
      <w:r w:rsidRPr="00D31A19">
        <w:rPr>
          <w:rFonts w:ascii="ITC Avant Garde" w:hAnsi="ITC Avant Garde"/>
          <w:lang w:val="es-ES"/>
        </w:rPr>
        <w:t>Se instruye al Secretario Técnico del Pleno para que, en términos del artículo 177, fracción XII de la Ley Federal de Telecomunicaciones y Radiodifusión, inscriba en el Registro Público de Concesiones el presente Acuerdo.</w:t>
      </w:r>
    </w:p>
    <w:p w14:paraId="1CAF5902" w14:textId="77777777" w:rsidR="00564981" w:rsidRDefault="00E26CB8" w:rsidP="00564981">
      <w:pPr>
        <w:shd w:val="clear" w:color="auto" w:fill="FFFFFF"/>
        <w:spacing w:before="240" w:after="240"/>
        <w:jc w:val="both"/>
        <w:rPr>
          <w:rFonts w:ascii="ITC Avant Garde" w:hAnsi="ITC Avant Garde"/>
          <w:b/>
          <w:lang w:val="es-ES"/>
        </w:rPr>
      </w:pPr>
      <w:proofErr w:type="gramStart"/>
      <w:r w:rsidRPr="00D31A19">
        <w:rPr>
          <w:rFonts w:ascii="ITC Avant Garde" w:hAnsi="ITC Avant Garde"/>
          <w:b/>
          <w:lang w:val="es-ES"/>
        </w:rPr>
        <w:t>TERCERO.-</w:t>
      </w:r>
      <w:proofErr w:type="gramEnd"/>
      <w:r w:rsidRPr="00D31A19">
        <w:rPr>
          <w:rFonts w:ascii="ITC Avant Garde" w:hAnsi="ITC Avant Garde"/>
          <w:b/>
          <w:lang w:val="es-ES"/>
        </w:rPr>
        <w:t xml:space="preserve"> </w:t>
      </w:r>
      <w:r w:rsidRPr="00D31A19">
        <w:rPr>
          <w:rFonts w:ascii="ITC Avant Garde" w:hAnsi="ITC Avant Garde"/>
          <w:lang w:val="es-ES"/>
        </w:rPr>
        <w:t>Notifíquese.</w:t>
      </w:r>
    </w:p>
    <w:p w14:paraId="413D5A63" w14:textId="77777777" w:rsidR="00564981" w:rsidRDefault="00152339" w:rsidP="00564981">
      <w:pPr>
        <w:pStyle w:val="Prrafodelista"/>
        <w:spacing w:before="240" w:after="240"/>
        <w:ind w:left="0"/>
        <w:jc w:val="both"/>
        <w:rPr>
          <w:rFonts w:ascii="ITC Avant Garde" w:hAnsi="ITC Avant Garde"/>
          <w:sz w:val="12"/>
        </w:rPr>
      </w:pPr>
      <w:r w:rsidRPr="00152339">
        <w:rPr>
          <w:rFonts w:ascii="ITC Avant Garde" w:hAnsi="ITC Avant Garde"/>
          <w:sz w:val="12"/>
        </w:rPr>
        <w:t xml:space="preserve">El presente Acuerdo fue aprobado por el Pleno del Instituto Federal de Telecomunicaciones en su LI Sesión Ordinaria celebrada el 6 de diciembre de 2017, </w:t>
      </w:r>
      <w:r w:rsidRPr="00152339">
        <w:rPr>
          <w:rFonts w:ascii="ITC Avant Garde" w:hAnsi="ITC Avant Garde"/>
          <w:bCs/>
          <w:sz w:val="12"/>
        </w:rPr>
        <w:t>por unanimidad</w:t>
      </w:r>
      <w:r w:rsidRPr="00152339">
        <w:rPr>
          <w:rFonts w:ascii="ITC Avant Garde" w:hAnsi="ITC Avant Garde"/>
          <w:sz w:val="12"/>
        </w:rPr>
        <w:t xml:space="preserve"> de votos de los Comisionados Gabriel Oswaldo Contreras Saldívar, Adriana Sofía Labardini </w:t>
      </w:r>
      <w:proofErr w:type="spellStart"/>
      <w:r w:rsidRPr="00152339">
        <w:rPr>
          <w:rFonts w:ascii="ITC Avant Garde" w:hAnsi="ITC Avant Garde"/>
          <w:sz w:val="12"/>
        </w:rPr>
        <w:t>Inzunza</w:t>
      </w:r>
      <w:proofErr w:type="spellEnd"/>
      <w:r w:rsidRPr="00152339">
        <w:rPr>
          <w:rFonts w:ascii="ITC Avant Garde" w:hAnsi="ITC Avant Garde"/>
          <w:sz w:val="12"/>
        </w:rPr>
        <w:t xml:space="preserve">, María Elena </w:t>
      </w:r>
      <w:proofErr w:type="spellStart"/>
      <w:r w:rsidRPr="00152339">
        <w:rPr>
          <w:rFonts w:ascii="ITC Avant Garde" w:hAnsi="ITC Avant Garde"/>
          <w:sz w:val="12"/>
        </w:rPr>
        <w:t>Estavillo</w:t>
      </w:r>
      <w:proofErr w:type="spellEnd"/>
      <w:r w:rsidRPr="00152339">
        <w:rPr>
          <w:rFonts w:ascii="ITC Avant Garde" w:hAnsi="ITC Avant Garde"/>
          <w:sz w:val="12"/>
        </w:rPr>
        <w:t xml:space="preserve"> Flores, Mario Germán </w:t>
      </w:r>
      <w:proofErr w:type="spellStart"/>
      <w:r w:rsidRPr="00152339">
        <w:rPr>
          <w:rFonts w:ascii="ITC Avant Garde" w:hAnsi="ITC Avant Garde"/>
          <w:sz w:val="12"/>
        </w:rPr>
        <w:t>Fromow</w:t>
      </w:r>
      <w:proofErr w:type="spellEnd"/>
      <w:r w:rsidRPr="00152339">
        <w:rPr>
          <w:rFonts w:ascii="ITC Avant Garde" w:hAnsi="ITC Avant Garde"/>
          <w:sz w:val="12"/>
        </w:rPr>
        <w:t xml:space="preserve"> Rangel, Adolfo Cuevas Teja, Javier Juárez Mojica y Arturo Robles </w:t>
      </w:r>
      <w:proofErr w:type="spellStart"/>
      <w:r w:rsidRPr="00152339">
        <w:rPr>
          <w:rFonts w:ascii="ITC Avant Garde" w:hAnsi="ITC Avant Garde"/>
          <w:sz w:val="12"/>
        </w:rPr>
        <w:t>Rovalo</w:t>
      </w:r>
      <w:proofErr w:type="spellEnd"/>
      <w:r w:rsidRPr="00152339">
        <w:rPr>
          <w:rFonts w:ascii="ITC Avant Garde" w:hAnsi="ITC Avant Garde"/>
          <w:sz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P/IFT/061217/817.</w:t>
      </w:r>
    </w:p>
    <w:p w14:paraId="53005420" w14:textId="4379EAD8" w:rsidR="00152339" w:rsidRPr="00152339" w:rsidRDefault="00152339" w:rsidP="00564981">
      <w:pPr>
        <w:pStyle w:val="Prrafodelista"/>
        <w:spacing w:before="240" w:after="240"/>
        <w:ind w:left="0"/>
        <w:jc w:val="both"/>
        <w:rPr>
          <w:rFonts w:ascii="ITC Avant Garde" w:hAnsi="ITC Avant Garde"/>
          <w:sz w:val="12"/>
        </w:rPr>
      </w:pPr>
      <w:r w:rsidRPr="00152339">
        <w:rPr>
          <w:rFonts w:ascii="ITC Avant Garde" w:hAnsi="ITC Avant Garde"/>
          <w:sz w:val="12"/>
        </w:rPr>
        <w:t xml:space="preserve">La Comisionada María Elena </w:t>
      </w:r>
      <w:proofErr w:type="spellStart"/>
      <w:r w:rsidRPr="00152339">
        <w:rPr>
          <w:rFonts w:ascii="ITC Avant Garde" w:hAnsi="ITC Avant Garde"/>
          <w:sz w:val="12"/>
        </w:rPr>
        <w:t>Estavillo</w:t>
      </w:r>
      <w:proofErr w:type="spellEnd"/>
      <w:r w:rsidRPr="00152339">
        <w:rPr>
          <w:rFonts w:ascii="ITC Avant Garde" w:hAnsi="ITC Avant Garde"/>
          <w:sz w:val="12"/>
        </w:rPr>
        <w:t xml:space="preserve"> Flores, así como los Comisionados Adolfo Cuevas Teja y Arturo Robles </w:t>
      </w:r>
      <w:proofErr w:type="spellStart"/>
      <w:r w:rsidRPr="00152339">
        <w:rPr>
          <w:rFonts w:ascii="ITC Avant Garde" w:hAnsi="ITC Avant Garde"/>
          <w:sz w:val="12"/>
        </w:rPr>
        <w:t>Rovalo</w:t>
      </w:r>
      <w:proofErr w:type="spellEnd"/>
      <w:r w:rsidRPr="00152339">
        <w:rPr>
          <w:rFonts w:ascii="ITC Avant Garde" w:hAnsi="ITC Avant Garde"/>
          <w:sz w:val="12"/>
        </w:rPr>
        <w:t>,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12" w:name="_GoBack"/>
      <w:bookmarkEnd w:id="12"/>
    </w:p>
    <w:sectPr w:rsidR="00152339" w:rsidRPr="00152339" w:rsidSect="005A3B06">
      <w:footerReference w:type="default" r:id="rId9"/>
      <w:pgSz w:w="12240" w:h="15840"/>
      <w:pgMar w:top="241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35AC" w14:textId="77777777" w:rsidR="003D7D23" w:rsidRDefault="003D7D23" w:rsidP="001B6221">
      <w:pPr>
        <w:spacing w:after="0" w:line="240" w:lineRule="auto"/>
      </w:pPr>
      <w:r>
        <w:separator/>
      </w:r>
    </w:p>
  </w:endnote>
  <w:endnote w:type="continuationSeparator" w:id="0">
    <w:p w14:paraId="0E11AC02" w14:textId="77777777" w:rsidR="003D7D23" w:rsidRDefault="003D7D23" w:rsidP="001B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17D" w14:textId="05137C2F" w:rsidR="005C61E4" w:rsidRDefault="003D7D23" w:rsidP="00EE0275">
    <w:pPr>
      <w:pStyle w:val="Piedepgina"/>
      <w:jc w:val="right"/>
    </w:pPr>
    <w:sdt>
      <w:sdtPr>
        <w:id w:val="-1752035330"/>
        <w:docPartObj>
          <w:docPartGallery w:val="Page Numbers (Bottom of Page)"/>
          <w:docPartUnique/>
        </w:docPartObj>
      </w:sdtPr>
      <w:sdtEndPr/>
      <w:sdtContent>
        <w:r w:rsidR="005C61E4" w:rsidRPr="00001599">
          <w:rPr>
            <w:rFonts w:ascii="ITC Avant Garde" w:hAnsi="ITC Avant Garde"/>
            <w:sz w:val="18"/>
            <w:szCs w:val="18"/>
          </w:rPr>
          <w:fldChar w:fldCharType="begin"/>
        </w:r>
        <w:r w:rsidR="005C61E4">
          <w:rPr>
            <w:rFonts w:ascii="ITC Avant Garde" w:hAnsi="ITC Avant Garde"/>
            <w:sz w:val="18"/>
            <w:szCs w:val="18"/>
          </w:rPr>
          <w:instrText>PAGE</w:instrText>
        </w:r>
        <w:r w:rsidR="005C61E4" w:rsidRPr="00001599">
          <w:rPr>
            <w:rFonts w:ascii="ITC Avant Garde" w:hAnsi="ITC Avant Garde"/>
            <w:sz w:val="18"/>
            <w:szCs w:val="18"/>
          </w:rPr>
          <w:instrText xml:space="preserve">   \* MERGEFORMAT</w:instrText>
        </w:r>
        <w:r w:rsidR="005C61E4" w:rsidRPr="00001599">
          <w:rPr>
            <w:rFonts w:ascii="ITC Avant Garde" w:hAnsi="ITC Avant Garde"/>
            <w:sz w:val="18"/>
            <w:szCs w:val="18"/>
          </w:rPr>
          <w:fldChar w:fldCharType="separate"/>
        </w:r>
        <w:r w:rsidR="00564981" w:rsidRPr="00564981">
          <w:rPr>
            <w:rFonts w:ascii="ITC Avant Garde" w:hAnsi="ITC Avant Garde"/>
            <w:noProof/>
            <w:sz w:val="18"/>
            <w:szCs w:val="18"/>
            <w:lang w:val="es-ES"/>
          </w:rPr>
          <w:t>17</w:t>
        </w:r>
        <w:r w:rsidR="005C61E4" w:rsidRPr="00001599">
          <w:rPr>
            <w:rFonts w:ascii="ITC Avant Garde" w:hAnsi="ITC Avant Garde"/>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0899E" w14:textId="77777777" w:rsidR="003D7D23" w:rsidRDefault="003D7D23" w:rsidP="001B6221">
      <w:pPr>
        <w:spacing w:after="0" w:line="240" w:lineRule="auto"/>
      </w:pPr>
      <w:r>
        <w:separator/>
      </w:r>
    </w:p>
  </w:footnote>
  <w:footnote w:type="continuationSeparator" w:id="0">
    <w:p w14:paraId="03C6F67E" w14:textId="77777777" w:rsidR="003D7D23" w:rsidRDefault="003D7D23" w:rsidP="001B6221">
      <w:pPr>
        <w:spacing w:after="0" w:line="240" w:lineRule="auto"/>
      </w:pPr>
      <w:r>
        <w:continuationSeparator/>
      </w:r>
    </w:p>
  </w:footnote>
  <w:footnote w:id="1">
    <w:p w14:paraId="14C1B2FB" w14:textId="45B7D50A" w:rsidR="005C61E4" w:rsidRPr="00564981" w:rsidRDefault="005C61E4" w:rsidP="00564981">
      <w:pPr>
        <w:pStyle w:val="Sinespaciado"/>
        <w:jc w:val="both"/>
        <w:rPr>
          <w:i/>
        </w:rPr>
      </w:pPr>
      <w:r>
        <w:rPr>
          <w:rStyle w:val="Refdenotaalpie"/>
        </w:rPr>
        <w:footnoteRef/>
      </w:r>
      <w:r>
        <w:t xml:space="preserve"> </w:t>
      </w:r>
      <w:r>
        <w:rPr>
          <w:rFonts w:ascii="ITC Avant Garde" w:hAnsi="ITC Avant Garde"/>
          <w:kern w:val="1"/>
          <w:sz w:val="16"/>
          <w:szCs w:val="16"/>
          <w:lang w:val="es-ES" w:eastAsia="ar-SA"/>
        </w:rPr>
        <w:t>Medida Tercera, numeral 4) del</w:t>
      </w:r>
      <w:r w:rsidRPr="005535C1">
        <w:rPr>
          <w:rFonts w:ascii="ITC Avant Garde" w:hAnsi="ITC Avant Garde"/>
          <w:kern w:val="1"/>
          <w:sz w:val="16"/>
          <w:szCs w:val="16"/>
          <w:lang w:val="es-ES" w:eastAsia="ar-SA"/>
        </w:rPr>
        <w:t xml:space="preserve"> </w:t>
      </w:r>
      <w:r>
        <w:rPr>
          <w:rFonts w:ascii="ITC Avant Garde" w:hAnsi="ITC Avant Garde"/>
          <w:kern w:val="1"/>
          <w:sz w:val="16"/>
          <w:szCs w:val="16"/>
          <w:lang w:val="es-ES" w:eastAsia="ar-SA"/>
        </w:rPr>
        <w:t xml:space="preserve">Anexo 3 de la Resolución de AEP, establece: </w:t>
      </w:r>
      <w:r w:rsidRPr="005535C1">
        <w:rPr>
          <w:rFonts w:ascii="ITC Avant Garde" w:hAnsi="ITC Avant Garde"/>
          <w:i/>
          <w:kern w:val="1"/>
          <w:sz w:val="16"/>
          <w:szCs w:val="16"/>
          <w:lang w:val="es-ES" w:eastAsia="ar-SA"/>
        </w:rPr>
        <w:t>“</w:t>
      </w:r>
      <w:r w:rsidRPr="005535C1">
        <w:rPr>
          <w:rFonts w:ascii="ITC Avant Garde" w:hAnsi="ITC Avant Garde"/>
          <w:b/>
          <w:i/>
          <w:kern w:val="1"/>
          <w:sz w:val="16"/>
          <w:szCs w:val="16"/>
          <w:lang w:val="es-ES" w:eastAsia="ar-SA"/>
        </w:rPr>
        <w:t>Concesionario Solicitante</w:t>
      </w:r>
      <w:r w:rsidRPr="005535C1">
        <w:rPr>
          <w:rFonts w:ascii="ITC Avant Garde" w:hAnsi="ITC Avant Garde"/>
          <w:i/>
          <w:kern w:val="1"/>
          <w:sz w:val="16"/>
          <w:szCs w:val="16"/>
          <w:lang w:val="es-ES" w:eastAsia="ar-SA"/>
        </w:rPr>
        <w:t>: Concesionario de telecomunicaciones que solicita acceso y/o accede a la infraestructura de la red local del Agente Económico Preponderante a fin de prestar servicios de telecomunicaciones;”</w:t>
      </w:r>
      <w:r>
        <w:rPr>
          <w:rFonts w:ascii="ITC Avant Garde" w:hAnsi="ITC Avant Garde"/>
          <w:kern w:val="1"/>
          <w:sz w:val="16"/>
          <w:szCs w:val="16"/>
          <w:lang w:val="es-ES" w:eastAsia="ar-SA"/>
        </w:rPr>
        <w:t xml:space="preserve">, </w:t>
      </w:r>
    </w:p>
  </w:footnote>
  <w:footnote w:id="2">
    <w:p w14:paraId="0F41D1C4" w14:textId="4726FFF0" w:rsidR="005C61E4" w:rsidRPr="00564981" w:rsidRDefault="005C61E4" w:rsidP="00EC3416">
      <w:pPr>
        <w:pStyle w:val="Textonotapie"/>
        <w:jc w:val="both"/>
        <w:rPr>
          <w:rFonts w:ascii="ITC Avant Garde" w:hAnsi="ITC Avant Garde"/>
          <w:i/>
          <w:kern w:val="1"/>
          <w:sz w:val="16"/>
          <w:szCs w:val="16"/>
          <w:lang w:val="es-ES" w:eastAsia="ar-SA"/>
        </w:rPr>
      </w:pPr>
      <w:r>
        <w:rPr>
          <w:rStyle w:val="Refdenotaalpie"/>
        </w:rPr>
        <w:footnoteRef/>
      </w:r>
      <w:r>
        <w:t xml:space="preserve"> </w:t>
      </w:r>
      <w:r>
        <w:rPr>
          <w:rFonts w:ascii="ITC Avant Garde" w:hAnsi="ITC Avant Garde"/>
          <w:kern w:val="1"/>
          <w:lang w:val="es-ES" w:eastAsia="ar-SA"/>
        </w:rPr>
        <w:t>“</w:t>
      </w:r>
      <w:r w:rsidRPr="009870DD">
        <w:rPr>
          <w:rFonts w:ascii="ITC Avant Garde" w:hAnsi="ITC Avant Garde"/>
          <w:b/>
          <w:i/>
          <w:kern w:val="1"/>
          <w:sz w:val="16"/>
          <w:szCs w:val="16"/>
          <w:lang w:val="es-ES" w:eastAsia="ar-SA"/>
        </w:rPr>
        <w:t>DECIMOSEXTA.-</w:t>
      </w:r>
      <w:r>
        <w:rPr>
          <w:rFonts w:ascii="ITC Avant Garde" w:hAnsi="ITC Avant Garde"/>
          <w:kern w:val="1"/>
          <w:lang w:val="es-ES" w:eastAsia="ar-SA"/>
        </w:rPr>
        <w:t xml:space="preserve"> </w:t>
      </w:r>
      <w:r w:rsidRPr="009870DD">
        <w:rPr>
          <w:rFonts w:ascii="ITC Avant Garde" w:hAnsi="ITC Avant Garde"/>
          <w:i/>
          <w:kern w:val="1"/>
          <w:sz w:val="16"/>
          <w:szCs w:val="16"/>
          <w:lang w:val="es-ES" w:eastAsia="ar-SA"/>
        </w:rPr>
        <w:t xml:space="preserve">El Agente Económico Preponderante </w:t>
      </w:r>
      <w:r w:rsidRPr="009870DD">
        <w:rPr>
          <w:rFonts w:ascii="ITC Avant Garde" w:hAnsi="ITC Avant Garde"/>
          <w:i/>
          <w:kern w:val="1"/>
          <w:sz w:val="16"/>
          <w:szCs w:val="16"/>
          <w:u w:val="single"/>
          <w:lang w:val="es-ES" w:eastAsia="ar-SA"/>
        </w:rPr>
        <w:t>deberá implementar un Sistema Electrónico de Gestión</w:t>
      </w:r>
      <w:r w:rsidRPr="009870DD">
        <w:rPr>
          <w:rFonts w:ascii="ITC Avant Garde" w:hAnsi="ITC Avant Garde"/>
          <w:i/>
          <w:kern w:val="1"/>
          <w:sz w:val="16"/>
          <w:szCs w:val="16"/>
          <w:lang w:val="es-ES" w:eastAsia="ar-SA"/>
        </w:rPr>
        <w:t xml:space="preserve"> al que se podrá acceder por vía remota para consultar información actualizada de la red pública de telecomunicaciones del Agente Económico Preponderante, realizar la contratación de los servicios objeto de las presentes medidas, reportar y dar seguimiento a las fallas e incidencias que se presenten en los servicios contratados, realizar consultas sobre el estado de sus solicitudes de contratación y, todas aquellas que sean necesarias para la correcta operación de los servicios.”</w:t>
      </w:r>
    </w:p>
  </w:footnote>
  <w:footnote w:id="3">
    <w:p w14:paraId="3C710137" w14:textId="24B90BFF" w:rsidR="005C61E4" w:rsidRPr="00564981" w:rsidRDefault="005C61E4" w:rsidP="00357C2B">
      <w:pPr>
        <w:pStyle w:val="Textonotapie"/>
        <w:jc w:val="both"/>
        <w:rPr>
          <w:rFonts w:ascii="ITC Avant Garde" w:hAnsi="ITC Avant Garde"/>
          <w:kern w:val="1"/>
          <w:sz w:val="16"/>
          <w:szCs w:val="16"/>
          <w:lang w:val="es-ES" w:eastAsia="ar-SA"/>
        </w:rPr>
      </w:pPr>
      <w:r>
        <w:rPr>
          <w:rStyle w:val="Refdenotaalpie"/>
        </w:rPr>
        <w:footnoteRef/>
      </w:r>
      <w:r>
        <w:t xml:space="preserve"> </w:t>
      </w:r>
      <w:r w:rsidRPr="00001599">
        <w:rPr>
          <w:rFonts w:ascii="ITC Avant Garde" w:hAnsi="ITC Avant Garde"/>
          <w:kern w:val="1"/>
          <w:lang w:val="es-ES" w:eastAsia="ar-SA"/>
        </w:rPr>
        <w:t>“</w:t>
      </w:r>
      <w:r w:rsidRPr="00C7035C">
        <w:rPr>
          <w:rFonts w:ascii="ITC Avant Garde" w:hAnsi="ITC Avant Garde"/>
          <w:b/>
          <w:i/>
          <w:kern w:val="1"/>
          <w:sz w:val="16"/>
          <w:szCs w:val="16"/>
          <w:lang w:val="es-ES" w:eastAsia="ar-SA"/>
        </w:rPr>
        <w:t xml:space="preserve">VIGÉSIMA </w:t>
      </w:r>
      <w:proofErr w:type="gramStart"/>
      <w:r w:rsidRPr="00C7035C">
        <w:rPr>
          <w:rFonts w:ascii="ITC Avant Garde" w:hAnsi="ITC Avant Garde"/>
          <w:b/>
          <w:i/>
          <w:kern w:val="1"/>
          <w:sz w:val="16"/>
          <w:szCs w:val="16"/>
          <w:lang w:val="es-ES" w:eastAsia="ar-SA"/>
        </w:rPr>
        <w:t>PRIMERA.-</w:t>
      </w:r>
      <w:proofErr w:type="gramEnd"/>
      <w:r w:rsidRPr="00C7035C">
        <w:rPr>
          <w:rFonts w:ascii="ITC Avant Garde" w:hAnsi="ITC Avant Garde"/>
          <w:i/>
          <w:kern w:val="1"/>
          <w:sz w:val="16"/>
          <w:szCs w:val="16"/>
          <w:lang w:val="es-ES" w:eastAsia="ar-SA"/>
        </w:rPr>
        <w:t xml:space="preserve"> El Instituto tendrá acceso permanente al Sistema Electrónico de Gestión, con el fin de verificar que el proceso se realice en forma neutral y no discriminatoria, así como para </w:t>
      </w:r>
      <w:r w:rsidRPr="00C7035C">
        <w:rPr>
          <w:rFonts w:ascii="ITC Avant Garde" w:hAnsi="ITC Avant Garde"/>
          <w:i/>
          <w:kern w:val="1"/>
          <w:sz w:val="16"/>
          <w:szCs w:val="16"/>
          <w:u w:val="single"/>
          <w:lang w:val="es-ES" w:eastAsia="ar-SA"/>
        </w:rPr>
        <w:t>evaluar la eficiencia de los procesos</w:t>
      </w:r>
      <w:r w:rsidRPr="00C7035C">
        <w:rPr>
          <w:rFonts w:ascii="ITC Avant Garde" w:hAnsi="ITC Avant Garde"/>
          <w:i/>
          <w:kern w:val="1"/>
          <w:sz w:val="16"/>
          <w:szCs w:val="16"/>
          <w:lang w:val="es-ES" w:eastAsia="ar-SA"/>
        </w:rPr>
        <w:t>, la evolución de los servicios de desagregación, obtención de información oportuna, así como detectar posibles incumplimientos de las presentes medidas</w:t>
      </w:r>
      <w:r w:rsidRPr="00205A03">
        <w:rPr>
          <w:rFonts w:ascii="ITC Avant Garde" w:hAnsi="ITC Avant Garde"/>
          <w:kern w:val="1"/>
          <w:sz w:val="16"/>
          <w:szCs w:val="16"/>
          <w:lang w:val="es-ES" w:eastAsia="ar-SA"/>
        </w:rPr>
        <w:t>.</w:t>
      </w:r>
      <w:r>
        <w:rPr>
          <w:rFonts w:ascii="ITC Avant Garde" w:hAnsi="ITC Avant Garde"/>
          <w:kern w:val="1"/>
          <w:sz w:val="16"/>
          <w:szCs w:val="16"/>
          <w:lang w:val="es-ES" w:eastAsia="ar-SA"/>
        </w:rPr>
        <w:t>”</w:t>
      </w:r>
    </w:p>
  </w:footnote>
  <w:footnote w:id="4">
    <w:p w14:paraId="56486FE0" w14:textId="77777777" w:rsidR="005C61E4" w:rsidRDefault="005C61E4" w:rsidP="00357C2B">
      <w:pPr>
        <w:pStyle w:val="Textonotapie"/>
        <w:jc w:val="both"/>
        <w:rPr>
          <w:rFonts w:ascii="ITC Avant Garde" w:hAnsi="ITC Avant Garde"/>
          <w:i/>
          <w:kern w:val="1"/>
          <w:sz w:val="16"/>
          <w:szCs w:val="16"/>
          <w:lang w:val="es-ES" w:eastAsia="ar-SA"/>
        </w:rPr>
      </w:pPr>
      <w:r>
        <w:rPr>
          <w:rStyle w:val="Refdenotaalpie"/>
        </w:rPr>
        <w:footnoteRef/>
      </w:r>
      <w:r>
        <w:t xml:space="preserve"> </w:t>
      </w:r>
      <w:r w:rsidRPr="00001599">
        <w:rPr>
          <w:rFonts w:ascii="ITC Avant Garde" w:hAnsi="ITC Avant Garde"/>
          <w:kern w:val="1"/>
          <w:lang w:val="es-ES" w:eastAsia="ar-SA"/>
        </w:rPr>
        <w:t>“</w:t>
      </w:r>
      <w:proofErr w:type="gramStart"/>
      <w:r w:rsidRPr="00C7035C">
        <w:rPr>
          <w:rFonts w:ascii="ITC Avant Garde" w:hAnsi="ITC Avant Garde"/>
          <w:b/>
          <w:i/>
          <w:kern w:val="1"/>
          <w:sz w:val="16"/>
          <w:szCs w:val="16"/>
          <w:lang w:val="es-ES" w:eastAsia="ar-SA"/>
        </w:rPr>
        <w:t>CUARTA.-</w:t>
      </w:r>
      <w:proofErr w:type="gramEnd"/>
      <w:r w:rsidRPr="00C7035C">
        <w:rPr>
          <w:rFonts w:ascii="ITC Avant Garde" w:hAnsi="ITC Avant Garde"/>
          <w:i/>
          <w:kern w:val="1"/>
          <w:sz w:val="16"/>
          <w:szCs w:val="16"/>
          <w:lang w:val="es-ES" w:eastAsia="ar-SA"/>
        </w:rPr>
        <w:t xml:space="preserve"> El Instituto presidirá y coordinará un Comité Técnico en el cual, se definirán, a propuesta del Agente Económico Preponderante:</w:t>
      </w:r>
    </w:p>
    <w:p w14:paraId="33F8B67F" w14:textId="77777777" w:rsidR="005C61E4" w:rsidRDefault="005C61E4" w:rsidP="00357C2B">
      <w:pPr>
        <w:pStyle w:val="Textonotapie"/>
        <w:jc w:val="both"/>
        <w:rPr>
          <w:rFonts w:ascii="ITC Avant Garde" w:hAnsi="ITC Avant Garde"/>
          <w:i/>
          <w:kern w:val="1"/>
          <w:sz w:val="16"/>
          <w:szCs w:val="16"/>
          <w:lang w:val="es-ES" w:eastAsia="ar-SA"/>
        </w:rPr>
      </w:pPr>
      <w:r>
        <w:rPr>
          <w:rFonts w:ascii="ITC Avant Garde" w:hAnsi="ITC Avant Garde"/>
          <w:i/>
          <w:kern w:val="1"/>
          <w:sz w:val="16"/>
          <w:szCs w:val="16"/>
          <w:lang w:val="es-ES" w:eastAsia="ar-SA"/>
        </w:rPr>
        <w:t>…</w:t>
      </w:r>
    </w:p>
    <w:p w14:paraId="677E02F9" w14:textId="77777777" w:rsidR="005C61E4" w:rsidRPr="00BA199B" w:rsidRDefault="005C61E4" w:rsidP="00357C2B">
      <w:pPr>
        <w:pStyle w:val="Textonotapie"/>
        <w:numPr>
          <w:ilvl w:val="0"/>
          <w:numId w:val="5"/>
        </w:numPr>
        <w:ind w:left="0" w:firstLine="0"/>
        <w:jc w:val="both"/>
        <w:rPr>
          <w:rFonts w:ascii="ITC Avant Garde" w:hAnsi="ITC Avant Garde"/>
          <w:i/>
          <w:kern w:val="1"/>
          <w:sz w:val="16"/>
          <w:szCs w:val="16"/>
          <w:lang w:val="es-ES" w:eastAsia="ar-SA"/>
        </w:rPr>
      </w:pPr>
      <w:r w:rsidRPr="00BA199B">
        <w:rPr>
          <w:rFonts w:ascii="ITC Avant Garde" w:hAnsi="ITC Avant Garde"/>
          <w:i/>
          <w:kern w:val="1"/>
          <w:sz w:val="16"/>
          <w:szCs w:val="16"/>
          <w:lang w:val="es-ES" w:eastAsia="ar-SA"/>
        </w:rPr>
        <w:t xml:space="preserve">Los formatos, interfaces, mecanismos de seguridad y encriptación, manejo de las bases de datos y </w:t>
      </w:r>
      <w:r w:rsidRPr="00BA199B">
        <w:rPr>
          <w:rFonts w:ascii="ITC Avant Garde" w:hAnsi="ITC Avant Garde"/>
          <w:i/>
          <w:kern w:val="1"/>
          <w:sz w:val="16"/>
          <w:szCs w:val="16"/>
          <w:u w:val="single"/>
          <w:lang w:val="es-ES" w:eastAsia="ar-SA"/>
        </w:rPr>
        <w:t>todo lo relativo al Sistema Electrónico de Gestión</w:t>
      </w:r>
      <w:r w:rsidRPr="00BA199B">
        <w:rPr>
          <w:rFonts w:ascii="ITC Avant Garde" w:hAnsi="ITC Avant Garde"/>
          <w:i/>
          <w:kern w:val="1"/>
          <w:sz w:val="16"/>
          <w:szCs w:val="16"/>
          <w:lang w:val="es-ES" w:eastAsia="ar-SA"/>
        </w:rPr>
        <w:t xml:space="preserve">, así como los formatos para la entrega de información a que se refiere la medida Decimoséptima. </w:t>
      </w:r>
    </w:p>
    <w:p w14:paraId="6844E651" w14:textId="77777777" w:rsidR="005C61E4" w:rsidRPr="00BA199B" w:rsidRDefault="005C61E4" w:rsidP="00357C2B">
      <w:pPr>
        <w:pStyle w:val="Textonotapie"/>
        <w:jc w:val="both"/>
        <w:rPr>
          <w:rFonts w:ascii="ITC Avant Garde" w:hAnsi="ITC Avant Garde"/>
          <w:i/>
          <w:kern w:val="1"/>
          <w:sz w:val="16"/>
          <w:szCs w:val="16"/>
          <w:lang w:val="es-ES" w:eastAsia="ar-SA"/>
        </w:rPr>
      </w:pPr>
      <w:r w:rsidRPr="00BA199B">
        <w:rPr>
          <w:rFonts w:ascii="ITC Avant Garde" w:hAnsi="ITC Avant Garde"/>
          <w:i/>
          <w:kern w:val="1"/>
          <w:sz w:val="16"/>
          <w:szCs w:val="16"/>
          <w:lang w:val="es-ES" w:eastAsia="ar-SA"/>
        </w:rPr>
        <w:t>…</w:t>
      </w:r>
    </w:p>
    <w:p w14:paraId="02991399" w14:textId="507C9948" w:rsidR="005C61E4" w:rsidRPr="00564981" w:rsidRDefault="005C61E4" w:rsidP="00564981">
      <w:pPr>
        <w:pStyle w:val="Textonotapie"/>
        <w:jc w:val="both"/>
        <w:rPr>
          <w:rFonts w:ascii="ITC Avant Garde" w:hAnsi="ITC Avant Garde"/>
          <w:i/>
          <w:kern w:val="1"/>
          <w:sz w:val="16"/>
          <w:szCs w:val="16"/>
          <w:lang w:val="es-ES" w:eastAsia="ar-SA"/>
        </w:rPr>
      </w:pPr>
      <w:r w:rsidRPr="009F6F88">
        <w:rPr>
          <w:rFonts w:ascii="ITC Avant Garde" w:hAnsi="ITC Avant Garde"/>
          <w:i/>
          <w:kern w:val="1"/>
          <w:sz w:val="16"/>
          <w:szCs w:val="16"/>
          <w:lang w:val="es-ES" w:eastAsia="ar-SA"/>
        </w:rPr>
        <w:t>Los acuerdos que alcance el Comité Técnico deberán ser adoptados por unanimidad y formalizados por el Instituto</w:t>
      </w:r>
      <w:r w:rsidRPr="00C7035C">
        <w:rPr>
          <w:rFonts w:ascii="ITC Avant Garde" w:hAnsi="ITC Avant Garde"/>
          <w:i/>
          <w:kern w:val="1"/>
          <w:sz w:val="16"/>
          <w:szCs w:val="16"/>
          <w:lang w:val="es-ES" w:eastAsia="ar-SA"/>
        </w:rPr>
        <w:t xml:space="preserve">. En caso de </w:t>
      </w:r>
      <w:r w:rsidRPr="009F6F88">
        <w:rPr>
          <w:rFonts w:ascii="ITC Avant Garde" w:hAnsi="ITC Avant Garde"/>
          <w:i/>
          <w:kern w:val="1"/>
          <w:sz w:val="16"/>
          <w:szCs w:val="16"/>
          <w:u w:val="single"/>
          <w:lang w:val="es-ES" w:eastAsia="ar-SA"/>
        </w:rPr>
        <w:t>no alcanzar unanimidad en las decisiones será el Instituto quien resuelva en forma definitiva</w:t>
      </w:r>
      <w:r w:rsidRPr="00C7035C">
        <w:rPr>
          <w:rFonts w:ascii="ITC Avant Garde" w:hAnsi="ITC Avant Garde"/>
          <w:i/>
          <w:kern w:val="1"/>
          <w:sz w:val="16"/>
          <w:szCs w:val="16"/>
          <w:lang w:val="es-ES" w:eastAsia="ar-SA"/>
        </w:rPr>
        <w:t>, tomando en consideración los argumentos, y propuestas de cada parte, bajo principios de equidad, neutralidad tecnológica, transparencia, no discriminación y sana competencia</w:t>
      </w:r>
      <w:r w:rsidRPr="00BA199B">
        <w:rPr>
          <w:rFonts w:ascii="ITC Avant Garde" w:hAnsi="ITC Avant Garde"/>
          <w:i/>
          <w:kern w:val="1"/>
          <w:sz w:val="16"/>
          <w:szCs w:val="16"/>
          <w:lang w:val="es-ES" w:eastAsia="ar-SA"/>
        </w:rPr>
        <w:t>.”</w:t>
      </w:r>
    </w:p>
  </w:footnote>
  <w:footnote w:id="5">
    <w:p w14:paraId="7AE3FBB5" w14:textId="6E708A23" w:rsidR="005C61E4" w:rsidRPr="00564981" w:rsidRDefault="005C61E4" w:rsidP="009B0D7D">
      <w:pPr>
        <w:pStyle w:val="Textonotapie"/>
        <w:rPr>
          <w:rFonts w:ascii="ITC Avant Garde" w:hAnsi="ITC Avant Garde"/>
          <w:kern w:val="1"/>
          <w:sz w:val="16"/>
          <w:szCs w:val="16"/>
          <w:lang w:val="es-ES" w:eastAsia="ar-SA"/>
        </w:rPr>
      </w:pPr>
      <w:r>
        <w:rPr>
          <w:rStyle w:val="Refdenotaalpie"/>
        </w:rPr>
        <w:footnoteRef/>
      </w:r>
      <w:r>
        <w:t xml:space="preserve"> </w:t>
      </w:r>
      <w:r w:rsidRPr="00A96453">
        <w:rPr>
          <w:rFonts w:ascii="ITC Avant Garde" w:hAnsi="ITC Avant Garde"/>
          <w:kern w:val="1"/>
          <w:sz w:val="16"/>
          <w:szCs w:val="16"/>
          <w:lang w:val="es-ES" w:eastAsia="ar-SA"/>
        </w:rPr>
        <w:t xml:space="preserve">De los Anexos </w:t>
      </w:r>
      <w:r>
        <w:rPr>
          <w:rFonts w:ascii="ITC Avant Garde" w:hAnsi="ITC Avant Garde"/>
          <w:kern w:val="1"/>
          <w:sz w:val="16"/>
          <w:szCs w:val="16"/>
          <w:lang w:val="es-ES" w:eastAsia="ar-SA"/>
        </w:rPr>
        <w:t xml:space="preserve">del </w:t>
      </w:r>
      <w:r w:rsidRPr="00C506C2">
        <w:rPr>
          <w:rFonts w:ascii="ITC Avant Garde" w:hAnsi="ITC Avant Garde"/>
          <w:kern w:val="1"/>
          <w:sz w:val="16"/>
          <w:szCs w:val="16"/>
          <w:lang w:val="es-ES" w:eastAsia="ar-SA"/>
        </w:rPr>
        <w:t>Comité Técnico de Desagregación, definido</w:t>
      </w:r>
      <w:r>
        <w:rPr>
          <w:rFonts w:ascii="ITC Avant Garde" w:hAnsi="ITC Avant Garde"/>
          <w:kern w:val="1"/>
          <w:sz w:val="16"/>
          <w:szCs w:val="16"/>
          <w:lang w:val="es-ES" w:eastAsia="ar-SA"/>
        </w:rPr>
        <w:t xml:space="preserve"> en el Antecedente Cuarto.</w:t>
      </w:r>
    </w:p>
  </w:footnote>
  <w:footnote w:id="6">
    <w:p w14:paraId="173C44D8" w14:textId="77777777" w:rsidR="005C61E4" w:rsidRPr="00C506C2" w:rsidRDefault="005C61E4" w:rsidP="00C506C2">
      <w:pPr>
        <w:pStyle w:val="Textonotapie"/>
        <w:jc w:val="both"/>
        <w:rPr>
          <w:rFonts w:ascii="ITC Avant Garde" w:hAnsi="ITC Avant Garde"/>
          <w:i/>
          <w:kern w:val="1"/>
          <w:sz w:val="16"/>
          <w:szCs w:val="16"/>
          <w:lang w:val="es-ES" w:eastAsia="ar-SA"/>
        </w:rPr>
      </w:pPr>
      <w:r>
        <w:rPr>
          <w:rStyle w:val="Refdenotaalpie"/>
        </w:rPr>
        <w:footnoteRef/>
      </w:r>
      <w:r>
        <w:t xml:space="preserve"> </w:t>
      </w:r>
      <w:r w:rsidRPr="00C506C2">
        <w:rPr>
          <w:rFonts w:ascii="ITC Avant Garde" w:hAnsi="ITC Avant Garde"/>
          <w:kern w:val="1"/>
          <w:sz w:val="16"/>
          <w:szCs w:val="16"/>
          <w:lang w:val="es-ES" w:eastAsia="ar-SA"/>
        </w:rPr>
        <w:t>“</w:t>
      </w:r>
      <w:r w:rsidRPr="00C506C2">
        <w:rPr>
          <w:rFonts w:ascii="ITC Avant Garde" w:hAnsi="ITC Avant Garde"/>
          <w:b/>
          <w:i/>
          <w:kern w:val="1"/>
          <w:sz w:val="16"/>
          <w:szCs w:val="16"/>
          <w:lang w:val="es-ES" w:eastAsia="ar-SA"/>
        </w:rPr>
        <w:t>Regla Tercera.</w:t>
      </w:r>
      <w:r w:rsidRPr="00C506C2">
        <w:rPr>
          <w:rFonts w:ascii="ITC Avant Garde" w:hAnsi="ITC Avant Garde"/>
          <w:i/>
          <w:kern w:val="1"/>
          <w:sz w:val="16"/>
          <w:szCs w:val="16"/>
          <w:lang w:val="es-ES" w:eastAsia="ar-SA"/>
        </w:rPr>
        <w:t xml:space="preserve"> Con apego a los principios establecidos en las Medidas de Desagregación, el Comité tendrá las siguientes funciones:</w:t>
      </w:r>
    </w:p>
    <w:p w14:paraId="7E29D022" w14:textId="77777777" w:rsidR="005C61E4" w:rsidRPr="00C506C2" w:rsidRDefault="005C61E4" w:rsidP="00C506C2">
      <w:pPr>
        <w:pStyle w:val="Textonotapie"/>
        <w:jc w:val="both"/>
        <w:rPr>
          <w:rFonts w:ascii="ITC Avant Garde" w:hAnsi="ITC Avant Garde"/>
          <w:i/>
          <w:kern w:val="1"/>
          <w:sz w:val="16"/>
          <w:szCs w:val="16"/>
          <w:lang w:val="es-ES" w:eastAsia="ar-SA"/>
        </w:rPr>
      </w:pPr>
      <w:r w:rsidRPr="00C506C2">
        <w:rPr>
          <w:rFonts w:ascii="ITC Avant Garde" w:hAnsi="ITC Avant Garde"/>
          <w:i/>
          <w:kern w:val="1"/>
          <w:sz w:val="16"/>
          <w:szCs w:val="16"/>
          <w:lang w:val="es-ES" w:eastAsia="ar-SA"/>
        </w:rPr>
        <w:t>…</w:t>
      </w:r>
    </w:p>
    <w:p w14:paraId="3ABAE32A" w14:textId="3DBC9229" w:rsidR="005C61E4" w:rsidRPr="00564981" w:rsidRDefault="005C61E4" w:rsidP="00C506C2">
      <w:pPr>
        <w:pStyle w:val="Textonotapie"/>
        <w:jc w:val="both"/>
        <w:rPr>
          <w:rFonts w:ascii="ITC Avant Garde" w:hAnsi="ITC Avant Garde"/>
          <w:kern w:val="1"/>
          <w:sz w:val="16"/>
          <w:szCs w:val="16"/>
          <w:lang w:val="es-ES" w:eastAsia="ar-SA"/>
        </w:rPr>
      </w:pPr>
      <w:r w:rsidRPr="00C506C2">
        <w:rPr>
          <w:rFonts w:ascii="ITC Avant Garde" w:hAnsi="ITC Avant Garde"/>
          <w:b/>
          <w:i/>
          <w:kern w:val="1"/>
          <w:sz w:val="16"/>
          <w:szCs w:val="16"/>
          <w:lang w:val="es-ES" w:eastAsia="ar-SA"/>
        </w:rPr>
        <w:t>v.</w:t>
      </w:r>
      <w:r w:rsidRPr="00C506C2">
        <w:rPr>
          <w:rFonts w:ascii="ITC Avant Garde" w:hAnsi="ITC Avant Garde"/>
          <w:i/>
          <w:kern w:val="1"/>
          <w:sz w:val="16"/>
          <w:szCs w:val="16"/>
          <w:lang w:val="es-ES" w:eastAsia="ar-SA"/>
        </w:rPr>
        <w:t xml:space="preserve"> Establecer y actualizar los parámetros, procedimientos y estándares técnicos que permitan la adecuada prestación de los servicios</w:t>
      </w:r>
      <w:r w:rsidRPr="00C506C2">
        <w:rPr>
          <w:rFonts w:ascii="ITC Avant Garde" w:hAnsi="ITC Avant Garde"/>
          <w:kern w:val="1"/>
          <w:sz w:val="16"/>
          <w:szCs w:val="16"/>
          <w:lang w:val="es-ES" w:eastAsia="ar-SA"/>
        </w:rPr>
        <w:t>;”</w:t>
      </w:r>
    </w:p>
  </w:footnote>
  <w:footnote w:id="7">
    <w:p w14:paraId="3852853C" w14:textId="15AC4C2C" w:rsidR="005C61E4" w:rsidRPr="00564981" w:rsidRDefault="005C61E4" w:rsidP="00564981">
      <w:pPr>
        <w:pStyle w:val="Textonotapie"/>
        <w:jc w:val="both"/>
        <w:rPr>
          <w:rFonts w:ascii="ITC Avant Garde" w:hAnsi="ITC Avant Garde"/>
          <w:kern w:val="1"/>
          <w:sz w:val="16"/>
          <w:szCs w:val="16"/>
          <w:lang w:val="es-ES" w:eastAsia="ar-SA"/>
        </w:rPr>
      </w:pPr>
      <w:r>
        <w:rPr>
          <w:rStyle w:val="Refdenotaalpie"/>
        </w:rPr>
        <w:footnoteRef/>
      </w:r>
      <w:r>
        <w:rPr>
          <w:rFonts w:ascii="ITC Avant Garde" w:hAnsi="ITC Avant Garde"/>
          <w:kern w:val="1"/>
          <w:sz w:val="16"/>
          <w:szCs w:val="16"/>
          <w:lang w:val="es-ES" w:eastAsia="ar-SA"/>
        </w:rPr>
        <w:t xml:space="preserve"> </w:t>
      </w:r>
      <w:r w:rsidRPr="009F6F88">
        <w:rPr>
          <w:rFonts w:ascii="ITC Avant Garde" w:hAnsi="ITC Avant Garde"/>
          <w:kern w:val="1"/>
          <w:sz w:val="16"/>
          <w:szCs w:val="16"/>
          <w:lang w:val="es-ES" w:eastAsia="ar-SA"/>
        </w:rPr>
        <w:t>“</w:t>
      </w:r>
      <w:r w:rsidRPr="009F6F88">
        <w:rPr>
          <w:rFonts w:ascii="ITC Avant Garde" w:hAnsi="ITC Avant Garde"/>
          <w:b/>
          <w:i/>
          <w:kern w:val="1"/>
          <w:sz w:val="16"/>
          <w:szCs w:val="16"/>
          <w:lang w:val="es-ES" w:eastAsia="ar-SA"/>
        </w:rPr>
        <w:t>Regla Cuarta</w:t>
      </w:r>
      <w:r w:rsidRPr="009F6F88">
        <w:rPr>
          <w:rFonts w:ascii="ITC Avant Garde" w:hAnsi="ITC Avant Garde"/>
          <w:i/>
          <w:kern w:val="1"/>
          <w:sz w:val="16"/>
          <w:szCs w:val="16"/>
          <w:lang w:val="es-ES" w:eastAsia="ar-SA"/>
        </w:rPr>
        <w:t>. El Comité tendrá el carácter de permanente y estará integrado por el Agente Económico Preponderante, los Concesionarios que manifestado su interés en participar y el Instituto</w:t>
      </w:r>
      <w:r w:rsidRPr="009F6F88">
        <w:rPr>
          <w:rFonts w:ascii="ITC Avant Garde" w:hAnsi="ITC Avant Garde"/>
          <w:kern w:val="1"/>
          <w:sz w:val="16"/>
          <w:szCs w:val="16"/>
          <w:lang w:val="es-ES" w:eastAsia="ar-SA"/>
        </w:rPr>
        <w:t>.</w:t>
      </w:r>
      <w:r>
        <w:rPr>
          <w:rFonts w:ascii="ITC Avant Garde" w:hAnsi="ITC Avant Garde"/>
          <w:kern w:val="1"/>
          <w:sz w:val="16"/>
          <w:szCs w:val="16"/>
          <w:lang w:val="es-ES" w:eastAsia="ar-SA"/>
        </w:rPr>
        <w:t>”</w:t>
      </w:r>
    </w:p>
  </w:footnote>
  <w:footnote w:id="8">
    <w:p w14:paraId="0DBDC0A0" w14:textId="680F19CC" w:rsidR="005C61E4" w:rsidRPr="00675F15" w:rsidRDefault="005C61E4" w:rsidP="00357C2B">
      <w:pPr>
        <w:pStyle w:val="Textonotapie"/>
        <w:rPr>
          <w:rFonts w:ascii="ITC Avant Garde" w:hAnsi="ITC Avant Garde"/>
          <w:kern w:val="1"/>
          <w:sz w:val="16"/>
          <w:szCs w:val="16"/>
          <w:lang w:val="es-ES" w:eastAsia="ar-SA"/>
        </w:rPr>
      </w:pPr>
      <w:r>
        <w:rPr>
          <w:rStyle w:val="Refdenotaalpie"/>
        </w:rPr>
        <w:footnoteRef/>
      </w:r>
      <w:r>
        <w:t xml:space="preserve"> </w:t>
      </w:r>
      <w:r w:rsidRPr="00675F15">
        <w:rPr>
          <w:rFonts w:ascii="ITC Avant Garde" w:hAnsi="ITC Avant Garde"/>
          <w:kern w:val="1"/>
          <w:sz w:val="16"/>
          <w:szCs w:val="16"/>
          <w:lang w:val="es-ES" w:eastAsia="ar-SA"/>
        </w:rPr>
        <w:t>Considerando Tercero de la Resolución del SEG, p. 5</w:t>
      </w:r>
    </w:p>
  </w:footnote>
  <w:footnote w:id="9">
    <w:p w14:paraId="0BFA0670" w14:textId="19DE5307" w:rsidR="005C61E4" w:rsidRPr="00564981" w:rsidRDefault="005C61E4">
      <w:pPr>
        <w:pStyle w:val="Textonotapie"/>
        <w:rPr>
          <w:rFonts w:ascii="ITC Avant Garde" w:hAnsi="ITC Avant Garde"/>
          <w:kern w:val="1"/>
          <w:sz w:val="16"/>
          <w:szCs w:val="16"/>
          <w:lang w:val="es-ES" w:eastAsia="ar-SA"/>
        </w:rPr>
      </w:pPr>
      <w:r>
        <w:rPr>
          <w:rStyle w:val="Refdenotaalpie"/>
        </w:rPr>
        <w:footnoteRef/>
      </w:r>
      <w:r>
        <w:t xml:space="preserve"> </w:t>
      </w:r>
      <w:r w:rsidRPr="004C3387">
        <w:rPr>
          <w:rFonts w:ascii="ITC Avant Garde" w:hAnsi="ITC Avant Garde"/>
          <w:kern w:val="1"/>
          <w:sz w:val="16"/>
          <w:szCs w:val="16"/>
          <w:lang w:val="es-ES" w:eastAsia="ar-SA"/>
        </w:rPr>
        <w:t>Definido en el Antecedente Noveno.</w:t>
      </w:r>
    </w:p>
  </w:footnote>
  <w:footnote w:id="10">
    <w:p w14:paraId="11D5A658" w14:textId="77777777" w:rsidR="005C61E4" w:rsidRDefault="005C61E4" w:rsidP="00D87FA6">
      <w:pPr>
        <w:pStyle w:val="Textonotapie"/>
      </w:pPr>
      <w:r>
        <w:rPr>
          <w:rStyle w:val="Refdenotaalpie"/>
        </w:rPr>
        <w:footnoteRef/>
      </w:r>
      <w:r>
        <w:t xml:space="preserve"> </w:t>
      </w:r>
      <w:r w:rsidRPr="004C3387">
        <w:rPr>
          <w:rFonts w:ascii="ITC Avant Garde" w:hAnsi="ITC Avant Garde"/>
          <w:kern w:val="1"/>
          <w:sz w:val="16"/>
          <w:szCs w:val="16"/>
          <w:lang w:val="es-ES" w:eastAsia="ar-SA"/>
        </w:rPr>
        <w:t>Acta de la Vigésima Tercera Sesión del Comité Técnico de Desagregación</w:t>
      </w:r>
      <w:r>
        <w:rPr>
          <w:rFonts w:ascii="ITC Avant Garde" w:hAnsi="ITC Avant Garde"/>
          <w:kern w:val="1"/>
          <w:sz w:val="16"/>
          <w:szCs w:val="16"/>
          <w:lang w:val="es-ES" w:eastAsia="ar-SA"/>
        </w:rPr>
        <w:t>, p. 2.</w:t>
      </w:r>
    </w:p>
  </w:footnote>
  <w:footnote w:id="11">
    <w:p w14:paraId="6487116D" w14:textId="7430CEF3" w:rsidR="005C61E4" w:rsidRPr="00564981" w:rsidRDefault="005C61E4">
      <w:pPr>
        <w:pStyle w:val="Textonotapie"/>
        <w:rPr>
          <w:rFonts w:ascii="ITC Avant Garde" w:hAnsi="ITC Avant Garde"/>
          <w:kern w:val="1"/>
          <w:sz w:val="16"/>
          <w:szCs w:val="16"/>
          <w:lang w:val="es-ES" w:eastAsia="ar-SA"/>
        </w:rPr>
      </w:pPr>
      <w:r>
        <w:rPr>
          <w:rStyle w:val="Refdenotaalpie"/>
        </w:rPr>
        <w:footnoteRef/>
      </w:r>
      <w:r>
        <w:t xml:space="preserve"> </w:t>
      </w:r>
      <w:r>
        <w:rPr>
          <w:rFonts w:ascii="ITC Avant Garde" w:hAnsi="ITC Avant Garde"/>
          <w:kern w:val="1"/>
          <w:sz w:val="16"/>
          <w:szCs w:val="16"/>
          <w:lang w:val="es-ES" w:eastAsia="ar-SA"/>
        </w:rPr>
        <w:t>OREDA 2017</w:t>
      </w:r>
      <w:r w:rsidRPr="00D559D7">
        <w:rPr>
          <w:rFonts w:ascii="ITC Avant Garde" w:hAnsi="ITC Avant Garde"/>
          <w:kern w:val="1"/>
          <w:sz w:val="16"/>
          <w:szCs w:val="16"/>
          <w:lang w:val="es-ES" w:eastAsia="ar-SA"/>
        </w:rPr>
        <w:t xml:space="preserve"> Telmex</w:t>
      </w:r>
      <w:r>
        <w:rPr>
          <w:rFonts w:ascii="ITC Avant Garde" w:hAnsi="ITC Avant Garde"/>
          <w:kern w:val="1"/>
          <w:sz w:val="16"/>
          <w:szCs w:val="16"/>
          <w:lang w:val="es-ES" w:eastAsia="ar-SA"/>
        </w:rPr>
        <w:t xml:space="preserve"> y OREDA 2017 </w:t>
      </w:r>
      <w:r w:rsidRPr="00D559D7">
        <w:rPr>
          <w:rFonts w:ascii="ITC Avant Garde" w:hAnsi="ITC Avant Garde"/>
          <w:kern w:val="1"/>
          <w:sz w:val="16"/>
          <w:szCs w:val="16"/>
          <w:lang w:val="es-ES" w:eastAsia="ar-SA"/>
        </w:rPr>
        <w:t xml:space="preserve">Telnor, p. </w:t>
      </w:r>
      <w:r>
        <w:rPr>
          <w:rFonts w:ascii="ITC Avant Garde" w:hAnsi="ITC Avant Garde"/>
          <w:kern w:val="1"/>
          <w:sz w:val="16"/>
          <w:szCs w:val="16"/>
          <w:lang w:val="es-ES" w:eastAsia="ar-SA"/>
        </w:rPr>
        <w:t>38</w:t>
      </w:r>
      <w:r w:rsidRPr="001555CB">
        <w:rPr>
          <w:rFonts w:ascii="ITC Avant Garde" w:hAnsi="ITC Avant Garde"/>
          <w:kern w:val="1"/>
          <w:sz w:val="16"/>
          <w:szCs w:val="16"/>
          <w:lang w:val="es-ES" w:eastAsia="ar-SA"/>
        </w:rPr>
        <w:t xml:space="preserve"> </w:t>
      </w:r>
      <w:r>
        <w:rPr>
          <w:rFonts w:ascii="ITC Avant Garde" w:hAnsi="ITC Avant Garde"/>
          <w:kern w:val="1"/>
          <w:sz w:val="16"/>
          <w:szCs w:val="16"/>
          <w:lang w:val="es-ES" w:eastAsia="ar-SA"/>
        </w:rPr>
        <w:t>respectivamente.</w:t>
      </w:r>
    </w:p>
  </w:footnote>
  <w:footnote w:id="12">
    <w:p w14:paraId="1F70392C" w14:textId="04A48DB7" w:rsidR="005C61E4" w:rsidRPr="00564981" w:rsidRDefault="005C61E4" w:rsidP="00636926">
      <w:pPr>
        <w:pStyle w:val="Textonotapie"/>
        <w:rPr>
          <w:rFonts w:ascii="ITC Avant Garde" w:hAnsi="ITC Avant Garde"/>
          <w:kern w:val="1"/>
          <w:sz w:val="16"/>
          <w:szCs w:val="16"/>
          <w:lang w:val="es-ES" w:eastAsia="ar-SA"/>
        </w:rPr>
      </w:pPr>
      <w:r>
        <w:rPr>
          <w:rStyle w:val="Refdenotaalpie"/>
        </w:rPr>
        <w:footnoteRef/>
      </w:r>
      <w:r>
        <w:t xml:space="preserve"> </w:t>
      </w:r>
      <w:r>
        <w:rPr>
          <w:rFonts w:ascii="ITC Avant Garde" w:hAnsi="ITC Avant Garde"/>
          <w:kern w:val="1"/>
          <w:sz w:val="16"/>
          <w:szCs w:val="16"/>
          <w:lang w:val="es-ES" w:eastAsia="ar-SA"/>
        </w:rPr>
        <w:t>OREDA 2017</w:t>
      </w:r>
      <w:r w:rsidRPr="00D559D7">
        <w:rPr>
          <w:rFonts w:ascii="ITC Avant Garde" w:hAnsi="ITC Avant Garde"/>
          <w:kern w:val="1"/>
          <w:sz w:val="16"/>
          <w:szCs w:val="16"/>
          <w:lang w:val="es-ES" w:eastAsia="ar-SA"/>
        </w:rPr>
        <w:t xml:space="preserve"> Telmex-Telnor, p</w:t>
      </w:r>
      <w:r>
        <w:rPr>
          <w:rFonts w:ascii="ITC Avant Garde" w:hAnsi="ITC Avant Garde"/>
          <w:kern w:val="1"/>
          <w:sz w:val="16"/>
          <w:szCs w:val="16"/>
          <w:lang w:val="es-ES" w:eastAsia="ar-SA"/>
        </w:rPr>
        <w:t>. 31, respectivamente.</w:t>
      </w:r>
    </w:p>
  </w:footnote>
  <w:footnote w:id="13">
    <w:p w14:paraId="5EA27E78" w14:textId="5C03226D" w:rsidR="005C61E4" w:rsidRPr="00564981" w:rsidRDefault="005C61E4" w:rsidP="00564981">
      <w:pPr>
        <w:autoSpaceDE w:val="0"/>
        <w:autoSpaceDN w:val="0"/>
        <w:adjustRightInd w:val="0"/>
        <w:spacing w:after="0" w:line="240" w:lineRule="auto"/>
        <w:jc w:val="both"/>
        <w:rPr>
          <w:rFonts w:ascii="Helvetica" w:hAnsi="Helvetica" w:cs="Helvetica"/>
        </w:rPr>
      </w:pPr>
      <w:r>
        <w:rPr>
          <w:rStyle w:val="Refdenotaalpie"/>
        </w:rPr>
        <w:footnoteRef/>
      </w:r>
      <w:r>
        <w:t xml:space="preserve"> </w:t>
      </w:r>
      <w:r>
        <w:rPr>
          <w:rFonts w:ascii="ITC Avant Garde" w:hAnsi="ITC Avant Garde"/>
          <w:kern w:val="1"/>
          <w:sz w:val="16"/>
          <w:szCs w:val="16"/>
          <w:lang w:val="es-ES" w:eastAsia="ar-SA"/>
        </w:rPr>
        <w:t>OREDA 2017 Telmex y OREDA 2017</w:t>
      </w:r>
      <w:r w:rsidRPr="00D559D7">
        <w:rPr>
          <w:rFonts w:ascii="ITC Avant Garde" w:hAnsi="ITC Avant Garde"/>
          <w:kern w:val="1"/>
          <w:sz w:val="16"/>
          <w:szCs w:val="16"/>
          <w:lang w:val="es-ES" w:eastAsia="ar-SA"/>
        </w:rPr>
        <w:t xml:space="preserve"> Telnor, p.</w:t>
      </w:r>
      <w:r>
        <w:rPr>
          <w:rFonts w:ascii="ITC Avant Garde" w:hAnsi="ITC Avant Garde"/>
          <w:kern w:val="1"/>
          <w:sz w:val="16"/>
          <w:szCs w:val="16"/>
          <w:lang w:val="es-ES" w:eastAsia="ar-SA"/>
        </w:rPr>
        <w:t xml:space="preserve"> 14, establecen respectivamente: “</w:t>
      </w:r>
      <w:r w:rsidRPr="005A7726">
        <w:rPr>
          <w:rFonts w:ascii="ITC Avant Garde" w:hAnsi="ITC Avant Garde"/>
          <w:i/>
          <w:kern w:val="1"/>
          <w:sz w:val="16"/>
          <w:szCs w:val="16"/>
          <w:lang w:val="es-ES" w:eastAsia="ar-SA"/>
        </w:rPr>
        <w:t xml:space="preserve">Por otro lado, respecto a aquellas secciones y apartados de la Oferta de Referencia así como de sus respectivos anexos en los cuales </w:t>
      </w:r>
      <w:r w:rsidRPr="001F044A">
        <w:rPr>
          <w:rFonts w:ascii="ITC Avant Garde" w:hAnsi="ITC Avant Garde"/>
          <w:i/>
          <w:kern w:val="1"/>
          <w:sz w:val="16"/>
          <w:szCs w:val="16"/>
          <w:u w:val="single"/>
          <w:lang w:val="es-ES" w:eastAsia="ar-SA"/>
        </w:rPr>
        <w:t>el AEP no hizo modificaciones con respecto a su Primera Propuesta de Oferta de Referencia y el Instituto no realizó requerimiento alguno dentro del Acuerdo, este Instituto procedió o su análisis determinando que dichas secciones, apartados y anexos cumplen con los objetivos para la prestación eficiente de los servicios</w:t>
      </w:r>
      <w:r w:rsidRPr="005A7726">
        <w:rPr>
          <w:rFonts w:ascii="ITC Avant Garde" w:hAnsi="ITC Avant Garde"/>
          <w:i/>
          <w:kern w:val="1"/>
          <w:sz w:val="16"/>
          <w:szCs w:val="16"/>
          <w:lang w:val="es-ES" w:eastAsia="ar-SA"/>
        </w:rPr>
        <w:t>, toda vez que no inhiben lo competencia en la prestación de los mismos, estableciéndose con bases no discriminatorias y no generan requisitos innecesarios paro la correcta prestación de servicios</w:t>
      </w:r>
      <w:r w:rsidRPr="005A7726">
        <w:rPr>
          <w:rFonts w:ascii="ITC Avant Garde" w:hAnsi="ITC Avant Garde"/>
          <w:kern w:val="1"/>
          <w:sz w:val="16"/>
          <w:szCs w:val="16"/>
          <w:lang w:val="es-ES" w:eastAsia="ar-SA"/>
        </w:rPr>
        <w:t>.</w:t>
      </w:r>
      <w:r>
        <w:rPr>
          <w:rFonts w:ascii="ITC Avant Garde" w:hAnsi="ITC Avant Garde"/>
          <w:kern w:val="1"/>
          <w:sz w:val="16"/>
          <w:szCs w:val="16"/>
          <w:lang w:val="es-ES" w:eastAsia="ar-SA"/>
        </w:rPr>
        <w:t>”</w:t>
      </w:r>
    </w:p>
  </w:footnote>
  <w:footnote w:id="14">
    <w:p w14:paraId="1ADAA5C7" w14:textId="77777777" w:rsidR="005C61E4" w:rsidRDefault="005C61E4" w:rsidP="00C122B0">
      <w:pPr>
        <w:pStyle w:val="Textonotapie"/>
      </w:pPr>
      <w:r>
        <w:rPr>
          <w:rStyle w:val="Refdenotaalpie"/>
        </w:rPr>
        <w:footnoteRef/>
      </w:r>
      <w:r>
        <w:t xml:space="preserve"> </w:t>
      </w:r>
      <w:r w:rsidRPr="00D559D7">
        <w:rPr>
          <w:rFonts w:ascii="ITC Avant Garde" w:hAnsi="ITC Avant Garde"/>
          <w:kern w:val="1"/>
          <w:sz w:val="16"/>
          <w:szCs w:val="16"/>
          <w:lang w:val="es-ES" w:eastAsia="ar-SA"/>
        </w:rPr>
        <w:t>OREDA 2015 Telmex</w:t>
      </w:r>
      <w:r>
        <w:rPr>
          <w:rFonts w:ascii="ITC Avant Garde" w:hAnsi="ITC Avant Garde"/>
          <w:kern w:val="1"/>
          <w:sz w:val="16"/>
          <w:szCs w:val="16"/>
          <w:lang w:val="es-ES" w:eastAsia="ar-SA"/>
        </w:rPr>
        <w:t xml:space="preserve">, p. 400 y OREDA 2015 </w:t>
      </w:r>
      <w:r w:rsidRPr="00D559D7">
        <w:rPr>
          <w:rFonts w:ascii="ITC Avant Garde" w:hAnsi="ITC Avant Garde"/>
          <w:kern w:val="1"/>
          <w:sz w:val="16"/>
          <w:szCs w:val="16"/>
          <w:lang w:val="es-ES" w:eastAsia="ar-SA"/>
        </w:rPr>
        <w:t xml:space="preserve">Telnor, </w:t>
      </w:r>
      <w:r>
        <w:rPr>
          <w:rFonts w:ascii="ITC Avant Garde" w:hAnsi="ITC Avant Garde"/>
          <w:kern w:val="1"/>
          <w:sz w:val="16"/>
          <w:szCs w:val="16"/>
          <w:lang w:val="es-ES" w:eastAsia="ar-SA"/>
        </w:rPr>
        <w:t>p. 425.</w:t>
      </w:r>
    </w:p>
  </w:footnote>
  <w:footnote w:id="15">
    <w:p w14:paraId="64FF9EF0" w14:textId="79FF1B13" w:rsidR="005C61E4" w:rsidRDefault="005C61E4" w:rsidP="00083D24">
      <w:pPr>
        <w:pStyle w:val="Textonotapie"/>
        <w:rPr>
          <w:rFonts w:ascii="ITC Avant Garde" w:hAnsi="ITC Avant Garde"/>
          <w:kern w:val="1"/>
          <w:sz w:val="16"/>
          <w:szCs w:val="16"/>
          <w:lang w:val="es-ES" w:eastAsia="ar-SA"/>
        </w:rPr>
      </w:pPr>
      <w:r>
        <w:rPr>
          <w:rStyle w:val="Refdenotaalpie"/>
        </w:rPr>
        <w:footnoteRef/>
      </w:r>
      <w:r>
        <w:t xml:space="preserve"> </w:t>
      </w:r>
      <w:r>
        <w:rPr>
          <w:rFonts w:ascii="ITC Avant Garde" w:hAnsi="ITC Avant Garde"/>
          <w:kern w:val="1"/>
          <w:sz w:val="16"/>
          <w:szCs w:val="16"/>
          <w:lang w:val="es-ES" w:eastAsia="ar-SA"/>
        </w:rPr>
        <w:t>Sirvió de</w:t>
      </w:r>
      <w:r w:rsidRPr="00083D24">
        <w:rPr>
          <w:rFonts w:ascii="ITC Avant Garde" w:hAnsi="ITC Avant Garde"/>
          <w:kern w:val="1"/>
          <w:sz w:val="16"/>
          <w:szCs w:val="16"/>
          <w:lang w:val="es-ES" w:eastAsia="ar-SA"/>
        </w:rPr>
        <w:t xml:space="preserve"> referencia lo definido en el</w:t>
      </w:r>
      <w:r>
        <w:t xml:space="preserve"> </w:t>
      </w:r>
      <w:r w:rsidRPr="00083D24">
        <w:rPr>
          <w:rFonts w:ascii="ITC Avant Garde" w:hAnsi="ITC Avant Garde"/>
          <w:kern w:val="1"/>
          <w:sz w:val="16"/>
          <w:szCs w:val="16"/>
          <w:lang w:val="es-ES" w:eastAsia="ar-SA"/>
        </w:rPr>
        <w:t>Diccionario de la Real Academia Española:</w:t>
      </w:r>
    </w:p>
    <w:p w14:paraId="216AF63E" w14:textId="1333FEA1" w:rsidR="005C61E4" w:rsidRDefault="005C61E4" w:rsidP="00083D24">
      <w:pPr>
        <w:pStyle w:val="Textonotapie"/>
        <w:rPr>
          <w:rFonts w:ascii="ITC Avant Garde" w:hAnsi="ITC Avant Garde"/>
          <w:kern w:val="1"/>
          <w:sz w:val="16"/>
          <w:szCs w:val="16"/>
          <w:lang w:val="es-ES" w:eastAsia="ar-SA"/>
        </w:rPr>
      </w:pPr>
      <w:r>
        <w:rPr>
          <w:rFonts w:ascii="ITC Avant Garde" w:hAnsi="ITC Avant Garde"/>
          <w:kern w:val="1"/>
          <w:sz w:val="16"/>
          <w:szCs w:val="16"/>
          <w:lang w:val="es-ES" w:eastAsia="ar-SA"/>
        </w:rPr>
        <w:t>“</w:t>
      </w:r>
      <w:r w:rsidRPr="00083D24">
        <w:rPr>
          <w:rFonts w:ascii="ITC Avant Garde" w:hAnsi="ITC Avant Garde"/>
          <w:b/>
          <w:kern w:val="1"/>
          <w:sz w:val="16"/>
          <w:szCs w:val="16"/>
          <w:lang w:val="es-ES" w:eastAsia="ar-SA"/>
        </w:rPr>
        <w:t>Programación</w:t>
      </w:r>
      <w:r>
        <w:rPr>
          <w:rFonts w:ascii="ITC Avant Garde" w:hAnsi="ITC Avant Garde"/>
          <w:kern w:val="1"/>
          <w:sz w:val="16"/>
          <w:szCs w:val="16"/>
          <w:lang w:val="es-ES" w:eastAsia="ar-SA"/>
        </w:rPr>
        <w:t xml:space="preserve">. </w:t>
      </w:r>
      <w:r w:rsidRPr="00083D24">
        <w:rPr>
          <w:rFonts w:ascii="ITC Avant Garde" w:hAnsi="ITC Avant Garde"/>
          <w:kern w:val="1"/>
          <w:sz w:val="16"/>
          <w:szCs w:val="16"/>
          <w:lang w:val="es-ES" w:eastAsia="ar-SA"/>
        </w:rPr>
        <w:t>1. </w:t>
      </w:r>
      <w:r w:rsidRPr="000B3C8E">
        <w:rPr>
          <w:rFonts w:ascii="ITC Avant Garde" w:hAnsi="ITC Avant Garde" w:hint="eastAsia"/>
          <w:kern w:val="1"/>
          <w:sz w:val="16"/>
          <w:szCs w:val="16"/>
          <w:lang w:val="es-ES" w:eastAsia="ar-SA"/>
        </w:rPr>
        <w:t>f. Acción y efecto de programar.</w:t>
      </w:r>
      <w:r>
        <w:rPr>
          <w:rFonts w:ascii="ITC Avant Garde" w:hAnsi="ITC Avant Garde"/>
          <w:kern w:val="1"/>
          <w:sz w:val="16"/>
          <w:szCs w:val="16"/>
          <w:lang w:val="es-ES" w:eastAsia="ar-SA"/>
        </w:rPr>
        <w:t xml:space="preserve">” </w:t>
      </w:r>
    </w:p>
    <w:p w14:paraId="7750FB66" w14:textId="48B5D8DF" w:rsidR="005C61E4" w:rsidRPr="00564981" w:rsidRDefault="005C61E4">
      <w:pPr>
        <w:pStyle w:val="Textonotapie"/>
        <w:rPr>
          <w:rFonts w:ascii="ITC Avant Garde" w:hAnsi="ITC Avant Garde"/>
          <w:kern w:val="1"/>
          <w:sz w:val="16"/>
          <w:szCs w:val="16"/>
          <w:lang w:val="es-ES" w:eastAsia="ar-SA"/>
        </w:rPr>
      </w:pPr>
      <w:r>
        <w:rPr>
          <w:rFonts w:ascii="ITC Avant Garde" w:hAnsi="ITC Avant Garde"/>
          <w:kern w:val="1"/>
          <w:sz w:val="16"/>
          <w:szCs w:val="16"/>
          <w:lang w:val="es-ES" w:eastAsia="ar-SA"/>
        </w:rPr>
        <w:t>“</w:t>
      </w:r>
      <w:r w:rsidRPr="00083D24">
        <w:rPr>
          <w:rFonts w:ascii="ITC Avant Garde" w:hAnsi="ITC Avant Garde"/>
          <w:b/>
          <w:kern w:val="1"/>
          <w:sz w:val="16"/>
          <w:szCs w:val="16"/>
          <w:lang w:val="es-ES" w:eastAsia="ar-SA"/>
        </w:rPr>
        <w:t>Programar</w:t>
      </w:r>
      <w:r>
        <w:rPr>
          <w:rFonts w:ascii="ITC Avant Garde" w:hAnsi="ITC Avant Garde" w:hint="eastAsia"/>
          <w:kern w:val="1"/>
          <w:sz w:val="16"/>
          <w:szCs w:val="16"/>
          <w:lang w:val="es-ES" w:eastAsia="ar-SA"/>
        </w:rPr>
        <w:t xml:space="preserve">. </w:t>
      </w:r>
      <w:r w:rsidRPr="00083D24">
        <w:rPr>
          <w:rFonts w:ascii="ITC Avant Garde" w:hAnsi="ITC Avant Garde"/>
          <w:kern w:val="1"/>
          <w:sz w:val="16"/>
          <w:szCs w:val="16"/>
          <w:lang w:val="es-ES" w:eastAsia="ar-SA"/>
        </w:rPr>
        <w:t>2. </w:t>
      </w:r>
      <w:r w:rsidRPr="000B3C8E">
        <w:rPr>
          <w:rFonts w:ascii="ITC Avant Garde" w:hAnsi="ITC Avant Garde" w:hint="eastAsia"/>
          <w:kern w:val="1"/>
          <w:sz w:val="16"/>
          <w:szCs w:val="16"/>
          <w:lang w:val="es-ES" w:eastAsia="ar-SA"/>
        </w:rPr>
        <w:t xml:space="preserve">tr. Idear y ordenar las acciones necesarias para realizar un proyecto. U. t. c. </w:t>
      </w:r>
      <w:proofErr w:type="spellStart"/>
      <w:r w:rsidRPr="000B3C8E">
        <w:rPr>
          <w:rFonts w:ascii="ITC Avant Garde" w:hAnsi="ITC Avant Garde" w:hint="eastAsia"/>
          <w:kern w:val="1"/>
          <w:sz w:val="16"/>
          <w:szCs w:val="16"/>
          <w:lang w:val="es-ES" w:eastAsia="ar-SA"/>
        </w:rPr>
        <w:t>prnl</w:t>
      </w:r>
      <w:proofErr w:type="spellEnd"/>
      <w:r w:rsidRPr="000B3C8E">
        <w:rPr>
          <w:rFonts w:ascii="ITC Avant Garde" w:hAnsi="ITC Avant Garde" w:hint="eastAsia"/>
          <w:kern w:val="1"/>
          <w:sz w:val="16"/>
          <w:szCs w:val="16"/>
          <w:lang w:val="es-ES" w:eastAsia="ar-SA"/>
        </w:rPr>
        <w:t>.</w:t>
      </w:r>
      <w:r>
        <w:rPr>
          <w:rFonts w:ascii="ITC Avant Garde" w:hAnsi="ITC Avant Garde"/>
          <w:kern w:val="1"/>
          <w:sz w:val="16"/>
          <w:szCs w:val="16"/>
          <w:lang w:val="es-ES" w:eastAsia="ar-SA"/>
        </w:rPr>
        <w:t>”</w:t>
      </w:r>
    </w:p>
  </w:footnote>
  <w:footnote w:id="16">
    <w:p w14:paraId="78C965E5" w14:textId="77777777" w:rsidR="005C61E4" w:rsidRDefault="005C61E4" w:rsidP="0040417B">
      <w:pPr>
        <w:pStyle w:val="Textonotapie"/>
      </w:pPr>
      <w:r>
        <w:rPr>
          <w:rStyle w:val="Refdenotaalpie"/>
        </w:rPr>
        <w:footnoteRef/>
      </w:r>
      <w:r>
        <w:t xml:space="preserve"> </w:t>
      </w:r>
      <w:r w:rsidRPr="00533233">
        <w:rPr>
          <w:rFonts w:ascii="ITC Avant Garde" w:hAnsi="ITC Avant Garde"/>
          <w:kern w:val="1"/>
          <w:sz w:val="16"/>
          <w:szCs w:val="16"/>
          <w:lang w:val="es-ES" w:eastAsia="ar-SA"/>
        </w:rPr>
        <w:t>Resolución del SEG, p</w:t>
      </w:r>
      <w:r>
        <w:rPr>
          <w:rFonts w:ascii="ITC Avant Garde" w:hAnsi="ITC Avant Garde"/>
          <w:kern w:val="1"/>
          <w:sz w:val="16"/>
          <w:szCs w:val="16"/>
          <w:lang w:val="es-ES" w:eastAsia="ar-SA"/>
        </w:rPr>
        <w:t>p</w:t>
      </w:r>
      <w:r w:rsidRPr="00533233">
        <w:rPr>
          <w:rFonts w:ascii="ITC Avant Garde" w:hAnsi="ITC Avant Garde"/>
          <w:kern w:val="1"/>
          <w:sz w:val="16"/>
          <w:szCs w:val="16"/>
          <w:lang w:val="es-ES" w:eastAsia="ar-SA"/>
        </w:rPr>
        <w:t xml:space="preserve">. </w:t>
      </w:r>
      <w:r>
        <w:rPr>
          <w:rFonts w:ascii="ITC Avant Garde" w:hAnsi="ITC Avant Garde"/>
          <w:kern w:val="1"/>
          <w:sz w:val="16"/>
          <w:szCs w:val="16"/>
          <w:lang w:val="es-ES" w:eastAsia="ar-SA"/>
        </w:rPr>
        <w:t xml:space="preserve">95 y </w:t>
      </w:r>
      <w:r w:rsidRPr="00533233">
        <w:rPr>
          <w:rFonts w:ascii="ITC Avant Garde" w:hAnsi="ITC Avant Garde"/>
          <w:kern w:val="1"/>
          <w:sz w:val="16"/>
          <w:szCs w:val="16"/>
          <w:lang w:val="es-ES" w:eastAsia="ar-SA"/>
        </w:rPr>
        <w:t>96</w:t>
      </w:r>
      <w:r>
        <w:rPr>
          <w:rFonts w:ascii="ITC Avant Garde" w:hAnsi="ITC Avant Garde"/>
          <w:kern w:val="1"/>
          <w:sz w:val="16"/>
          <w:szCs w:val="16"/>
          <w:lang w:val="es-ES" w:eastAsia="ar-SA"/>
        </w:rPr>
        <w:t>.</w:t>
      </w:r>
    </w:p>
  </w:footnote>
  <w:footnote w:id="17">
    <w:p w14:paraId="61570D7B" w14:textId="77777777" w:rsidR="005C61E4" w:rsidRDefault="005C61E4">
      <w:pPr>
        <w:pStyle w:val="Textonotapie"/>
        <w:rPr>
          <w:rFonts w:ascii="ITC Avant Garde" w:hAnsi="ITC Avant Garde"/>
          <w:kern w:val="1"/>
          <w:sz w:val="16"/>
          <w:szCs w:val="16"/>
          <w:lang w:val="es-ES" w:eastAsia="ar-SA"/>
        </w:rPr>
      </w:pPr>
      <w:r>
        <w:rPr>
          <w:rStyle w:val="Refdenotaalpie"/>
        </w:rPr>
        <w:footnoteRef/>
      </w:r>
      <w:r>
        <w:t xml:space="preserve"> </w:t>
      </w:r>
      <w:r w:rsidRPr="00441D6D">
        <w:rPr>
          <w:rFonts w:ascii="ITC Avant Garde" w:hAnsi="ITC Avant Garde"/>
          <w:kern w:val="1"/>
          <w:sz w:val="16"/>
          <w:szCs w:val="16"/>
          <w:lang w:val="es-ES" w:eastAsia="ar-SA"/>
        </w:rPr>
        <w:t>OREDA 2017 Telmex, pp. 324y 235 y OREDA 2017 Telnor, pp. 233 y 234.</w:t>
      </w:r>
    </w:p>
    <w:p w14:paraId="63AD1B4C" w14:textId="77777777" w:rsidR="005C61E4" w:rsidRPr="00B82881" w:rsidRDefault="005C61E4">
      <w:pPr>
        <w:pStyle w:val="Textonotapie"/>
        <w:rPr>
          <w:sz w:val="16"/>
        </w:rPr>
      </w:pPr>
    </w:p>
  </w:footnote>
  <w:footnote w:id="18">
    <w:p w14:paraId="02FD16DE" w14:textId="4298F52A" w:rsidR="005C61E4" w:rsidRDefault="005C61E4">
      <w:pPr>
        <w:pStyle w:val="Textonotapie"/>
      </w:pPr>
      <w:r>
        <w:rPr>
          <w:rStyle w:val="Refdenotaalpie"/>
        </w:rPr>
        <w:footnoteRef/>
      </w:r>
      <w:r>
        <w:t xml:space="preserve"> </w:t>
      </w:r>
      <w:r w:rsidRPr="00B82881">
        <w:rPr>
          <w:rFonts w:ascii="ITC Avant Garde" w:hAnsi="ITC Avant Garde"/>
          <w:kern w:val="1"/>
          <w:sz w:val="16"/>
          <w:szCs w:val="16"/>
          <w:lang w:val="es-ES" w:eastAsia="ar-SA"/>
        </w:rPr>
        <w:t>Punto 5, Anexo 2 del</w:t>
      </w:r>
      <w:r>
        <w:rPr>
          <w:rFonts w:ascii="ITC Avant Garde" w:hAnsi="ITC Avant Garde"/>
          <w:kern w:val="1"/>
          <w:sz w:val="16"/>
          <w:szCs w:val="16"/>
          <w:lang w:val="es-ES" w:eastAsia="ar-SA"/>
        </w:rPr>
        <w:t xml:space="preserve"> </w:t>
      </w:r>
      <w:r w:rsidRPr="00B82881">
        <w:rPr>
          <w:rFonts w:ascii="ITC Avant Garde" w:hAnsi="ITC Avant Garde"/>
          <w:kern w:val="1"/>
          <w:sz w:val="16"/>
          <w:szCs w:val="16"/>
          <w:lang w:val="es-ES" w:eastAsia="ar-SA"/>
        </w:rPr>
        <w:t xml:space="preserve">Documento del Grupo de Trabajo </w:t>
      </w:r>
      <w:r w:rsidR="00A7121E">
        <w:rPr>
          <w:rFonts w:ascii="ITC Avant Garde" w:hAnsi="ITC Avant Garde"/>
          <w:kern w:val="1"/>
          <w:sz w:val="16"/>
          <w:szCs w:val="16"/>
          <w:lang w:val="es-ES" w:eastAsia="ar-SA"/>
        </w:rPr>
        <w:t xml:space="preserve">de </w:t>
      </w:r>
      <w:r w:rsidRPr="00B82881">
        <w:rPr>
          <w:rFonts w:ascii="ITC Avant Garde" w:hAnsi="ITC Avant Garde"/>
          <w:kern w:val="1"/>
          <w:sz w:val="16"/>
          <w:szCs w:val="16"/>
          <w:lang w:val="es-ES" w:eastAsia="ar-SA"/>
        </w:rPr>
        <w:t>Mejoras al SEG</w:t>
      </w:r>
      <w:r>
        <w:rPr>
          <w:rFonts w:ascii="ITC Avant Garde" w:hAnsi="ITC Avant Garde"/>
          <w:kern w:val="1"/>
          <w:sz w:val="16"/>
          <w:szCs w:val="16"/>
          <w:lang w:val="es-ES" w:eastAsia="ar-SA"/>
        </w:rPr>
        <w:t>.</w:t>
      </w:r>
    </w:p>
  </w:footnote>
  <w:footnote w:id="19">
    <w:p w14:paraId="4262F779" w14:textId="77777777" w:rsidR="005C61E4" w:rsidRPr="009B6509" w:rsidRDefault="005C61E4">
      <w:pPr>
        <w:pStyle w:val="Textonotapie"/>
        <w:rPr>
          <w:rFonts w:ascii="ITC Avant Garde" w:hAnsi="ITC Avant Garde"/>
          <w:kern w:val="1"/>
          <w:sz w:val="16"/>
          <w:szCs w:val="16"/>
          <w:lang w:val="es-ES" w:eastAsia="ar-SA"/>
        </w:rPr>
      </w:pPr>
      <w:r>
        <w:rPr>
          <w:rStyle w:val="Refdenotaalpie"/>
        </w:rPr>
        <w:footnoteRef/>
      </w:r>
      <w:r>
        <w:t xml:space="preserve"> </w:t>
      </w:r>
      <w:r>
        <w:rPr>
          <w:rFonts w:ascii="ITC Avant Garde" w:hAnsi="ITC Avant Garde"/>
          <w:kern w:val="1"/>
          <w:sz w:val="16"/>
          <w:szCs w:val="16"/>
          <w:lang w:val="es-ES" w:eastAsia="ar-SA"/>
        </w:rPr>
        <w:t>OREDA 2017</w:t>
      </w:r>
      <w:r w:rsidRPr="00D559D7">
        <w:rPr>
          <w:rFonts w:ascii="ITC Avant Garde" w:hAnsi="ITC Avant Garde"/>
          <w:kern w:val="1"/>
          <w:sz w:val="16"/>
          <w:szCs w:val="16"/>
          <w:lang w:val="es-ES" w:eastAsia="ar-SA"/>
        </w:rPr>
        <w:t xml:space="preserve"> Telmex-Telnor, p</w:t>
      </w:r>
      <w:r>
        <w:rPr>
          <w:rFonts w:ascii="ITC Avant Garde" w:hAnsi="ITC Avant Garde"/>
          <w:kern w:val="1"/>
          <w:sz w:val="16"/>
          <w:szCs w:val="16"/>
          <w:lang w:val="es-ES" w:eastAsia="ar-SA"/>
        </w:rPr>
        <w:t>p. 300, 303 y 304, respectivamente.</w:t>
      </w:r>
    </w:p>
  </w:footnote>
  <w:footnote w:id="20">
    <w:p w14:paraId="0810F50A" w14:textId="07991F3B" w:rsidR="005C61E4" w:rsidRPr="00564981" w:rsidRDefault="005C61E4" w:rsidP="004C2EAA">
      <w:pPr>
        <w:pStyle w:val="Textonotapie"/>
        <w:rPr>
          <w:rFonts w:ascii="ITC Avant Garde" w:hAnsi="ITC Avant Garde"/>
          <w:kern w:val="1"/>
          <w:sz w:val="16"/>
          <w:szCs w:val="16"/>
          <w:lang w:val="es-ES" w:eastAsia="ar-SA"/>
        </w:rPr>
      </w:pPr>
      <w:r>
        <w:rPr>
          <w:rStyle w:val="Refdenotaalpie"/>
        </w:rPr>
        <w:footnoteRef/>
      </w:r>
      <w:r>
        <w:t xml:space="preserve"> </w:t>
      </w:r>
      <w:r>
        <w:rPr>
          <w:rFonts w:ascii="ITC Avant Garde" w:hAnsi="ITC Avant Garde"/>
          <w:kern w:val="1"/>
          <w:sz w:val="16"/>
          <w:szCs w:val="16"/>
          <w:lang w:val="es-ES" w:eastAsia="ar-SA"/>
        </w:rPr>
        <w:t>Punto 12</w:t>
      </w:r>
      <w:r w:rsidRPr="00B82881">
        <w:rPr>
          <w:rFonts w:ascii="ITC Avant Garde" w:hAnsi="ITC Avant Garde"/>
          <w:kern w:val="1"/>
          <w:sz w:val="16"/>
          <w:szCs w:val="16"/>
          <w:lang w:val="es-ES" w:eastAsia="ar-SA"/>
        </w:rPr>
        <w:t>, Anexo 2 del</w:t>
      </w:r>
      <w:r>
        <w:rPr>
          <w:rFonts w:ascii="ITC Avant Garde" w:hAnsi="ITC Avant Garde"/>
          <w:kern w:val="1"/>
          <w:sz w:val="16"/>
          <w:szCs w:val="16"/>
          <w:lang w:val="es-ES" w:eastAsia="ar-SA"/>
        </w:rPr>
        <w:t xml:space="preserve"> </w:t>
      </w:r>
      <w:r w:rsidRPr="00B82881">
        <w:rPr>
          <w:rFonts w:ascii="ITC Avant Garde" w:hAnsi="ITC Avant Garde"/>
          <w:kern w:val="1"/>
          <w:sz w:val="16"/>
          <w:szCs w:val="16"/>
          <w:lang w:val="es-ES" w:eastAsia="ar-SA"/>
        </w:rPr>
        <w:t xml:space="preserve">Documento del Grupo de Trabajo </w:t>
      </w:r>
      <w:r w:rsidR="00A7121E">
        <w:rPr>
          <w:rFonts w:ascii="ITC Avant Garde" w:hAnsi="ITC Avant Garde"/>
          <w:kern w:val="1"/>
          <w:sz w:val="16"/>
          <w:szCs w:val="16"/>
          <w:lang w:val="es-ES" w:eastAsia="ar-SA"/>
        </w:rPr>
        <w:t xml:space="preserve">de </w:t>
      </w:r>
      <w:r w:rsidRPr="00B82881">
        <w:rPr>
          <w:rFonts w:ascii="ITC Avant Garde" w:hAnsi="ITC Avant Garde"/>
          <w:kern w:val="1"/>
          <w:sz w:val="16"/>
          <w:szCs w:val="16"/>
          <w:lang w:val="es-ES" w:eastAsia="ar-SA"/>
        </w:rPr>
        <w:t>Mejoras al SEG</w:t>
      </w:r>
      <w:r>
        <w:rPr>
          <w:rFonts w:ascii="ITC Avant Garde" w:hAnsi="ITC Avant Garde"/>
          <w:kern w:val="1"/>
          <w:sz w:val="16"/>
          <w:szCs w:val="16"/>
          <w:lang w:val="es-ES" w:eastAsia="ar-SA"/>
        </w:rPr>
        <w:t>.</w:t>
      </w:r>
    </w:p>
  </w:footnote>
  <w:footnote w:id="21">
    <w:p w14:paraId="0D95262D" w14:textId="77777777" w:rsidR="005C61E4" w:rsidRDefault="005C61E4">
      <w:pPr>
        <w:pStyle w:val="Textonotapie"/>
      </w:pPr>
      <w:r>
        <w:rPr>
          <w:rStyle w:val="Refdenotaalpie"/>
        </w:rPr>
        <w:footnoteRef/>
      </w:r>
      <w:r>
        <w:t xml:space="preserve"> </w:t>
      </w:r>
      <w:r w:rsidRPr="00C01C84">
        <w:rPr>
          <w:rFonts w:ascii="ITC Avant Garde" w:hAnsi="ITC Avant Garde"/>
          <w:kern w:val="1"/>
          <w:sz w:val="16"/>
          <w:szCs w:val="16"/>
          <w:lang w:val="es-ES" w:eastAsia="ar-SA"/>
        </w:rPr>
        <w:t>Resolución del SEG, pp. 93 y 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6E99"/>
    <w:multiLevelType w:val="hybridMultilevel"/>
    <w:tmpl w:val="49FCACB6"/>
    <w:lvl w:ilvl="0" w:tplc="4F0E373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86FDF"/>
    <w:multiLevelType w:val="hybridMultilevel"/>
    <w:tmpl w:val="5434B944"/>
    <w:lvl w:ilvl="0" w:tplc="7C82FC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A6EAE"/>
    <w:multiLevelType w:val="hybridMultilevel"/>
    <w:tmpl w:val="C916E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151DC"/>
    <w:multiLevelType w:val="hybridMultilevel"/>
    <w:tmpl w:val="6074A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9F144B"/>
    <w:multiLevelType w:val="hybridMultilevel"/>
    <w:tmpl w:val="C69A7EE4"/>
    <w:lvl w:ilvl="0" w:tplc="A01CF45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2048EA"/>
    <w:multiLevelType w:val="hybridMultilevel"/>
    <w:tmpl w:val="EEF0048E"/>
    <w:lvl w:ilvl="0" w:tplc="0A5CE9FE">
      <w:start w:val="1"/>
      <w:numFmt w:val="decimal"/>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F1B10"/>
    <w:multiLevelType w:val="hybridMultilevel"/>
    <w:tmpl w:val="0A20B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522131"/>
    <w:multiLevelType w:val="hybridMultilevel"/>
    <w:tmpl w:val="9C70F47A"/>
    <w:lvl w:ilvl="0" w:tplc="CE924A3A">
      <w:start w:val="1"/>
      <w:numFmt w:val="upperRoman"/>
      <w:lvlText w:val="%1.-"/>
      <w:lvlJc w:val="left"/>
      <w:pPr>
        <w:tabs>
          <w:tab w:val="num" w:pos="1220"/>
        </w:tabs>
        <w:ind w:left="122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96F3F58"/>
    <w:multiLevelType w:val="hybridMultilevel"/>
    <w:tmpl w:val="0024DE5E"/>
    <w:lvl w:ilvl="0" w:tplc="48762DB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5F0103BA"/>
    <w:multiLevelType w:val="hybridMultilevel"/>
    <w:tmpl w:val="791486DA"/>
    <w:lvl w:ilvl="0" w:tplc="04161E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F87A06"/>
    <w:multiLevelType w:val="hybridMultilevel"/>
    <w:tmpl w:val="14986CAA"/>
    <w:lvl w:ilvl="0" w:tplc="23C49A40">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64880E80"/>
    <w:multiLevelType w:val="hybridMultilevel"/>
    <w:tmpl w:val="B7DCF658"/>
    <w:lvl w:ilvl="0" w:tplc="9C5E2A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87253E"/>
    <w:multiLevelType w:val="hybridMultilevel"/>
    <w:tmpl w:val="C9E29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02689D"/>
    <w:multiLevelType w:val="hybridMultilevel"/>
    <w:tmpl w:val="5F6AC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4C7394"/>
    <w:multiLevelType w:val="hybridMultilevel"/>
    <w:tmpl w:val="8CA41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BB2222"/>
    <w:multiLevelType w:val="hybridMultilevel"/>
    <w:tmpl w:val="9EE8D554"/>
    <w:lvl w:ilvl="0" w:tplc="AD480E5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7"/>
  </w:num>
  <w:num w:numId="3">
    <w:abstractNumId w:val="11"/>
  </w:num>
  <w:num w:numId="4">
    <w:abstractNumId w:val="1"/>
  </w:num>
  <w:num w:numId="5">
    <w:abstractNumId w:val="12"/>
  </w:num>
  <w:num w:numId="6">
    <w:abstractNumId w:val="2"/>
  </w:num>
  <w:num w:numId="7">
    <w:abstractNumId w:val="3"/>
  </w:num>
  <w:num w:numId="8">
    <w:abstractNumId w:val="13"/>
  </w:num>
  <w:num w:numId="9">
    <w:abstractNumId w:val="6"/>
  </w:num>
  <w:num w:numId="10">
    <w:abstractNumId w:val="9"/>
  </w:num>
  <w:num w:numId="11">
    <w:abstractNumId w:val="8"/>
  </w:num>
  <w:num w:numId="12">
    <w:abstractNumId w:val="5"/>
  </w:num>
  <w:num w:numId="13">
    <w:abstractNumId w:val="15"/>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B8"/>
    <w:rsid w:val="00001599"/>
    <w:rsid w:val="00003B1A"/>
    <w:rsid w:val="0000636E"/>
    <w:rsid w:val="00026121"/>
    <w:rsid w:val="00026286"/>
    <w:rsid w:val="00032BA4"/>
    <w:rsid w:val="00032CAD"/>
    <w:rsid w:val="00035FAE"/>
    <w:rsid w:val="00041981"/>
    <w:rsid w:val="00042257"/>
    <w:rsid w:val="00065E88"/>
    <w:rsid w:val="0007170E"/>
    <w:rsid w:val="00072EF2"/>
    <w:rsid w:val="00076FEB"/>
    <w:rsid w:val="00077955"/>
    <w:rsid w:val="00083D24"/>
    <w:rsid w:val="00083F9C"/>
    <w:rsid w:val="00085AD3"/>
    <w:rsid w:val="00085F2E"/>
    <w:rsid w:val="0009053B"/>
    <w:rsid w:val="00091146"/>
    <w:rsid w:val="0009614C"/>
    <w:rsid w:val="000A1602"/>
    <w:rsid w:val="000A7176"/>
    <w:rsid w:val="000B3C8E"/>
    <w:rsid w:val="000C568D"/>
    <w:rsid w:val="000C7857"/>
    <w:rsid w:val="000D5565"/>
    <w:rsid w:val="000E2E2D"/>
    <w:rsid w:val="000E2EE7"/>
    <w:rsid w:val="000F7275"/>
    <w:rsid w:val="0010011A"/>
    <w:rsid w:val="00101B8B"/>
    <w:rsid w:val="00103694"/>
    <w:rsid w:val="001070E6"/>
    <w:rsid w:val="00111D6A"/>
    <w:rsid w:val="0011327D"/>
    <w:rsid w:val="0011666F"/>
    <w:rsid w:val="00127038"/>
    <w:rsid w:val="001273EA"/>
    <w:rsid w:val="00132911"/>
    <w:rsid w:val="00133A78"/>
    <w:rsid w:val="00152339"/>
    <w:rsid w:val="001555CB"/>
    <w:rsid w:val="00155E76"/>
    <w:rsid w:val="001608F6"/>
    <w:rsid w:val="0016188D"/>
    <w:rsid w:val="00173B39"/>
    <w:rsid w:val="0018704E"/>
    <w:rsid w:val="00194FFC"/>
    <w:rsid w:val="001A7BC9"/>
    <w:rsid w:val="001B0151"/>
    <w:rsid w:val="001B6221"/>
    <w:rsid w:val="001C54E4"/>
    <w:rsid w:val="001D345E"/>
    <w:rsid w:val="001E3E54"/>
    <w:rsid w:val="001E7F78"/>
    <w:rsid w:val="001F044A"/>
    <w:rsid w:val="001F67A1"/>
    <w:rsid w:val="00202DAB"/>
    <w:rsid w:val="00211441"/>
    <w:rsid w:val="002117BD"/>
    <w:rsid w:val="00215868"/>
    <w:rsid w:val="00220FFF"/>
    <w:rsid w:val="00225778"/>
    <w:rsid w:val="00226D23"/>
    <w:rsid w:val="00245909"/>
    <w:rsid w:val="002564A1"/>
    <w:rsid w:val="00263BB4"/>
    <w:rsid w:val="00264325"/>
    <w:rsid w:val="0026476D"/>
    <w:rsid w:val="002666D0"/>
    <w:rsid w:val="00267D76"/>
    <w:rsid w:val="00275410"/>
    <w:rsid w:val="002902F7"/>
    <w:rsid w:val="0029517E"/>
    <w:rsid w:val="00297220"/>
    <w:rsid w:val="002A1A71"/>
    <w:rsid w:val="002A3AF7"/>
    <w:rsid w:val="002B175E"/>
    <w:rsid w:val="002B40D2"/>
    <w:rsid w:val="002B517A"/>
    <w:rsid w:val="002C2C1A"/>
    <w:rsid w:val="002C75F8"/>
    <w:rsid w:val="002D5A7E"/>
    <w:rsid w:val="002F0479"/>
    <w:rsid w:val="003204BA"/>
    <w:rsid w:val="003210FF"/>
    <w:rsid w:val="003215FA"/>
    <w:rsid w:val="00323D05"/>
    <w:rsid w:val="00344054"/>
    <w:rsid w:val="003463F4"/>
    <w:rsid w:val="00350BD3"/>
    <w:rsid w:val="00357C2B"/>
    <w:rsid w:val="0036069D"/>
    <w:rsid w:val="00363019"/>
    <w:rsid w:val="003677F4"/>
    <w:rsid w:val="003749C5"/>
    <w:rsid w:val="00376398"/>
    <w:rsid w:val="003777DE"/>
    <w:rsid w:val="003947E0"/>
    <w:rsid w:val="003A31CB"/>
    <w:rsid w:val="003A353F"/>
    <w:rsid w:val="003A5A7E"/>
    <w:rsid w:val="003B24A4"/>
    <w:rsid w:val="003B24A7"/>
    <w:rsid w:val="003B70BF"/>
    <w:rsid w:val="003C1C74"/>
    <w:rsid w:val="003C6047"/>
    <w:rsid w:val="003D7D23"/>
    <w:rsid w:val="003F0127"/>
    <w:rsid w:val="003F2E46"/>
    <w:rsid w:val="0040030B"/>
    <w:rsid w:val="004009FA"/>
    <w:rsid w:val="004014C1"/>
    <w:rsid w:val="0040417B"/>
    <w:rsid w:val="00416C8B"/>
    <w:rsid w:val="00431978"/>
    <w:rsid w:val="00437DB6"/>
    <w:rsid w:val="00441D6D"/>
    <w:rsid w:val="00446015"/>
    <w:rsid w:val="0044734B"/>
    <w:rsid w:val="00455EC2"/>
    <w:rsid w:val="0045773C"/>
    <w:rsid w:val="004612CF"/>
    <w:rsid w:val="004628B9"/>
    <w:rsid w:val="00473DF6"/>
    <w:rsid w:val="00474BD4"/>
    <w:rsid w:val="0048235B"/>
    <w:rsid w:val="00495D29"/>
    <w:rsid w:val="004A7B31"/>
    <w:rsid w:val="004B4790"/>
    <w:rsid w:val="004C2EAA"/>
    <w:rsid w:val="004C3387"/>
    <w:rsid w:val="004C4EAF"/>
    <w:rsid w:val="004D15A6"/>
    <w:rsid w:val="004D2791"/>
    <w:rsid w:val="004E1AA6"/>
    <w:rsid w:val="004E1CBC"/>
    <w:rsid w:val="004F1988"/>
    <w:rsid w:val="00510482"/>
    <w:rsid w:val="0051215E"/>
    <w:rsid w:val="00514D35"/>
    <w:rsid w:val="0053067E"/>
    <w:rsid w:val="00533233"/>
    <w:rsid w:val="005340C3"/>
    <w:rsid w:val="0054236D"/>
    <w:rsid w:val="005564E2"/>
    <w:rsid w:val="00564981"/>
    <w:rsid w:val="005671C8"/>
    <w:rsid w:val="00574DEA"/>
    <w:rsid w:val="00580721"/>
    <w:rsid w:val="00583A69"/>
    <w:rsid w:val="00584A4B"/>
    <w:rsid w:val="00585E98"/>
    <w:rsid w:val="00587297"/>
    <w:rsid w:val="0059027D"/>
    <w:rsid w:val="005922F9"/>
    <w:rsid w:val="0059645E"/>
    <w:rsid w:val="005A0F55"/>
    <w:rsid w:val="005A31C2"/>
    <w:rsid w:val="005A3B06"/>
    <w:rsid w:val="005A7726"/>
    <w:rsid w:val="005B176D"/>
    <w:rsid w:val="005B26B5"/>
    <w:rsid w:val="005B3957"/>
    <w:rsid w:val="005C5B2D"/>
    <w:rsid w:val="005C61E4"/>
    <w:rsid w:val="005D252D"/>
    <w:rsid w:val="005D6B91"/>
    <w:rsid w:val="005E713C"/>
    <w:rsid w:val="005F4825"/>
    <w:rsid w:val="005F6042"/>
    <w:rsid w:val="00601454"/>
    <w:rsid w:val="00606B66"/>
    <w:rsid w:val="00606FE3"/>
    <w:rsid w:val="00610AC9"/>
    <w:rsid w:val="00614C90"/>
    <w:rsid w:val="00627047"/>
    <w:rsid w:val="00631BB3"/>
    <w:rsid w:val="00636926"/>
    <w:rsid w:val="00640EC9"/>
    <w:rsid w:val="00641C12"/>
    <w:rsid w:val="00642F6A"/>
    <w:rsid w:val="0064391B"/>
    <w:rsid w:val="006447C3"/>
    <w:rsid w:val="00647DDA"/>
    <w:rsid w:val="00654F47"/>
    <w:rsid w:val="006555BC"/>
    <w:rsid w:val="006639AC"/>
    <w:rsid w:val="006641EA"/>
    <w:rsid w:val="00666EE9"/>
    <w:rsid w:val="006728C2"/>
    <w:rsid w:val="006813E3"/>
    <w:rsid w:val="0068508D"/>
    <w:rsid w:val="006A2A8E"/>
    <w:rsid w:val="006A6414"/>
    <w:rsid w:val="006B2FF4"/>
    <w:rsid w:val="006D00FB"/>
    <w:rsid w:val="006D07C1"/>
    <w:rsid w:val="006D43B7"/>
    <w:rsid w:val="006F0482"/>
    <w:rsid w:val="006F17FF"/>
    <w:rsid w:val="006F6DEE"/>
    <w:rsid w:val="0070073E"/>
    <w:rsid w:val="00700840"/>
    <w:rsid w:val="0070333A"/>
    <w:rsid w:val="0071352A"/>
    <w:rsid w:val="007266DA"/>
    <w:rsid w:val="00726A1A"/>
    <w:rsid w:val="00735281"/>
    <w:rsid w:val="0073639F"/>
    <w:rsid w:val="00736AAF"/>
    <w:rsid w:val="00740672"/>
    <w:rsid w:val="00763B58"/>
    <w:rsid w:val="007673FA"/>
    <w:rsid w:val="00797F4F"/>
    <w:rsid w:val="007A32B1"/>
    <w:rsid w:val="007B217C"/>
    <w:rsid w:val="007B78A8"/>
    <w:rsid w:val="007D0A8D"/>
    <w:rsid w:val="007D2D1D"/>
    <w:rsid w:val="007D703F"/>
    <w:rsid w:val="007E00BC"/>
    <w:rsid w:val="007E33E1"/>
    <w:rsid w:val="007E4657"/>
    <w:rsid w:val="007E5016"/>
    <w:rsid w:val="00801E94"/>
    <w:rsid w:val="0080561B"/>
    <w:rsid w:val="00805B61"/>
    <w:rsid w:val="00811D2A"/>
    <w:rsid w:val="0081485D"/>
    <w:rsid w:val="0083364D"/>
    <w:rsid w:val="008471CC"/>
    <w:rsid w:val="00872A5A"/>
    <w:rsid w:val="00872CC9"/>
    <w:rsid w:val="008B2590"/>
    <w:rsid w:val="008B4EAD"/>
    <w:rsid w:val="008C6A0F"/>
    <w:rsid w:val="008D0374"/>
    <w:rsid w:val="008D4D82"/>
    <w:rsid w:val="008E6BA3"/>
    <w:rsid w:val="008F04CA"/>
    <w:rsid w:val="00903BA1"/>
    <w:rsid w:val="009052EA"/>
    <w:rsid w:val="00910611"/>
    <w:rsid w:val="009219F5"/>
    <w:rsid w:val="009444E3"/>
    <w:rsid w:val="00954B0E"/>
    <w:rsid w:val="00955FBA"/>
    <w:rsid w:val="00957D33"/>
    <w:rsid w:val="00967717"/>
    <w:rsid w:val="00975EDB"/>
    <w:rsid w:val="00983F2D"/>
    <w:rsid w:val="0099560F"/>
    <w:rsid w:val="00996804"/>
    <w:rsid w:val="009A027B"/>
    <w:rsid w:val="009B0D7D"/>
    <w:rsid w:val="009B3FE7"/>
    <w:rsid w:val="009B4804"/>
    <w:rsid w:val="009B6509"/>
    <w:rsid w:val="009C286F"/>
    <w:rsid w:val="009D2D82"/>
    <w:rsid w:val="009D6C87"/>
    <w:rsid w:val="009F111F"/>
    <w:rsid w:val="009F2182"/>
    <w:rsid w:val="009F3B28"/>
    <w:rsid w:val="009F6F88"/>
    <w:rsid w:val="00A079D0"/>
    <w:rsid w:val="00A232ED"/>
    <w:rsid w:val="00A3577C"/>
    <w:rsid w:val="00A4053E"/>
    <w:rsid w:val="00A4466E"/>
    <w:rsid w:val="00A56F6C"/>
    <w:rsid w:val="00A67F0E"/>
    <w:rsid w:val="00A7121E"/>
    <w:rsid w:val="00A72639"/>
    <w:rsid w:val="00A72677"/>
    <w:rsid w:val="00A80DC8"/>
    <w:rsid w:val="00A91270"/>
    <w:rsid w:val="00A92E34"/>
    <w:rsid w:val="00A9340E"/>
    <w:rsid w:val="00A93E14"/>
    <w:rsid w:val="00A96453"/>
    <w:rsid w:val="00AA4271"/>
    <w:rsid w:val="00AB2C0C"/>
    <w:rsid w:val="00AB608E"/>
    <w:rsid w:val="00AB651D"/>
    <w:rsid w:val="00AC0812"/>
    <w:rsid w:val="00AC730A"/>
    <w:rsid w:val="00AD5D43"/>
    <w:rsid w:val="00AE1440"/>
    <w:rsid w:val="00AE1C71"/>
    <w:rsid w:val="00AF0305"/>
    <w:rsid w:val="00AF414E"/>
    <w:rsid w:val="00AF7C2E"/>
    <w:rsid w:val="00B01F8A"/>
    <w:rsid w:val="00B20E57"/>
    <w:rsid w:val="00B23A21"/>
    <w:rsid w:val="00B25FD5"/>
    <w:rsid w:val="00B3294B"/>
    <w:rsid w:val="00B43713"/>
    <w:rsid w:val="00B4423C"/>
    <w:rsid w:val="00B52C62"/>
    <w:rsid w:val="00B541ED"/>
    <w:rsid w:val="00B558F9"/>
    <w:rsid w:val="00B64527"/>
    <w:rsid w:val="00B65F21"/>
    <w:rsid w:val="00B8197F"/>
    <w:rsid w:val="00B82881"/>
    <w:rsid w:val="00B918FC"/>
    <w:rsid w:val="00B91D53"/>
    <w:rsid w:val="00BA2776"/>
    <w:rsid w:val="00BB2121"/>
    <w:rsid w:val="00BB2D7C"/>
    <w:rsid w:val="00BD2AA6"/>
    <w:rsid w:val="00BE1F9A"/>
    <w:rsid w:val="00BF09E4"/>
    <w:rsid w:val="00BF291F"/>
    <w:rsid w:val="00BF6CF2"/>
    <w:rsid w:val="00C01C84"/>
    <w:rsid w:val="00C05A05"/>
    <w:rsid w:val="00C122B0"/>
    <w:rsid w:val="00C1354A"/>
    <w:rsid w:val="00C17F62"/>
    <w:rsid w:val="00C2121A"/>
    <w:rsid w:val="00C23CFE"/>
    <w:rsid w:val="00C31B17"/>
    <w:rsid w:val="00C34055"/>
    <w:rsid w:val="00C506C2"/>
    <w:rsid w:val="00C60DC8"/>
    <w:rsid w:val="00C67DA4"/>
    <w:rsid w:val="00C709C7"/>
    <w:rsid w:val="00C7562D"/>
    <w:rsid w:val="00C760E0"/>
    <w:rsid w:val="00C773B2"/>
    <w:rsid w:val="00C81EEC"/>
    <w:rsid w:val="00C87446"/>
    <w:rsid w:val="00C90503"/>
    <w:rsid w:val="00CB3324"/>
    <w:rsid w:val="00CB5914"/>
    <w:rsid w:val="00CB6AEE"/>
    <w:rsid w:val="00CC2020"/>
    <w:rsid w:val="00CD0ECC"/>
    <w:rsid w:val="00CD4AFF"/>
    <w:rsid w:val="00CE1EE0"/>
    <w:rsid w:val="00CE6431"/>
    <w:rsid w:val="00CF5080"/>
    <w:rsid w:val="00CF5268"/>
    <w:rsid w:val="00CF6AF8"/>
    <w:rsid w:val="00D00D6A"/>
    <w:rsid w:val="00D02DA5"/>
    <w:rsid w:val="00D04916"/>
    <w:rsid w:val="00D04CE3"/>
    <w:rsid w:val="00D138E3"/>
    <w:rsid w:val="00D2306F"/>
    <w:rsid w:val="00D31A19"/>
    <w:rsid w:val="00D36FDA"/>
    <w:rsid w:val="00D44314"/>
    <w:rsid w:val="00D456D7"/>
    <w:rsid w:val="00D559D7"/>
    <w:rsid w:val="00D56EAC"/>
    <w:rsid w:val="00D60EA1"/>
    <w:rsid w:val="00D7426D"/>
    <w:rsid w:val="00D75CD2"/>
    <w:rsid w:val="00D87720"/>
    <w:rsid w:val="00D87FA6"/>
    <w:rsid w:val="00D93DCD"/>
    <w:rsid w:val="00D95A91"/>
    <w:rsid w:val="00D96C53"/>
    <w:rsid w:val="00D972C4"/>
    <w:rsid w:val="00DA43B7"/>
    <w:rsid w:val="00DB06CB"/>
    <w:rsid w:val="00DB0B9D"/>
    <w:rsid w:val="00DB5C89"/>
    <w:rsid w:val="00DC338E"/>
    <w:rsid w:val="00DD14DC"/>
    <w:rsid w:val="00DD5458"/>
    <w:rsid w:val="00DD7424"/>
    <w:rsid w:val="00DE18E9"/>
    <w:rsid w:val="00DE223A"/>
    <w:rsid w:val="00DF4B8D"/>
    <w:rsid w:val="00E06DEF"/>
    <w:rsid w:val="00E10485"/>
    <w:rsid w:val="00E237D0"/>
    <w:rsid w:val="00E26459"/>
    <w:rsid w:val="00E26CB8"/>
    <w:rsid w:val="00E318D4"/>
    <w:rsid w:val="00E33535"/>
    <w:rsid w:val="00E40C7C"/>
    <w:rsid w:val="00E42C8F"/>
    <w:rsid w:val="00E43952"/>
    <w:rsid w:val="00E500F2"/>
    <w:rsid w:val="00E53B17"/>
    <w:rsid w:val="00E57EE1"/>
    <w:rsid w:val="00E605BB"/>
    <w:rsid w:val="00E72A98"/>
    <w:rsid w:val="00E93448"/>
    <w:rsid w:val="00EB0E59"/>
    <w:rsid w:val="00EB545E"/>
    <w:rsid w:val="00EB7A01"/>
    <w:rsid w:val="00EC3416"/>
    <w:rsid w:val="00EC3665"/>
    <w:rsid w:val="00ED184B"/>
    <w:rsid w:val="00ED2A70"/>
    <w:rsid w:val="00EE0275"/>
    <w:rsid w:val="00EE5FD0"/>
    <w:rsid w:val="00EF16FD"/>
    <w:rsid w:val="00EF3FB7"/>
    <w:rsid w:val="00F01AAF"/>
    <w:rsid w:val="00F03DD6"/>
    <w:rsid w:val="00F06DC8"/>
    <w:rsid w:val="00F15A6E"/>
    <w:rsid w:val="00F239DA"/>
    <w:rsid w:val="00F26423"/>
    <w:rsid w:val="00F42438"/>
    <w:rsid w:val="00F42BC1"/>
    <w:rsid w:val="00F44C5C"/>
    <w:rsid w:val="00F50541"/>
    <w:rsid w:val="00F55557"/>
    <w:rsid w:val="00F56ED9"/>
    <w:rsid w:val="00F56FAC"/>
    <w:rsid w:val="00F605C6"/>
    <w:rsid w:val="00F701E9"/>
    <w:rsid w:val="00F71638"/>
    <w:rsid w:val="00F809AD"/>
    <w:rsid w:val="00F8192E"/>
    <w:rsid w:val="00F87DCB"/>
    <w:rsid w:val="00F92A41"/>
    <w:rsid w:val="00F95A9B"/>
    <w:rsid w:val="00FA4492"/>
    <w:rsid w:val="00FB1447"/>
    <w:rsid w:val="00FC1A0C"/>
    <w:rsid w:val="00FC1E68"/>
    <w:rsid w:val="00FD5C98"/>
    <w:rsid w:val="00FD733C"/>
    <w:rsid w:val="00FE1ABA"/>
    <w:rsid w:val="00FE1FD7"/>
    <w:rsid w:val="00FF150A"/>
    <w:rsid w:val="00FF2855"/>
    <w:rsid w:val="00FF4762"/>
    <w:rsid w:val="00FF5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2E6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CB8"/>
    <w:pPr>
      <w:spacing w:after="200" w:line="276" w:lineRule="auto"/>
    </w:pPr>
  </w:style>
  <w:style w:type="paragraph" w:styleId="Ttulo1">
    <w:name w:val="heading 1"/>
    <w:basedOn w:val="Normal"/>
    <w:next w:val="Normal"/>
    <w:link w:val="Ttulo1Car"/>
    <w:uiPriority w:val="9"/>
    <w:qFormat/>
    <w:rsid w:val="001523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A079D0"/>
    <w:pPr>
      <w:keepNext/>
      <w:outlineLvl w:val="1"/>
    </w:pPr>
    <w:rPr>
      <w:rFonts w:ascii="ITC Avant Garde" w:eastAsia="Times New Roman" w:hAnsi="ITC Avant Garde" w:cs="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54236D"/>
    <w:pPr>
      <w:ind w:left="720"/>
      <w:contextualSpacing/>
    </w:pPr>
    <w:rPr>
      <w:rFonts w:ascii="Calibri" w:eastAsia="Calibri" w:hAnsi="Calibri" w:cs="Times New Roman"/>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54236D"/>
    <w:rPr>
      <w:rFonts w:ascii="Calibri" w:eastAsia="Calibri" w:hAnsi="Calibri" w:cs="Times New Roman"/>
    </w:rPr>
  </w:style>
  <w:style w:type="paragraph" w:styleId="Textonotapie">
    <w:name w:val="footnote text"/>
    <w:basedOn w:val="Normal"/>
    <w:link w:val="TextonotapieCar"/>
    <w:uiPriority w:val="99"/>
    <w:unhideWhenUsed/>
    <w:rsid w:val="001B6221"/>
    <w:pPr>
      <w:spacing w:after="0" w:line="240" w:lineRule="auto"/>
    </w:pPr>
    <w:rPr>
      <w:sz w:val="20"/>
      <w:szCs w:val="20"/>
    </w:rPr>
  </w:style>
  <w:style w:type="character" w:customStyle="1" w:styleId="TextonotapieCar">
    <w:name w:val="Texto nota pie Car"/>
    <w:basedOn w:val="Fuentedeprrafopredeter"/>
    <w:link w:val="Textonotapie"/>
    <w:uiPriority w:val="99"/>
    <w:rsid w:val="001B6221"/>
    <w:rPr>
      <w:sz w:val="20"/>
      <w:szCs w:val="20"/>
    </w:rPr>
  </w:style>
  <w:style w:type="character" w:styleId="Refdenotaalpie">
    <w:name w:val="footnote reference"/>
    <w:basedOn w:val="Fuentedeprrafopredeter"/>
    <w:uiPriority w:val="99"/>
    <w:unhideWhenUsed/>
    <w:rsid w:val="001B6221"/>
    <w:rPr>
      <w:vertAlign w:val="superscript"/>
    </w:rPr>
  </w:style>
  <w:style w:type="paragraph" w:customStyle="1" w:styleId="IFTnormal">
    <w:name w:val="IFT normal"/>
    <w:basedOn w:val="Normal"/>
    <w:link w:val="IFTnormalCar"/>
    <w:qFormat/>
    <w:rsid w:val="00B64527"/>
    <w:pPr>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B64527"/>
    <w:rPr>
      <w:rFonts w:ascii="ITC Avant Garde" w:eastAsia="Calibri" w:hAnsi="ITC Avant Garde" w:cs="Arial"/>
      <w:color w:val="000000"/>
      <w:lang w:val="es-ES_tradnl" w:eastAsia="es-ES"/>
    </w:rPr>
  </w:style>
  <w:style w:type="paragraph" w:styleId="Sinespaciado">
    <w:name w:val="No Spacing"/>
    <w:uiPriority w:val="1"/>
    <w:qFormat/>
    <w:rsid w:val="001608F6"/>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015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599"/>
  </w:style>
  <w:style w:type="paragraph" w:styleId="Piedepgina">
    <w:name w:val="footer"/>
    <w:basedOn w:val="Normal"/>
    <w:link w:val="PiedepginaCar"/>
    <w:uiPriority w:val="99"/>
    <w:unhideWhenUsed/>
    <w:rsid w:val="000015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599"/>
  </w:style>
  <w:style w:type="paragraph" w:customStyle="1" w:styleId="CitaIFT">
    <w:name w:val="Cita IFT"/>
    <w:basedOn w:val="Normal"/>
    <w:link w:val="CitaIFTCar"/>
    <w:qFormat/>
    <w:rsid w:val="00C122B0"/>
    <w:pPr>
      <w:adjustRightInd w:val="0"/>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
    <w:name w:val="Cita IFT Car"/>
    <w:basedOn w:val="Fuentedeprrafopredeter"/>
    <w:link w:val="CitaIFT"/>
    <w:qFormat/>
    <w:rsid w:val="00C122B0"/>
    <w:rPr>
      <w:rFonts w:ascii="ITC Avant Garde" w:eastAsia="Times New Roman" w:hAnsi="ITC Avant Garde" w:cs="Arial"/>
      <w:bCs/>
      <w:i/>
      <w:color w:val="000000"/>
      <w:sz w:val="18"/>
      <w:szCs w:val="18"/>
      <w:lang w:val="es-ES_tradnl" w:eastAsia="es-ES"/>
    </w:rPr>
  </w:style>
  <w:style w:type="table" w:styleId="Tablaconcuadrcula">
    <w:name w:val="Table Grid"/>
    <w:basedOn w:val="Tablanormal"/>
    <w:uiPriority w:val="59"/>
    <w:rsid w:val="005B1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ft0">
    <w:name w:val="Cita ift"/>
    <w:basedOn w:val="Normal"/>
    <w:link w:val="CitaiftCar0"/>
    <w:qFormat/>
    <w:rsid w:val="00FB1447"/>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0">
    <w:name w:val="Cita ift Car"/>
    <w:link w:val="Citaift0"/>
    <w:rsid w:val="00FB1447"/>
    <w:rPr>
      <w:rFonts w:ascii="ITC Avant Garde" w:eastAsia="Times New Roman" w:hAnsi="ITC Avant Garde" w:cs="Arial"/>
      <w:i/>
      <w:color w:val="000000"/>
      <w:sz w:val="18"/>
      <w:szCs w:val="18"/>
      <w:lang w:eastAsia="es-ES"/>
    </w:rPr>
  </w:style>
  <w:style w:type="character" w:customStyle="1" w:styleId="Ttulo2Car">
    <w:name w:val="Título 2 Car"/>
    <w:basedOn w:val="Fuentedeprrafopredeter"/>
    <w:link w:val="Ttulo2"/>
    <w:uiPriority w:val="9"/>
    <w:rsid w:val="00A079D0"/>
    <w:rPr>
      <w:rFonts w:ascii="ITC Avant Garde" w:eastAsia="Times New Roman" w:hAnsi="ITC Avant Garde" w:cs="Times New Roman"/>
      <w:szCs w:val="20"/>
    </w:rPr>
  </w:style>
  <w:style w:type="paragraph" w:customStyle="1" w:styleId="j">
    <w:name w:val="j"/>
    <w:basedOn w:val="Normal"/>
    <w:rsid w:val="000B3C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0B3C8E"/>
  </w:style>
  <w:style w:type="paragraph" w:styleId="Textodeglobo">
    <w:name w:val="Balloon Text"/>
    <w:basedOn w:val="Normal"/>
    <w:link w:val="TextodegloboCar"/>
    <w:uiPriority w:val="99"/>
    <w:semiHidden/>
    <w:unhideWhenUsed/>
    <w:rsid w:val="0022577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25778"/>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BF6CF2"/>
    <w:rPr>
      <w:sz w:val="18"/>
      <w:szCs w:val="18"/>
    </w:rPr>
  </w:style>
  <w:style w:type="paragraph" w:styleId="Textocomentario">
    <w:name w:val="annotation text"/>
    <w:basedOn w:val="Normal"/>
    <w:link w:val="TextocomentarioCar"/>
    <w:uiPriority w:val="99"/>
    <w:semiHidden/>
    <w:unhideWhenUsed/>
    <w:rsid w:val="00BF6CF2"/>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F6CF2"/>
    <w:rPr>
      <w:sz w:val="24"/>
      <w:szCs w:val="24"/>
    </w:rPr>
  </w:style>
  <w:style w:type="paragraph" w:styleId="Asuntodelcomentario">
    <w:name w:val="annotation subject"/>
    <w:basedOn w:val="Textocomentario"/>
    <w:next w:val="Textocomentario"/>
    <w:link w:val="AsuntodelcomentarioCar"/>
    <w:uiPriority w:val="99"/>
    <w:semiHidden/>
    <w:unhideWhenUsed/>
    <w:rsid w:val="00BF6CF2"/>
    <w:rPr>
      <w:b/>
      <w:bCs/>
      <w:sz w:val="20"/>
      <w:szCs w:val="20"/>
    </w:rPr>
  </w:style>
  <w:style w:type="character" w:customStyle="1" w:styleId="AsuntodelcomentarioCar">
    <w:name w:val="Asunto del comentario Car"/>
    <w:basedOn w:val="TextocomentarioCar"/>
    <w:link w:val="Asuntodelcomentario"/>
    <w:uiPriority w:val="99"/>
    <w:semiHidden/>
    <w:rsid w:val="00BF6CF2"/>
    <w:rPr>
      <w:b/>
      <w:bCs/>
      <w:sz w:val="20"/>
      <w:szCs w:val="20"/>
    </w:rPr>
  </w:style>
  <w:style w:type="paragraph" w:customStyle="1" w:styleId="N1IFT">
    <w:name w:val="N1 IFT"/>
    <w:basedOn w:val="Ttulo1"/>
    <w:link w:val="N1IFTCar"/>
    <w:autoRedefine/>
    <w:qFormat/>
    <w:rsid w:val="00152339"/>
    <w:pPr>
      <w:keepNext w:val="0"/>
      <w:keepLines w:val="0"/>
      <w:spacing w:before="0" w:line="240" w:lineRule="auto"/>
      <w:jc w:val="both"/>
    </w:pPr>
    <w:rPr>
      <w:rFonts w:ascii="ITC Avant Garde" w:eastAsia="Calibri" w:hAnsi="ITC Avant Garde" w:cs="Arial"/>
      <w:snapToGrid w:val="0"/>
      <w:color w:val="auto"/>
      <w:sz w:val="22"/>
      <w:szCs w:val="22"/>
      <w:lang w:val="es-ES" w:eastAsia="es-ES"/>
    </w:rPr>
  </w:style>
  <w:style w:type="character" w:customStyle="1" w:styleId="N1IFTCar">
    <w:name w:val="N1 IFT Car"/>
    <w:basedOn w:val="Fuentedeprrafopredeter"/>
    <w:link w:val="N1IFT"/>
    <w:rsid w:val="00152339"/>
    <w:rPr>
      <w:rFonts w:ascii="ITC Avant Garde" w:eastAsia="Calibri" w:hAnsi="ITC Avant Garde" w:cs="Arial"/>
      <w:snapToGrid w:val="0"/>
      <w:lang w:val="es-ES" w:eastAsia="es-ES"/>
    </w:rPr>
  </w:style>
  <w:style w:type="character" w:customStyle="1" w:styleId="Ttulo1Car">
    <w:name w:val="Título 1 Car"/>
    <w:basedOn w:val="Fuentedeprrafopredeter"/>
    <w:link w:val="Ttulo1"/>
    <w:uiPriority w:val="9"/>
    <w:rsid w:val="00152339"/>
    <w:rPr>
      <w:rFonts w:asciiTheme="majorHAnsi" w:eastAsiaTheme="majorEastAsia" w:hAnsiTheme="majorHAnsi" w:cstheme="majorBidi"/>
      <w:color w:val="2E74B5" w:themeColor="accent1" w:themeShade="BF"/>
      <w:sz w:val="32"/>
      <w:szCs w:val="32"/>
    </w:rPr>
  </w:style>
  <w:style w:type="paragraph" w:styleId="Descripcin">
    <w:name w:val="caption"/>
    <w:basedOn w:val="Normal"/>
    <w:next w:val="Normal"/>
    <w:uiPriority w:val="35"/>
    <w:unhideWhenUsed/>
    <w:qFormat/>
    <w:rsid w:val="00996804"/>
    <w:pPr>
      <w:spacing w:line="240" w:lineRule="auto"/>
    </w:pPr>
    <w:rPr>
      <w:i/>
      <w:iCs/>
      <w:color w:val="44546A" w:themeColor="text2"/>
      <w:sz w:val="18"/>
      <w:szCs w:val="18"/>
    </w:rPr>
  </w:style>
  <w:style w:type="table" w:styleId="Cuadrculadetablaclara">
    <w:name w:val="Grid Table Light"/>
    <w:basedOn w:val="Tablanormal"/>
    <w:uiPriority w:val="40"/>
    <w:rsid w:val="00F56F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929748">
      <w:bodyDiv w:val="1"/>
      <w:marLeft w:val="0"/>
      <w:marRight w:val="0"/>
      <w:marTop w:val="0"/>
      <w:marBottom w:val="0"/>
      <w:divBdr>
        <w:top w:val="none" w:sz="0" w:space="0" w:color="auto"/>
        <w:left w:val="none" w:sz="0" w:space="0" w:color="auto"/>
        <w:bottom w:val="none" w:sz="0" w:space="0" w:color="auto"/>
        <w:right w:val="none" w:sz="0" w:space="0" w:color="auto"/>
      </w:divBdr>
    </w:div>
    <w:div w:id="18630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F9C0A-A029-48AA-A73C-10890850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5432</Words>
  <Characters>29880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Maria del Consuelo Gonzalez Moreno</cp:lastModifiedBy>
  <cp:revision>10</cp:revision>
  <dcterms:created xsi:type="dcterms:W3CDTF">2018-01-23T15:57:00Z</dcterms:created>
  <dcterms:modified xsi:type="dcterms:W3CDTF">2018-02-22T17:29:00Z</dcterms:modified>
</cp:coreProperties>
</file>