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3B177" w14:textId="5E2B537C" w:rsidR="007734C1" w:rsidRPr="00546310" w:rsidRDefault="007734C1" w:rsidP="00546310">
      <w:pPr>
        <w:pStyle w:val="Ttulo1"/>
        <w:jc w:val="both"/>
        <w:rPr>
          <w:rFonts w:ascii="ITC Avant Garde" w:eastAsia="Times New Roman" w:hAnsi="ITC Avant Garde"/>
          <w:b/>
          <w:color w:val="000000" w:themeColor="text1"/>
          <w:sz w:val="22"/>
          <w:szCs w:val="22"/>
        </w:rPr>
      </w:pPr>
      <w:bookmarkStart w:id="0" w:name="_GoBack"/>
      <w:bookmarkEnd w:id="0"/>
      <w:r w:rsidRPr="00546310">
        <w:rPr>
          <w:rFonts w:ascii="ITC Avant Garde" w:eastAsia="Times New Roman" w:hAnsi="ITC Avant Garde"/>
          <w:b/>
          <w:color w:val="000000" w:themeColor="text1"/>
          <w:sz w:val="22"/>
          <w:szCs w:val="22"/>
        </w:rPr>
        <w:t xml:space="preserve">ACUERDO MEDIANTE EL CUAL EL PLENO DEL INSTITUTO FEDERAL DE TELECOMUNICACIONES </w:t>
      </w:r>
      <w:r w:rsidR="00D23DB1" w:rsidRPr="00546310">
        <w:rPr>
          <w:rFonts w:ascii="ITC Avant Garde" w:eastAsia="Times New Roman" w:hAnsi="ITC Avant Garde"/>
          <w:b/>
          <w:color w:val="000000" w:themeColor="text1"/>
          <w:sz w:val="22"/>
          <w:szCs w:val="22"/>
        </w:rPr>
        <w:t xml:space="preserve">DETERMINA EL </w:t>
      </w:r>
      <w:r w:rsidR="006C20DB" w:rsidRPr="00546310">
        <w:rPr>
          <w:rFonts w:ascii="ITC Avant Garde" w:eastAsia="Times New Roman" w:hAnsi="ITC Avant Garde"/>
          <w:b/>
          <w:color w:val="000000" w:themeColor="text1"/>
          <w:sz w:val="22"/>
          <w:szCs w:val="22"/>
        </w:rPr>
        <w:t>INICI</w:t>
      </w:r>
      <w:r w:rsidR="00864A17" w:rsidRPr="00546310">
        <w:rPr>
          <w:rFonts w:ascii="ITC Avant Garde" w:eastAsia="Times New Roman" w:hAnsi="ITC Avant Garde"/>
          <w:b/>
          <w:color w:val="000000" w:themeColor="text1"/>
          <w:sz w:val="22"/>
          <w:szCs w:val="22"/>
        </w:rPr>
        <w:t>O DE</w:t>
      </w:r>
      <w:r w:rsidRPr="00546310">
        <w:rPr>
          <w:rFonts w:ascii="ITC Avant Garde" w:eastAsia="Times New Roman" w:hAnsi="ITC Avant Garde"/>
          <w:b/>
          <w:color w:val="000000" w:themeColor="text1"/>
          <w:sz w:val="22"/>
          <w:szCs w:val="22"/>
        </w:rPr>
        <w:t xml:space="preserve"> </w:t>
      </w:r>
      <w:r w:rsidR="00864A17" w:rsidRPr="00546310">
        <w:rPr>
          <w:rFonts w:ascii="ITC Avant Garde" w:eastAsia="Times New Roman" w:hAnsi="ITC Avant Garde"/>
          <w:b/>
          <w:color w:val="000000" w:themeColor="text1"/>
          <w:sz w:val="22"/>
          <w:szCs w:val="22"/>
        </w:rPr>
        <w:t>LA</w:t>
      </w:r>
      <w:r w:rsidRPr="00546310">
        <w:rPr>
          <w:rFonts w:ascii="ITC Avant Garde" w:eastAsia="Times New Roman" w:hAnsi="ITC Avant Garde"/>
          <w:b/>
          <w:color w:val="000000" w:themeColor="text1"/>
          <w:sz w:val="22"/>
          <w:szCs w:val="22"/>
        </w:rPr>
        <w:t xml:space="preserve"> CONSULTA PÚBLI</w:t>
      </w:r>
      <w:r w:rsidR="007E7488" w:rsidRPr="00546310">
        <w:rPr>
          <w:rFonts w:ascii="ITC Avant Garde" w:eastAsia="Times New Roman" w:hAnsi="ITC Avant Garde"/>
          <w:b/>
          <w:color w:val="000000" w:themeColor="text1"/>
          <w:sz w:val="22"/>
          <w:szCs w:val="22"/>
        </w:rPr>
        <w:t>CA</w:t>
      </w:r>
      <w:r w:rsidR="00D23DB1" w:rsidRPr="00546310">
        <w:rPr>
          <w:rFonts w:ascii="ITC Avant Garde" w:eastAsia="Times New Roman" w:hAnsi="ITC Avant Garde"/>
          <w:b/>
          <w:color w:val="000000" w:themeColor="text1"/>
          <w:sz w:val="22"/>
          <w:szCs w:val="22"/>
        </w:rPr>
        <w:t>,</w:t>
      </w:r>
      <w:r w:rsidR="007E7488" w:rsidRPr="00546310">
        <w:rPr>
          <w:rFonts w:ascii="ITC Avant Garde" w:eastAsia="Times New Roman" w:hAnsi="ITC Avant Garde"/>
          <w:b/>
          <w:color w:val="000000" w:themeColor="text1"/>
          <w:sz w:val="22"/>
          <w:szCs w:val="22"/>
        </w:rPr>
        <w:t xml:space="preserve"> </w:t>
      </w:r>
      <w:r w:rsidR="00D23DB1" w:rsidRPr="00546310">
        <w:rPr>
          <w:rFonts w:ascii="ITC Avant Garde" w:eastAsia="Times New Roman" w:hAnsi="ITC Avant Garde"/>
          <w:b/>
          <w:color w:val="000000" w:themeColor="text1"/>
          <w:sz w:val="22"/>
          <w:szCs w:val="22"/>
        </w:rPr>
        <w:t xml:space="preserve">EN RELACIÓN CON LA </w:t>
      </w:r>
      <w:r w:rsidR="00EB3366" w:rsidRPr="00546310">
        <w:rPr>
          <w:rFonts w:ascii="ITC Avant Garde" w:eastAsia="Times New Roman" w:hAnsi="ITC Avant Garde"/>
          <w:b/>
          <w:color w:val="000000" w:themeColor="text1"/>
          <w:sz w:val="22"/>
          <w:szCs w:val="22"/>
        </w:rPr>
        <w:t xml:space="preserve">EFECTIVIDAD EN TERMINOS DE COMPETENCIA </w:t>
      </w:r>
      <w:r w:rsidR="00D23DB1" w:rsidRPr="00546310">
        <w:rPr>
          <w:rFonts w:ascii="ITC Avant Garde" w:eastAsia="Times New Roman" w:hAnsi="ITC Avant Garde"/>
          <w:b/>
          <w:color w:val="000000" w:themeColor="text1"/>
          <w:sz w:val="22"/>
          <w:szCs w:val="22"/>
        </w:rPr>
        <w:t xml:space="preserve">DE </w:t>
      </w:r>
      <w:r w:rsidR="007E7488" w:rsidRPr="00546310">
        <w:rPr>
          <w:rFonts w:ascii="ITC Avant Garde" w:eastAsia="Times New Roman" w:hAnsi="ITC Avant Garde"/>
          <w:b/>
          <w:color w:val="000000" w:themeColor="text1"/>
          <w:sz w:val="22"/>
          <w:szCs w:val="22"/>
        </w:rPr>
        <w:t xml:space="preserve">LAS MEDIDAS </w:t>
      </w:r>
      <w:r w:rsidR="00D23DB1" w:rsidRPr="00546310">
        <w:rPr>
          <w:rFonts w:ascii="ITC Avant Garde" w:eastAsia="Times New Roman" w:hAnsi="ITC Avant Garde"/>
          <w:b/>
          <w:color w:val="000000" w:themeColor="text1"/>
          <w:sz w:val="22"/>
          <w:szCs w:val="22"/>
        </w:rPr>
        <w:t>IMPUESTAS</w:t>
      </w:r>
      <w:r w:rsidR="007E7488" w:rsidRPr="00546310">
        <w:rPr>
          <w:rFonts w:ascii="ITC Avant Garde" w:eastAsia="Times New Roman" w:hAnsi="ITC Avant Garde"/>
          <w:b/>
          <w:color w:val="000000" w:themeColor="text1"/>
          <w:sz w:val="22"/>
          <w:szCs w:val="22"/>
        </w:rPr>
        <w:t xml:space="preserve"> AL AGENTE ECONÓMICO PREPONDERANTE EN </w:t>
      </w:r>
      <w:r w:rsidR="00D23DB1" w:rsidRPr="00546310">
        <w:rPr>
          <w:rFonts w:ascii="ITC Avant Garde" w:eastAsia="Times New Roman" w:hAnsi="ITC Avant Garde"/>
          <w:b/>
          <w:color w:val="000000" w:themeColor="text1"/>
          <w:sz w:val="22"/>
          <w:szCs w:val="22"/>
        </w:rPr>
        <w:t xml:space="preserve">EL SECTOR DE LAS </w:t>
      </w:r>
      <w:r w:rsidR="007E7488" w:rsidRPr="00546310">
        <w:rPr>
          <w:rFonts w:ascii="ITC Avant Garde" w:eastAsia="Times New Roman" w:hAnsi="ITC Avant Garde"/>
          <w:b/>
          <w:color w:val="000000" w:themeColor="text1"/>
          <w:sz w:val="22"/>
          <w:szCs w:val="22"/>
        </w:rPr>
        <w:t>TELECOMUNICACIONES.</w:t>
      </w:r>
    </w:p>
    <w:p w14:paraId="1AD3B179" w14:textId="77777777" w:rsidR="00017D37" w:rsidRPr="001112AD" w:rsidRDefault="00017D37" w:rsidP="007734C1">
      <w:pPr>
        <w:widowControl w:val="0"/>
        <w:spacing w:after="0"/>
        <w:jc w:val="both"/>
        <w:rPr>
          <w:rFonts w:ascii="ITC Avant Garde" w:eastAsia="Times New Roman" w:hAnsi="ITC Avant Garde"/>
        </w:rPr>
      </w:pPr>
    </w:p>
    <w:p w14:paraId="1AD3B17A" w14:textId="2C191D4C" w:rsidR="007734C1" w:rsidRPr="00546310" w:rsidRDefault="007734C1" w:rsidP="00546310">
      <w:pPr>
        <w:pStyle w:val="Ttulo2"/>
        <w:jc w:val="center"/>
        <w:rPr>
          <w:rFonts w:ascii="ITC Avant Garde" w:eastAsia="Times New Roman" w:hAnsi="ITC Avant Garde"/>
          <w:b/>
          <w:color w:val="000000" w:themeColor="text1"/>
          <w:sz w:val="22"/>
          <w:szCs w:val="22"/>
        </w:rPr>
      </w:pPr>
      <w:r w:rsidRPr="00546310">
        <w:rPr>
          <w:rFonts w:ascii="ITC Avant Garde" w:eastAsia="Times New Roman" w:hAnsi="ITC Avant Garde"/>
          <w:b/>
          <w:color w:val="000000" w:themeColor="text1"/>
          <w:sz w:val="22"/>
          <w:szCs w:val="22"/>
        </w:rPr>
        <w:t>ANTECEDENTES</w:t>
      </w:r>
    </w:p>
    <w:p w14:paraId="1AD3B17C" w14:textId="77777777" w:rsidR="007734C1" w:rsidRPr="001112AD" w:rsidRDefault="007734C1" w:rsidP="007734C1">
      <w:pPr>
        <w:widowControl w:val="0"/>
        <w:spacing w:after="0"/>
        <w:jc w:val="both"/>
        <w:rPr>
          <w:rFonts w:ascii="ITC Avant Garde" w:eastAsia="Times New Roman" w:hAnsi="ITC Avant Garde"/>
        </w:rPr>
      </w:pPr>
    </w:p>
    <w:p w14:paraId="1AD3B17D" w14:textId="77777777" w:rsidR="007734C1" w:rsidRPr="001112AD" w:rsidRDefault="007734C1" w:rsidP="007734C1">
      <w:pPr>
        <w:pStyle w:val="Prrafodelista"/>
        <w:widowControl w:val="0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1112AD">
        <w:rPr>
          <w:rFonts w:ascii="ITC Avant Garde" w:eastAsia="Times New Roman" w:hAnsi="ITC Avant Garde"/>
          <w:sz w:val="22"/>
          <w:szCs w:val="22"/>
        </w:rPr>
        <w:t>El 11 de junio de 2013, se publicó en el Diario Oficial de la Federación (</w:t>
      </w:r>
      <w:r w:rsidR="003D202A"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en adelante, el </w:t>
      </w:r>
      <w:r w:rsidRPr="001112AD">
        <w:rPr>
          <w:rFonts w:ascii="ITC Avant Garde" w:eastAsia="Times New Roman" w:hAnsi="ITC Avant Garde"/>
          <w:sz w:val="22"/>
          <w:szCs w:val="22"/>
        </w:rPr>
        <w:t>DOF), el “</w:t>
      </w:r>
      <w:r w:rsidRPr="001112AD">
        <w:rPr>
          <w:rFonts w:ascii="ITC Avant Garde" w:eastAsia="Times New Roman" w:hAnsi="ITC Avant Garde"/>
          <w:i/>
          <w:sz w:val="22"/>
          <w:szCs w:val="22"/>
        </w:rPr>
        <w:t>DECRETO por el que se reforman y adicionan diversas disposiciones de los artículos 6o., 7o., 27, 28, 73, 78, 94 y 105 de la Constitución Política de los Estados Unidos Mexicanos, en materia de telecomunicaciones</w:t>
      </w:r>
      <w:r w:rsidRPr="001112AD">
        <w:rPr>
          <w:rFonts w:ascii="ITC Avant Garde" w:eastAsia="Times New Roman" w:hAnsi="ITC Avant Garde"/>
          <w:sz w:val="22"/>
          <w:szCs w:val="22"/>
        </w:rPr>
        <w:t>” (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en lo sucesivo, el </w:t>
      </w:r>
      <w:r w:rsidRPr="001112AD">
        <w:rPr>
          <w:rFonts w:ascii="ITC Avant Garde" w:eastAsia="Times New Roman" w:hAnsi="ITC Avant Garde"/>
          <w:sz w:val="22"/>
          <w:szCs w:val="22"/>
        </w:rPr>
        <w:t>Decreto), mediante el cual se creó al Instituto Federal de Telecomunicaciones (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en adelante, el </w:t>
      </w:r>
      <w:r w:rsidRPr="001112AD">
        <w:rPr>
          <w:rFonts w:ascii="ITC Avant Garde" w:eastAsia="Times New Roman" w:hAnsi="ITC Avant Garde"/>
          <w:sz w:val="22"/>
          <w:szCs w:val="22"/>
        </w:rPr>
        <w:t>Instituto), como un órgano autónomo con personalidad jurídica y patrimonio propio, cuyo objeto es el desarrollo eficiente de la radiodifusión y las telecomunicaciones conforme a lo dispuesto en la propia Constitución Política de los Estados Unidos Mexicanos (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en lo sucesivo, la </w:t>
      </w:r>
      <w:r w:rsidRPr="001112AD">
        <w:rPr>
          <w:rFonts w:ascii="ITC Avant Garde" w:eastAsia="Times New Roman" w:hAnsi="ITC Avant Garde"/>
          <w:sz w:val="22"/>
          <w:szCs w:val="22"/>
        </w:rPr>
        <w:t>Constitución) y en los términos que fijen las leyes, teniendo a su cargo la regulación, promoción y supervisión del uso, aprovechamiento y explotación del espectro radioeléctrico, las redes y la prestación de los servicios de radiodifusión y telecomunicaciones, así como del acceso a infraestructura activa, pasiva y otros insumos esenciales, garantizando lo establecido en los artículos 6o. y 7o. de la Constitución.</w:t>
      </w:r>
    </w:p>
    <w:p w14:paraId="1AD3B17F" w14:textId="77777777" w:rsidR="007734C1" w:rsidRPr="001112AD" w:rsidRDefault="007734C1" w:rsidP="007734C1">
      <w:pPr>
        <w:pStyle w:val="Prrafodelista"/>
        <w:widowControl w:val="0"/>
        <w:numPr>
          <w:ilvl w:val="0"/>
          <w:numId w:val="1"/>
        </w:numPr>
        <w:spacing w:after="0"/>
        <w:jc w:val="both"/>
        <w:rPr>
          <w:rFonts w:ascii="ITC Avant Garde" w:eastAsia="Times New Roman" w:hAnsi="ITC Avant Garde"/>
          <w:sz w:val="22"/>
          <w:szCs w:val="22"/>
        </w:rPr>
      </w:pPr>
      <w:r w:rsidRPr="001112AD">
        <w:rPr>
          <w:rFonts w:ascii="ITC Avant Garde" w:eastAsia="Times New Roman" w:hAnsi="ITC Avant Garde"/>
          <w:sz w:val="22"/>
          <w:szCs w:val="22"/>
        </w:rPr>
        <w:t>El 6 de marzo de 2014, el Pleno del Instituto en su V Sesión Extraordinaria,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 </w:t>
      </w:r>
      <w:r w:rsidRPr="001112AD">
        <w:rPr>
          <w:rFonts w:ascii="ITC Avant Garde" w:eastAsia="Times New Roman" w:hAnsi="ITC Avant Garde"/>
          <w:sz w:val="22"/>
          <w:szCs w:val="22"/>
        </w:rPr>
        <w:t>aprobó mediante Acuerdo P/IFT/EXT/060314/76 la "RESOLUCIÓN ME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DIANTE LA CUAL </w:t>
      </w:r>
      <w:r w:rsidRPr="001112AD">
        <w:rPr>
          <w:rFonts w:ascii="ITC Avant Garde" w:eastAsia="Times New Roman" w:hAnsi="ITC Avant Garde"/>
          <w:sz w:val="22"/>
          <w:szCs w:val="22"/>
        </w:rPr>
        <w:t>EL PLENO DEL INSTI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>TUTO</w:t>
      </w:r>
      <w:r w:rsidRPr="001112AD">
        <w:rPr>
          <w:rFonts w:ascii="ITC Avant Garde" w:eastAsia="Times New Roman" w:hAnsi="ITC Avant Garde"/>
          <w:sz w:val="22"/>
          <w:szCs w:val="22"/>
        </w:rPr>
        <w:t xml:space="preserve"> FEDERAL DE TE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LECOMUNICACIONES DETERMINA AL GRUPO </w:t>
      </w:r>
      <w:r w:rsidRPr="001112AD">
        <w:rPr>
          <w:rFonts w:ascii="ITC Avant Garde" w:eastAsia="Times New Roman" w:hAnsi="ITC Avant Garde"/>
          <w:sz w:val="22"/>
          <w:szCs w:val="22"/>
        </w:rPr>
        <w:t xml:space="preserve">DE 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INTERÉS </w:t>
      </w:r>
      <w:r w:rsidRPr="001112AD">
        <w:rPr>
          <w:rFonts w:ascii="ITC Avant Garde" w:eastAsia="Times New Roman" w:hAnsi="ITC Avant Garde"/>
          <w:sz w:val="22"/>
          <w:szCs w:val="22"/>
        </w:rPr>
        <w:t>EC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>ONÓMICO</w:t>
      </w:r>
      <w:r w:rsidRPr="001112AD">
        <w:rPr>
          <w:rFonts w:ascii="ITC Avant Garde" w:eastAsia="Times New Roman" w:hAnsi="ITC Avant Garde"/>
          <w:sz w:val="22"/>
          <w:szCs w:val="22"/>
        </w:rPr>
        <w:t xml:space="preserve"> DE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L QUE </w:t>
      </w:r>
      <w:r w:rsidRPr="001112AD">
        <w:rPr>
          <w:rFonts w:ascii="ITC Avant Garde" w:eastAsia="Times New Roman" w:hAnsi="ITC Avant Garde"/>
          <w:sz w:val="22"/>
          <w:szCs w:val="22"/>
        </w:rPr>
        <w:t>FORMAN PARTE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 </w:t>
      </w:r>
      <w:r w:rsidRPr="001112AD">
        <w:rPr>
          <w:rFonts w:ascii="ITC Avant Garde" w:eastAsia="Times New Roman" w:hAnsi="ITC Avant Garde"/>
          <w:sz w:val="22"/>
          <w:szCs w:val="22"/>
        </w:rPr>
        <w:t>AM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>É</w:t>
      </w:r>
      <w:r w:rsidRPr="001112AD">
        <w:rPr>
          <w:rFonts w:ascii="ITC Avant Garde" w:eastAsia="Times New Roman" w:hAnsi="ITC Avant Garde"/>
          <w:sz w:val="22"/>
          <w:szCs w:val="22"/>
        </w:rPr>
        <w:t>RICA M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>Ó</w:t>
      </w:r>
      <w:r w:rsidRPr="001112AD">
        <w:rPr>
          <w:rFonts w:ascii="ITC Avant Garde" w:eastAsia="Times New Roman" w:hAnsi="ITC Avant Garde"/>
          <w:sz w:val="22"/>
          <w:szCs w:val="22"/>
        </w:rPr>
        <w:t>VIL, S.A.B. DE C.V., TEL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>É</w:t>
      </w:r>
      <w:r w:rsidRPr="001112AD">
        <w:rPr>
          <w:rFonts w:ascii="ITC Avant Garde" w:eastAsia="Times New Roman" w:hAnsi="ITC Avant Garde"/>
          <w:sz w:val="22"/>
          <w:szCs w:val="22"/>
        </w:rPr>
        <w:t>FONOS DE MEXICO, S.A.B. DE C.V.,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 </w:t>
      </w:r>
      <w:r w:rsidRPr="001112AD">
        <w:rPr>
          <w:rFonts w:ascii="ITC Avant Garde" w:eastAsia="Times New Roman" w:hAnsi="ITC Avant Garde"/>
          <w:sz w:val="22"/>
          <w:szCs w:val="22"/>
        </w:rPr>
        <w:t>TELÉFONOS DEL NOROESTE, S.A. DE C.V., RA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>D</w:t>
      </w:r>
      <w:r w:rsidRPr="001112AD">
        <w:rPr>
          <w:rFonts w:ascii="ITC Avant Garde" w:eastAsia="Times New Roman" w:hAnsi="ITC Avant Garde"/>
          <w:sz w:val="22"/>
          <w:szCs w:val="22"/>
        </w:rPr>
        <w:t xml:space="preserve">IOMÓVIL 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>D</w:t>
      </w:r>
      <w:r w:rsidRPr="001112AD">
        <w:rPr>
          <w:rFonts w:ascii="ITC Avant Garde" w:eastAsia="Times New Roman" w:hAnsi="ITC Avant Garde"/>
          <w:sz w:val="22"/>
          <w:szCs w:val="22"/>
        </w:rPr>
        <w:t>IPSA, S.A.B. DE C.V.,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 </w:t>
      </w:r>
      <w:r w:rsidRPr="001112AD">
        <w:rPr>
          <w:rFonts w:ascii="ITC Avant Garde" w:eastAsia="Times New Roman" w:hAnsi="ITC Avant Garde"/>
          <w:sz w:val="22"/>
          <w:szCs w:val="22"/>
        </w:rPr>
        <w:t>GRUPO CARSO, S.A.B. DE C.V., Y GRUPO FINANCIERO INBURSA, S.A.B. DE C.V., COMO AGENTE ECON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>ÓMICO</w:t>
      </w:r>
      <w:r w:rsidRPr="001112AD">
        <w:rPr>
          <w:rFonts w:ascii="ITC Avant Garde" w:eastAsia="Times New Roman" w:hAnsi="ITC Avant Garde"/>
          <w:sz w:val="22"/>
          <w:szCs w:val="22"/>
        </w:rPr>
        <w:t xml:space="preserve"> PREPONDERANTE EN EL SECTOR DE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 </w:t>
      </w:r>
      <w:r w:rsidRPr="001112AD">
        <w:rPr>
          <w:rFonts w:ascii="ITC Avant Garde" w:eastAsia="Times New Roman" w:hAnsi="ITC Avant Garde"/>
          <w:sz w:val="22"/>
          <w:szCs w:val="22"/>
        </w:rPr>
        <w:t>TELECOMUNICACIONES Y LE IMPONE LAS MEDIDAS NECESARIAS PARA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 </w:t>
      </w:r>
      <w:r w:rsidRPr="001112AD">
        <w:rPr>
          <w:rFonts w:ascii="ITC Avant Garde" w:eastAsia="Times New Roman" w:hAnsi="ITC Avant Garde"/>
          <w:sz w:val="22"/>
          <w:szCs w:val="22"/>
        </w:rPr>
        <w:t>EVITAR QUE SE AFECTE LA COMPETENCIA Y LA LIBRE CONCURREN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>CIA</w:t>
      </w:r>
      <w:r w:rsidRPr="001112AD">
        <w:rPr>
          <w:rFonts w:ascii="ITC Avant Garde" w:eastAsia="Times New Roman" w:hAnsi="ITC Avant Garde"/>
          <w:sz w:val="22"/>
          <w:szCs w:val="22"/>
        </w:rPr>
        <w:t xml:space="preserve">." 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(sic) </w:t>
      </w:r>
      <w:r w:rsidRPr="001112AD">
        <w:rPr>
          <w:rFonts w:ascii="ITC Avant Garde" w:eastAsia="Times New Roman" w:hAnsi="ITC Avant Garde"/>
          <w:sz w:val="22"/>
          <w:szCs w:val="22"/>
        </w:rPr>
        <w:t>(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>en lo sucesivo</w:t>
      </w:r>
      <w:r w:rsidR="00906FF1" w:rsidRPr="001112AD">
        <w:rPr>
          <w:rFonts w:ascii="ITC Avant Garde" w:eastAsia="Times New Roman" w:hAnsi="ITC Avant Garde"/>
          <w:sz w:val="22"/>
          <w:szCs w:val="22"/>
          <w:lang w:val="es-MX"/>
        </w:rPr>
        <w:t>,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 la </w:t>
      </w:r>
      <w:r w:rsidRPr="001112AD">
        <w:rPr>
          <w:rFonts w:ascii="ITC Avant Garde" w:eastAsia="Times New Roman" w:hAnsi="ITC Avant Garde"/>
          <w:sz w:val="22"/>
          <w:szCs w:val="22"/>
        </w:rPr>
        <w:lastRenderedPageBreak/>
        <w:t xml:space="preserve">Resolución 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de </w:t>
      </w:r>
      <w:r w:rsidRPr="001112AD">
        <w:rPr>
          <w:rFonts w:ascii="ITC Avant Garde" w:eastAsia="Times New Roman" w:hAnsi="ITC Avant Garde"/>
          <w:sz w:val="22"/>
          <w:szCs w:val="22"/>
        </w:rPr>
        <w:t>AEP).</w:t>
      </w:r>
    </w:p>
    <w:p w14:paraId="1AD3B181" w14:textId="77777777" w:rsidR="007734C1" w:rsidRPr="001112AD" w:rsidRDefault="007734C1" w:rsidP="007734C1">
      <w:pPr>
        <w:pStyle w:val="Prrafodelista"/>
        <w:widowControl w:val="0"/>
        <w:spacing w:after="0"/>
        <w:ind w:left="1080"/>
        <w:jc w:val="both"/>
        <w:rPr>
          <w:rFonts w:ascii="ITC Avant Garde" w:eastAsia="Times New Roman" w:hAnsi="ITC Avant Garde"/>
          <w:sz w:val="22"/>
          <w:szCs w:val="22"/>
          <w:lang w:val="es-MX"/>
        </w:rPr>
      </w:pPr>
      <w:r w:rsidRPr="001112AD">
        <w:rPr>
          <w:rFonts w:ascii="ITC Avant Garde" w:eastAsia="Times New Roman" w:hAnsi="ITC Avant Garde"/>
          <w:sz w:val="22"/>
          <w:szCs w:val="22"/>
          <w:lang w:val="es-MX"/>
        </w:rPr>
        <w:t>En la Resolución de AEP el Pleno del Instituto emitió el Anexo 1 denominado “MEDIDAS RELACIONADAS CON INFORMACIÓN, OFERTA Y CALIDAD DE SERVICIOS, ACUERDOS EN EXCLUSIVA, LIMITACIONES AL USO DE EQUIPOS TERMINALES ENTRE REDES, REGULACIÓN ASIMÉTRICA EN TARIFAS E INFRAESTRUCTURA DE RED, INCLUYENDO LA DESAGREGACIÓN DE SUS ELEMENTOS ESENCIALES Y, EN SU CASO, LA SEPARACIÓN CONTABLE, FUNCIONAL O ESTRUCTURAL AL AGENTE ECONÓMICO PREPONDERANTE, EN LOS SERVICIOS DE TELECOMUNICACIONES MÓVILES” (en adelante, las Medidas Móviles).</w:t>
      </w:r>
    </w:p>
    <w:p w14:paraId="1AD3B183" w14:textId="77777777" w:rsidR="007734C1" w:rsidRPr="001112AD" w:rsidRDefault="007734C1" w:rsidP="007734C1">
      <w:pPr>
        <w:pStyle w:val="Prrafodelista"/>
        <w:widowControl w:val="0"/>
        <w:spacing w:after="0"/>
        <w:ind w:left="1080"/>
        <w:jc w:val="both"/>
        <w:rPr>
          <w:rFonts w:ascii="ITC Avant Garde" w:eastAsia="Times New Roman" w:hAnsi="ITC Avant Garde"/>
          <w:sz w:val="22"/>
          <w:szCs w:val="22"/>
          <w:lang w:val="es-MX"/>
        </w:rPr>
      </w:pPr>
      <w:r w:rsidRPr="001112AD">
        <w:rPr>
          <w:rFonts w:ascii="ITC Avant Garde" w:eastAsia="Times New Roman" w:hAnsi="ITC Avant Garde"/>
          <w:sz w:val="22"/>
          <w:szCs w:val="22"/>
          <w:lang w:val="es-MX"/>
        </w:rPr>
        <w:t>Asimismo, la Resolución de AEP contiene, entre otros, el Anexo 2 denominado “MEDIDAS RELACIONADAS CON INFORMACIÓN, OFERTA Y CALIDAD DE SERVICIOS, ACUERDOS EN EXCLUSIVA, LIMITACIONES AL USO DE EQUIPOS TERMINALES ENTRE REDES, REGULACIÓN ASIMÉTRICA EN TARIFAS E INFRAESTRUCTURA DE RED, INCLUYENDO LA DESAGREGACIÓN DE SUS ELEMENTOS ESENCIALES Y, EN SU CASO, LA SEPARACIÓN CONTABLE, FUNCIONAL O ESTRUCTURAL AL AGENTE ECONÓMICO PREPONDERANTE EN LOS SERVICIOS DE TELECOMUNICACIONES FIJOS” (en lo sucesivo, las Medidas Fijas).</w:t>
      </w:r>
    </w:p>
    <w:p w14:paraId="1AD3B185" w14:textId="77777777" w:rsidR="007734C1" w:rsidRPr="001112AD" w:rsidRDefault="007734C1" w:rsidP="007734C1">
      <w:pPr>
        <w:pStyle w:val="Prrafodelista"/>
        <w:widowControl w:val="0"/>
        <w:spacing w:after="0"/>
        <w:ind w:left="1080"/>
        <w:jc w:val="both"/>
        <w:rPr>
          <w:rFonts w:ascii="ITC Avant Garde" w:eastAsia="Times New Roman" w:hAnsi="ITC Avant Garde"/>
          <w:sz w:val="22"/>
          <w:szCs w:val="22"/>
          <w:lang w:val="es-MX"/>
        </w:rPr>
      </w:pPr>
      <w:r w:rsidRPr="001112AD">
        <w:rPr>
          <w:rFonts w:ascii="ITC Avant Garde" w:eastAsia="Times New Roman" w:hAnsi="ITC Avant Garde"/>
          <w:sz w:val="22"/>
          <w:szCs w:val="22"/>
          <w:lang w:val="es-MX"/>
        </w:rPr>
        <w:t>De igual forma, la mencionada Resolución contiene el Anexo 3 denominado “MEDIDAS QUE PERMITEN LA DESAGREGACIÓN EFECTIVA DE LA RED LOCAL DEL AGENTE ECONÓMICO PREPONDERANTE EN TELECOMUNICACIONES DE MANERA QUE OTROS CONCESIONARIOS DE TELECOMUNICACIONES PUEDAN ACCEDER, ENTRE OTROS, A LOS MEDIOS FÍSICOS, TÉCNICOS Y LÓGICOS DE CONEXIÓN ENTRE CUALQUIER PUNTO TERMINAL DE LA RED PÚBLICA DE TELECOMUNICACIONES Y EL PUNTO DE ACCESO A LA RED LOCAL PERTENECIENTE A DICHO AGENTE.” (</w:t>
      </w:r>
      <w:proofErr w:type="gramStart"/>
      <w:r w:rsidRPr="001112AD">
        <w:rPr>
          <w:rFonts w:ascii="ITC Avant Garde" w:eastAsia="Times New Roman" w:hAnsi="ITC Avant Garde"/>
          <w:sz w:val="22"/>
          <w:szCs w:val="22"/>
          <w:lang w:val="es-MX"/>
        </w:rPr>
        <w:t>en</w:t>
      </w:r>
      <w:proofErr w:type="gramEnd"/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 lo sucesivo, las Medidas de Desagregación)</w:t>
      </w:r>
      <w:r w:rsidR="00906FF1" w:rsidRPr="001112AD">
        <w:rPr>
          <w:rFonts w:ascii="ITC Avant Garde" w:eastAsia="Times New Roman" w:hAnsi="ITC Avant Garde"/>
          <w:sz w:val="22"/>
          <w:szCs w:val="22"/>
          <w:lang w:val="es-MX"/>
        </w:rPr>
        <w:t>.</w:t>
      </w:r>
    </w:p>
    <w:p w14:paraId="1AD3B187" w14:textId="77777777" w:rsidR="007734C1" w:rsidRPr="001112AD" w:rsidRDefault="007734C1" w:rsidP="007734C1">
      <w:pPr>
        <w:pStyle w:val="Prrafodelista"/>
        <w:widowControl w:val="0"/>
        <w:spacing w:after="0"/>
        <w:ind w:left="1080"/>
        <w:jc w:val="both"/>
        <w:rPr>
          <w:rFonts w:ascii="ITC Avant Garde" w:eastAsia="Times New Roman" w:hAnsi="ITC Avant Garde"/>
          <w:sz w:val="22"/>
          <w:szCs w:val="22"/>
          <w:lang w:val="es-MX"/>
        </w:rPr>
      </w:pPr>
      <w:r w:rsidRPr="001112AD">
        <w:rPr>
          <w:rFonts w:ascii="ITC Avant Garde" w:eastAsia="Times New Roman" w:hAnsi="ITC Avant Garde"/>
          <w:sz w:val="22"/>
          <w:szCs w:val="22"/>
          <w:lang w:val="es-MX"/>
        </w:rPr>
        <w:t>De la misma manera, el Anexo 4 denominado “MEDIDAS EN MATERIA DE CONTENIDOS AUDIOVISUALES QUE SE ESTABLECERÁN AGENTE ECONÓMICO PREPONDERANTE EN TELECOMUNICACIONES” (en adelante, las Medidas de Contenidos Audiovisuales).</w:t>
      </w:r>
    </w:p>
    <w:p w14:paraId="1AD3B189" w14:textId="77777777" w:rsidR="007734C1" w:rsidRPr="001112AD" w:rsidRDefault="007734C1" w:rsidP="007734C1">
      <w:pPr>
        <w:pStyle w:val="Prrafodelista"/>
        <w:widowControl w:val="0"/>
        <w:spacing w:after="0"/>
        <w:ind w:left="1080"/>
        <w:jc w:val="both"/>
        <w:rPr>
          <w:rFonts w:ascii="ITC Avant Garde" w:eastAsia="Times New Roman" w:hAnsi="ITC Avant Garde"/>
          <w:sz w:val="22"/>
          <w:szCs w:val="22"/>
          <w:lang w:val="es-MX"/>
        </w:rPr>
      </w:pPr>
      <w:r w:rsidRPr="001112AD">
        <w:rPr>
          <w:rFonts w:ascii="ITC Avant Garde" w:eastAsia="Times New Roman" w:hAnsi="ITC Avant Garde"/>
          <w:sz w:val="22"/>
          <w:szCs w:val="22"/>
          <w:lang w:val="es-MX"/>
        </w:rPr>
        <w:t>Por último, el Anexo 5 denominado “</w:t>
      </w:r>
      <w:r w:rsidRPr="001112AD">
        <w:rPr>
          <w:rFonts w:ascii="ITC Avant Garde" w:eastAsia="Times New Roman" w:hAnsi="ITC Avant Garde"/>
          <w:sz w:val="22"/>
          <w:szCs w:val="22"/>
        </w:rPr>
        <w:t>CONVENIO MARCO DE INTERCONEXIÓN ENTRE LAS REDES DE [RAZÓN SOCIAL DEL INTEGRANTE DEL AGENTE ECONÓMICO PREPONDERANTE] CON LA RED PÚBLICA DE TELECOMUNICACIONES DE [RAZÓN SOCIAL DEL CONCESIONARIO].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>”(</w:t>
      </w:r>
      <w:proofErr w:type="gramStart"/>
      <w:r w:rsidR="00DB28A2" w:rsidRPr="001112AD">
        <w:rPr>
          <w:rFonts w:ascii="ITC Avant Garde" w:eastAsia="Times New Roman" w:hAnsi="ITC Avant Garde"/>
          <w:sz w:val="22"/>
          <w:szCs w:val="22"/>
          <w:lang w:val="es-MX"/>
        </w:rPr>
        <w:t>e</w:t>
      </w:r>
      <w:r w:rsidR="001D72D2" w:rsidRPr="001112AD">
        <w:rPr>
          <w:rFonts w:ascii="ITC Avant Garde" w:eastAsia="Times New Roman" w:hAnsi="ITC Avant Garde"/>
          <w:sz w:val="22"/>
          <w:szCs w:val="22"/>
          <w:lang w:val="es-MX"/>
        </w:rPr>
        <w:t>n</w:t>
      </w:r>
      <w:proofErr w:type="gramEnd"/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 </w:t>
      </w:r>
      <w:r w:rsidR="008F449D" w:rsidRPr="001112AD">
        <w:rPr>
          <w:rFonts w:ascii="ITC Avant Garde" w:eastAsia="Times New Roman" w:hAnsi="ITC Avant Garde"/>
          <w:sz w:val="22"/>
          <w:szCs w:val="22"/>
          <w:lang w:val="es-MX"/>
        </w:rPr>
        <w:t>lo sucesivo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>, el Convenio Marco)</w:t>
      </w:r>
      <w:r w:rsidR="00906FF1" w:rsidRPr="001112AD">
        <w:rPr>
          <w:rFonts w:ascii="ITC Avant Garde" w:eastAsia="Times New Roman" w:hAnsi="ITC Avant Garde"/>
          <w:sz w:val="22"/>
          <w:szCs w:val="22"/>
          <w:lang w:val="es-MX"/>
        </w:rPr>
        <w:t>.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 </w:t>
      </w:r>
    </w:p>
    <w:p w14:paraId="1AD3B18B" w14:textId="77777777" w:rsidR="007734C1" w:rsidRPr="001112AD" w:rsidRDefault="007734C1" w:rsidP="007734C1">
      <w:pPr>
        <w:pStyle w:val="Prrafodelista"/>
        <w:widowControl w:val="0"/>
        <w:numPr>
          <w:ilvl w:val="0"/>
          <w:numId w:val="1"/>
        </w:numPr>
        <w:spacing w:after="0"/>
        <w:jc w:val="both"/>
        <w:rPr>
          <w:rFonts w:ascii="ITC Avant Garde" w:eastAsia="Times New Roman" w:hAnsi="ITC Avant Garde"/>
          <w:sz w:val="22"/>
          <w:szCs w:val="22"/>
        </w:rPr>
      </w:pPr>
      <w:r w:rsidRPr="001112AD">
        <w:rPr>
          <w:rFonts w:ascii="ITC Avant Garde" w:eastAsia="Times New Roman" w:hAnsi="ITC Avant Garde"/>
          <w:sz w:val="22"/>
          <w:szCs w:val="22"/>
        </w:rPr>
        <w:lastRenderedPageBreak/>
        <w:t xml:space="preserve">El 14 de julio de 2014, se publicó en el 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>DOF</w:t>
      </w:r>
      <w:r w:rsidRPr="001112AD">
        <w:rPr>
          <w:rFonts w:ascii="ITC Avant Garde" w:eastAsia="Times New Roman" w:hAnsi="ITC Avant Garde"/>
          <w:sz w:val="22"/>
          <w:szCs w:val="22"/>
        </w:rPr>
        <w:t xml:space="preserve"> el “</w:t>
      </w:r>
      <w:r w:rsidRPr="001112AD">
        <w:rPr>
          <w:rFonts w:ascii="ITC Avant Garde" w:eastAsia="Times New Roman" w:hAnsi="ITC Avant Garde"/>
          <w:i/>
          <w:sz w:val="22"/>
          <w:szCs w:val="22"/>
        </w:rPr>
        <w:t xml:space="preserve">DECRETO por el que se expiden la Ley Federal de Telecomunicaciones y Radiodifusión, y la Ley del Sistema Público de Radiodifusión del Estado Mexicano; y se reforman, adicionan y derogan diversas disposiciones en materia de telecomunicaciones y radiodifusión” </w:t>
      </w:r>
      <w:r w:rsidRPr="001112AD">
        <w:rPr>
          <w:rFonts w:ascii="ITC Avant Garde" w:eastAsia="Times New Roman" w:hAnsi="ITC Avant Garde"/>
          <w:sz w:val="22"/>
          <w:szCs w:val="22"/>
        </w:rPr>
        <w:t>(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en lo sucesivo, el </w:t>
      </w:r>
      <w:r w:rsidRPr="001112AD">
        <w:rPr>
          <w:rFonts w:ascii="ITC Avant Garde" w:eastAsia="Times New Roman" w:hAnsi="ITC Avant Garde"/>
          <w:sz w:val="22"/>
          <w:szCs w:val="22"/>
        </w:rPr>
        <w:t>Decreto de Ley), entrando en vigor la Ley Federal de Telecomunicaciones y Radiodifusión (</w:t>
      </w:r>
      <w:r w:rsidR="008D771C" w:rsidRPr="001112AD">
        <w:rPr>
          <w:rFonts w:ascii="ITC Avant Garde" w:eastAsia="Times New Roman" w:hAnsi="ITC Avant Garde"/>
          <w:sz w:val="22"/>
          <w:szCs w:val="22"/>
          <w:lang w:val="es-MX"/>
        </w:rPr>
        <w:t>en lo sucesivo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, la </w:t>
      </w:r>
      <w:proofErr w:type="spellStart"/>
      <w:r w:rsidRPr="001112AD">
        <w:rPr>
          <w:rFonts w:ascii="ITC Avant Garde" w:eastAsia="Times New Roman" w:hAnsi="ITC Avant Garde"/>
          <w:sz w:val="22"/>
          <w:szCs w:val="22"/>
        </w:rPr>
        <w:t>LFT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>y</w:t>
      </w:r>
      <w:proofErr w:type="spellEnd"/>
      <w:r w:rsidRPr="001112AD">
        <w:rPr>
          <w:rFonts w:ascii="ITC Avant Garde" w:eastAsia="Times New Roman" w:hAnsi="ITC Avant Garde"/>
          <w:sz w:val="22"/>
          <w:szCs w:val="22"/>
        </w:rPr>
        <w:t>R) el 13 de agosto del 2014.</w:t>
      </w:r>
    </w:p>
    <w:p w14:paraId="1AD3B18D" w14:textId="3E897DAC" w:rsidR="007734C1" w:rsidRPr="001112AD" w:rsidRDefault="007734C1" w:rsidP="007734C1">
      <w:pPr>
        <w:pStyle w:val="Prrafodelista"/>
        <w:widowControl w:val="0"/>
        <w:numPr>
          <w:ilvl w:val="0"/>
          <w:numId w:val="1"/>
        </w:numPr>
        <w:spacing w:after="0"/>
        <w:jc w:val="both"/>
        <w:rPr>
          <w:rFonts w:ascii="ITC Avant Garde" w:eastAsia="Times New Roman" w:hAnsi="ITC Avant Garde"/>
          <w:sz w:val="22"/>
          <w:szCs w:val="22"/>
        </w:rPr>
      </w:pPr>
      <w:r w:rsidRPr="001112AD">
        <w:rPr>
          <w:rFonts w:ascii="ITC Avant Garde" w:eastAsia="Times New Roman" w:hAnsi="ITC Avant Garde"/>
          <w:sz w:val="22"/>
          <w:szCs w:val="22"/>
          <w:lang w:val="es-MX"/>
        </w:rPr>
        <w:t>El 4 de septiembre de 2014, se publicó en el DOF el “</w:t>
      </w:r>
      <w:r w:rsidR="00DB28A2" w:rsidRPr="001112AD">
        <w:rPr>
          <w:rFonts w:ascii="ITC Avant Garde" w:eastAsia="Times New Roman" w:hAnsi="ITC Avant Garde"/>
          <w:i/>
          <w:sz w:val="22"/>
          <w:szCs w:val="22"/>
          <w:lang w:val="es-MX"/>
        </w:rPr>
        <w:t xml:space="preserve">ESTATUTO </w:t>
      </w:r>
      <w:r w:rsidRPr="001112AD">
        <w:rPr>
          <w:rFonts w:ascii="ITC Avant Garde" w:eastAsia="Times New Roman" w:hAnsi="ITC Avant Garde"/>
          <w:i/>
          <w:sz w:val="22"/>
          <w:szCs w:val="22"/>
          <w:lang w:val="es-MX"/>
        </w:rPr>
        <w:t>Orgánico del Instituto Federal de Telecomunicaciones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>", entrando en vigor quince días hábiles siguientes a su publicación, es dec</w:t>
      </w:r>
      <w:r w:rsidR="00906FF1" w:rsidRPr="001112AD">
        <w:rPr>
          <w:rFonts w:ascii="ITC Avant Garde" w:eastAsia="Times New Roman" w:hAnsi="ITC Avant Garde"/>
          <w:sz w:val="22"/>
          <w:szCs w:val="22"/>
          <w:lang w:val="es-MX"/>
        </w:rPr>
        <w:t>ir, el 26 de septiembre de 2014</w:t>
      </w:r>
      <w:r w:rsidR="0043657D" w:rsidRPr="00C66836">
        <w:rPr>
          <w:rFonts w:ascii="ITC Avant Garde" w:eastAsia="Times New Roman" w:hAnsi="ITC Avant Garde"/>
        </w:rPr>
        <w:t>, y fue modificado el 17 de octubre del mismo año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 (en lo sucesivo, el Estatuto Orgánico).</w:t>
      </w:r>
    </w:p>
    <w:p w14:paraId="12FCF97E" w14:textId="77777777" w:rsidR="00DE0AD7" w:rsidRPr="001112AD" w:rsidRDefault="00DE0AD7" w:rsidP="007734C1">
      <w:pPr>
        <w:spacing w:after="0"/>
        <w:jc w:val="center"/>
        <w:rPr>
          <w:rFonts w:ascii="ITC Avant Garde" w:hAnsi="ITC Avant Garde" w:cs="Arial"/>
          <w:b/>
          <w:bCs/>
        </w:rPr>
      </w:pPr>
    </w:p>
    <w:p w14:paraId="1AD3B190" w14:textId="77777777" w:rsidR="007734C1" w:rsidRPr="00546310" w:rsidRDefault="007734C1" w:rsidP="00546310">
      <w:pPr>
        <w:pStyle w:val="Ttulo2"/>
        <w:jc w:val="center"/>
        <w:rPr>
          <w:rFonts w:ascii="ITC Avant Garde" w:hAnsi="ITC Avant Garde" w:cs="Arial"/>
          <w:b/>
          <w:bCs/>
          <w:color w:val="000000" w:themeColor="text1"/>
        </w:rPr>
      </w:pPr>
      <w:r w:rsidRPr="00546310">
        <w:rPr>
          <w:rFonts w:ascii="ITC Avant Garde" w:eastAsia="Times New Roman" w:hAnsi="ITC Avant Garde"/>
          <w:b/>
          <w:color w:val="000000" w:themeColor="text1"/>
          <w:sz w:val="22"/>
          <w:szCs w:val="22"/>
        </w:rPr>
        <w:t>CONSIDERANDO</w:t>
      </w:r>
    </w:p>
    <w:p w14:paraId="1AD3B191" w14:textId="77777777" w:rsidR="007734C1" w:rsidRPr="001112AD" w:rsidRDefault="007734C1" w:rsidP="007734C1">
      <w:pPr>
        <w:spacing w:after="0"/>
        <w:jc w:val="both"/>
        <w:rPr>
          <w:rFonts w:ascii="ITC Avant Garde" w:hAnsi="ITC Avant Garde" w:cs="Arial"/>
          <w:b/>
          <w:bCs/>
        </w:rPr>
      </w:pPr>
    </w:p>
    <w:p w14:paraId="1AD3B193" w14:textId="77777777" w:rsidR="001D72D2" w:rsidRPr="001112AD" w:rsidRDefault="007734C1" w:rsidP="007734C1">
      <w:pPr>
        <w:spacing w:after="0"/>
        <w:jc w:val="both"/>
        <w:rPr>
          <w:rFonts w:ascii="ITC Avant Garde" w:hAnsi="ITC Avant Garde" w:cs="Arial"/>
          <w:bCs/>
        </w:rPr>
      </w:pPr>
      <w:r w:rsidRPr="001112AD">
        <w:rPr>
          <w:rFonts w:ascii="ITC Avant Garde" w:hAnsi="ITC Avant Garde" w:cs="Arial"/>
          <w:b/>
          <w:bCs/>
        </w:rPr>
        <w:t>PRIMERO.- Competencia del Instituto.</w:t>
      </w:r>
      <w:r w:rsidRPr="001112AD">
        <w:rPr>
          <w:rFonts w:ascii="ITC Avant Garde" w:hAnsi="ITC Avant Garde" w:cs="Arial"/>
          <w:bCs/>
        </w:rPr>
        <w:t xml:space="preserve"> De conformidad con el artículo 28, párrafos décimo quinto y décimo sexto de la Constitución, el Instituto tiene a su cargo la regulación, promoción y supervisión del uso, aprovechamiento y explotación del espectro radioeléctrico, las redes y la prestación de los servicios de radiodifusión y telecomunicaciones, así como del acceso a infraestructura activa, pasiva y otros insumos esenciales. </w:t>
      </w:r>
    </w:p>
    <w:p w14:paraId="2C77F8EC" w14:textId="77777777" w:rsidR="001F1D4E" w:rsidRDefault="001F1D4E" w:rsidP="007734C1">
      <w:pPr>
        <w:spacing w:after="0"/>
        <w:jc w:val="both"/>
        <w:rPr>
          <w:rFonts w:ascii="ITC Avant Garde" w:hAnsi="ITC Avant Garde" w:cs="Arial"/>
          <w:bCs/>
        </w:rPr>
      </w:pPr>
    </w:p>
    <w:p w14:paraId="1AD3B195" w14:textId="33DDC6DE" w:rsidR="007734C1" w:rsidRPr="001112AD" w:rsidRDefault="007734C1" w:rsidP="007734C1">
      <w:pPr>
        <w:spacing w:after="0"/>
        <w:jc w:val="both"/>
        <w:rPr>
          <w:rFonts w:ascii="ITC Avant Garde" w:hAnsi="ITC Avant Garde" w:cs="Arial"/>
          <w:bCs/>
        </w:rPr>
      </w:pPr>
      <w:r w:rsidRPr="001112AD">
        <w:rPr>
          <w:rFonts w:ascii="ITC Avant Garde" w:hAnsi="ITC Avant Garde" w:cs="Arial"/>
          <w:bCs/>
        </w:rPr>
        <w:t>Asimismo, es autoridad en materia de competencia económica de los sectores de radiodifusión y telecomunicaciones, por lo que en éstos regulará de forma asimétrica a los participantes</w:t>
      </w:r>
      <w:r w:rsidR="00DD7D4D" w:rsidRPr="001112AD">
        <w:rPr>
          <w:rFonts w:ascii="ITC Avant Garde" w:hAnsi="ITC Avant Garde" w:cs="Arial"/>
          <w:bCs/>
        </w:rPr>
        <w:t>,</w:t>
      </w:r>
      <w:r w:rsidRPr="001112AD">
        <w:rPr>
          <w:rFonts w:ascii="ITC Avant Garde" w:hAnsi="ITC Avant Garde" w:cs="Arial"/>
          <w:bCs/>
        </w:rPr>
        <w:t xml:space="preserve"> con el objeto de eliminar eficazmente las barreras a la competencia y la libre concurrencia; impondrá límites a la concentración nacional y regional de frecuencias, al </w:t>
      </w:r>
      <w:proofErr w:type="spellStart"/>
      <w:r w:rsidRPr="001112AD">
        <w:rPr>
          <w:rFonts w:ascii="ITC Avant Garde" w:hAnsi="ITC Avant Garde" w:cs="Arial"/>
          <w:bCs/>
        </w:rPr>
        <w:t>concesionamiento</w:t>
      </w:r>
      <w:proofErr w:type="spellEnd"/>
      <w:r w:rsidRPr="001112AD">
        <w:rPr>
          <w:rFonts w:ascii="ITC Avant Garde" w:hAnsi="ITC Avant Garde" w:cs="Arial"/>
          <w:bCs/>
        </w:rPr>
        <w:t xml:space="preserve"> y a la propiedad cruzada que controle varios medios de comunicación que sean concesionarios de radiodifusión y telecomunicaciones que sirvan a un mismo mercado o zona de cobertura geográfica, y </w:t>
      </w:r>
      <w:r w:rsidR="003316C8">
        <w:rPr>
          <w:rFonts w:ascii="ITC Avant Garde" w:hAnsi="ITC Avant Garde" w:cs="Arial"/>
          <w:bCs/>
        </w:rPr>
        <w:t>podrá ordenar</w:t>
      </w:r>
      <w:r w:rsidR="003316C8" w:rsidRPr="001112AD">
        <w:rPr>
          <w:rFonts w:ascii="ITC Avant Garde" w:hAnsi="ITC Avant Garde" w:cs="Arial"/>
          <w:bCs/>
        </w:rPr>
        <w:t xml:space="preserve"> </w:t>
      </w:r>
      <w:r w:rsidRPr="001112AD">
        <w:rPr>
          <w:rFonts w:ascii="ITC Avant Garde" w:hAnsi="ITC Avant Garde" w:cs="Arial"/>
          <w:bCs/>
        </w:rPr>
        <w:t>la desincorporación de activos, derechos o partes necesarias para asegurar el cumplimiento de estos límites.</w:t>
      </w:r>
    </w:p>
    <w:p w14:paraId="1AD3B196" w14:textId="77777777" w:rsidR="007734C1" w:rsidRPr="001112AD" w:rsidRDefault="007734C1" w:rsidP="007734C1">
      <w:pPr>
        <w:widowControl w:val="0"/>
        <w:spacing w:after="0"/>
        <w:jc w:val="both"/>
        <w:rPr>
          <w:rFonts w:ascii="ITC Avant Garde" w:eastAsia="Times New Roman" w:hAnsi="ITC Avant Garde"/>
        </w:rPr>
      </w:pPr>
    </w:p>
    <w:p w14:paraId="1AD3B197" w14:textId="1DA0297B" w:rsidR="007734C1" w:rsidRPr="001112AD" w:rsidRDefault="007734C1" w:rsidP="007734C1">
      <w:pPr>
        <w:widowControl w:val="0"/>
        <w:spacing w:after="0"/>
        <w:jc w:val="both"/>
        <w:rPr>
          <w:rFonts w:ascii="ITC Avant Garde" w:eastAsia="Times New Roman" w:hAnsi="ITC Avant Garde"/>
        </w:rPr>
      </w:pPr>
      <w:r w:rsidRPr="001112AD">
        <w:rPr>
          <w:rFonts w:ascii="ITC Avant Garde" w:eastAsia="Times New Roman" w:hAnsi="ITC Avant Garde"/>
        </w:rPr>
        <w:t xml:space="preserve">De igual forma, el Pleno del Instituto, conforme a lo establecido por </w:t>
      </w:r>
      <w:r w:rsidR="003648EB">
        <w:rPr>
          <w:rFonts w:ascii="ITC Avant Garde" w:eastAsia="Times New Roman" w:hAnsi="ITC Avant Garde"/>
        </w:rPr>
        <w:t xml:space="preserve">el </w:t>
      </w:r>
      <w:r w:rsidRPr="001112AD">
        <w:rPr>
          <w:rFonts w:ascii="ITC Avant Garde" w:eastAsia="Times New Roman" w:hAnsi="ITC Avant Garde"/>
        </w:rPr>
        <w:t>artículo 6</w:t>
      </w:r>
      <w:r w:rsidR="00DB28A2" w:rsidRPr="001112AD">
        <w:rPr>
          <w:rFonts w:ascii="ITC Avant Garde" w:eastAsia="Times New Roman" w:hAnsi="ITC Avant Garde"/>
        </w:rPr>
        <w:t>,</w:t>
      </w:r>
      <w:r w:rsidRPr="001112AD">
        <w:rPr>
          <w:rFonts w:ascii="ITC Avant Garde" w:eastAsia="Times New Roman" w:hAnsi="ITC Avant Garde"/>
        </w:rPr>
        <w:t xml:space="preserve"> </w:t>
      </w:r>
      <w:r w:rsidRPr="001112AD">
        <w:rPr>
          <w:rFonts w:ascii="ITC Avant Garde" w:hAnsi="ITC Avant Garde"/>
          <w:bCs/>
          <w:lang w:val="es-ES_tradnl"/>
        </w:rPr>
        <w:t>fracci</w:t>
      </w:r>
      <w:r w:rsidR="00123E80" w:rsidRPr="001112AD">
        <w:rPr>
          <w:rFonts w:ascii="ITC Avant Garde" w:hAnsi="ITC Avant Garde"/>
          <w:bCs/>
          <w:lang w:val="es-ES_tradnl"/>
        </w:rPr>
        <w:t>ón</w:t>
      </w:r>
      <w:r w:rsidRPr="001112AD">
        <w:rPr>
          <w:rFonts w:ascii="ITC Avant Garde" w:hAnsi="ITC Avant Garde"/>
          <w:bCs/>
          <w:lang w:val="es-ES_tradnl"/>
        </w:rPr>
        <w:t xml:space="preserve"> VI </w:t>
      </w:r>
      <w:r w:rsidRPr="001112AD">
        <w:rPr>
          <w:rFonts w:ascii="ITC Avant Garde" w:eastAsia="Times New Roman" w:hAnsi="ITC Avant Garde"/>
        </w:rPr>
        <w:t>de</w:t>
      </w:r>
      <w:r w:rsidR="00123E80" w:rsidRPr="001112AD">
        <w:rPr>
          <w:rFonts w:ascii="ITC Avant Garde" w:eastAsia="Times New Roman" w:hAnsi="ITC Avant Garde"/>
        </w:rPr>
        <w:t>l</w:t>
      </w:r>
      <w:r w:rsidRPr="001112AD">
        <w:rPr>
          <w:rFonts w:ascii="ITC Avant Garde" w:eastAsia="Times New Roman" w:hAnsi="ITC Avant Garde"/>
        </w:rPr>
        <w:t xml:space="preserve"> Estatuto Orgánico, tiene la atribución de regular de forma asimétrica a los participantes en los mercados de radiodifusión y telecomunicaciones con el objeto de eliminar eficazmente las barreras a la competencia y libre concurrencia, así como demás disposiciones para el cumplimiento de lo dispuesto en la </w:t>
      </w:r>
      <w:r w:rsidR="00DB28A2" w:rsidRPr="001112AD">
        <w:rPr>
          <w:rFonts w:ascii="ITC Avant Garde" w:eastAsia="Times New Roman" w:hAnsi="ITC Avant Garde"/>
        </w:rPr>
        <w:t>l</w:t>
      </w:r>
      <w:r w:rsidRPr="001112AD">
        <w:rPr>
          <w:rFonts w:ascii="ITC Avant Garde" w:eastAsia="Times New Roman" w:hAnsi="ITC Avant Garde"/>
        </w:rPr>
        <w:t>ey.</w:t>
      </w:r>
    </w:p>
    <w:p w14:paraId="1AD3B198" w14:textId="77777777" w:rsidR="007734C1" w:rsidRPr="001112AD" w:rsidRDefault="007734C1" w:rsidP="00EB379B">
      <w:pPr>
        <w:widowControl w:val="0"/>
        <w:spacing w:after="0"/>
        <w:ind w:firstLine="708"/>
        <w:jc w:val="both"/>
        <w:rPr>
          <w:rFonts w:ascii="ITC Avant Garde" w:eastAsia="Times New Roman" w:hAnsi="ITC Avant Garde"/>
        </w:rPr>
      </w:pPr>
    </w:p>
    <w:p w14:paraId="1AD3B199" w14:textId="692C0FF0" w:rsidR="009F4ADB" w:rsidRPr="001112AD" w:rsidRDefault="003648EB" w:rsidP="009F4ADB">
      <w:pPr>
        <w:spacing w:after="0"/>
        <w:jc w:val="both"/>
        <w:rPr>
          <w:rFonts w:ascii="ITC Avant Garde" w:hAnsi="ITC Avant Garde" w:cs="Arial"/>
          <w:bCs/>
        </w:rPr>
      </w:pPr>
      <w:r>
        <w:rPr>
          <w:rFonts w:ascii="ITC Avant Garde" w:hAnsi="ITC Avant Garde" w:cs="Arial"/>
          <w:bCs/>
        </w:rPr>
        <w:t xml:space="preserve">Los artículos 15 fracción XL y </w:t>
      </w:r>
      <w:r w:rsidR="009F4ADB" w:rsidRPr="001112AD">
        <w:rPr>
          <w:rFonts w:ascii="ITC Avant Garde" w:hAnsi="ITC Avant Garde" w:cs="Arial"/>
          <w:bCs/>
        </w:rPr>
        <w:t xml:space="preserve">51 de la </w:t>
      </w:r>
      <w:proofErr w:type="spellStart"/>
      <w:r w:rsidR="009F4ADB" w:rsidRPr="001112AD">
        <w:rPr>
          <w:rFonts w:ascii="ITC Avant Garde" w:hAnsi="ITC Avant Garde" w:cs="Arial"/>
          <w:bCs/>
        </w:rPr>
        <w:t>LFTyR</w:t>
      </w:r>
      <w:proofErr w:type="spellEnd"/>
      <w:r w:rsidR="009F4ADB" w:rsidRPr="001112AD">
        <w:rPr>
          <w:rFonts w:ascii="ITC Avant Garde" w:hAnsi="ITC Avant Garde" w:cs="Arial"/>
          <w:bCs/>
        </w:rPr>
        <w:t xml:space="preserve">, establece que </w:t>
      </w:r>
      <w:r w:rsidR="00DB28A2" w:rsidRPr="001112AD">
        <w:rPr>
          <w:rFonts w:ascii="ITC Avant Garde" w:hAnsi="ITC Avant Garde" w:cs="Arial"/>
          <w:bCs/>
        </w:rPr>
        <w:t xml:space="preserve">el Pleno del Instituto podrá realizar consultas públicas </w:t>
      </w:r>
      <w:r w:rsidR="009F4ADB" w:rsidRPr="001112AD">
        <w:rPr>
          <w:rFonts w:ascii="ITC Avant Garde" w:hAnsi="ITC Avant Garde" w:cs="Arial"/>
          <w:bCs/>
        </w:rPr>
        <w:t xml:space="preserve">en cualquier caso que </w:t>
      </w:r>
      <w:r w:rsidR="00DB28A2" w:rsidRPr="001112AD">
        <w:rPr>
          <w:rFonts w:ascii="ITC Avant Garde" w:hAnsi="ITC Avant Garde" w:cs="Arial"/>
          <w:bCs/>
        </w:rPr>
        <w:t xml:space="preserve">así lo </w:t>
      </w:r>
      <w:r w:rsidR="009F4ADB" w:rsidRPr="001112AD">
        <w:rPr>
          <w:rFonts w:ascii="ITC Avant Garde" w:hAnsi="ITC Avant Garde" w:cs="Arial"/>
          <w:bCs/>
        </w:rPr>
        <w:t xml:space="preserve">determine, </w:t>
      </w:r>
      <w:r w:rsidR="00D348E9" w:rsidRPr="001112AD">
        <w:rPr>
          <w:rFonts w:ascii="ITC Avant Garde" w:hAnsi="ITC Avant Garde" w:cs="Arial"/>
          <w:bCs/>
        </w:rPr>
        <w:t xml:space="preserve">y ésta </w:t>
      </w:r>
      <w:r w:rsidR="009F4ADB" w:rsidRPr="001112AD">
        <w:rPr>
          <w:rFonts w:ascii="ITC Avant Garde" w:hAnsi="ITC Avant Garde" w:cs="Arial"/>
          <w:bCs/>
        </w:rPr>
        <w:t xml:space="preserve">deberá </w:t>
      </w:r>
      <w:r w:rsidR="00D348E9" w:rsidRPr="001112AD">
        <w:rPr>
          <w:rFonts w:ascii="ITC Avant Garde" w:hAnsi="ITC Avant Garde" w:cs="Arial"/>
          <w:bCs/>
        </w:rPr>
        <w:t xml:space="preserve">llevarse a cabo </w:t>
      </w:r>
      <w:r w:rsidR="009F4ADB" w:rsidRPr="001112AD">
        <w:rPr>
          <w:rFonts w:ascii="ITC Avant Garde" w:hAnsi="ITC Avant Garde" w:cs="Arial"/>
          <w:bCs/>
        </w:rPr>
        <w:t>bajo los principios de transparencia y participación ciudadana.</w:t>
      </w:r>
    </w:p>
    <w:p w14:paraId="1AD3B19A" w14:textId="77777777" w:rsidR="009F4ADB" w:rsidRPr="001112AD" w:rsidRDefault="009F4ADB" w:rsidP="007734C1">
      <w:pPr>
        <w:widowControl w:val="0"/>
        <w:spacing w:after="0"/>
        <w:jc w:val="both"/>
        <w:rPr>
          <w:rFonts w:ascii="ITC Avant Garde" w:eastAsia="Times New Roman" w:hAnsi="ITC Avant Garde"/>
        </w:rPr>
      </w:pPr>
    </w:p>
    <w:p w14:paraId="1AD3B19B" w14:textId="03EA1C9A" w:rsidR="007734C1" w:rsidRPr="001112AD" w:rsidRDefault="007734C1" w:rsidP="007734C1">
      <w:pPr>
        <w:spacing w:after="0"/>
        <w:jc w:val="both"/>
        <w:rPr>
          <w:rFonts w:ascii="ITC Avant Garde" w:hAnsi="ITC Avant Garde" w:cs="Arial"/>
          <w:bCs/>
        </w:rPr>
      </w:pPr>
      <w:r w:rsidRPr="001112AD">
        <w:rPr>
          <w:rFonts w:ascii="ITC Avant Garde" w:hAnsi="ITC Avant Garde" w:cs="Arial"/>
          <w:bCs/>
        </w:rPr>
        <w:t>Por otra parte, en cumplimiento a lo establecido en el artículo Octavo Transitorio, fracción III del Decreto, el Instit</w:t>
      </w:r>
      <w:r w:rsidR="007B7C9F" w:rsidRPr="001112AD">
        <w:rPr>
          <w:rFonts w:ascii="ITC Avant Garde" w:hAnsi="ITC Avant Garde" w:cs="Arial"/>
          <w:bCs/>
        </w:rPr>
        <w:t xml:space="preserve">uto </w:t>
      </w:r>
      <w:r w:rsidR="009A5918" w:rsidRPr="001112AD">
        <w:rPr>
          <w:rFonts w:ascii="ITC Avant Garde" w:hAnsi="ITC Avant Garde" w:cs="Arial"/>
          <w:bCs/>
        </w:rPr>
        <w:t>emitió la</w:t>
      </w:r>
      <w:r w:rsidR="00FB314A">
        <w:rPr>
          <w:rFonts w:ascii="ITC Avant Garde" w:hAnsi="ITC Avant Garde" w:cs="Arial"/>
          <w:bCs/>
        </w:rPr>
        <w:t>s</w:t>
      </w:r>
      <w:r w:rsidR="009A5918" w:rsidRPr="001112AD">
        <w:rPr>
          <w:rFonts w:ascii="ITC Avant Garde" w:hAnsi="ITC Avant Garde" w:cs="Arial"/>
          <w:bCs/>
        </w:rPr>
        <w:t xml:space="preserve"> </w:t>
      </w:r>
      <w:r w:rsidR="00FB314A" w:rsidRPr="001112AD">
        <w:rPr>
          <w:rFonts w:ascii="ITC Avant Garde" w:hAnsi="ITC Avant Garde" w:cs="Arial"/>
          <w:bCs/>
        </w:rPr>
        <w:t>Resolucion</w:t>
      </w:r>
      <w:r w:rsidR="00FB314A">
        <w:rPr>
          <w:rFonts w:ascii="ITC Avant Garde" w:hAnsi="ITC Avant Garde" w:cs="Arial"/>
          <w:bCs/>
        </w:rPr>
        <w:t>es</w:t>
      </w:r>
      <w:r w:rsidR="009A5918" w:rsidRPr="001112AD">
        <w:rPr>
          <w:rFonts w:ascii="ITC Avant Garde" w:hAnsi="ITC Avant Garde" w:cs="Arial"/>
          <w:bCs/>
        </w:rPr>
        <w:t xml:space="preserve"> de AEP mediante la</w:t>
      </w:r>
      <w:r w:rsidR="00FB314A">
        <w:rPr>
          <w:rFonts w:ascii="ITC Avant Garde" w:hAnsi="ITC Avant Garde" w:cs="Arial"/>
          <w:bCs/>
        </w:rPr>
        <w:t>s</w:t>
      </w:r>
      <w:r w:rsidR="009A5918" w:rsidRPr="001112AD">
        <w:rPr>
          <w:rFonts w:ascii="ITC Avant Garde" w:hAnsi="ITC Avant Garde" w:cs="Arial"/>
          <w:bCs/>
        </w:rPr>
        <w:t xml:space="preserve"> cual</w:t>
      </w:r>
      <w:r w:rsidR="00FB314A">
        <w:rPr>
          <w:rFonts w:ascii="ITC Avant Garde" w:hAnsi="ITC Avant Garde" w:cs="Arial"/>
          <w:bCs/>
        </w:rPr>
        <w:t>es</w:t>
      </w:r>
      <w:r w:rsidR="009A5918" w:rsidRPr="001112AD">
        <w:rPr>
          <w:rFonts w:ascii="ITC Avant Garde" w:hAnsi="ITC Avant Garde" w:cs="Arial"/>
          <w:bCs/>
        </w:rPr>
        <w:t xml:space="preserve"> </w:t>
      </w:r>
      <w:r w:rsidR="00FB314A">
        <w:rPr>
          <w:rFonts w:ascii="ITC Avant Garde" w:hAnsi="ITC Avant Garde" w:cs="Arial"/>
          <w:bCs/>
        </w:rPr>
        <w:t xml:space="preserve">se </w:t>
      </w:r>
      <w:r w:rsidR="007B7C9F" w:rsidRPr="001112AD">
        <w:rPr>
          <w:rFonts w:ascii="ITC Avant Garde" w:hAnsi="ITC Avant Garde" w:cs="Arial"/>
          <w:bCs/>
        </w:rPr>
        <w:t>determinó la existencia de a</w:t>
      </w:r>
      <w:r w:rsidRPr="001112AD">
        <w:rPr>
          <w:rFonts w:ascii="ITC Avant Garde" w:hAnsi="ITC Avant Garde" w:cs="Arial"/>
          <w:bCs/>
        </w:rPr>
        <w:t xml:space="preserve">gentes </w:t>
      </w:r>
      <w:r w:rsidR="007B7C9F" w:rsidRPr="001112AD">
        <w:rPr>
          <w:rFonts w:ascii="ITC Avant Garde" w:hAnsi="ITC Avant Garde" w:cs="Arial"/>
          <w:bCs/>
        </w:rPr>
        <w:t>e</w:t>
      </w:r>
      <w:r w:rsidRPr="001112AD">
        <w:rPr>
          <w:rFonts w:ascii="ITC Avant Garde" w:hAnsi="ITC Avant Garde" w:cs="Arial"/>
          <w:bCs/>
        </w:rPr>
        <w:t xml:space="preserve">conómicos </w:t>
      </w:r>
      <w:r w:rsidR="007B7C9F" w:rsidRPr="001112AD">
        <w:rPr>
          <w:rFonts w:ascii="ITC Avant Garde" w:hAnsi="ITC Avant Garde" w:cs="Arial"/>
          <w:bCs/>
        </w:rPr>
        <w:t>p</w:t>
      </w:r>
      <w:r w:rsidRPr="001112AD">
        <w:rPr>
          <w:rFonts w:ascii="ITC Avant Garde" w:hAnsi="ITC Avant Garde" w:cs="Arial"/>
          <w:bCs/>
        </w:rPr>
        <w:t xml:space="preserve">reponderantes (en lo sucesivo, </w:t>
      </w:r>
      <w:r w:rsidR="007B7C9F" w:rsidRPr="001112AD">
        <w:rPr>
          <w:rFonts w:ascii="ITC Avant Garde" w:hAnsi="ITC Avant Garde" w:cs="Arial"/>
          <w:bCs/>
        </w:rPr>
        <w:t>AEP</w:t>
      </w:r>
      <w:r w:rsidRPr="001112AD">
        <w:rPr>
          <w:rFonts w:ascii="ITC Avant Garde" w:hAnsi="ITC Avant Garde" w:cs="Arial"/>
          <w:bCs/>
        </w:rPr>
        <w:t xml:space="preserve">) en los sectores de radiodifusión y de telecomunicaciones, e impuso las medidas necesarias para evitar que se afecte la competencia y la libre concurrencia y, con ello, a los usuarios finales. </w:t>
      </w:r>
      <w:r w:rsidR="00563FB0">
        <w:rPr>
          <w:rFonts w:ascii="ITC Avant Garde" w:hAnsi="ITC Avant Garde" w:cs="Arial"/>
          <w:bCs/>
        </w:rPr>
        <w:t xml:space="preserve">En el caso del sector de telecomunicaciones, </w:t>
      </w:r>
      <w:r w:rsidR="00934F27">
        <w:rPr>
          <w:rFonts w:ascii="ITC Avant Garde" w:hAnsi="ITC Avant Garde" w:cs="Arial"/>
          <w:bCs/>
        </w:rPr>
        <w:t>d</w:t>
      </w:r>
      <w:r w:rsidRPr="001112AD">
        <w:rPr>
          <w:rFonts w:ascii="ITC Avant Garde" w:hAnsi="ITC Avant Garde" w:cs="Arial"/>
          <w:bCs/>
        </w:rPr>
        <w:t>ichas medidas están contendidas en</w:t>
      </w:r>
      <w:r w:rsidR="008E5A64" w:rsidRPr="001112AD">
        <w:rPr>
          <w:rFonts w:ascii="ITC Avant Garde" w:hAnsi="ITC Avant Garde" w:cs="Arial"/>
          <w:bCs/>
        </w:rPr>
        <w:t xml:space="preserve"> los</w:t>
      </w:r>
      <w:r w:rsidRPr="001112AD">
        <w:rPr>
          <w:rFonts w:ascii="ITC Avant Garde" w:hAnsi="ITC Avant Garde" w:cs="Arial"/>
          <w:bCs/>
        </w:rPr>
        <w:t xml:space="preserve"> diferentes </w:t>
      </w:r>
      <w:r w:rsidR="008E5A64" w:rsidRPr="001112AD">
        <w:rPr>
          <w:rFonts w:ascii="ITC Avant Garde" w:hAnsi="ITC Avant Garde" w:cs="Arial"/>
          <w:bCs/>
        </w:rPr>
        <w:t>a</w:t>
      </w:r>
      <w:r w:rsidRPr="001112AD">
        <w:rPr>
          <w:rFonts w:ascii="ITC Avant Garde" w:hAnsi="ITC Avant Garde" w:cs="Arial"/>
          <w:bCs/>
        </w:rPr>
        <w:t xml:space="preserve">nexos </w:t>
      </w:r>
      <w:r w:rsidR="008E5A64" w:rsidRPr="001112AD">
        <w:rPr>
          <w:rFonts w:ascii="ITC Avant Garde" w:hAnsi="ITC Avant Garde" w:cs="Arial"/>
          <w:bCs/>
        </w:rPr>
        <w:t xml:space="preserve">de la Resolución de AEP </w:t>
      </w:r>
      <w:r w:rsidRPr="001112AD">
        <w:rPr>
          <w:rFonts w:ascii="ITC Avant Garde" w:hAnsi="ITC Avant Garde" w:cs="Arial"/>
          <w:bCs/>
        </w:rPr>
        <w:t>y están relacionadas con información, oferta y calidad de servicios, acuerdos en exclusiva, limitaciones al uso de equipos terminales entre redes, regulación asimétrica en tarifas e infraestructura de red, incluyendo la desagregación de sus elementos esenciales y, en su caso, la separación contable, funcional o estructural de dichos agentes.</w:t>
      </w:r>
    </w:p>
    <w:p w14:paraId="26574061" w14:textId="77777777" w:rsidR="001F1D4E" w:rsidRPr="001112AD" w:rsidRDefault="001F1D4E" w:rsidP="007734C1">
      <w:pPr>
        <w:spacing w:after="0"/>
        <w:jc w:val="both"/>
        <w:rPr>
          <w:rFonts w:ascii="ITC Avant Garde" w:hAnsi="ITC Avant Garde" w:cs="Arial"/>
          <w:bCs/>
        </w:rPr>
      </w:pPr>
    </w:p>
    <w:p w14:paraId="1AD3B19D" w14:textId="77777777" w:rsidR="007734C1" w:rsidRPr="001112AD" w:rsidRDefault="007734C1" w:rsidP="007734C1">
      <w:pPr>
        <w:spacing w:after="0"/>
        <w:jc w:val="both"/>
        <w:rPr>
          <w:rFonts w:ascii="ITC Avant Garde" w:hAnsi="ITC Avant Garde" w:cs="Arial"/>
          <w:bCs/>
        </w:rPr>
      </w:pPr>
      <w:r w:rsidRPr="001112AD">
        <w:rPr>
          <w:rFonts w:ascii="ITC Avant Garde" w:hAnsi="ITC Avant Garde" w:cs="Arial"/>
          <w:bCs/>
        </w:rPr>
        <w:t xml:space="preserve">El artículo Trigésimo Quinto </w:t>
      </w:r>
      <w:r w:rsidR="008E5A64" w:rsidRPr="001112AD">
        <w:rPr>
          <w:rFonts w:ascii="ITC Avant Garde" w:hAnsi="ITC Avant Garde" w:cs="Arial"/>
          <w:bCs/>
        </w:rPr>
        <w:t>T</w:t>
      </w:r>
      <w:r w:rsidRPr="001112AD">
        <w:rPr>
          <w:rFonts w:ascii="ITC Avant Garde" w:hAnsi="ITC Avant Garde" w:cs="Arial"/>
          <w:bCs/>
        </w:rPr>
        <w:t>ransitorio del Decreto de Ley dispone que las resoluciones administrativas que el Instituto hubiere emitido previamente a la entrada en vigor del mismo en materia de preponderancia, continuarán surtiendo todos sus efectos.</w:t>
      </w:r>
      <w:r w:rsidR="008E5A64" w:rsidRPr="001112AD">
        <w:rPr>
          <w:rFonts w:ascii="ITC Avant Garde" w:hAnsi="ITC Avant Garde" w:cs="Arial"/>
          <w:bCs/>
        </w:rPr>
        <w:t xml:space="preserve"> </w:t>
      </w:r>
    </w:p>
    <w:p w14:paraId="1AD3B19E" w14:textId="77777777" w:rsidR="007734C1" w:rsidRPr="001112AD" w:rsidRDefault="007734C1" w:rsidP="007734C1">
      <w:pPr>
        <w:spacing w:after="0"/>
        <w:jc w:val="both"/>
        <w:rPr>
          <w:rFonts w:ascii="ITC Avant Garde" w:hAnsi="ITC Avant Garde" w:cs="Arial"/>
          <w:bCs/>
        </w:rPr>
      </w:pPr>
    </w:p>
    <w:p w14:paraId="1AD3B19F" w14:textId="1AC0DE4D" w:rsidR="007734C1" w:rsidRPr="001112AD" w:rsidRDefault="007734C1" w:rsidP="005800FE">
      <w:pPr>
        <w:spacing w:after="0"/>
        <w:jc w:val="both"/>
        <w:rPr>
          <w:rFonts w:ascii="ITC Avant Garde" w:hAnsi="ITC Avant Garde" w:cs="Arial"/>
          <w:bCs/>
        </w:rPr>
      </w:pPr>
      <w:r w:rsidRPr="001112AD">
        <w:rPr>
          <w:rFonts w:ascii="ITC Avant Garde" w:hAnsi="ITC Avant Garde" w:cs="Arial"/>
          <w:b/>
          <w:bCs/>
        </w:rPr>
        <w:t>SEGUNDO</w:t>
      </w:r>
      <w:r w:rsidRPr="001112AD">
        <w:rPr>
          <w:rFonts w:ascii="ITC Avant Garde" w:hAnsi="ITC Avant Garde" w:cs="Arial"/>
          <w:bCs/>
        </w:rPr>
        <w:t xml:space="preserve">.- </w:t>
      </w:r>
      <w:r w:rsidR="00DB28A2" w:rsidRPr="001112AD">
        <w:rPr>
          <w:rFonts w:ascii="ITC Avant Garde" w:hAnsi="ITC Avant Garde" w:cs="Arial"/>
          <w:b/>
          <w:bCs/>
        </w:rPr>
        <w:t xml:space="preserve">Evaluación </w:t>
      </w:r>
      <w:r w:rsidRPr="001112AD">
        <w:rPr>
          <w:rFonts w:ascii="ITC Avant Garde" w:hAnsi="ITC Avant Garde" w:cs="Arial"/>
          <w:b/>
          <w:bCs/>
        </w:rPr>
        <w:t>de las medidas impuestas al Agente Económico Preponderante.</w:t>
      </w:r>
      <w:r w:rsidRPr="001112AD">
        <w:rPr>
          <w:rFonts w:ascii="ITC Avant Garde" w:hAnsi="ITC Avant Garde" w:cs="Arial"/>
          <w:bCs/>
        </w:rPr>
        <w:t xml:space="preserve"> En </w:t>
      </w:r>
      <w:r w:rsidR="008E5A64" w:rsidRPr="001112AD">
        <w:rPr>
          <w:rFonts w:ascii="ITC Avant Garde" w:hAnsi="ITC Avant Garde" w:cs="Arial"/>
          <w:bCs/>
        </w:rPr>
        <w:t xml:space="preserve">las Medidas </w:t>
      </w:r>
      <w:r w:rsidR="005800FE" w:rsidRPr="005800FE">
        <w:rPr>
          <w:rFonts w:ascii="ITC Avant Garde" w:eastAsia="Times New Roman" w:hAnsi="ITC Avant Garde" w:cs="Arial"/>
          <w:bCs/>
          <w:color w:val="000000"/>
          <w:lang w:val="es-ES_tradnl" w:eastAsia="es-ES"/>
        </w:rPr>
        <w:t xml:space="preserve">Septuagésima de las Medidas Móviles, Quincuagésima Séptima de las Medidas Fijas y </w:t>
      </w:r>
      <w:r w:rsidR="005800FE" w:rsidRPr="005800FE">
        <w:rPr>
          <w:rFonts w:ascii="ITC Avant Garde" w:hAnsi="ITC Avant Garde"/>
        </w:rPr>
        <w:t>Vigésima Cuarta de las Medidas de Desagregación</w:t>
      </w:r>
      <w:r w:rsidR="005800FE">
        <w:rPr>
          <w:rFonts w:ascii="ITC Avant Garde" w:hAnsi="ITC Avant Garde"/>
          <w:b/>
        </w:rPr>
        <w:t xml:space="preserve"> </w:t>
      </w:r>
      <w:r w:rsidR="008E5A64" w:rsidRPr="001112AD">
        <w:rPr>
          <w:rFonts w:ascii="ITC Avant Garde" w:hAnsi="ITC Avant Garde" w:cs="Arial"/>
          <w:bCs/>
        </w:rPr>
        <w:t xml:space="preserve">de </w:t>
      </w:r>
      <w:r w:rsidRPr="001112AD">
        <w:rPr>
          <w:rFonts w:ascii="ITC Avant Garde" w:hAnsi="ITC Avant Garde" w:cs="Arial"/>
          <w:bCs/>
        </w:rPr>
        <w:t>la Resolución de AEP se señaló que el Instituto realizar</w:t>
      </w:r>
      <w:r w:rsidR="000C3CB3" w:rsidRPr="001112AD">
        <w:rPr>
          <w:rFonts w:ascii="ITC Avant Garde" w:hAnsi="ITC Avant Garde" w:cs="Arial"/>
          <w:bCs/>
        </w:rPr>
        <w:t>á</w:t>
      </w:r>
      <w:r w:rsidRPr="001112AD">
        <w:rPr>
          <w:rFonts w:ascii="ITC Avant Garde" w:hAnsi="ITC Avant Garde" w:cs="Arial"/>
          <w:bCs/>
        </w:rPr>
        <w:t xml:space="preserve"> una evaluación del </w:t>
      </w:r>
      <w:r w:rsidR="007B7C9F" w:rsidRPr="001112AD">
        <w:rPr>
          <w:rFonts w:ascii="ITC Avant Garde" w:hAnsi="ITC Avant Garde" w:cs="Arial"/>
          <w:bCs/>
        </w:rPr>
        <w:t>impacto de las</w:t>
      </w:r>
      <w:r w:rsidR="008569F6" w:rsidRPr="001112AD">
        <w:rPr>
          <w:rFonts w:ascii="ITC Avant Garde" w:hAnsi="ITC Avant Garde" w:cs="Arial"/>
          <w:bCs/>
        </w:rPr>
        <w:t xml:space="preserve"> mismas</w:t>
      </w:r>
      <w:r w:rsidRPr="001112AD">
        <w:rPr>
          <w:rFonts w:ascii="ITC Avant Garde" w:hAnsi="ITC Avant Garde" w:cs="Arial"/>
          <w:bCs/>
        </w:rPr>
        <w:t xml:space="preserve"> en términos de competencia cada dos años, a efecto de, en su caso suprimir</w:t>
      </w:r>
      <w:r w:rsidR="008569F6" w:rsidRPr="001112AD">
        <w:rPr>
          <w:rFonts w:ascii="ITC Avant Garde" w:hAnsi="ITC Avant Garde" w:cs="Arial"/>
          <w:bCs/>
        </w:rPr>
        <w:t>las</w:t>
      </w:r>
      <w:r w:rsidRPr="001112AD">
        <w:rPr>
          <w:rFonts w:ascii="ITC Avant Garde" w:hAnsi="ITC Avant Garde" w:cs="Arial"/>
          <w:bCs/>
        </w:rPr>
        <w:t xml:space="preserve"> o modificarlas, o </w:t>
      </w:r>
      <w:r w:rsidR="00C11BE7" w:rsidRPr="001112AD">
        <w:rPr>
          <w:rFonts w:ascii="ITC Avant Garde" w:hAnsi="ITC Avant Garde" w:cs="Arial"/>
          <w:bCs/>
        </w:rPr>
        <w:t>bien</w:t>
      </w:r>
      <w:r w:rsidRPr="001112AD">
        <w:rPr>
          <w:rFonts w:ascii="ITC Avant Garde" w:hAnsi="ITC Avant Garde" w:cs="Arial"/>
          <w:bCs/>
        </w:rPr>
        <w:t xml:space="preserve"> establecer nuevas medidas</w:t>
      </w:r>
      <w:r w:rsidR="000C3FF3" w:rsidRPr="001112AD">
        <w:rPr>
          <w:rFonts w:ascii="ITC Avant Garde" w:hAnsi="ITC Avant Garde" w:cs="Arial"/>
          <w:bCs/>
        </w:rPr>
        <w:t xml:space="preserve"> (“Evaluación Bienal”)</w:t>
      </w:r>
      <w:r w:rsidRPr="001112AD">
        <w:rPr>
          <w:rFonts w:ascii="ITC Avant Garde" w:hAnsi="ITC Avant Garde" w:cs="Arial"/>
          <w:bCs/>
        </w:rPr>
        <w:t>, incluyendo una o más de las siguientes</w:t>
      </w:r>
      <w:r w:rsidR="0043657D">
        <w:rPr>
          <w:rFonts w:ascii="ITC Avant Garde" w:hAnsi="ITC Avant Garde" w:cs="Arial"/>
          <w:bCs/>
        </w:rPr>
        <w:t xml:space="preserve"> medidas</w:t>
      </w:r>
      <w:r w:rsidRPr="001112AD">
        <w:rPr>
          <w:rFonts w:ascii="ITC Avant Garde" w:hAnsi="ITC Avant Garde" w:cs="Arial"/>
          <w:bCs/>
        </w:rPr>
        <w:t xml:space="preserve">: la separación estructural, funcional, o la desincorporación de activos del </w:t>
      </w:r>
      <w:r w:rsidR="007B7C9F" w:rsidRPr="001112AD">
        <w:rPr>
          <w:rFonts w:ascii="ITC Avant Garde" w:hAnsi="ITC Avant Garde" w:cs="Arial"/>
          <w:bCs/>
        </w:rPr>
        <w:t>AEP</w:t>
      </w:r>
      <w:r w:rsidRPr="001112AD">
        <w:rPr>
          <w:rFonts w:ascii="ITC Avant Garde" w:hAnsi="ITC Avant Garde" w:cs="Arial"/>
          <w:bCs/>
        </w:rPr>
        <w:t xml:space="preserve">, para lo cual, deberá motivar que su determinación resulta proporcional y conducente con los fines </w:t>
      </w:r>
      <w:r w:rsidR="007B7C9F" w:rsidRPr="001112AD">
        <w:rPr>
          <w:rFonts w:ascii="ITC Avant Garde" w:hAnsi="ITC Avant Garde" w:cs="Arial"/>
          <w:bCs/>
        </w:rPr>
        <w:t>que originalmente buscaba cada m</w:t>
      </w:r>
      <w:r w:rsidRPr="001112AD">
        <w:rPr>
          <w:rFonts w:ascii="ITC Avant Garde" w:hAnsi="ITC Avant Garde" w:cs="Arial"/>
          <w:bCs/>
        </w:rPr>
        <w:t>edida.</w:t>
      </w:r>
    </w:p>
    <w:p w14:paraId="1AD3B1A0" w14:textId="77777777" w:rsidR="007734C1" w:rsidRDefault="007734C1" w:rsidP="007734C1">
      <w:pPr>
        <w:spacing w:after="0"/>
        <w:jc w:val="both"/>
        <w:rPr>
          <w:rFonts w:ascii="ITC Avant Garde" w:hAnsi="ITC Avant Garde" w:cs="Arial"/>
          <w:bCs/>
        </w:rPr>
      </w:pPr>
    </w:p>
    <w:p w14:paraId="1AD3B1A1" w14:textId="2A77707D" w:rsidR="00127975" w:rsidRPr="001112AD" w:rsidRDefault="00012AF5" w:rsidP="00127975">
      <w:pPr>
        <w:spacing w:after="0"/>
        <w:jc w:val="both"/>
        <w:rPr>
          <w:rFonts w:ascii="ITC Avant Garde" w:hAnsi="ITC Avant Garde" w:cs="Arial"/>
          <w:bCs/>
        </w:rPr>
      </w:pPr>
      <w:r>
        <w:rPr>
          <w:rFonts w:ascii="ITC Avant Garde" w:hAnsi="ITC Avant Garde" w:cs="Arial"/>
          <w:bCs/>
        </w:rPr>
        <w:t>En ese sentido, c</w:t>
      </w:r>
      <w:r w:rsidR="001112AD" w:rsidRPr="00E762D1">
        <w:rPr>
          <w:rFonts w:ascii="ITC Avant Garde" w:hAnsi="ITC Avant Garde" w:cs="Arial"/>
          <w:bCs/>
        </w:rPr>
        <w:t xml:space="preserve">on la finalidad de alcanzar los objetivos </w:t>
      </w:r>
      <w:r w:rsidR="001112AD">
        <w:rPr>
          <w:rFonts w:ascii="ITC Avant Garde" w:hAnsi="ITC Avant Garde" w:cs="Arial"/>
          <w:bCs/>
        </w:rPr>
        <w:t xml:space="preserve">establecidos en la Resolución de AEP, </w:t>
      </w:r>
      <w:r w:rsidR="001112AD" w:rsidRPr="00E762D1">
        <w:rPr>
          <w:rFonts w:ascii="ITC Avant Garde" w:hAnsi="ITC Avant Garde" w:cs="Arial"/>
          <w:bCs/>
        </w:rPr>
        <w:t xml:space="preserve">este Instituto considera de la mayor relevancia </w:t>
      </w:r>
      <w:r w:rsidR="001112AD">
        <w:rPr>
          <w:rFonts w:ascii="ITC Avant Garde" w:hAnsi="ITC Avant Garde" w:cs="Arial"/>
          <w:bCs/>
        </w:rPr>
        <w:t xml:space="preserve">iniciar un </w:t>
      </w:r>
      <w:r w:rsidR="001112AD">
        <w:rPr>
          <w:rFonts w:ascii="ITC Avant Garde" w:hAnsi="ITC Avant Garde" w:cs="Arial"/>
          <w:bCs/>
        </w:rPr>
        <w:lastRenderedPageBreak/>
        <w:t xml:space="preserve">proceso de </w:t>
      </w:r>
      <w:r w:rsidR="001112AD" w:rsidRPr="00E762D1">
        <w:rPr>
          <w:rFonts w:ascii="ITC Avant Garde" w:hAnsi="ITC Avant Garde" w:cs="Arial"/>
          <w:bCs/>
        </w:rPr>
        <w:t xml:space="preserve">consulta pública </w:t>
      </w:r>
      <w:r w:rsidR="001112AD">
        <w:rPr>
          <w:rFonts w:ascii="ITC Avant Garde" w:hAnsi="ITC Avant Garde" w:cs="Arial"/>
          <w:bCs/>
        </w:rPr>
        <w:t xml:space="preserve">con la finalidad de </w:t>
      </w:r>
      <w:r w:rsidR="001112AD" w:rsidRPr="00E762D1">
        <w:rPr>
          <w:rFonts w:ascii="ITC Avant Garde" w:hAnsi="ITC Avant Garde" w:cs="Arial"/>
          <w:bCs/>
        </w:rPr>
        <w:t>recabar comentarios</w:t>
      </w:r>
      <w:r w:rsidR="00431565">
        <w:rPr>
          <w:rFonts w:ascii="ITC Avant Garde" w:hAnsi="ITC Avant Garde" w:cs="Arial"/>
          <w:bCs/>
        </w:rPr>
        <w:t xml:space="preserve">, opiniones, </w:t>
      </w:r>
      <w:r w:rsidR="00E530A8">
        <w:rPr>
          <w:rFonts w:ascii="ITC Avant Garde" w:hAnsi="ITC Avant Garde" w:cs="Arial"/>
          <w:bCs/>
        </w:rPr>
        <w:t>entre otros,</w:t>
      </w:r>
      <w:r w:rsidR="0053476C">
        <w:rPr>
          <w:rFonts w:ascii="ITC Avant Garde" w:hAnsi="ITC Avant Garde" w:cs="Arial"/>
          <w:bCs/>
        </w:rPr>
        <w:t xml:space="preserve"> </w:t>
      </w:r>
      <w:r w:rsidR="00431565">
        <w:rPr>
          <w:rFonts w:ascii="ITC Avant Garde" w:hAnsi="ITC Avant Garde" w:cs="Arial"/>
          <w:bCs/>
        </w:rPr>
        <w:t xml:space="preserve"> de los integrantes de la industria, académicos, especialistas, </w:t>
      </w:r>
      <w:r w:rsidR="004A492E">
        <w:rPr>
          <w:rFonts w:ascii="ITC Avant Garde" w:hAnsi="ITC Avant Garde" w:cs="Arial"/>
          <w:bCs/>
        </w:rPr>
        <w:t>usuarios</w:t>
      </w:r>
      <w:r w:rsidR="00374611">
        <w:rPr>
          <w:rFonts w:ascii="ITC Avant Garde" w:hAnsi="ITC Avant Garde" w:cs="Arial"/>
          <w:bCs/>
        </w:rPr>
        <w:t>,</w:t>
      </w:r>
      <w:r w:rsidR="004A492E">
        <w:rPr>
          <w:rFonts w:ascii="ITC Avant Garde" w:hAnsi="ITC Avant Garde" w:cs="Arial"/>
          <w:bCs/>
        </w:rPr>
        <w:t xml:space="preserve"> </w:t>
      </w:r>
      <w:r w:rsidR="00431565">
        <w:rPr>
          <w:rFonts w:ascii="ITC Avant Garde" w:hAnsi="ITC Avant Garde" w:cs="Arial"/>
          <w:bCs/>
        </w:rPr>
        <w:t xml:space="preserve">público en general y demás </w:t>
      </w:r>
      <w:r w:rsidR="00A01EE2">
        <w:rPr>
          <w:rFonts w:ascii="ITC Avant Garde" w:hAnsi="ITC Avant Garde" w:cs="Arial"/>
          <w:bCs/>
        </w:rPr>
        <w:t>interesados</w:t>
      </w:r>
      <w:r w:rsidR="00A01EE2" w:rsidRPr="00730C5E">
        <w:rPr>
          <w:rFonts w:ascii="ITC Avant Garde" w:hAnsi="ITC Avant Garde" w:cs="Arial"/>
          <w:bCs/>
        </w:rPr>
        <w:t xml:space="preserve"> que</w:t>
      </w:r>
      <w:r w:rsidR="004F4AC6" w:rsidRPr="00730C5E">
        <w:rPr>
          <w:rFonts w:ascii="ITC Avant Garde" w:hAnsi="ITC Avant Garde" w:cs="Arial"/>
          <w:bCs/>
        </w:rPr>
        <w:t xml:space="preserve"> permitan obtener mayor información</w:t>
      </w:r>
      <w:r w:rsidR="00341919">
        <w:rPr>
          <w:rFonts w:ascii="ITC Avant Garde" w:hAnsi="ITC Avant Garde" w:cs="Arial"/>
          <w:bCs/>
        </w:rPr>
        <w:t>, que contribuyan al diagnóstico sobre el impacto de las medidas y las determinaciones sobre las posibles modificaciones, supresiones o adiciones de medidas asimétricas al AEP, derivado de la Evaluación Bienal.</w:t>
      </w:r>
      <w:r w:rsidR="004F4AC6" w:rsidRPr="00730C5E">
        <w:rPr>
          <w:rFonts w:ascii="ITC Avant Garde" w:hAnsi="ITC Avant Garde" w:cs="Arial"/>
          <w:bCs/>
        </w:rPr>
        <w:t xml:space="preserve"> </w:t>
      </w:r>
    </w:p>
    <w:p w14:paraId="1AD3B1A2" w14:textId="77777777" w:rsidR="001112AD" w:rsidRDefault="001112AD" w:rsidP="001112AD">
      <w:pPr>
        <w:spacing w:after="0"/>
        <w:jc w:val="both"/>
        <w:rPr>
          <w:rFonts w:ascii="ITC Avant Garde" w:hAnsi="ITC Avant Garde" w:cs="Arial"/>
          <w:bCs/>
        </w:rPr>
      </w:pPr>
    </w:p>
    <w:p w14:paraId="1AD3B1A5" w14:textId="5B6CA00A" w:rsidR="00012AF5" w:rsidRDefault="00A12755" w:rsidP="00012AF5">
      <w:pPr>
        <w:spacing w:after="0"/>
        <w:jc w:val="both"/>
        <w:rPr>
          <w:rFonts w:ascii="ITC Avant Garde" w:hAnsi="ITC Avant Garde" w:cs="Arial"/>
          <w:bCs/>
        </w:rPr>
      </w:pPr>
      <w:r>
        <w:rPr>
          <w:rFonts w:ascii="ITC Avant Garde" w:hAnsi="ITC Avant Garde" w:cs="Arial"/>
          <w:bCs/>
        </w:rPr>
        <w:t>N</w:t>
      </w:r>
      <w:r w:rsidR="007D5259">
        <w:rPr>
          <w:rFonts w:ascii="ITC Avant Garde" w:hAnsi="ITC Avant Garde" w:cs="Arial"/>
          <w:bCs/>
        </w:rPr>
        <w:t>o obstante que la regulación asimétrica a que se refiere la Resolución de AEP está destinada a quienes se determinaron como AEP, hoy en día se estima relevante que para la revisión de la regulación mencionada, la autoridad tenga conocimiento de las inquietudes de los regulados y otros interesados de forma ordenada.</w:t>
      </w:r>
      <w:r>
        <w:rPr>
          <w:rFonts w:ascii="ITC Avant Garde" w:hAnsi="ITC Avant Garde" w:cs="Arial"/>
          <w:bCs/>
        </w:rPr>
        <w:t xml:space="preserve"> Lo anterior</w:t>
      </w:r>
      <w:r w:rsidR="00012AF5">
        <w:rPr>
          <w:rFonts w:ascii="ITC Avant Garde" w:hAnsi="ITC Avant Garde" w:cs="Arial"/>
          <w:bCs/>
        </w:rPr>
        <w:t>, c</w:t>
      </w:r>
      <w:r w:rsidR="00012AF5" w:rsidRPr="000C079F">
        <w:rPr>
          <w:rFonts w:ascii="ITC Avant Garde" w:hAnsi="ITC Avant Garde" w:cs="Arial"/>
          <w:bCs/>
        </w:rPr>
        <w:t xml:space="preserve">onsiderando que es obligación del Instituto evaluar </w:t>
      </w:r>
      <w:r w:rsidR="00012AF5">
        <w:rPr>
          <w:rFonts w:ascii="ITC Avant Garde" w:hAnsi="ITC Avant Garde" w:cs="Arial"/>
          <w:bCs/>
        </w:rPr>
        <w:t>el</w:t>
      </w:r>
      <w:r w:rsidR="00012AF5" w:rsidRPr="000C079F">
        <w:rPr>
          <w:rFonts w:ascii="ITC Avant Garde" w:hAnsi="ITC Avant Garde" w:cs="Arial"/>
          <w:bCs/>
        </w:rPr>
        <w:t xml:space="preserve"> impacto </w:t>
      </w:r>
      <w:r w:rsidR="00012AF5">
        <w:rPr>
          <w:rFonts w:ascii="ITC Avant Garde" w:hAnsi="ITC Avant Garde" w:cs="Arial"/>
          <w:bCs/>
        </w:rPr>
        <w:t>que hayan tenido las medidas asimétricas impuestas al AEP.</w:t>
      </w:r>
    </w:p>
    <w:p w14:paraId="1AD3B1A6" w14:textId="77777777" w:rsidR="00012AF5" w:rsidRDefault="00012AF5" w:rsidP="007734C1">
      <w:pPr>
        <w:spacing w:after="0"/>
        <w:jc w:val="both"/>
        <w:rPr>
          <w:rFonts w:ascii="ITC Avant Garde" w:hAnsi="ITC Avant Garde" w:cs="Arial"/>
          <w:bCs/>
        </w:rPr>
      </w:pPr>
    </w:p>
    <w:p w14:paraId="1AD3B1A7" w14:textId="653B8361" w:rsidR="007734C1" w:rsidRPr="001112AD" w:rsidRDefault="007734C1" w:rsidP="007734C1">
      <w:pPr>
        <w:spacing w:after="0"/>
        <w:jc w:val="both"/>
        <w:rPr>
          <w:rFonts w:ascii="ITC Avant Garde" w:hAnsi="ITC Avant Garde" w:cs="Arial"/>
          <w:bCs/>
        </w:rPr>
      </w:pPr>
      <w:r w:rsidRPr="001112AD">
        <w:rPr>
          <w:rFonts w:ascii="ITC Avant Garde" w:eastAsia="Times New Roman" w:hAnsi="ITC Avant Garde"/>
        </w:rPr>
        <w:t xml:space="preserve">La </w:t>
      </w:r>
      <w:r w:rsidRPr="001112AD">
        <w:rPr>
          <w:rFonts w:ascii="ITC Avant Garde" w:hAnsi="ITC Avant Garde" w:cs="Arial"/>
          <w:bCs/>
        </w:rPr>
        <w:t>consulta pública tiene por objeto cumplir con los principios de transparencia y participación ciudadana, con la finalidad de recabar</w:t>
      </w:r>
      <w:r w:rsidR="00A12755">
        <w:rPr>
          <w:rFonts w:ascii="ITC Avant Garde" w:hAnsi="ITC Avant Garde" w:cs="Arial"/>
          <w:bCs/>
        </w:rPr>
        <w:t xml:space="preserve"> información y</w:t>
      </w:r>
      <w:r w:rsidRPr="001112AD">
        <w:rPr>
          <w:rFonts w:ascii="ITC Avant Garde" w:hAnsi="ITC Avant Garde" w:cs="Arial"/>
          <w:bCs/>
        </w:rPr>
        <w:t xml:space="preserve"> </w:t>
      </w:r>
      <w:r w:rsidR="009C6BA7" w:rsidRPr="001112AD">
        <w:rPr>
          <w:rFonts w:ascii="ITC Avant Garde" w:hAnsi="ITC Avant Garde" w:cs="Arial"/>
          <w:bCs/>
        </w:rPr>
        <w:t xml:space="preserve">propuestas </w:t>
      </w:r>
      <w:r w:rsidRPr="001112AD">
        <w:rPr>
          <w:rFonts w:ascii="ITC Avant Garde" w:hAnsi="ITC Avant Garde" w:cs="Arial"/>
          <w:bCs/>
        </w:rPr>
        <w:t>de la industria, de especialistas en la materia y del público en general, para ser analizad</w:t>
      </w:r>
      <w:r w:rsidR="00EF5EC5">
        <w:rPr>
          <w:rFonts w:ascii="ITC Avant Garde" w:hAnsi="ITC Avant Garde" w:cs="Arial"/>
          <w:bCs/>
        </w:rPr>
        <w:t>a</w:t>
      </w:r>
      <w:r w:rsidRPr="001112AD">
        <w:rPr>
          <w:rFonts w:ascii="ITC Avant Garde" w:hAnsi="ITC Avant Garde" w:cs="Arial"/>
          <w:bCs/>
        </w:rPr>
        <w:t xml:space="preserve"> por este Instituto</w:t>
      </w:r>
      <w:r w:rsidR="00EF5EC5">
        <w:rPr>
          <w:rFonts w:ascii="ITC Avant Garde" w:hAnsi="ITC Avant Garde" w:cs="Arial"/>
          <w:bCs/>
        </w:rPr>
        <w:t>.</w:t>
      </w:r>
      <w:r w:rsidRPr="001112AD">
        <w:rPr>
          <w:rFonts w:ascii="ITC Avant Garde" w:hAnsi="ITC Avant Garde" w:cs="Arial"/>
          <w:bCs/>
        </w:rPr>
        <w:t xml:space="preserve"> </w:t>
      </w:r>
    </w:p>
    <w:p w14:paraId="1AD3B1A8" w14:textId="77777777" w:rsidR="007734C1" w:rsidRPr="001112AD" w:rsidRDefault="007734C1" w:rsidP="007734C1">
      <w:pPr>
        <w:spacing w:after="0"/>
        <w:jc w:val="both"/>
        <w:rPr>
          <w:rFonts w:ascii="ITC Avant Garde" w:hAnsi="ITC Avant Garde" w:cs="Arial"/>
          <w:bCs/>
        </w:rPr>
      </w:pPr>
    </w:p>
    <w:p w14:paraId="1AD3B1A9" w14:textId="77777777" w:rsidR="007734C1" w:rsidRPr="001112AD" w:rsidRDefault="007734C1" w:rsidP="007734C1">
      <w:pPr>
        <w:spacing w:after="0"/>
        <w:jc w:val="both"/>
        <w:rPr>
          <w:rFonts w:ascii="ITC Avant Garde" w:hAnsi="ITC Avant Garde" w:cs="Arial"/>
          <w:bCs/>
        </w:rPr>
      </w:pPr>
      <w:r w:rsidRPr="001112AD">
        <w:rPr>
          <w:rFonts w:ascii="ITC Avant Garde" w:hAnsi="ITC Avant Garde" w:cs="Arial"/>
          <w:bCs/>
        </w:rPr>
        <w:t>Las consultas públicas son instrumentos que han implementado las autoridades regulatorias de diversos países, con la finalidad de brindar transparencia, recibir retroalimentación de la industria y de los agentes económicos interesados, así como perfeccionar su diseño y operación.</w:t>
      </w:r>
    </w:p>
    <w:p w14:paraId="1AD3B1AA" w14:textId="7B87B139" w:rsidR="00977093" w:rsidRPr="001112AD" w:rsidRDefault="00977093" w:rsidP="00EB379B">
      <w:pPr>
        <w:tabs>
          <w:tab w:val="left" w:pos="3740"/>
        </w:tabs>
        <w:spacing w:after="0"/>
        <w:jc w:val="both"/>
        <w:rPr>
          <w:rFonts w:ascii="ITC Avant Garde" w:hAnsi="ITC Avant Garde" w:cs="Arial"/>
          <w:bCs/>
        </w:rPr>
      </w:pPr>
    </w:p>
    <w:p w14:paraId="1AD3B1AB" w14:textId="77777777" w:rsidR="009C6BA7" w:rsidRPr="001112AD" w:rsidRDefault="007734C1" w:rsidP="009C6BA7">
      <w:pPr>
        <w:spacing w:after="0"/>
        <w:jc w:val="both"/>
        <w:rPr>
          <w:rFonts w:ascii="ITC Avant Garde" w:hAnsi="ITC Avant Garde" w:cs="Arial"/>
          <w:bCs/>
        </w:rPr>
      </w:pPr>
      <w:r w:rsidRPr="001112AD">
        <w:rPr>
          <w:rFonts w:ascii="ITC Avant Garde" w:hAnsi="ITC Avant Garde" w:cs="Arial"/>
          <w:bCs/>
        </w:rPr>
        <w:t xml:space="preserve">En ese sentido, de conformidad con el artículo 51 de la </w:t>
      </w:r>
      <w:proofErr w:type="spellStart"/>
      <w:r w:rsidRPr="001112AD">
        <w:rPr>
          <w:rFonts w:ascii="ITC Avant Garde" w:hAnsi="ITC Avant Garde" w:cs="Arial"/>
          <w:bCs/>
        </w:rPr>
        <w:t>LFTyR</w:t>
      </w:r>
      <w:proofErr w:type="spellEnd"/>
      <w:r w:rsidRPr="001112AD">
        <w:rPr>
          <w:rFonts w:ascii="ITC Avant Garde" w:hAnsi="ITC Avant Garde" w:cs="Arial"/>
          <w:bCs/>
        </w:rPr>
        <w:t xml:space="preserve">, </w:t>
      </w:r>
      <w:r w:rsidR="009C6BA7" w:rsidRPr="001112AD">
        <w:rPr>
          <w:rFonts w:ascii="ITC Avant Garde" w:hAnsi="ITC Avant Garde" w:cs="Arial"/>
          <w:bCs/>
        </w:rPr>
        <w:t>el Pleno del Instituto podrá realizar consultas públicas en cualquier caso que así lo determine, y ésta deberá llevarse a cabo bajo los principios de transparencia y participación ciudadana.</w:t>
      </w:r>
    </w:p>
    <w:p w14:paraId="1AD3B1AC" w14:textId="77777777" w:rsidR="007734C1" w:rsidRPr="001112AD" w:rsidRDefault="007734C1" w:rsidP="00017D37">
      <w:pPr>
        <w:spacing w:after="0"/>
        <w:jc w:val="both"/>
        <w:rPr>
          <w:rFonts w:ascii="ITC Avant Garde" w:hAnsi="ITC Avant Garde" w:cs="Arial"/>
          <w:bCs/>
        </w:rPr>
      </w:pPr>
    </w:p>
    <w:p w14:paraId="1AD3B1AD" w14:textId="3CA7C7A2" w:rsidR="007734C1" w:rsidRPr="001112AD" w:rsidRDefault="00A12755" w:rsidP="007734C1">
      <w:pPr>
        <w:spacing w:after="0"/>
        <w:jc w:val="both"/>
        <w:rPr>
          <w:rFonts w:ascii="ITC Avant Garde" w:eastAsia="Times New Roman" w:hAnsi="ITC Avant Garde"/>
          <w:bCs/>
        </w:rPr>
      </w:pPr>
      <w:r>
        <w:rPr>
          <w:rFonts w:ascii="ITC Avant Garde" w:eastAsia="Times New Roman" w:hAnsi="ITC Avant Garde"/>
          <w:bCs/>
        </w:rPr>
        <w:t>Para estos efectos, se estima conveniente un plazo de</w:t>
      </w:r>
      <w:r w:rsidR="00CC7119">
        <w:rPr>
          <w:rFonts w:ascii="ITC Avant Garde" w:eastAsia="Times New Roman" w:hAnsi="ITC Avant Garde"/>
          <w:bCs/>
        </w:rPr>
        <w:t xml:space="preserve"> 30</w:t>
      </w:r>
      <w:r>
        <w:rPr>
          <w:rFonts w:ascii="ITC Avant Garde" w:eastAsia="Times New Roman" w:hAnsi="ITC Avant Garde"/>
          <w:bCs/>
        </w:rPr>
        <w:t xml:space="preserve"> </w:t>
      </w:r>
      <w:r w:rsidR="00CC7119">
        <w:rPr>
          <w:rFonts w:ascii="ITC Avant Garde" w:eastAsia="Times New Roman" w:hAnsi="ITC Avant Garde"/>
          <w:bCs/>
        </w:rPr>
        <w:t>(</w:t>
      </w:r>
      <w:r>
        <w:rPr>
          <w:rFonts w:ascii="ITC Avant Garde" w:eastAsia="Times New Roman" w:hAnsi="ITC Avant Garde"/>
          <w:bCs/>
        </w:rPr>
        <w:t>treinta</w:t>
      </w:r>
      <w:r w:rsidR="00CC7119">
        <w:rPr>
          <w:rFonts w:ascii="ITC Avant Garde" w:eastAsia="Times New Roman" w:hAnsi="ITC Avant Garde"/>
          <w:bCs/>
        </w:rPr>
        <w:t>)</w:t>
      </w:r>
      <w:r>
        <w:rPr>
          <w:rFonts w:ascii="ITC Avant Garde" w:eastAsia="Times New Roman" w:hAnsi="ITC Avant Garde"/>
          <w:bCs/>
        </w:rPr>
        <w:t xml:space="preserve"> días hábiles de consulta pública.</w:t>
      </w:r>
    </w:p>
    <w:p w14:paraId="0ACA8CD5" w14:textId="77777777" w:rsidR="004437A6" w:rsidRPr="001112AD" w:rsidRDefault="004437A6" w:rsidP="00017D37">
      <w:pPr>
        <w:spacing w:after="0"/>
        <w:jc w:val="both"/>
        <w:rPr>
          <w:rFonts w:ascii="ITC Avant Garde" w:hAnsi="ITC Avant Garde" w:cs="Arial"/>
          <w:bCs/>
        </w:rPr>
      </w:pPr>
    </w:p>
    <w:p w14:paraId="1AD3B1B3" w14:textId="4501164A" w:rsidR="007734C1" w:rsidRPr="001112AD" w:rsidRDefault="007734C1" w:rsidP="00017D37">
      <w:pPr>
        <w:spacing w:after="0"/>
        <w:jc w:val="both"/>
        <w:rPr>
          <w:rFonts w:ascii="ITC Avant Garde" w:hAnsi="ITC Avant Garde" w:cs="Arial"/>
          <w:bCs/>
        </w:rPr>
      </w:pPr>
      <w:r w:rsidRPr="001112AD">
        <w:rPr>
          <w:rFonts w:ascii="ITC Avant Garde" w:hAnsi="ITC Avant Garde" w:cs="Arial"/>
          <w:bCs/>
        </w:rPr>
        <w:t>Por lo antes expuesto y con fundamento en lo dispuesto por los artículos 28</w:t>
      </w:r>
      <w:r w:rsidR="004F1012" w:rsidRPr="001112AD">
        <w:rPr>
          <w:rFonts w:ascii="ITC Avant Garde" w:hAnsi="ITC Avant Garde" w:cs="Arial"/>
          <w:bCs/>
        </w:rPr>
        <w:t>,</w:t>
      </w:r>
      <w:r w:rsidRPr="001112AD">
        <w:rPr>
          <w:rFonts w:ascii="ITC Avant Garde" w:hAnsi="ITC Avant Garde" w:cs="Arial"/>
          <w:bCs/>
        </w:rPr>
        <w:t xml:space="preserve"> párrafos décimo quinto</w:t>
      </w:r>
      <w:r w:rsidR="004F1012" w:rsidRPr="001112AD">
        <w:rPr>
          <w:rFonts w:ascii="ITC Avant Garde" w:hAnsi="ITC Avant Garde" w:cs="Arial"/>
          <w:bCs/>
        </w:rPr>
        <w:t xml:space="preserve"> y</w:t>
      </w:r>
      <w:r w:rsidRPr="001112AD">
        <w:rPr>
          <w:rFonts w:ascii="ITC Avant Garde" w:hAnsi="ITC Avant Garde" w:cs="Arial"/>
          <w:bCs/>
        </w:rPr>
        <w:t xml:space="preserve"> décimo sexto de la Constitución Política de los Estados Unidos Mexicanos; 1, 2, 7</w:t>
      </w:r>
      <w:r w:rsidR="00F83C97">
        <w:rPr>
          <w:rFonts w:ascii="ITC Avant Garde" w:hAnsi="ITC Avant Garde" w:cs="Arial"/>
          <w:bCs/>
        </w:rPr>
        <w:t>,</w:t>
      </w:r>
      <w:r w:rsidR="00F83C97" w:rsidRPr="00713B5A">
        <w:rPr>
          <w:rFonts w:ascii="ITC Avant Garde" w:hAnsi="ITC Avant Garde" w:cs="Arial"/>
          <w:bCs/>
        </w:rPr>
        <w:t xml:space="preserve"> </w:t>
      </w:r>
      <w:r w:rsidR="00F83C97">
        <w:rPr>
          <w:rFonts w:ascii="ITC Avant Garde" w:hAnsi="ITC Avant Garde" w:cs="Arial"/>
          <w:bCs/>
        </w:rPr>
        <w:t>15 fracción XL</w:t>
      </w:r>
      <w:r w:rsidR="0085396E" w:rsidRPr="001112AD">
        <w:rPr>
          <w:rFonts w:ascii="ITC Avant Garde" w:hAnsi="ITC Avant Garde" w:cs="Arial"/>
          <w:bCs/>
        </w:rPr>
        <w:t xml:space="preserve"> </w:t>
      </w:r>
      <w:r w:rsidRPr="001112AD">
        <w:rPr>
          <w:rFonts w:ascii="ITC Avant Garde" w:hAnsi="ITC Avant Garde" w:cs="Arial"/>
          <w:bCs/>
        </w:rPr>
        <w:t>y 51 de la Ley Federal de Telecomunicaciones y Radiodifusión</w:t>
      </w:r>
      <w:r w:rsidR="004F1012" w:rsidRPr="001112AD">
        <w:rPr>
          <w:rFonts w:ascii="ITC Avant Garde" w:hAnsi="ITC Avant Garde" w:cs="Arial"/>
          <w:bCs/>
        </w:rPr>
        <w:t>,</w:t>
      </w:r>
      <w:r w:rsidRPr="001112AD">
        <w:rPr>
          <w:rFonts w:ascii="ITC Avant Garde" w:hAnsi="ITC Avant Garde" w:cs="Arial"/>
          <w:bCs/>
        </w:rPr>
        <w:t xml:space="preserve"> y 1</w:t>
      </w:r>
      <w:r w:rsidR="0085396E" w:rsidRPr="001112AD">
        <w:rPr>
          <w:rFonts w:ascii="ITC Avant Garde" w:hAnsi="ITC Avant Garde" w:cs="Arial"/>
          <w:bCs/>
        </w:rPr>
        <w:t xml:space="preserve"> y</w:t>
      </w:r>
      <w:r w:rsidRPr="001112AD">
        <w:rPr>
          <w:rFonts w:ascii="ITC Avant Garde" w:hAnsi="ITC Avant Garde" w:cs="Arial"/>
          <w:bCs/>
        </w:rPr>
        <w:t xml:space="preserve"> 4</w:t>
      </w:r>
      <w:r w:rsidR="004F1012" w:rsidRPr="001112AD">
        <w:rPr>
          <w:rFonts w:ascii="ITC Avant Garde" w:hAnsi="ITC Avant Garde" w:cs="Arial"/>
          <w:bCs/>
        </w:rPr>
        <w:t>,</w:t>
      </w:r>
      <w:r w:rsidRPr="001112AD">
        <w:rPr>
          <w:rFonts w:ascii="ITC Avant Garde" w:hAnsi="ITC Avant Garde" w:cs="Arial"/>
          <w:bCs/>
        </w:rPr>
        <w:t xml:space="preserve"> fracción I del Estatuto Orgánico del Instituto Federal de Telecomunicaciones, el Pleno del Instituto expide </w:t>
      </w:r>
      <w:r w:rsidR="004F1012" w:rsidRPr="001112AD">
        <w:rPr>
          <w:rFonts w:ascii="ITC Avant Garde" w:hAnsi="ITC Avant Garde" w:cs="Arial"/>
          <w:bCs/>
        </w:rPr>
        <w:t xml:space="preserve">el </w:t>
      </w:r>
      <w:r w:rsidRPr="001112AD">
        <w:rPr>
          <w:rFonts w:ascii="ITC Avant Garde" w:hAnsi="ITC Avant Garde" w:cs="Arial"/>
          <w:bCs/>
        </w:rPr>
        <w:t>siguiente:</w:t>
      </w:r>
    </w:p>
    <w:p w14:paraId="1AD3B1B5" w14:textId="77777777" w:rsidR="00017D37" w:rsidRPr="001112AD" w:rsidRDefault="00017D37" w:rsidP="007734C1">
      <w:pPr>
        <w:spacing w:after="0"/>
        <w:jc w:val="both"/>
        <w:rPr>
          <w:rFonts w:ascii="ITC Avant Garde" w:hAnsi="ITC Avant Garde" w:cs="Arial"/>
          <w:bCs/>
        </w:rPr>
      </w:pPr>
    </w:p>
    <w:p w14:paraId="1AD3B1B6" w14:textId="77777777" w:rsidR="007734C1" w:rsidRPr="00546310" w:rsidRDefault="007734C1" w:rsidP="00546310">
      <w:pPr>
        <w:pStyle w:val="Ttulo2"/>
        <w:jc w:val="center"/>
        <w:rPr>
          <w:rFonts w:ascii="ITC Avant Garde" w:hAnsi="ITC Avant Garde" w:cs="Arial"/>
          <w:b/>
          <w:bCs/>
          <w:color w:val="000000" w:themeColor="text1"/>
        </w:rPr>
      </w:pPr>
      <w:r w:rsidRPr="00546310">
        <w:rPr>
          <w:rFonts w:ascii="ITC Avant Garde" w:eastAsia="Times New Roman" w:hAnsi="ITC Avant Garde"/>
          <w:b/>
          <w:color w:val="000000" w:themeColor="text1"/>
          <w:sz w:val="22"/>
          <w:szCs w:val="22"/>
        </w:rPr>
        <w:t>ACUERDO</w:t>
      </w:r>
    </w:p>
    <w:p w14:paraId="1AD3B1BA" w14:textId="77777777" w:rsidR="007734C1" w:rsidRDefault="007734C1" w:rsidP="007734C1">
      <w:pPr>
        <w:widowControl w:val="0"/>
        <w:spacing w:after="0"/>
        <w:jc w:val="both"/>
        <w:rPr>
          <w:rFonts w:ascii="ITC Avant Garde" w:hAnsi="ITC Avant Garde" w:cs="Arial"/>
          <w:bCs/>
        </w:rPr>
      </w:pPr>
    </w:p>
    <w:p w14:paraId="524953C7" w14:textId="3B65273F" w:rsidR="00CC7119" w:rsidRPr="003A09AC" w:rsidRDefault="00CC7119" w:rsidP="00CC7119">
      <w:pPr>
        <w:spacing w:after="0"/>
        <w:jc w:val="both"/>
        <w:rPr>
          <w:rFonts w:ascii="ITC Avant Garde" w:hAnsi="ITC Avant Garde" w:cs="Arial"/>
          <w:bCs/>
        </w:rPr>
      </w:pPr>
      <w:r w:rsidRPr="00713B5A">
        <w:rPr>
          <w:rFonts w:ascii="ITC Avant Garde" w:hAnsi="ITC Avant Garde" w:cs="Arial"/>
          <w:b/>
          <w:bCs/>
        </w:rPr>
        <w:t>PRIMERO</w:t>
      </w:r>
      <w:r w:rsidRPr="00713B5A">
        <w:rPr>
          <w:rFonts w:ascii="ITC Avant Garde" w:hAnsi="ITC Avant Garde" w:cs="Arial"/>
          <w:bCs/>
        </w:rPr>
        <w:t xml:space="preserve">.- </w:t>
      </w:r>
      <w:r w:rsidRPr="003A09AC">
        <w:rPr>
          <w:rFonts w:ascii="ITC Avant Garde" w:hAnsi="ITC Avant Garde" w:cs="Arial"/>
          <w:bCs/>
        </w:rPr>
        <w:t>Se acuerda someter a consulta pública</w:t>
      </w:r>
      <w:r w:rsidR="00F719E1">
        <w:rPr>
          <w:rFonts w:ascii="ITC Avant Garde" w:hAnsi="ITC Avant Garde" w:cs="Arial"/>
          <w:bCs/>
        </w:rPr>
        <w:t xml:space="preserve"> la efectividad en términos de competencia de las medidas impuestas al Agente Económico Preponderante en la</w:t>
      </w:r>
      <w:r w:rsidRPr="003A09AC">
        <w:rPr>
          <w:rFonts w:ascii="ITC Avant Garde" w:hAnsi="ITC Avant Garde" w:cs="Arial"/>
          <w:bCs/>
        </w:rPr>
        <w:t xml:space="preserve"> </w:t>
      </w:r>
      <w:r w:rsidR="00F719E1" w:rsidRPr="003A09AC">
        <w:rPr>
          <w:rFonts w:ascii="ITC Avant Garde" w:hAnsi="ITC Avant Garde" w:cs="Arial"/>
          <w:bCs/>
        </w:rPr>
        <w:t>resolución</w:t>
      </w:r>
      <w:r w:rsidR="00F719E1">
        <w:rPr>
          <w:rFonts w:ascii="ITC Avant Garde" w:hAnsi="ITC Avant Garde" w:cs="Arial"/>
          <w:bCs/>
        </w:rPr>
        <w:t xml:space="preserve"> </w:t>
      </w:r>
      <w:r w:rsidR="00F719E1" w:rsidRPr="002C1CED">
        <w:rPr>
          <w:rFonts w:ascii="ITC Avant Garde" w:eastAsia="Times New Roman" w:hAnsi="ITC Avant Garde"/>
        </w:rPr>
        <w:t>P/IFT/EXT/060314/7</w:t>
      </w:r>
      <w:r w:rsidR="00F719E1">
        <w:rPr>
          <w:rFonts w:ascii="ITC Avant Garde" w:eastAsia="Times New Roman" w:hAnsi="ITC Avant Garde"/>
        </w:rPr>
        <w:t>6</w:t>
      </w:r>
      <w:r w:rsidR="00F719E1" w:rsidRPr="003A09AC">
        <w:rPr>
          <w:rFonts w:ascii="ITC Avant Garde" w:hAnsi="ITC Avant Garde" w:cs="Arial"/>
          <w:bCs/>
        </w:rPr>
        <w:t xml:space="preserve"> </w:t>
      </w:r>
      <w:r w:rsidR="00F719E1">
        <w:rPr>
          <w:rFonts w:ascii="ITC Avant Garde" w:hAnsi="ITC Avant Garde" w:cs="Arial"/>
          <w:bCs/>
        </w:rPr>
        <w:t xml:space="preserve">de fecha </w:t>
      </w:r>
      <w:r w:rsidR="00F719E1" w:rsidRPr="002C1CED">
        <w:rPr>
          <w:rFonts w:ascii="ITC Avant Garde" w:eastAsia="Times New Roman" w:hAnsi="ITC Avant Garde"/>
        </w:rPr>
        <w:t>6 de marzo de 2014</w:t>
      </w:r>
      <w:r w:rsidRPr="003A09AC">
        <w:rPr>
          <w:rFonts w:ascii="ITC Avant Garde" w:hAnsi="ITC Avant Garde" w:cs="Arial"/>
          <w:bCs/>
        </w:rPr>
        <w:t>, por un plazo de treinta días hábiles, a partir del día siguiente de la publicación de la consulta en el portal de Internet del Instituto.</w:t>
      </w:r>
    </w:p>
    <w:p w14:paraId="621FD933" w14:textId="77777777" w:rsidR="00CC7119" w:rsidRPr="003A09AC" w:rsidRDefault="00CC7119" w:rsidP="00CC7119">
      <w:pPr>
        <w:spacing w:after="0"/>
        <w:jc w:val="both"/>
        <w:rPr>
          <w:rFonts w:ascii="ITC Avant Garde" w:hAnsi="ITC Avant Garde" w:cs="Arial"/>
          <w:bCs/>
        </w:rPr>
      </w:pPr>
    </w:p>
    <w:p w14:paraId="7ADC668B" w14:textId="013D14C6" w:rsidR="00CC7119" w:rsidRDefault="00CC7119" w:rsidP="00CC7119">
      <w:pPr>
        <w:spacing w:after="0"/>
        <w:jc w:val="both"/>
        <w:rPr>
          <w:rFonts w:ascii="ITC Avant Garde" w:hAnsi="ITC Avant Garde" w:cs="Arial"/>
          <w:bCs/>
        </w:rPr>
      </w:pPr>
      <w:r w:rsidRPr="003A09AC">
        <w:rPr>
          <w:rFonts w:ascii="ITC Avant Garde" w:hAnsi="ITC Avant Garde" w:cs="Arial"/>
          <w:bCs/>
        </w:rPr>
        <w:t>La consulta pública tendrá por objeto, mediante la mecánica que publique la Unidad de Política Regulatoria del Instituto, obtener análisis, comentarios, observaciones, opiniones y cualquier otra información que pueda ser útil para evaluar el impacto en términos de competencia de las medidas impuestas al A</w:t>
      </w:r>
      <w:r w:rsidR="0096139D">
        <w:rPr>
          <w:rFonts w:ascii="ITC Avant Garde" w:hAnsi="ITC Avant Garde" w:cs="Arial"/>
          <w:bCs/>
        </w:rPr>
        <w:t xml:space="preserve">gente </w:t>
      </w:r>
      <w:r w:rsidRPr="003A09AC">
        <w:rPr>
          <w:rFonts w:ascii="ITC Avant Garde" w:hAnsi="ITC Avant Garde" w:cs="Arial"/>
          <w:bCs/>
        </w:rPr>
        <w:t>E</w:t>
      </w:r>
      <w:r w:rsidR="0096139D">
        <w:rPr>
          <w:rFonts w:ascii="ITC Avant Garde" w:hAnsi="ITC Avant Garde" w:cs="Arial"/>
          <w:bCs/>
        </w:rPr>
        <w:t xml:space="preserve">conómico </w:t>
      </w:r>
      <w:r w:rsidRPr="003A09AC">
        <w:rPr>
          <w:rFonts w:ascii="ITC Avant Garde" w:hAnsi="ITC Avant Garde" w:cs="Arial"/>
          <w:bCs/>
        </w:rPr>
        <w:t>P</w:t>
      </w:r>
      <w:r w:rsidR="0096139D">
        <w:rPr>
          <w:rFonts w:ascii="ITC Avant Garde" w:hAnsi="ITC Avant Garde" w:cs="Arial"/>
          <w:bCs/>
        </w:rPr>
        <w:t>reponderante</w:t>
      </w:r>
      <w:r w:rsidRPr="003A09AC">
        <w:rPr>
          <w:rFonts w:ascii="ITC Avant Garde" w:hAnsi="ITC Avant Garde" w:cs="Arial"/>
          <w:bCs/>
        </w:rPr>
        <w:t xml:space="preserve"> y, en su caso, propuestas justificadas de supresión, modificación</w:t>
      </w:r>
      <w:r w:rsidR="004A492E">
        <w:rPr>
          <w:rFonts w:ascii="ITC Avant Garde" w:hAnsi="ITC Avant Garde" w:cs="Arial"/>
          <w:bCs/>
        </w:rPr>
        <w:t xml:space="preserve"> </w:t>
      </w:r>
      <w:r w:rsidRPr="003A09AC">
        <w:rPr>
          <w:rFonts w:ascii="ITC Avant Garde" w:hAnsi="ITC Avant Garde" w:cs="Arial"/>
          <w:bCs/>
        </w:rPr>
        <w:t>o adición</w:t>
      </w:r>
      <w:r w:rsidR="004A492E">
        <w:rPr>
          <w:rFonts w:ascii="ITC Avant Garde" w:hAnsi="ITC Avant Garde" w:cs="Arial"/>
          <w:bCs/>
        </w:rPr>
        <w:t>.</w:t>
      </w:r>
    </w:p>
    <w:p w14:paraId="74A6346A" w14:textId="77777777" w:rsidR="00CC7119" w:rsidRPr="001112AD" w:rsidRDefault="00CC7119" w:rsidP="007734C1">
      <w:pPr>
        <w:widowControl w:val="0"/>
        <w:spacing w:after="0"/>
        <w:jc w:val="both"/>
        <w:rPr>
          <w:rFonts w:ascii="ITC Avant Garde" w:hAnsi="ITC Avant Garde" w:cs="Arial"/>
          <w:bCs/>
        </w:rPr>
      </w:pPr>
    </w:p>
    <w:p w14:paraId="1AD3B1BC" w14:textId="7C4D9D74" w:rsidR="007734C1" w:rsidRPr="001F1D4E" w:rsidRDefault="007734C1" w:rsidP="007734C1">
      <w:pPr>
        <w:spacing w:after="0"/>
        <w:jc w:val="both"/>
        <w:rPr>
          <w:rFonts w:ascii="ITC Avant Garde" w:hAnsi="ITC Avant Garde" w:cs="Arial"/>
          <w:bCs/>
        </w:rPr>
      </w:pPr>
      <w:r w:rsidRPr="001112AD">
        <w:rPr>
          <w:rFonts w:ascii="ITC Avant Garde" w:hAnsi="ITC Avant Garde" w:cs="Arial"/>
          <w:b/>
          <w:bCs/>
        </w:rPr>
        <w:t>SEGUNDO</w:t>
      </w:r>
      <w:r w:rsidRPr="001112AD">
        <w:rPr>
          <w:rFonts w:ascii="ITC Avant Garde" w:hAnsi="ITC Avant Garde" w:cs="Arial"/>
          <w:bCs/>
        </w:rPr>
        <w:t xml:space="preserve">.- Se instruye a la Unidad de Política Regulatoria a recibir y dar la atención que corresponda a las </w:t>
      </w:r>
      <w:r w:rsidR="00221E33">
        <w:rPr>
          <w:rFonts w:ascii="ITC Avant Garde" w:hAnsi="ITC Avant Garde" w:cs="Arial"/>
          <w:bCs/>
        </w:rPr>
        <w:t xml:space="preserve">opiniones, observaciones y </w:t>
      </w:r>
      <w:r w:rsidR="004F1012" w:rsidRPr="001112AD">
        <w:rPr>
          <w:rFonts w:ascii="ITC Avant Garde" w:hAnsi="ITC Avant Garde" w:cs="Arial"/>
          <w:bCs/>
        </w:rPr>
        <w:t xml:space="preserve">propuestas </w:t>
      </w:r>
      <w:r w:rsidRPr="001112AD">
        <w:rPr>
          <w:rFonts w:ascii="ITC Avant Garde" w:hAnsi="ITC Avant Garde" w:cs="Arial"/>
          <w:bCs/>
        </w:rPr>
        <w:t>que sean vertidas en virtud de la consulta pública materia del presente Acuerdo.</w:t>
      </w:r>
    </w:p>
    <w:p w14:paraId="1AD3B1BD" w14:textId="77777777" w:rsidR="007734C1" w:rsidRDefault="007734C1" w:rsidP="007734C1">
      <w:pPr>
        <w:spacing w:after="0"/>
        <w:jc w:val="both"/>
        <w:rPr>
          <w:rFonts w:ascii="ITC Avant Garde" w:hAnsi="ITC Avant Garde" w:cs="Arial"/>
          <w:bCs/>
        </w:rPr>
      </w:pPr>
      <w:r w:rsidRPr="001112AD">
        <w:rPr>
          <w:rFonts w:ascii="ITC Avant Garde" w:hAnsi="ITC Avant Garde" w:cs="Arial"/>
          <w:b/>
          <w:bCs/>
        </w:rPr>
        <w:t>TERCERO</w:t>
      </w:r>
      <w:r w:rsidRPr="001112AD">
        <w:rPr>
          <w:rFonts w:ascii="ITC Avant Garde" w:hAnsi="ITC Avant Garde" w:cs="Arial"/>
          <w:bCs/>
        </w:rPr>
        <w:t>.- Publíquese en el portal de Internet del Instituto Federal de Telecomunicaciones.</w:t>
      </w:r>
    </w:p>
    <w:p w14:paraId="315B6D66" w14:textId="77777777" w:rsidR="002C40B2" w:rsidRDefault="002C40B2" w:rsidP="007734C1">
      <w:pPr>
        <w:spacing w:after="0"/>
        <w:jc w:val="both"/>
        <w:rPr>
          <w:rFonts w:ascii="ITC Avant Garde" w:hAnsi="ITC Avant Garde" w:cs="Arial"/>
          <w:bCs/>
        </w:rPr>
      </w:pPr>
    </w:p>
    <w:p w14:paraId="517260AB" w14:textId="1FA6CB40" w:rsidR="00546310" w:rsidRPr="00546310" w:rsidRDefault="000E0AC1" w:rsidP="00546310">
      <w:pPr>
        <w:spacing w:after="0" w:line="240" w:lineRule="auto"/>
        <w:jc w:val="both"/>
        <w:rPr>
          <w:rFonts w:ascii="ITC Avant Garde" w:hAnsi="ITC Avant Garde" w:cs="Arial"/>
          <w:bCs/>
          <w:sz w:val="14"/>
          <w:szCs w:val="14"/>
        </w:rPr>
      </w:pPr>
      <w:r w:rsidRPr="000E0AC1">
        <w:rPr>
          <w:rFonts w:ascii="ITC Avant Garde" w:hAnsi="ITC Avant Garde" w:cs="Arial"/>
          <w:bCs/>
          <w:sz w:val="14"/>
          <w:szCs w:val="14"/>
        </w:rPr>
        <w:t>El presente Acuerdo fue aprobado por el Pleno del Instituto Federal de Telecomunicaciones en su IX Sesión Ordinaria celebrada el 6 de abril de 2016, por unanimidad de votos de los Comisionados presentes Gabriel Oswaldo Contreras Saldívar, Ernesto Estrada González, Adriana Sofía Labardini Inzunza, María Elena Estavillo Flores, Mario Germán Fromow Rangel y Adolfo Cuevas Teja; con fundamento en los párrafos vigésimo, fracciones I y III; y vigésimo primero, del artículo 28 de la Constitución Política de los Estados Unidos Mexicanos; artículos 7, 16 y 45 de la Ley Federal de Telecomunicaciones y Radiodifusión; así como en los artículos 1, 7, 8 y 12 del Estatuto Orgánico del Instituto Federal de Telecomunicaciones, mediante Acuerdo P/IFT/060416/133.</w:t>
      </w:r>
    </w:p>
    <w:sectPr w:rsidR="00546310" w:rsidRPr="00546310" w:rsidSect="00017D37">
      <w:headerReference w:type="default" r:id="rId11"/>
      <w:footerReference w:type="default" r:id="rId12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FD6A1" w14:textId="77777777" w:rsidR="007D7AB1" w:rsidRDefault="007D7AB1" w:rsidP="007734C1">
      <w:pPr>
        <w:spacing w:after="0" w:line="240" w:lineRule="auto"/>
      </w:pPr>
      <w:r>
        <w:separator/>
      </w:r>
    </w:p>
  </w:endnote>
  <w:endnote w:type="continuationSeparator" w:id="0">
    <w:p w14:paraId="3819E1B3" w14:textId="77777777" w:rsidR="007D7AB1" w:rsidRDefault="007D7AB1" w:rsidP="0077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6098"/>
      <w:docPartObj>
        <w:docPartGallery w:val="Page Numbers (Bottom of Page)"/>
        <w:docPartUnique/>
      </w:docPartObj>
    </w:sdtPr>
    <w:sdtEndPr/>
    <w:sdtContent>
      <w:p w14:paraId="1AD3B1E3" w14:textId="77777777" w:rsidR="00017D37" w:rsidRDefault="00017D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310" w:rsidRPr="00546310">
          <w:rPr>
            <w:noProof/>
            <w:lang w:val="es-ES"/>
          </w:rPr>
          <w:t>1</w:t>
        </w:r>
        <w:r>
          <w:fldChar w:fldCharType="end"/>
        </w:r>
      </w:p>
    </w:sdtContent>
  </w:sdt>
  <w:p w14:paraId="1AD3B1E4" w14:textId="77777777" w:rsidR="00017D37" w:rsidRDefault="00017D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122D3" w14:textId="77777777" w:rsidR="007D7AB1" w:rsidRDefault="007D7AB1" w:rsidP="007734C1">
      <w:pPr>
        <w:spacing w:after="0" w:line="240" w:lineRule="auto"/>
      </w:pPr>
      <w:r>
        <w:separator/>
      </w:r>
    </w:p>
  </w:footnote>
  <w:footnote w:type="continuationSeparator" w:id="0">
    <w:p w14:paraId="4E2DC891" w14:textId="77777777" w:rsidR="007D7AB1" w:rsidRDefault="007D7AB1" w:rsidP="00773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3B1E2" w14:textId="46B66024" w:rsidR="007734C1" w:rsidRDefault="007734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3718A"/>
    <w:multiLevelType w:val="hybridMultilevel"/>
    <w:tmpl w:val="433237E4"/>
    <w:lvl w:ilvl="0" w:tplc="B9103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C1"/>
    <w:rsid w:val="00012AF5"/>
    <w:rsid w:val="00017D37"/>
    <w:rsid w:val="000312E2"/>
    <w:rsid w:val="0003553D"/>
    <w:rsid w:val="000513A0"/>
    <w:rsid w:val="00081909"/>
    <w:rsid w:val="000B0036"/>
    <w:rsid w:val="000B5996"/>
    <w:rsid w:val="000C079F"/>
    <w:rsid w:val="000C3CB3"/>
    <w:rsid w:val="000C3FF3"/>
    <w:rsid w:val="000E0AC1"/>
    <w:rsid w:val="000E6969"/>
    <w:rsid w:val="0010687D"/>
    <w:rsid w:val="001102BC"/>
    <w:rsid w:val="001112AD"/>
    <w:rsid w:val="00123E80"/>
    <w:rsid w:val="00127975"/>
    <w:rsid w:val="0015053A"/>
    <w:rsid w:val="00185EF8"/>
    <w:rsid w:val="001C1AE9"/>
    <w:rsid w:val="001D3589"/>
    <w:rsid w:val="001D72D2"/>
    <w:rsid w:val="001E6961"/>
    <w:rsid w:val="001E6D90"/>
    <w:rsid w:val="001F1D4E"/>
    <w:rsid w:val="002060E6"/>
    <w:rsid w:val="00210F2F"/>
    <w:rsid w:val="00221E33"/>
    <w:rsid w:val="00251A24"/>
    <w:rsid w:val="00290A33"/>
    <w:rsid w:val="002C40B2"/>
    <w:rsid w:val="002D3609"/>
    <w:rsid w:val="00317BC8"/>
    <w:rsid w:val="003316C8"/>
    <w:rsid w:val="00341919"/>
    <w:rsid w:val="003648EB"/>
    <w:rsid w:val="00374611"/>
    <w:rsid w:val="00384C80"/>
    <w:rsid w:val="0038685F"/>
    <w:rsid w:val="003956FC"/>
    <w:rsid w:val="003D202A"/>
    <w:rsid w:val="003D6566"/>
    <w:rsid w:val="003E7762"/>
    <w:rsid w:val="003F40DB"/>
    <w:rsid w:val="00431565"/>
    <w:rsid w:val="00433DBD"/>
    <w:rsid w:val="004341B7"/>
    <w:rsid w:val="0043657D"/>
    <w:rsid w:val="004437A6"/>
    <w:rsid w:val="0045233A"/>
    <w:rsid w:val="00491C39"/>
    <w:rsid w:val="004A492E"/>
    <w:rsid w:val="004E33C6"/>
    <w:rsid w:val="004F1012"/>
    <w:rsid w:val="004F4AC6"/>
    <w:rsid w:val="005013FC"/>
    <w:rsid w:val="005025CC"/>
    <w:rsid w:val="00514F5F"/>
    <w:rsid w:val="005169B6"/>
    <w:rsid w:val="0053476C"/>
    <w:rsid w:val="00546310"/>
    <w:rsid w:val="00547729"/>
    <w:rsid w:val="00563FB0"/>
    <w:rsid w:val="005800FE"/>
    <w:rsid w:val="00594336"/>
    <w:rsid w:val="00595C1D"/>
    <w:rsid w:val="005C4D01"/>
    <w:rsid w:val="005F7EF5"/>
    <w:rsid w:val="006174A6"/>
    <w:rsid w:val="00671D71"/>
    <w:rsid w:val="00676820"/>
    <w:rsid w:val="00677D2D"/>
    <w:rsid w:val="006C20DB"/>
    <w:rsid w:val="007734C1"/>
    <w:rsid w:val="007B7C9F"/>
    <w:rsid w:val="007D5259"/>
    <w:rsid w:val="007D7AB1"/>
    <w:rsid w:val="007E7488"/>
    <w:rsid w:val="007E7F42"/>
    <w:rsid w:val="0083145E"/>
    <w:rsid w:val="0085396E"/>
    <w:rsid w:val="008569F6"/>
    <w:rsid w:val="00864A17"/>
    <w:rsid w:val="008D771C"/>
    <w:rsid w:val="008E5A64"/>
    <w:rsid w:val="008F2005"/>
    <w:rsid w:val="008F449D"/>
    <w:rsid w:val="00906FF1"/>
    <w:rsid w:val="00912719"/>
    <w:rsid w:val="00934F27"/>
    <w:rsid w:val="0094328E"/>
    <w:rsid w:val="00950FE2"/>
    <w:rsid w:val="0096139D"/>
    <w:rsid w:val="00967A1F"/>
    <w:rsid w:val="00970C88"/>
    <w:rsid w:val="0097574D"/>
    <w:rsid w:val="00977093"/>
    <w:rsid w:val="00990092"/>
    <w:rsid w:val="009A5918"/>
    <w:rsid w:val="009C6BA7"/>
    <w:rsid w:val="009E3C90"/>
    <w:rsid w:val="009E6DA0"/>
    <w:rsid w:val="009F4ADB"/>
    <w:rsid w:val="00A01EE2"/>
    <w:rsid w:val="00A12755"/>
    <w:rsid w:val="00A26D86"/>
    <w:rsid w:val="00A53714"/>
    <w:rsid w:val="00A7005D"/>
    <w:rsid w:val="00A86F2E"/>
    <w:rsid w:val="00AF4EBC"/>
    <w:rsid w:val="00B10657"/>
    <w:rsid w:val="00B4793C"/>
    <w:rsid w:val="00B71ED6"/>
    <w:rsid w:val="00B95A19"/>
    <w:rsid w:val="00C11BE7"/>
    <w:rsid w:val="00C14D24"/>
    <w:rsid w:val="00C666F8"/>
    <w:rsid w:val="00C72BEC"/>
    <w:rsid w:val="00CC516D"/>
    <w:rsid w:val="00CC7119"/>
    <w:rsid w:val="00CE713F"/>
    <w:rsid w:val="00D23DB1"/>
    <w:rsid w:val="00D348E9"/>
    <w:rsid w:val="00D41EB4"/>
    <w:rsid w:val="00D50F3D"/>
    <w:rsid w:val="00DB28A2"/>
    <w:rsid w:val="00DD7D4D"/>
    <w:rsid w:val="00DE0AD7"/>
    <w:rsid w:val="00DF0E82"/>
    <w:rsid w:val="00DF13F2"/>
    <w:rsid w:val="00E246D5"/>
    <w:rsid w:val="00E31B74"/>
    <w:rsid w:val="00E530A8"/>
    <w:rsid w:val="00E5517E"/>
    <w:rsid w:val="00E75D0E"/>
    <w:rsid w:val="00E80A70"/>
    <w:rsid w:val="00E9598A"/>
    <w:rsid w:val="00EA20F8"/>
    <w:rsid w:val="00EB3366"/>
    <w:rsid w:val="00EB379B"/>
    <w:rsid w:val="00EF5EC5"/>
    <w:rsid w:val="00F06692"/>
    <w:rsid w:val="00F22D4D"/>
    <w:rsid w:val="00F37061"/>
    <w:rsid w:val="00F719E1"/>
    <w:rsid w:val="00F83C97"/>
    <w:rsid w:val="00F94696"/>
    <w:rsid w:val="00FA0C81"/>
    <w:rsid w:val="00FA7C43"/>
    <w:rsid w:val="00FB314A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3B175"/>
  <w15:chartTrackingRefBased/>
  <w15:docId w15:val="{0FD99238-D509-4D2C-BE47-9E62052E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4C1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5463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63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3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34C1"/>
  </w:style>
  <w:style w:type="paragraph" w:styleId="Piedepgina">
    <w:name w:val="footer"/>
    <w:basedOn w:val="Normal"/>
    <w:link w:val="PiedepginaCar"/>
    <w:uiPriority w:val="99"/>
    <w:unhideWhenUsed/>
    <w:rsid w:val="00773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4C1"/>
  </w:style>
  <w:style w:type="paragraph" w:styleId="Prrafodelista">
    <w:name w:val="List Paragraph"/>
    <w:basedOn w:val="Normal"/>
    <w:link w:val="PrrafodelistaCar"/>
    <w:uiPriority w:val="34"/>
    <w:qFormat/>
    <w:rsid w:val="007734C1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PrrafodelistaCar">
    <w:name w:val="Párrafo de lista Car"/>
    <w:link w:val="Prrafodelista"/>
    <w:uiPriority w:val="34"/>
    <w:locked/>
    <w:rsid w:val="007734C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3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28E"/>
    <w:rPr>
      <w:rFonts w:ascii="Segoe UI" w:eastAsia="Calibr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64A1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864A17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64A17"/>
    <w:rPr>
      <w:rFonts w:ascii="Calibri" w:eastAsia="Calibri" w:hAnsi="Calibri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4A1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4A17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A86F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5463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463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0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9B726321B4A3448B30A47EA8E28E9E" ma:contentTypeVersion="0" ma:contentTypeDescription="Crear nuevo documento." ma:contentTypeScope="" ma:versionID="f18349b6eec2de5b96ae8586d98a08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113B3-8138-4BFE-B1A6-8EA712899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62CB69-4E7C-44C9-9954-B8F8E7FCC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A99D12-5E9F-4D62-8BB7-F63335F46E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84A92E-BB55-445D-9937-D3C2B087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</dc:creator>
  <cp:keywords/>
  <dc:description/>
  <cp:lastModifiedBy>Maria del Consuelo Gonzalez Moreno</cp:lastModifiedBy>
  <cp:revision>14</cp:revision>
  <dcterms:created xsi:type="dcterms:W3CDTF">2016-04-06T21:40:00Z</dcterms:created>
  <dcterms:modified xsi:type="dcterms:W3CDTF">2016-05-17T15:08:00Z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0x0101001F9B726321B4A3448B30A47EA8E28E9E</vt:lpwstr>
  </property>
</Properties>
</file>