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48154" w14:textId="77777777" w:rsidR="004D22EA" w:rsidRPr="004D22EA" w:rsidRDefault="00E62532" w:rsidP="004D22EA">
      <w:pPr>
        <w:pStyle w:val="Ttulo1"/>
        <w:keepLines/>
        <w:spacing w:before="240" w:after="240"/>
        <w:jc w:val="both"/>
        <w:rPr>
          <w:rFonts w:ascii="ITC Avant Garde" w:eastAsiaTheme="majorEastAsia" w:hAnsi="ITC Avant Garde" w:cstheme="majorBidi"/>
          <w:color w:val="000000" w:themeColor="text1"/>
          <w:szCs w:val="24"/>
          <w:lang w:val="es-MX" w:eastAsia="es-MX"/>
        </w:rPr>
      </w:pPr>
      <w:r w:rsidRPr="004D22EA">
        <w:rPr>
          <w:rFonts w:ascii="ITC Avant Garde" w:eastAsiaTheme="majorEastAsia" w:hAnsi="ITC Avant Garde" w:cstheme="majorBidi"/>
          <w:color w:val="000000" w:themeColor="text1"/>
          <w:szCs w:val="24"/>
          <w:lang w:val="es-MX" w:eastAsia="es-MX"/>
        </w:rPr>
        <w:t xml:space="preserve">RESOLUCIÓN MEDIANTE LA CUAL EL PLENO DEL INSTITUTO FEDERAL DE TELECOMUNICACIONES AUTORIZA </w:t>
      </w:r>
      <w:r w:rsidR="000F2CDA" w:rsidRPr="004D22EA">
        <w:rPr>
          <w:rFonts w:ascii="ITC Avant Garde" w:eastAsiaTheme="majorEastAsia" w:hAnsi="ITC Avant Garde" w:cstheme="majorBidi"/>
          <w:color w:val="000000" w:themeColor="text1"/>
          <w:szCs w:val="24"/>
          <w:lang w:val="es-MX" w:eastAsia="es-MX"/>
        </w:rPr>
        <w:t xml:space="preserve">LA ENAJENACIÓN DE ACCIONES </w:t>
      </w:r>
      <w:r w:rsidR="00EF2B74" w:rsidRPr="004D22EA">
        <w:rPr>
          <w:rFonts w:ascii="ITC Avant Garde" w:eastAsiaTheme="majorEastAsia" w:hAnsi="ITC Avant Garde" w:cstheme="majorBidi"/>
          <w:color w:val="000000" w:themeColor="text1"/>
          <w:szCs w:val="24"/>
          <w:lang w:val="es-MX" w:eastAsia="es-MX"/>
        </w:rPr>
        <w:t>PARA SER AFECTADAS EN FIDEICOMISO</w:t>
      </w:r>
      <w:r w:rsidR="00FD60C2" w:rsidRPr="004D22EA">
        <w:rPr>
          <w:rFonts w:ascii="ITC Avant Garde" w:eastAsiaTheme="majorEastAsia" w:hAnsi="ITC Avant Garde" w:cstheme="majorBidi"/>
          <w:color w:val="000000" w:themeColor="text1"/>
          <w:szCs w:val="24"/>
          <w:lang w:val="es-MX" w:eastAsia="es-MX"/>
        </w:rPr>
        <w:t>,</w:t>
      </w:r>
      <w:r w:rsidR="00EF2B74" w:rsidRPr="004D22EA">
        <w:rPr>
          <w:rFonts w:ascii="ITC Avant Garde" w:eastAsiaTheme="majorEastAsia" w:hAnsi="ITC Avant Garde" w:cstheme="majorBidi"/>
          <w:color w:val="000000" w:themeColor="text1"/>
          <w:szCs w:val="24"/>
          <w:lang w:val="es-MX" w:eastAsia="es-MX"/>
        </w:rPr>
        <w:t xml:space="preserve"> </w:t>
      </w:r>
      <w:r w:rsidR="000F2CDA" w:rsidRPr="004D22EA">
        <w:rPr>
          <w:rFonts w:ascii="ITC Avant Garde" w:eastAsiaTheme="majorEastAsia" w:hAnsi="ITC Avant Garde" w:cstheme="majorBidi"/>
          <w:color w:val="000000" w:themeColor="text1"/>
          <w:szCs w:val="24"/>
          <w:lang w:val="es-MX" w:eastAsia="es-MX"/>
        </w:rPr>
        <w:t xml:space="preserve">DE LA EMPRESA </w:t>
      </w:r>
      <w:r w:rsidRPr="004D22EA">
        <w:rPr>
          <w:rFonts w:ascii="ITC Avant Garde" w:eastAsiaTheme="majorEastAsia" w:hAnsi="ITC Avant Garde" w:cstheme="majorBidi"/>
          <w:color w:val="000000" w:themeColor="text1"/>
          <w:szCs w:val="24"/>
          <w:lang w:val="es-MX" w:eastAsia="es-MX"/>
        </w:rPr>
        <w:t>ALTÁN REDES, S.A.P.I. DE C.V., TITULAR DE UNA CONCESIÓN PARA USO COMERCIAL CON CARÁCTER DE RED COMPARTIDA MAYORISTA DE SERVICIOS</w:t>
      </w:r>
      <w:r w:rsidR="000F2CDA" w:rsidRPr="004D22EA">
        <w:rPr>
          <w:rFonts w:ascii="ITC Avant Garde" w:eastAsiaTheme="majorEastAsia" w:hAnsi="ITC Avant Garde" w:cstheme="majorBidi"/>
          <w:color w:val="000000" w:themeColor="text1"/>
          <w:szCs w:val="24"/>
          <w:lang w:val="es-MX" w:eastAsia="es-MX"/>
        </w:rPr>
        <w:t xml:space="preserve"> DE TELECOMUNICACIONES.</w:t>
      </w:r>
    </w:p>
    <w:p w14:paraId="53677F51" w14:textId="77777777" w:rsidR="004D22EA" w:rsidRPr="004D22EA" w:rsidRDefault="00067854" w:rsidP="004D22EA">
      <w:pPr>
        <w:pStyle w:val="Ttulo2"/>
        <w:keepLines/>
        <w:spacing w:before="40" w:after="240" w:line="276" w:lineRule="auto"/>
        <w:ind w:firstLine="0"/>
        <w:jc w:val="center"/>
        <w:rPr>
          <w:rFonts w:ascii="ITC Avant Garde" w:eastAsiaTheme="majorEastAsia" w:hAnsi="ITC Avant Garde" w:cstheme="majorBidi"/>
          <w:b w:val="0"/>
          <w:color w:val="000000" w:themeColor="text1"/>
          <w:sz w:val="22"/>
          <w:szCs w:val="22"/>
          <w:lang w:eastAsia="en-US"/>
        </w:rPr>
      </w:pPr>
      <w:r w:rsidRPr="004D22EA">
        <w:rPr>
          <w:rFonts w:ascii="ITC Avant Garde" w:eastAsiaTheme="majorEastAsia" w:hAnsi="ITC Avant Garde" w:cstheme="majorBidi"/>
          <w:color w:val="000000" w:themeColor="text1"/>
          <w:sz w:val="22"/>
          <w:szCs w:val="22"/>
          <w:lang w:eastAsia="en-US"/>
        </w:rPr>
        <w:t>ANTECEDENTES</w:t>
      </w:r>
    </w:p>
    <w:p w14:paraId="522E3ACD" w14:textId="77777777" w:rsidR="004D22EA" w:rsidRPr="004D22EA" w:rsidRDefault="007D1B3D" w:rsidP="004D22EA">
      <w:pPr>
        <w:numPr>
          <w:ilvl w:val="0"/>
          <w:numId w:val="1"/>
        </w:numPr>
        <w:spacing w:after="240"/>
        <w:ind w:left="567" w:hanging="578"/>
        <w:jc w:val="both"/>
        <w:rPr>
          <w:rFonts w:ascii="ITC Avant Garde" w:hAnsi="ITC Avant Garde"/>
          <w:bCs/>
          <w:color w:val="000000"/>
          <w:sz w:val="22"/>
          <w:szCs w:val="22"/>
          <w:lang w:val="es-MX" w:eastAsia="es-MX"/>
        </w:rPr>
      </w:pPr>
      <w:r w:rsidRPr="004D22EA">
        <w:rPr>
          <w:rFonts w:ascii="ITC Avant Garde" w:hAnsi="ITC Avant Garde"/>
          <w:b/>
          <w:bCs/>
          <w:color w:val="000000"/>
          <w:sz w:val="22"/>
          <w:szCs w:val="22"/>
          <w:lang w:val="es-MX" w:eastAsia="es-MX"/>
        </w:rPr>
        <w:t>Decreto de Reforma Constitucional.</w:t>
      </w:r>
      <w:r w:rsidRPr="004D22EA">
        <w:rPr>
          <w:rFonts w:ascii="ITC Avant Garde" w:hAnsi="ITC Avant Garde"/>
          <w:bCs/>
          <w:color w:val="000000"/>
          <w:sz w:val="22"/>
          <w:szCs w:val="22"/>
          <w:lang w:val="es-MX" w:eastAsia="es-MX"/>
        </w:rPr>
        <w:t xml:space="preserve"> Con fecha 11 de junio de 2013, se publicó en el Diario Ofi</w:t>
      </w:r>
      <w:r w:rsidR="00277386" w:rsidRPr="004D22EA">
        <w:rPr>
          <w:rFonts w:ascii="ITC Avant Garde" w:hAnsi="ITC Avant Garde"/>
          <w:bCs/>
          <w:color w:val="000000"/>
          <w:sz w:val="22"/>
          <w:szCs w:val="22"/>
          <w:lang w:val="es-MX" w:eastAsia="es-MX"/>
        </w:rPr>
        <w:t>cial de la Federación</w:t>
      </w:r>
      <w:r w:rsidRPr="004D22EA">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4D22EA">
        <w:rPr>
          <w:rFonts w:ascii="ITC Avant Garde" w:hAnsi="ITC Avant Garde"/>
          <w:bCs/>
          <w:color w:val="000000"/>
          <w:sz w:val="22"/>
          <w:szCs w:val="22"/>
          <w:lang w:val="es-MX" w:eastAsia="es-MX"/>
        </w:rPr>
        <w:t>,</w:t>
      </w:r>
      <w:r w:rsidRPr="004D22EA">
        <w:rPr>
          <w:rFonts w:ascii="ITC Avant Garde" w:hAnsi="ITC Avant Garde"/>
          <w:bCs/>
          <w:color w:val="000000"/>
          <w:sz w:val="22"/>
          <w:szCs w:val="22"/>
          <w:lang w:val="es-MX" w:eastAsia="es-MX"/>
        </w:rPr>
        <w:t xml:space="preserve"> en materia de telecomunicaciones”, mediante el cual se creó el Instituto Federal de Telecomunicaciones</w:t>
      </w:r>
      <w:r w:rsidR="00987253" w:rsidRPr="004D22EA">
        <w:rPr>
          <w:rFonts w:ascii="ITC Avant Garde" w:hAnsi="ITC Avant Garde"/>
          <w:bCs/>
          <w:color w:val="000000"/>
          <w:sz w:val="22"/>
          <w:szCs w:val="22"/>
          <w:lang w:val="es-MX" w:eastAsia="es-MX"/>
        </w:rPr>
        <w:t xml:space="preserve"> (el “Instituto”)</w:t>
      </w:r>
      <w:r w:rsidRPr="004D22EA">
        <w:rPr>
          <w:rFonts w:ascii="ITC Avant Garde" w:hAnsi="ITC Avant Garde"/>
          <w:bCs/>
          <w:color w:val="000000"/>
          <w:sz w:val="22"/>
          <w:szCs w:val="22"/>
          <w:lang w:val="es-MX" w:eastAsia="es-MX"/>
        </w:rPr>
        <w:t xml:space="preserve"> </w:t>
      </w:r>
      <w:r w:rsidR="00901008" w:rsidRPr="004D22EA">
        <w:rPr>
          <w:rFonts w:ascii="ITC Avant Garde" w:hAnsi="ITC Avant Garde"/>
          <w:bCs/>
          <w:color w:val="000000"/>
          <w:sz w:val="22"/>
          <w:szCs w:val="22"/>
          <w:lang w:eastAsia="es-MX"/>
        </w:rPr>
        <w:t>como un órgano autónomo que tiene por objeto el desarrollo eficiente de la radiodifusión y las telecomunicaciones</w:t>
      </w:r>
      <w:r w:rsidRPr="004D22EA">
        <w:rPr>
          <w:rFonts w:ascii="ITC Avant Garde" w:hAnsi="ITC Avant Garde"/>
          <w:bCs/>
          <w:color w:val="000000"/>
          <w:sz w:val="22"/>
          <w:szCs w:val="22"/>
          <w:lang w:val="es-MX" w:eastAsia="es-MX"/>
        </w:rPr>
        <w:t>.</w:t>
      </w:r>
    </w:p>
    <w:p w14:paraId="5F62DAF9" w14:textId="77777777" w:rsidR="004D22EA" w:rsidRPr="004D22EA" w:rsidRDefault="007A014A" w:rsidP="004D22EA">
      <w:pPr>
        <w:numPr>
          <w:ilvl w:val="0"/>
          <w:numId w:val="1"/>
        </w:numPr>
        <w:spacing w:after="240"/>
        <w:ind w:left="567" w:hanging="578"/>
        <w:jc w:val="both"/>
        <w:rPr>
          <w:rFonts w:ascii="ITC Avant Garde" w:hAnsi="ITC Avant Garde"/>
          <w:bCs/>
          <w:color w:val="000000"/>
          <w:sz w:val="22"/>
          <w:szCs w:val="22"/>
          <w:lang w:val="es-MX" w:eastAsia="es-MX"/>
        </w:rPr>
      </w:pPr>
      <w:r w:rsidRPr="004D22EA">
        <w:rPr>
          <w:rFonts w:ascii="ITC Avant Garde" w:hAnsi="ITC Avant Garde"/>
          <w:b/>
          <w:bCs/>
          <w:color w:val="000000"/>
          <w:sz w:val="22"/>
          <w:szCs w:val="22"/>
          <w:lang w:val="es-MX" w:eastAsia="es-MX"/>
        </w:rPr>
        <w:t xml:space="preserve">Decreto de Ley. </w:t>
      </w:r>
      <w:r w:rsidR="00886DC4" w:rsidRPr="004D22EA">
        <w:rPr>
          <w:rFonts w:ascii="ITC Avant Garde" w:hAnsi="ITC Avant Garde"/>
          <w:bCs/>
          <w:color w:val="000000"/>
          <w:sz w:val="22"/>
          <w:szCs w:val="22"/>
          <w:lang w:val="es-MX" w:eastAsia="es-MX"/>
        </w:rPr>
        <w:t xml:space="preserve">El </w:t>
      </w:r>
      <w:r w:rsidR="007D1B3D" w:rsidRPr="004D22EA">
        <w:rPr>
          <w:rFonts w:ascii="ITC Avant Garde" w:hAnsi="ITC Avant Garde"/>
          <w:bCs/>
          <w:color w:val="000000"/>
          <w:sz w:val="22"/>
          <w:szCs w:val="22"/>
          <w:lang w:val="es-MX" w:eastAsia="es-MX"/>
        </w:rPr>
        <w:t>14 de julio de 2014, se publicó en el D</w:t>
      </w:r>
      <w:r w:rsidR="00277386" w:rsidRPr="004D22EA">
        <w:rPr>
          <w:rFonts w:ascii="ITC Avant Garde" w:hAnsi="ITC Avant Garde"/>
          <w:bCs/>
          <w:color w:val="000000"/>
          <w:sz w:val="22"/>
          <w:szCs w:val="22"/>
          <w:lang w:val="es-MX" w:eastAsia="es-MX"/>
        </w:rPr>
        <w:t xml:space="preserve">iario </w:t>
      </w:r>
      <w:r w:rsidR="007D1B3D" w:rsidRPr="004D22EA">
        <w:rPr>
          <w:rFonts w:ascii="ITC Avant Garde" w:hAnsi="ITC Avant Garde"/>
          <w:bCs/>
          <w:color w:val="000000"/>
          <w:sz w:val="22"/>
          <w:szCs w:val="22"/>
          <w:lang w:val="es-MX" w:eastAsia="es-MX"/>
        </w:rPr>
        <w:t>O</w:t>
      </w:r>
      <w:r w:rsidR="00277386" w:rsidRPr="004D22EA">
        <w:rPr>
          <w:rFonts w:ascii="ITC Avant Garde" w:hAnsi="ITC Avant Garde"/>
          <w:bCs/>
          <w:color w:val="000000"/>
          <w:sz w:val="22"/>
          <w:szCs w:val="22"/>
          <w:lang w:val="es-MX" w:eastAsia="es-MX"/>
        </w:rPr>
        <w:t xml:space="preserve">ficial de la </w:t>
      </w:r>
      <w:r w:rsidR="007D1B3D" w:rsidRPr="004D22EA">
        <w:rPr>
          <w:rFonts w:ascii="ITC Avant Garde" w:hAnsi="ITC Avant Garde"/>
          <w:bCs/>
          <w:color w:val="000000"/>
          <w:sz w:val="22"/>
          <w:szCs w:val="22"/>
          <w:lang w:val="es-MX" w:eastAsia="es-MX"/>
        </w:rPr>
        <w:t>F</w:t>
      </w:r>
      <w:r w:rsidR="00277386" w:rsidRPr="004D22EA">
        <w:rPr>
          <w:rFonts w:ascii="ITC Avant Garde" w:hAnsi="ITC Avant Garde"/>
          <w:bCs/>
          <w:color w:val="000000"/>
          <w:sz w:val="22"/>
          <w:szCs w:val="22"/>
          <w:lang w:val="es-MX" w:eastAsia="es-MX"/>
        </w:rPr>
        <w:t>ederación</w:t>
      </w:r>
      <w:r w:rsidR="007D1B3D" w:rsidRPr="004D22EA">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r w:rsidRPr="004D22EA">
        <w:rPr>
          <w:rFonts w:ascii="ITC Avant Garde" w:hAnsi="ITC Avant Garde"/>
          <w:bCs/>
          <w:color w:val="000000"/>
          <w:sz w:val="22"/>
          <w:szCs w:val="22"/>
          <w:lang w:val="es-MX" w:eastAsia="es-MX"/>
        </w:rPr>
        <w:t>.</w:t>
      </w:r>
    </w:p>
    <w:p w14:paraId="773BBD53" w14:textId="77777777" w:rsidR="004D22EA" w:rsidRPr="004D22EA" w:rsidRDefault="001F3C6E" w:rsidP="004D22EA">
      <w:pPr>
        <w:numPr>
          <w:ilvl w:val="0"/>
          <w:numId w:val="1"/>
        </w:numPr>
        <w:spacing w:after="240"/>
        <w:ind w:left="567" w:hanging="578"/>
        <w:jc w:val="both"/>
        <w:rPr>
          <w:rFonts w:ascii="ITC Avant Garde" w:hAnsi="ITC Avant Garde"/>
          <w:bCs/>
          <w:color w:val="000000"/>
          <w:sz w:val="22"/>
          <w:szCs w:val="22"/>
          <w:lang w:val="es-MX" w:eastAsia="es-MX"/>
        </w:rPr>
      </w:pPr>
      <w:r w:rsidRPr="004D22EA">
        <w:rPr>
          <w:rFonts w:ascii="ITC Avant Garde" w:hAnsi="ITC Avant Garde"/>
          <w:b/>
          <w:bCs/>
          <w:color w:val="000000"/>
          <w:sz w:val="22"/>
          <w:szCs w:val="22"/>
          <w:lang w:val="es-MX" w:eastAsia="es-MX"/>
        </w:rPr>
        <w:t>Estatuto Orgánico</w:t>
      </w:r>
      <w:r w:rsidR="004903F9" w:rsidRPr="004D22EA">
        <w:rPr>
          <w:rFonts w:ascii="ITC Avant Garde" w:hAnsi="ITC Avant Garde"/>
          <w:b/>
          <w:bCs/>
          <w:color w:val="000000"/>
          <w:sz w:val="22"/>
          <w:szCs w:val="22"/>
          <w:lang w:val="es-MX" w:eastAsia="es-MX"/>
        </w:rPr>
        <w:t>.</w:t>
      </w:r>
      <w:r w:rsidR="004903F9" w:rsidRPr="004D22EA">
        <w:rPr>
          <w:rFonts w:ascii="ITC Avant Garde" w:hAnsi="ITC Avant Garde"/>
          <w:bCs/>
          <w:color w:val="000000"/>
          <w:sz w:val="22"/>
          <w:szCs w:val="22"/>
          <w:lang w:val="es-MX" w:eastAsia="es-MX"/>
        </w:rPr>
        <w:t xml:space="preserve"> </w:t>
      </w:r>
      <w:r w:rsidRPr="004D22EA">
        <w:rPr>
          <w:rFonts w:ascii="ITC Avant Garde" w:hAnsi="ITC Avant Garde"/>
          <w:bCs/>
          <w:color w:val="000000"/>
          <w:sz w:val="22"/>
          <w:szCs w:val="22"/>
          <w:lang w:val="es-MX" w:eastAsia="es-MX"/>
        </w:rPr>
        <w:t xml:space="preserve">El 4 de septiembre de 2014, se publicó en el Diario Oficial de la Federación el “Estatuto Orgánico del Instituto Federal de Telecomunicaciones”, mismo que entró en vigor el 26 de septiembre de 2014 y fue modificado </w:t>
      </w:r>
      <w:r w:rsidR="00590378" w:rsidRPr="004D22EA">
        <w:rPr>
          <w:rFonts w:ascii="ITC Avant Garde" w:hAnsi="ITC Avant Garde"/>
          <w:bCs/>
          <w:color w:val="000000"/>
          <w:sz w:val="22"/>
          <w:szCs w:val="22"/>
          <w:lang w:val="es-MX" w:eastAsia="es-MX"/>
        </w:rPr>
        <w:t>por última vez</w:t>
      </w:r>
      <w:r w:rsidR="000B7735" w:rsidRPr="004D22EA">
        <w:rPr>
          <w:rFonts w:ascii="ITC Avant Garde" w:hAnsi="ITC Avant Garde"/>
          <w:bCs/>
          <w:color w:val="000000"/>
          <w:sz w:val="22"/>
          <w:szCs w:val="22"/>
          <w:lang w:val="es-MX" w:eastAsia="es-MX"/>
        </w:rPr>
        <w:t xml:space="preserve"> el 17 de octubre de 2016</w:t>
      </w:r>
      <w:r w:rsidRPr="004D22EA">
        <w:rPr>
          <w:rFonts w:ascii="ITC Avant Garde" w:hAnsi="ITC Avant Garde"/>
          <w:bCs/>
          <w:color w:val="000000"/>
          <w:sz w:val="22"/>
          <w:szCs w:val="22"/>
          <w:lang w:val="es-MX" w:eastAsia="es-MX"/>
        </w:rPr>
        <w:t>.</w:t>
      </w:r>
    </w:p>
    <w:p w14:paraId="76208187" w14:textId="77777777" w:rsidR="004D22EA" w:rsidRPr="004D22EA" w:rsidRDefault="00810777" w:rsidP="004D22EA">
      <w:pPr>
        <w:pStyle w:val="Prrafodelista"/>
        <w:numPr>
          <w:ilvl w:val="0"/>
          <w:numId w:val="1"/>
        </w:numPr>
        <w:spacing w:after="240"/>
        <w:ind w:left="567" w:hanging="567"/>
        <w:jc w:val="both"/>
        <w:rPr>
          <w:rFonts w:ascii="ITC Avant Garde" w:hAnsi="ITC Avant Garde"/>
          <w:b/>
          <w:bCs/>
          <w:color w:val="000000"/>
          <w:sz w:val="22"/>
          <w:szCs w:val="22"/>
          <w:lang w:val="es-MX" w:eastAsia="es-MX"/>
        </w:rPr>
      </w:pPr>
      <w:r w:rsidRPr="004D22EA">
        <w:rPr>
          <w:rFonts w:ascii="ITC Avant Garde" w:hAnsi="ITC Avant Garde"/>
          <w:b/>
          <w:bCs/>
          <w:color w:val="000000"/>
          <w:sz w:val="22"/>
          <w:szCs w:val="22"/>
          <w:lang w:val="es-MX" w:eastAsia="es-MX"/>
        </w:rPr>
        <w:t>Otorgamiento de la c</w:t>
      </w:r>
      <w:r w:rsidR="00A91C63" w:rsidRPr="004D22EA">
        <w:rPr>
          <w:rFonts w:ascii="ITC Avant Garde" w:hAnsi="ITC Avant Garde"/>
          <w:b/>
          <w:bCs/>
          <w:color w:val="000000"/>
          <w:sz w:val="22"/>
          <w:szCs w:val="22"/>
          <w:lang w:val="es-MX" w:eastAsia="es-MX"/>
        </w:rPr>
        <w:t>oncesión para uso comercial con carácter de red compartida mayorista de servicios de telecomunicaciones</w:t>
      </w:r>
      <w:r w:rsidRPr="004D22EA">
        <w:rPr>
          <w:rFonts w:ascii="ITC Avant Garde" w:hAnsi="ITC Avant Garde"/>
          <w:b/>
          <w:bCs/>
          <w:color w:val="000000"/>
          <w:sz w:val="22"/>
          <w:szCs w:val="22"/>
          <w:lang w:val="es-MX" w:eastAsia="es-MX"/>
        </w:rPr>
        <w:t xml:space="preserve"> a Altán Redes, S.A.P.I. de C.V.</w:t>
      </w:r>
      <w:r w:rsidR="00A91C63" w:rsidRPr="004D22EA">
        <w:rPr>
          <w:rFonts w:ascii="ITC Avant Garde" w:hAnsi="ITC Avant Garde"/>
          <w:b/>
          <w:bCs/>
          <w:color w:val="000000"/>
          <w:sz w:val="22"/>
          <w:szCs w:val="22"/>
          <w:lang w:val="es-MX" w:eastAsia="es-MX"/>
        </w:rPr>
        <w:t xml:space="preserve"> </w:t>
      </w:r>
      <w:r w:rsidR="00B85726" w:rsidRPr="004D22EA">
        <w:rPr>
          <w:rFonts w:ascii="ITC Avant Garde" w:hAnsi="ITC Avant Garde"/>
          <w:bCs/>
          <w:color w:val="000000"/>
          <w:sz w:val="22"/>
          <w:szCs w:val="22"/>
          <w:lang w:val="es-MX" w:eastAsia="es-MX"/>
        </w:rPr>
        <w:t>El 24 de enero de 2017, el Instituto otorgó a Alt</w:t>
      </w:r>
      <w:r w:rsidR="00AA6326" w:rsidRPr="004D22EA">
        <w:rPr>
          <w:rFonts w:ascii="ITC Avant Garde" w:hAnsi="ITC Avant Garde"/>
          <w:bCs/>
          <w:color w:val="000000"/>
          <w:sz w:val="22"/>
          <w:szCs w:val="22"/>
          <w:lang w:val="es-MX" w:eastAsia="es-MX"/>
        </w:rPr>
        <w:t xml:space="preserve">án Redes, S.A.P.I. de C.V. </w:t>
      </w:r>
      <w:r w:rsidR="00A91C63" w:rsidRPr="004D22EA">
        <w:rPr>
          <w:rFonts w:ascii="ITC Avant Garde" w:hAnsi="ITC Avant Garde"/>
          <w:bCs/>
          <w:color w:val="000000"/>
          <w:sz w:val="22"/>
          <w:szCs w:val="22"/>
          <w:lang w:val="es-MX" w:eastAsia="es-MX"/>
        </w:rPr>
        <w:t xml:space="preserve">(en lo sucesivo “Altán Redes”) </w:t>
      </w:r>
      <w:r w:rsidR="00B85726" w:rsidRPr="004D22EA">
        <w:rPr>
          <w:rFonts w:ascii="ITC Avant Garde" w:hAnsi="ITC Avant Garde"/>
          <w:bCs/>
          <w:color w:val="000000"/>
          <w:sz w:val="22"/>
          <w:szCs w:val="22"/>
          <w:lang w:val="es-MX" w:eastAsia="es-MX"/>
        </w:rPr>
        <w:t xml:space="preserve">un título de concesión para uso comercial con carácter de red compartida mayorista de servicios de telecomunicaciones, con una vigencia de 20 (veinte) años contados a partir de la fecha de </w:t>
      </w:r>
      <w:r w:rsidR="00A91C63" w:rsidRPr="004D22EA">
        <w:rPr>
          <w:rFonts w:ascii="ITC Avant Garde" w:hAnsi="ITC Avant Garde"/>
          <w:bCs/>
          <w:color w:val="000000"/>
          <w:sz w:val="22"/>
          <w:szCs w:val="22"/>
          <w:lang w:val="es-MX" w:eastAsia="es-MX"/>
        </w:rPr>
        <w:t xml:space="preserve">su </w:t>
      </w:r>
      <w:r w:rsidR="00B85726" w:rsidRPr="004D22EA">
        <w:rPr>
          <w:rFonts w:ascii="ITC Avant Garde" w:hAnsi="ITC Avant Garde"/>
          <w:bCs/>
          <w:color w:val="000000"/>
          <w:sz w:val="22"/>
          <w:szCs w:val="22"/>
          <w:lang w:val="es-MX" w:eastAsia="es-MX"/>
        </w:rPr>
        <w:t>otorgamiento</w:t>
      </w:r>
      <w:r w:rsidR="00AD3BA3" w:rsidRPr="004D22EA">
        <w:rPr>
          <w:rFonts w:ascii="ITC Avant Garde" w:hAnsi="ITC Avant Garde"/>
          <w:bCs/>
          <w:color w:val="000000"/>
          <w:sz w:val="22"/>
          <w:szCs w:val="22"/>
          <w:lang w:val="es-MX" w:eastAsia="es-MX"/>
        </w:rPr>
        <w:t xml:space="preserve"> (la “Concesión</w:t>
      </w:r>
      <w:r w:rsidR="005D3DC0" w:rsidRPr="004D22EA">
        <w:rPr>
          <w:rFonts w:ascii="ITC Avant Garde" w:hAnsi="ITC Avant Garde"/>
          <w:bCs/>
          <w:color w:val="000000"/>
          <w:sz w:val="22"/>
          <w:szCs w:val="22"/>
          <w:lang w:val="es-MX" w:eastAsia="es-MX"/>
        </w:rPr>
        <w:t xml:space="preserve"> Mayori</w:t>
      </w:r>
      <w:r w:rsidRPr="004D22EA">
        <w:rPr>
          <w:rFonts w:ascii="ITC Avant Garde" w:hAnsi="ITC Avant Garde"/>
          <w:bCs/>
          <w:color w:val="000000"/>
          <w:sz w:val="22"/>
          <w:szCs w:val="22"/>
          <w:lang w:val="es-MX" w:eastAsia="es-MX"/>
        </w:rPr>
        <w:t>s</w:t>
      </w:r>
      <w:r w:rsidR="005D3DC0" w:rsidRPr="004D22EA">
        <w:rPr>
          <w:rFonts w:ascii="ITC Avant Garde" w:hAnsi="ITC Avant Garde"/>
          <w:bCs/>
          <w:color w:val="000000"/>
          <w:sz w:val="22"/>
          <w:szCs w:val="22"/>
          <w:lang w:val="es-MX" w:eastAsia="es-MX"/>
        </w:rPr>
        <w:t>ta</w:t>
      </w:r>
      <w:r w:rsidR="00AD3BA3" w:rsidRPr="004D22EA">
        <w:rPr>
          <w:rFonts w:ascii="ITC Avant Garde" w:hAnsi="ITC Avant Garde"/>
          <w:bCs/>
          <w:color w:val="000000"/>
          <w:sz w:val="22"/>
          <w:szCs w:val="22"/>
          <w:lang w:val="es-MX" w:eastAsia="es-MX"/>
        </w:rPr>
        <w:t>”)</w:t>
      </w:r>
      <w:r w:rsidR="00B85726" w:rsidRPr="004D22EA">
        <w:rPr>
          <w:rFonts w:ascii="ITC Avant Garde" w:hAnsi="ITC Avant Garde"/>
          <w:bCs/>
          <w:color w:val="000000"/>
          <w:sz w:val="22"/>
          <w:szCs w:val="22"/>
          <w:lang w:val="es-MX" w:eastAsia="es-MX"/>
        </w:rPr>
        <w:t>.</w:t>
      </w:r>
      <w:r w:rsidR="00F00B7A" w:rsidRPr="004D22EA">
        <w:rPr>
          <w:rFonts w:ascii="ITC Avant Garde" w:hAnsi="ITC Avant Garde"/>
          <w:bCs/>
          <w:color w:val="000000"/>
          <w:sz w:val="22"/>
          <w:szCs w:val="22"/>
          <w:lang w:val="es-MX" w:eastAsia="es-MX"/>
        </w:rPr>
        <w:t xml:space="preserve"> </w:t>
      </w:r>
    </w:p>
    <w:p w14:paraId="5E9F4965" w14:textId="77777777" w:rsidR="004D22EA" w:rsidRPr="004D22EA" w:rsidRDefault="00B85726" w:rsidP="004D22EA">
      <w:pPr>
        <w:pStyle w:val="Prrafodelista"/>
        <w:numPr>
          <w:ilvl w:val="0"/>
          <w:numId w:val="1"/>
        </w:numPr>
        <w:spacing w:after="240"/>
        <w:ind w:left="567" w:hanging="567"/>
        <w:jc w:val="both"/>
        <w:rPr>
          <w:rFonts w:ascii="ITC Avant Garde" w:hAnsi="ITC Avant Garde"/>
          <w:b/>
          <w:bCs/>
          <w:color w:val="000000"/>
          <w:sz w:val="22"/>
          <w:szCs w:val="22"/>
          <w:lang w:val="es-MX" w:eastAsia="es-MX"/>
        </w:rPr>
      </w:pPr>
      <w:r w:rsidRPr="004D22EA">
        <w:rPr>
          <w:rFonts w:ascii="ITC Avant Garde" w:hAnsi="ITC Avant Garde"/>
          <w:b/>
          <w:bCs/>
          <w:color w:val="000000"/>
          <w:sz w:val="22"/>
          <w:szCs w:val="22"/>
          <w:lang w:val="es-MX" w:eastAsia="es-MX"/>
        </w:rPr>
        <w:t xml:space="preserve">Solicitud </w:t>
      </w:r>
      <w:r w:rsidR="00AD3BA3" w:rsidRPr="004D22EA">
        <w:rPr>
          <w:rFonts w:ascii="ITC Avant Garde" w:hAnsi="ITC Avant Garde"/>
          <w:b/>
          <w:bCs/>
          <w:color w:val="000000"/>
          <w:sz w:val="22"/>
          <w:szCs w:val="22"/>
          <w:lang w:val="es-MX" w:eastAsia="es-MX"/>
        </w:rPr>
        <w:t xml:space="preserve">de </w:t>
      </w:r>
      <w:r w:rsidR="00B53214" w:rsidRPr="004D22EA">
        <w:rPr>
          <w:rFonts w:ascii="ITC Avant Garde" w:hAnsi="ITC Avant Garde"/>
          <w:b/>
          <w:bCs/>
          <w:color w:val="000000"/>
          <w:sz w:val="22"/>
          <w:szCs w:val="22"/>
          <w:lang w:val="es-MX" w:eastAsia="es-MX"/>
        </w:rPr>
        <w:t>Enajenación de Acciones</w:t>
      </w:r>
      <w:r w:rsidR="006203E4" w:rsidRPr="004D22EA">
        <w:rPr>
          <w:rFonts w:ascii="ITC Avant Garde" w:hAnsi="ITC Avant Garde"/>
          <w:b/>
          <w:bCs/>
          <w:color w:val="000000"/>
          <w:sz w:val="22"/>
          <w:szCs w:val="22"/>
          <w:lang w:val="es-MX" w:eastAsia="es-MX"/>
        </w:rPr>
        <w:t>.</w:t>
      </w:r>
      <w:r w:rsidR="006203E4" w:rsidRPr="004D22EA">
        <w:rPr>
          <w:rFonts w:ascii="ITC Avant Garde" w:hAnsi="ITC Avant Garde"/>
          <w:bCs/>
          <w:color w:val="000000"/>
          <w:sz w:val="22"/>
          <w:szCs w:val="22"/>
          <w:lang w:val="es-MX" w:eastAsia="es-MX"/>
        </w:rPr>
        <w:t xml:space="preserve"> </w:t>
      </w:r>
      <w:r w:rsidR="00FF2931" w:rsidRPr="004D22EA">
        <w:rPr>
          <w:rFonts w:ascii="ITC Avant Garde" w:hAnsi="ITC Avant Garde"/>
          <w:bCs/>
          <w:color w:val="000000"/>
          <w:sz w:val="22"/>
          <w:szCs w:val="22"/>
          <w:lang w:val="es-MX" w:eastAsia="es-MX"/>
        </w:rPr>
        <w:t>El</w:t>
      </w:r>
      <w:r w:rsidR="00B53214" w:rsidRPr="004D22EA">
        <w:rPr>
          <w:rFonts w:ascii="ITC Avant Garde" w:hAnsi="ITC Avant Garde"/>
          <w:bCs/>
          <w:color w:val="000000"/>
          <w:sz w:val="22"/>
          <w:szCs w:val="22"/>
          <w:lang w:val="es-MX" w:eastAsia="es-MX"/>
        </w:rPr>
        <w:t xml:space="preserve"> 13 de febrero del año en curso, Altán Redes</w:t>
      </w:r>
      <w:r w:rsidR="002C44A9" w:rsidRPr="004D22EA">
        <w:rPr>
          <w:rFonts w:ascii="ITC Avant Garde" w:hAnsi="ITC Avant Garde"/>
          <w:bCs/>
          <w:color w:val="000000"/>
          <w:sz w:val="22"/>
          <w:szCs w:val="22"/>
          <w:lang w:val="es-MX" w:eastAsia="es-MX"/>
        </w:rPr>
        <w:t xml:space="preserve"> solicitó autorización </w:t>
      </w:r>
      <w:r w:rsidR="00B53214" w:rsidRPr="004D22EA">
        <w:rPr>
          <w:rFonts w:ascii="ITC Avant Garde" w:hAnsi="ITC Avant Garde" w:cs="Arial"/>
          <w:sz w:val="22"/>
          <w:szCs w:val="22"/>
        </w:rPr>
        <w:t>para celebrar los siguiente convenios:</w:t>
      </w:r>
    </w:p>
    <w:p w14:paraId="7769A769" w14:textId="77777777" w:rsidR="004D22EA" w:rsidRPr="004D22EA" w:rsidRDefault="002C44A9" w:rsidP="004D22EA">
      <w:pPr>
        <w:pStyle w:val="NormalWeb"/>
        <w:spacing w:after="240"/>
        <w:ind w:left="1134" w:right="1183"/>
        <w:jc w:val="both"/>
        <w:rPr>
          <w:rFonts w:ascii="ITC Avant Garde" w:hAnsi="ITC Avant Garde" w:cs="Arial"/>
          <w:sz w:val="18"/>
          <w:szCs w:val="18"/>
        </w:rPr>
      </w:pPr>
      <w:r w:rsidRPr="004D22EA">
        <w:rPr>
          <w:rFonts w:ascii="ITC Avant Garde" w:hAnsi="ITC Avant Garde" w:cs="Arial"/>
          <w:sz w:val="18"/>
          <w:szCs w:val="18"/>
        </w:rPr>
        <w:t>“[…]</w:t>
      </w:r>
    </w:p>
    <w:p w14:paraId="127E00D8" w14:textId="77777777" w:rsidR="004D22EA" w:rsidRPr="004D22EA" w:rsidRDefault="005D3DC0" w:rsidP="004D22EA">
      <w:pPr>
        <w:pStyle w:val="NormalWeb"/>
        <w:numPr>
          <w:ilvl w:val="0"/>
          <w:numId w:val="4"/>
        </w:numPr>
        <w:spacing w:after="240"/>
        <w:ind w:left="1134" w:right="1183"/>
        <w:jc w:val="both"/>
        <w:rPr>
          <w:rFonts w:ascii="ITC Avant Garde" w:hAnsi="ITC Avant Garde" w:cs="Arial"/>
          <w:b/>
          <w:sz w:val="18"/>
          <w:szCs w:val="18"/>
        </w:rPr>
      </w:pPr>
      <w:r w:rsidRPr="004D22EA">
        <w:rPr>
          <w:rFonts w:ascii="ITC Avant Garde" w:hAnsi="ITC Avant Garde" w:cs="Arial"/>
          <w:b/>
          <w:sz w:val="18"/>
          <w:szCs w:val="18"/>
        </w:rPr>
        <w:t xml:space="preserve">Afectación en fideicomiso y otorgamiento en garantía de las acciones representativas del capital social de </w:t>
      </w:r>
      <w:proofErr w:type="spellStart"/>
      <w:r w:rsidRPr="004D22EA">
        <w:rPr>
          <w:rFonts w:ascii="ITC Avant Garde" w:hAnsi="ITC Avant Garde" w:cs="Arial"/>
          <w:b/>
          <w:sz w:val="18"/>
          <w:szCs w:val="18"/>
        </w:rPr>
        <w:t>Altán</w:t>
      </w:r>
      <w:proofErr w:type="spellEnd"/>
      <w:r w:rsidRPr="004D22EA">
        <w:rPr>
          <w:rFonts w:ascii="ITC Avant Garde" w:hAnsi="ITC Avant Garde" w:cs="Arial"/>
          <w:b/>
          <w:sz w:val="18"/>
          <w:szCs w:val="18"/>
        </w:rPr>
        <w:t xml:space="preserve"> Redes</w:t>
      </w:r>
    </w:p>
    <w:p w14:paraId="38CA42A5" w14:textId="77777777" w:rsidR="004D22EA" w:rsidRPr="004D22EA" w:rsidRDefault="005D3DC0" w:rsidP="004D22EA">
      <w:pPr>
        <w:pStyle w:val="NormalWeb"/>
        <w:spacing w:after="240"/>
        <w:ind w:left="1134" w:right="1183"/>
        <w:jc w:val="both"/>
        <w:rPr>
          <w:rFonts w:ascii="ITC Avant Garde" w:hAnsi="ITC Avant Garde" w:cs="Arial"/>
          <w:sz w:val="18"/>
          <w:szCs w:val="18"/>
        </w:rPr>
      </w:pPr>
      <w:r w:rsidRPr="004D22EA">
        <w:rPr>
          <w:rFonts w:ascii="ITC Avant Garde" w:hAnsi="ITC Avant Garde" w:cs="Arial"/>
          <w:sz w:val="18"/>
          <w:szCs w:val="18"/>
        </w:rPr>
        <w:t>[…]</w:t>
      </w:r>
    </w:p>
    <w:p w14:paraId="30090769" w14:textId="77777777" w:rsidR="004D22EA" w:rsidRPr="004D22EA" w:rsidRDefault="00B53214" w:rsidP="004D22EA">
      <w:pPr>
        <w:pStyle w:val="NormalWeb"/>
        <w:numPr>
          <w:ilvl w:val="0"/>
          <w:numId w:val="3"/>
        </w:numPr>
        <w:spacing w:after="240"/>
        <w:ind w:left="1134" w:right="1183"/>
        <w:jc w:val="both"/>
        <w:rPr>
          <w:rFonts w:ascii="ITC Avant Garde" w:hAnsi="ITC Avant Garde" w:cs="Arial"/>
          <w:sz w:val="18"/>
          <w:szCs w:val="18"/>
        </w:rPr>
      </w:pPr>
      <w:r w:rsidRPr="004D22EA">
        <w:rPr>
          <w:rFonts w:ascii="ITC Avant Garde" w:hAnsi="ITC Avant Garde" w:cs="Arial"/>
          <w:sz w:val="18"/>
          <w:szCs w:val="18"/>
        </w:rPr>
        <w:lastRenderedPageBreak/>
        <w:t xml:space="preserve">Contrato de fideicomiso irrevocable de garantía, inversión, administración y fuente de pago </w:t>
      </w:r>
      <w:r w:rsidR="002C44A9" w:rsidRPr="004D22EA">
        <w:rPr>
          <w:rFonts w:ascii="ITC Avant Garde" w:hAnsi="ITC Avant Garde" w:cs="Arial"/>
          <w:sz w:val="18"/>
          <w:szCs w:val="18"/>
        </w:rPr>
        <w:t xml:space="preserve">a que hace referencia la Cláusula 16 y el Anexo 11 del Contrato APP que será celebrado entre </w:t>
      </w:r>
      <w:r w:rsidR="002C44A9" w:rsidRPr="004D22EA">
        <w:rPr>
          <w:rFonts w:ascii="ITC Avant Garde" w:hAnsi="ITC Avant Garde" w:cs="Arial"/>
          <w:b/>
          <w:sz w:val="18"/>
          <w:szCs w:val="18"/>
        </w:rPr>
        <w:t>(i)</w:t>
      </w:r>
      <w:r w:rsidRPr="004D22EA">
        <w:rPr>
          <w:rFonts w:ascii="ITC Avant Garde" w:hAnsi="ITC Avant Garde" w:cs="Arial"/>
          <w:sz w:val="18"/>
          <w:szCs w:val="18"/>
        </w:rPr>
        <w:t xml:space="preserve"> Altán Redes y </w:t>
      </w:r>
      <w:r w:rsidR="002C44A9" w:rsidRPr="004D22EA">
        <w:rPr>
          <w:rFonts w:ascii="ITC Avant Garde" w:hAnsi="ITC Avant Garde" w:cs="Arial"/>
          <w:sz w:val="18"/>
          <w:szCs w:val="18"/>
        </w:rPr>
        <w:t>los</w:t>
      </w:r>
      <w:r w:rsidRPr="004D22EA">
        <w:rPr>
          <w:rFonts w:ascii="ITC Avant Garde" w:hAnsi="ITC Avant Garde" w:cs="Arial"/>
          <w:sz w:val="18"/>
          <w:szCs w:val="18"/>
        </w:rPr>
        <w:t xml:space="preserve"> </w:t>
      </w:r>
      <w:r w:rsidR="002C44A9" w:rsidRPr="004D22EA">
        <w:rPr>
          <w:rFonts w:ascii="ITC Avant Garde" w:hAnsi="ITC Avant Garde" w:cs="Arial"/>
          <w:sz w:val="18"/>
          <w:szCs w:val="18"/>
        </w:rPr>
        <w:t>A</w:t>
      </w:r>
      <w:r w:rsidRPr="004D22EA">
        <w:rPr>
          <w:rFonts w:ascii="ITC Avant Garde" w:hAnsi="ITC Avant Garde" w:cs="Arial"/>
          <w:sz w:val="18"/>
          <w:szCs w:val="18"/>
        </w:rPr>
        <w:t xml:space="preserve">ccionistas, </w:t>
      </w:r>
      <w:r w:rsidR="002C44A9" w:rsidRPr="004D22EA">
        <w:rPr>
          <w:rFonts w:ascii="ITC Avant Garde" w:hAnsi="ITC Avant Garde" w:cs="Arial"/>
          <w:sz w:val="18"/>
          <w:szCs w:val="18"/>
        </w:rPr>
        <w:t>como</w:t>
      </w:r>
      <w:r w:rsidRPr="004D22EA">
        <w:rPr>
          <w:rFonts w:ascii="ITC Avant Garde" w:hAnsi="ITC Avant Garde" w:cs="Arial"/>
          <w:sz w:val="18"/>
          <w:szCs w:val="18"/>
        </w:rPr>
        <w:t xml:space="preserve"> fideicomitentes y fideicomisarios en tercer lugar</w:t>
      </w:r>
      <w:r w:rsidR="002C44A9" w:rsidRPr="004D22EA">
        <w:rPr>
          <w:rFonts w:ascii="ITC Avant Garde" w:hAnsi="ITC Avant Garde" w:cs="Arial"/>
          <w:sz w:val="18"/>
          <w:szCs w:val="18"/>
        </w:rPr>
        <w:t xml:space="preserve">; </w:t>
      </w:r>
      <w:r w:rsidR="002C44A9" w:rsidRPr="004D22EA">
        <w:rPr>
          <w:rFonts w:ascii="ITC Avant Garde" w:hAnsi="ITC Avant Garde" w:cs="Arial"/>
          <w:b/>
          <w:sz w:val="18"/>
          <w:szCs w:val="18"/>
        </w:rPr>
        <w:t>(ii)</w:t>
      </w:r>
      <w:r w:rsidRPr="004D22EA">
        <w:rPr>
          <w:rFonts w:ascii="ITC Avant Garde" w:hAnsi="ITC Avant Garde" w:cs="Arial"/>
          <w:sz w:val="18"/>
          <w:szCs w:val="18"/>
        </w:rPr>
        <w:t xml:space="preserve"> Banco Nacional de</w:t>
      </w:r>
      <w:r w:rsidR="002C44A9" w:rsidRPr="004D22EA">
        <w:rPr>
          <w:rFonts w:ascii="ITC Avant Garde" w:hAnsi="ITC Avant Garde" w:cs="Arial"/>
          <w:sz w:val="18"/>
          <w:szCs w:val="18"/>
        </w:rPr>
        <w:t xml:space="preserve"> México, S.A., I</w:t>
      </w:r>
      <w:r w:rsidRPr="004D22EA">
        <w:rPr>
          <w:rFonts w:ascii="ITC Avant Garde" w:hAnsi="ITC Avant Garde" w:cs="Arial"/>
          <w:sz w:val="18"/>
          <w:szCs w:val="18"/>
        </w:rPr>
        <w:t>ntegrante del Grupo Financiero</w:t>
      </w:r>
      <w:r w:rsidR="002C44A9" w:rsidRPr="004D22EA">
        <w:rPr>
          <w:rFonts w:ascii="ITC Avant Garde" w:hAnsi="ITC Avant Garde" w:cs="Arial"/>
          <w:sz w:val="18"/>
          <w:szCs w:val="18"/>
        </w:rPr>
        <w:t xml:space="preserve"> Banamex, División Fiduciaria (‘</w:t>
      </w:r>
      <w:r w:rsidR="002C44A9" w:rsidRPr="004D22EA">
        <w:rPr>
          <w:rFonts w:ascii="ITC Avant Garde" w:hAnsi="ITC Avant Garde" w:cs="Arial"/>
          <w:b/>
          <w:sz w:val="18"/>
          <w:szCs w:val="18"/>
        </w:rPr>
        <w:t>Banamex’</w:t>
      </w:r>
      <w:r w:rsidRPr="004D22EA">
        <w:rPr>
          <w:rFonts w:ascii="ITC Avant Garde" w:hAnsi="ITC Avant Garde" w:cs="Arial"/>
          <w:sz w:val="18"/>
          <w:szCs w:val="18"/>
        </w:rPr>
        <w:t>), como agente de garantías, en representación y para beneficio del Banco Nacional de Obras y Servicios Públicos, Sociedad Nacional de Crédito, Institución de Banca de Desarrollo</w:t>
      </w:r>
      <w:r w:rsidR="002C44A9" w:rsidRPr="004D22EA">
        <w:rPr>
          <w:rFonts w:ascii="ITC Avant Garde" w:hAnsi="ITC Avant Garde" w:cs="Arial"/>
          <w:sz w:val="18"/>
          <w:szCs w:val="18"/>
        </w:rPr>
        <w:t xml:space="preserve"> (</w:t>
      </w:r>
      <w:r w:rsidR="002C44A9" w:rsidRPr="004D22EA">
        <w:rPr>
          <w:rFonts w:ascii="ITC Avant Garde" w:hAnsi="ITC Avant Garde" w:cs="Arial"/>
          <w:b/>
          <w:sz w:val="18"/>
          <w:szCs w:val="18"/>
        </w:rPr>
        <w:t>‘Banobras’</w:t>
      </w:r>
      <w:r w:rsidR="002C44A9" w:rsidRPr="004D22EA">
        <w:rPr>
          <w:rFonts w:ascii="ITC Avant Garde" w:hAnsi="ITC Avant Garde" w:cs="Arial"/>
          <w:sz w:val="18"/>
          <w:szCs w:val="18"/>
        </w:rPr>
        <w:t>),</w:t>
      </w:r>
      <w:r w:rsidRPr="004D22EA">
        <w:rPr>
          <w:rFonts w:ascii="ITC Avant Garde" w:hAnsi="ITC Avant Garde" w:cs="Arial"/>
          <w:sz w:val="18"/>
          <w:szCs w:val="18"/>
        </w:rPr>
        <w:t xml:space="preserve"> Nacional Financiera, Sociedad Nacional de Crédito, Institución de Banca de Desarrollo</w:t>
      </w:r>
      <w:r w:rsidR="002C44A9" w:rsidRPr="004D22EA">
        <w:rPr>
          <w:rFonts w:ascii="ITC Avant Garde" w:hAnsi="ITC Avant Garde" w:cs="Arial"/>
          <w:sz w:val="18"/>
          <w:szCs w:val="18"/>
        </w:rPr>
        <w:t xml:space="preserve"> (</w:t>
      </w:r>
      <w:r w:rsidR="002C44A9" w:rsidRPr="004D22EA">
        <w:rPr>
          <w:rFonts w:ascii="ITC Avant Garde" w:hAnsi="ITC Avant Garde" w:cs="Arial"/>
          <w:b/>
          <w:sz w:val="18"/>
          <w:szCs w:val="18"/>
        </w:rPr>
        <w:t>‘Nafin’</w:t>
      </w:r>
      <w:r w:rsidR="002C44A9" w:rsidRPr="004D22EA">
        <w:rPr>
          <w:rFonts w:ascii="ITC Avant Garde" w:hAnsi="ITC Avant Garde" w:cs="Arial"/>
          <w:sz w:val="18"/>
          <w:szCs w:val="18"/>
        </w:rPr>
        <w:t>),</w:t>
      </w:r>
      <w:r w:rsidRPr="004D22EA">
        <w:rPr>
          <w:rFonts w:ascii="ITC Avant Garde" w:hAnsi="ITC Avant Garde" w:cs="Arial"/>
          <w:sz w:val="18"/>
          <w:szCs w:val="18"/>
        </w:rPr>
        <w:t xml:space="preserve"> Banco Nacional de Comercio Exterior, Sociedad Nacional de Crédito, Institución de Banca de Desarrollo</w:t>
      </w:r>
      <w:r w:rsidR="002C44A9" w:rsidRPr="004D22EA">
        <w:rPr>
          <w:rFonts w:ascii="ITC Avant Garde" w:hAnsi="ITC Avant Garde" w:cs="Arial"/>
          <w:sz w:val="18"/>
          <w:szCs w:val="18"/>
        </w:rPr>
        <w:t xml:space="preserve"> (</w:t>
      </w:r>
      <w:r w:rsidR="002C44A9" w:rsidRPr="004D22EA">
        <w:rPr>
          <w:rFonts w:ascii="ITC Avant Garde" w:hAnsi="ITC Avant Garde" w:cs="Arial"/>
          <w:b/>
          <w:sz w:val="18"/>
          <w:szCs w:val="18"/>
        </w:rPr>
        <w:t>‘Bancomext’</w:t>
      </w:r>
      <w:r w:rsidRPr="004D22EA">
        <w:rPr>
          <w:rFonts w:ascii="ITC Avant Garde" w:hAnsi="ITC Avant Garde" w:cs="Arial"/>
          <w:sz w:val="18"/>
          <w:szCs w:val="18"/>
        </w:rPr>
        <w:t xml:space="preserve"> y </w:t>
      </w:r>
      <w:r w:rsidR="002C44A9" w:rsidRPr="004D22EA">
        <w:rPr>
          <w:rFonts w:ascii="ITC Avant Garde" w:hAnsi="ITC Avant Garde" w:cs="Arial"/>
          <w:sz w:val="18"/>
          <w:szCs w:val="18"/>
        </w:rPr>
        <w:t xml:space="preserve">conjuntamente con Banobras y Nafin, la </w:t>
      </w:r>
      <w:r w:rsidR="002C44A9" w:rsidRPr="004D22EA">
        <w:rPr>
          <w:rFonts w:ascii="ITC Avant Garde" w:hAnsi="ITC Avant Garde" w:cs="Arial"/>
          <w:b/>
          <w:sz w:val="18"/>
          <w:szCs w:val="18"/>
        </w:rPr>
        <w:t>‘Banca de Desarrollo’</w:t>
      </w:r>
      <w:r w:rsidR="002C44A9" w:rsidRPr="004D22EA">
        <w:rPr>
          <w:rFonts w:ascii="ITC Avant Garde" w:hAnsi="ITC Avant Garde" w:cs="Arial"/>
          <w:sz w:val="18"/>
          <w:szCs w:val="18"/>
        </w:rPr>
        <w:t>), y</w:t>
      </w:r>
      <w:r w:rsidRPr="004D22EA">
        <w:rPr>
          <w:rFonts w:ascii="ITC Avant Garde" w:hAnsi="ITC Avant Garde" w:cs="Arial"/>
          <w:sz w:val="18"/>
          <w:szCs w:val="18"/>
        </w:rPr>
        <w:t xml:space="preserve"> Nokia Solutions and Networks Servicios, S.A. de C.V., Alcatel-Lucent México, S.A. de C.V., Huawei Technologies de México, S.A. de C.V., y otros posibles proveedores industriales de financiamiento</w:t>
      </w:r>
      <w:r w:rsidR="002C44A9" w:rsidRPr="004D22EA">
        <w:rPr>
          <w:rFonts w:ascii="ITC Avant Garde" w:hAnsi="ITC Avant Garde" w:cs="Arial"/>
          <w:sz w:val="18"/>
          <w:szCs w:val="18"/>
        </w:rPr>
        <w:t xml:space="preserve"> (conjuntamente, los </w:t>
      </w:r>
      <w:r w:rsidR="002C44A9" w:rsidRPr="004D22EA">
        <w:rPr>
          <w:rFonts w:ascii="ITC Avant Garde" w:hAnsi="ITC Avant Garde" w:cs="Arial"/>
          <w:b/>
          <w:sz w:val="18"/>
          <w:szCs w:val="18"/>
        </w:rPr>
        <w:t>‘Proveedores Industriales del Financiamiento’</w:t>
      </w:r>
      <w:r w:rsidR="002C44A9" w:rsidRPr="004D22EA">
        <w:rPr>
          <w:rFonts w:ascii="ITC Avant Garde" w:hAnsi="ITC Avant Garde" w:cs="Arial"/>
          <w:sz w:val="18"/>
          <w:szCs w:val="18"/>
        </w:rPr>
        <w:t>)</w:t>
      </w:r>
      <w:r w:rsidRPr="004D22EA">
        <w:rPr>
          <w:rFonts w:ascii="ITC Avant Garde" w:hAnsi="ITC Avant Garde" w:cs="Arial"/>
          <w:sz w:val="18"/>
          <w:szCs w:val="18"/>
        </w:rPr>
        <w:t>, como fideicomisarios en primer lugar</w:t>
      </w:r>
      <w:r w:rsidR="002C44A9" w:rsidRPr="004D22EA">
        <w:rPr>
          <w:rFonts w:ascii="ITC Avant Garde" w:hAnsi="ITC Avant Garde" w:cs="Arial"/>
          <w:sz w:val="18"/>
          <w:szCs w:val="18"/>
        </w:rPr>
        <w:t xml:space="preserve">, </w:t>
      </w:r>
      <w:r w:rsidR="002C44A9" w:rsidRPr="004D22EA">
        <w:rPr>
          <w:rFonts w:ascii="ITC Avant Garde" w:hAnsi="ITC Avant Garde" w:cs="Arial"/>
          <w:b/>
          <w:sz w:val="18"/>
          <w:szCs w:val="18"/>
        </w:rPr>
        <w:t>(iii)</w:t>
      </w:r>
      <w:r w:rsidRPr="004D22EA">
        <w:rPr>
          <w:rFonts w:ascii="ITC Avant Garde" w:hAnsi="ITC Avant Garde" w:cs="Arial"/>
          <w:sz w:val="18"/>
          <w:szCs w:val="18"/>
        </w:rPr>
        <w:t xml:space="preserve"> ACE Fianzas Monterrey, S.A.</w:t>
      </w:r>
      <w:r w:rsidR="002C44A9" w:rsidRPr="004D22EA">
        <w:rPr>
          <w:rFonts w:ascii="ITC Avant Garde" w:hAnsi="ITC Avant Garde" w:cs="Arial"/>
          <w:sz w:val="18"/>
          <w:szCs w:val="18"/>
        </w:rPr>
        <w:t>,</w:t>
      </w:r>
      <w:r w:rsidRPr="004D22EA">
        <w:rPr>
          <w:rFonts w:ascii="ITC Avant Garde" w:hAnsi="ITC Avant Garde" w:cs="Arial"/>
          <w:sz w:val="18"/>
          <w:szCs w:val="18"/>
        </w:rPr>
        <w:t xml:space="preserve"> como fideicomisario en segundo lugar, y </w:t>
      </w:r>
      <w:r w:rsidR="00D5111B" w:rsidRPr="004D22EA">
        <w:rPr>
          <w:rFonts w:ascii="ITC Avant Garde" w:hAnsi="ITC Avant Garde" w:cs="Arial"/>
          <w:b/>
          <w:sz w:val="18"/>
          <w:szCs w:val="18"/>
        </w:rPr>
        <w:t>(v)</w:t>
      </w:r>
      <w:r w:rsidR="00D5111B" w:rsidRPr="004D22EA">
        <w:rPr>
          <w:rFonts w:ascii="ITC Avant Garde" w:hAnsi="ITC Avant Garde" w:cs="Arial"/>
          <w:sz w:val="18"/>
          <w:szCs w:val="18"/>
        </w:rPr>
        <w:t xml:space="preserve"> </w:t>
      </w:r>
      <w:r w:rsidRPr="004D22EA">
        <w:rPr>
          <w:rFonts w:ascii="ITC Avant Garde" w:hAnsi="ITC Avant Garde" w:cs="Arial"/>
          <w:sz w:val="18"/>
          <w:szCs w:val="18"/>
        </w:rPr>
        <w:t xml:space="preserve">Scotiabank Inverlat, S.A., Institución de Banca Múltiple, Grupo Financiero Scotiabank Inverlat, División Fiduciaria, en su carácter de fiduciario (el </w:t>
      </w:r>
      <w:r w:rsidR="002C44A9" w:rsidRPr="004D22EA">
        <w:rPr>
          <w:rFonts w:ascii="ITC Avant Garde" w:hAnsi="ITC Avant Garde" w:cs="Arial"/>
          <w:b/>
          <w:sz w:val="18"/>
          <w:szCs w:val="18"/>
        </w:rPr>
        <w:t>‘Fideicomiso de Garantía’</w:t>
      </w:r>
      <w:r w:rsidRPr="004D22EA">
        <w:rPr>
          <w:rFonts w:ascii="ITC Avant Garde" w:hAnsi="ITC Avant Garde" w:cs="Arial"/>
          <w:sz w:val="18"/>
          <w:szCs w:val="18"/>
        </w:rPr>
        <w:t>).</w:t>
      </w:r>
    </w:p>
    <w:p w14:paraId="4CB7D7EF" w14:textId="77777777" w:rsidR="004D22EA" w:rsidRPr="004D22EA" w:rsidRDefault="002C44A9" w:rsidP="004D22EA">
      <w:pPr>
        <w:pStyle w:val="NormalWeb"/>
        <w:spacing w:after="240"/>
        <w:ind w:left="1134" w:right="1183"/>
        <w:jc w:val="both"/>
        <w:rPr>
          <w:rFonts w:ascii="ITC Avant Garde" w:hAnsi="ITC Avant Garde" w:cs="Arial"/>
          <w:sz w:val="18"/>
          <w:szCs w:val="18"/>
        </w:rPr>
      </w:pPr>
      <w:r w:rsidRPr="004D22EA">
        <w:rPr>
          <w:rFonts w:ascii="ITC Avant Garde" w:hAnsi="ITC Avant Garde" w:cs="Arial"/>
          <w:sz w:val="18"/>
          <w:szCs w:val="18"/>
        </w:rPr>
        <w:t>E</w:t>
      </w:r>
      <w:r w:rsidR="00B53214" w:rsidRPr="004D22EA">
        <w:rPr>
          <w:rFonts w:ascii="ITC Avant Garde" w:hAnsi="ITC Avant Garde" w:cs="Arial"/>
          <w:sz w:val="18"/>
          <w:szCs w:val="18"/>
        </w:rPr>
        <w:t>l Fideicomiso de Garantía tiene como fines los indica</w:t>
      </w:r>
      <w:r w:rsidRPr="004D22EA">
        <w:rPr>
          <w:rFonts w:ascii="ITC Avant Garde" w:hAnsi="ITC Avant Garde" w:cs="Arial"/>
          <w:sz w:val="18"/>
          <w:szCs w:val="18"/>
        </w:rPr>
        <w:t>dos en el numeral 4 del Anexo 11</w:t>
      </w:r>
      <w:r w:rsidR="00B53214" w:rsidRPr="004D22EA">
        <w:rPr>
          <w:rFonts w:ascii="ITC Avant Garde" w:hAnsi="ITC Avant Garde" w:cs="Arial"/>
          <w:sz w:val="18"/>
          <w:szCs w:val="18"/>
        </w:rPr>
        <w:t xml:space="preserve"> del Contrato APP, incluyendo la aportación al </w:t>
      </w:r>
      <w:r w:rsidRPr="004D22EA">
        <w:rPr>
          <w:rFonts w:ascii="ITC Avant Garde" w:hAnsi="ITC Avant Garde" w:cs="Arial"/>
          <w:sz w:val="18"/>
          <w:szCs w:val="18"/>
        </w:rPr>
        <w:t>F</w:t>
      </w:r>
      <w:r w:rsidR="00B53214" w:rsidRPr="004D22EA">
        <w:rPr>
          <w:rFonts w:ascii="ITC Avant Garde" w:hAnsi="ITC Avant Garde" w:cs="Arial"/>
          <w:sz w:val="18"/>
          <w:szCs w:val="18"/>
        </w:rPr>
        <w:t xml:space="preserve">ideicomiso </w:t>
      </w:r>
      <w:r w:rsidRPr="004D22EA">
        <w:rPr>
          <w:rFonts w:ascii="ITC Avant Garde" w:hAnsi="ITC Avant Garde" w:cs="Arial"/>
          <w:sz w:val="18"/>
          <w:szCs w:val="18"/>
        </w:rPr>
        <w:t xml:space="preserve">de Garantía </w:t>
      </w:r>
      <w:r w:rsidR="00B53214" w:rsidRPr="004D22EA">
        <w:rPr>
          <w:rFonts w:ascii="ITC Avant Garde" w:hAnsi="ITC Avant Garde" w:cs="Arial"/>
          <w:sz w:val="18"/>
          <w:szCs w:val="18"/>
        </w:rPr>
        <w:t xml:space="preserve">de la totalidad menos una, de las acciones representativas del capital social de Altán Redes. </w:t>
      </w:r>
      <w:r w:rsidRPr="004D22EA">
        <w:rPr>
          <w:rFonts w:ascii="ITC Avant Garde" w:hAnsi="ITC Avant Garde" w:cs="Arial"/>
          <w:sz w:val="18"/>
          <w:szCs w:val="18"/>
        </w:rPr>
        <w:t>Copia simple de la versión más reciente del Fideicomiso de Garantía será presentada por Altán Redes en un escrito en alcance al presente.</w:t>
      </w:r>
    </w:p>
    <w:p w14:paraId="158A2C44" w14:textId="77777777" w:rsidR="004D22EA" w:rsidRPr="004D22EA" w:rsidRDefault="00B53214" w:rsidP="004D22EA">
      <w:pPr>
        <w:pStyle w:val="NormalWeb"/>
        <w:numPr>
          <w:ilvl w:val="0"/>
          <w:numId w:val="3"/>
        </w:numPr>
        <w:spacing w:after="240"/>
        <w:ind w:left="1134" w:right="1183"/>
        <w:jc w:val="both"/>
        <w:rPr>
          <w:rFonts w:ascii="ITC Avant Garde" w:hAnsi="ITC Avant Garde" w:cs="Arial"/>
          <w:sz w:val="18"/>
          <w:szCs w:val="18"/>
        </w:rPr>
      </w:pPr>
      <w:r w:rsidRPr="004D22EA">
        <w:rPr>
          <w:rFonts w:ascii="ITC Avant Garde" w:hAnsi="ITC Avant Garde" w:cs="Arial"/>
          <w:sz w:val="18"/>
          <w:szCs w:val="18"/>
        </w:rPr>
        <w:t xml:space="preserve">Contrato de prenda sobre acciones entre: </w:t>
      </w:r>
      <w:r w:rsidRPr="004D22EA">
        <w:rPr>
          <w:rFonts w:ascii="ITC Avant Garde" w:hAnsi="ITC Avant Garde" w:cs="Arial"/>
          <w:b/>
          <w:sz w:val="18"/>
          <w:szCs w:val="18"/>
        </w:rPr>
        <w:t>(i)</w:t>
      </w:r>
      <w:r w:rsidRPr="004D22EA">
        <w:rPr>
          <w:rFonts w:ascii="ITC Avant Garde" w:hAnsi="ITC Avant Garde" w:cs="Arial"/>
          <w:sz w:val="18"/>
          <w:szCs w:val="18"/>
        </w:rPr>
        <w:t xml:space="preserve"> Isla Guadalupe Investment</w:t>
      </w:r>
      <w:r w:rsidR="00D5111B" w:rsidRPr="004D22EA">
        <w:rPr>
          <w:rFonts w:ascii="ITC Avant Garde" w:hAnsi="ITC Avant Garde" w:cs="Arial"/>
          <w:sz w:val="18"/>
          <w:szCs w:val="18"/>
        </w:rPr>
        <w:t>s</w:t>
      </w:r>
      <w:r w:rsidRPr="004D22EA">
        <w:rPr>
          <w:rFonts w:ascii="ITC Avant Garde" w:hAnsi="ITC Avant Garde" w:cs="Arial"/>
          <w:sz w:val="18"/>
          <w:szCs w:val="18"/>
        </w:rPr>
        <w:t xml:space="preserve">, S.L.U., como deudor prendario; </w:t>
      </w:r>
      <w:r w:rsidRPr="004D22EA">
        <w:rPr>
          <w:rFonts w:ascii="ITC Avant Garde" w:hAnsi="ITC Avant Garde" w:cs="Arial"/>
          <w:b/>
          <w:sz w:val="18"/>
          <w:szCs w:val="18"/>
        </w:rPr>
        <w:t>(ii)</w:t>
      </w:r>
      <w:r w:rsidRPr="004D22EA">
        <w:rPr>
          <w:rFonts w:ascii="ITC Avant Garde" w:hAnsi="ITC Avant Garde" w:cs="Arial"/>
          <w:sz w:val="18"/>
          <w:szCs w:val="18"/>
        </w:rPr>
        <w:t xml:space="preserve"> Banamex, como agente de garantías, en representación y para beneficio de </w:t>
      </w:r>
      <w:r w:rsidR="00D5111B" w:rsidRPr="004D22EA">
        <w:rPr>
          <w:rFonts w:ascii="ITC Avant Garde" w:hAnsi="ITC Avant Garde" w:cs="Arial"/>
          <w:sz w:val="18"/>
          <w:szCs w:val="18"/>
        </w:rPr>
        <w:t xml:space="preserve">la Banca de Desarrollo y los Proveedores Industriales del Financiamiento, como acreedores prendarios; </w:t>
      </w:r>
      <w:r w:rsidR="00D5111B" w:rsidRPr="004D22EA">
        <w:rPr>
          <w:rFonts w:ascii="ITC Avant Garde" w:hAnsi="ITC Avant Garde" w:cs="Arial"/>
          <w:b/>
          <w:sz w:val="18"/>
          <w:szCs w:val="18"/>
        </w:rPr>
        <w:t>(iii)</w:t>
      </w:r>
      <w:r w:rsidR="00D5111B" w:rsidRPr="004D22EA">
        <w:rPr>
          <w:rFonts w:ascii="ITC Avant Garde" w:hAnsi="ITC Avant Garde" w:cs="Arial"/>
          <w:sz w:val="18"/>
          <w:szCs w:val="18"/>
        </w:rPr>
        <w:t xml:space="preserve"> con la comparecencia de Altán Redes, como sociedad </w:t>
      </w:r>
      <w:r w:rsidRPr="004D22EA">
        <w:rPr>
          <w:rFonts w:ascii="ITC Avant Garde" w:hAnsi="ITC Avant Garde" w:cs="Arial"/>
          <w:sz w:val="18"/>
          <w:szCs w:val="18"/>
        </w:rPr>
        <w:t>emisora</w:t>
      </w:r>
      <w:r w:rsidR="00D5111B" w:rsidRPr="004D22EA">
        <w:rPr>
          <w:rFonts w:ascii="ITC Avant Garde" w:hAnsi="ITC Avant Garde" w:cs="Arial"/>
          <w:sz w:val="18"/>
          <w:szCs w:val="18"/>
        </w:rPr>
        <w:t>;</w:t>
      </w:r>
      <w:r w:rsidRPr="004D22EA">
        <w:rPr>
          <w:rFonts w:ascii="ITC Avant Garde" w:hAnsi="ITC Avant Garde" w:cs="Arial"/>
          <w:sz w:val="18"/>
          <w:szCs w:val="18"/>
        </w:rPr>
        <w:t xml:space="preserve"> en virtud del cual el deudor prendario constituirá una prenda sobre 1</w:t>
      </w:r>
      <w:r w:rsidR="00D5111B" w:rsidRPr="004D22EA">
        <w:rPr>
          <w:rFonts w:ascii="ITC Avant Garde" w:hAnsi="ITC Avant Garde" w:cs="Arial"/>
          <w:sz w:val="18"/>
          <w:szCs w:val="18"/>
        </w:rPr>
        <w:t xml:space="preserve"> (una) acción Clase ‘</w:t>
      </w:r>
      <w:r w:rsidRPr="004D22EA">
        <w:rPr>
          <w:rFonts w:ascii="ITC Avant Garde" w:hAnsi="ITC Avant Garde" w:cs="Arial"/>
          <w:sz w:val="18"/>
          <w:szCs w:val="18"/>
        </w:rPr>
        <w:t>I</w:t>
      </w:r>
      <w:r w:rsidR="00D5111B" w:rsidRPr="004D22EA">
        <w:rPr>
          <w:rFonts w:ascii="ITC Avant Garde" w:hAnsi="ITC Avant Garde" w:cs="Arial"/>
          <w:sz w:val="18"/>
          <w:szCs w:val="18"/>
        </w:rPr>
        <w:t>’ perteneciente a la Serie ‘</w:t>
      </w:r>
      <w:r w:rsidRPr="004D22EA">
        <w:rPr>
          <w:rFonts w:ascii="ITC Avant Garde" w:hAnsi="ITC Avant Garde" w:cs="Arial"/>
          <w:sz w:val="18"/>
          <w:szCs w:val="18"/>
        </w:rPr>
        <w:t>A</w:t>
      </w:r>
      <w:r w:rsidR="00D5111B" w:rsidRPr="004D22EA">
        <w:rPr>
          <w:rFonts w:ascii="ITC Avant Garde" w:hAnsi="ITC Avant Garde" w:cs="Arial"/>
          <w:sz w:val="18"/>
          <w:szCs w:val="18"/>
        </w:rPr>
        <w:t>’</w:t>
      </w:r>
      <w:r w:rsidRPr="004D22EA">
        <w:rPr>
          <w:rFonts w:ascii="ITC Avant Garde" w:hAnsi="ITC Avant Garde" w:cs="Arial"/>
          <w:sz w:val="18"/>
          <w:szCs w:val="18"/>
        </w:rPr>
        <w:t xml:space="preserve">, representativa del capital social de Altán Redes de la que es titular (el </w:t>
      </w:r>
      <w:r w:rsidR="00D5111B" w:rsidRPr="004D22EA">
        <w:rPr>
          <w:rFonts w:ascii="ITC Avant Garde" w:hAnsi="ITC Avant Garde" w:cs="Arial"/>
          <w:b/>
          <w:sz w:val="18"/>
          <w:szCs w:val="18"/>
        </w:rPr>
        <w:t>‘</w:t>
      </w:r>
      <w:r w:rsidRPr="004D22EA">
        <w:rPr>
          <w:rFonts w:ascii="ITC Avant Garde" w:hAnsi="ITC Avant Garde" w:cs="Arial"/>
          <w:b/>
          <w:sz w:val="18"/>
          <w:szCs w:val="18"/>
        </w:rPr>
        <w:t>Contrato de Prenda</w:t>
      </w:r>
      <w:r w:rsidR="00D5111B" w:rsidRPr="004D22EA">
        <w:rPr>
          <w:rFonts w:ascii="ITC Avant Garde" w:hAnsi="ITC Avant Garde" w:cs="Arial"/>
          <w:b/>
          <w:sz w:val="18"/>
          <w:szCs w:val="18"/>
        </w:rPr>
        <w:t>’</w:t>
      </w:r>
      <w:r w:rsidRPr="004D22EA">
        <w:rPr>
          <w:rFonts w:ascii="ITC Avant Garde" w:hAnsi="ITC Avant Garde" w:cs="Arial"/>
          <w:sz w:val="18"/>
          <w:szCs w:val="18"/>
        </w:rPr>
        <w:t xml:space="preserve">). </w:t>
      </w:r>
      <w:r w:rsidR="00D5111B" w:rsidRPr="004D22EA">
        <w:rPr>
          <w:rFonts w:ascii="ITC Avant Garde" w:hAnsi="ITC Avant Garde" w:cs="Arial"/>
          <w:sz w:val="18"/>
          <w:szCs w:val="18"/>
        </w:rPr>
        <w:t>Copia simple de la versión más reciente del Contrato de Prenda será presentada por Altán Redes en un escrito en alcance al presente.</w:t>
      </w:r>
    </w:p>
    <w:p w14:paraId="1B6E1145" w14:textId="77777777" w:rsidR="004D22EA" w:rsidRPr="004D22EA" w:rsidRDefault="00D5111B" w:rsidP="004D22EA">
      <w:pPr>
        <w:pStyle w:val="NormalWeb"/>
        <w:spacing w:after="240"/>
        <w:ind w:left="1134" w:right="1183"/>
        <w:jc w:val="both"/>
        <w:rPr>
          <w:rFonts w:ascii="ITC Avant Garde" w:hAnsi="ITC Avant Garde" w:cs="Arial"/>
          <w:sz w:val="18"/>
          <w:szCs w:val="18"/>
        </w:rPr>
      </w:pPr>
      <w:r w:rsidRPr="004D22EA">
        <w:rPr>
          <w:rFonts w:ascii="ITC Avant Garde" w:hAnsi="ITC Avant Garde" w:cs="Arial"/>
          <w:sz w:val="18"/>
          <w:szCs w:val="18"/>
        </w:rPr>
        <w:t>[…]” (sic)</w:t>
      </w:r>
      <w:r w:rsidR="006937BC" w:rsidRPr="004D22EA">
        <w:rPr>
          <w:rFonts w:ascii="ITC Avant Garde" w:hAnsi="ITC Avant Garde" w:cs="Arial"/>
          <w:sz w:val="18"/>
          <w:szCs w:val="18"/>
        </w:rPr>
        <w:t xml:space="preserve"> (la “Solicitud de Enajenación de Acciones”).</w:t>
      </w:r>
    </w:p>
    <w:p w14:paraId="59E05690" w14:textId="77777777" w:rsidR="004D22EA" w:rsidRPr="004D22EA" w:rsidRDefault="00AA5E48" w:rsidP="004D22EA">
      <w:pPr>
        <w:pStyle w:val="Prrafodelista"/>
        <w:numPr>
          <w:ilvl w:val="0"/>
          <w:numId w:val="1"/>
        </w:numPr>
        <w:spacing w:after="240"/>
        <w:ind w:left="567" w:hanging="567"/>
        <w:jc w:val="both"/>
        <w:rPr>
          <w:rFonts w:ascii="ITC Avant Garde" w:hAnsi="ITC Avant Garde"/>
          <w:bCs/>
          <w:color w:val="000000"/>
          <w:sz w:val="22"/>
          <w:szCs w:val="22"/>
          <w:lang w:val="es-MX" w:eastAsia="es-MX"/>
        </w:rPr>
      </w:pPr>
      <w:r w:rsidRPr="004D22EA">
        <w:rPr>
          <w:rFonts w:ascii="ITC Avant Garde" w:hAnsi="ITC Avant Garde"/>
          <w:b/>
          <w:bCs/>
          <w:color w:val="000000"/>
          <w:sz w:val="22"/>
          <w:szCs w:val="22"/>
          <w:lang w:val="es-MX" w:eastAsia="es-MX"/>
        </w:rPr>
        <w:t xml:space="preserve">Cesión de Derechos. </w:t>
      </w:r>
      <w:r w:rsidR="00FD60C2" w:rsidRPr="004D22EA">
        <w:rPr>
          <w:rFonts w:ascii="ITC Avant Garde" w:hAnsi="ITC Avant Garde"/>
          <w:bCs/>
          <w:color w:val="000000"/>
          <w:sz w:val="22"/>
          <w:szCs w:val="22"/>
          <w:lang w:val="es-MX" w:eastAsia="es-MX"/>
        </w:rPr>
        <w:t>Asimismo, e</w:t>
      </w:r>
      <w:r w:rsidR="00E55A22" w:rsidRPr="004D22EA">
        <w:rPr>
          <w:rFonts w:ascii="ITC Avant Garde" w:hAnsi="ITC Avant Garde"/>
          <w:bCs/>
          <w:color w:val="000000"/>
          <w:sz w:val="22"/>
          <w:szCs w:val="22"/>
          <w:lang w:val="es-MX" w:eastAsia="es-MX"/>
        </w:rPr>
        <w:t>n la Solicitud de Enajenación de Acciones</w:t>
      </w:r>
      <w:r w:rsidR="00FD60C2" w:rsidRPr="004D22EA">
        <w:rPr>
          <w:rFonts w:ascii="ITC Avant Garde" w:hAnsi="ITC Avant Garde"/>
          <w:bCs/>
          <w:color w:val="000000"/>
          <w:sz w:val="22"/>
          <w:szCs w:val="22"/>
          <w:lang w:val="es-MX" w:eastAsia="es-MX"/>
        </w:rPr>
        <w:t>,</w:t>
      </w:r>
      <w:r w:rsidR="00E55A22" w:rsidRPr="004D22EA">
        <w:rPr>
          <w:rFonts w:ascii="ITC Avant Garde" w:hAnsi="ITC Avant Garde"/>
          <w:bCs/>
          <w:color w:val="000000"/>
          <w:sz w:val="22"/>
          <w:szCs w:val="22"/>
          <w:lang w:val="es-MX" w:eastAsia="es-MX"/>
        </w:rPr>
        <w:t xml:space="preserve"> Altán Redes</w:t>
      </w:r>
      <w:r w:rsidR="00FD60C2" w:rsidRPr="004D22EA">
        <w:rPr>
          <w:rFonts w:ascii="ITC Avant Garde" w:hAnsi="ITC Avant Garde"/>
          <w:bCs/>
          <w:color w:val="000000"/>
          <w:sz w:val="22"/>
          <w:szCs w:val="22"/>
          <w:lang w:val="es-MX" w:eastAsia="es-MX"/>
        </w:rPr>
        <w:t xml:space="preserve"> señala que otorgaría en garantía </w:t>
      </w:r>
      <w:r w:rsidR="00CF3503" w:rsidRPr="004D22EA">
        <w:rPr>
          <w:rFonts w:ascii="ITC Avant Garde" w:hAnsi="ITC Avant Garde"/>
          <w:bCs/>
          <w:color w:val="000000"/>
          <w:sz w:val="22"/>
          <w:szCs w:val="22"/>
          <w:lang w:val="es-MX" w:eastAsia="es-MX"/>
        </w:rPr>
        <w:t>los derechos derivados, entre otros, de la Concesión Mayorista, mediante los siguiente actos jurídicos:</w:t>
      </w:r>
    </w:p>
    <w:p w14:paraId="6E9299F0" w14:textId="77777777" w:rsidR="004D22EA" w:rsidRPr="004D22EA" w:rsidRDefault="00CF3503" w:rsidP="004D22EA">
      <w:pPr>
        <w:pStyle w:val="NormalWeb"/>
        <w:spacing w:after="240"/>
        <w:ind w:left="1134" w:right="1183"/>
        <w:jc w:val="both"/>
        <w:rPr>
          <w:rFonts w:ascii="ITC Avant Garde" w:hAnsi="ITC Avant Garde" w:cs="Arial"/>
          <w:sz w:val="18"/>
          <w:szCs w:val="18"/>
        </w:rPr>
      </w:pPr>
      <w:r w:rsidRPr="004D22EA">
        <w:rPr>
          <w:rFonts w:ascii="ITC Avant Garde" w:hAnsi="ITC Avant Garde" w:cs="Arial"/>
          <w:sz w:val="18"/>
          <w:szCs w:val="18"/>
        </w:rPr>
        <w:t>“[…]</w:t>
      </w:r>
    </w:p>
    <w:p w14:paraId="7439E317" w14:textId="77777777" w:rsidR="004D22EA" w:rsidRPr="004D22EA" w:rsidRDefault="00CF3503" w:rsidP="004D22EA">
      <w:pPr>
        <w:pStyle w:val="NormalWeb"/>
        <w:numPr>
          <w:ilvl w:val="0"/>
          <w:numId w:val="4"/>
        </w:numPr>
        <w:spacing w:after="240"/>
        <w:ind w:left="1134" w:right="1183"/>
        <w:jc w:val="both"/>
        <w:rPr>
          <w:rFonts w:ascii="ITC Avant Garde" w:hAnsi="ITC Avant Garde" w:cs="Arial"/>
          <w:b/>
          <w:sz w:val="18"/>
          <w:szCs w:val="18"/>
        </w:rPr>
      </w:pPr>
      <w:r w:rsidRPr="004D22EA">
        <w:rPr>
          <w:rFonts w:ascii="ITC Avant Garde" w:hAnsi="ITC Avant Garde" w:cs="Arial"/>
          <w:b/>
          <w:sz w:val="18"/>
          <w:szCs w:val="18"/>
        </w:rPr>
        <w:t>Otorgamiento en garantía y cesión de los derechos de Altán Redes bajo el Contrato APP y la Concesión Mayorista</w:t>
      </w:r>
    </w:p>
    <w:p w14:paraId="38716E65" w14:textId="77777777" w:rsidR="004D22EA" w:rsidRPr="004D22EA" w:rsidRDefault="00CF3503" w:rsidP="004D22EA">
      <w:pPr>
        <w:pStyle w:val="NormalWeb"/>
        <w:spacing w:after="240"/>
        <w:ind w:left="1134" w:right="1183"/>
        <w:jc w:val="both"/>
        <w:rPr>
          <w:rFonts w:ascii="ITC Avant Garde" w:hAnsi="ITC Avant Garde" w:cs="Arial"/>
          <w:sz w:val="18"/>
          <w:szCs w:val="18"/>
        </w:rPr>
      </w:pPr>
      <w:r w:rsidRPr="004D22EA">
        <w:rPr>
          <w:rFonts w:ascii="ITC Avant Garde" w:hAnsi="ITC Avant Garde" w:cs="Arial"/>
          <w:sz w:val="18"/>
          <w:szCs w:val="18"/>
        </w:rPr>
        <w:t xml:space="preserve">Adicionalmente y en relación con el Financiamiento, se solicita autorización al Instituto para que Altán Redes otorgue en garantía y ceda los derechos derivados del Contrato APP, incluyendo los derechos de arrendatario del espectro radioeléctrico a que se refiere la Sección 4.1 del Contrato APP, sus derechos sobre un (1) par de hilos de fibra óptica de la Red Troncal a que se refiere la Sección 4.2.1 del Contrato APP, </w:t>
      </w:r>
      <w:r w:rsidRPr="004D22EA">
        <w:rPr>
          <w:rFonts w:ascii="ITC Avant Garde" w:hAnsi="ITC Avant Garde" w:cs="Arial"/>
          <w:sz w:val="18"/>
          <w:szCs w:val="18"/>
          <w:u w:val="single"/>
        </w:rPr>
        <w:t>y los derechos derivados de la Concesión Mayorista</w:t>
      </w:r>
      <w:r w:rsidRPr="004D22EA">
        <w:rPr>
          <w:rFonts w:ascii="ITC Avant Garde" w:hAnsi="ITC Avant Garde" w:cs="Arial"/>
          <w:sz w:val="18"/>
          <w:szCs w:val="18"/>
        </w:rPr>
        <w:t xml:space="preserve">, así </w:t>
      </w:r>
      <w:r w:rsidRPr="004D22EA">
        <w:rPr>
          <w:rFonts w:ascii="ITC Avant Garde" w:hAnsi="ITC Avant Garde" w:cs="Arial"/>
          <w:sz w:val="18"/>
          <w:szCs w:val="18"/>
        </w:rPr>
        <w:lastRenderedPageBreak/>
        <w:t>como todos aquellos bienes y derechos de los que Altán Redes es titular y será titular, mediante la celebración de los siguientes actos jurídicos:</w:t>
      </w:r>
    </w:p>
    <w:p w14:paraId="3B2D31C5" w14:textId="77777777" w:rsidR="004D22EA" w:rsidRPr="004D22EA" w:rsidRDefault="00CF3503" w:rsidP="004D22EA">
      <w:pPr>
        <w:pStyle w:val="NormalWeb"/>
        <w:numPr>
          <w:ilvl w:val="0"/>
          <w:numId w:val="14"/>
        </w:numPr>
        <w:spacing w:after="240"/>
        <w:ind w:right="1183"/>
        <w:jc w:val="both"/>
        <w:rPr>
          <w:rFonts w:ascii="ITC Avant Garde" w:hAnsi="ITC Avant Garde" w:cs="Arial"/>
          <w:sz w:val="18"/>
          <w:szCs w:val="18"/>
        </w:rPr>
      </w:pPr>
      <w:r w:rsidRPr="004D22EA">
        <w:rPr>
          <w:rFonts w:ascii="ITC Avant Garde" w:hAnsi="ITC Avant Garde" w:cs="Arial"/>
          <w:sz w:val="18"/>
          <w:szCs w:val="18"/>
        </w:rPr>
        <w:t>Contrato de Fideicomiso de Garantía, y</w:t>
      </w:r>
    </w:p>
    <w:p w14:paraId="274BD78F" w14:textId="77777777" w:rsidR="004D22EA" w:rsidRPr="004D22EA" w:rsidRDefault="00CF3503" w:rsidP="004D22EA">
      <w:pPr>
        <w:pStyle w:val="NormalWeb"/>
        <w:numPr>
          <w:ilvl w:val="0"/>
          <w:numId w:val="14"/>
        </w:numPr>
        <w:spacing w:after="240"/>
        <w:ind w:right="1183"/>
        <w:jc w:val="both"/>
        <w:rPr>
          <w:rFonts w:ascii="ITC Avant Garde" w:hAnsi="ITC Avant Garde" w:cs="Arial"/>
          <w:sz w:val="18"/>
          <w:szCs w:val="18"/>
        </w:rPr>
      </w:pPr>
      <w:r w:rsidRPr="004D22EA">
        <w:rPr>
          <w:rFonts w:ascii="ITC Avant Garde" w:hAnsi="ITC Avant Garde" w:cs="Arial"/>
          <w:sz w:val="18"/>
          <w:szCs w:val="18"/>
        </w:rPr>
        <w:t xml:space="preserve">Contrato de Prenda sin Transmisión de Posesión respecto de todos los bienes y derechos que por su naturaleza, no pueden ser aportados al patrimonio del Fideicomiso de Garantía, que será celebrado entre: </w:t>
      </w:r>
      <w:r w:rsidRPr="004D22EA">
        <w:rPr>
          <w:rFonts w:ascii="ITC Avant Garde" w:hAnsi="ITC Avant Garde" w:cs="Arial"/>
          <w:b/>
          <w:sz w:val="18"/>
          <w:szCs w:val="18"/>
        </w:rPr>
        <w:t>(i)</w:t>
      </w:r>
      <w:r w:rsidRPr="004D22EA">
        <w:rPr>
          <w:rFonts w:ascii="ITC Avant Garde" w:hAnsi="ITC Avant Garde" w:cs="Arial"/>
          <w:sz w:val="18"/>
          <w:szCs w:val="18"/>
        </w:rPr>
        <w:t xml:space="preserve"> Altán Redes como deudor prendario y </w:t>
      </w:r>
      <w:r w:rsidRPr="004D22EA">
        <w:rPr>
          <w:rFonts w:ascii="ITC Avant Garde" w:hAnsi="ITC Avant Garde" w:cs="Arial"/>
          <w:b/>
          <w:sz w:val="18"/>
          <w:szCs w:val="18"/>
        </w:rPr>
        <w:t>(ii)</w:t>
      </w:r>
      <w:r w:rsidRPr="004D22EA">
        <w:rPr>
          <w:rFonts w:ascii="ITC Avant Garde" w:hAnsi="ITC Avant Garde" w:cs="Arial"/>
          <w:sz w:val="18"/>
          <w:szCs w:val="18"/>
        </w:rPr>
        <w:t xml:space="preserve"> Banamex, como agente de garantías, en representación y para beneficio de la Banca de Desarrollo y los Proveedores Industriales del Financiamiento </w:t>
      </w:r>
      <w:r w:rsidR="007F7858" w:rsidRPr="004D22EA">
        <w:rPr>
          <w:rFonts w:ascii="ITC Avant Garde" w:hAnsi="ITC Avant Garde" w:cs="Arial"/>
          <w:sz w:val="18"/>
          <w:szCs w:val="18"/>
        </w:rPr>
        <w:t xml:space="preserve">(el </w:t>
      </w:r>
      <w:r w:rsidR="007F7858" w:rsidRPr="004D22EA">
        <w:rPr>
          <w:rFonts w:ascii="ITC Avant Garde" w:hAnsi="ITC Avant Garde" w:cs="Arial"/>
          <w:b/>
          <w:sz w:val="18"/>
          <w:szCs w:val="18"/>
        </w:rPr>
        <w:t>‘Contrato de Prenda sin Transmisión de Posesión’</w:t>
      </w:r>
      <w:r w:rsidR="007F7858" w:rsidRPr="004D22EA">
        <w:rPr>
          <w:rFonts w:ascii="ITC Avant Garde" w:hAnsi="ITC Avant Garde" w:cs="Arial"/>
          <w:sz w:val="18"/>
          <w:szCs w:val="18"/>
        </w:rPr>
        <w:t xml:space="preserve">). Copia simple de la versión más reciente del Contrato de Prenda sin Transmisión de Posesión será presentada por Altán Redes en un escrito en alcance al presente. </w:t>
      </w:r>
    </w:p>
    <w:p w14:paraId="494B2C49" w14:textId="77777777" w:rsidR="004D22EA" w:rsidRPr="004D22EA" w:rsidRDefault="004F3342" w:rsidP="004D22EA">
      <w:pPr>
        <w:pStyle w:val="NormalWeb"/>
        <w:spacing w:after="240"/>
        <w:ind w:left="1134" w:right="1183"/>
        <w:jc w:val="both"/>
        <w:rPr>
          <w:rFonts w:ascii="ITC Avant Garde" w:hAnsi="ITC Avant Garde" w:cs="Arial"/>
          <w:sz w:val="18"/>
          <w:szCs w:val="18"/>
        </w:rPr>
      </w:pPr>
      <w:r w:rsidRPr="004D22EA">
        <w:rPr>
          <w:rFonts w:ascii="ITC Avant Garde" w:hAnsi="ITC Avant Garde" w:cs="Arial"/>
          <w:sz w:val="18"/>
          <w:szCs w:val="18"/>
        </w:rPr>
        <w:t>La celebración del Fideicomiso de Garantía y el Contrato de Prenda sin Transmisión de Posesión no resultará en un cambio de control en Altán Redes, ni una modificación a a la estructura del capital social de Altán Redes, ni en la pérdida de control de los derechos que sean fideicomitidos o pignorados;</w:t>
      </w:r>
      <w:r w:rsidR="00DA33DD" w:rsidRPr="004D22EA">
        <w:rPr>
          <w:rFonts w:ascii="ITC Avant Garde" w:hAnsi="ITC Avant Garde" w:cs="Arial"/>
          <w:sz w:val="18"/>
          <w:szCs w:val="18"/>
        </w:rPr>
        <w:t xml:space="preserve"> sino que por el contrario, las afectaciones que se realizarán mediante la celebración del Fideicomiso de Garantía y el Contrato de Prenda sin Transmisión de Posesión serán de conformidad con las obligaciones del Altán Redes bajo el Contrato APP y el Financiamiento. Es importante resaltar que Altán Redes mantendrá el ejercicio de los derechos derivados del Contrato APP, incluyendo los derechos </w:t>
      </w:r>
      <w:r w:rsidR="007A6535" w:rsidRPr="004D22EA">
        <w:rPr>
          <w:rFonts w:ascii="ITC Avant Garde" w:hAnsi="ITC Avant Garde" w:cs="Arial"/>
          <w:sz w:val="18"/>
          <w:szCs w:val="18"/>
        </w:rPr>
        <w:t xml:space="preserve">de arrendatario del espectro radioeléctrico a que se refiere la Sección 4.1 del Contrato APP, sus derechos sobre un (1) par de hilos de fibra óptica de la Red Troncal a que se refiere la Sección 4.2.1 del Contrato APP, y los derechos derivados de la Concesión Mayorista, así como todos aquellos bienes y derechos de los que Altán Redes es titular y será titular. </w:t>
      </w:r>
    </w:p>
    <w:p w14:paraId="5B507CAD" w14:textId="77777777" w:rsidR="004D22EA" w:rsidRPr="004D22EA" w:rsidRDefault="007B770A" w:rsidP="004D22EA">
      <w:pPr>
        <w:pStyle w:val="NormalWeb"/>
        <w:spacing w:after="240"/>
        <w:ind w:left="1134" w:right="1183"/>
        <w:jc w:val="both"/>
        <w:rPr>
          <w:rFonts w:ascii="ITC Avant Garde" w:hAnsi="ITC Avant Garde" w:cs="Arial"/>
          <w:sz w:val="18"/>
          <w:szCs w:val="18"/>
        </w:rPr>
      </w:pPr>
      <w:r w:rsidRPr="004D22EA">
        <w:rPr>
          <w:rFonts w:ascii="ITC Avant Garde" w:hAnsi="ITC Avant Garde" w:cs="Arial"/>
          <w:sz w:val="18"/>
          <w:szCs w:val="18"/>
        </w:rPr>
        <w:t>[…]</w:t>
      </w:r>
      <w:r w:rsidR="00DB74CD" w:rsidRPr="004D22EA">
        <w:rPr>
          <w:rFonts w:ascii="ITC Avant Garde" w:hAnsi="ITC Avant Garde" w:cs="Arial"/>
          <w:sz w:val="18"/>
          <w:szCs w:val="18"/>
        </w:rPr>
        <w:t>.</w:t>
      </w:r>
      <w:r w:rsidRPr="004D22EA">
        <w:rPr>
          <w:rFonts w:ascii="ITC Avant Garde" w:hAnsi="ITC Avant Garde" w:cs="Arial"/>
          <w:sz w:val="18"/>
          <w:szCs w:val="18"/>
        </w:rPr>
        <w:t>” Subrayado añadido</w:t>
      </w:r>
      <w:r w:rsidR="006715D2" w:rsidRPr="004D22EA">
        <w:rPr>
          <w:rFonts w:ascii="ITC Avant Garde" w:hAnsi="ITC Avant Garde" w:cs="Arial"/>
          <w:sz w:val="18"/>
          <w:szCs w:val="18"/>
        </w:rPr>
        <w:t xml:space="preserve"> (sic)</w:t>
      </w:r>
      <w:r w:rsidRPr="004D22EA">
        <w:rPr>
          <w:rFonts w:ascii="ITC Avant Garde" w:hAnsi="ITC Avant Garde" w:cs="Arial"/>
          <w:sz w:val="18"/>
          <w:szCs w:val="18"/>
        </w:rPr>
        <w:t>.</w:t>
      </w:r>
    </w:p>
    <w:p w14:paraId="5F410EDC" w14:textId="77777777" w:rsidR="004D22EA" w:rsidRPr="004D22EA" w:rsidRDefault="00A357CB" w:rsidP="004D22EA">
      <w:pPr>
        <w:pStyle w:val="Prrafodelista"/>
        <w:numPr>
          <w:ilvl w:val="0"/>
          <w:numId w:val="1"/>
        </w:numPr>
        <w:spacing w:after="240"/>
        <w:ind w:left="567" w:hanging="567"/>
        <w:jc w:val="both"/>
        <w:rPr>
          <w:rFonts w:ascii="ITC Avant Garde" w:hAnsi="ITC Avant Garde"/>
          <w:bCs/>
          <w:color w:val="000000"/>
          <w:sz w:val="22"/>
          <w:szCs w:val="22"/>
          <w:lang w:val="es-MX" w:eastAsia="es-MX"/>
        </w:rPr>
      </w:pPr>
      <w:r w:rsidRPr="004D22EA">
        <w:rPr>
          <w:rFonts w:ascii="ITC Avant Garde" w:hAnsi="ITC Avant Garde"/>
          <w:b/>
          <w:bCs/>
          <w:color w:val="000000"/>
          <w:sz w:val="22"/>
          <w:szCs w:val="22"/>
          <w:lang w:val="es-MX" w:eastAsia="es-MX"/>
        </w:rPr>
        <w:t xml:space="preserve">Información en Alcance a la Solicitud de Enajenación de Acciones. </w:t>
      </w:r>
      <w:r w:rsidR="00FF2931" w:rsidRPr="004D22EA">
        <w:rPr>
          <w:rFonts w:ascii="ITC Avant Garde" w:hAnsi="ITC Avant Garde"/>
          <w:bCs/>
          <w:color w:val="000000"/>
          <w:sz w:val="22"/>
          <w:szCs w:val="22"/>
          <w:lang w:val="es-MX" w:eastAsia="es-MX"/>
        </w:rPr>
        <w:t xml:space="preserve">Mediante escritos presentados al Instituto los días 16 y 23 de febrero de 2017, Altán Redes formuló diversas manifestaciones con respecto a la Solicitud de </w:t>
      </w:r>
      <w:r w:rsidRPr="004D22EA">
        <w:rPr>
          <w:rFonts w:ascii="ITC Avant Garde" w:hAnsi="ITC Avant Garde"/>
          <w:bCs/>
          <w:color w:val="000000"/>
          <w:sz w:val="22"/>
          <w:szCs w:val="22"/>
          <w:lang w:val="es-MX" w:eastAsia="es-MX"/>
        </w:rPr>
        <w:t>Enajenación de Acciones.</w:t>
      </w:r>
    </w:p>
    <w:p w14:paraId="0FF63F33" w14:textId="77777777" w:rsidR="004D22EA" w:rsidRPr="004D22EA" w:rsidRDefault="00E91015" w:rsidP="004D22EA">
      <w:pPr>
        <w:pStyle w:val="Prrafodelista"/>
        <w:numPr>
          <w:ilvl w:val="0"/>
          <w:numId w:val="1"/>
        </w:numPr>
        <w:spacing w:after="240"/>
        <w:ind w:left="567" w:hanging="567"/>
        <w:jc w:val="both"/>
        <w:rPr>
          <w:rFonts w:ascii="ITC Avant Garde" w:hAnsi="ITC Avant Garde"/>
          <w:bCs/>
          <w:color w:val="000000"/>
          <w:sz w:val="22"/>
          <w:szCs w:val="22"/>
          <w:lang w:val="es-MX" w:eastAsia="es-MX"/>
        </w:rPr>
      </w:pPr>
      <w:r w:rsidRPr="004D22EA">
        <w:rPr>
          <w:rFonts w:ascii="ITC Avant Garde" w:hAnsi="ITC Avant Garde"/>
          <w:b/>
          <w:bCs/>
          <w:color w:val="000000"/>
          <w:sz w:val="22"/>
          <w:szCs w:val="22"/>
          <w:lang w:val="es-MX" w:eastAsia="es-MX"/>
        </w:rPr>
        <w:t xml:space="preserve">Solicitud de Opinión </w:t>
      </w:r>
      <w:r w:rsidR="00C53EA3" w:rsidRPr="004D22EA">
        <w:rPr>
          <w:rFonts w:ascii="ITC Avant Garde" w:hAnsi="ITC Avant Garde"/>
          <w:b/>
          <w:bCs/>
          <w:color w:val="000000"/>
          <w:sz w:val="22"/>
          <w:szCs w:val="22"/>
          <w:lang w:val="es-MX" w:eastAsia="es-MX"/>
        </w:rPr>
        <w:t xml:space="preserve">a </w:t>
      </w:r>
      <w:r w:rsidRPr="004D22EA">
        <w:rPr>
          <w:rFonts w:ascii="ITC Avant Garde" w:hAnsi="ITC Avant Garde"/>
          <w:b/>
          <w:bCs/>
          <w:color w:val="000000"/>
          <w:sz w:val="22"/>
          <w:szCs w:val="22"/>
          <w:lang w:val="es-MX" w:eastAsia="es-MX"/>
        </w:rPr>
        <w:t xml:space="preserve">la </w:t>
      </w:r>
      <w:r w:rsidR="009143BC" w:rsidRPr="004D22EA">
        <w:rPr>
          <w:rFonts w:ascii="ITC Avant Garde" w:hAnsi="ITC Avant Garde"/>
          <w:b/>
          <w:bCs/>
          <w:color w:val="000000"/>
          <w:sz w:val="22"/>
          <w:szCs w:val="22"/>
          <w:lang w:val="es-MX" w:eastAsia="es-MX"/>
        </w:rPr>
        <w:t>Secretaría de Comunicaciones y Transportes</w:t>
      </w:r>
      <w:r w:rsidRPr="004D22EA">
        <w:rPr>
          <w:rFonts w:ascii="ITC Avant Garde" w:hAnsi="ITC Avant Garde"/>
          <w:b/>
          <w:bCs/>
          <w:color w:val="000000"/>
          <w:sz w:val="22"/>
          <w:szCs w:val="22"/>
          <w:lang w:val="es-MX" w:eastAsia="es-MX"/>
        </w:rPr>
        <w:t xml:space="preserve">. </w:t>
      </w:r>
      <w:r w:rsidR="005D3DC0" w:rsidRPr="004D22EA">
        <w:rPr>
          <w:rFonts w:ascii="ITC Avant Garde" w:hAnsi="ITC Avant Garde"/>
          <w:bCs/>
          <w:color w:val="000000"/>
          <w:sz w:val="22"/>
          <w:szCs w:val="22"/>
          <w:lang w:val="es-MX" w:eastAsia="es-MX"/>
        </w:rPr>
        <w:t>Mediante oficio IFT/223/UCS/185/2017 de fecha 2</w:t>
      </w:r>
      <w:r w:rsidR="00767895" w:rsidRPr="004D22EA">
        <w:rPr>
          <w:rFonts w:ascii="ITC Avant Garde" w:hAnsi="ITC Avant Garde"/>
          <w:bCs/>
          <w:color w:val="000000"/>
          <w:sz w:val="22"/>
          <w:szCs w:val="22"/>
          <w:lang w:val="es-MX" w:eastAsia="es-MX"/>
        </w:rPr>
        <w:t>1 de febrero de 2017, la Unidad de Concesiones y Servicios</w:t>
      </w:r>
      <w:r w:rsidR="005D3DC0" w:rsidRPr="004D22EA">
        <w:rPr>
          <w:rFonts w:ascii="ITC Avant Garde" w:hAnsi="ITC Avant Garde"/>
          <w:bCs/>
          <w:color w:val="000000"/>
          <w:sz w:val="22"/>
          <w:szCs w:val="22"/>
          <w:lang w:val="es-MX" w:eastAsia="es-MX"/>
        </w:rPr>
        <w:t xml:space="preserve"> del Instituto</w:t>
      </w:r>
      <w:r w:rsidR="00767895" w:rsidRPr="004D22EA">
        <w:rPr>
          <w:rFonts w:ascii="ITC Avant Garde" w:hAnsi="ITC Avant Garde"/>
          <w:bCs/>
          <w:color w:val="000000"/>
          <w:sz w:val="22"/>
          <w:szCs w:val="22"/>
          <w:lang w:val="es-MX" w:eastAsia="es-MX"/>
        </w:rPr>
        <w:t xml:space="preserve"> solicitó</w:t>
      </w:r>
      <w:r w:rsidR="005D3DC0" w:rsidRPr="004D22EA">
        <w:rPr>
          <w:rFonts w:ascii="ITC Avant Garde" w:hAnsi="ITC Avant Garde"/>
          <w:bCs/>
          <w:color w:val="000000"/>
          <w:sz w:val="22"/>
          <w:szCs w:val="22"/>
          <w:lang w:val="es-MX" w:eastAsia="es-MX"/>
        </w:rPr>
        <w:t xml:space="preserve"> a la Secretaría de Comunicaciones y Transportes (la “Secretaría”),</w:t>
      </w:r>
      <w:r w:rsidR="00767895" w:rsidRPr="004D22EA">
        <w:rPr>
          <w:rFonts w:ascii="ITC Avant Garde" w:hAnsi="ITC Avant Garde"/>
          <w:bCs/>
          <w:color w:val="000000"/>
          <w:sz w:val="22"/>
          <w:szCs w:val="22"/>
          <w:lang w:val="es-MX" w:eastAsia="es-MX"/>
        </w:rPr>
        <w:t xml:space="preserve"> en términos del artículo 28 párrafo décimo séptimo de la Constitución Política de los Estados Unidos Mexicanos</w:t>
      </w:r>
      <w:r w:rsidR="00086E86" w:rsidRPr="004D22EA">
        <w:rPr>
          <w:rFonts w:ascii="ITC Avant Garde" w:hAnsi="ITC Avant Garde"/>
          <w:bCs/>
          <w:color w:val="000000"/>
          <w:sz w:val="22"/>
          <w:szCs w:val="22"/>
          <w:lang w:val="es-MX" w:eastAsia="es-MX"/>
        </w:rPr>
        <w:t xml:space="preserve"> (la “Constitución”)</w:t>
      </w:r>
      <w:r w:rsidR="00767895" w:rsidRPr="004D22EA">
        <w:rPr>
          <w:rFonts w:ascii="ITC Avant Garde" w:hAnsi="ITC Avant Garde"/>
          <w:bCs/>
          <w:color w:val="000000"/>
          <w:sz w:val="22"/>
          <w:szCs w:val="22"/>
          <w:lang w:val="es-MX" w:eastAsia="es-MX"/>
        </w:rPr>
        <w:t xml:space="preserve">, </w:t>
      </w:r>
      <w:r w:rsidR="005D3DC0" w:rsidRPr="004D22EA">
        <w:rPr>
          <w:rFonts w:ascii="ITC Avant Garde" w:hAnsi="ITC Avant Garde"/>
          <w:bCs/>
          <w:color w:val="000000"/>
          <w:sz w:val="22"/>
          <w:szCs w:val="22"/>
          <w:lang w:val="es-MX" w:eastAsia="es-MX"/>
        </w:rPr>
        <w:t>la o</w:t>
      </w:r>
      <w:r w:rsidR="00767895" w:rsidRPr="004D22EA">
        <w:rPr>
          <w:rFonts w:ascii="ITC Avant Garde" w:hAnsi="ITC Avant Garde"/>
          <w:bCs/>
          <w:color w:val="000000"/>
          <w:sz w:val="22"/>
          <w:szCs w:val="22"/>
          <w:lang w:val="es-MX" w:eastAsia="es-MX"/>
        </w:rPr>
        <w:t xml:space="preserve">pinión técnica </w:t>
      </w:r>
      <w:r w:rsidR="005D3DC0" w:rsidRPr="004D22EA">
        <w:rPr>
          <w:rFonts w:ascii="ITC Avant Garde" w:hAnsi="ITC Avant Garde"/>
          <w:bCs/>
          <w:color w:val="000000"/>
          <w:sz w:val="22"/>
          <w:szCs w:val="22"/>
          <w:lang w:val="es-MX" w:eastAsia="es-MX"/>
        </w:rPr>
        <w:t xml:space="preserve">que estimara procedente </w:t>
      </w:r>
      <w:r w:rsidR="00FF2931" w:rsidRPr="004D22EA">
        <w:rPr>
          <w:rFonts w:ascii="ITC Avant Garde" w:hAnsi="ITC Avant Garde"/>
          <w:bCs/>
          <w:color w:val="000000"/>
          <w:sz w:val="22"/>
          <w:szCs w:val="22"/>
          <w:lang w:val="es-MX" w:eastAsia="es-MX"/>
        </w:rPr>
        <w:t xml:space="preserve">únicamente </w:t>
      </w:r>
      <w:r w:rsidR="006937BC" w:rsidRPr="004D22EA">
        <w:rPr>
          <w:rFonts w:ascii="ITC Avant Garde" w:hAnsi="ITC Avant Garde"/>
          <w:bCs/>
          <w:color w:val="000000"/>
          <w:sz w:val="22"/>
          <w:szCs w:val="22"/>
          <w:lang w:val="es-MX" w:eastAsia="es-MX"/>
        </w:rPr>
        <w:t>respecto a la Solicitud de Enajenación de Acciones.</w:t>
      </w:r>
    </w:p>
    <w:p w14:paraId="4B9DAF92" w14:textId="77777777" w:rsidR="004D22EA" w:rsidRPr="004D22EA" w:rsidRDefault="002E4893" w:rsidP="004D22EA">
      <w:pPr>
        <w:numPr>
          <w:ilvl w:val="0"/>
          <w:numId w:val="1"/>
        </w:numPr>
        <w:spacing w:after="240"/>
        <w:ind w:left="567" w:hanging="578"/>
        <w:jc w:val="both"/>
        <w:rPr>
          <w:rFonts w:ascii="ITC Avant Garde" w:hAnsi="ITC Avant Garde" w:cs="Arial"/>
          <w:bCs/>
          <w:color w:val="000000"/>
          <w:sz w:val="22"/>
          <w:szCs w:val="22"/>
          <w:shd w:val="clear" w:color="auto" w:fill="FFFFFF"/>
        </w:rPr>
      </w:pPr>
      <w:r w:rsidRPr="004D22EA">
        <w:rPr>
          <w:rFonts w:ascii="ITC Avant Garde" w:hAnsi="ITC Avant Garde" w:cs="Arial"/>
          <w:b/>
          <w:bCs/>
          <w:color w:val="000000"/>
          <w:sz w:val="22"/>
          <w:szCs w:val="22"/>
          <w:shd w:val="clear" w:color="auto" w:fill="FFFFFF"/>
        </w:rPr>
        <w:t>Solicitud de o</w:t>
      </w:r>
      <w:r w:rsidR="00FE0039" w:rsidRPr="004D22EA">
        <w:rPr>
          <w:rFonts w:ascii="ITC Avant Garde" w:hAnsi="ITC Avant Garde" w:cs="Arial"/>
          <w:b/>
          <w:bCs/>
          <w:color w:val="000000"/>
          <w:sz w:val="22"/>
          <w:szCs w:val="22"/>
          <w:shd w:val="clear" w:color="auto" w:fill="FFFFFF"/>
        </w:rPr>
        <w:t xml:space="preserve">pinión </w:t>
      </w:r>
      <w:r w:rsidRPr="004D22EA">
        <w:rPr>
          <w:rFonts w:ascii="ITC Avant Garde" w:hAnsi="ITC Avant Garde" w:cs="Arial"/>
          <w:b/>
          <w:bCs/>
          <w:color w:val="000000"/>
          <w:sz w:val="22"/>
          <w:szCs w:val="22"/>
          <w:shd w:val="clear" w:color="auto" w:fill="FFFFFF"/>
        </w:rPr>
        <w:t>en materia de competencia económica.</w:t>
      </w:r>
      <w:r w:rsidRPr="004D22EA">
        <w:rPr>
          <w:rFonts w:ascii="ITC Avant Garde" w:hAnsi="ITC Avant Garde" w:cs="Arial"/>
          <w:bCs/>
          <w:color w:val="000000"/>
          <w:sz w:val="22"/>
          <w:szCs w:val="22"/>
          <w:shd w:val="clear" w:color="auto" w:fill="FFFFFF"/>
        </w:rPr>
        <w:t xml:space="preserve"> </w:t>
      </w:r>
      <w:r w:rsidR="00554DAF" w:rsidRPr="004D22EA">
        <w:rPr>
          <w:rFonts w:ascii="ITC Avant Garde" w:hAnsi="ITC Avant Garde" w:cs="Arial"/>
          <w:bCs/>
          <w:color w:val="000000"/>
          <w:sz w:val="22"/>
          <w:szCs w:val="22"/>
          <w:shd w:val="clear" w:color="auto" w:fill="FFFFFF"/>
        </w:rPr>
        <w:t>Mediante oficio IFTE/223/UCS/DG-CTEL/591/2017, de fecha 21</w:t>
      </w:r>
      <w:r w:rsidRPr="004D22EA">
        <w:rPr>
          <w:rFonts w:ascii="ITC Avant Garde" w:hAnsi="ITC Avant Garde" w:cs="Arial"/>
          <w:bCs/>
          <w:color w:val="000000"/>
          <w:sz w:val="22"/>
          <w:szCs w:val="22"/>
          <w:shd w:val="clear" w:color="auto" w:fill="FFFFFF"/>
        </w:rPr>
        <w:t xml:space="preserve"> de febrero de 2017, la Dirección General de Concesiones de Telecomunicaciones, adscrita a la Unidad de Concesiones y Servicios del Instituto, solicitó a la Dirección General de Concentraciones y Concesiones de la Unidad de Competencia Económica </w:t>
      </w:r>
      <w:r w:rsidR="00554DAF" w:rsidRPr="004D22EA">
        <w:rPr>
          <w:rFonts w:ascii="ITC Avant Garde" w:hAnsi="ITC Avant Garde" w:cs="Arial"/>
          <w:bCs/>
          <w:color w:val="000000"/>
          <w:sz w:val="22"/>
          <w:szCs w:val="22"/>
          <w:shd w:val="clear" w:color="auto" w:fill="FFFFFF"/>
        </w:rPr>
        <w:t>emitir</w:t>
      </w:r>
      <w:r w:rsidRPr="004D22EA">
        <w:rPr>
          <w:rFonts w:ascii="ITC Avant Garde" w:hAnsi="ITC Avant Garde" w:cs="Arial"/>
          <w:bCs/>
          <w:color w:val="000000"/>
          <w:sz w:val="22"/>
          <w:szCs w:val="22"/>
          <w:shd w:val="clear" w:color="auto" w:fill="FFFFFF"/>
        </w:rPr>
        <w:t xml:space="preserve"> opinión</w:t>
      </w:r>
      <w:r w:rsidR="00554DAF" w:rsidRPr="004D22EA">
        <w:rPr>
          <w:rFonts w:ascii="ITC Avant Garde" w:hAnsi="ITC Avant Garde" w:cs="Arial"/>
          <w:bCs/>
          <w:color w:val="000000"/>
          <w:sz w:val="22"/>
          <w:szCs w:val="22"/>
          <w:shd w:val="clear" w:color="auto" w:fill="FFFFFF"/>
        </w:rPr>
        <w:t xml:space="preserve"> </w:t>
      </w:r>
      <w:r w:rsidR="00FF2931" w:rsidRPr="004D22EA">
        <w:rPr>
          <w:rFonts w:ascii="ITC Avant Garde" w:hAnsi="ITC Avant Garde" w:cs="Arial"/>
          <w:bCs/>
          <w:color w:val="000000"/>
          <w:sz w:val="22"/>
          <w:szCs w:val="22"/>
          <w:shd w:val="clear" w:color="auto" w:fill="FFFFFF"/>
        </w:rPr>
        <w:t xml:space="preserve">únicamente </w:t>
      </w:r>
      <w:r w:rsidR="00554DAF" w:rsidRPr="004D22EA">
        <w:rPr>
          <w:rFonts w:ascii="ITC Avant Garde" w:hAnsi="ITC Avant Garde" w:cs="Arial"/>
          <w:bCs/>
          <w:color w:val="000000"/>
          <w:sz w:val="22"/>
          <w:szCs w:val="22"/>
          <w:shd w:val="clear" w:color="auto" w:fill="FFFFFF"/>
        </w:rPr>
        <w:t>respecto a la Solicitud de Enajenación de Acciones.</w:t>
      </w:r>
    </w:p>
    <w:p w14:paraId="78DC7D3C" w14:textId="77777777" w:rsidR="004D22EA" w:rsidRPr="004D22EA" w:rsidRDefault="00D5738B" w:rsidP="004D22EA">
      <w:pPr>
        <w:numPr>
          <w:ilvl w:val="0"/>
          <w:numId w:val="1"/>
        </w:numPr>
        <w:spacing w:after="240"/>
        <w:ind w:left="567" w:hanging="578"/>
        <w:jc w:val="both"/>
        <w:rPr>
          <w:rFonts w:ascii="ITC Avant Garde" w:hAnsi="ITC Avant Garde" w:cs="Arial"/>
          <w:bCs/>
          <w:color w:val="000000"/>
          <w:sz w:val="22"/>
          <w:szCs w:val="22"/>
          <w:shd w:val="clear" w:color="auto" w:fill="FFFFFF"/>
        </w:rPr>
      </w:pPr>
      <w:r w:rsidRPr="004D22EA">
        <w:rPr>
          <w:rFonts w:ascii="ITC Avant Garde" w:hAnsi="ITC Avant Garde" w:cs="Arial"/>
          <w:b/>
          <w:bCs/>
          <w:color w:val="000000"/>
          <w:sz w:val="22"/>
          <w:szCs w:val="22"/>
          <w:shd w:val="clear" w:color="auto" w:fill="FFFFFF"/>
        </w:rPr>
        <w:lastRenderedPageBreak/>
        <w:t>Opinión en materia de competencia económica.</w:t>
      </w:r>
      <w:r w:rsidRPr="004D22EA">
        <w:rPr>
          <w:rFonts w:ascii="ITC Avant Garde" w:hAnsi="ITC Avant Garde" w:cs="Arial"/>
          <w:bCs/>
          <w:color w:val="000000"/>
          <w:sz w:val="22"/>
          <w:szCs w:val="22"/>
          <w:shd w:val="clear" w:color="auto" w:fill="FFFFFF"/>
        </w:rPr>
        <w:t xml:space="preserve"> Con oficio IFT/226/UCE/DG-CCON/107/2017 de fecha 23 de febrero de 2017, la Dirección General de Concentraciones y Concesiones de la Unidad de Competencia Económica emitió la opinión correspondiente</w:t>
      </w:r>
      <w:r w:rsidR="00DA10CA" w:rsidRPr="004D22EA">
        <w:rPr>
          <w:rFonts w:ascii="ITC Avant Garde" w:hAnsi="ITC Avant Garde" w:cs="Arial"/>
          <w:bCs/>
          <w:color w:val="000000"/>
          <w:sz w:val="22"/>
          <w:szCs w:val="22"/>
          <w:shd w:val="clear" w:color="auto" w:fill="FFFFFF"/>
        </w:rPr>
        <w:t>, en sentido favorable</w:t>
      </w:r>
      <w:r w:rsidRPr="004D22EA">
        <w:rPr>
          <w:rFonts w:ascii="ITC Avant Garde" w:hAnsi="ITC Avant Garde" w:cs="Arial"/>
          <w:bCs/>
          <w:color w:val="000000"/>
          <w:sz w:val="22"/>
          <w:szCs w:val="22"/>
          <w:shd w:val="clear" w:color="auto" w:fill="FFFFFF"/>
        </w:rPr>
        <w:t>.</w:t>
      </w:r>
    </w:p>
    <w:p w14:paraId="2464D0EC" w14:textId="77777777" w:rsidR="004D22EA" w:rsidRPr="004D22EA" w:rsidRDefault="00D5738B" w:rsidP="004D22EA">
      <w:pPr>
        <w:numPr>
          <w:ilvl w:val="0"/>
          <w:numId w:val="1"/>
        </w:numPr>
        <w:spacing w:after="240"/>
        <w:ind w:left="567" w:hanging="578"/>
        <w:jc w:val="both"/>
        <w:rPr>
          <w:rFonts w:ascii="ITC Avant Garde" w:hAnsi="ITC Avant Garde" w:cs="Arial"/>
          <w:bCs/>
          <w:color w:val="000000"/>
          <w:sz w:val="22"/>
          <w:szCs w:val="22"/>
          <w:shd w:val="clear" w:color="auto" w:fill="FFFFFF"/>
        </w:rPr>
      </w:pPr>
      <w:r w:rsidRPr="004D22EA">
        <w:rPr>
          <w:rFonts w:ascii="ITC Avant Garde" w:hAnsi="ITC Avant Garde" w:cs="Arial"/>
          <w:b/>
          <w:bCs/>
          <w:color w:val="000000"/>
          <w:sz w:val="22"/>
          <w:szCs w:val="22"/>
          <w:shd w:val="clear" w:color="auto" w:fill="FFFFFF"/>
        </w:rPr>
        <w:t xml:space="preserve">Opinión Técnica de la Secretaría. </w:t>
      </w:r>
      <w:r w:rsidR="003D1DD2" w:rsidRPr="004D22EA">
        <w:rPr>
          <w:rFonts w:ascii="ITC Avant Garde" w:hAnsi="ITC Avant Garde" w:cs="Arial"/>
          <w:bCs/>
          <w:color w:val="000000"/>
          <w:sz w:val="22"/>
          <w:szCs w:val="22"/>
          <w:shd w:val="clear" w:color="auto" w:fill="FFFFFF"/>
        </w:rPr>
        <w:t>El 27</w:t>
      </w:r>
      <w:r w:rsidRPr="004D22EA">
        <w:rPr>
          <w:rFonts w:ascii="ITC Avant Garde" w:hAnsi="ITC Avant Garde" w:cs="Arial"/>
          <w:bCs/>
          <w:color w:val="000000"/>
          <w:sz w:val="22"/>
          <w:szCs w:val="22"/>
          <w:shd w:val="clear" w:color="auto" w:fill="FFFFFF"/>
        </w:rPr>
        <w:t xml:space="preserve"> de febrero de 2017, mediante oficio</w:t>
      </w:r>
      <w:r w:rsidR="003D1DD2" w:rsidRPr="004D22EA">
        <w:rPr>
          <w:rFonts w:ascii="ITC Avant Garde" w:hAnsi="ITC Avant Garde" w:cs="Arial"/>
          <w:bCs/>
          <w:color w:val="000000"/>
          <w:sz w:val="22"/>
          <w:szCs w:val="22"/>
          <w:shd w:val="clear" w:color="auto" w:fill="FFFFFF"/>
        </w:rPr>
        <w:t xml:space="preserve"> 2.1.-096/2017</w:t>
      </w:r>
      <w:r w:rsidRPr="004D22EA">
        <w:rPr>
          <w:rFonts w:ascii="ITC Avant Garde" w:hAnsi="ITC Avant Garde" w:cs="Arial"/>
          <w:bCs/>
          <w:color w:val="000000"/>
          <w:sz w:val="22"/>
          <w:szCs w:val="22"/>
          <w:shd w:val="clear" w:color="auto" w:fill="FFFFFF"/>
        </w:rPr>
        <w:t xml:space="preserve">, la Dirección General de Política de Telecomunicaciones y de Radiodifusión de la Secretaría, remitió al Instituto el oficio </w:t>
      </w:r>
      <w:r w:rsidR="003D1DD2" w:rsidRPr="004D22EA">
        <w:rPr>
          <w:rFonts w:ascii="ITC Avant Garde" w:hAnsi="ITC Avant Garde" w:cs="Arial"/>
          <w:bCs/>
          <w:color w:val="000000"/>
          <w:sz w:val="22"/>
          <w:szCs w:val="22"/>
          <w:shd w:val="clear" w:color="auto" w:fill="FFFFFF"/>
        </w:rPr>
        <w:t>1.-030 de fecha 27</w:t>
      </w:r>
      <w:r w:rsidRPr="004D22EA">
        <w:rPr>
          <w:rFonts w:ascii="ITC Avant Garde" w:hAnsi="ITC Avant Garde" w:cs="Arial"/>
          <w:bCs/>
          <w:color w:val="000000"/>
          <w:sz w:val="22"/>
          <w:szCs w:val="22"/>
          <w:shd w:val="clear" w:color="auto" w:fill="FFFFFF"/>
        </w:rPr>
        <w:t xml:space="preserve"> de febrero de 2017, con la opinión técnica de dicha Dependencia respecto a la Solicitud de Enajenación de Acciones, en sentido favorable. </w:t>
      </w:r>
    </w:p>
    <w:p w14:paraId="541DC8DC" w14:textId="77777777" w:rsidR="004D22EA" w:rsidRPr="004D22EA" w:rsidRDefault="00DF17A1" w:rsidP="004D22EA">
      <w:pPr>
        <w:numPr>
          <w:ilvl w:val="0"/>
          <w:numId w:val="1"/>
        </w:numPr>
        <w:spacing w:after="240"/>
        <w:ind w:left="567" w:hanging="578"/>
        <w:jc w:val="both"/>
        <w:rPr>
          <w:rFonts w:ascii="ITC Avant Garde" w:hAnsi="ITC Avant Garde" w:cs="Arial"/>
          <w:bCs/>
          <w:color w:val="000000"/>
          <w:sz w:val="22"/>
          <w:szCs w:val="22"/>
          <w:shd w:val="clear" w:color="auto" w:fill="FFFFFF"/>
        </w:rPr>
      </w:pPr>
      <w:r w:rsidRPr="004D22EA">
        <w:rPr>
          <w:rFonts w:ascii="ITC Avant Garde" w:hAnsi="ITC Avant Garde" w:cs="Arial"/>
          <w:b/>
          <w:bCs/>
          <w:color w:val="000000"/>
          <w:sz w:val="22"/>
          <w:szCs w:val="22"/>
          <w:shd w:val="clear" w:color="auto" w:fill="FFFFFF"/>
        </w:rPr>
        <w:t>Presentación de Desistimiento Parcial.</w:t>
      </w:r>
      <w:r w:rsidRPr="004D22EA">
        <w:rPr>
          <w:rFonts w:ascii="ITC Avant Garde" w:hAnsi="ITC Avant Garde" w:cs="Arial"/>
          <w:bCs/>
          <w:color w:val="000000"/>
          <w:sz w:val="22"/>
          <w:szCs w:val="22"/>
          <w:shd w:val="clear" w:color="auto" w:fill="FFFFFF"/>
        </w:rPr>
        <w:t xml:space="preserve"> El 2 de marzo de 2017, Altán Redes presentó al Instituto escrito mediante el cual señaló que se desistía de la “solicitud de autorización para la aportación, cesión, afectación y otorgamiento en garantía al Fideicomiso de Garantía de sus derechos derivados de la Concesión Mayorista”</w:t>
      </w:r>
      <w:r w:rsidR="004E5D49" w:rsidRPr="004D22EA">
        <w:rPr>
          <w:rFonts w:ascii="ITC Avant Garde" w:hAnsi="ITC Avant Garde" w:cs="Arial"/>
          <w:bCs/>
          <w:color w:val="000000"/>
          <w:sz w:val="22"/>
          <w:szCs w:val="22"/>
          <w:shd w:val="clear" w:color="auto" w:fill="FFFFFF"/>
        </w:rPr>
        <w:t>, misma que se señala en el Antecedente VI de la presente Resolución.</w:t>
      </w:r>
    </w:p>
    <w:p w14:paraId="07A861F9" w14:textId="77777777" w:rsidR="004D22EA" w:rsidRPr="004D22EA" w:rsidRDefault="004E5D49" w:rsidP="004D22EA">
      <w:pPr>
        <w:spacing w:after="240"/>
        <w:ind w:left="567"/>
        <w:jc w:val="both"/>
        <w:rPr>
          <w:rFonts w:ascii="ITC Avant Garde" w:hAnsi="ITC Avant Garde" w:cs="Arial"/>
          <w:bCs/>
          <w:color w:val="000000"/>
          <w:sz w:val="22"/>
          <w:szCs w:val="22"/>
          <w:shd w:val="clear" w:color="auto" w:fill="FFFFFF"/>
        </w:rPr>
      </w:pPr>
      <w:r w:rsidRPr="004D22EA">
        <w:rPr>
          <w:rFonts w:ascii="ITC Avant Garde" w:hAnsi="ITC Avant Garde" w:cs="Arial"/>
          <w:bCs/>
          <w:color w:val="000000"/>
          <w:sz w:val="22"/>
          <w:szCs w:val="22"/>
          <w:shd w:val="clear" w:color="auto" w:fill="FFFFFF"/>
        </w:rPr>
        <w:t xml:space="preserve">De igual forma, manifestó que las disposiciones relativas a la aportación de los derechos derivados de la Concesión Mayorista contenidas en el borrador del Fideicomiso de Garantía serían eliminadas o modificadas según fuera necesario, de conformidad con su desistimiento. </w:t>
      </w:r>
    </w:p>
    <w:p w14:paraId="1ACA008F" w14:textId="77777777" w:rsidR="004D22EA" w:rsidRPr="004D22EA" w:rsidRDefault="00067854" w:rsidP="004D22EA">
      <w:pPr>
        <w:spacing w:after="240"/>
        <w:jc w:val="both"/>
        <w:rPr>
          <w:rFonts w:ascii="ITC Avant Garde" w:hAnsi="ITC Avant Garde"/>
          <w:bCs/>
          <w:color w:val="000000"/>
          <w:sz w:val="22"/>
          <w:szCs w:val="22"/>
          <w:lang w:val="es-MX" w:eastAsia="es-MX"/>
        </w:rPr>
      </w:pPr>
      <w:r w:rsidRPr="004D22EA">
        <w:rPr>
          <w:rFonts w:ascii="ITC Avant Garde" w:hAnsi="ITC Avant Garde"/>
          <w:bCs/>
          <w:color w:val="000000"/>
          <w:sz w:val="22"/>
          <w:szCs w:val="22"/>
          <w:lang w:val="es-MX" w:eastAsia="es-MX"/>
        </w:rPr>
        <w:t>En virtud de los Antecedentes referidos</w:t>
      </w:r>
      <w:r w:rsidR="00C25EEB" w:rsidRPr="004D22EA">
        <w:rPr>
          <w:rFonts w:ascii="ITC Avant Garde" w:hAnsi="ITC Avant Garde"/>
          <w:bCs/>
          <w:color w:val="000000"/>
          <w:sz w:val="22"/>
          <w:szCs w:val="22"/>
          <w:lang w:val="es-MX" w:eastAsia="es-MX"/>
        </w:rPr>
        <w:t>,</w:t>
      </w:r>
      <w:r w:rsidRPr="004D22EA">
        <w:rPr>
          <w:rFonts w:ascii="ITC Avant Garde" w:hAnsi="ITC Avant Garde"/>
          <w:bCs/>
          <w:color w:val="000000"/>
          <w:sz w:val="22"/>
          <w:szCs w:val="22"/>
          <w:lang w:val="es-MX" w:eastAsia="es-MX"/>
        </w:rPr>
        <w:t xml:space="preserve"> y</w:t>
      </w:r>
    </w:p>
    <w:p w14:paraId="342DEB50" w14:textId="77777777" w:rsidR="004D22EA" w:rsidRPr="004D22EA" w:rsidRDefault="00F80A22" w:rsidP="004D22EA">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4D22EA">
        <w:rPr>
          <w:rFonts w:ascii="ITC Avant Garde" w:eastAsiaTheme="majorEastAsia" w:hAnsi="ITC Avant Garde" w:cstheme="majorBidi"/>
          <w:color w:val="000000" w:themeColor="text1"/>
          <w:sz w:val="22"/>
          <w:szCs w:val="22"/>
          <w:lang w:eastAsia="en-US"/>
        </w:rPr>
        <w:t>CONSIDERANDO</w:t>
      </w:r>
    </w:p>
    <w:p w14:paraId="523E81DD" w14:textId="77777777" w:rsidR="004D22EA" w:rsidRPr="004D22EA" w:rsidRDefault="00F80A22" w:rsidP="004D22EA">
      <w:pPr>
        <w:autoSpaceDE w:val="0"/>
        <w:autoSpaceDN w:val="0"/>
        <w:adjustRightInd w:val="0"/>
        <w:spacing w:before="240" w:after="240"/>
        <w:contextualSpacing/>
        <w:jc w:val="both"/>
        <w:rPr>
          <w:rFonts w:ascii="ITC Avant Garde" w:hAnsi="ITC Avant Garde"/>
          <w:bCs/>
          <w:color w:val="000000" w:themeColor="text1"/>
          <w:sz w:val="22"/>
          <w:szCs w:val="22"/>
          <w:lang w:eastAsia="es-MX"/>
        </w:rPr>
      </w:pPr>
      <w:r w:rsidRPr="004D22EA">
        <w:rPr>
          <w:rFonts w:ascii="ITC Avant Garde" w:hAnsi="ITC Avant Garde"/>
          <w:b/>
          <w:bCs/>
          <w:sz w:val="22"/>
          <w:szCs w:val="22"/>
        </w:rPr>
        <w:t>Primero.-</w:t>
      </w:r>
      <w:r w:rsidRPr="004D22EA">
        <w:rPr>
          <w:rFonts w:ascii="ITC Avant Garde" w:hAnsi="ITC Avant Garde"/>
          <w:bCs/>
          <w:sz w:val="22"/>
          <w:szCs w:val="22"/>
        </w:rPr>
        <w:t xml:space="preserve"> </w:t>
      </w:r>
      <w:r w:rsidRPr="004D22EA">
        <w:rPr>
          <w:rFonts w:ascii="ITC Avant Garde" w:hAnsi="ITC Avant Garde"/>
          <w:b/>
          <w:bCs/>
          <w:sz w:val="22"/>
          <w:szCs w:val="22"/>
        </w:rPr>
        <w:t>Competencia.</w:t>
      </w:r>
      <w:r w:rsidRPr="004D22EA">
        <w:rPr>
          <w:rFonts w:ascii="ITC Avant Garde" w:hAnsi="ITC Avant Garde"/>
          <w:bCs/>
          <w:sz w:val="22"/>
          <w:szCs w:val="22"/>
        </w:rPr>
        <w:t xml:space="preserve"> </w:t>
      </w:r>
      <w:r w:rsidRPr="004D22EA">
        <w:rPr>
          <w:rFonts w:ascii="ITC Avant Garde" w:hAnsi="ITC Avant Garde"/>
          <w:bCs/>
          <w:color w:val="000000" w:themeColor="text1"/>
          <w:sz w:val="22"/>
          <w:szCs w:val="22"/>
          <w:lang w:eastAsia="es-MX"/>
        </w:rPr>
        <w:t>Conforme lo dispone el artículo 28 párrafo décimo séptimo de la Constitución, corresponde al Instituto el otorgamiento, la revocación, así como la autorización de cesiones o cambios de control accionario, titularidad u operación de sociedades relacionadas con concesiones en materia de radiodifusión y telecomunicaciones.</w:t>
      </w:r>
    </w:p>
    <w:p w14:paraId="446963DC" w14:textId="77777777" w:rsidR="004D22EA" w:rsidRPr="004D22EA" w:rsidRDefault="00F80A22" w:rsidP="004D22EA">
      <w:pPr>
        <w:autoSpaceDE w:val="0"/>
        <w:autoSpaceDN w:val="0"/>
        <w:adjustRightInd w:val="0"/>
        <w:spacing w:before="240" w:after="240"/>
        <w:contextualSpacing/>
        <w:jc w:val="both"/>
        <w:rPr>
          <w:rFonts w:ascii="ITC Avant Garde" w:hAnsi="ITC Avant Garde"/>
          <w:bCs/>
          <w:sz w:val="22"/>
          <w:szCs w:val="22"/>
        </w:rPr>
      </w:pPr>
      <w:r w:rsidRPr="004D22EA">
        <w:rPr>
          <w:rFonts w:ascii="ITC Avant Garde" w:hAnsi="ITC Avant Garde"/>
          <w:bCs/>
          <w:color w:val="000000" w:themeColor="text1"/>
          <w:sz w:val="22"/>
          <w:szCs w:val="22"/>
          <w:lang w:eastAsia="es-MX"/>
        </w:rPr>
        <w:t>Asimismo, de conformidad con el párrafo</w:t>
      </w:r>
      <w:r w:rsidRPr="004D22EA">
        <w:rPr>
          <w:rFonts w:ascii="ITC Avant Garde" w:hAnsi="ITC Avant Garde"/>
          <w:bCs/>
          <w:sz w:val="22"/>
          <w:szCs w:val="22"/>
        </w:rPr>
        <w:t xml:space="preserve"> décimo sexto del citado artículo, el Instituto es la autoridad en materia de competencia económica en los sectores de </w:t>
      </w:r>
      <w:r w:rsidRPr="004D22EA">
        <w:rPr>
          <w:rFonts w:ascii="ITC Avant Garde" w:hAnsi="ITC Avant Garde"/>
          <w:bCs/>
          <w:color w:val="000000" w:themeColor="text1"/>
          <w:sz w:val="22"/>
          <w:szCs w:val="22"/>
          <w:lang w:eastAsia="es-MX"/>
        </w:rPr>
        <w:t>radiodifusión</w:t>
      </w:r>
      <w:r w:rsidRPr="004D22EA">
        <w:rPr>
          <w:rFonts w:ascii="ITC Avant Garde" w:hAnsi="ITC Avant Garde"/>
          <w:bCs/>
          <w:sz w:val="22"/>
          <w:szCs w:val="22"/>
        </w:rPr>
        <w:t xml:space="preserve">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2768EC82" w14:textId="77777777" w:rsidR="004D22EA" w:rsidRPr="004D22EA" w:rsidRDefault="00F80A22" w:rsidP="004D22EA">
      <w:pPr>
        <w:autoSpaceDE w:val="0"/>
        <w:autoSpaceDN w:val="0"/>
        <w:adjustRightInd w:val="0"/>
        <w:spacing w:before="240" w:after="240"/>
        <w:contextualSpacing/>
        <w:jc w:val="both"/>
        <w:rPr>
          <w:rFonts w:ascii="ITC Avant Garde" w:hAnsi="ITC Avant Garde"/>
          <w:bCs/>
          <w:sz w:val="22"/>
          <w:szCs w:val="22"/>
        </w:rPr>
      </w:pPr>
      <w:r w:rsidRPr="004D22EA">
        <w:rPr>
          <w:rFonts w:ascii="ITC Avant Garde" w:hAnsi="ITC Avant Garde"/>
          <w:bCs/>
          <w:sz w:val="22"/>
          <w:szCs w:val="22"/>
        </w:rPr>
        <w:t xml:space="preserve">Ahora bien, el artículo 112 de la Ley </w:t>
      </w:r>
      <w:r w:rsidR="00E87FE0" w:rsidRPr="004D22EA">
        <w:rPr>
          <w:rFonts w:ascii="ITC Avant Garde" w:hAnsi="ITC Avant Garde"/>
          <w:bCs/>
          <w:sz w:val="22"/>
          <w:szCs w:val="22"/>
        </w:rPr>
        <w:t xml:space="preserve">Federal de Telecomunicaciones y Radiodifusión (la “Ley”) </w:t>
      </w:r>
      <w:r w:rsidRPr="004D22EA">
        <w:rPr>
          <w:rFonts w:ascii="ITC Avant Garde" w:hAnsi="ITC Avant Garde"/>
          <w:bCs/>
          <w:sz w:val="22"/>
          <w:szCs w:val="22"/>
        </w:rPr>
        <w:t xml:space="preserve">establece que 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dar aviso al Instituto de la intención de los interesados </w:t>
      </w:r>
      <w:r w:rsidRPr="004D22EA">
        <w:rPr>
          <w:rFonts w:ascii="ITC Avant Garde" w:hAnsi="ITC Avant Garde"/>
          <w:bCs/>
          <w:sz w:val="22"/>
          <w:szCs w:val="22"/>
        </w:rPr>
        <w:lastRenderedPageBreak/>
        <w:t>en realizar la suscripción o enajenación de las acciones o partes sociales, ya sea directa o indirectamente, debiendo acompañar el aviso con la información detallada de las personas interesadas en adquirir las acciones o partes sociales.</w:t>
      </w:r>
    </w:p>
    <w:p w14:paraId="3B9F86A7" w14:textId="77777777" w:rsidR="004D22EA" w:rsidRPr="004D22EA" w:rsidRDefault="00F80A22" w:rsidP="004D22EA">
      <w:pPr>
        <w:autoSpaceDE w:val="0"/>
        <w:autoSpaceDN w:val="0"/>
        <w:adjustRightInd w:val="0"/>
        <w:spacing w:before="240" w:after="240"/>
        <w:contextualSpacing/>
        <w:jc w:val="both"/>
        <w:rPr>
          <w:rFonts w:ascii="ITC Avant Garde" w:hAnsi="ITC Avant Garde"/>
          <w:bCs/>
          <w:sz w:val="22"/>
          <w:szCs w:val="22"/>
        </w:rPr>
      </w:pPr>
      <w:r w:rsidRPr="004D22EA">
        <w:rPr>
          <w:rFonts w:ascii="ITC Avant Garde" w:hAnsi="ITC Avant Garde"/>
          <w:bCs/>
          <w:color w:val="000000" w:themeColor="text1"/>
          <w:sz w:val="22"/>
          <w:szCs w:val="22"/>
          <w:lang w:eastAsia="es-MX"/>
        </w:rPr>
        <w:t xml:space="preserve">De igual manera, corresponde al Pleno del Instituto conforme a lo establecido en los artículos 15 fracción IV y 17 </w:t>
      </w:r>
      <w:proofErr w:type="gramStart"/>
      <w:r w:rsidRPr="004D22EA">
        <w:rPr>
          <w:rFonts w:ascii="ITC Avant Garde" w:hAnsi="ITC Avant Garde"/>
          <w:bCs/>
          <w:color w:val="000000" w:themeColor="text1"/>
          <w:sz w:val="22"/>
          <w:szCs w:val="22"/>
          <w:lang w:eastAsia="es-MX"/>
        </w:rPr>
        <w:t>fracción</w:t>
      </w:r>
      <w:proofErr w:type="gramEnd"/>
      <w:r w:rsidRPr="004D22EA">
        <w:rPr>
          <w:rFonts w:ascii="ITC Avant Garde" w:hAnsi="ITC Avant Garde"/>
          <w:bCs/>
          <w:color w:val="000000" w:themeColor="text1"/>
          <w:sz w:val="22"/>
          <w:szCs w:val="22"/>
          <w:lang w:eastAsia="es-MX"/>
        </w:rPr>
        <w:t xml:space="preserve"> I de la Ley y 6 fracción XXXVIII del Estatuto Orgánico, la facultad de autorizar cesiones o cambios de control accionario, titularidad u operación de sociedades relacionadas con concesiones.</w:t>
      </w:r>
    </w:p>
    <w:p w14:paraId="27CF5D36" w14:textId="77777777" w:rsidR="004D22EA" w:rsidRPr="004D22EA" w:rsidRDefault="00F80A22" w:rsidP="004D22EA">
      <w:pPr>
        <w:autoSpaceDE w:val="0"/>
        <w:autoSpaceDN w:val="0"/>
        <w:adjustRightInd w:val="0"/>
        <w:spacing w:before="240" w:after="240"/>
        <w:contextualSpacing/>
        <w:jc w:val="both"/>
        <w:rPr>
          <w:rFonts w:ascii="ITC Avant Garde" w:hAnsi="ITC Avant Garde"/>
          <w:bCs/>
          <w:color w:val="000000" w:themeColor="text1"/>
          <w:sz w:val="22"/>
          <w:szCs w:val="22"/>
          <w:lang w:eastAsia="es-MX"/>
        </w:rPr>
      </w:pPr>
      <w:r w:rsidRPr="004D22EA">
        <w:rPr>
          <w:rFonts w:ascii="ITC Avant Garde" w:hAnsi="ITC Avant Garde"/>
          <w:bCs/>
          <w:color w:val="000000" w:themeColor="text1"/>
          <w:sz w:val="22"/>
          <w:szCs w:val="22"/>
          <w:lang w:eastAsia="es-MX"/>
        </w:rPr>
        <w:t>En este sentido, conforme a los artícu</w:t>
      </w:r>
      <w:r w:rsidR="00B16771" w:rsidRPr="004D22EA">
        <w:rPr>
          <w:rFonts w:ascii="ITC Avant Garde" w:hAnsi="ITC Avant Garde"/>
          <w:bCs/>
          <w:color w:val="000000" w:themeColor="text1"/>
          <w:sz w:val="22"/>
          <w:szCs w:val="22"/>
          <w:lang w:eastAsia="es-MX"/>
        </w:rPr>
        <w:t>los 32 y 33 fracciones II y</w:t>
      </w:r>
      <w:r w:rsidRPr="004D22EA">
        <w:rPr>
          <w:rFonts w:ascii="ITC Avant Garde" w:hAnsi="ITC Avant Garde"/>
          <w:bCs/>
          <w:color w:val="000000" w:themeColor="text1"/>
          <w:sz w:val="22"/>
          <w:szCs w:val="22"/>
          <w:lang w:eastAsia="es-MX"/>
        </w:rPr>
        <w:t xml:space="preserve"> IV del Estatuto Orgánico corresponde a la Unidad de Concesiones y Servicios, a través de la Dirección General de Concesiones de Telecom</w:t>
      </w:r>
      <w:r w:rsidR="00B16771" w:rsidRPr="004D22EA">
        <w:rPr>
          <w:rFonts w:ascii="ITC Avant Garde" w:hAnsi="ITC Avant Garde"/>
          <w:bCs/>
          <w:color w:val="000000" w:themeColor="text1"/>
          <w:sz w:val="22"/>
          <w:szCs w:val="22"/>
          <w:lang w:eastAsia="es-MX"/>
        </w:rPr>
        <w:t xml:space="preserve">unicaciones, tramitar y evaluar, entre otras, </w:t>
      </w:r>
      <w:r w:rsidRPr="004D22EA">
        <w:rPr>
          <w:rFonts w:ascii="ITC Avant Garde" w:hAnsi="ITC Avant Garde"/>
          <w:bCs/>
          <w:color w:val="000000" w:themeColor="text1"/>
          <w:sz w:val="22"/>
          <w:szCs w:val="22"/>
          <w:lang w:eastAsia="es-MX"/>
        </w:rPr>
        <w:t>las solicitudes de</w:t>
      </w:r>
      <w:r w:rsidR="00B16771" w:rsidRPr="004D22EA">
        <w:rPr>
          <w:rFonts w:ascii="ITC Avant Garde" w:hAnsi="ITC Avant Garde"/>
          <w:bCs/>
          <w:color w:val="000000" w:themeColor="text1"/>
          <w:sz w:val="22"/>
          <w:szCs w:val="22"/>
          <w:lang w:eastAsia="es-MX"/>
        </w:rPr>
        <w:t xml:space="preserve"> cesión, </w:t>
      </w:r>
      <w:r w:rsidRPr="004D22EA">
        <w:rPr>
          <w:rFonts w:ascii="ITC Avant Garde" w:hAnsi="ITC Avant Garde"/>
          <w:bCs/>
          <w:color w:val="000000" w:themeColor="text1"/>
          <w:sz w:val="22"/>
          <w:szCs w:val="22"/>
          <w:lang w:eastAsia="es-MX"/>
        </w:rPr>
        <w:t>cambios de control accionario, titularidad u operación de sociedades relacionadas con concesiones en materia de telecomunicaciones, para someterlas a consideración del Pleno del Instituto.</w:t>
      </w:r>
    </w:p>
    <w:p w14:paraId="45C01CCD" w14:textId="77777777" w:rsidR="004D22EA" w:rsidRPr="004D22EA" w:rsidRDefault="00F80A22" w:rsidP="004D22EA">
      <w:pPr>
        <w:autoSpaceDE w:val="0"/>
        <w:autoSpaceDN w:val="0"/>
        <w:adjustRightInd w:val="0"/>
        <w:spacing w:before="240" w:after="240"/>
        <w:contextualSpacing/>
        <w:jc w:val="both"/>
        <w:rPr>
          <w:rFonts w:ascii="ITC Avant Garde" w:hAnsi="ITC Avant Garde"/>
          <w:bCs/>
          <w:color w:val="000000" w:themeColor="text1"/>
          <w:sz w:val="22"/>
          <w:szCs w:val="22"/>
          <w:lang w:eastAsia="es-MX"/>
        </w:rPr>
      </w:pPr>
      <w:r w:rsidRPr="004D22EA">
        <w:rPr>
          <w:rFonts w:ascii="ITC Avant Garde" w:hAnsi="ITC Avant Garde"/>
          <w:bCs/>
          <w:color w:val="000000" w:themeColor="text1"/>
          <w:sz w:val="22"/>
          <w:szCs w:val="22"/>
          <w:lang w:eastAsia="es-MX"/>
        </w:rPr>
        <w:t>En este orden de ideas, y considerando que el Instituto tiene a su cargo la regulación, promoción y supervisión de las telecomunicaciones, así como la facultad de autorizar cesiones o cambios de control accionario, titularidad u operación de sociedades relacionadas con concesiones; el Pleno, como órgano máximo de gobierno y decisión del Instituto, se encuentra plenamente facultado para resolver la Solicitud de Enajenación de Acciones</w:t>
      </w:r>
      <w:r w:rsidR="00B16771" w:rsidRPr="004D22EA">
        <w:rPr>
          <w:rFonts w:ascii="ITC Avant Garde" w:hAnsi="ITC Avant Garde"/>
          <w:bCs/>
          <w:color w:val="000000" w:themeColor="text1"/>
          <w:sz w:val="22"/>
          <w:szCs w:val="22"/>
          <w:lang w:eastAsia="es-MX"/>
        </w:rPr>
        <w:t xml:space="preserve"> y la Solicitud de Cesión de Derechos</w:t>
      </w:r>
      <w:r w:rsidRPr="004D22EA">
        <w:rPr>
          <w:rFonts w:ascii="ITC Avant Garde" w:hAnsi="ITC Avant Garde"/>
          <w:bCs/>
          <w:color w:val="000000" w:themeColor="text1"/>
          <w:sz w:val="22"/>
          <w:szCs w:val="22"/>
          <w:lang w:eastAsia="es-MX"/>
        </w:rPr>
        <w:t>.</w:t>
      </w:r>
    </w:p>
    <w:p w14:paraId="70487BA4" w14:textId="77777777" w:rsidR="004D22EA" w:rsidRPr="004D22EA" w:rsidRDefault="00F80A22" w:rsidP="004D22EA">
      <w:pPr>
        <w:autoSpaceDE w:val="0"/>
        <w:autoSpaceDN w:val="0"/>
        <w:adjustRightInd w:val="0"/>
        <w:spacing w:before="240" w:after="240"/>
        <w:contextualSpacing/>
        <w:jc w:val="both"/>
        <w:rPr>
          <w:rFonts w:ascii="ITC Avant Garde" w:hAnsi="ITC Avant Garde"/>
          <w:bCs/>
          <w:color w:val="000000" w:themeColor="text1"/>
          <w:sz w:val="22"/>
          <w:szCs w:val="22"/>
          <w:lang w:eastAsia="es-MX"/>
        </w:rPr>
      </w:pPr>
      <w:r w:rsidRPr="004D22EA">
        <w:rPr>
          <w:rFonts w:ascii="ITC Avant Garde" w:hAnsi="ITC Avant Garde"/>
          <w:b/>
          <w:bCs/>
          <w:sz w:val="22"/>
          <w:szCs w:val="22"/>
        </w:rPr>
        <w:t>Segundo.-</w:t>
      </w:r>
      <w:r w:rsidRPr="004D22EA">
        <w:rPr>
          <w:rFonts w:ascii="ITC Avant Garde" w:hAnsi="ITC Avant Garde"/>
          <w:bCs/>
          <w:sz w:val="22"/>
          <w:szCs w:val="22"/>
        </w:rPr>
        <w:t xml:space="preserve"> </w:t>
      </w:r>
      <w:r w:rsidRPr="004D22EA">
        <w:rPr>
          <w:rFonts w:ascii="ITC Avant Garde" w:hAnsi="ITC Avant Garde"/>
          <w:b/>
          <w:bCs/>
          <w:sz w:val="22"/>
          <w:szCs w:val="22"/>
        </w:rPr>
        <w:t>Marco legal aplicable a la Solicitud de Enajenación de Acciones.</w:t>
      </w:r>
      <w:r w:rsidRPr="004D22EA">
        <w:rPr>
          <w:rFonts w:ascii="ITC Avant Garde" w:hAnsi="ITC Avant Garde"/>
          <w:bCs/>
          <w:sz w:val="22"/>
          <w:szCs w:val="22"/>
        </w:rPr>
        <w:t xml:space="preserve"> De </w:t>
      </w:r>
      <w:r w:rsidRPr="004D22EA">
        <w:rPr>
          <w:rFonts w:ascii="ITC Avant Garde" w:hAnsi="ITC Avant Garde"/>
          <w:bCs/>
          <w:color w:val="000000" w:themeColor="text1"/>
          <w:sz w:val="22"/>
          <w:szCs w:val="22"/>
          <w:lang w:eastAsia="es-MX"/>
        </w:rPr>
        <w:t>conformidad con lo antes señalado, la normatividad aplicable que establece los requisitos de procedencia para solicitar la autorización para llevar a cabo la enajenación de acciones o partes sociales del capital de una empresa, se encuentra contenida en el artículo 112 de la Ley, el cual establece lo siguiente:</w:t>
      </w:r>
    </w:p>
    <w:p w14:paraId="7D353A92" w14:textId="77777777" w:rsidR="004D22EA" w:rsidRPr="004D22EA" w:rsidRDefault="00F80A22" w:rsidP="004D22EA">
      <w:pPr>
        <w:spacing w:before="240" w:after="240"/>
        <w:ind w:left="1134" w:right="1183"/>
        <w:contextualSpacing/>
        <w:jc w:val="both"/>
        <w:rPr>
          <w:rFonts w:ascii="ITC Avant Garde" w:hAnsi="ITC Avant Garde"/>
          <w:bCs/>
          <w:color w:val="000000"/>
          <w:sz w:val="18"/>
          <w:szCs w:val="18"/>
          <w:lang w:eastAsia="es-MX"/>
        </w:rPr>
      </w:pPr>
      <w:r w:rsidRPr="004D22EA">
        <w:rPr>
          <w:rFonts w:ascii="ITC Avant Garde" w:hAnsi="ITC Avant Garde"/>
          <w:b/>
          <w:bCs/>
          <w:color w:val="000000"/>
          <w:sz w:val="18"/>
          <w:szCs w:val="18"/>
          <w:lang w:eastAsia="es-MX"/>
        </w:rPr>
        <w:t>“Artículo 112.</w:t>
      </w:r>
      <w:r w:rsidRPr="004D22EA">
        <w:rPr>
          <w:rFonts w:ascii="ITC Avant Garde" w:hAnsi="ITC Avant Garde"/>
          <w:bCs/>
          <w:color w:val="000000"/>
          <w:sz w:val="18"/>
          <w:szCs w:val="18"/>
          <w:lang w:eastAsia="es-MX"/>
        </w:rPr>
        <w:t xml:space="preserve"> El concesionario, cuando sea una persona moral, presentará al Instituto, a más tardar el treinta de junio de cada año, su estructura accionaria o de partes sociales de que se trate, con sus respectivos porcentajes de participación, acompañando además una relación de los accionistas que sean titulares del cinco por ciento o más del capital social de la empresa, así como el nombre de las personas físicas que participen directa o indirectamente con el diez por ciento o más del capital social de la empresa, sus principales accionistas y sus respectivos porcentajes de participación, a la que acompañará la información en el formato que determine el Instituto.</w:t>
      </w:r>
    </w:p>
    <w:p w14:paraId="04CD02F6" w14:textId="77777777" w:rsidR="004D22EA" w:rsidRPr="004D22EA" w:rsidRDefault="00F80A22" w:rsidP="004D22EA">
      <w:pPr>
        <w:spacing w:before="240" w:after="240"/>
        <w:ind w:left="1134" w:right="1183"/>
        <w:contextualSpacing/>
        <w:jc w:val="both"/>
        <w:rPr>
          <w:rFonts w:ascii="ITC Avant Garde" w:hAnsi="ITC Avant Garde"/>
          <w:bCs/>
          <w:color w:val="000000"/>
          <w:sz w:val="18"/>
          <w:szCs w:val="18"/>
          <w:lang w:eastAsia="es-MX"/>
        </w:rPr>
      </w:pPr>
      <w:r w:rsidRPr="004D22EA">
        <w:rPr>
          <w:rFonts w:ascii="ITC Avant Garde" w:hAnsi="ITC Avant Garde"/>
          <w:bCs/>
          <w:color w:val="000000"/>
          <w:sz w:val="18"/>
          <w:szCs w:val="18"/>
          <w:lang w:eastAsia="es-MX"/>
        </w:rP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w:t>
      </w:r>
    </w:p>
    <w:p w14:paraId="2D5BF890" w14:textId="7E14F376" w:rsidR="00F80A22" w:rsidRPr="004D22EA" w:rsidRDefault="00F80A22" w:rsidP="004D22EA">
      <w:pPr>
        <w:pStyle w:val="Prrafodelista"/>
        <w:numPr>
          <w:ilvl w:val="0"/>
          <w:numId w:val="6"/>
        </w:numPr>
        <w:spacing w:before="240" w:after="240"/>
        <w:ind w:right="1183"/>
        <w:contextualSpacing/>
        <w:jc w:val="both"/>
        <w:rPr>
          <w:rFonts w:ascii="ITC Avant Garde" w:hAnsi="ITC Avant Garde"/>
          <w:bCs/>
          <w:color w:val="000000"/>
          <w:sz w:val="18"/>
          <w:szCs w:val="18"/>
          <w:lang w:eastAsia="es-MX"/>
        </w:rPr>
      </w:pPr>
      <w:r w:rsidRPr="004D22EA">
        <w:rPr>
          <w:rFonts w:ascii="ITC Avant Garde" w:hAnsi="ITC Avant Garde"/>
          <w:bCs/>
          <w:color w:val="000000"/>
          <w:sz w:val="18"/>
          <w:szCs w:val="18"/>
          <w:lang w:eastAsia="es-MX"/>
        </w:rPr>
        <w:t>El concesionario deberá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14:paraId="752D1012" w14:textId="77777777" w:rsidR="004D22EA" w:rsidRPr="004D22EA" w:rsidRDefault="00F80A22" w:rsidP="004D22EA">
      <w:pPr>
        <w:pStyle w:val="Prrafodelista"/>
        <w:numPr>
          <w:ilvl w:val="0"/>
          <w:numId w:val="6"/>
        </w:numPr>
        <w:spacing w:before="240" w:after="240"/>
        <w:ind w:right="1183"/>
        <w:contextualSpacing/>
        <w:jc w:val="both"/>
        <w:rPr>
          <w:rFonts w:ascii="ITC Avant Garde" w:hAnsi="ITC Avant Garde"/>
          <w:bCs/>
          <w:color w:val="000000"/>
          <w:sz w:val="18"/>
          <w:szCs w:val="18"/>
          <w:lang w:eastAsia="es-MX"/>
        </w:rPr>
      </w:pPr>
      <w:r w:rsidRPr="004D22EA">
        <w:rPr>
          <w:rFonts w:ascii="ITC Avant Garde" w:hAnsi="ITC Avant Garde"/>
          <w:bCs/>
          <w:color w:val="000000"/>
          <w:sz w:val="18"/>
          <w:szCs w:val="18"/>
          <w:lang w:eastAsia="es-MX"/>
        </w:rPr>
        <w:t>El Instituto tendrá un plazo de diez días hábiles contados a partir de la presentación del aviso, para solicitar la opinión de la Secretaría;</w:t>
      </w:r>
    </w:p>
    <w:p w14:paraId="75477523" w14:textId="77777777" w:rsidR="004D22EA" w:rsidRPr="004D22EA" w:rsidRDefault="00F80A22" w:rsidP="004D22EA">
      <w:pPr>
        <w:pStyle w:val="Prrafodelista"/>
        <w:numPr>
          <w:ilvl w:val="0"/>
          <w:numId w:val="6"/>
        </w:numPr>
        <w:spacing w:before="240" w:after="240"/>
        <w:ind w:right="1183"/>
        <w:contextualSpacing/>
        <w:jc w:val="both"/>
        <w:rPr>
          <w:rFonts w:ascii="ITC Avant Garde" w:hAnsi="ITC Avant Garde"/>
          <w:bCs/>
          <w:color w:val="000000"/>
          <w:sz w:val="18"/>
          <w:szCs w:val="18"/>
          <w:lang w:eastAsia="es-MX"/>
        </w:rPr>
      </w:pPr>
      <w:r w:rsidRPr="004D22EA">
        <w:rPr>
          <w:rFonts w:ascii="ITC Avant Garde" w:hAnsi="ITC Avant Garde"/>
          <w:bCs/>
          <w:color w:val="000000"/>
          <w:sz w:val="18"/>
          <w:szCs w:val="18"/>
          <w:lang w:eastAsia="es-MX"/>
        </w:rPr>
        <w:t>La Secretaría tendrá un plazo de treinta días naturales para emitir opinión, y</w:t>
      </w:r>
    </w:p>
    <w:p w14:paraId="43BD775E" w14:textId="77777777" w:rsidR="004D22EA" w:rsidRPr="004D22EA" w:rsidRDefault="00F80A22" w:rsidP="004D22EA">
      <w:pPr>
        <w:spacing w:before="240" w:after="240"/>
        <w:ind w:left="2124" w:right="1183" w:hanging="696"/>
        <w:contextualSpacing/>
        <w:jc w:val="both"/>
        <w:rPr>
          <w:rFonts w:ascii="ITC Avant Garde" w:hAnsi="ITC Avant Garde"/>
          <w:bCs/>
          <w:color w:val="000000"/>
          <w:sz w:val="18"/>
          <w:szCs w:val="18"/>
          <w:lang w:eastAsia="es-MX"/>
        </w:rPr>
      </w:pPr>
      <w:r w:rsidRPr="004D22EA">
        <w:rPr>
          <w:rFonts w:ascii="ITC Avant Garde" w:hAnsi="ITC Avant Garde"/>
          <w:bCs/>
          <w:color w:val="000000"/>
          <w:sz w:val="18"/>
          <w:szCs w:val="18"/>
          <w:lang w:eastAsia="es-MX"/>
        </w:rPr>
        <w:lastRenderedPageBreak/>
        <w:t xml:space="preserve">IV. </w:t>
      </w:r>
      <w:r w:rsidRPr="004D22EA">
        <w:rPr>
          <w:rFonts w:ascii="ITC Avant Garde" w:hAnsi="ITC Avant Garde"/>
          <w:bCs/>
          <w:color w:val="000000"/>
          <w:sz w:val="18"/>
          <w:szCs w:val="18"/>
          <w:lang w:eastAsia="es-MX"/>
        </w:rPr>
        <w:tab/>
        <w:t>El Instituto tendrá un plazo de quince días hábiles contados a partir de que reciba la opinión de la Secretaría o en caso que no se hubiere emitido opinión, a partir de que fenezca el plazo referido en la fracción que antecede, para objetar con causa justificada la operación de que se trate. Transcurrido dicho plazo sin que la operación hubiere sido objetada por el Instituto, se tendrá por autorizada.</w:t>
      </w:r>
    </w:p>
    <w:p w14:paraId="1371AF99" w14:textId="5165A6D1" w:rsidR="00F80A22" w:rsidRPr="004D22EA" w:rsidRDefault="00F80A22" w:rsidP="004D22EA">
      <w:pPr>
        <w:spacing w:before="240" w:after="240"/>
        <w:ind w:left="1134" w:right="1183"/>
        <w:contextualSpacing/>
        <w:jc w:val="both"/>
        <w:rPr>
          <w:rFonts w:ascii="ITC Avant Garde" w:hAnsi="ITC Avant Garde"/>
          <w:bCs/>
          <w:color w:val="000000"/>
          <w:sz w:val="18"/>
          <w:szCs w:val="18"/>
          <w:lang w:eastAsia="es-MX"/>
        </w:rPr>
      </w:pPr>
      <w:r w:rsidRPr="004D22EA">
        <w:rPr>
          <w:rFonts w:ascii="ITC Avant Garde" w:hAnsi="ITC Avant Garde"/>
          <w:bCs/>
          <w:color w:val="000000"/>
          <w:sz w:val="18"/>
          <w:szCs w:val="18"/>
          <w:lang w:eastAsia="es-MX"/>
        </w:rPr>
        <w:t>Las operaciones que no hubieren sido objetadas por el Instituto deberán inscribirse en el libro de registro de accionistas o socios de la persona moral, sin perjuicio de las autorizaciones que se requieran de otras autoridades conforme a las disposiciones legales, reglamentarias y administrativas aplicables.</w:t>
      </w:r>
    </w:p>
    <w:p w14:paraId="4CED9F43" w14:textId="77777777" w:rsidR="004D22EA" w:rsidRPr="004D22EA" w:rsidRDefault="00F80A22" w:rsidP="004D22EA">
      <w:pPr>
        <w:spacing w:before="240" w:after="240"/>
        <w:ind w:left="1134" w:right="1183"/>
        <w:contextualSpacing/>
        <w:jc w:val="both"/>
        <w:rPr>
          <w:rFonts w:ascii="ITC Avant Garde" w:hAnsi="ITC Avant Garde"/>
          <w:bCs/>
          <w:color w:val="000000"/>
          <w:sz w:val="18"/>
          <w:szCs w:val="18"/>
          <w:lang w:eastAsia="es-MX"/>
        </w:rPr>
      </w:pPr>
      <w:r w:rsidRPr="004D22EA">
        <w:rPr>
          <w:rFonts w:ascii="ITC Avant Garde" w:hAnsi="ITC Avant Garde"/>
          <w:bCs/>
          <w:color w:val="000000"/>
          <w:sz w:val="18"/>
          <w:szCs w:val="18"/>
          <w:lang w:eastAsia="es-MX"/>
        </w:rPr>
        <w:t>…</w:t>
      </w:r>
    </w:p>
    <w:p w14:paraId="5067A7E8" w14:textId="77777777" w:rsidR="004D22EA" w:rsidRPr="004D22EA" w:rsidRDefault="00F80A22" w:rsidP="004D22EA">
      <w:pPr>
        <w:spacing w:before="240" w:after="240"/>
        <w:ind w:left="1134" w:right="1183"/>
        <w:contextualSpacing/>
        <w:jc w:val="both"/>
        <w:rPr>
          <w:rFonts w:ascii="ITC Avant Garde" w:hAnsi="ITC Avant Garde"/>
          <w:bCs/>
          <w:color w:val="000000"/>
          <w:sz w:val="18"/>
          <w:szCs w:val="18"/>
          <w:lang w:eastAsia="es-MX"/>
        </w:rPr>
      </w:pPr>
      <w:r w:rsidRPr="004D22EA">
        <w:rPr>
          <w:rFonts w:ascii="ITC Avant Garde" w:hAnsi="ITC Avant Garde"/>
          <w:bCs/>
          <w:color w:val="000000"/>
          <w:sz w:val="18"/>
          <w:szCs w:val="18"/>
          <w:lang w:eastAsia="es-MX"/>
        </w:rPr>
        <w:t>En caso de que el interesado en suscribir o adquirir acciones o partes sociales sea una persona moral, en el aviso al que se refiere la fracción I de este artículo, deberá presentar la información necesaria para que el Instituto conozca la identidad de las personas físicas que tengan intereses patrimoniales mayores al diez por ciento del capital de dicha persona moral.</w:t>
      </w:r>
    </w:p>
    <w:p w14:paraId="4C7F2771" w14:textId="77777777" w:rsidR="004D22EA" w:rsidRPr="004D22EA" w:rsidRDefault="00F80A22" w:rsidP="004D22EA">
      <w:pPr>
        <w:spacing w:before="240" w:after="240"/>
        <w:ind w:left="1134" w:right="1183"/>
        <w:contextualSpacing/>
        <w:jc w:val="both"/>
        <w:rPr>
          <w:rFonts w:ascii="ITC Avant Garde" w:hAnsi="ITC Avant Garde"/>
          <w:bCs/>
          <w:color w:val="000000"/>
          <w:sz w:val="18"/>
          <w:szCs w:val="18"/>
          <w:lang w:eastAsia="es-MX"/>
        </w:rPr>
      </w:pPr>
      <w:r w:rsidRPr="004D22EA">
        <w:rPr>
          <w:rFonts w:ascii="ITC Avant Garde" w:hAnsi="ITC Avant Garde"/>
          <w:bCs/>
          <w:color w:val="000000"/>
          <w:sz w:val="18"/>
          <w:szCs w:val="18"/>
          <w:lang w:eastAsia="es-MX"/>
        </w:rPr>
        <w:t>En caso de que se actualice la obligación de notificar una concentración conforme a lo previsto en la Ley Federal de Competencia Económica, el Instituto dará trámite a la solicitud conforme a lo previsto para dicho procedimiento en la ley de la materia, considerando además los criterios establecidos en esta Ley.</w:t>
      </w:r>
    </w:p>
    <w:p w14:paraId="6C78FF28" w14:textId="77777777" w:rsidR="004D22EA" w:rsidRPr="004D22EA" w:rsidRDefault="00F80A22" w:rsidP="004D22EA">
      <w:pPr>
        <w:spacing w:before="240" w:after="240"/>
        <w:ind w:left="1134" w:right="1183"/>
        <w:contextualSpacing/>
        <w:rPr>
          <w:rFonts w:ascii="ITC Avant Garde" w:hAnsi="ITC Avant Garde"/>
          <w:bCs/>
          <w:color w:val="000000"/>
          <w:sz w:val="18"/>
          <w:szCs w:val="18"/>
          <w:lang w:eastAsia="es-MX"/>
        </w:rPr>
      </w:pPr>
      <w:r w:rsidRPr="004D22EA">
        <w:rPr>
          <w:rFonts w:ascii="ITC Avant Garde" w:hAnsi="ITC Avant Garde"/>
          <w:bCs/>
          <w:color w:val="000000"/>
          <w:sz w:val="18"/>
          <w:szCs w:val="18"/>
          <w:lang w:eastAsia="es-MX"/>
        </w:rPr>
        <w:t>[…]”</w:t>
      </w:r>
    </w:p>
    <w:p w14:paraId="01E4282F" w14:textId="77777777" w:rsidR="004D22EA" w:rsidRPr="004D22EA" w:rsidRDefault="00F80A22" w:rsidP="004D22EA">
      <w:pPr>
        <w:autoSpaceDE w:val="0"/>
        <w:autoSpaceDN w:val="0"/>
        <w:adjustRightInd w:val="0"/>
        <w:spacing w:before="240" w:after="240"/>
        <w:contextualSpacing/>
        <w:jc w:val="both"/>
        <w:rPr>
          <w:rFonts w:ascii="ITC Avant Garde" w:hAnsi="ITC Avant Garde"/>
          <w:bCs/>
          <w:color w:val="000000" w:themeColor="text1"/>
          <w:sz w:val="22"/>
          <w:szCs w:val="22"/>
          <w:lang w:eastAsia="es-MX"/>
        </w:rPr>
      </w:pPr>
      <w:r w:rsidRPr="004D22EA">
        <w:rPr>
          <w:rFonts w:ascii="ITC Avant Garde" w:hAnsi="ITC Avant Garde"/>
          <w:bCs/>
          <w:color w:val="000000" w:themeColor="text1"/>
          <w:sz w:val="22"/>
          <w:szCs w:val="22"/>
          <w:lang w:eastAsia="es-MX"/>
        </w:rPr>
        <w:t xml:space="preserve">Ahora bien, cabe destacar que para este tipo de solicitudes debe acatarse el requisito de procedencia </w:t>
      </w:r>
      <w:r w:rsidRPr="004D22EA">
        <w:rPr>
          <w:rFonts w:ascii="ITC Avant Garde" w:hAnsi="ITC Avant Garde"/>
          <w:bCs/>
          <w:sz w:val="22"/>
          <w:szCs w:val="22"/>
          <w:lang w:eastAsia="es-MX"/>
        </w:rPr>
        <w:t xml:space="preserve">establecido en el artículo 174-C fracción VII de la Ley Federal de Derechos, </w:t>
      </w:r>
      <w:r w:rsidRPr="004D22EA">
        <w:rPr>
          <w:rFonts w:ascii="ITC Avant Garde" w:hAnsi="ITC Avant Garde"/>
          <w:bCs/>
          <w:color w:val="000000" w:themeColor="text1"/>
          <w:sz w:val="22"/>
          <w:szCs w:val="22"/>
          <w:lang w:eastAsia="es-MX"/>
        </w:rPr>
        <w:t>correspondiente al pago de derechos relativo a la suscripción o enajenación de acciones o partes sociales en las concesiones en materia de telecomunicaciones, como es el caso que nos ocupa.</w:t>
      </w:r>
    </w:p>
    <w:p w14:paraId="26585373" w14:textId="77777777" w:rsidR="004D22EA" w:rsidRPr="004D22EA" w:rsidRDefault="00F80A22" w:rsidP="004D22EA">
      <w:pPr>
        <w:autoSpaceDE w:val="0"/>
        <w:autoSpaceDN w:val="0"/>
        <w:adjustRightInd w:val="0"/>
        <w:spacing w:before="240" w:after="240"/>
        <w:contextualSpacing/>
        <w:jc w:val="both"/>
        <w:rPr>
          <w:rFonts w:ascii="ITC Avant Garde" w:hAnsi="ITC Avant Garde"/>
          <w:bCs/>
          <w:color w:val="000000" w:themeColor="text1"/>
          <w:sz w:val="22"/>
          <w:szCs w:val="22"/>
          <w:lang w:eastAsia="es-MX"/>
        </w:rPr>
      </w:pPr>
      <w:r w:rsidRPr="004D22EA">
        <w:rPr>
          <w:rFonts w:ascii="ITC Avant Garde" w:hAnsi="ITC Avant Garde"/>
          <w:b/>
          <w:bCs/>
          <w:sz w:val="22"/>
          <w:szCs w:val="22"/>
        </w:rPr>
        <w:t>Tercero.- Concentración.</w:t>
      </w:r>
      <w:r w:rsidRPr="004D22EA">
        <w:rPr>
          <w:rFonts w:ascii="ITC Avant Garde" w:hAnsi="ITC Avant Garde"/>
          <w:bCs/>
          <w:sz w:val="22"/>
          <w:szCs w:val="22"/>
        </w:rPr>
        <w:t xml:space="preserve"> </w:t>
      </w:r>
      <w:r w:rsidRPr="004D22EA">
        <w:rPr>
          <w:rFonts w:ascii="ITC Avant Garde" w:hAnsi="ITC Avant Garde"/>
          <w:bCs/>
          <w:color w:val="000000" w:themeColor="text1"/>
          <w:sz w:val="22"/>
          <w:szCs w:val="22"/>
          <w:lang w:eastAsia="es-MX"/>
        </w:rPr>
        <w:t>Como se señaló en el Considerando Primero de la presente Resolución, el Instituto es la autoridad en materia de competencia económica en los sectores de radiodifusión y telecomunicaciones, por lo que en estos ejercerá en forma exclusiva las facultades que las leyes establecen para la Comisión Federal de Competencia Económica y regulará de forma asimétrica a los participantes en estos mercados, con el objeto de eliminar eficazmente las barreras a la competencia y la libre concurrencia, garantizando lo dispuesto en los artículos 6o. y 7o. de la Constitución.</w:t>
      </w:r>
    </w:p>
    <w:p w14:paraId="2674D1BE" w14:textId="77777777" w:rsidR="004D22EA" w:rsidRPr="004D22EA" w:rsidRDefault="00F80A22" w:rsidP="004D22EA">
      <w:pPr>
        <w:autoSpaceDE w:val="0"/>
        <w:autoSpaceDN w:val="0"/>
        <w:adjustRightInd w:val="0"/>
        <w:spacing w:before="240" w:after="240"/>
        <w:contextualSpacing/>
        <w:jc w:val="both"/>
        <w:rPr>
          <w:rFonts w:ascii="ITC Avant Garde" w:hAnsi="ITC Avant Garde"/>
          <w:bCs/>
          <w:color w:val="000000" w:themeColor="text1"/>
          <w:sz w:val="22"/>
          <w:szCs w:val="22"/>
          <w:lang w:eastAsia="es-MX"/>
        </w:rPr>
      </w:pPr>
      <w:r w:rsidRPr="004D22EA">
        <w:rPr>
          <w:rFonts w:ascii="ITC Avant Garde" w:hAnsi="ITC Avant Garde"/>
          <w:bCs/>
          <w:color w:val="000000" w:themeColor="text1"/>
          <w:sz w:val="22"/>
          <w:szCs w:val="22"/>
          <w:lang w:eastAsia="es-MX"/>
        </w:rPr>
        <w:t>En este sentido, la Ley en el artículo 112, establece como regla general la obligación que tienen a su cargo todos los concesionarios de telecomunicaciones y radiodifusión, de observar el régimen para cualquier supuesto de suscripción o enajenación de acciones o partes sociales en un acto o sucesión de actos, que represente el diez por ciento o más del monto de su capital social; siempre y cuando no se actualice la obligación del concesionario de notificar al Instituto una concentración conforme a lo previsto en la Ley Federal de Competencia Económica (la “Ley de Competencia”).</w:t>
      </w:r>
    </w:p>
    <w:p w14:paraId="75402E0E" w14:textId="77777777" w:rsidR="004D22EA" w:rsidRPr="004D22EA" w:rsidRDefault="00F80A22" w:rsidP="004D22EA">
      <w:pPr>
        <w:autoSpaceDE w:val="0"/>
        <w:autoSpaceDN w:val="0"/>
        <w:adjustRightInd w:val="0"/>
        <w:spacing w:before="240" w:after="240"/>
        <w:contextualSpacing/>
        <w:jc w:val="both"/>
        <w:rPr>
          <w:rFonts w:ascii="ITC Avant Garde" w:hAnsi="ITC Avant Garde"/>
          <w:bCs/>
          <w:color w:val="000000" w:themeColor="text1"/>
          <w:sz w:val="22"/>
          <w:szCs w:val="22"/>
          <w:lang w:eastAsia="es-MX"/>
        </w:rPr>
      </w:pPr>
      <w:r w:rsidRPr="004D22EA">
        <w:rPr>
          <w:rFonts w:ascii="ITC Avant Garde" w:hAnsi="ITC Avant Garde"/>
          <w:bCs/>
          <w:color w:val="000000" w:themeColor="text1"/>
          <w:sz w:val="22"/>
          <w:szCs w:val="22"/>
          <w:lang w:eastAsia="es-MX"/>
        </w:rPr>
        <w:t>Asimismo, el artículo 61 de la Ley Competencia, señala qué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w:t>
      </w:r>
    </w:p>
    <w:p w14:paraId="7119F640" w14:textId="77777777" w:rsidR="004D22EA" w:rsidRPr="004D22EA" w:rsidRDefault="00F80A22" w:rsidP="004D22EA">
      <w:pPr>
        <w:autoSpaceDE w:val="0"/>
        <w:autoSpaceDN w:val="0"/>
        <w:adjustRightInd w:val="0"/>
        <w:spacing w:before="240" w:after="240"/>
        <w:contextualSpacing/>
        <w:jc w:val="both"/>
        <w:rPr>
          <w:rFonts w:ascii="ITC Avant Garde" w:hAnsi="ITC Avant Garde"/>
          <w:bCs/>
          <w:color w:val="000000" w:themeColor="text1"/>
          <w:sz w:val="22"/>
          <w:szCs w:val="22"/>
          <w:lang w:eastAsia="es-MX"/>
        </w:rPr>
      </w:pPr>
      <w:r w:rsidRPr="004D22EA">
        <w:rPr>
          <w:rFonts w:ascii="ITC Avant Garde" w:hAnsi="ITC Avant Garde"/>
          <w:bCs/>
          <w:color w:val="000000" w:themeColor="text1"/>
          <w:sz w:val="22"/>
          <w:szCs w:val="22"/>
          <w:lang w:eastAsia="es-MX"/>
        </w:rPr>
        <w:t>En este tenor, el artículo 86 de la Ley de Competencia ordena textualmente lo siguiente:</w:t>
      </w:r>
    </w:p>
    <w:p w14:paraId="44DD91B1" w14:textId="3A33D25C" w:rsidR="00F80A22" w:rsidRPr="004D22EA" w:rsidRDefault="00F80A22" w:rsidP="004D22EA">
      <w:pPr>
        <w:autoSpaceDE w:val="0"/>
        <w:autoSpaceDN w:val="0"/>
        <w:adjustRightInd w:val="0"/>
        <w:spacing w:before="240" w:after="240"/>
        <w:ind w:left="1134" w:right="1183"/>
        <w:contextualSpacing/>
        <w:jc w:val="both"/>
        <w:rPr>
          <w:rFonts w:ascii="ITC Avant Garde" w:hAnsi="ITC Avant Garde"/>
          <w:bCs/>
          <w:sz w:val="18"/>
          <w:szCs w:val="18"/>
        </w:rPr>
      </w:pPr>
      <w:r w:rsidRPr="004D22EA">
        <w:rPr>
          <w:rFonts w:ascii="ITC Avant Garde" w:hAnsi="ITC Avant Garde"/>
          <w:bCs/>
          <w:sz w:val="18"/>
          <w:szCs w:val="18"/>
        </w:rPr>
        <w:t>“</w:t>
      </w:r>
      <w:r w:rsidRPr="004D22EA">
        <w:rPr>
          <w:rFonts w:ascii="ITC Avant Garde" w:hAnsi="ITC Avant Garde"/>
          <w:b/>
          <w:bCs/>
          <w:sz w:val="18"/>
          <w:szCs w:val="18"/>
        </w:rPr>
        <w:t>Artículo 86.</w:t>
      </w:r>
      <w:r w:rsidRPr="004D22EA">
        <w:rPr>
          <w:rFonts w:ascii="ITC Avant Garde" w:hAnsi="ITC Avant Garde"/>
          <w:bCs/>
          <w:sz w:val="18"/>
          <w:szCs w:val="18"/>
        </w:rPr>
        <w:t xml:space="preserve"> Las siguientes concentraciones deberán ser autorizadas por la Comisión antes de que se lleven a cabo:</w:t>
      </w:r>
    </w:p>
    <w:p w14:paraId="4C58F082" w14:textId="77777777" w:rsidR="004D22EA" w:rsidRPr="004D22EA" w:rsidRDefault="00F80A22" w:rsidP="004D22EA">
      <w:pPr>
        <w:pStyle w:val="Prrafodelista"/>
        <w:numPr>
          <w:ilvl w:val="0"/>
          <w:numId w:val="7"/>
        </w:numPr>
        <w:autoSpaceDE w:val="0"/>
        <w:autoSpaceDN w:val="0"/>
        <w:adjustRightInd w:val="0"/>
        <w:spacing w:before="240" w:after="240"/>
        <w:ind w:left="1134" w:right="1183" w:hanging="11"/>
        <w:contextualSpacing/>
        <w:jc w:val="both"/>
        <w:rPr>
          <w:rFonts w:ascii="ITC Avant Garde" w:hAnsi="ITC Avant Garde"/>
          <w:bCs/>
          <w:sz w:val="18"/>
          <w:szCs w:val="18"/>
        </w:rPr>
      </w:pPr>
      <w:r w:rsidRPr="004D22EA">
        <w:rPr>
          <w:rFonts w:ascii="ITC Avant Garde" w:hAnsi="ITC Avant Garde"/>
          <w:bCs/>
          <w:sz w:val="18"/>
          <w:szCs w:val="18"/>
        </w:rPr>
        <w:lastRenderedPageBreak/>
        <w:t xml:space="preserve"> Cuando el acto o sucesión de actos que les den origen, independientemente del lugar de su celebración, importen en el territorio nacional, directa o indirectamente, un monto superior al equivalente a dieciocho millones de veces el salario mínimo general diario vigente para el Distrito Federal;</w:t>
      </w:r>
    </w:p>
    <w:p w14:paraId="09CF3230" w14:textId="0C08E57F" w:rsidR="00F80A22" w:rsidRPr="004D22EA" w:rsidRDefault="00F80A22" w:rsidP="004D22EA">
      <w:pPr>
        <w:pStyle w:val="Prrafodelista"/>
        <w:numPr>
          <w:ilvl w:val="0"/>
          <w:numId w:val="7"/>
        </w:numPr>
        <w:autoSpaceDE w:val="0"/>
        <w:autoSpaceDN w:val="0"/>
        <w:adjustRightInd w:val="0"/>
        <w:spacing w:before="240" w:after="240"/>
        <w:ind w:left="1134" w:right="1183" w:hanging="11"/>
        <w:contextualSpacing/>
        <w:jc w:val="both"/>
        <w:rPr>
          <w:rFonts w:ascii="ITC Avant Garde" w:hAnsi="ITC Avant Garde"/>
          <w:bCs/>
          <w:sz w:val="18"/>
          <w:szCs w:val="18"/>
        </w:rPr>
      </w:pPr>
      <w:r w:rsidRPr="004D22EA">
        <w:rPr>
          <w:rFonts w:ascii="ITC Avant Garde" w:hAnsi="ITC Avant Garde"/>
          <w:bCs/>
          <w:sz w:val="18"/>
          <w:szCs w:val="18"/>
        </w:rPr>
        <w:t>Cuando el acto o sucesión de actos que les den origen, impliquen la acumulación del treinta y cinco por ciento o más de los activos o acciones de un Agente Económico, cuyas ventas anuales originadas en el territorio nacional o activos en el territorio nacional importen más del equivalente a dieciocho millones de veces el salario mínimo general diario vigente para el Distrito Federal, o</w:t>
      </w:r>
    </w:p>
    <w:p w14:paraId="6EC6BF75" w14:textId="77777777" w:rsidR="004D22EA" w:rsidRPr="004D22EA" w:rsidRDefault="00F80A22" w:rsidP="004D22EA">
      <w:pPr>
        <w:numPr>
          <w:ilvl w:val="0"/>
          <w:numId w:val="7"/>
        </w:numPr>
        <w:autoSpaceDE w:val="0"/>
        <w:autoSpaceDN w:val="0"/>
        <w:adjustRightInd w:val="0"/>
        <w:spacing w:before="240" w:after="240"/>
        <w:ind w:left="1134" w:right="1183" w:hanging="11"/>
        <w:contextualSpacing/>
        <w:jc w:val="both"/>
        <w:rPr>
          <w:rFonts w:ascii="ITC Avant Garde" w:hAnsi="ITC Avant Garde"/>
          <w:bCs/>
          <w:sz w:val="18"/>
          <w:szCs w:val="18"/>
        </w:rPr>
      </w:pPr>
      <w:r w:rsidRPr="004D22EA">
        <w:rPr>
          <w:rFonts w:ascii="ITC Avant Garde" w:hAnsi="ITC Avant Garde"/>
          <w:bCs/>
          <w:sz w:val="18"/>
          <w:szCs w:val="18"/>
        </w:rPr>
        <w:t xml:space="preserve"> Cuando el acto o sucesión de actos que les den origen impliquen una acumulación en el territorio nacional de activos o capital social superior al equivalente a ocho millones cuatrocientas mil veces el salario mínimo general diario vigente para el Distrito Federal y en la concentración participen dos o más Agentes Económicos cuyas ventas anuales originadas en el territorio nacional o activos en el territorio nacional conjunta o separadamente, importen más de cuarenta y ocho millones de veces el salario mínimo general diario vigente para el Distrito Federal.</w:t>
      </w:r>
    </w:p>
    <w:p w14:paraId="2EEC6510" w14:textId="77777777" w:rsidR="004D22EA" w:rsidRPr="004D22EA" w:rsidRDefault="00F80A22" w:rsidP="004D22EA">
      <w:pPr>
        <w:autoSpaceDE w:val="0"/>
        <w:autoSpaceDN w:val="0"/>
        <w:adjustRightInd w:val="0"/>
        <w:spacing w:before="240" w:after="240"/>
        <w:ind w:left="1134" w:right="1183"/>
        <w:contextualSpacing/>
        <w:jc w:val="both"/>
        <w:rPr>
          <w:rFonts w:ascii="ITC Avant Garde" w:hAnsi="ITC Avant Garde"/>
          <w:bCs/>
          <w:sz w:val="18"/>
          <w:szCs w:val="18"/>
        </w:rPr>
      </w:pPr>
      <w:r w:rsidRPr="004D22EA">
        <w:rPr>
          <w:rFonts w:ascii="ITC Avant Garde" w:hAnsi="ITC Avant Garde"/>
          <w:bCs/>
          <w:sz w:val="18"/>
          <w:szCs w:val="18"/>
        </w:rPr>
        <w:t>Los actos realizados en contravención a este artículo no producirán efectos jurídicos, sin perjuicio de la responsabilidad administrativa, civil o penal de los Agentes Económicos y de las personas que ordenaron o coadyuvaron en la ejecución, así como de los fedatarios públicos que hayan intervenido en los mismos.</w:t>
      </w:r>
    </w:p>
    <w:p w14:paraId="6A89BB9B" w14:textId="77777777" w:rsidR="004D22EA" w:rsidRPr="004D22EA" w:rsidRDefault="00F80A22" w:rsidP="004D22EA">
      <w:pPr>
        <w:autoSpaceDE w:val="0"/>
        <w:autoSpaceDN w:val="0"/>
        <w:adjustRightInd w:val="0"/>
        <w:spacing w:before="240" w:after="240"/>
        <w:ind w:left="1134" w:right="1183"/>
        <w:contextualSpacing/>
        <w:jc w:val="both"/>
        <w:rPr>
          <w:rFonts w:ascii="ITC Avant Garde" w:hAnsi="ITC Avant Garde"/>
          <w:bCs/>
          <w:sz w:val="18"/>
          <w:szCs w:val="18"/>
        </w:rPr>
      </w:pPr>
      <w:r w:rsidRPr="004D22EA">
        <w:rPr>
          <w:rFonts w:ascii="ITC Avant Garde" w:hAnsi="ITC Avant Garde"/>
          <w:bCs/>
          <w:sz w:val="18"/>
          <w:szCs w:val="18"/>
        </w:rPr>
        <w:t>Los actos relativos a una concentración no podrán registrarse en los libros corporativos, formalizarse en instrumento público ni inscribirse en el Registro Público de Comercio hasta que se obtenga la autorización favorable de la Comisión o haya transcurrido el plazo a que se refiere el artículo 90, fracción V, sin que el Pleno haya emitido resolución.</w:t>
      </w:r>
    </w:p>
    <w:p w14:paraId="320FB8A7" w14:textId="77777777" w:rsidR="004D22EA" w:rsidRPr="004D22EA" w:rsidRDefault="00F80A22" w:rsidP="004D22EA">
      <w:pPr>
        <w:autoSpaceDE w:val="0"/>
        <w:autoSpaceDN w:val="0"/>
        <w:adjustRightInd w:val="0"/>
        <w:spacing w:before="240" w:after="240"/>
        <w:ind w:left="1134" w:right="1183"/>
        <w:contextualSpacing/>
        <w:jc w:val="both"/>
        <w:rPr>
          <w:rFonts w:ascii="ITC Avant Garde" w:hAnsi="ITC Avant Garde"/>
          <w:bCs/>
          <w:sz w:val="18"/>
          <w:szCs w:val="18"/>
        </w:rPr>
      </w:pPr>
      <w:r w:rsidRPr="004D22EA">
        <w:rPr>
          <w:rFonts w:ascii="ITC Avant Garde" w:hAnsi="ITC Avant Garde"/>
          <w:bCs/>
          <w:sz w:val="18"/>
          <w:szCs w:val="18"/>
        </w:rPr>
        <w:t xml:space="preserve">Los Agentes Económicos involucrados que no se encuentren en los supuestos establecidos en las fracciones I, II y III de este artículo podrán notificarla voluntariamente a la Comisión.” </w:t>
      </w:r>
    </w:p>
    <w:p w14:paraId="445B728D" w14:textId="77777777" w:rsidR="004D22EA" w:rsidRPr="004D22EA" w:rsidRDefault="00F80A22" w:rsidP="004D22EA">
      <w:pPr>
        <w:autoSpaceDE w:val="0"/>
        <w:autoSpaceDN w:val="0"/>
        <w:adjustRightInd w:val="0"/>
        <w:spacing w:before="240" w:after="240"/>
        <w:contextualSpacing/>
        <w:jc w:val="both"/>
        <w:rPr>
          <w:rFonts w:ascii="ITC Avant Garde" w:hAnsi="ITC Avant Garde"/>
          <w:bCs/>
          <w:sz w:val="22"/>
          <w:szCs w:val="22"/>
        </w:rPr>
      </w:pPr>
      <w:r w:rsidRPr="004D22EA">
        <w:rPr>
          <w:rFonts w:ascii="ITC Avant Garde" w:hAnsi="ITC Avant Garde"/>
          <w:bCs/>
          <w:sz w:val="22"/>
          <w:szCs w:val="22"/>
        </w:rPr>
        <w:t>Como se desprende del citado precepto, únicamente los casos que encuadren en los supuestos normativos indicados en las fracciones I, II y III del mismo, deberán ser autorizados previamente por este Instituto en términos de</w:t>
      </w:r>
      <w:r w:rsidR="00EB27DB" w:rsidRPr="004D22EA">
        <w:rPr>
          <w:rFonts w:ascii="ITC Avant Garde" w:hAnsi="ITC Avant Garde"/>
          <w:bCs/>
          <w:sz w:val="22"/>
          <w:szCs w:val="22"/>
        </w:rPr>
        <w:t xml:space="preserve"> </w:t>
      </w:r>
      <w:r w:rsidRPr="004D22EA">
        <w:rPr>
          <w:rFonts w:ascii="ITC Avant Garde" w:hAnsi="ITC Avant Garde"/>
          <w:bCs/>
          <w:sz w:val="22"/>
          <w:szCs w:val="22"/>
        </w:rPr>
        <w:t>l</w:t>
      </w:r>
      <w:r w:rsidR="00EB27DB" w:rsidRPr="004D22EA">
        <w:rPr>
          <w:rFonts w:ascii="ITC Avant Garde" w:hAnsi="ITC Avant Garde"/>
          <w:bCs/>
          <w:sz w:val="22"/>
          <w:szCs w:val="22"/>
        </w:rPr>
        <w:t>os</w:t>
      </w:r>
      <w:r w:rsidRPr="004D22EA">
        <w:rPr>
          <w:rFonts w:ascii="ITC Avant Garde" w:hAnsi="ITC Avant Garde"/>
          <w:bCs/>
          <w:sz w:val="22"/>
          <w:szCs w:val="22"/>
        </w:rPr>
        <w:t xml:space="preserve"> artículo</w:t>
      </w:r>
      <w:r w:rsidR="00EB27DB" w:rsidRPr="004D22EA">
        <w:rPr>
          <w:rFonts w:ascii="ITC Avant Garde" w:hAnsi="ITC Avant Garde"/>
          <w:bCs/>
          <w:sz w:val="22"/>
          <w:szCs w:val="22"/>
        </w:rPr>
        <w:t>s 5 y</w:t>
      </w:r>
      <w:r w:rsidRPr="004D22EA">
        <w:rPr>
          <w:rFonts w:ascii="ITC Avant Garde" w:hAnsi="ITC Avant Garde"/>
          <w:bCs/>
          <w:sz w:val="22"/>
          <w:szCs w:val="22"/>
        </w:rPr>
        <w:t xml:space="preserve"> 87 de la Ley de Competencia; y de igual forma, los Agentes Económicos que participen directamente en la concentración de que se trate están obligados a notificarla a este Instituto, tal y como lo dispone el artículo 88 de la Ley de Competencia.</w:t>
      </w:r>
    </w:p>
    <w:p w14:paraId="3E18CE90" w14:textId="77777777" w:rsidR="004D22EA" w:rsidRPr="004D22EA" w:rsidRDefault="00F80A22" w:rsidP="004D22EA">
      <w:pPr>
        <w:autoSpaceDE w:val="0"/>
        <w:autoSpaceDN w:val="0"/>
        <w:adjustRightInd w:val="0"/>
        <w:spacing w:before="240" w:after="240"/>
        <w:contextualSpacing/>
        <w:jc w:val="both"/>
        <w:rPr>
          <w:rFonts w:ascii="ITC Avant Garde" w:hAnsi="ITC Avant Garde"/>
          <w:bCs/>
          <w:sz w:val="22"/>
          <w:szCs w:val="22"/>
        </w:rPr>
      </w:pPr>
      <w:r w:rsidRPr="004D22EA">
        <w:rPr>
          <w:rFonts w:ascii="ITC Avant Garde" w:hAnsi="ITC Avant Garde"/>
          <w:bCs/>
          <w:sz w:val="22"/>
          <w:szCs w:val="22"/>
        </w:rPr>
        <w:t>No obstante lo anterior, el artículo 93 fracción I</w:t>
      </w:r>
      <w:r w:rsidR="00EB27DB" w:rsidRPr="004D22EA">
        <w:rPr>
          <w:rFonts w:ascii="ITC Avant Garde" w:hAnsi="ITC Avant Garde"/>
          <w:bCs/>
          <w:sz w:val="22"/>
          <w:szCs w:val="22"/>
        </w:rPr>
        <w:t>II</w:t>
      </w:r>
      <w:r w:rsidRPr="004D22EA">
        <w:rPr>
          <w:rFonts w:ascii="ITC Avant Garde" w:hAnsi="ITC Avant Garde"/>
          <w:bCs/>
          <w:sz w:val="22"/>
          <w:szCs w:val="22"/>
        </w:rPr>
        <w:t xml:space="preserve"> de la Ley de Competencia señala lo siguiente:</w:t>
      </w:r>
    </w:p>
    <w:p w14:paraId="42C96F4A" w14:textId="0346618B" w:rsidR="00F80A22" w:rsidRPr="004D22EA" w:rsidRDefault="003566CC" w:rsidP="004D22EA">
      <w:pPr>
        <w:autoSpaceDE w:val="0"/>
        <w:autoSpaceDN w:val="0"/>
        <w:adjustRightInd w:val="0"/>
        <w:spacing w:before="240" w:after="240"/>
        <w:ind w:left="1134" w:right="1183"/>
        <w:contextualSpacing/>
        <w:jc w:val="both"/>
        <w:rPr>
          <w:rFonts w:ascii="ITC Avant Garde" w:hAnsi="ITC Avant Garde"/>
          <w:bCs/>
          <w:sz w:val="18"/>
          <w:szCs w:val="18"/>
        </w:rPr>
      </w:pPr>
      <w:r w:rsidRPr="004D22EA">
        <w:rPr>
          <w:rFonts w:ascii="ITC Avant Garde" w:hAnsi="ITC Avant Garde"/>
          <w:b/>
          <w:bCs/>
          <w:sz w:val="18"/>
          <w:szCs w:val="18"/>
        </w:rPr>
        <w:t>“</w:t>
      </w:r>
      <w:r w:rsidR="00F80A22" w:rsidRPr="004D22EA">
        <w:rPr>
          <w:rFonts w:ascii="ITC Avant Garde" w:hAnsi="ITC Avant Garde"/>
          <w:b/>
          <w:bCs/>
          <w:sz w:val="18"/>
          <w:szCs w:val="18"/>
        </w:rPr>
        <w:t>Artículo 93.</w:t>
      </w:r>
      <w:r w:rsidR="00F80A22" w:rsidRPr="004D22EA">
        <w:rPr>
          <w:rFonts w:ascii="ITC Avant Garde" w:hAnsi="ITC Avant Garde"/>
          <w:bCs/>
          <w:sz w:val="18"/>
          <w:szCs w:val="18"/>
        </w:rPr>
        <w:t xml:space="preserve"> No se requerirá autorización de concentraciones a que se refiere el artículo 86 de esta Ley en los casos siguientes:</w:t>
      </w:r>
    </w:p>
    <w:p w14:paraId="56AF1262" w14:textId="77777777" w:rsidR="004D22EA" w:rsidRPr="004D22EA" w:rsidRDefault="00613C73" w:rsidP="004D22EA">
      <w:pPr>
        <w:autoSpaceDE w:val="0"/>
        <w:autoSpaceDN w:val="0"/>
        <w:adjustRightInd w:val="0"/>
        <w:spacing w:before="240" w:after="240"/>
        <w:ind w:left="1134" w:right="1183"/>
        <w:contextualSpacing/>
        <w:jc w:val="both"/>
        <w:rPr>
          <w:rFonts w:ascii="ITC Avant Garde" w:hAnsi="ITC Avant Garde"/>
          <w:bCs/>
          <w:sz w:val="18"/>
          <w:szCs w:val="18"/>
        </w:rPr>
      </w:pPr>
      <w:r w:rsidRPr="004D22EA">
        <w:rPr>
          <w:rFonts w:ascii="ITC Avant Garde" w:hAnsi="ITC Avant Garde"/>
          <w:bCs/>
          <w:sz w:val="18"/>
          <w:szCs w:val="18"/>
        </w:rPr>
        <w:t>[…]</w:t>
      </w:r>
    </w:p>
    <w:p w14:paraId="4C49F8A6" w14:textId="77777777" w:rsidR="004D22EA" w:rsidRPr="004D22EA" w:rsidRDefault="00613C73" w:rsidP="004D22EA">
      <w:pPr>
        <w:autoSpaceDE w:val="0"/>
        <w:autoSpaceDN w:val="0"/>
        <w:adjustRightInd w:val="0"/>
        <w:spacing w:before="240" w:after="240"/>
        <w:ind w:left="1134" w:right="1183"/>
        <w:contextualSpacing/>
        <w:jc w:val="both"/>
        <w:rPr>
          <w:rFonts w:ascii="ITC Avant Garde" w:hAnsi="ITC Avant Garde"/>
          <w:bCs/>
          <w:sz w:val="18"/>
          <w:szCs w:val="18"/>
        </w:rPr>
      </w:pPr>
      <w:r w:rsidRPr="004D22EA">
        <w:rPr>
          <w:rFonts w:ascii="ITC Avant Garde" w:hAnsi="ITC Avant Garde"/>
          <w:bCs/>
          <w:sz w:val="18"/>
          <w:szCs w:val="18"/>
        </w:rPr>
        <w:t xml:space="preserve">III. </w:t>
      </w:r>
      <w:r w:rsidRPr="004D22EA">
        <w:rPr>
          <w:rFonts w:ascii="ITC Avant Garde" w:hAnsi="ITC Avant Garde"/>
          <w:bCs/>
          <w:sz w:val="18"/>
          <w:szCs w:val="18"/>
        </w:rPr>
        <w:tab/>
      </w:r>
      <w:r w:rsidR="00F80A22" w:rsidRPr="004D22EA">
        <w:rPr>
          <w:rFonts w:ascii="ITC Avant Garde" w:hAnsi="ITC Avant Garde"/>
          <w:bCs/>
          <w:sz w:val="18"/>
          <w:szCs w:val="18"/>
        </w:rPr>
        <w:t>Cuando</w:t>
      </w:r>
      <w:r w:rsidRPr="004D22EA">
        <w:rPr>
          <w:rFonts w:ascii="ITC Avant Garde" w:hAnsi="ITC Avant Garde"/>
          <w:bCs/>
          <w:sz w:val="18"/>
          <w:szCs w:val="18"/>
        </w:rPr>
        <w:t xml:space="preserve"> se trate de la constitución de fideicomisos de administración, garantía o de cualquier otra clase en la que un Agente Económico aporte activos, acciones, partes sociales o unidades de participación sin que la finalidad o consecuencia necesaria sea la transferencia de dichos activos, acciones, partes sociales o unidades de participación a una sociedad distinta tanto del fideicomitente como de la institución fiduciaria correspondiente. Sin embargo, en caso de ejecución del fideicomiso de garantía se deberá de notificar si se actualiza alguno de los umbrales referidos en el artículo 86 de esta Ley</w:t>
      </w:r>
      <w:r w:rsidR="00F80A22" w:rsidRPr="004D22EA">
        <w:rPr>
          <w:rFonts w:ascii="ITC Avant Garde" w:hAnsi="ITC Avant Garde"/>
          <w:bCs/>
          <w:sz w:val="18"/>
          <w:szCs w:val="18"/>
        </w:rPr>
        <w:t>;</w:t>
      </w:r>
    </w:p>
    <w:p w14:paraId="1AE7EE9E" w14:textId="77777777" w:rsidR="004D22EA" w:rsidRPr="004D22EA" w:rsidRDefault="00F80A22" w:rsidP="004D22EA">
      <w:pPr>
        <w:autoSpaceDE w:val="0"/>
        <w:autoSpaceDN w:val="0"/>
        <w:adjustRightInd w:val="0"/>
        <w:spacing w:before="240" w:after="240"/>
        <w:ind w:left="1134" w:right="1183"/>
        <w:contextualSpacing/>
        <w:jc w:val="both"/>
        <w:rPr>
          <w:rFonts w:ascii="ITC Avant Garde" w:hAnsi="ITC Avant Garde"/>
          <w:bCs/>
          <w:sz w:val="18"/>
          <w:szCs w:val="18"/>
        </w:rPr>
      </w:pPr>
      <w:r w:rsidRPr="004D22EA">
        <w:rPr>
          <w:rFonts w:ascii="ITC Avant Garde" w:hAnsi="ITC Avant Garde"/>
          <w:bCs/>
          <w:sz w:val="18"/>
          <w:szCs w:val="18"/>
        </w:rPr>
        <w:t>[…]”</w:t>
      </w:r>
    </w:p>
    <w:p w14:paraId="4BB71290" w14:textId="77777777" w:rsidR="004D22EA" w:rsidRPr="004D22EA" w:rsidRDefault="00F80A22" w:rsidP="004D22EA">
      <w:pPr>
        <w:autoSpaceDE w:val="0"/>
        <w:autoSpaceDN w:val="0"/>
        <w:adjustRightInd w:val="0"/>
        <w:spacing w:before="240" w:after="240"/>
        <w:contextualSpacing/>
        <w:jc w:val="both"/>
        <w:rPr>
          <w:rFonts w:ascii="ITC Avant Garde" w:hAnsi="ITC Avant Garde"/>
          <w:bCs/>
          <w:sz w:val="22"/>
          <w:szCs w:val="22"/>
        </w:rPr>
      </w:pPr>
      <w:r w:rsidRPr="004D22EA">
        <w:rPr>
          <w:rFonts w:ascii="ITC Avant Garde" w:hAnsi="ITC Avant Garde"/>
          <w:bCs/>
          <w:sz w:val="22"/>
          <w:szCs w:val="22"/>
        </w:rPr>
        <w:t>De lo anterior se concluye que si la transacción de que se trate implica</w:t>
      </w:r>
      <w:r w:rsidR="00613C73" w:rsidRPr="004D22EA">
        <w:rPr>
          <w:rFonts w:ascii="ITC Avant Garde" w:hAnsi="ITC Avant Garde"/>
          <w:bCs/>
          <w:sz w:val="22"/>
          <w:szCs w:val="22"/>
        </w:rPr>
        <w:t xml:space="preserve">, entre otros, la constitución de fideicomisos de garantía, sin que la finalidad o consecuencia necesaria </w:t>
      </w:r>
      <w:r w:rsidR="00613C73" w:rsidRPr="004D22EA">
        <w:rPr>
          <w:rFonts w:ascii="ITC Avant Garde" w:hAnsi="ITC Avant Garde"/>
          <w:bCs/>
          <w:sz w:val="22"/>
          <w:szCs w:val="22"/>
        </w:rPr>
        <w:lastRenderedPageBreak/>
        <w:t>se</w:t>
      </w:r>
      <w:r w:rsidR="00DA10CA" w:rsidRPr="004D22EA">
        <w:rPr>
          <w:rFonts w:ascii="ITC Avant Garde" w:hAnsi="ITC Avant Garde"/>
          <w:bCs/>
          <w:sz w:val="22"/>
          <w:szCs w:val="22"/>
        </w:rPr>
        <w:t>a</w:t>
      </w:r>
      <w:r w:rsidR="00613C73" w:rsidRPr="004D22EA">
        <w:rPr>
          <w:rFonts w:ascii="ITC Avant Garde" w:hAnsi="ITC Avant Garde"/>
          <w:bCs/>
          <w:sz w:val="22"/>
          <w:szCs w:val="22"/>
        </w:rPr>
        <w:t xml:space="preserve"> la transferencia de dichos activos, acciones, partes sociales o unidades de participación a una sociedad distinta tanto del fideicomitente como de la institución fiduciaria correspondiente, </w:t>
      </w:r>
      <w:r w:rsidRPr="004D22EA">
        <w:rPr>
          <w:rFonts w:ascii="ITC Avant Garde" w:hAnsi="ITC Avant Garde"/>
          <w:bCs/>
          <w:sz w:val="22"/>
          <w:szCs w:val="22"/>
        </w:rPr>
        <w:t xml:space="preserve">no se requerirá la autorización prevista en el artículo 86 de la Ley de Competencia. </w:t>
      </w:r>
    </w:p>
    <w:p w14:paraId="1BB084B0" w14:textId="77777777" w:rsidR="004D22EA" w:rsidRPr="004D22EA" w:rsidRDefault="00F80A22" w:rsidP="004D22EA">
      <w:pPr>
        <w:autoSpaceDE w:val="0"/>
        <w:autoSpaceDN w:val="0"/>
        <w:adjustRightInd w:val="0"/>
        <w:spacing w:before="240" w:after="240"/>
        <w:contextualSpacing/>
        <w:jc w:val="both"/>
        <w:rPr>
          <w:rFonts w:ascii="ITC Avant Garde" w:hAnsi="ITC Avant Garde"/>
          <w:bCs/>
          <w:sz w:val="22"/>
          <w:szCs w:val="22"/>
        </w:rPr>
      </w:pPr>
      <w:r w:rsidRPr="004D22EA">
        <w:rPr>
          <w:rFonts w:ascii="ITC Avant Garde" w:hAnsi="ITC Avant Garde"/>
          <w:b/>
          <w:bCs/>
          <w:sz w:val="22"/>
          <w:szCs w:val="22"/>
        </w:rPr>
        <w:t>Cuarto.- Análisis de la Solicitud de Enajenación de Acciones.</w:t>
      </w:r>
      <w:r w:rsidRPr="004D22EA">
        <w:rPr>
          <w:rFonts w:ascii="ITC Avant Garde" w:hAnsi="ITC Avant Garde"/>
          <w:bCs/>
          <w:sz w:val="22"/>
          <w:szCs w:val="22"/>
        </w:rPr>
        <w:t xml:space="preserve"> De la revisión al marco legal aplicable, se concluye que los requisitos de procedencia que debe cumplir el concesionario que solicite autorización para llevar a cabo la suscripción o enajenación de acciones o partes sociales del capital, son:</w:t>
      </w:r>
    </w:p>
    <w:p w14:paraId="10362B7C" w14:textId="494FF681" w:rsidR="00F80A22" w:rsidRPr="004D22EA" w:rsidRDefault="00F80A22" w:rsidP="004D22EA">
      <w:pPr>
        <w:pStyle w:val="Prrafodelista"/>
        <w:numPr>
          <w:ilvl w:val="0"/>
          <w:numId w:val="5"/>
        </w:numPr>
        <w:spacing w:before="240" w:after="240"/>
        <w:ind w:left="1077" w:hanging="357"/>
        <w:contextualSpacing/>
        <w:jc w:val="both"/>
        <w:rPr>
          <w:rFonts w:ascii="ITC Avant Garde" w:eastAsia="Calibri" w:hAnsi="ITC Avant Garde"/>
          <w:bCs/>
          <w:sz w:val="22"/>
          <w:szCs w:val="22"/>
          <w:lang w:val="es-MX" w:eastAsia="en-US"/>
        </w:rPr>
      </w:pPr>
      <w:r w:rsidRPr="004D22EA">
        <w:rPr>
          <w:rFonts w:ascii="ITC Avant Garde" w:eastAsia="Calibri" w:hAnsi="ITC Avant Garde"/>
          <w:bCs/>
          <w:sz w:val="22"/>
          <w:szCs w:val="22"/>
          <w:lang w:val="es-MX" w:eastAsia="en-US"/>
        </w:rPr>
        <w:t>Que el titular de la concesión dé aviso al Instituto por escrito que pretende llevar a cabo una enajenación de acciones, debiendo acompañar el aviso con la información detallada de las personas interesadas en adquirir las acciones o partes sociales.</w:t>
      </w:r>
    </w:p>
    <w:p w14:paraId="092EDFBC" w14:textId="77777777" w:rsidR="00F80A22" w:rsidRPr="004D22EA" w:rsidRDefault="00F80A22" w:rsidP="004D22EA">
      <w:pPr>
        <w:pStyle w:val="Prrafodelista"/>
        <w:numPr>
          <w:ilvl w:val="0"/>
          <w:numId w:val="5"/>
        </w:numPr>
        <w:autoSpaceDE w:val="0"/>
        <w:autoSpaceDN w:val="0"/>
        <w:adjustRightInd w:val="0"/>
        <w:spacing w:before="240" w:after="240"/>
        <w:contextualSpacing/>
        <w:jc w:val="both"/>
        <w:rPr>
          <w:rFonts w:ascii="ITC Avant Garde" w:hAnsi="ITC Avant Garde"/>
          <w:bCs/>
          <w:sz w:val="22"/>
          <w:szCs w:val="22"/>
        </w:rPr>
      </w:pPr>
      <w:r w:rsidRPr="004D22EA">
        <w:rPr>
          <w:rFonts w:ascii="ITC Avant Garde" w:eastAsia="Calibri" w:hAnsi="ITC Avant Garde"/>
          <w:bCs/>
          <w:sz w:val="22"/>
          <w:szCs w:val="22"/>
        </w:rPr>
        <w:t>Que el concesionario exhiba comprobante de pago de derechos establecido en la Ley Federal de Derechos.</w:t>
      </w:r>
    </w:p>
    <w:p w14:paraId="5231A7E6" w14:textId="77777777" w:rsidR="004D22EA" w:rsidRPr="004D22EA" w:rsidRDefault="00621D11" w:rsidP="004D22EA">
      <w:pPr>
        <w:pStyle w:val="Prrafodelista"/>
        <w:numPr>
          <w:ilvl w:val="0"/>
          <w:numId w:val="5"/>
        </w:numPr>
        <w:autoSpaceDE w:val="0"/>
        <w:autoSpaceDN w:val="0"/>
        <w:adjustRightInd w:val="0"/>
        <w:spacing w:before="240" w:after="240"/>
        <w:contextualSpacing/>
        <w:jc w:val="both"/>
        <w:rPr>
          <w:rFonts w:ascii="ITC Avant Garde" w:hAnsi="ITC Avant Garde"/>
          <w:bCs/>
          <w:sz w:val="22"/>
          <w:szCs w:val="22"/>
        </w:rPr>
      </w:pPr>
      <w:r w:rsidRPr="004D22EA">
        <w:rPr>
          <w:rFonts w:ascii="ITC Avant Garde" w:eastAsia="Calibri" w:hAnsi="ITC Avant Garde"/>
          <w:bCs/>
          <w:sz w:val="22"/>
          <w:szCs w:val="22"/>
        </w:rPr>
        <w:t>La opinión técnica de la Secretaría.</w:t>
      </w:r>
    </w:p>
    <w:p w14:paraId="4F59952B" w14:textId="77777777" w:rsidR="004D22EA" w:rsidRPr="004D22EA" w:rsidRDefault="00F80A22" w:rsidP="004D22EA">
      <w:pPr>
        <w:autoSpaceDE w:val="0"/>
        <w:autoSpaceDN w:val="0"/>
        <w:adjustRightInd w:val="0"/>
        <w:spacing w:before="240" w:after="240"/>
        <w:contextualSpacing/>
        <w:jc w:val="both"/>
        <w:rPr>
          <w:rFonts w:ascii="ITC Avant Garde" w:hAnsi="ITC Avant Garde"/>
          <w:bCs/>
          <w:sz w:val="22"/>
          <w:szCs w:val="22"/>
        </w:rPr>
      </w:pPr>
      <w:r w:rsidRPr="004D22EA">
        <w:rPr>
          <w:rFonts w:ascii="ITC Avant Garde" w:hAnsi="ITC Avant Garde"/>
          <w:bCs/>
          <w:sz w:val="22"/>
          <w:szCs w:val="22"/>
        </w:rPr>
        <w:t>En primera instancia, destaca que en el expediente administrativo consta</w:t>
      </w:r>
      <w:r w:rsidR="00B71EF6" w:rsidRPr="004D22EA">
        <w:rPr>
          <w:rFonts w:ascii="ITC Avant Garde" w:hAnsi="ITC Avant Garde"/>
          <w:bCs/>
          <w:sz w:val="22"/>
          <w:szCs w:val="22"/>
        </w:rPr>
        <w:t>n los escritos presentados por Altán Redes al Instituto los días 13 y 16 de febrero del año en curso, mediante los cuales dicha concesionaria solicita autorización para afectar en fideicomiso y/o otorgar en garantía las acciones representativas del capital social de Altán Redes por medio de los siguientes actos:</w:t>
      </w:r>
    </w:p>
    <w:p w14:paraId="6A3AB54B" w14:textId="77777777" w:rsidR="004D22EA" w:rsidRPr="004D22EA" w:rsidRDefault="00B71EF6" w:rsidP="004D22EA">
      <w:pPr>
        <w:pStyle w:val="Prrafodelista"/>
        <w:numPr>
          <w:ilvl w:val="0"/>
          <w:numId w:val="9"/>
        </w:numPr>
        <w:autoSpaceDE w:val="0"/>
        <w:autoSpaceDN w:val="0"/>
        <w:adjustRightInd w:val="0"/>
        <w:spacing w:before="240" w:after="240"/>
        <w:contextualSpacing/>
        <w:jc w:val="both"/>
        <w:rPr>
          <w:rFonts w:ascii="ITC Avant Garde" w:hAnsi="ITC Avant Garde"/>
          <w:bCs/>
          <w:sz w:val="22"/>
          <w:szCs w:val="22"/>
        </w:rPr>
      </w:pPr>
      <w:r w:rsidRPr="004D22EA">
        <w:rPr>
          <w:rFonts w:ascii="ITC Avant Garde" w:hAnsi="ITC Avant Garde"/>
          <w:bCs/>
          <w:sz w:val="22"/>
          <w:szCs w:val="22"/>
        </w:rPr>
        <w:t>Contrato de Fideicomiso de Garantía. Contrato de fideicomiso de garantía, inversión, administración y fuente de pago, cuyas partes serán:</w:t>
      </w:r>
    </w:p>
    <w:p w14:paraId="1D083F23" w14:textId="3ABC70A8" w:rsidR="00B71EF6" w:rsidRPr="004D22EA" w:rsidRDefault="00B71EF6" w:rsidP="004D22EA">
      <w:pPr>
        <w:pStyle w:val="Prrafodelista"/>
        <w:numPr>
          <w:ilvl w:val="0"/>
          <w:numId w:val="2"/>
        </w:numPr>
        <w:autoSpaceDE w:val="0"/>
        <w:autoSpaceDN w:val="0"/>
        <w:adjustRightInd w:val="0"/>
        <w:spacing w:before="240" w:after="240"/>
        <w:contextualSpacing/>
        <w:jc w:val="both"/>
        <w:rPr>
          <w:rFonts w:ascii="ITC Avant Garde" w:hAnsi="ITC Avant Garde"/>
          <w:bCs/>
          <w:sz w:val="22"/>
          <w:szCs w:val="22"/>
        </w:rPr>
      </w:pPr>
      <w:r w:rsidRPr="004D22EA">
        <w:rPr>
          <w:rFonts w:ascii="ITC Avant Garde" w:hAnsi="ITC Avant Garde"/>
          <w:bCs/>
          <w:sz w:val="22"/>
          <w:szCs w:val="22"/>
          <w:u w:val="single"/>
        </w:rPr>
        <w:t>Fideicomitentes y Fideicomisarios en tercer lugar</w:t>
      </w:r>
      <w:r w:rsidRPr="004D22EA">
        <w:rPr>
          <w:rFonts w:ascii="ITC Avant Garde" w:hAnsi="ITC Avant Garde"/>
          <w:bCs/>
          <w:sz w:val="22"/>
          <w:szCs w:val="22"/>
        </w:rPr>
        <w:t>: Altán Redes y sus accionistas. Los accionistas de Altán Redes</w:t>
      </w:r>
      <w:r w:rsidR="00A07513" w:rsidRPr="004D22EA">
        <w:rPr>
          <w:rFonts w:ascii="ITC Avant Garde" w:hAnsi="ITC Avant Garde"/>
          <w:bCs/>
          <w:sz w:val="22"/>
          <w:szCs w:val="22"/>
        </w:rPr>
        <w:t xml:space="preserve"> aportarán al Fideicomiso de Garantía la totalidad menos 1 (una) de las acciones representativas del capital social de Altán Redes.</w:t>
      </w:r>
    </w:p>
    <w:p w14:paraId="568B1542" w14:textId="77777777" w:rsidR="004D22EA" w:rsidRPr="004D22EA" w:rsidRDefault="00A07513" w:rsidP="004D22EA">
      <w:pPr>
        <w:pStyle w:val="Prrafodelista"/>
        <w:numPr>
          <w:ilvl w:val="0"/>
          <w:numId w:val="2"/>
        </w:numPr>
        <w:autoSpaceDE w:val="0"/>
        <w:autoSpaceDN w:val="0"/>
        <w:adjustRightInd w:val="0"/>
        <w:spacing w:before="240" w:after="240"/>
        <w:contextualSpacing/>
        <w:jc w:val="both"/>
        <w:rPr>
          <w:rFonts w:ascii="ITC Avant Garde" w:hAnsi="ITC Avant Garde"/>
          <w:bCs/>
          <w:sz w:val="22"/>
          <w:szCs w:val="22"/>
        </w:rPr>
      </w:pPr>
      <w:r w:rsidRPr="004D22EA">
        <w:rPr>
          <w:rFonts w:ascii="ITC Avant Garde" w:hAnsi="ITC Avant Garde"/>
          <w:bCs/>
          <w:sz w:val="22"/>
          <w:szCs w:val="22"/>
          <w:u w:val="single"/>
        </w:rPr>
        <w:t>Fideicomisarios en primer lugar</w:t>
      </w:r>
      <w:r w:rsidRPr="004D22EA">
        <w:rPr>
          <w:rFonts w:ascii="ITC Avant Garde" w:hAnsi="ITC Avant Garde"/>
          <w:bCs/>
          <w:sz w:val="22"/>
          <w:szCs w:val="22"/>
        </w:rPr>
        <w:t xml:space="preserve">: Banco </w:t>
      </w:r>
      <w:r w:rsidR="001B30EA" w:rsidRPr="004D22EA">
        <w:rPr>
          <w:rFonts w:ascii="ITC Avant Garde" w:hAnsi="ITC Avant Garde"/>
          <w:bCs/>
          <w:sz w:val="22"/>
          <w:szCs w:val="22"/>
        </w:rPr>
        <w:t>Nacional de México, S.A., integrante del Grupo Financiero Banamex, División Fiduciaria (“Banamex”), como agente de garantías, en representación y para beneficio de:</w:t>
      </w:r>
    </w:p>
    <w:p w14:paraId="687657FC" w14:textId="6949FD66" w:rsidR="001B30EA" w:rsidRPr="004D22EA" w:rsidRDefault="001B30EA" w:rsidP="004D22EA">
      <w:pPr>
        <w:pStyle w:val="Prrafodelista"/>
        <w:numPr>
          <w:ilvl w:val="0"/>
          <w:numId w:val="10"/>
        </w:numPr>
        <w:autoSpaceDE w:val="0"/>
        <w:autoSpaceDN w:val="0"/>
        <w:adjustRightInd w:val="0"/>
        <w:spacing w:before="240" w:after="240"/>
        <w:contextualSpacing/>
        <w:jc w:val="both"/>
        <w:rPr>
          <w:rFonts w:ascii="ITC Avant Garde" w:hAnsi="ITC Avant Garde"/>
          <w:bCs/>
          <w:sz w:val="22"/>
          <w:szCs w:val="22"/>
        </w:rPr>
      </w:pPr>
      <w:r w:rsidRPr="004D22EA">
        <w:rPr>
          <w:rFonts w:ascii="ITC Avant Garde" w:hAnsi="ITC Avant Garde"/>
          <w:bCs/>
          <w:sz w:val="22"/>
          <w:szCs w:val="22"/>
        </w:rPr>
        <w:t>Banco Nacional de Obras y Servicios Públicos, Sociedad Nacional de Crédito, Institución de Banca de Desarrollo (“Banobras”</w:t>
      </w:r>
      <w:r w:rsidR="00AA0839" w:rsidRPr="004D22EA">
        <w:rPr>
          <w:rFonts w:ascii="ITC Avant Garde" w:hAnsi="ITC Avant Garde"/>
          <w:bCs/>
          <w:sz w:val="22"/>
          <w:szCs w:val="22"/>
        </w:rPr>
        <w:t>);</w:t>
      </w:r>
    </w:p>
    <w:p w14:paraId="3A36EDC7" w14:textId="45084E6B" w:rsidR="001B30EA" w:rsidRPr="004D22EA" w:rsidRDefault="001B30EA" w:rsidP="004D22EA">
      <w:pPr>
        <w:pStyle w:val="Prrafodelista"/>
        <w:numPr>
          <w:ilvl w:val="0"/>
          <w:numId w:val="10"/>
        </w:numPr>
        <w:autoSpaceDE w:val="0"/>
        <w:autoSpaceDN w:val="0"/>
        <w:adjustRightInd w:val="0"/>
        <w:spacing w:before="240" w:after="240"/>
        <w:contextualSpacing/>
        <w:jc w:val="both"/>
        <w:rPr>
          <w:rFonts w:ascii="ITC Avant Garde" w:hAnsi="ITC Avant Garde"/>
          <w:bCs/>
          <w:sz w:val="22"/>
          <w:szCs w:val="22"/>
        </w:rPr>
      </w:pPr>
      <w:r w:rsidRPr="004D22EA">
        <w:rPr>
          <w:rFonts w:ascii="ITC Avant Garde" w:hAnsi="ITC Avant Garde"/>
          <w:bCs/>
          <w:sz w:val="22"/>
          <w:szCs w:val="22"/>
        </w:rPr>
        <w:t>Nacional Financiera, Sociedad Nacional de Crédito, Institución de Banca de Desarrollo (“Nafin”)</w:t>
      </w:r>
      <w:r w:rsidR="00AA0839" w:rsidRPr="004D22EA">
        <w:rPr>
          <w:rFonts w:ascii="ITC Avant Garde" w:hAnsi="ITC Avant Garde"/>
          <w:bCs/>
          <w:sz w:val="22"/>
          <w:szCs w:val="22"/>
        </w:rPr>
        <w:t>;</w:t>
      </w:r>
    </w:p>
    <w:p w14:paraId="7021D3DF" w14:textId="43DD8058" w:rsidR="001B30EA" w:rsidRPr="004D22EA" w:rsidRDefault="001B30EA" w:rsidP="004D22EA">
      <w:pPr>
        <w:pStyle w:val="Prrafodelista"/>
        <w:numPr>
          <w:ilvl w:val="0"/>
          <w:numId w:val="10"/>
        </w:numPr>
        <w:autoSpaceDE w:val="0"/>
        <w:autoSpaceDN w:val="0"/>
        <w:adjustRightInd w:val="0"/>
        <w:spacing w:before="240" w:after="240"/>
        <w:contextualSpacing/>
        <w:jc w:val="both"/>
        <w:rPr>
          <w:rFonts w:ascii="ITC Avant Garde" w:hAnsi="ITC Avant Garde"/>
          <w:bCs/>
          <w:sz w:val="22"/>
          <w:szCs w:val="22"/>
        </w:rPr>
      </w:pPr>
      <w:r w:rsidRPr="004D22EA">
        <w:rPr>
          <w:rFonts w:ascii="ITC Avant Garde" w:hAnsi="ITC Avant Garde"/>
          <w:bCs/>
          <w:sz w:val="22"/>
          <w:szCs w:val="22"/>
        </w:rPr>
        <w:t>Banco Nacional de Comercio Exterior, Sociedad Nacional de Crédito, Institución de Banca de Desarrollo (“Bancomext”</w:t>
      </w:r>
      <w:r w:rsidR="00AA0839" w:rsidRPr="004D22EA">
        <w:rPr>
          <w:rFonts w:ascii="ITC Avant Garde" w:hAnsi="ITC Avant Garde"/>
          <w:bCs/>
          <w:sz w:val="22"/>
          <w:szCs w:val="22"/>
        </w:rPr>
        <w:t>);</w:t>
      </w:r>
    </w:p>
    <w:p w14:paraId="26A83208" w14:textId="1FDF6D34" w:rsidR="001B30EA" w:rsidRPr="004D22EA" w:rsidRDefault="001B30EA" w:rsidP="004D22EA">
      <w:pPr>
        <w:pStyle w:val="Prrafodelista"/>
        <w:numPr>
          <w:ilvl w:val="0"/>
          <w:numId w:val="10"/>
        </w:numPr>
        <w:autoSpaceDE w:val="0"/>
        <w:autoSpaceDN w:val="0"/>
        <w:adjustRightInd w:val="0"/>
        <w:spacing w:before="240" w:after="240"/>
        <w:contextualSpacing/>
        <w:jc w:val="both"/>
        <w:rPr>
          <w:rFonts w:ascii="ITC Avant Garde" w:hAnsi="ITC Avant Garde"/>
          <w:bCs/>
          <w:sz w:val="22"/>
          <w:szCs w:val="22"/>
          <w:lang w:val="en-GB"/>
        </w:rPr>
      </w:pPr>
      <w:r w:rsidRPr="004D22EA">
        <w:rPr>
          <w:rFonts w:ascii="ITC Avant Garde" w:hAnsi="ITC Avant Garde"/>
          <w:bCs/>
          <w:sz w:val="22"/>
          <w:szCs w:val="22"/>
          <w:lang w:val="en-GB"/>
        </w:rPr>
        <w:t>Nokia Soluti</w:t>
      </w:r>
      <w:r w:rsidR="005F3008" w:rsidRPr="004D22EA">
        <w:rPr>
          <w:rFonts w:ascii="ITC Avant Garde" w:hAnsi="ITC Avant Garde"/>
          <w:bCs/>
          <w:sz w:val="22"/>
          <w:szCs w:val="22"/>
          <w:lang w:val="en-GB"/>
        </w:rPr>
        <w:t>ons and Networks Servicio</w:t>
      </w:r>
      <w:r w:rsidRPr="004D22EA">
        <w:rPr>
          <w:rFonts w:ascii="ITC Avant Garde" w:hAnsi="ITC Avant Garde"/>
          <w:bCs/>
          <w:sz w:val="22"/>
          <w:szCs w:val="22"/>
          <w:lang w:val="en-GB"/>
        </w:rPr>
        <w:t>s, S.A. de C.V. (“Nokia”</w:t>
      </w:r>
      <w:r w:rsidR="00AA0839" w:rsidRPr="004D22EA">
        <w:rPr>
          <w:rFonts w:ascii="ITC Avant Garde" w:hAnsi="ITC Avant Garde"/>
          <w:bCs/>
          <w:sz w:val="22"/>
          <w:szCs w:val="22"/>
          <w:lang w:val="en-GB"/>
        </w:rPr>
        <w:t>);</w:t>
      </w:r>
    </w:p>
    <w:p w14:paraId="4F75E922" w14:textId="4B59A979" w:rsidR="001B30EA" w:rsidRPr="004D22EA" w:rsidRDefault="001B30EA" w:rsidP="004D22EA">
      <w:pPr>
        <w:pStyle w:val="Prrafodelista"/>
        <w:numPr>
          <w:ilvl w:val="0"/>
          <w:numId w:val="10"/>
        </w:numPr>
        <w:autoSpaceDE w:val="0"/>
        <w:autoSpaceDN w:val="0"/>
        <w:adjustRightInd w:val="0"/>
        <w:spacing w:before="240" w:after="240"/>
        <w:contextualSpacing/>
        <w:jc w:val="both"/>
        <w:rPr>
          <w:rFonts w:ascii="ITC Avant Garde" w:hAnsi="ITC Avant Garde"/>
          <w:bCs/>
          <w:sz w:val="22"/>
          <w:szCs w:val="22"/>
          <w:lang w:val="es-MX"/>
        </w:rPr>
      </w:pPr>
      <w:r w:rsidRPr="004D22EA">
        <w:rPr>
          <w:rFonts w:ascii="ITC Avant Garde" w:hAnsi="ITC Avant Garde"/>
          <w:bCs/>
          <w:sz w:val="22"/>
          <w:szCs w:val="22"/>
          <w:lang w:val="es-MX"/>
        </w:rPr>
        <w:t>Alcatel-Lucent México, S.A. de C.V. (“Alcatel”)</w:t>
      </w:r>
      <w:r w:rsidR="00AA0839" w:rsidRPr="004D22EA">
        <w:rPr>
          <w:rFonts w:ascii="ITC Avant Garde" w:hAnsi="ITC Avant Garde"/>
          <w:bCs/>
          <w:sz w:val="22"/>
          <w:szCs w:val="22"/>
          <w:lang w:val="es-MX"/>
        </w:rPr>
        <w:t xml:space="preserve">; </w:t>
      </w:r>
    </w:p>
    <w:p w14:paraId="43D16DB0" w14:textId="0077882F" w:rsidR="001B30EA" w:rsidRPr="004D22EA" w:rsidRDefault="005F3008" w:rsidP="004D22EA">
      <w:pPr>
        <w:pStyle w:val="Prrafodelista"/>
        <w:numPr>
          <w:ilvl w:val="0"/>
          <w:numId w:val="10"/>
        </w:numPr>
        <w:autoSpaceDE w:val="0"/>
        <w:autoSpaceDN w:val="0"/>
        <w:adjustRightInd w:val="0"/>
        <w:spacing w:before="240" w:after="240"/>
        <w:contextualSpacing/>
        <w:jc w:val="both"/>
        <w:rPr>
          <w:rFonts w:ascii="ITC Avant Garde" w:hAnsi="ITC Avant Garde"/>
          <w:bCs/>
          <w:sz w:val="22"/>
          <w:szCs w:val="22"/>
          <w:lang w:val="es-MX"/>
        </w:rPr>
      </w:pPr>
      <w:r w:rsidRPr="004D22EA">
        <w:rPr>
          <w:rFonts w:ascii="ITC Avant Garde" w:hAnsi="ITC Avant Garde"/>
          <w:bCs/>
          <w:sz w:val="22"/>
          <w:szCs w:val="22"/>
          <w:lang w:val="es-MX"/>
        </w:rPr>
        <w:t>Huawei Technologies</w:t>
      </w:r>
      <w:r w:rsidR="00AA0839" w:rsidRPr="004D22EA">
        <w:rPr>
          <w:rFonts w:ascii="ITC Avant Garde" w:hAnsi="ITC Avant Garde"/>
          <w:bCs/>
          <w:sz w:val="22"/>
          <w:szCs w:val="22"/>
          <w:lang w:val="es-MX"/>
        </w:rPr>
        <w:t xml:space="preserve"> de México</w:t>
      </w:r>
      <w:r w:rsidRPr="004D22EA">
        <w:rPr>
          <w:rFonts w:ascii="ITC Avant Garde" w:hAnsi="ITC Avant Garde"/>
          <w:bCs/>
          <w:sz w:val="22"/>
          <w:szCs w:val="22"/>
          <w:lang w:val="es-MX"/>
        </w:rPr>
        <w:t>, S.A. de C.V.</w:t>
      </w:r>
      <w:r w:rsidR="00AA0839" w:rsidRPr="004D22EA">
        <w:rPr>
          <w:rFonts w:ascii="ITC Avant Garde" w:hAnsi="ITC Avant Garde"/>
          <w:bCs/>
          <w:sz w:val="22"/>
          <w:szCs w:val="22"/>
          <w:lang w:val="es-MX"/>
        </w:rPr>
        <w:t xml:space="preserve"> (“Huawei”), y</w:t>
      </w:r>
    </w:p>
    <w:p w14:paraId="2205A902" w14:textId="77777777" w:rsidR="004D22EA" w:rsidRPr="004D22EA" w:rsidRDefault="00AA0839" w:rsidP="004D22EA">
      <w:pPr>
        <w:pStyle w:val="Prrafodelista"/>
        <w:numPr>
          <w:ilvl w:val="0"/>
          <w:numId w:val="10"/>
        </w:numPr>
        <w:autoSpaceDE w:val="0"/>
        <w:autoSpaceDN w:val="0"/>
        <w:adjustRightInd w:val="0"/>
        <w:spacing w:before="240" w:after="240"/>
        <w:contextualSpacing/>
        <w:jc w:val="both"/>
        <w:rPr>
          <w:rFonts w:ascii="ITC Avant Garde" w:hAnsi="ITC Avant Garde"/>
          <w:bCs/>
          <w:sz w:val="22"/>
          <w:szCs w:val="22"/>
          <w:lang w:val="es-MX"/>
        </w:rPr>
      </w:pPr>
      <w:r w:rsidRPr="004D22EA">
        <w:rPr>
          <w:rFonts w:ascii="ITC Avant Garde" w:hAnsi="ITC Avant Garde"/>
          <w:bCs/>
          <w:sz w:val="22"/>
          <w:szCs w:val="22"/>
          <w:lang w:val="es-MX"/>
        </w:rPr>
        <w:t>Otros posibles proveedores industriales de financiamiento.</w:t>
      </w:r>
    </w:p>
    <w:p w14:paraId="5D4B50C7" w14:textId="77777777" w:rsidR="004D22EA" w:rsidRPr="004D22EA" w:rsidRDefault="00AA0839" w:rsidP="004D22EA">
      <w:pPr>
        <w:pStyle w:val="Prrafodelista"/>
        <w:numPr>
          <w:ilvl w:val="0"/>
          <w:numId w:val="11"/>
        </w:numPr>
        <w:autoSpaceDE w:val="0"/>
        <w:autoSpaceDN w:val="0"/>
        <w:adjustRightInd w:val="0"/>
        <w:spacing w:before="240" w:after="240"/>
        <w:contextualSpacing/>
        <w:jc w:val="both"/>
        <w:rPr>
          <w:rFonts w:ascii="ITC Avant Garde" w:hAnsi="ITC Avant Garde"/>
          <w:bCs/>
          <w:sz w:val="22"/>
          <w:szCs w:val="22"/>
        </w:rPr>
      </w:pPr>
      <w:r w:rsidRPr="004D22EA">
        <w:rPr>
          <w:rFonts w:ascii="ITC Avant Garde" w:hAnsi="ITC Avant Garde"/>
          <w:bCs/>
          <w:sz w:val="22"/>
          <w:szCs w:val="22"/>
          <w:u w:val="single"/>
        </w:rPr>
        <w:t>Fideicomisario en segundo lugar</w:t>
      </w:r>
      <w:r w:rsidRPr="004D22EA">
        <w:rPr>
          <w:rFonts w:ascii="ITC Avant Garde" w:hAnsi="ITC Avant Garde"/>
          <w:bCs/>
          <w:sz w:val="22"/>
          <w:szCs w:val="22"/>
        </w:rPr>
        <w:t>: ACE Fianzas Monterrey, S.A. de C.V. (“ACE”).</w:t>
      </w:r>
    </w:p>
    <w:p w14:paraId="730018C2" w14:textId="77777777" w:rsidR="004D22EA" w:rsidRPr="004D22EA" w:rsidRDefault="00AA0839" w:rsidP="004D22EA">
      <w:pPr>
        <w:pStyle w:val="Prrafodelista"/>
        <w:numPr>
          <w:ilvl w:val="0"/>
          <w:numId w:val="11"/>
        </w:numPr>
        <w:autoSpaceDE w:val="0"/>
        <w:autoSpaceDN w:val="0"/>
        <w:adjustRightInd w:val="0"/>
        <w:spacing w:before="240" w:after="240"/>
        <w:contextualSpacing/>
        <w:jc w:val="both"/>
        <w:rPr>
          <w:rFonts w:ascii="ITC Avant Garde" w:hAnsi="ITC Avant Garde"/>
          <w:bCs/>
          <w:sz w:val="22"/>
          <w:szCs w:val="22"/>
        </w:rPr>
      </w:pPr>
      <w:r w:rsidRPr="004D22EA">
        <w:rPr>
          <w:rFonts w:ascii="ITC Avant Garde" w:hAnsi="ITC Avant Garde"/>
          <w:bCs/>
          <w:sz w:val="22"/>
          <w:szCs w:val="22"/>
          <w:u w:val="single"/>
        </w:rPr>
        <w:t>Fiduciario</w:t>
      </w:r>
      <w:r w:rsidRPr="004D22EA">
        <w:rPr>
          <w:rFonts w:ascii="ITC Avant Garde" w:hAnsi="ITC Avant Garde"/>
          <w:bCs/>
          <w:sz w:val="22"/>
          <w:szCs w:val="22"/>
        </w:rPr>
        <w:t xml:space="preserve">: </w:t>
      </w:r>
      <w:proofErr w:type="spellStart"/>
      <w:r w:rsidRPr="004D22EA">
        <w:rPr>
          <w:rFonts w:ascii="ITC Avant Garde" w:hAnsi="ITC Avant Garde"/>
          <w:bCs/>
          <w:sz w:val="22"/>
          <w:szCs w:val="22"/>
        </w:rPr>
        <w:t>Scotiabank</w:t>
      </w:r>
      <w:proofErr w:type="spellEnd"/>
      <w:r w:rsidRPr="004D22EA">
        <w:rPr>
          <w:rFonts w:ascii="ITC Avant Garde" w:hAnsi="ITC Avant Garde"/>
          <w:bCs/>
          <w:sz w:val="22"/>
          <w:szCs w:val="22"/>
        </w:rPr>
        <w:t xml:space="preserve"> Inverlat, S.A., Institución de Banca Múltiple, Grupo Financiero Scotiabank Inverlat, División Fiduciaria (“</w:t>
      </w:r>
      <w:proofErr w:type="spellStart"/>
      <w:r w:rsidRPr="004D22EA">
        <w:rPr>
          <w:rFonts w:ascii="ITC Avant Garde" w:hAnsi="ITC Avant Garde"/>
          <w:bCs/>
          <w:sz w:val="22"/>
          <w:szCs w:val="22"/>
        </w:rPr>
        <w:t>Scotiabank</w:t>
      </w:r>
      <w:proofErr w:type="spellEnd"/>
      <w:r w:rsidRPr="004D22EA">
        <w:rPr>
          <w:rFonts w:ascii="ITC Avant Garde" w:hAnsi="ITC Avant Garde"/>
          <w:bCs/>
          <w:sz w:val="22"/>
          <w:szCs w:val="22"/>
        </w:rPr>
        <w:t>”).</w:t>
      </w:r>
    </w:p>
    <w:p w14:paraId="707FAC2B" w14:textId="275E9829" w:rsidR="004D22EA" w:rsidRPr="004D22EA" w:rsidRDefault="00AA0839" w:rsidP="004D22EA">
      <w:pPr>
        <w:pStyle w:val="Prrafodelista"/>
        <w:numPr>
          <w:ilvl w:val="0"/>
          <w:numId w:val="9"/>
        </w:numPr>
        <w:autoSpaceDE w:val="0"/>
        <w:autoSpaceDN w:val="0"/>
        <w:adjustRightInd w:val="0"/>
        <w:spacing w:before="240" w:after="240"/>
        <w:contextualSpacing/>
        <w:jc w:val="both"/>
        <w:rPr>
          <w:rFonts w:ascii="ITC Avant Garde" w:hAnsi="ITC Avant Garde"/>
          <w:bCs/>
          <w:sz w:val="22"/>
          <w:szCs w:val="22"/>
        </w:rPr>
      </w:pPr>
      <w:r w:rsidRPr="004D22EA">
        <w:rPr>
          <w:rFonts w:ascii="ITC Avant Garde" w:hAnsi="ITC Avant Garde"/>
          <w:bCs/>
          <w:sz w:val="22"/>
          <w:szCs w:val="22"/>
        </w:rPr>
        <w:t xml:space="preserve">Contrato de Prenda. Contrato de prenda sobre acciones, en virtud del cual el deudor prendario constituirá una prenda sobre 1 (una) acción Clase </w:t>
      </w:r>
      <w:r w:rsidR="00884C0A" w:rsidRPr="004D22EA">
        <w:rPr>
          <w:rFonts w:ascii="ITC Avant Garde" w:hAnsi="ITC Avant Garde"/>
          <w:bCs/>
          <w:sz w:val="22"/>
          <w:szCs w:val="22"/>
        </w:rPr>
        <w:t>“</w:t>
      </w:r>
      <w:r w:rsidRPr="004D22EA">
        <w:rPr>
          <w:rFonts w:ascii="ITC Avant Garde" w:hAnsi="ITC Avant Garde"/>
          <w:bCs/>
          <w:sz w:val="22"/>
          <w:szCs w:val="22"/>
        </w:rPr>
        <w:t>I</w:t>
      </w:r>
      <w:r w:rsidR="00884C0A" w:rsidRPr="004D22EA">
        <w:rPr>
          <w:rFonts w:ascii="ITC Avant Garde" w:hAnsi="ITC Avant Garde"/>
          <w:bCs/>
          <w:sz w:val="22"/>
          <w:szCs w:val="22"/>
        </w:rPr>
        <w:t>”</w:t>
      </w:r>
      <w:r w:rsidRPr="004D22EA">
        <w:rPr>
          <w:rFonts w:ascii="ITC Avant Garde" w:hAnsi="ITC Avant Garde"/>
          <w:bCs/>
          <w:sz w:val="22"/>
          <w:szCs w:val="22"/>
        </w:rPr>
        <w:t xml:space="preserve">, </w:t>
      </w:r>
      <w:r w:rsidRPr="004D22EA">
        <w:rPr>
          <w:rFonts w:ascii="ITC Avant Garde" w:hAnsi="ITC Avant Garde"/>
          <w:bCs/>
          <w:sz w:val="22"/>
          <w:szCs w:val="22"/>
        </w:rPr>
        <w:lastRenderedPageBreak/>
        <w:t xml:space="preserve">perteneciente a la Serie “A”, representativa del capital social </w:t>
      </w:r>
      <w:r w:rsidR="0050779F" w:rsidRPr="004D22EA">
        <w:rPr>
          <w:rFonts w:ascii="ITC Avant Garde" w:hAnsi="ITC Avant Garde"/>
          <w:bCs/>
          <w:sz w:val="22"/>
          <w:szCs w:val="22"/>
        </w:rPr>
        <w:t>de Altán Redes de la cual, es titular, en favor de los acreedores prendarios. Las partes del contrato serán:</w:t>
      </w:r>
    </w:p>
    <w:p w14:paraId="3F00009B" w14:textId="77777777" w:rsidR="004D22EA" w:rsidRPr="004D22EA" w:rsidRDefault="0050779F" w:rsidP="004D22EA">
      <w:pPr>
        <w:pStyle w:val="Prrafodelista"/>
        <w:numPr>
          <w:ilvl w:val="0"/>
          <w:numId w:val="12"/>
        </w:numPr>
        <w:autoSpaceDE w:val="0"/>
        <w:autoSpaceDN w:val="0"/>
        <w:adjustRightInd w:val="0"/>
        <w:spacing w:before="240" w:after="240"/>
        <w:contextualSpacing/>
        <w:jc w:val="both"/>
        <w:rPr>
          <w:rFonts w:ascii="ITC Avant Garde" w:hAnsi="ITC Avant Garde"/>
          <w:bCs/>
          <w:sz w:val="22"/>
          <w:szCs w:val="22"/>
        </w:rPr>
      </w:pPr>
      <w:r w:rsidRPr="004D22EA">
        <w:rPr>
          <w:rFonts w:ascii="ITC Avant Garde" w:hAnsi="ITC Avant Garde"/>
          <w:bCs/>
          <w:sz w:val="22"/>
          <w:szCs w:val="22"/>
          <w:u w:val="single"/>
        </w:rPr>
        <w:t>Deudor prendario</w:t>
      </w:r>
      <w:r w:rsidRPr="004D22EA">
        <w:rPr>
          <w:rFonts w:ascii="ITC Avant Garde" w:hAnsi="ITC Avant Garde"/>
          <w:bCs/>
          <w:sz w:val="22"/>
          <w:szCs w:val="22"/>
        </w:rPr>
        <w:t xml:space="preserve">: Isla Guadalupe </w:t>
      </w:r>
      <w:proofErr w:type="spellStart"/>
      <w:r w:rsidRPr="004D22EA">
        <w:rPr>
          <w:rFonts w:ascii="ITC Avant Garde" w:hAnsi="ITC Avant Garde"/>
          <w:bCs/>
          <w:sz w:val="22"/>
          <w:szCs w:val="22"/>
        </w:rPr>
        <w:t>Investments</w:t>
      </w:r>
      <w:proofErr w:type="spellEnd"/>
      <w:r w:rsidRPr="004D22EA">
        <w:rPr>
          <w:rFonts w:ascii="ITC Avant Garde" w:hAnsi="ITC Avant Garde"/>
          <w:bCs/>
          <w:sz w:val="22"/>
          <w:szCs w:val="22"/>
        </w:rPr>
        <w:t>, S.L.U. (IGI)</w:t>
      </w:r>
      <w:r w:rsidR="00884C0A" w:rsidRPr="004D22EA">
        <w:rPr>
          <w:rFonts w:ascii="ITC Avant Garde" w:hAnsi="ITC Avant Garde"/>
          <w:bCs/>
          <w:sz w:val="22"/>
          <w:szCs w:val="22"/>
        </w:rPr>
        <w:t>.</w:t>
      </w:r>
    </w:p>
    <w:p w14:paraId="48625045" w14:textId="77777777" w:rsidR="004D22EA" w:rsidRPr="004D22EA" w:rsidRDefault="00884C0A" w:rsidP="004D22EA">
      <w:pPr>
        <w:pStyle w:val="Prrafodelista"/>
        <w:numPr>
          <w:ilvl w:val="0"/>
          <w:numId w:val="12"/>
        </w:numPr>
        <w:autoSpaceDE w:val="0"/>
        <w:autoSpaceDN w:val="0"/>
        <w:adjustRightInd w:val="0"/>
        <w:spacing w:before="240" w:after="240"/>
        <w:contextualSpacing/>
        <w:jc w:val="both"/>
        <w:rPr>
          <w:rFonts w:ascii="ITC Avant Garde" w:hAnsi="ITC Avant Garde"/>
          <w:bCs/>
          <w:sz w:val="22"/>
          <w:szCs w:val="22"/>
        </w:rPr>
      </w:pPr>
      <w:r w:rsidRPr="004D22EA">
        <w:rPr>
          <w:rFonts w:ascii="ITC Avant Garde" w:hAnsi="ITC Avant Garde"/>
          <w:bCs/>
          <w:sz w:val="22"/>
          <w:szCs w:val="22"/>
          <w:u w:val="single"/>
        </w:rPr>
        <w:t>Acreedores Prendarios</w:t>
      </w:r>
      <w:r w:rsidRPr="004D22EA">
        <w:rPr>
          <w:rFonts w:ascii="ITC Avant Garde" w:hAnsi="ITC Avant Garde"/>
          <w:bCs/>
          <w:sz w:val="22"/>
          <w:szCs w:val="22"/>
        </w:rPr>
        <w:t xml:space="preserve">: Banamex, como agente de garantías, en representación y para beneficio de Banobras, Nafin, Bancomext, Nokia, Alcatel y </w:t>
      </w:r>
      <w:proofErr w:type="spellStart"/>
      <w:r w:rsidRPr="004D22EA">
        <w:rPr>
          <w:rFonts w:ascii="ITC Avant Garde" w:hAnsi="ITC Avant Garde"/>
          <w:bCs/>
          <w:sz w:val="22"/>
          <w:szCs w:val="22"/>
        </w:rPr>
        <w:t>Huawei</w:t>
      </w:r>
      <w:proofErr w:type="spellEnd"/>
      <w:r w:rsidRPr="004D22EA">
        <w:rPr>
          <w:rFonts w:ascii="ITC Avant Garde" w:hAnsi="ITC Avant Garde"/>
          <w:bCs/>
          <w:sz w:val="22"/>
          <w:szCs w:val="22"/>
        </w:rPr>
        <w:t>.</w:t>
      </w:r>
    </w:p>
    <w:p w14:paraId="7FB1C24B" w14:textId="77777777" w:rsidR="004D22EA" w:rsidRPr="004D22EA" w:rsidRDefault="00884C0A" w:rsidP="004D22EA">
      <w:pPr>
        <w:pStyle w:val="Prrafodelista"/>
        <w:numPr>
          <w:ilvl w:val="0"/>
          <w:numId w:val="12"/>
        </w:numPr>
        <w:autoSpaceDE w:val="0"/>
        <w:autoSpaceDN w:val="0"/>
        <w:adjustRightInd w:val="0"/>
        <w:spacing w:before="240" w:after="240"/>
        <w:contextualSpacing/>
        <w:jc w:val="both"/>
        <w:rPr>
          <w:rFonts w:ascii="ITC Avant Garde" w:hAnsi="ITC Avant Garde"/>
          <w:bCs/>
          <w:sz w:val="22"/>
          <w:szCs w:val="22"/>
        </w:rPr>
      </w:pPr>
      <w:r w:rsidRPr="004D22EA">
        <w:rPr>
          <w:rFonts w:ascii="ITC Avant Garde" w:hAnsi="ITC Avant Garde"/>
          <w:bCs/>
          <w:sz w:val="22"/>
          <w:szCs w:val="22"/>
          <w:u w:val="single"/>
        </w:rPr>
        <w:t>Compareciente</w:t>
      </w:r>
      <w:r w:rsidRPr="004D22EA">
        <w:rPr>
          <w:rFonts w:ascii="ITC Avant Garde" w:hAnsi="ITC Avant Garde"/>
          <w:bCs/>
          <w:sz w:val="22"/>
          <w:szCs w:val="22"/>
        </w:rPr>
        <w:t xml:space="preserve">: </w:t>
      </w:r>
      <w:proofErr w:type="spellStart"/>
      <w:r w:rsidRPr="004D22EA">
        <w:rPr>
          <w:rFonts w:ascii="ITC Avant Garde" w:hAnsi="ITC Avant Garde"/>
          <w:bCs/>
          <w:sz w:val="22"/>
          <w:szCs w:val="22"/>
        </w:rPr>
        <w:t>Altán</w:t>
      </w:r>
      <w:proofErr w:type="spellEnd"/>
      <w:r w:rsidRPr="004D22EA">
        <w:rPr>
          <w:rFonts w:ascii="ITC Avant Garde" w:hAnsi="ITC Avant Garde"/>
          <w:bCs/>
          <w:sz w:val="22"/>
          <w:szCs w:val="22"/>
        </w:rPr>
        <w:t xml:space="preserve"> Redes, como sociedad emisora.</w:t>
      </w:r>
    </w:p>
    <w:p w14:paraId="7DA6DE5D" w14:textId="77777777" w:rsidR="004D22EA" w:rsidRPr="004D22EA" w:rsidRDefault="00F80A22" w:rsidP="004D22EA">
      <w:pPr>
        <w:autoSpaceDE w:val="0"/>
        <w:autoSpaceDN w:val="0"/>
        <w:adjustRightInd w:val="0"/>
        <w:spacing w:before="240" w:after="240"/>
        <w:contextualSpacing/>
        <w:jc w:val="both"/>
        <w:rPr>
          <w:rFonts w:ascii="ITC Avant Garde" w:hAnsi="ITC Avant Garde"/>
          <w:bCs/>
          <w:sz w:val="22"/>
          <w:szCs w:val="22"/>
        </w:rPr>
      </w:pPr>
      <w:r w:rsidRPr="004D22EA">
        <w:rPr>
          <w:rFonts w:ascii="ITC Avant Garde" w:hAnsi="ITC Avant Garde"/>
          <w:bCs/>
          <w:sz w:val="22"/>
          <w:szCs w:val="22"/>
        </w:rPr>
        <w:t>De esta manera</w:t>
      </w:r>
      <w:r w:rsidR="00256557" w:rsidRPr="004D22EA">
        <w:rPr>
          <w:rFonts w:ascii="ITC Avant Garde" w:hAnsi="ITC Avant Garde"/>
          <w:bCs/>
          <w:sz w:val="22"/>
          <w:szCs w:val="22"/>
        </w:rPr>
        <w:t xml:space="preserve"> y previamente a que se lleve a cabo la operación</w:t>
      </w:r>
      <w:r w:rsidRPr="004D22EA">
        <w:rPr>
          <w:rFonts w:ascii="ITC Avant Garde" w:hAnsi="ITC Avant Garde"/>
          <w:bCs/>
          <w:sz w:val="22"/>
          <w:szCs w:val="22"/>
        </w:rPr>
        <w:t xml:space="preserve">, la estructura accionaria de </w:t>
      </w:r>
      <w:r w:rsidR="00256557" w:rsidRPr="004D22EA">
        <w:rPr>
          <w:rFonts w:ascii="ITC Avant Garde" w:hAnsi="ITC Avant Garde"/>
          <w:bCs/>
          <w:sz w:val="22"/>
          <w:szCs w:val="22"/>
        </w:rPr>
        <w:t xml:space="preserve">Altán Redes </w:t>
      </w:r>
      <w:r w:rsidRPr="004D22EA">
        <w:rPr>
          <w:rFonts w:ascii="ITC Avant Garde" w:hAnsi="ITC Avant Garde"/>
          <w:bCs/>
          <w:sz w:val="22"/>
          <w:szCs w:val="22"/>
        </w:rPr>
        <w:t>se encuentra integrada de la siguiente manera:</w:t>
      </w:r>
    </w:p>
    <w:p w14:paraId="04A32D48" w14:textId="65C2CFB2" w:rsidR="00927D6A" w:rsidRPr="004D22EA" w:rsidRDefault="00927D6A" w:rsidP="004D22EA">
      <w:pPr>
        <w:autoSpaceDE w:val="0"/>
        <w:autoSpaceDN w:val="0"/>
        <w:adjustRightInd w:val="0"/>
        <w:spacing w:after="240"/>
        <w:contextualSpacing/>
        <w:jc w:val="both"/>
        <w:rPr>
          <w:rFonts w:ascii="ITC Avant Garde" w:hAnsi="ITC Avant Garde"/>
          <w:bCs/>
          <w:sz w:val="23"/>
          <w:szCs w:val="23"/>
        </w:rPr>
      </w:pPr>
    </w:p>
    <w:tbl>
      <w:tblPr>
        <w:tblStyle w:val="Tablaconcuadrcula"/>
        <w:tblW w:w="9407" w:type="dxa"/>
        <w:jc w:val="center"/>
        <w:tblLook w:val="04A0" w:firstRow="1" w:lastRow="0" w:firstColumn="1" w:lastColumn="0" w:noHBand="0" w:noVBand="1"/>
        <w:tblCaption w:val="Estructura accionaria de Altán Redes "/>
        <w:tblDescription w:val="En una tabla de 6 columnas y 11 filas, se proporciona información de la estructura accionaria de Altán Redes."/>
      </w:tblPr>
      <w:tblGrid>
        <w:gridCol w:w="3009"/>
        <w:gridCol w:w="1201"/>
        <w:gridCol w:w="1068"/>
        <w:gridCol w:w="1356"/>
        <w:gridCol w:w="1164"/>
        <w:gridCol w:w="1609"/>
      </w:tblGrid>
      <w:tr w:rsidR="004D22EA" w:rsidRPr="004D22EA" w14:paraId="0D4E128D" w14:textId="77777777" w:rsidTr="004D22EA">
        <w:trPr>
          <w:trHeight w:val="517"/>
          <w:tblHeader/>
          <w:jc w:val="center"/>
        </w:trPr>
        <w:tc>
          <w:tcPr>
            <w:tcW w:w="3009" w:type="dxa"/>
            <w:shd w:val="clear" w:color="auto" w:fill="A6A6A6" w:themeFill="background1" w:themeFillShade="A6"/>
            <w:vAlign w:val="center"/>
          </w:tcPr>
          <w:p w14:paraId="6F2F10C3" w14:textId="5146680D" w:rsidR="004D22EA" w:rsidRPr="004D22EA" w:rsidRDefault="004D22EA" w:rsidP="004D22EA">
            <w:pPr>
              <w:autoSpaceDE w:val="0"/>
              <w:autoSpaceDN w:val="0"/>
              <w:adjustRightInd w:val="0"/>
              <w:spacing w:after="240"/>
              <w:contextualSpacing/>
              <w:jc w:val="center"/>
              <w:rPr>
                <w:rFonts w:ascii="ITC Avant Garde" w:hAnsi="ITC Avant Garde"/>
                <w:bCs/>
                <w:color w:val="000000"/>
                <w:sz w:val="16"/>
                <w:szCs w:val="16"/>
                <w:lang w:val="en-GB" w:eastAsia="es-MX"/>
              </w:rPr>
            </w:pPr>
            <w:r w:rsidRPr="004D22EA">
              <w:rPr>
                <w:rFonts w:ascii="ITC Avant Garde" w:hAnsi="ITC Avant Garde"/>
                <w:b/>
                <w:bCs/>
                <w:color w:val="000000"/>
                <w:sz w:val="16"/>
                <w:szCs w:val="16"/>
                <w:lang w:eastAsia="es-MX"/>
              </w:rPr>
              <w:t>Accionista</w:t>
            </w:r>
          </w:p>
        </w:tc>
        <w:tc>
          <w:tcPr>
            <w:tcW w:w="1201" w:type="dxa"/>
            <w:shd w:val="clear" w:color="auto" w:fill="A6A6A6" w:themeFill="background1" w:themeFillShade="A6"/>
            <w:vAlign w:val="center"/>
          </w:tcPr>
          <w:p w14:paraId="7BA309B7" w14:textId="5E32A0D5" w:rsidR="004D22EA" w:rsidRPr="004D22EA" w:rsidRDefault="004D22EA" w:rsidP="004D22EA">
            <w:pPr>
              <w:autoSpaceDE w:val="0"/>
              <w:autoSpaceDN w:val="0"/>
              <w:adjustRightInd w:val="0"/>
              <w:spacing w:after="240"/>
              <w:contextualSpacing/>
              <w:jc w:val="center"/>
              <w:rPr>
                <w:rFonts w:ascii="ITC Avant Garde" w:hAnsi="ITC Avant Garde"/>
                <w:bCs/>
                <w:color w:val="000000"/>
                <w:sz w:val="16"/>
                <w:szCs w:val="16"/>
                <w:lang w:val="en-GB" w:eastAsia="es-MX"/>
              </w:rPr>
            </w:pPr>
            <w:r w:rsidRPr="004D22EA">
              <w:rPr>
                <w:rFonts w:ascii="ITC Avant Garde" w:hAnsi="ITC Avant Garde"/>
                <w:b/>
                <w:bCs/>
                <w:color w:val="000000"/>
                <w:sz w:val="16"/>
                <w:szCs w:val="16"/>
                <w:lang w:eastAsia="es-MX"/>
              </w:rPr>
              <w:t>Acciones Clase I</w:t>
            </w:r>
            <w:r w:rsidRPr="004D22EA">
              <w:rPr>
                <w:rFonts w:ascii="ITC Avant Garde" w:hAnsi="ITC Avant Garde"/>
                <w:b/>
                <w:bCs/>
                <w:color w:val="000000"/>
                <w:sz w:val="16"/>
                <w:szCs w:val="16"/>
                <w:lang w:eastAsia="es-MX"/>
              </w:rPr>
              <w:t xml:space="preserve"> Serie A</w:t>
            </w:r>
          </w:p>
        </w:tc>
        <w:tc>
          <w:tcPr>
            <w:tcW w:w="1068" w:type="dxa"/>
            <w:shd w:val="clear" w:color="auto" w:fill="A6A6A6" w:themeFill="background1" w:themeFillShade="A6"/>
            <w:vAlign w:val="center"/>
          </w:tcPr>
          <w:p w14:paraId="38B89B81" w14:textId="5750E298" w:rsidR="004D22EA" w:rsidRPr="004D22EA" w:rsidRDefault="004D22EA" w:rsidP="004D22EA">
            <w:pPr>
              <w:autoSpaceDE w:val="0"/>
              <w:autoSpaceDN w:val="0"/>
              <w:adjustRightInd w:val="0"/>
              <w:spacing w:after="240"/>
              <w:contextualSpacing/>
              <w:jc w:val="center"/>
              <w:rPr>
                <w:rFonts w:ascii="ITC Avant Garde" w:hAnsi="ITC Avant Garde"/>
                <w:bCs/>
                <w:color w:val="000000"/>
                <w:sz w:val="16"/>
                <w:szCs w:val="16"/>
                <w:lang w:val="en-GB" w:eastAsia="es-MX"/>
              </w:rPr>
            </w:pPr>
            <w:r w:rsidRPr="004D22EA">
              <w:rPr>
                <w:rFonts w:ascii="ITC Avant Garde" w:hAnsi="ITC Avant Garde"/>
                <w:b/>
                <w:bCs/>
                <w:color w:val="000000"/>
                <w:sz w:val="16"/>
                <w:szCs w:val="16"/>
                <w:lang w:eastAsia="es-MX"/>
              </w:rPr>
              <w:t xml:space="preserve">Acciones Clase I </w:t>
            </w:r>
            <w:r w:rsidRPr="004D22EA">
              <w:rPr>
                <w:rFonts w:ascii="ITC Avant Garde" w:hAnsi="ITC Avant Garde"/>
                <w:b/>
                <w:bCs/>
                <w:color w:val="000000"/>
                <w:sz w:val="16"/>
                <w:szCs w:val="16"/>
                <w:lang w:eastAsia="es-MX"/>
              </w:rPr>
              <w:t>Serie B</w:t>
            </w:r>
          </w:p>
        </w:tc>
        <w:tc>
          <w:tcPr>
            <w:tcW w:w="1356" w:type="dxa"/>
            <w:shd w:val="clear" w:color="auto" w:fill="A6A6A6" w:themeFill="background1" w:themeFillShade="A6"/>
            <w:vAlign w:val="center"/>
          </w:tcPr>
          <w:p w14:paraId="1D327E9B" w14:textId="5511CB8B" w:rsidR="004D22EA" w:rsidRPr="004D22EA" w:rsidRDefault="004D22EA" w:rsidP="004D22EA">
            <w:pPr>
              <w:autoSpaceDE w:val="0"/>
              <w:autoSpaceDN w:val="0"/>
              <w:adjustRightInd w:val="0"/>
              <w:spacing w:after="240"/>
              <w:contextualSpacing/>
              <w:jc w:val="center"/>
              <w:rPr>
                <w:rFonts w:ascii="ITC Avant Garde" w:hAnsi="ITC Avant Garde"/>
                <w:bCs/>
                <w:color w:val="000000"/>
                <w:sz w:val="16"/>
                <w:szCs w:val="16"/>
                <w:lang w:val="en-GB" w:eastAsia="es-MX"/>
              </w:rPr>
            </w:pPr>
            <w:r w:rsidRPr="004D22EA">
              <w:rPr>
                <w:rFonts w:ascii="ITC Avant Garde" w:hAnsi="ITC Avant Garde"/>
                <w:b/>
                <w:bCs/>
                <w:color w:val="000000"/>
                <w:sz w:val="16"/>
                <w:szCs w:val="16"/>
                <w:lang w:eastAsia="es-MX"/>
              </w:rPr>
              <w:t>Acciones Clase II</w:t>
            </w:r>
            <w:r w:rsidRPr="004D22EA">
              <w:rPr>
                <w:rFonts w:ascii="ITC Avant Garde" w:hAnsi="ITC Avant Garde"/>
                <w:b/>
                <w:bCs/>
                <w:color w:val="000000"/>
                <w:sz w:val="16"/>
                <w:szCs w:val="16"/>
                <w:lang w:eastAsia="es-MX"/>
              </w:rPr>
              <w:t xml:space="preserve"> Serie A</w:t>
            </w:r>
          </w:p>
        </w:tc>
        <w:tc>
          <w:tcPr>
            <w:tcW w:w="1164" w:type="dxa"/>
            <w:shd w:val="clear" w:color="auto" w:fill="A6A6A6" w:themeFill="background1" w:themeFillShade="A6"/>
            <w:vAlign w:val="center"/>
          </w:tcPr>
          <w:p w14:paraId="352FB283" w14:textId="26BA63AC" w:rsidR="004D22EA" w:rsidRPr="004D22EA" w:rsidRDefault="004D22EA" w:rsidP="004D22EA">
            <w:pPr>
              <w:autoSpaceDE w:val="0"/>
              <w:autoSpaceDN w:val="0"/>
              <w:adjustRightInd w:val="0"/>
              <w:spacing w:after="240"/>
              <w:contextualSpacing/>
              <w:jc w:val="center"/>
              <w:rPr>
                <w:rFonts w:ascii="ITC Avant Garde" w:hAnsi="ITC Avant Garde"/>
                <w:bCs/>
                <w:color w:val="000000"/>
                <w:sz w:val="16"/>
                <w:szCs w:val="16"/>
                <w:lang w:val="en-GB" w:eastAsia="es-MX"/>
              </w:rPr>
            </w:pPr>
            <w:r w:rsidRPr="004D22EA">
              <w:rPr>
                <w:rFonts w:ascii="ITC Avant Garde" w:hAnsi="ITC Avant Garde"/>
                <w:b/>
                <w:bCs/>
                <w:color w:val="000000"/>
                <w:sz w:val="16"/>
                <w:szCs w:val="16"/>
                <w:lang w:eastAsia="es-MX"/>
              </w:rPr>
              <w:t xml:space="preserve">Acciones Clase II </w:t>
            </w:r>
            <w:r w:rsidRPr="004D22EA">
              <w:rPr>
                <w:rFonts w:ascii="ITC Avant Garde" w:hAnsi="ITC Avant Garde"/>
                <w:b/>
                <w:bCs/>
                <w:color w:val="000000"/>
                <w:sz w:val="16"/>
                <w:szCs w:val="16"/>
                <w:lang w:eastAsia="es-MX"/>
              </w:rPr>
              <w:t>Serie B</w:t>
            </w:r>
          </w:p>
        </w:tc>
        <w:tc>
          <w:tcPr>
            <w:tcW w:w="1609" w:type="dxa"/>
            <w:shd w:val="clear" w:color="auto" w:fill="A6A6A6" w:themeFill="background1" w:themeFillShade="A6"/>
            <w:vAlign w:val="center"/>
          </w:tcPr>
          <w:p w14:paraId="31A6CAFF" w14:textId="77777777" w:rsidR="004D22EA" w:rsidRPr="004D22EA" w:rsidRDefault="004D22EA" w:rsidP="004D22EA">
            <w:pPr>
              <w:autoSpaceDE w:val="0"/>
              <w:autoSpaceDN w:val="0"/>
              <w:adjustRightInd w:val="0"/>
              <w:spacing w:after="240"/>
              <w:contextualSpacing/>
              <w:jc w:val="center"/>
              <w:rPr>
                <w:rFonts w:ascii="ITC Avant Garde" w:hAnsi="ITC Avant Garde"/>
                <w:b/>
                <w:bCs/>
                <w:color w:val="000000"/>
                <w:sz w:val="16"/>
                <w:szCs w:val="16"/>
                <w:lang w:eastAsia="es-MX"/>
              </w:rPr>
            </w:pPr>
            <w:r w:rsidRPr="004D22EA">
              <w:rPr>
                <w:rFonts w:ascii="ITC Avant Garde" w:hAnsi="ITC Avant Garde"/>
                <w:b/>
                <w:bCs/>
                <w:color w:val="000000"/>
                <w:sz w:val="16"/>
                <w:szCs w:val="16"/>
                <w:lang w:eastAsia="es-MX"/>
              </w:rPr>
              <w:t>Participación</w:t>
            </w:r>
          </w:p>
          <w:p w14:paraId="01E019E5" w14:textId="66C65434" w:rsidR="004D22EA" w:rsidRPr="004D22EA" w:rsidRDefault="004D22EA" w:rsidP="004D22EA">
            <w:pPr>
              <w:autoSpaceDE w:val="0"/>
              <w:autoSpaceDN w:val="0"/>
              <w:adjustRightInd w:val="0"/>
              <w:spacing w:after="240"/>
              <w:contextualSpacing/>
              <w:jc w:val="center"/>
              <w:rPr>
                <w:rFonts w:ascii="ITC Avant Garde" w:hAnsi="ITC Avant Garde"/>
                <w:bCs/>
                <w:color w:val="000000"/>
                <w:sz w:val="16"/>
                <w:szCs w:val="16"/>
                <w:lang w:val="en-GB" w:eastAsia="es-MX"/>
              </w:rPr>
            </w:pPr>
            <w:r w:rsidRPr="004D22EA">
              <w:rPr>
                <w:rFonts w:ascii="ITC Avant Garde" w:hAnsi="ITC Avant Garde"/>
                <w:b/>
                <w:bCs/>
                <w:color w:val="000000"/>
                <w:sz w:val="16"/>
                <w:szCs w:val="16"/>
                <w:lang w:eastAsia="es-MX"/>
              </w:rPr>
              <w:t>%</w:t>
            </w:r>
          </w:p>
        </w:tc>
      </w:tr>
      <w:tr w:rsidR="004D22EA" w:rsidRPr="004D22EA" w14:paraId="5C484A90" w14:textId="77777777" w:rsidTr="004D22EA">
        <w:trPr>
          <w:trHeight w:val="517"/>
          <w:jc w:val="center"/>
        </w:trPr>
        <w:tc>
          <w:tcPr>
            <w:tcW w:w="3009" w:type="dxa"/>
          </w:tcPr>
          <w:p w14:paraId="23813D24" w14:textId="6380AFE4" w:rsidR="004D22EA" w:rsidRPr="004D22EA" w:rsidRDefault="004D22EA" w:rsidP="004D22EA">
            <w:pPr>
              <w:autoSpaceDE w:val="0"/>
              <w:autoSpaceDN w:val="0"/>
              <w:adjustRightInd w:val="0"/>
              <w:spacing w:after="240"/>
              <w:contextualSpacing/>
              <w:jc w:val="both"/>
              <w:rPr>
                <w:rFonts w:ascii="ITC Avant Garde" w:hAnsi="ITC Avant Garde"/>
                <w:bCs/>
                <w:color w:val="000000"/>
                <w:sz w:val="16"/>
                <w:szCs w:val="16"/>
                <w:lang w:val="en-GB" w:eastAsia="es-MX"/>
              </w:rPr>
            </w:pPr>
            <w:proofErr w:type="spellStart"/>
            <w:r w:rsidRPr="004D22EA">
              <w:rPr>
                <w:rFonts w:ascii="ITC Avant Garde" w:hAnsi="ITC Avant Garde"/>
                <w:bCs/>
                <w:color w:val="000000"/>
                <w:sz w:val="16"/>
                <w:szCs w:val="16"/>
                <w:lang w:val="en-GB" w:eastAsia="es-MX"/>
              </w:rPr>
              <w:t>Marapendi</w:t>
            </w:r>
            <w:proofErr w:type="spellEnd"/>
            <w:r w:rsidRPr="004D22EA">
              <w:rPr>
                <w:rFonts w:ascii="ITC Avant Garde" w:hAnsi="ITC Avant Garde"/>
                <w:bCs/>
                <w:color w:val="000000"/>
                <w:sz w:val="16"/>
                <w:szCs w:val="16"/>
                <w:lang w:val="en-GB" w:eastAsia="es-MX"/>
              </w:rPr>
              <w:t xml:space="preserve"> Holding B.V. (NHIP-I y NHIP-II).</w:t>
            </w:r>
          </w:p>
        </w:tc>
        <w:tc>
          <w:tcPr>
            <w:tcW w:w="1201" w:type="dxa"/>
          </w:tcPr>
          <w:p w14:paraId="30136239" w14:textId="7C13512A"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n-GB" w:eastAsia="es-MX"/>
              </w:rPr>
            </w:pPr>
            <w:r w:rsidRPr="004D22EA">
              <w:rPr>
                <w:rFonts w:ascii="ITC Avant Garde" w:hAnsi="ITC Avant Garde"/>
                <w:bCs/>
                <w:color w:val="000000"/>
                <w:sz w:val="16"/>
                <w:szCs w:val="16"/>
                <w:lang w:val="en-GB" w:eastAsia="es-MX"/>
              </w:rPr>
              <w:t>33,380</w:t>
            </w:r>
          </w:p>
        </w:tc>
        <w:tc>
          <w:tcPr>
            <w:tcW w:w="1068" w:type="dxa"/>
          </w:tcPr>
          <w:p w14:paraId="72ABFDDE" w14:textId="58D3608A"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n-GB" w:eastAsia="es-MX"/>
              </w:rPr>
            </w:pPr>
            <w:r>
              <w:rPr>
                <w:rFonts w:ascii="ITC Avant Garde" w:hAnsi="ITC Avant Garde"/>
                <w:bCs/>
                <w:color w:val="000000"/>
                <w:sz w:val="16"/>
                <w:szCs w:val="16"/>
                <w:lang w:val="en-GB" w:eastAsia="es-MX"/>
              </w:rPr>
              <w:t>.</w:t>
            </w:r>
          </w:p>
        </w:tc>
        <w:tc>
          <w:tcPr>
            <w:tcW w:w="1356" w:type="dxa"/>
          </w:tcPr>
          <w:p w14:paraId="4B3733B2" w14:textId="0C1DC161"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n-GB" w:eastAsia="es-MX"/>
              </w:rPr>
            </w:pPr>
            <w:r w:rsidRPr="004D22EA">
              <w:rPr>
                <w:rFonts w:ascii="ITC Avant Garde" w:hAnsi="ITC Avant Garde"/>
                <w:bCs/>
                <w:color w:val="000000"/>
                <w:sz w:val="16"/>
                <w:szCs w:val="16"/>
                <w:lang w:val="en-GB" w:eastAsia="es-MX"/>
              </w:rPr>
              <w:t>3,338,000</w:t>
            </w:r>
          </w:p>
        </w:tc>
        <w:tc>
          <w:tcPr>
            <w:tcW w:w="1164" w:type="dxa"/>
          </w:tcPr>
          <w:p w14:paraId="1FC70BDB" w14:textId="26D0F403"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n-GB" w:eastAsia="es-MX"/>
              </w:rPr>
            </w:pPr>
            <w:r>
              <w:rPr>
                <w:rFonts w:ascii="ITC Avant Garde" w:hAnsi="ITC Avant Garde"/>
                <w:bCs/>
                <w:color w:val="000000"/>
                <w:sz w:val="16"/>
                <w:szCs w:val="16"/>
                <w:lang w:val="en-GB" w:eastAsia="es-MX"/>
              </w:rPr>
              <w:t>.</w:t>
            </w:r>
          </w:p>
        </w:tc>
        <w:tc>
          <w:tcPr>
            <w:tcW w:w="1609" w:type="dxa"/>
          </w:tcPr>
          <w:p w14:paraId="321EA262" w14:textId="6C90694C"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n-GB" w:eastAsia="es-MX"/>
              </w:rPr>
            </w:pPr>
            <w:r w:rsidRPr="004D22EA">
              <w:rPr>
                <w:rFonts w:ascii="ITC Avant Garde" w:hAnsi="ITC Avant Garde"/>
                <w:bCs/>
                <w:color w:val="000000"/>
                <w:sz w:val="16"/>
                <w:szCs w:val="16"/>
                <w:lang w:val="en-GB" w:eastAsia="es-MX"/>
              </w:rPr>
              <w:t>33.38</w:t>
            </w:r>
          </w:p>
        </w:tc>
      </w:tr>
      <w:tr w:rsidR="004D22EA" w:rsidRPr="004D22EA" w14:paraId="3BBBF235" w14:textId="77777777" w:rsidTr="004D22EA">
        <w:trPr>
          <w:trHeight w:val="776"/>
          <w:jc w:val="center"/>
        </w:trPr>
        <w:tc>
          <w:tcPr>
            <w:tcW w:w="3009" w:type="dxa"/>
          </w:tcPr>
          <w:p w14:paraId="5C6162A8" w14:textId="071070D5" w:rsidR="004D22EA" w:rsidRPr="004D22EA" w:rsidRDefault="004D22EA" w:rsidP="004D22EA">
            <w:pPr>
              <w:autoSpaceDE w:val="0"/>
              <w:autoSpaceDN w:val="0"/>
              <w:adjustRightInd w:val="0"/>
              <w:spacing w:after="240"/>
              <w:contextualSpacing/>
              <w:jc w:val="both"/>
              <w:rPr>
                <w:rFonts w:ascii="ITC Avant Garde" w:hAnsi="ITC Avant Garde"/>
                <w:bCs/>
                <w:color w:val="000000"/>
                <w:sz w:val="16"/>
                <w:szCs w:val="16"/>
                <w:lang w:val="en-GB" w:eastAsia="es-MX"/>
              </w:rPr>
            </w:pPr>
            <w:r w:rsidRPr="004D22EA">
              <w:rPr>
                <w:rFonts w:ascii="ITC Avant Garde" w:hAnsi="ITC Avant Garde"/>
                <w:bCs/>
                <w:color w:val="000000"/>
                <w:sz w:val="16"/>
                <w:szCs w:val="16"/>
                <w:lang w:val="en-GB" w:eastAsia="es-MX"/>
              </w:rPr>
              <w:t>CMF Investment Company II B.V. (Vehículo del China México Fund) (CFI).</w:t>
            </w:r>
          </w:p>
        </w:tc>
        <w:tc>
          <w:tcPr>
            <w:tcW w:w="1201" w:type="dxa"/>
          </w:tcPr>
          <w:p w14:paraId="1F12B9E6" w14:textId="17050F13"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n-GB" w:eastAsia="es-MX"/>
              </w:rPr>
            </w:pPr>
            <w:r w:rsidRPr="004D22EA">
              <w:rPr>
                <w:rFonts w:ascii="ITC Avant Garde" w:hAnsi="ITC Avant Garde"/>
                <w:bCs/>
                <w:color w:val="000000"/>
                <w:sz w:val="16"/>
                <w:szCs w:val="16"/>
                <w:lang w:val="en-GB" w:eastAsia="es-MX"/>
              </w:rPr>
              <w:t>23,360</w:t>
            </w:r>
          </w:p>
        </w:tc>
        <w:tc>
          <w:tcPr>
            <w:tcW w:w="1068" w:type="dxa"/>
          </w:tcPr>
          <w:p w14:paraId="2C72717E" w14:textId="44F77864"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n-GB" w:eastAsia="es-MX"/>
              </w:rPr>
            </w:pPr>
            <w:r>
              <w:rPr>
                <w:rFonts w:ascii="ITC Avant Garde" w:hAnsi="ITC Avant Garde"/>
                <w:bCs/>
                <w:color w:val="000000"/>
                <w:sz w:val="16"/>
                <w:szCs w:val="16"/>
                <w:lang w:val="en-GB" w:eastAsia="es-MX"/>
              </w:rPr>
              <w:t>.</w:t>
            </w:r>
          </w:p>
        </w:tc>
        <w:tc>
          <w:tcPr>
            <w:tcW w:w="1356" w:type="dxa"/>
          </w:tcPr>
          <w:p w14:paraId="3D78A672" w14:textId="3820199B"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n-GB" w:eastAsia="es-MX"/>
              </w:rPr>
            </w:pPr>
            <w:r w:rsidRPr="004D22EA">
              <w:rPr>
                <w:rFonts w:ascii="ITC Avant Garde" w:hAnsi="ITC Avant Garde"/>
                <w:bCs/>
                <w:color w:val="000000"/>
                <w:sz w:val="16"/>
                <w:szCs w:val="16"/>
                <w:lang w:val="en-GB" w:eastAsia="es-MX"/>
              </w:rPr>
              <w:t>2,336,000</w:t>
            </w:r>
          </w:p>
        </w:tc>
        <w:tc>
          <w:tcPr>
            <w:tcW w:w="1164" w:type="dxa"/>
          </w:tcPr>
          <w:p w14:paraId="58963BAE" w14:textId="196D9710"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n-GB" w:eastAsia="es-MX"/>
              </w:rPr>
            </w:pPr>
            <w:r>
              <w:rPr>
                <w:rFonts w:ascii="ITC Avant Garde" w:hAnsi="ITC Avant Garde"/>
                <w:bCs/>
                <w:color w:val="000000"/>
                <w:sz w:val="16"/>
                <w:szCs w:val="16"/>
                <w:lang w:val="en-GB" w:eastAsia="es-MX"/>
              </w:rPr>
              <w:t>.</w:t>
            </w:r>
          </w:p>
        </w:tc>
        <w:tc>
          <w:tcPr>
            <w:tcW w:w="1609" w:type="dxa"/>
          </w:tcPr>
          <w:p w14:paraId="167C5B01" w14:textId="428310A5"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n-GB" w:eastAsia="es-MX"/>
              </w:rPr>
            </w:pPr>
            <w:r w:rsidRPr="004D22EA">
              <w:rPr>
                <w:rFonts w:ascii="ITC Avant Garde" w:hAnsi="ITC Avant Garde"/>
                <w:bCs/>
                <w:color w:val="000000"/>
                <w:sz w:val="16"/>
                <w:szCs w:val="16"/>
                <w:lang w:val="en-GB" w:eastAsia="es-MX"/>
              </w:rPr>
              <w:t>23.36</w:t>
            </w:r>
          </w:p>
        </w:tc>
      </w:tr>
      <w:tr w:rsidR="004D22EA" w:rsidRPr="004D22EA" w14:paraId="3E5C0F6E" w14:textId="77777777" w:rsidTr="004D22EA">
        <w:trPr>
          <w:trHeight w:val="2887"/>
          <w:jc w:val="center"/>
        </w:trPr>
        <w:tc>
          <w:tcPr>
            <w:tcW w:w="3009" w:type="dxa"/>
          </w:tcPr>
          <w:p w14:paraId="3447A19D" w14:textId="28AA85D0" w:rsidR="004D22EA" w:rsidRPr="004D22EA" w:rsidRDefault="004D22EA" w:rsidP="004D22EA">
            <w:pPr>
              <w:autoSpaceDE w:val="0"/>
              <w:autoSpaceDN w:val="0"/>
              <w:adjustRightInd w:val="0"/>
              <w:spacing w:after="240"/>
              <w:contextualSpacing/>
              <w:jc w:val="both"/>
              <w:rPr>
                <w:rFonts w:ascii="ITC Avant Garde" w:hAnsi="ITC Avant Garde"/>
                <w:bCs/>
                <w:color w:val="000000"/>
                <w:sz w:val="16"/>
                <w:szCs w:val="16"/>
                <w:lang w:val="es-MX" w:eastAsia="es-MX"/>
              </w:rPr>
            </w:pPr>
            <w:r w:rsidRPr="004D22EA">
              <w:rPr>
                <w:rFonts w:ascii="ITC Avant Garde" w:hAnsi="ITC Avant Garde"/>
                <w:bCs/>
                <w:color w:val="000000"/>
                <w:sz w:val="16"/>
                <w:szCs w:val="16"/>
                <w:lang w:val="es-MX" w:eastAsia="es-MX"/>
              </w:rPr>
              <w:t>Banco Invex, S.A., Institución de Banca Múltiple, Invex Grupo Financiero, en carácter de fiduciario del Fideicomiso Irrevocable F/2431, según el mismo fue modificado el 28 de octubre de 2015 (Caisse de Dépot et Placement du Québec y CKD Infraestructura México) (Vehículo de coinversión de CDPQ y CKD Infraestructura México).</w:t>
            </w:r>
          </w:p>
        </w:tc>
        <w:tc>
          <w:tcPr>
            <w:tcW w:w="1201" w:type="dxa"/>
          </w:tcPr>
          <w:p w14:paraId="3B0FCD04" w14:textId="392272C4"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sidRPr="004D22EA">
              <w:rPr>
                <w:rFonts w:ascii="ITC Avant Garde" w:hAnsi="ITC Avant Garde"/>
                <w:bCs/>
                <w:color w:val="000000"/>
                <w:sz w:val="16"/>
                <w:szCs w:val="16"/>
                <w:lang w:val="es-MX" w:eastAsia="es-MX"/>
              </w:rPr>
              <w:t>12,680</w:t>
            </w:r>
          </w:p>
        </w:tc>
        <w:tc>
          <w:tcPr>
            <w:tcW w:w="1068" w:type="dxa"/>
          </w:tcPr>
          <w:p w14:paraId="6838E925" w14:textId="0CAE22D6"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Pr>
                <w:rFonts w:ascii="ITC Avant Garde" w:hAnsi="ITC Avant Garde"/>
                <w:bCs/>
                <w:color w:val="000000"/>
                <w:sz w:val="16"/>
                <w:szCs w:val="16"/>
                <w:lang w:val="es-MX" w:eastAsia="es-MX"/>
              </w:rPr>
              <w:t>.</w:t>
            </w:r>
          </w:p>
        </w:tc>
        <w:tc>
          <w:tcPr>
            <w:tcW w:w="1356" w:type="dxa"/>
          </w:tcPr>
          <w:p w14:paraId="6A551059" w14:textId="7999A776"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sidRPr="004D22EA">
              <w:rPr>
                <w:rFonts w:ascii="ITC Avant Garde" w:hAnsi="ITC Avant Garde"/>
                <w:bCs/>
                <w:color w:val="000000"/>
                <w:sz w:val="16"/>
                <w:szCs w:val="16"/>
                <w:lang w:val="es-MX" w:eastAsia="es-MX"/>
              </w:rPr>
              <w:t>1,268,000</w:t>
            </w:r>
          </w:p>
        </w:tc>
        <w:tc>
          <w:tcPr>
            <w:tcW w:w="1164" w:type="dxa"/>
          </w:tcPr>
          <w:p w14:paraId="5C61135A" w14:textId="6CCC71EF"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Pr>
                <w:rFonts w:ascii="ITC Avant Garde" w:hAnsi="ITC Avant Garde"/>
                <w:bCs/>
                <w:color w:val="000000"/>
                <w:sz w:val="16"/>
                <w:szCs w:val="16"/>
                <w:lang w:val="es-MX" w:eastAsia="es-MX"/>
              </w:rPr>
              <w:t>.</w:t>
            </w:r>
          </w:p>
        </w:tc>
        <w:tc>
          <w:tcPr>
            <w:tcW w:w="1609" w:type="dxa"/>
          </w:tcPr>
          <w:p w14:paraId="1330488D" w14:textId="16BA470A"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sidRPr="004D22EA">
              <w:rPr>
                <w:rFonts w:ascii="ITC Avant Garde" w:hAnsi="ITC Avant Garde"/>
                <w:bCs/>
                <w:color w:val="000000"/>
                <w:sz w:val="16"/>
                <w:szCs w:val="16"/>
                <w:lang w:val="es-MX" w:eastAsia="es-MX"/>
              </w:rPr>
              <w:t>12.68</w:t>
            </w:r>
          </w:p>
        </w:tc>
      </w:tr>
      <w:tr w:rsidR="004D22EA" w:rsidRPr="004D22EA" w14:paraId="36332B83" w14:textId="77777777" w:rsidTr="004D22EA">
        <w:trPr>
          <w:trHeight w:val="258"/>
          <w:jc w:val="center"/>
        </w:trPr>
        <w:tc>
          <w:tcPr>
            <w:tcW w:w="3009" w:type="dxa"/>
          </w:tcPr>
          <w:p w14:paraId="6CC8D05E" w14:textId="6F9C8AAB" w:rsidR="004D22EA" w:rsidRPr="004D22EA" w:rsidRDefault="004D22EA" w:rsidP="004D22EA">
            <w:pPr>
              <w:autoSpaceDE w:val="0"/>
              <w:autoSpaceDN w:val="0"/>
              <w:adjustRightInd w:val="0"/>
              <w:spacing w:after="240"/>
              <w:contextualSpacing/>
              <w:jc w:val="both"/>
              <w:rPr>
                <w:rFonts w:ascii="ITC Avant Garde" w:hAnsi="ITC Avant Garde"/>
                <w:bCs/>
                <w:color w:val="000000"/>
                <w:sz w:val="16"/>
                <w:szCs w:val="16"/>
                <w:lang w:val="es-MX" w:eastAsia="es-MX"/>
              </w:rPr>
            </w:pPr>
            <w:r w:rsidRPr="004D22EA">
              <w:rPr>
                <w:rFonts w:ascii="ITC Avant Garde" w:hAnsi="ITC Avant Garde"/>
                <w:bCs/>
                <w:color w:val="000000"/>
                <w:sz w:val="16"/>
                <w:szCs w:val="16"/>
                <w:lang w:val="es-MX" w:eastAsia="es-MX"/>
              </w:rPr>
              <w:t>Hansam, S.A. de C.V. (Hansam).</w:t>
            </w:r>
          </w:p>
        </w:tc>
        <w:tc>
          <w:tcPr>
            <w:tcW w:w="1201" w:type="dxa"/>
          </w:tcPr>
          <w:p w14:paraId="6EEE8514" w14:textId="03441723"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sidRPr="004D22EA">
              <w:rPr>
                <w:rFonts w:ascii="ITC Avant Garde" w:hAnsi="ITC Avant Garde"/>
                <w:bCs/>
                <w:color w:val="000000"/>
                <w:sz w:val="16"/>
                <w:szCs w:val="16"/>
                <w:lang w:val="es-MX" w:eastAsia="es-MX"/>
              </w:rPr>
              <w:t>9,350</w:t>
            </w:r>
          </w:p>
        </w:tc>
        <w:tc>
          <w:tcPr>
            <w:tcW w:w="1068" w:type="dxa"/>
          </w:tcPr>
          <w:p w14:paraId="4F7455DD" w14:textId="5CE143A1"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Pr>
                <w:rFonts w:ascii="ITC Avant Garde" w:hAnsi="ITC Avant Garde"/>
                <w:bCs/>
                <w:color w:val="000000"/>
                <w:sz w:val="16"/>
                <w:szCs w:val="16"/>
                <w:lang w:val="es-MX" w:eastAsia="es-MX"/>
              </w:rPr>
              <w:t>.</w:t>
            </w:r>
          </w:p>
        </w:tc>
        <w:tc>
          <w:tcPr>
            <w:tcW w:w="1356" w:type="dxa"/>
          </w:tcPr>
          <w:p w14:paraId="3D0ED408" w14:textId="66385EA6"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sidRPr="004D22EA">
              <w:rPr>
                <w:rFonts w:ascii="ITC Avant Garde" w:hAnsi="ITC Avant Garde"/>
                <w:bCs/>
                <w:color w:val="000000"/>
                <w:sz w:val="16"/>
                <w:szCs w:val="16"/>
                <w:lang w:val="es-MX" w:eastAsia="es-MX"/>
              </w:rPr>
              <w:t>935,000</w:t>
            </w:r>
          </w:p>
        </w:tc>
        <w:tc>
          <w:tcPr>
            <w:tcW w:w="1164" w:type="dxa"/>
          </w:tcPr>
          <w:p w14:paraId="7CE8FB16" w14:textId="1F818E05"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Pr>
                <w:rFonts w:ascii="ITC Avant Garde" w:hAnsi="ITC Avant Garde"/>
                <w:bCs/>
                <w:color w:val="000000"/>
                <w:sz w:val="16"/>
                <w:szCs w:val="16"/>
                <w:lang w:val="es-MX" w:eastAsia="es-MX"/>
              </w:rPr>
              <w:t>.</w:t>
            </w:r>
          </w:p>
        </w:tc>
        <w:tc>
          <w:tcPr>
            <w:tcW w:w="1609" w:type="dxa"/>
          </w:tcPr>
          <w:p w14:paraId="10F58670" w14:textId="1B93E458"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sidRPr="004D22EA">
              <w:rPr>
                <w:rFonts w:ascii="ITC Avant Garde" w:hAnsi="ITC Avant Garde"/>
                <w:bCs/>
                <w:color w:val="000000"/>
                <w:sz w:val="16"/>
                <w:szCs w:val="16"/>
                <w:lang w:val="es-MX" w:eastAsia="es-MX"/>
              </w:rPr>
              <w:t>9.35</w:t>
            </w:r>
          </w:p>
        </w:tc>
      </w:tr>
      <w:tr w:rsidR="004D22EA" w:rsidRPr="004D22EA" w14:paraId="2C3FC178" w14:textId="77777777" w:rsidTr="004D22EA">
        <w:trPr>
          <w:trHeight w:val="2090"/>
          <w:jc w:val="center"/>
        </w:trPr>
        <w:tc>
          <w:tcPr>
            <w:tcW w:w="3009" w:type="dxa"/>
          </w:tcPr>
          <w:p w14:paraId="64191C9A" w14:textId="547F509C" w:rsidR="004D22EA" w:rsidRPr="004D22EA" w:rsidRDefault="004D22EA" w:rsidP="004D22EA">
            <w:pPr>
              <w:autoSpaceDE w:val="0"/>
              <w:autoSpaceDN w:val="0"/>
              <w:adjustRightInd w:val="0"/>
              <w:spacing w:after="240"/>
              <w:contextualSpacing/>
              <w:jc w:val="both"/>
              <w:rPr>
                <w:rFonts w:ascii="ITC Avant Garde" w:hAnsi="ITC Avant Garde"/>
                <w:bCs/>
                <w:color w:val="000000"/>
                <w:sz w:val="16"/>
                <w:szCs w:val="16"/>
                <w:lang w:val="es-MX" w:eastAsia="es-MX"/>
              </w:rPr>
            </w:pPr>
            <w:r w:rsidRPr="004D22EA">
              <w:rPr>
                <w:rFonts w:ascii="ITC Avant Garde" w:hAnsi="ITC Avant Garde"/>
                <w:bCs/>
                <w:color w:val="000000"/>
                <w:sz w:val="16"/>
                <w:szCs w:val="16"/>
                <w:lang w:val="es-MX" w:eastAsia="es-MX"/>
              </w:rPr>
              <w:t>Banco Invex, S.A., Institución de Banca Múltiple, Invex Grupo Financiero, en carácter de Fiduciario del Fideicomiso Irrevocable de Emisión F/2292 denominado “FFLATAM-15-2” de fecha 24 de julio de 2015 (FFLATAM-15-2).</w:t>
            </w:r>
          </w:p>
        </w:tc>
        <w:tc>
          <w:tcPr>
            <w:tcW w:w="1201" w:type="dxa"/>
          </w:tcPr>
          <w:p w14:paraId="326B1BE2" w14:textId="13ABCCE1"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sidRPr="004D22EA">
              <w:rPr>
                <w:rFonts w:ascii="ITC Avant Garde" w:hAnsi="ITC Avant Garde"/>
                <w:bCs/>
                <w:color w:val="000000"/>
                <w:sz w:val="16"/>
                <w:szCs w:val="16"/>
                <w:lang w:val="es-MX" w:eastAsia="es-MX"/>
              </w:rPr>
              <w:t>6,540</w:t>
            </w:r>
          </w:p>
        </w:tc>
        <w:tc>
          <w:tcPr>
            <w:tcW w:w="1068" w:type="dxa"/>
          </w:tcPr>
          <w:p w14:paraId="52198212" w14:textId="6553A786"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Pr>
                <w:rFonts w:ascii="ITC Avant Garde" w:hAnsi="ITC Avant Garde"/>
                <w:bCs/>
                <w:color w:val="000000"/>
                <w:sz w:val="16"/>
                <w:szCs w:val="16"/>
                <w:lang w:val="es-MX" w:eastAsia="es-MX"/>
              </w:rPr>
              <w:t>.</w:t>
            </w:r>
          </w:p>
        </w:tc>
        <w:tc>
          <w:tcPr>
            <w:tcW w:w="1356" w:type="dxa"/>
          </w:tcPr>
          <w:p w14:paraId="379FC5A1" w14:textId="40DF7D19"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sidRPr="004D22EA">
              <w:rPr>
                <w:rFonts w:ascii="ITC Avant Garde" w:hAnsi="ITC Avant Garde"/>
                <w:bCs/>
                <w:color w:val="000000"/>
                <w:sz w:val="16"/>
                <w:szCs w:val="16"/>
                <w:lang w:val="es-MX" w:eastAsia="es-MX"/>
              </w:rPr>
              <w:t>654,000</w:t>
            </w:r>
          </w:p>
        </w:tc>
        <w:tc>
          <w:tcPr>
            <w:tcW w:w="1164" w:type="dxa"/>
          </w:tcPr>
          <w:p w14:paraId="076D8A35" w14:textId="4C130940"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Pr>
                <w:rFonts w:ascii="ITC Avant Garde" w:hAnsi="ITC Avant Garde"/>
                <w:bCs/>
                <w:color w:val="000000"/>
                <w:sz w:val="16"/>
                <w:szCs w:val="16"/>
                <w:lang w:val="es-MX" w:eastAsia="es-MX"/>
              </w:rPr>
              <w:t>.</w:t>
            </w:r>
          </w:p>
        </w:tc>
        <w:tc>
          <w:tcPr>
            <w:tcW w:w="1609" w:type="dxa"/>
          </w:tcPr>
          <w:p w14:paraId="105BC921" w14:textId="58CF0C1C"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sidRPr="004D22EA">
              <w:rPr>
                <w:rFonts w:ascii="ITC Avant Garde" w:hAnsi="ITC Avant Garde"/>
                <w:bCs/>
                <w:color w:val="000000"/>
                <w:sz w:val="16"/>
                <w:szCs w:val="16"/>
                <w:lang w:val="es-MX" w:eastAsia="es-MX"/>
              </w:rPr>
              <w:t>6.54</w:t>
            </w:r>
          </w:p>
        </w:tc>
      </w:tr>
      <w:tr w:rsidR="004D22EA" w:rsidRPr="004D22EA" w14:paraId="4B9D2C6B" w14:textId="77777777" w:rsidTr="004D22EA">
        <w:trPr>
          <w:trHeight w:val="517"/>
          <w:jc w:val="center"/>
        </w:trPr>
        <w:tc>
          <w:tcPr>
            <w:tcW w:w="3009" w:type="dxa"/>
          </w:tcPr>
          <w:p w14:paraId="24EDE134" w14:textId="687B125E" w:rsidR="004D22EA" w:rsidRPr="004D22EA" w:rsidRDefault="004D22EA" w:rsidP="004D22EA">
            <w:pPr>
              <w:autoSpaceDE w:val="0"/>
              <w:autoSpaceDN w:val="0"/>
              <w:adjustRightInd w:val="0"/>
              <w:spacing w:after="240"/>
              <w:contextualSpacing/>
              <w:jc w:val="both"/>
              <w:rPr>
                <w:rFonts w:ascii="ITC Avant Garde" w:hAnsi="ITC Avant Garde"/>
                <w:bCs/>
                <w:color w:val="000000"/>
                <w:sz w:val="16"/>
                <w:szCs w:val="16"/>
                <w:lang w:val="en-GB" w:eastAsia="es-MX"/>
              </w:rPr>
            </w:pPr>
            <w:r w:rsidRPr="004D22EA">
              <w:rPr>
                <w:rFonts w:ascii="ITC Avant Garde" w:hAnsi="ITC Avant Garde"/>
                <w:bCs/>
                <w:color w:val="000000"/>
                <w:sz w:val="16"/>
                <w:szCs w:val="16"/>
                <w:lang w:val="en-GB" w:eastAsia="es-MX"/>
              </w:rPr>
              <w:t>Isla Guadalupe Investments, S.L.U. (IGI)</w:t>
            </w:r>
          </w:p>
        </w:tc>
        <w:tc>
          <w:tcPr>
            <w:tcW w:w="1201" w:type="dxa"/>
          </w:tcPr>
          <w:p w14:paraId="54E53BBD" w14:textId="571AB9D0"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sidRPr="004D22EA">
              <w:rPr>
                <w:rFonts w:ascii="ITC Avant Garde" w:hAnsi="ITC Avant Garde"/>
                <w:bCs/>
                <w:color w:val="000000"/>
                <w:sz w:val="16"/>
                <w:szCs w:val="16"/>
                <w:lang w:val="es-MX" w:eastAsia="es-MX"/>
              </w:rPr>
              <w:t>3,340</w:t>
            </w:r>
          </w:p>
        </w:tc>
        <w:tc>
          <w:tcPr>
            <w:tcW w:w="1068" w:type="dxa"/>
          </w:tcPr>
          <w:p w14:paraId="7931B62C" w14:textId="408EAD86"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Pr>
                <w:rFonts w:ascii="ITC Avant Garde" w:hAnsi="ITC Avant Garde"/>
                <w:bCs/>
                <w:color w:val="000000"/>
                <w:sz w:val="16"/>
                <w:szCs w:val="16"/>
                <w:lang w:val="es-MX" w:eastAsia="es-MX"/>
              </w:rPr>
              <w:t>.</w:t>
            </w:r>
          </w:p>
        </w:tc>
        <w:tc>
          <w:tcPr>
            <w:tcW w:w="1356" w:type="dxa"/>
          </w:tcPr>
          <w:p w14:paraId="0326A123" w14:textId="37574E69"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sidRPr="004D22EA">
              <w:rPr>
                <w:rFonts w:ascii="ITC Avant Garde" w:hAnsi="ITC Avant Garde"/>
                <w:bCs/>
                <w:color w:val="000000"/>
                <w:sz w:val="16"/>
                <w:szCs w:val="16"/>
                <w:lang w:val="es-MX" w:eastAsia="es-MX"/>
              </w:rPr>
              <w:t>334,000</w:t>
            </w:r>
          </w:p>
        </w:tc>
        <w:tc>
          <w:tcPr>
            <w:tcW w:w="1164" w:type="dxa"/>
          </w:tcPr>
          <w:p w14:paraId="7C006599" w14:textId="04662DA2"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Pr>
                <w:rFonts w:ascii="ITC Avant Garde" w:hAnsi="ITC Avant Garde"/>
                <w:bCs/>
                <w:color w:val="000000"/>
                <w:sz w:val="16"/>
                <w:szCs w:val="16"/>
                <w:lang w:val="es-MX" w:eastAsia="es-MX"/>
              </w:rPr>
              <w:t>.</w:t>
            </w:r>
          </w:p>
        </w:tc>
        <w:tc>
          <w:tcPr>
            <w:tcW w:w="1609" w:type="dxa"/>
          </w:tcPr>
          <w:p w14:paraId="36468D08" w14:textId="2B67D090"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sidRPr="004D22EA">
              <w:rPr>
                <w:rFonts w:ascii="ITC Avant Garde" w:hAnsi="ITC Avant Garde"/>
                <w:bCs/>
                <w:color w:val="000000"/>
                <w:sz w:val="16"/>
                <w:szCs w:val="16"/>
                <w:lang w:val="es-MX" w:eastAsia="es-MX"/>
              </w:rPr>
              <w:t>3.34</w:t>
            </w:r>
          </w:p>
        </w:tc>
      </w:tr>
      <w:tr w:rsidR="004D22EA" w:rsidRPr="004D22EA" w14:paraId="1C0B7B22" w14:textId="77777777" w:rsidTr="004D22EA">
        <w:trPr>
          <w:trHeight w:val="517"/>
          <w:jc w:val="center"/>
        </w:trPr>
        <w:tc>
          <w:tcPr>
            <w:tcW w:w="3009" w:type="dxa"/>
          </w:tcPr>
          <w:p w14:paraId="78C32778" w14:textId="57D9569F" w:rsidR="004D22EA" w:rsidRPr="004D22EA" w:rsidRDefault="004D22EA" w:rsidP="004D22EA">
            <w:pPr>
              <w:autoSpaceDE w:val="0"/>
              <w:autoSpaceDN w:val="0"/>
              <w:adjustRightInd w:val="0"/>
              <w:spacing w:after="240"/>
              <w:contextualSpacing/>
              <w:jc w:val="both"/>
              <w:rPr>
                <w:rFonts w:ascii="ITC Avant Garde" w:hAnsi="ITC Avant Garde"/>
                <w:bCs/>
                <w:color w:val="000000"/>
                <w:sz w:val="16"/>
                <w:szCs w:val="16"/>
                <w:lang w:val="es-MX" w:eastAsia="es-MX"/>
              </w:rPr>
            </w:pPr>
            <w:r w:rsidRPr="004D22EA">
              <w:rPr>
                <w:rFonts w:ascii="ITC Avant Garde" w:hAnsi="ITC Avant Garde"/>
                <w:bCs/>
                <w:color w:val="000000"/>
                <w:sz w:val="16"/>
                <w:szCs w:val="16"/>
                <w:lang w:val="es-MX" w:eastAsia="es-MX"/>
              </w:rPr>
              <w:t>International Finance Corporation (CFI)</w:t>
            </w:r>
          </w:p>
        </w:tc>
        <w:tc>
          <w:tcPr>
            <w:tcW w:w="1201" w:type="dxa"/>
          </w:tcPr>
          <w:p w14:paraId="71CE109D" w14:textId="51B1DB03"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sidRPr="004D22EA">
              <w:rPr>
                <w:rFonts w:ascii="ITC Avant Garde" w:hAnsi="ITC Avant Garde"/>
                <w:bCs/>
                <w:color w:val="000000"/>
                <w:sz w:val="16"/>
                <w:szCs w:val="16"/>
                <w:lang w:val="es-MX" w:eastAsia="es-MX"/>
              </w:rPr>
              <w:t>3,340</w:t>
            </w:r>
          </w:p>
        </w:tc>
        <w:tc>
          <w:tcPr>
            <w:tcW w:w="1068" w:type="dxa"/>
          </w:tcPr>
          <w:p w14:paraId="09605824" w14:textId="16362205"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Pr>
                <w:rFonts w:ascii="ITC Avant Garde" w:hAnsi="ITC Avant Garde"/>
                <w:bCs/>
                <w:color w:val="000000"/>
                <w:sz w:val="16"/>
                <w:szCs w:val="16"/>
                <w:lang w:val="es-MX" w:eastAsia="es-MX"/>
              </w:rPr>
              <w:t>.</w:t>
            </w:r>
          </w:p>
        </w:tc>
        <w:tc>
          <w:tcPr>
            <w:tcW w:w="1356" w:type="dxa"/>
          </w:tcPr>
          <w:p w14:paraId="50220F5B" w14:textId="2F2BDA0F"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sidRPr="004D22EA">
              <w:rPr>
                <w:rFonts w:ascii="ITC Avant Garde" w:hAnsi="ITC Avant Garde"/>
                <w:bCs/>
                <w:color w:val="000000"/>
                <w:sz w:val="16"/>
                <w:szCs w:val="16"/>
                <w:lang w:val="es-MX" w:eastAsia="es-MX"/>
              </w:rPr>
              <w:t>334,000</w:t>
            </w:r>
          </w:p>
        </w:tc>
        <w:tc>
          <w:tcPr>
            <w:tcW w:w="1164" w:type="dxa"/>
          </w:tcPr>
          <w:p w14:paraId="45B3EB54" w14:textId="6931DAD6"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Pr>
                <w:rFonts w:ascii="ITC Avant Garde" w:hAnsi="ITC Avant Garde"/>
                <w:bCs/>
                <w:color w:val="000000"/>
                <w:sz w:val="16"/>
                <w:szCs w:val="16"/>
                <w:lang w:val="es-MX" w:eastAsia="es-MX"/>
              </w:rPr>
              <w:t>.</w:t>
            </w:r>
          </w:p>
        </w:tc>
        <w:tc>
          <w:tcPr>
            <w:tcW w:w="1609" w:type="dxa"/>
          </w:tcPr>
          <w:p w14:paraId="2257C41E" w14:textId="40592E5E"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sidRPr="004D22EA">
              <w:rPr>
                <w:rFonts w:ascii="ITC Avant Garde" w:hAnsi="ITC Avant Garde"/>
                <w:bCs/>
                <w:color w:val="000000"/>
                <w:sz w:val="16"/>
                <w:szCs w:val="16"/>
                <w:lang w:val="es-MX" w:eastAsia="es-MX"/>
              </w:rPr>
              <w:t>3.34</w:t>
            </w:r>
          </w:p>
        </w:tc>
      </w:tr>
      <w:tr w:rsidR="004D22EA" w:rsidRPr="004D22EA" w14:paraId="7DB36DC3" w14:textId="77777777" w:rsidTr="004D22EA">
        <w:trPr>
          <w:trHeight w:val="517"/>
          <w:jc w:val="center"/>
        </w:trPr>
        <w:tc>
          <w:tcPr>
            <w:tcW w:w="3009" w:type="dxa"/>
          </w:tcPr>
          <w:p w14:paraId="00AEFDB9" w14:textId="47DD07A0" w:rsidR="004D22EA" w:rsidRPr="004D22EA" w:rsidRDefault="004D22EA" w:rsidP="004D22EA">
            <w:pPr>
              <w:autoSpaceDE w:val="0"/>
              <w:autoSpaceDN w:val="0"/>
              <w:adjustRightInd w:val="0"/>
              <w:spacing w:after="240"/>
              <w:contextualSpacing/>
              <w:jc w:val="both"/>
              <w:rPr>
                <w:rFonts w:ascii="ITC Avant Garde" w:hAnsi="ITC Avant Garde"/>
                <w:bCs/>
                <w:color w:val="000000"/>
                <w:sz w:val="16"/>
                <w:szCs w:val="16"/>
                <w:lang w:val="es-MX" w:eastAsia="es-MX"/>
              </w:rPr>
            </w:pPr>
            <w:r w:rsidRPr="004D22EA">
              <w:rPr>
                <w:rFonts w:ascii="ITC Avant Garde" w:hAnsi="ITC Avant Garde"/>
                <w:bCs/>
                <w:color w:val="000000"/>
                <w:sz w:val="16"/>
                <w:szCs w:val="16"/>
                <w:lang w:val="es-MX" w:eastAsia="es-MX"/>
              </w:rPr>
              <w:t>Mega Cable, S.A. de C.V. (Mega Cable)</w:t>
            </w:r>
          </w:p>
        </w:tc>
        <w:tc>
          <w:tcPr>
            <w:tcW w:w="1201" w:type="dxa"/>
          </w:tcPr>
          <w:p w14:paraId="5448529C" w14:textId="6D631506"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Pr>
                <w:rFonts w:ascii="ITC Avant Garde" w:hAnsi="ITC Avant Garde"/>
                <w:bCs/>
                <w:color w:val="000000"/>
                <w:sz w:val="16"/>
                <w:szCs w:val="16"/>
                <w:lang w:val="es-MX" w:eastAsia="es-MX"/>
              </w:rPr>
              <w:t>.</w:t>
            </w:r>
          </w:p>
        </w:tc>
        <w:tc>
          <w:tcPr>
            <w:tcW w:w="1068" w:type="dxa"/>
          </w:tcPr>
          <w:p w14:paraId="7596118C" w14:textId="3854997A"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sidRPr="004D22EA">
              <w:rPr>
                <w:rFonts w:ascii="ITC Avant Garde" w:hAnsi="ITC Avant Garde"/>
                <w:bCs/>
                <w:color w:val="000000"/>
                <w:sz w:val="16"/>
                <w:szCs w:val="16"/>
                <w:lang w:val="es-MX" w:eastAsia="es-MX"/>
              </w:rPr>
              <w:t>4,010</w:t>
            </w:r>
          </w:p>
        </w:tc>
        <w:tc>
          <w:tcPr>
            <w:tcW w:w="1356" w:type="dxa"/>
          </w:tcPr>
          <w:p w14:paraId="192C1C3A" w14:textId="556BB5DC"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Pr>
                <w:rFonts w:ascii="ITC Avant Garde" w:hAnsi="ITC Avant Garde"/>
                <w:bCs/>
                <w:color w:val="000000"/>
                <w:sz w:val="16"/>
                <w:szCs w:val="16"/>
                <w:lang w:val="es-MX" w:eastAsia="es-MX"/>
              </w:rPr>
              <w:t>.</w:t>
            </w:r>
          </w:p>
        </w:tc>
        <w:tc>
          <w:tcPr>
            <w:tcW w:w="1164" w:type="dxa"/>
          </w:tcPr>
          <w:p w14:paraId="4C4393FE" w14:textId="2090A22F"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sidRPr="004D22EA">
              <w:rPr>
                <w:rFonts w:ascii="ITC Avant Garde" w:hAnsi="ITC Avant Garde"/>
                <w:bCs/>
                <w:color w:val="000000"/>
                <w:sz w:val="16"/>
                <w:szCs w:val="16"/>
                <w:lang w:val="es-MX" w:eastAsia="es-MX"/>
              </w:rPr>
              <w:t>401,000</w:t>
            </w:r>
          </w:p>
        </w:tc>
        <w:tc>
          <w:tcPr>
            <w:tcW w:w="1609" w:type="dxa"/>
          </w:tcPr>
          <w:p w14:paraId="57915695" w14:textId="67AA95C7"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sidRPr="004D22EA">
              <w:rPr>
                <w:rFonts w:ascii="ITC Avant Garde" w:hAnsi="ITC Avant Garde"/>
                <w:bCs/>
                <w:color w:val="000000"/>
                <w:sz w:val="16"/>
                <w:szCs w:val="16"/>
                <w:lang w:val="es-MX" w:eastAsia="es-MX"/>
              </w:rPr>
              <w:t>4.01</w:t>
            </w:r>
          </w:p>
        </w:tc>
      </w:tr>
      <w:tr w:rsidR="004D22EA" w:rsidRPr="004D22EA" w14:paraId="1061701C" w14:textId="77777777" w:rsidTr="004D22EA">
        <w:trPr>
          <w:trHeight w:val="258"/>
          <w:jc w:val="center"/>
        </w:trPr>
        <w:tc>
          <w:tcPr>
            <w:tcW w:w="3009" w:type="dxa"/>
          </w:tcPr>
          <w:p w14:paraId="0BAAA848" w14:textId="0516AC81" w:rsidR="004D22EA" w:rsidRPr="004D22EA" w:rsidRDefault="004D22EA" w:rsidP="004D22EA">
            <w:pPr>
              <w:autoSpaceDE w:val="0"/>
              <w:autoSpaceDN w:val="0"/>
              <w:adjustRightInd w:val="0"/>
              <w:spacing w:after="240"/>
              <w:contextualSpacing/>
              <w:jc w:val="both"/>
              <w:rPr>
                <w:rFonts w:ascii="ITC Avant Garde" w:hAnsi="ITC Avant Garde"/>
                <w:bCs/>
                <w:color w:val="000000"/>
                <w:sz w:val="16"/>
                <w:szCs w:val="16"/>
                <w:lang w:val="es-MX" w:eastAsia="es-MX"/>
              </w:rPr>
            </w:pPr>
            <w:r w:rsidRPr="004D22EA">
              <w:rPr>
                <w:rFonts w:ascii="ITC Avant Garde" w:hAnsi="ITC Avant Garde"/>
                <w:bCs/>
                <w:color w:val="000000"/>
                <w:sz w:val="16"/>
                <w:szCs w:val="16"/>
                <w:lang w:val="es-MX" w:eastAsia="es-MX"/>
              </w:rPr>
              <w:t>Axtel, S.A.B. de C.V. (Axtel)</w:t>
            </w:r>
          </w:p>
        </w:tc>
        <w:tc>
          <w:tcPr>
            <w:tcW w:w="1201" w:type="dxa"/>
          </w:tcPr>
          <w:p w14:paraId="2D0698AA" w14:textId="6CD496AA"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Pr>
                <w:rFonts w:ascii="ITC Avant Garde" w:hAnsi="ITC Avant Garde"/>
                <w:bCs/>
                <w:color w:val="000000"/>
                <w:sz w:val="16"/>
                <w:szCs w:val="16"/>
                <w:lang w:val="es-MX" w:eastAsia="es-MX"/>
              </w:rPr>
              <w:t>.</w:t>
            </w:r>
          </w:p>
        </w:tc>
        <w:tc>
          <w:tcPr>
            <w:tcW w:w="1068" w:type="dxa"/>
          </w:tcPr>
          <w:p w14:paraId="711B88AC" w14:textId="1640CFAF"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sidRPr="004D22EA">
              <w:rPr>
                <w:rFonts w:ascii="ITC Avant Garde" w:hAnsi="ITC Avant Garde"/>
                <w:bCs/>
                <w:color w:val="000000"/>
                <w:sz w:val="16"/>
                <w:szCs w:val="16"/>
                <w:lang w:val="es-MX" w:eastAsia="es-MX"/>
              </w:rPr>
              <w:t>4,010</w:t>
            </w:r>
          </w:p>
        </w:tc>
        <w:tc>
          <w:tcPr>
            <w:tcW w:w="1356" w:type="dxa"/>
          </w:tcPr>
          <w:p w14:paraId="4857234C" w14:textId="10029F7B"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Pr>
                <w:rFonts w:ascii="ITC Avant Garde" w:hAnsi="ITC Avant Garde"/>
                <w:bCs/>
                <w:color w:val="000000"/>
                <w:sz w:val="16"/>
                <w:szCs w:val="16"/>
                <w:lang w:val="es-MX" w:eastAsia="es-MX"/>
              </w:rPr>
              <w:t>.</w:t>
            </w:r>
          </w:p>
        </w:tc>
        <w:tc>
          <w:tcPr>
            <w:tcW w:w="1164" w:type="dxa"/>
          </w:tcPr>
          <w:p w14:paraId="51F1FB57" w14:textId="4F6C1EA0"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sidRPr="004D22EA">
              <w:rPr>
                <w:rFonts w:ascii="ITC Avant Garde" w:hAnsi="ITC Avant Garde"/>
                <w:bCs/>
                <w:color w:val="000000"/>
                <w:sz w:val="16"/>
                <w:szCs w:val="16"/>
                <w:lang w:val="es-MX" w:eastAsia="es-MX"/>
              </w:rPr>
              <w:t>401,000</w:t>
            </w:r>
          </w:p>
        </w:tc>
        <w:tc>
          <w:tcPr>
            <w:tcW w:w="1609" w:type="dxa"/>
          </w:tcPr>
          <w:p w14:paraId="4B44258D" w14:textId="01DFC6DB"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s-MX" w:eastAsia="es-MX"/>
              </w:rPr>
            </w:pPr>
            <w:r w:rsidRPr="004D22EA">
              <w:rPr>
                <w:rFonts w:ascii="ITC Avant Garde" w:hAnsi="ITC Avant Garde"/>
                <w:bCs/>
                <w:color w:val="000000"/>
                <w:sz w:val="16"/>
                <w:szCs w:val="16"/>
                <w:lang w:val="es-MX" w:eastAsia="es-MX"/>
              </w:rPr>
              <w:t>4.01</w:t>
            </w:r>
          </w:p>
        </w:tc>
      </w:tr>
      <w:tr w:rsidR="004D22EA" w:rsidRPr="004D22EA" w14:paraId="6AB496B9" w14:textId="77777777" w:rsidTr="004D22EA">
        <w:trPr>
          <w:trHeight w:val="258"/>
          <w:jc w:val="center"/>
        </w:trPr>
        <w:tc>
          <w:tcPr>
            <w:tcW w:w="3009" w:type="dxa"/>
          </w:tcPr>
          <w:p w14:paraId="13A5B393" w14:textId="2D0717B7" w:rsidR="004D22EA" w:rsidRPr="004D22EA" w:rsidRDefault="004D22EA" w:rsidP="004D22EA">
            <w:pPr>
              <w:autoSpaceDE w:val="0"/>
              <w:autoSpaceDN w:val="0"/>
              <w:adjustRightInd w:val="0"/>
              <w:spacing w:after="240"/>
              <w:contextualSpacing/>
              <w:jc w:val="both"/>
              <w:rPr>
                <w:rFonts w:ascii="ITC Avant Garde" w:hAnsi="ITC Avant Garde"/>
                <w:b/>
                <w:bCs/>
                <w:color w:val="000000"/>
                <w:sz w:val="16"/>
                <w:szCs w:val="16"/>
                <w:lang w:val="es-MX" w:eastAsia="es-MX"/>
              </w:rPr>
            </w:pPr>
            <w:r w:rsidRPr="004D22EA">
              <w:rPr>
                <w:rFonts w:ascii="ITC Avant Garde" w:hAnsi="ITC Avant Garde"/>
                <w:b/>
                <w:bCs/>
                <w:color w:val="000000"/>
                <w:sz w:val="16"/>
                <w:szCs w:val="16"/>
                <w:lang w:val="es-MX" w:eastAsia="es-MX"/>
              </w:rPr>
              <w:t>Total</w:t>
            </w:r>
          </w:p>
        </w:tc>
        <w:tc>
          <w:tcPr>
            <w:tcW w:w="1201" w:type="dxa"/>
          </w:tcPr>
          <w:p w14:paraId="56E6BA29" w14:textId="2A4D7026" w:rsidR="004D22EA" w:rsidRPr="004D22EA" w:rsidRDefault="004D22EA" w:rsidP="004D22EA">
            <w:pPr>
              <w:autoSpaceDE w:val="0"/>
              <w:autoSpaceDN w:val="0"/>
              <w:adjustRightInd w:val="0"/>
              <w:spacing w:after="240"/>
              <w:contextualSpacing/>
              <w:jc w:val="right"/>
              <w:rPr>
                <w:rFonts w:ascii="ITC Avant Garde" w:hAnsi="ITC Avant Garde"/>
                <w:b/>
                <w:bCs/>
                <w:color w:val="000000"/>
                <w:sz w:val="16"/>
                <w:szCs w:val="16"/>
                <w:lang w:val="es-MX" w:eastAsia="es-MX"/>
              </w:rPr>
            </w:pPr>
            <w:r w:rsidRPr="004D22EA">
              <w:rPr>
                <w:rFonts w:ascii="ITC Avant Garde" w:hAnsi="ITC Avant Garde"/>
                <w:b/>
                <w:bCs/>
                <w:color w:val="000000"/>
                <w:sz w:val="16"/>
                <w:szCs w:val="16"/>
                <w:lang w:val="es-MX" w:eastAsia="es-MX"/>
              </w:rPr>
              <w:t>91,990</w:t>
            </w:r>
          </w:p>
        </w:tc>
        <w:tc>
          <w:tcPr>
            <w:tcW w:w="1068" w:type="dxa"/>
          </w:tcPr>
          <w:p w14:paraId="6C8093BA" w14:textId="77D419A0" w:rsidR="004D22EA" w:rsidRPr="004D22EA" w:rsidRDefault="004D22EA" w:rsidP="004D22EA">
            <w:pPr>
              <w:autoSpaceDE w:val="0"/>
              <w:autoSpaceDN w:val="0"/>
              <w:adjustRightInd w:val="0"/>
              <w:spacing w:after="240"/>
              <w:contextualSpacing/>
              <w:jc w:val="right"/>
              <w:rPr>
                <w:rFonts w:ascii="ITC Avant Garde" w:hAnsi="ITC Avant Garde"/>
                <w:b/>
                <w:bCs/>
                <w:color w:val="000000"/>
                <w:sz w:val="16"/>
                <w:szCs w:val="16"/>
                <w:lang w:val="es-MX" w:eastAsia="es-MX"/>
              </w:rPr>
            </w:pPr>
            <w:r w:rsidRPr="004D22EA">
              <w:rPr>
                <w:rFonts w:ascii="ITC Avant Garde" w:hAnsi="ITC Avant Garde"/>
                <w:b/>
                <w:bCs/>
                <w:color w:val="000000"/>
                <w:sz w:val="16"/>
                <w:szCs w:val="16"/>
                <w:lang w:val="es-MX" w:eastAsia="es-MX"/>
              </w:rPr>
              <w:t>8,020</w:t>
            </w:r>
          </w:p>
        </w:tc>
        <w:tc>
          <w:tcPr>
            <w:tcW w:w="1356" w:type="dxa"/>
          </w:tcPr>
          <w:p w14:paraId="1BB048CC" w14:textId="1EE7F554" w:rsidR="004D22EA" w:rsidRPr="004D22EA" w:rsidRDefault="004D22EA" w:rsidP="004D22EA">
            <w:pPr>
              <w:autoSpaceDE w:val="0"/>
              <w:autoSpaceDN w:val="0"/>
              <w:adjustRightInd w:val="0"/>
              <w:spacing w:after="240"/>
              <w:contextualSpacing/>
              <w:jc w:val="right"/>
              <w:rPr>
                <w:rFonts w:ascii="ITC Avant Garde" w:hAnsi="ITC Avant Garde"/>
                <w:b/>
                <w:bCs/>
                <w:color w:val="000000"/>
                <w:sz w:val="16"/>
                <w:szCs w:val="16"/>
                <w:lang w:val="es-MX" w:eastAsia="es-MX"/>
              </w:rPr>
            </w:pPr>
            <w:r w:rsidRPr="004D22EA">
              <w:rPr>
                <w:rFonts w:ascii="ITC Avant Garde" w:hAnsi="ITC Avant Garde"/>
                <w:b/>
                <w:bCs/>
                <w:color w:val="000000"/>
                <w:sz w:val="16"/>
                <w:szCs w:val="16"/>
                <w:lang w:val="es-MX" w:eastAsia="es-MX"/>
              </w:rPr>
              <w:t>9,199,000</w:t>
            </w:r>
          </w:p>
        </w:tc>
        <w:tc>
          <w:tcPr>
            <w:tcW w:w="1164" w:type="dxa"/>
          </w:tcPr>
          <w:p w14:paraId="54E58842" w14:textId="43BB6810" w:rsidR="004D22EA" w:rsidRPr="004D22EA" w:rsidRDefault="004D22EA" w:rsidP="004D22EA">
            <w:pPr>
              <w:autoSpaceDE w:val="0"/>
              <w:autoSpaceDN w:val="0"/>
              <w:adjustRightInd w:val="0"/>
              <w:spacing w:after="240"/>
              <w:contextualSpacing/>
              <w:jc w:val="right"/>
              <w:rPr>
                <w:rFonts w:ascii="ITC Avant Garde" w:hAnsi="ITC Avant Garde"/>
                <w:b/>
                <w:bCs/>
                <w:color w:val="000000"/>
                <w:sz w:val="16"/>
                <w:szCs w:val="16"/>
                <w:lang w:val="es-MX" w:eastAsia="es-MX"/>
              </w:rPr>
            </w:pPr>
            <w:r w:rsidRPr="004D22EA">
              <w:rPr>
                <w:rFonts w:ascii="ITC Avant Garde" w:hAnsi="ITC Avant Garde"/>
                <w:b/>
                <w:bCs/>
                <w:color w:val="000000"/>
                <w:sz w:val="16"/>
                <w:szCs w:val="16"/>
                <w:lang w:val="es-MX" w:eastAsia="es-MX"/>
              </w:rPr>
              <w:t>802,000</w:t>
            </w:r>
          </w:p>
        </w:tc>
        <w:tc>
          <w:tcPr>
            <w:tcW w:w="1609" w:type="dxa"/>
          </w:tcPr>
          <w:p w14:paraId="04A93721" w14:textId="079411C5" w:rsidR="004D22EA" w:rsidRPr="004D22EA" w:rsidRDefault="004D22EA" w:rsidP="004D22EA">
            <w:pPr>
              <w:autoSpaceDE w:val="0"/>
              <w:autoSpaceDN w:val="0"/>
              <w:adjustRightInd w:val="0"/>
              <w:spacing w:after="240"/>
              <w:contextualSpacing/>
              <w:jc w:val="right"/>
              <w:rPr>
                <w:rFonts w:ascii="ITC Avant Garde" w:hAnsi="ITC Avant Garde"/>
                <w:b/>
                <w:bCs/>
                <w:color w:val="000000"/>
                <w:sz w:val="16"/>
                <w:szCs w:val="16"/>
                <w:lang w:val="es-MX" w:eastAsia="es-MX"/>
              </w:rPr>
            </w:pPr>
            <w:r w:rsidRPr="004D22EA">
              <w:rPr>
                <w:rFonts w:ascii="ITC Avant Garde" w:hAnsi="ITC Avant Garde"/>
                <w:b/>
                <w:bCs/>
                <w:color w:val="000000"/>
                <w:sz w:val="16"/>
                <w:szCs w:val="16"/>
                <w:lang w:val="es-MX" w:eastAsia="es-MX"/>
              </w:rPr>
              <w:t>100.00</w:t>
            </w:r>
          </w:p>
        </w:tc>
      </w:tr>
    </w:tbl>
    <w:p w14:paraId="45C437D8" w14:textId="77777777" w:rsidR="004D22EA" w:rsidRPr="004D22EA" w:rsidRDefault="004D22EA" w:rsidP="004D22EA">
      <w:pPr>
        <w:autoSpaceDE w:val="0"/>
        <w:autoSpaceDN w:val="0"/>
        <w:adjustRightInd w:val="0"/>
        <w:spacing w:after="240"/>
        <w:contextualSpacing/>
        <w:jc w:val="both"/>
        <w:rPr>
          <w:rFonts w:ascii="ITC Avant Garde" w:hAnsi="ITC Avant Garde"/>
          <w:bCs/>
          <w:color w:val="000000"/>
          <w:sz w:val="23"/>
          <w:szCs w:val="23"/>
          <w:lang w:val="es-MX" w:eastAsia="es-MX"/>
        </w:rPr>
      </w:pPr>
    </w:p>
    <w:p w14:paraId="17179EEC" w14:textId="77777777" w:rsidR="004D22EA" w:rsidRPr="004D22EA" w:rsidRDefault="00A94ADD" w:rsidP="004D22EA">
      <w:pPr>
        <w:autoSpaceDE w:val="0"/>
        <w:autoSpaceDN w:val="0"/>
        <w:adjustRightInd w:val="0"/>
        <w:spacing w:after="240"/>
        <w:contextualSpacing/>
        <w:jc w:val="both"/>
        <w:rPr>
          <w:rFonts w:ascii="ITC Avant Garde" w:hAnsi="ITC Avant Garde"/>
          <w:bCs/>
          <w:color w:val="000000"/>
          <w:sz w:val="22"/>
          <w:szCs w:val="22"/>
          <w:lang w:val="es-MX" w:eastAsia="es-MX"/>
        </w:rPr>
      </w:pPr>
      <w:r w:rsidRPr="004D22EA">
        <w:rPr>
          <w:rFonts w:ascii="ITC Avant Garde" w:hAnsi="ITC Avant Garde"/>
          <w:bCs/>
          <w:color w:val="000000"/>
          <w:sz w:val="22"/>
          <w:szCs w:val="22"/>
          <w:lang w:val="es-MX" w:eastAsia="es-MX"/>
        </w:rPr>
        <w:lastRenderedPageBreak/>
        <w:t>De autorizarse la Solicitud de Enajenación de Acciones y una vez que ésta se concrete, la estructura accionaria de Altán Redes quedaría de la siguiente forma:</w:t>
      </w:r>
    </w:p>
    <w:p w14:paraId="62BDFE87" w14:textId="1B86A293" w:rsidR="00927D6A" w:rsidRPr="004D22EA" w:rsidRDefault="00927D6A" w:rsidP="004D22EA">
      <w:pPr>
        <w:autoSpaceDE w:val="0"/>
        <w:autoSpaceDN w:val="0"/>
        <w:adjustRightInd w:val="0"/>
        <w:spacing w:after="240"/>
        <w:contextualSpacing/>
        <w:jc w:val="both"/>
        <w:rPr>
          <w:rFonts w:ascii="ITC Avant Garde" w:hAnsi="ITC Avant Garde"/>
          <w:bCs/>
          <w:color w:val="000000"/>
          <w:sz w:val="23"/>
          <w:szCs w:val="23"/>
          <w:lang w:val="es-MX" w:eastAsia="es-MX"/>
        </w:rPr>
      </w:pPr>
    </w:p>
    <w:tbl>
      <w:tblPr>
        <w:tblStyle w:val="Tablaconcuadrcula"/>
        <w:tblW w:w="9453" w:type="dxa"/>
        <w:jc w:val="center"/>
        <w:tblLook w:val="04A0" w:firstRow="1" w:lastRow="0" w:firstColumn="1" w:lastColumn="0" w:noHBand="0" w:noVBand="1"/>
        <w:tblCaption w:val="Conformación de la estructura accionaria de Altán Redes, una vez autorizada la enajenación"/>
        <w:tblDescription w:val="En una tabla de 6 columnas y 4 filas, se proporcionan datos de cómo quedaría  la estructura accionaria de Altán Redes, una vez autorizada la enajenación."/>
      </w:tblPr>
      <w:tblGrid>
        <w:gridCol w:w="2689"/>
        <w:gridCol w:w="1275"/>
        <w:gridCol w:w="1134"/>
        <w:gridCol w:w="1418"/>
        <w:gridCol w:w="1318"/>
        <w:gridCol w:w="1619"/>
      </w:tblGrid>
      <w:tr w:rsidR="004D22EA" w:rsidRPr="004D22EA" w14:paraId="4A9B2E3A" w14:textId="77777777" w:rsidTr="004D22EA">
        <w:trPr>
          <w:trHeight w:val="870"/>
          <w:tblHeader/>
          <w:jc w:val="center"/>
        </w:trPr>
        <w:tc>
          <w:tcPr>
            <w:tcW w:w="2689" w:type="dxa"/>
            <w:shd w:val="clear" w:color="auto" w:fill="A6A6A6" w:themeFill="background1" w:themeFillShade="A6"/>
            <w:vAlign w:val="center"/>
          </w:tcPr>
          <w:p w14:paraId="17325B26" w14:textId="4B8EC570" w:rsidR="004D22EA" w:rsidRPr="004D22EA" w:rsidRDefault="004D22EA" w:rsidP="004D22EA">
            <w:pPr>
              <w:autoSpaceDE w:val="0"/>
              <w:autoSpaceDN w:val="0"/>
              <w:adjustRightInd w:val="0"/>
              <w:spacing w:after="240"/>
              <w:contextualSpacing/>
              <w:jc w:val="center"/>
              <w:rPr>
                <w:rFonts w:ascii="ITC Avant Garde" w:hAnsi="ITC Avant Garde"/>
                <w:bCs/>
                <w:color w:val="000000"/>
                <w:sz w:val="16"/>
                <w:szCs w:val="16"/>
                <w:lang w:val="es-MX" w:eastAsia="es-MX"/>
              </w:rPr>
            </w:pPr>
            <w:r w:rsidRPr="004D22EA">
              <w:rPr>
                <w:rFonts w:ascii="ITC Avant Garde" w:hAnsi="ITC Avant Garde"/>
                <w:b/>
                <w:bCs/>
                <w:color w:val="000000"/>
                <w:sz w:val="16"/>
                <w:szCs w:val="16"/>
                <w:lang w:eastAsia="es-MX"/>
              </w:rPr>
              <w:t>Accionista</w:t>
            </w:r>
          </w:p>
        </w:tc>
        <w:tc>
          <w:tcPr>
            <w:tcW w:w="1275" w:type="dxa"/>
            <w:shd w:val="clear" w:color="auto" w:fill="A6A6A6" w:themeFill="background1" w:themeFillShade="A6"/>
            <w:vAlign w:val="center"/>
          </w:tcPr>
          <w:p w14:paraId="01DF90E8" w14:textId="49C8A82D" w:rsidR="004D22EA" w:rsidRPr="004D22EA" w:rsidRDefault="004D22EA" w:rsidP="004D22EA">
            <w:pPr>
              <w:autoSpaceDE w:val="0"/>
              <w:autoSpaceDN w:val="0"/>
              <w:adjustRightInd w:val="0"/>
              <w:spacing w:after="240"/>
              <w:contextualSpacing/>
              <w:jc w:val="center"/>
              <w:rPr>
                <w:rFonts w:ascii="ITC Avant Garde" w:hAnsi="ITC Avant Garde"/>
                <w:bCs/>
                <w:color w:val="000000"/>
                <w:sz w:val="16"/>
                <w:szCs w:val="16"/>
                <w:lang w:val="en-GB" w:eastAsia="es-MX"/>
              </w:rPr>
            </w:pPr>
            <w:r w:rsidRPr="004D22EA">
              <w:rPr>
                <w:rFonts w:ascii="ITC Avant Garde" w:hAnsi="ITC Avant Garde"/>
                <w:b/>
                <w:bCs/>
                <w:color w:val="000000"/>
                <w:sz w:val="16"/>
                <w:szCs w:val="16"/>
                <w:lang w:eastAsia="es-MX"/>
              </w:rPr>
              <w:t>Acciones Clase I</w:t>
            </w:r>
            <w:r w:rsidRPr="004D22EA">
              <w:rPr>
                <w:rFonts w:ascii="ITC Avant Garde" w:hAnsi="ITC Avant Garde"/>
                <w:b/>
                <w:bCs/>
                <w:color w:val="000000"/>
                <w:sz w:val="16"/>
                <w:szCs w:val="16"/>
                <w:lang w:eastAsia="es-MX"/>
              </w:rPr>
              <w:t xml:space="preserve"> Serie A</w:t>
            </w:r>
          </w:p>
        </w:tc>
        <w:tc>
          <w:tcPr>
            <w:tcW w:w="1134" w:type="dxa"/>
            <w:shd w:val="clear" w:color="auto" w:fill="A6A6A6" w:themeFill="background1" w:themeFillShade="A6"/>
            <w:vAlign w:val="center"/>
          </w:tcPr>
          <w:p w14:paraId="78C6CE6C" w14:textId="31E8B1B9" w:rsidR="004D22EA" w:rsidRPr="004D22EA" w:rsidRDefault="004D22EA" w:rsidP="004D22EA">
            <w:pPr>
              <w:autoSpaceDE w:val="0"/>
              <w:autoSpaceDN w:val="0"/>
              <w:adjustRightInd w:val="0"/>
              <w:spacing w:after="240"/>
              <w:contextualSpacing/>
              <w:jc w:val="center"/>
              <w:rPr>
                <w:rFonts w:ascii="ITC Avant Garde" w:hAnsi="ITC Avant Garde"/>
                <w:bCs/>
                <w:color w:val="000000"/>
                <w:sz w:val="16"/>
                <w:szCs w:val="16"/>
                <w:lang w:val="en-GB" w:eastAsia="es-MX"/>
              </w:rPr>
            </w:pPr>
            <w:r w:rsidRPr="004D22EA">
              <w:rPr>
                <w:rFonts w:ascii="ITC Avant Garde" w:hAnsi="ITC Avant Garde"/>
                <w:b/>
                <w:bCs/>
                <w:color w:val="000000"/>
                <w:sz w:val="16"/>
                <w:szCs w:val="16"/>
                <w:lang w:eastAsia="es-MX"/>
              </w:rPr>
              <w:t xml:space="preserve">Acciones Clase I </w:t>
            </w:r>
            <w:r w:rsidRPr="004D22EA">
              <w:rPr>
                <w:rFonts w:ascii="ITC Avant Garde" w:hAnsi="ITC Avant Garde"/>
                <w:b/>
                <w:bCs/>
                <w:color w:val="000000"/>
                <w:sz w:val="16"/>
                <w:szCs w:val="16"/>
                <w:lang w:eastAsia="es-MX"/>
              </w:rPr>
              <w:t>Serie B</w:t>
            </w:r>
          </w:p>
        </w:tc>
        <w:tc>
          <w:tcPr>
            <w:tcW w:w="1418" w:type="dxa"/>
            <w:shd w:val="clear" w:color="auto" w:fill="A6A6A6" w:themeFill="background1" w:themeFillShade="A6"/>
            <w:vAlign w:val="center"/>
          </w:tcPr>
          <w:p w14:paraId="7DEA03A3" w14:textId="46F6C4D9" w:rsidR="004D22EA" w:rsidRPr="004D22EA" w:rsidRDefault="004D22EA" w:rsidP="004D22EA">
            <w:pPr>
              <w:autoSpaceDE w:val="0"/>
              <w:autoSpaceDN w:val="0"/>
              <w:adjustRightInd w:val="0"/>
              <w:spacing w:after="240"/>
              <w:contextualSpacing/>
              <w:jc w:val="center"/>
              <w:rPr>
                <w:rFonts w:ascii="ITC Avant Garde" w:hAnsi="ITC Avant Garde"/>
                <w:bCs/>
                <w:color w:val="000000"/>
                <w:sz w:val="16"/>
                <w:szCs w:val="16"/>
                <w:lang w:val="en-GB" w:eastAsia="es-MX"/>
              </w:rPr>
            </w:pPr>
            <w:r w:rsidRPr="004D22EA">
              <w:rPr>
                <w:rFonts w:ascii="ITC Avant Garde" w:hAnsi="ITC Avant Garde"/>
                <w:b/>
                <w:bCs/>
                <w:color w:val="000000"/>
                <w:sz w:val="16"/>
                <w:szCs w:val="16"/>
                <w:lang w:eastAsia="es-MX"/>
              </w:rPr>
              <w:t>Acciones Clase II</w:t>
            </w:r>
            <w:r w:rsidRPr="004D22EA">
              <w:rPr>
                <w:rFonts w:ascii="ITC Avant Garde" w:hAnsi="ITC Avant Garde"/>
                <w:b/>
                <w:bCs/>
                <w:color w:val="000000"/>
                <w:sz w:val="16"/>
                <w:szCs w:val="16"/>
                <w:lang w:eastAsia="es-MX"/>
              </w:rPr>
              <w:t xml:space="preserve"> Serie A</w:t>
            </w:r>
          </w:p>
        </w:tc>
        <w:tc>
          <w:tcPr>
            <w:tcW w:w="1318" w:type="dxa"/>
            <w:shd w:val="clear" w:color="auto" w:fill="A6A6A6" w:themeFill="background1" w:themeFillShade="A6"/>
            <w:vAlign w:val="center"/>
          </w:tcPr>
          <w:p w14:paraId="159A8578" w14:textId="03EA8CFB" w:rsidR="004D22EA" w:rsidRPr="004D22EA" w:rsidRDefault="004D22EA" w:rsidP="004D22EA">
            <w:pPr>
              <w:autoSpaceDE w:val="0"/>
              <w:autoSpaceDN w:val="0"/>
              <w:adjustRightInd w:val="0"/>
              <w:spacing w:after="240"/>
              <w:contextualSpacing/>
              <w:jc w:val="center"/>
              <w:rPr>
                <w:rFonts w:ascii="ITC Avant Garde" w:hAnsi="ITC Avant Garde"/>
                <w:bCs/>
                <w:color w:val="000000"/>
                <w:sz w:val="16"/>
                <w:szCs w:val="16"/>
                <w:lang w:val="en-GB" w:eastAsia="es-MX"/>
              </w:rPr>
            </w:pPr>
            <w:r w:rsidRPr="004D22EA">
              <w:rPr>
                <w:rFonts w:ascii="ITC Avant Garde" w:hAnsi="ITC Avant Garde"/>
                <w:b/>
                <w:bCs/>
                <w:color w:val="000000"/>
                <w:sz w:val="16"/>
                <w:szCs w:val="16"/>
                <w:lang w:eastAsia="es-MX"/>
              </w:rPr>
              <w:t>Acciones Clase II</w:t>
            </w:r>
            <w:r w:rsidRPr="004D22EA">
              <w:rPr>
                <w:rFonts w:ascii="ITC Avant Garde" w:hAnsi="ITC Avant Garde"/>
                <w:b/>
                <w:bCs/>
                <w:color w:val="000000"/>
                <w:sz w:val="16"/>
                <w:szCs w:val="16"/>
                <w:lang w:eastAsia="es-MX"/>
              </w:rPr>
              <w:t xml:space="preserve"> Serie B</w:t>
            </w:r>
          </w:p>
        </w:tc>
        <w:tc>
          <w:tcPr>
            <w:tcW w:w="1619" w:type="dxa"/>
            <w:shd w:val="clear" w:color="auto" w:fill="A6A6A6" w:themeFill="background1" w:themeFillShade="A6"/>
            <w:vAlign w:val="center"/>
          </w:tcPr>
          <w:p w14:paraId="6A1D5851" w14:textId="77777777" w:rsidR="004D22EA" w:rsidRPr="004D22EA" w:rsidRDefault="004D22EA" w:rsidP="004D22EA">
            <w:pPr>
              <w:autoSpaceDE w:val="0"/>
              <w:autoSpaceDN w:val="0"/>
              <w:adjustRightInd w:val="0"/>
              <w:spacing w:after="240"/>
              <w:contextualSpacing/>
              <w:jc w:val="center"/>
              <w:rPr>
                <w:rFonts w:ascii="ITC Avant Garde" w:hAnsi="ITC Avant Garde"/>
                <w:b/>
                <w:bCs/>
                <w:color w:val="000000"/>
                <w:sz w:val="16"/>
                <w:szCs w:val="16"/>
                <w:lang w:eastAsia="es-MX"/>
              </w:rPr>
            </w:pPr>
            <w:r w:rsidRPr="004D22EA">
              <w:rPr>
                <w:rFonts w:ascii="ITC Avant Garde" w:hAnsi="ITC Avant Garde"/>
                <w:b/>
                <w:bCs/>
                <w:color w:val="000000"/>
                <w:sz w:val="16"/>
                <w:szCs w:val="16"/>
                <w:lang w:eastAsia="es-MX"/>
              </w:rPr>
              <w:t>Participación</w:t>
            </w:r>
          </w:p>
          <w:p w14:paraId="63FF0CCE" w14:textId="02D21DF4" w:rsidR="004D22EA" w:rsidRPr="004D22EA" w:rsidRDefault="004D22EA" w:rsidP="004D22EA">
            <w:pPr>
              <w:autoSpaceDE w:val="0"/>
              <w:autoSpaceDN w:val="0"/>
              <w:adjustRightInd w:val="0"/>
              <w:spacing w:after="240"/>
              <w:contextualSpacing/>
              <w:jc w:val="center"/>
              <w:rPr>
                <w:rFonts w:ascii="ITC Avant Garde" w:hAnsi="ITC Avant Garde"/>
                <w:bCs/>
                <w:color w:val="000000"/>
                <w:sz w:val="16"/>
                <w:szCs w:val="16"/>
                <w:lang w:val="en-GB" w:eastAsia="es-MX"/>
              </w:rPr>
            </w:pPr>
            <w:r w:rsidRPr="004D22EA">
              <w:rPr>
                <w:rFonts w:ascii="ITC Avant Garde" w:hAnsi="ITC Avant Garde"/>
                <w:b/>
                <w:bCs/>
                <w:color w:val="000000"/>
                <w:sz w:val="16"/>
                <w:szCs w:val="16"/>
                <w:lang w:eastAsia="es-MX"/>
              </w:rPr>
              <w:t>%</w:t>
            </w:r>
          </w:p>
        </w:tc>
      </w:tr>
      <w:tr w:rsidR="004D22EA" w:rsidRPr="004D22EA" w14:paraId="2BBE85AF" w14:textId="77777777" w:rsidTr="004D22EA">
        <w:trPr>
          <w:trHeight w:val="1239"/>
          <w:jc w:val="center"/>
        </w:trPr>
        <w:tc>
          <w:tcPr>
            <w:tcW w:w="2689" w:type="dxa"/>
          </w:tcPr>
          <w:p w14:paraId="2DEDABA4" w14:textId="32D3B111" w:rsidR="004D22EA" w:rsidRPr="004D22EA" w:rsidRDefault="004D22EA" w:rsidP="004D22EA">
            <w:pPr>
              <w:autoSpaceDE w:val="0"/>
              <w:autoSpaceDN w:val="0"/>
              <w:adjustRightInd w:val="0"/>
              <w:spacing w:after="240"/>
              <w:contextualSpacing/>
              <w:jc w:val="both"/>
              <w:rPr>
                <w:rFonts w:ascii="ITC Avant Garde" w:hAnsi="ITC Avant Garde"/>
                <w:bCs/>
                <w:color w:val="000000"/>
                <w:sz w:val="16"/>
                <w:szCs w:val="16"/>
                <w:lang w:val="es-MX" w:eastAsia="es-MX"/>
              </w:rPr>
            </w:pPr>
            <w:proofErr w:type="spellStart"/>
            <w:r w:rsidRPr="004D22EA">
              <w:rPr>
                <w:rFonts w:ascii="ITC Avant Garde" w:hAnsi="ITC Avant Garde"/>
                <w:bCs/>
                <w:color w:val="000000"/>
                <w:sz w:val="16"/>
                <w:szCs w:val="16"/>
                <w:lang w:val="es-MX" w:eastAsia="es-MX"/>
              </w:rPr>
              <w:t>Scotiabank</w:t>
            </w:r>
            <w:proofErr w:type="spellEnd"/>
            <w:r w:rsidRPr="004D22EA">
              <w:rPr>
                <w:rFonts w:ascii="ITC Avant Garde" w:hAnsi="ITC Avant Garde"/>
                <w:bCs/>
                <w:color w:val="000000"/>
                <w:sz w:val="16"/>
                <w:szCs w:val="16"/>
                <w:lang w:val="es-MX" w:eastAsia="es-MX"/>
              </w:rPr>
              <w:t>, en carácter de Fiduciario del Fideicomiso de Garantía.</w:t>
            </w:r>
          </w:p>
        </w:tc>
        <w:tc>
          <w:tcPr>
            <w:tcW w:w="1275" w:type="dxa"/>
          </w:tcPr>
          <w:p w14:paraId="11DE7D82" w14:textId="79FC0453"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n-GB" w:eastAsia="es-MX"/>
              </w:rPr>
            </w:pPr>
            <w:r w:rsidRPr="004D22EA">
              <w:rPr>
                <w:rFonts w:ascii="ITC Avant Garde" w:hAnsi="ITC Avant Garde"/>
                <w:bCs/>
                <w:color w:val="000000"/>
                <w:sz w:val="16"/>
                <w:szCs w:val="16"/>
                <w:lang w:val="en-GB" w:eastAsia="es-MX"/>
              </w:rPr>
              <w:t>91,989</w:t>
            </w:r>
          </w:p>
        </w:tc>
        <w:tc>
          <w:tcPr>
            <w:tcW w:w="1134" w:type="dxa"/>
          </w:tcPr>
          <w:p w14:paraId="1F81B048" w14:textId="543ED3DF"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n-GB" w:eastAsia="es-MX"/>
              </w:rPr>
            </w:pPr>
            <w:r w:rsidRPr="004D22EA">
              <w:rPr>
                <w:rFonts w:ascii="ITC Avant Garde" w:hAnsi="ITC Avant Garde"/>
                <w:bCs/>
                <w:color w:val="000000"/>
                <w:sz w:val="16"/>
                <w:szCs w:val="16"/>
                <w:lang w:val="en-GB" w:eastAsia="es-MX"/>
              </w:rPr>
              <w:t>8,020</w:t>
            </w:r>
          </w:p>
        </w:tc>
        <w:tc>
          <w:tcPr>
            <w:tcW w:w="1418" w:type="dxa"/>
          </w:tcPr>
          <w:p w14:paraId="4D547BA5" w14:textId="0952E543"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n-GB" w:eastAsia="es-MX"/>
              </w:rPr>
            </w:pPr>
            <w:r w:rsidRPr="004D22EA">
              <w:rPr>
                <w:rFonts w:ascii="ITC Avant Garde" w:hAnsi="ITC Avant Garde"/>
                <w:bCs/>
                <w:color w:val="000000"/>
                <w:sz w:val="16"/>
                <w:szCs w:val="16"/>
                <w:lang w:val="en-GB" w:eastAsia="es-MX"/>
              </w:rPr>
              <w:t>9,199,000</w:t>
            </w:r>
          </w:p>
        </w:tc>
        <w:tc>
          <w:tcPr>
            <w:tcW w:w="1318" w:type="dxa"/>
          </w:tcPr>
          <w:p w14:paraId="3D183957" w14:textId="4C31E73F"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n-GB" w:eastAsia="es-MX"/>
              </w:rPr>
            </w:pPr>
            <w:r w:rsidRPr="004D22EA">
              <w:rPr>
                <w:rFonts w:ascii="ITC Avant Garde" w:hAnsi="ITC Avant Garde"/>
                <w:bCs/>
                <w:color w:val="000000"/>
                <w:sz w:val="16"/>
                <w:szCs w:val="16"/>
                <w:lang w:val="en-GB" w:eastAsia="es-MX"/>
              </w:rPr>
              <w:t>802,000</w:t>
            </w:r>
          </w:p>
        </w:tc>
        <w:tc>
          <w:tcPr>
            <w:tcW w:w="1619" w:type="dxa"/>
          </w:tcPr>
          <w:p w14:paraId="655C949F" w14:textId="7BDD1282"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n-GB" w:eastAsia="es-MX"/>
              </w:rPr>
            </w:pPr>
            <w:r w:rsidRPr="004D22EA">
              <w:rPr>
                <w:rFonts w:ascii="ITC Avant Garde" w:hAnsi="ITC Avant Garde"/>
                <w:bCs/>
                <w:color w:val="000000"/>
                <w:sz w:val="16"/>
                <w:szCs w:val="16"/>
                <w:lang w:val="en-GB" w:eastAsia="es-MX"/>
              </w:rPr>
              <w:t>99.99</w:t>
            </w:r>
          </w:p>
        </w:tc>
      </w:tr>
      <w:tr w:rsidR="004D22EA" w:rsidRPr="004D22EA" w14:paraId="41070C6E" w14:textId="77777777" w:rsidTr="004D22EA">
        <w:trPr>
          <w:trHeight w:val="826"/>
          <w:jc w:val="center"/>
        </w:trPr>
        <w:tc>
          <w:tcPr>
            <w:tcW w:w="2689" w:type="dxa"/>
          </w:tcPr>
          <w:p w14:paraId="471B4FF5" w14:textId="0978D702" w:rsidR="004D22EA" w:rsidRPr="004D22EA" w:rsidRDefault="004D22EA" w:rsidP="004D22EA">
            <w:pPr>
              <w:autoSpaceDE w:val="0"/>
              <w:autoSpaceDN w:val="0"/>
              <w:adjustRightInd w:val="0"/>
              <w:spacing w:after="240"/>
              <w:contextualSpacing/>
              <w:jc w:val="both"/>
              <w:rPr>
                <w:rFonts w:ascii="ITC Avant Garde" w:hAnsi="ITC Avant Garde"/>
                <w:bCs/>
                <w:color w:val="000000"/>
                <w:sz w:val="16"/>
                <w:szCs w:val="16"/>
                <w:lang w:val="en-GB" w:eastAsia="es-MX"/>
              </w:rPr>
            </w:pPr>
            <w:r w:rsidRPr="004D22EA">
              <w:rPr>
                <w:rFonts w:ascii="ITC Avant Garde" w:hAnsi="ITC Avant Garde"/>
                <w:bCs/>
                <w:color w:val="000000"/>
                <w:sz w:val="16"/>
                <w:szCs w:val="16"/>
                <w:lang w:val="en-GB" w:eastAsia="es-MX"/>
              </w:rPr>
              <w:t>Isla Guadalupe Investments, S.L.U (IGI)</w:t>
            </w:r>
          </w:p>
        </w:tc>
        <w:tc>
          <w:tcPr>
            <w:tcW w:w="1275" w:type="dxa"/>
          </w:tcPr>
          <w:p w14:paraId="7DD74B7B" w14:textId="470C0A51"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n-GB" w:eastAsia="es-MX"/>
              </w:rPr>
            </w:pPr>
            <w:r w:rsidRPr="004D22EA">
              <w:rPr>
                <w:rFonts w:ascii="ITC Avant Garde" w:hAnsi="ITC Avant Garde"/>
                <w:bCs/>
                <w:color w:val="000000"/>
                <w:sz w:val="16"/>
                <w:szCs w:val="16"/>
                <w:lang w:val="en-GB" w:eastAsia="es-MX"/>
              </w:rPr>
              <w:t>1</w:t>
            </w:r>
          </w:p>
        </w:tc>
        <w:tc>
          <w:tcPr>
            <w:tcW w:w="1134" w:type="dxa"/>
          </w:tcPr>
          <w:p w14:paraId="4777B9F3" w14:textId="5A8896AF"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n-GB" w:eastAsia="es-MX"/>
              </w:rPr>
            </w:pPr>
            <w:r>
              <w:rPr>
                <w:rFonts w:ascii="ITC Avant Garde" w:hAnsi="ITC Avant Garde"/>
                <w:bCs/>
                <w:color w:val="000000"/>
                <w:sz w:val="16"/>
                <w:szCs w:val="16"/>
                <w:lang w:val="en-GB" w:eastAsia="es-MX"/>
              </w:rPr>
              <w:t>.</w:t>
            </w:r>
          </w:p>
        </w:tc>
        <w:tc>
          <w:tcPr>
            <w:tcW w:w="1418" w:type="dxa"/>
          </w:tcPr>
          <w:p w14:paraId="57257A50" w14:textId="45099FB9"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n-GB" w:eastAsia="es-MX"/>
              </w:rPr>
            </w:pPr>
            <w:r>
              <w:rPr>
                <w:rFonts w:ascii="ITC Avant Garde" w:hAnsi="ITC Avant Garde"/>
                <w:bCs/>
                <w:color w:val="000000"/>
                <w:sz w:val="16"/>
                <w:szCs w:val="16"/>
                <w:lang w:val="en-GB" w:eastAsia="es-MX"/>
              </w:rPr>
              <w:t>.</w:t>
            </w:r>
          </w:p>
        </w:tc>
        <w:tc>
          <w:tcPr>
            <w:tcW w:w="1318" w:type="dxa"/>
          </w:tcPr>
          <w:p w14:paraId="53D24380" w14:textId="1D41687B"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n-GB" w:eastAsia="es-MX"/>
              </w:rPr>
            </w:pPr>
            <w:r>
              <w:rPr>
                <w:rFonts w:ascii="ITC Avant Garde" w:hAnsi="ITC Avant Garde"/>
                <w:bCs/>
                <w:color w:val="000000"/>
                <w:sz w:val="16"/>
                <w:szCs w:val="16"/>
                <w:lang w:val="en-GB" w:eastAsia="es-MX"/>
              </w:rPr>
              <w:t>.</w:t>
            </w:r>
          </w:p>
        </w:tc>
        <w:tc>
          <w:tcPr>
            <w:tcW w:w="1619" w:type="dxa"/>
          </w:tcPr>
          <w:p w14:paraId="447469AE" w14:textId="33F4A449"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n-GB" w:eastAsia="es-MX"/>
              </w:rPr>
            </w:pPr>
            <w:r w:rsidRPr="004D22EA">
              <w:rPr>
                <w:rFonts w:ascii="ITC Avant Garde" w:hAnsi="ITC Avant Garde"/>
                <w:bCs/>
                <w:color w:val="000000"/>
                <w:sz w:val="16"/>
                <w:szCs w:val="16"/>
                <w:lang w:val="en-GB" w:eastAsia="es-MX"/>
              </w:rPr>
              <w:t>0.01</w:t>
            </w:r>
          </w:p>
        </w:tc>
      </w:tr>
      <w:tr w:rsidR="004D22EA" w:rsidRPr="004D22EA" w14:paraId="5C7F58BB" w14:textId="77777777" w:rsidTr="004D22EA">
        <w:trPr>
          <w:trHeight w:val="413"/>
          <w:jc w:val="center"/>
        </w:trPr>
        <w:tc>
          <w:tcPr>
            <w:tcW w:w="2689" w:type="dxa"/>
            <w:shd w:val="clear" w:color="auto" w:fill="A6A6A6" w:themeFill="background1" w:themeFillShade="A6"/>
          </w:tcPr>
          <w:p w14:paraId="1682A677" w14:textId="0B318D3A" w:rsidR="004D22EA" w:rsidRPr="004D22EA" w:rsidRDefault="004D22EA" w:rsidP="004D22EA">
            <w:pPr>
              <w:autoSpaceDE w:val="0"/>
              <w:autoSpaceDN w:val="0"/>
              <w:adjustRightInd w:val="0"/>
              <w:spacing w:after="240"/>
              <w:contextualSpacing/>
              <w:jc w:val="both"/>
              <w:rPr>
                <w:rFonts w:ascii="ITC Avant Garde" w:hAnsi="ITC Avant Garde"/>
                <w:b/>
                <w:bCs/>
                <w:color w:val="000000"/>
                <w:sz w:val="16"/>
                <w:szCs w:val="16"/>
                <w:lang w:val="es-MX" w:eastAsia="es-MX"/>
              </w:rPr>
            </w:pPr>
            <w:r w:rsidRPr="004D22EA">
              <w:rPr>
                <w:rFonts w:ascii="ITC Avant Garde" w:hAnsi="ITC Avant Garde"/>
                <w:b/>
                <w:bCs/>
                <w:color w:val="000000"/>
                <w:sz w:val="16"/>
                <w:szCs w:val="16"/>
                <w:lang w:val="es-MX" w:eastAsia="es-MX"/>
              </w:rPr>
              <w:t>Total</w:t>
            </w:r>
          </w:p>
        </w:tc>
        <w:tc>
          <w:tcPr>
            <w:tcW w:w="1275" w:type="dxa"/>
            <w:shd w:val="clear" w:color="auto" w:fill="A6A6A6" w:themeFill="background1" w:themeFillShade="A6"/>
          </w:tcPr>
          <w:p w14:paraId="2D38E000" w14:textId="0703AC6C" w:rsidR="004D22EA" w:rsidRPr="004D22EA" w:rsidRDefault="004D22EA" w:rsidP="004D22EA">
            <w:pPr>
              <w:autoSpaceDE w:val="0"/>
              <w:autoSpaceDN w:val="0"/>
              <w:adjustRightInd w:val="0"/>
              <w:spacing w:after="240"/>
              <w:contextualSpacing/>
              <w:jc w:val="right"/>
              <w:rPr>
                <w:rFonts w:ascii="ITC Avant Garde" w:hAnsi="ITC Avant Garde"/>
                <w:b/>
                <w:bCs/>
                <w:color w:val="000000"/>
                <w:sz w:val="16"/>
                <w:szCs w:val="16"/>
                <w:lang w:val="es-MX" w:eastAsia="es-MX"/>
              </w:rPr>
            </w:pPr>
            <w:r w:rsidRPr="004D22EA">
              <w:rPr>
                <w:rFonts w:ascii="ITC Avant Garde" w:hAnsi="ITC Avant Garde"/>
                <w:b/>
                <w:bCs/>
                <w:color w:val="000000"/>
                <w:sz w:val="16"/>
                <w:szCs w:val="16"/>
                <w:lang w:val="es-MX" w:eastAsia="es-MX"/>
              </w:rPr>
              <w:t>91,990</w:t>
            </w:r>
          </w:p>
        </w:tc>
        <w:tc>
          <w:tcPr>
            <w:tcW w:w="1134" w:type="dxa"/>
            <w:shd w:val="clear" w:color="auto" w:fill="A6A6A6" w:themeFill="background1" w:themeFillShade="A6"/>
          </w:tcPr>
          <w:p w14:paraId="79F61F63" w14:textId="32FA6BDC" w:rsidR="004D22EA" w:rsidRPr="004D22EA" w:rsidRDefault="004D22EA" w:rsidP="004D22EA">
            <w:pPr>
              <w:autoSpaceDE w:val="0"/>
              <w:autoSpaceDN w:val="0"/>
              <w:adjustRightInd w:val="0"/>
              <w:spacing w:after="240"/>
              <w:contextualSpacing/>
              <w:jc w:val="right"/>
              <w:rPr>
                <w:rFonts w:ascii="ITC Avant Garde" w:hAnsi="ITC Avant Garde"/>
                <w:b/>
                <w:bCs/>
                <w:color w:val="000000"/>
                <w:sz w:val="16"/>
                <w:szCs w:val="16"/>
                <w:lang w:val="es-MX" w:eastAsia="es-MX"/>
              </w:rPr>
            </w:pPr>
            <w:r w:rsidRPr="004D22EA">
              <w:rPr>
                <w:rFonts w:ascii="ITC Avant Garde" w:hAnsi="ITC Avant Garde"/>
                <w:b/>
                <w:bCs/>
                <w:color w:val="000000"/>
                <w:sz w:val="16"/>
                <w:szCs w:val="16"/>
                <w:lang w:val="es-MX" w:eastAsia="es-MX"/>
              </w:rPr>
              <w:t>8,020</w:t>
            </w:r>
          </w:p>
        </w:tc>
        <w:tc>
          <w:tcPr>
            <w:tcW w:w="1418" w:type="dxa"/>
            <w:shd w:val="clear" w:color="auto" w:fill="A6A6A6" w:themeFill="background1" w:themeFillShade="A6"/>
          </w:tcPr>
          <w:p w14:paraId="721F0C6D" w14:textId="4C08B718" w:rsidR="004D22EA" w:rsidRPr="004D22EA" w:rsidRDefault="004D22EA" w:rsidP="004D22EA">
            <w:pPr>
              <w:autoSpaceDE w:val="0"/>
              <w:autoSpaceDN w:val="0"/>
              <w:adjustRightInd w:val="0"/>
              <w:spacing w:after="240"/>
              <w:contextualSpacing/>
              <w:jc w:val="right"/>
              <w:rPr>
                <w:rFonts w:ascii="ITC Avant Garde" w:hAnsi="ITC Avant Garde"/>
                <w:b/>
                <w:bCs/>
                <w:color w:val="000000"/>
                <w:sz w:val="16"/>
                <w:szCs w:val="16"/>
                <w:lang w:val="es-MX" w:eastAsia="es-MX"/>
              </w:rPr>
            </w:pPr>
            <w:r w:rsidRPr="004D22EA">
              <w:rPr>
                <w:rFonts w:ascii="ITC Avant Garde" w:hAnsi="ITC Avant Garde"/>
                <w:b/>
                <w:bCs/>
                <w:color w:val="000000"/>
                <w:sz w:val="16"/>
                <w:szCs w:val="16"/>
                <w:lang w:val="es-MX" w:eastAsia="es-MX"/>
              </w:rPr>
              <w:t>9,199,000</w:t>
            </w:r>
          </w:p>
        </w:tc>
        <w:tc>
          <w:tcPr>
            <w:tcW w:w="1318" w:type="dxa"/>
            <w:shd w:val="clear" w:color="auto" w:fill="A6A6A6" w:themeFill="background1" w:themeFillShade="A6"/>
          </w:tcPr>
          <w:p w14:paraId="2C2CAE5B" w14:textId="0564DF96" w:rsidR="004D22EA" w:rsidRPr="004D22EA" w:rsidRDefault="004D22EA" w:rsidP="004D22EA">
            <w:pPr>
              <w:autoSpaceDE w:val="0"/>
              <w:autoSpaceDN w:val="0"/>
              <w:adjustRightInd w:val="0"/>
              <w:spacing w:after="240"/>
              <w:contextualSpacing/>
              <w:jc w:val="right"/>
              <w:rPr>
                <w:rFonts w:ascii="ITC Avant Garde" w:hAnsi="ITC Avant Garde"/>
                <w:b/>
                <w:bCs/>
                <w:color w:val="000000"/>
                <w:sz w:val="16"/>
                <w:szCs w:val="16"/>
                <w:lang w:val="es-MX" w:eastAsia="es-MX"/>
              </w:rPr>
            </w:pPr>
            <w:r w:rsidRPr="004D22EA">
              <w:rPr>
                <w:rFonts w:ascii="ITC Avant Garde" w:hAnsi="ITC Avant Garde"/>
                <w:b/>
                <w:bCs/>
                <w:color w:val="000000"/>
                <w:sz w:val="16"/>
                <w:szCs w:val="16"/>
                <w:lang w:val="es-MX" w:eastAsia="es-MX"/>
              </w:rPr>
              <w:t>802,000</w:t>
            </w:r>
          </w:p>
        </w:tc>
        <w:tc>
          <w:tcPr>
            <w:tcW w:w="1619" w:type="dxa"/>
            <w:shd w:val="clear" w:color="auto" w:fill="A6A6A6" w:themeFill="background1" w:themeFillShade="A6"/>
          </w:tcPr>
          <w:p w14:paraId="49299D2B" w14:textId="09E240C8" w:rsidR="004D22EA" w:rsidRPr="004D22EA" w:rsidRDefault="004D22EA" w:rsidP="004D22EA">
            <w:pPr>
              <w:autoSpaceDE w:val="0"/>
              <w:autoSpaceDN w:val="0"/>
              <w:adjustRightInd w:val="0"/>
              <w:spacing w:after="240"/>
              <w:contextualSpacing/>
              <w:jc w:val="right"/>
              <w:rPr>
                <w:rFonts w:ascii="ITC Avant Garde" w:hAnsi="ITC Avant Garde"/>
                <w:b/>
                <w:bCs/>
                <w:color w:val="000000"/>
                <w:sz w:val="16"/>
                <w:szCs w:val="16"/>
                <w:lang w:val="es-MX" w:eastAsia="es-MX"/>
              </w:rPr>
            </w:pPr>
            <w:r w:rsidRPr="004D22EA">
              <w:rPr>
                <w:rFonts w:ascii="ITC Avant Garde" w:hAnsi="ITC Avant Garde"/>
                <w:b/>
                <w:bCs/>
                <w:color w:val="000000"/>
                <w:sz w:val="16"/>
                <w:szCs w:val="16"/>
                <w:lang w:val="es-MX" w:eastAsia="es-MX"/>
              </w:rPr>
              <w:t>100.00</w:t>
            </w:r>
          </w:p>
        </w:tc>
      </w:tr>
    </w:tbl>
    <w:p w14:paraId="7B6B4838" w14:textId="77777777" w:rsidR="004D22EA" w:rsidRPr="004D22EA" w:rsidRDefault="004D22EA" w:rsidP="004D22EA">
      <w:pPr>
        <w:autoSpaceDE w:val="0"/>
        <w:autoSpaceDN w:val="0"/>
        <w:adjustRightInd w:val="0"/>
        <w:spacing w:after="240"/>
        <w:contextualSpacing/>
        <w:jc w:val="both"/>
        <w:rPr>
          <w:rFonts w:ascii="ITC Avant Garde" w:hAnsi="ITC Avant Garde"/>
          <w:bCs/>
          <w:color w:val="000000"/>
          <w:sz w:val="23"/>
          <w:szCs w:val="23"/>
          <w:lang w:val="es-MX" w:eastAsia="es-MX"/>
        </w:rPr>
      </w:pPr>
    </w:p>
    <w:p w14:paraId="22C5638C" w14:textId="77777777" w:rsidR="004D22EA" w:rsidRPr="004D22EA" w:rsidRDefault="00F80A22" w:rsidP="004D22EA">
      <w:pPr>
        <w:autoSpaceDE w:val="0"/>
        <w:autoSpaceDN w:val="0"/>
        <w:adjustRightInd w:val="0"/>
        <w:spacing w:before="240" w:after="240"/>
        <w:contextualSpacing/>
        <w:jc w:val="both"/>
        <w:rPr>
          <w:rFonts w:ascii="ITC Avant Garde" w:hAnsi="ITC Avant Garde"/>
          <w:bCs/>
          <w:sz w:val="22"/>
          <w:szCs w:val="22"/>
        </w:rPr>
      </w:pPr>
      <w:r w:rsidRPr="004D22EA">
        <w:rPr>
          <w:rFonts w:ascii="ITC Avant Garde" w:hAnsi="ITC Avant Garde"/>
          <w:bCs/>
          <w:sz w:val="22"/>
          <w:szCs w:val="22"/>
        </w:rPr>
        <w:t>Por otra parte, la Dirección General de Concentraciones y Concesiones, adscrita a la Unidad de Competencia Económica, emitió opinión respecto de la Solicitud de Enajenación de Acciones, señalando entre otras cosas lo siguiente:</w:t>
      </w:r>
    </w:p>
    <w:p w14:paraId="10CD2081" w14:textId="6C5F657D" w:rsidR="004D22EA" w:rsidRPr="004D22EA" w:rsidRDefault="00F80A22" w:rsidP="004D22EA">
      <w:pPr>
        <w:spacing w:before="240" w:after="240"/>
        <w:ind w:left="1134" w:right="1183"/>
        <w:contextualSpacing/>
        <w:jc w:val="both"/>
        <w:rPr>
          <w:rFonts w:ascii="ITC Avant Garde" w:hAnsi="ITC Avant Garde"/>
          <w:bCs/>
          <w:sz w:val="18"/>
          <w:szCs w:val="18"/>
        </w:rPr>
      </w:pPr>
      <w:r w:rsidRPr="004D22EA">
        <w:rPr>
          <w:rFonts w:ascii="ITC Avant Garde" w:hAnsi="ITC Avant Garde"/>
          <w:bCs/>
          <w:sz w:val="18"/>
          <w:szCs w:val="18"/>
        </w:rPr>
        <w:t>“[…]</w:t>
      </w:r>
      <w:bookmarkStart w:id="0" w:name="_GoBack"/>
      <w:bookmarkEnd w:id="0"/>
    </w:p>
    <w:p w14:paraId="3A586F3C" w14:textId="77777777" w:rsidR="004D22EA" w:rsidRPr="004D22EA" w:rsidRDefault="002E18B2" w:rsidP="004D22EA">
      <w:pPr>
        <w:spacing w:before="240" w:after="240"/>
        <w:ind w:left="1134" w:right="1183"/>
        <w:contextualSpacing/>
        <w:jc w:val="both"/>
        <w:rPr>
          <w:rFonts w:ascii="ITC Avant Garde" w:hAnsi="ITC Avant Garde"/>
          <w:b/>
          <w:bCs/>
          <w:sz w:val="18"/>
          <w:szCs w:val="18"/>
        </w:rPr>
      </w:pPr>
      <w:r w:rsidRPr="004D22EA">
        <w:rPr>
          <w:rFonts w:ascii="ITC Avant Garde" w:hAnsi="ITC Avant Garde"/>
          <w:b/>
          <w:bCs/>
          <w:sz w:val="18"/>
          <w:szCs w:val="18"/>
        </w:rPr>
        <w:t>I</w:t>
      </w:r>
      <w:r w:rsidR="00F80A22" w:rsidRPr="004D22EA">
        <w:rPr>
          <w:rFonts w:ascii="ITC Avant Garde" w:hAnsi="ITC Avant Garde"/>
          <w:b/>
          <w:bCs/>
          <w:sz w:val="18"/>
          <w:szCs w:val="18"/>
        </w:rPr>
        <w:t>V. Análisis y opinión en materia de compe</w:t>
      </w:r>
      <w:r w:rsidRPr="004D22EA">
        <w:rPr>
          <w:rFonts w:ascii="ITC Avant Garde" w:hAnsi="ITC Avant Garde"/>
          <w:b/>
          <w:bCs/>
          <w:sz w:val="18"/>
          <w:szCs w:val="18"/>
        </w:rPr>
        <w:t xml:space="preserve">tencia económica </w:t>
      </w:r>
    </w:p>
    <w:p w14:paraId="16920CBB" w14:textId="77777777" w:rsidR="004D22EA" w:rsidRPr="004D22EA" w:rsidRDefault="00F80A22" w:rsidP="004D22EA">
      <w:pPr>
        <w:spacing w:before="240" w:after="240"/>
        <w:ind w:left="1134" w:right="1183"/>
        <w:contextualSpacing/>
        <w:jc w:val="both"/>
        <w:rPr>
          <w:rFonts w:ascii="ITC Avant Garde" w:hAnsi="ITC Avant Garde"/>
          <w:bCs/>
          <w:sz w:val="18"/>
          <w:szCs w:val="18"/>
        </w:rPr>
      </w:pPr>
      <w:r w:rsidRPr="004D22EA">
        <w:rPr>
          <w:rFonts w:ascii="ITC Avant Garde" w:hAnsi="ITC Avant Garde"/>
          <w:bCs/>
          <w:sz w:val="18"/>
          <w:szCs w:val="18"/>
        </w:rPr>
        <w:t xml:space="preserve">A partir de la información remitida por la DGCT y disponible para esta DGCC, </w:t>
      </w:r>
      <w:r w:rsidRPr="004D22EA">
        <w:rPr>
          <w:rFonts w:ascii="ITC Avant Garde" w:hAnsi="ITC Avant Garde"/>
          <w:b/>
          <w:bCs/>
          <w:sz w:val="18"/>
          <w:szCs w:val="18"/>
          <w:u w:val="single"/>
        </w:rPr>
        <w:t xml:space="preserve">se </w:t>
      </w:r>
      <w:r w:rsidR="002E18B2" w:rsidRPr="004D22EA">
        <w:rPr>
          <w:rFonts w:ascii="ITC Avant Garde" w:hAnsi="ITC Avant Garde"/>
          <w:b/>
          <w:bCs/>
          <w:sz w:val="18"/>
          <w:szCs w:val="18"/>
          <w:u w:val="single"/>
        </w:rPr>
        <w:t>considera que la afectación en fideicomiso y/o el otorgamiento en garantía de las acciones representativas del capital social de Altán Redes derivados de la celebración del Contrato de Fideicomiso de Garantía y el Contrato</w:t>
      </w:r>
      <w:r w:rsidR="008110AA" w:rsidRPr="004D22EA">
        <w:rPr>
          <w:rFonts w:ascii="ITC Avant Garde" w:hAnsi="ITC Avant Garde"/>
          <w:b/>
          <w:bCs/>
          <w:sz w:val="18"/>
          <w:szCs w:val="18"/>
          <w:u w:val="single"/>
        </w:rPr>
        <w:t xml:space="preserve"> de Prenda no afecta el proceso de competencia y libre concurrencia en la provisión de servicios mayoristas de telecomunicaciones donde participará Altán Redes</w:t>
      </w:r>
      <w:r w:rsidR="008110AA" w:rsidRPr="004D22EA">
        <w:rPr>
          <w:rFonts w:ascii="ITC Avant Garde" w:hAnsi="ITC Avant Garde"/>
          <w:bCs/>
          <w:sz w:val="18"/>
          <w:szCs w:val="18"/>
        </w:rPr>
        <w:t>. Ello en virtud de los siguientes elementos:</w:t>
      </w:r>
    </w:p>
    <w:p w14:paraId="063B13EC" w14:textId="77777777" w:rsidR="004D22EA" w:rsidRPr="004D22EA" w:rsidRDefault="008110AA" w:rsidP="004D22EA">
      <w:pPr>
        <w:pStyle w:val="Prrafodelista"/>
        <w:numPr>
          <w:ilvl w:val="0"/>
          <w:numId w:val="13"/>
        </w:numPr>
        <w:spacing w:before="240" w:after="240"/>
        <w:ind w:right="1183"/>
        <w:contextualSpacing/>
        <w:jc w:val="both"/>
        <w:rPr>
          <w:rFonts w:ascii="ITC Avant Garde" w:hAnsi="ITC Avant Garde"/>
          <w:bCs/>
          <w:sz w:val="18"/>
          <w:szCs w:val="18"/>
        </w:rPr>
      </w:pPr>
      <w:r w:rsidRPr="004D22EA">
        <w:rPr>
          <w:rFonts w:ascii="ITC Avant Garde" w:hAnsi="ITC Avant Garde"/>
          <w:bCs/>
          <w:sz w:val="18"/>
          <w:szCs w:val="18"/>
        </w:rPr>
        <w:t xml:space="preserve">Si bien las acciones de Altán Redes serán depositadas en el patrimonio del Fideicomiso de Garantía y el nuevo accionista será Scotiabank en carácter de fiduciario, la estructura de participación en derechos a voto en la toma de </w:t>
      </w:r>
      <w:r w:rsidR="00800E31" w:rsidRPr="004D22EA">
        <w:rPr>
          <w:rFonts w:ascii="ITC Avant Garde" w:hAnsi="ITC Avant Garde"/>
          <w:bCs/>
          <w:sz w:val="18"/>
          <w:szCs w:val="18"/>
        </w:rPr>
        <w:t>decisiones</w:t>
      </w:r>
      <w:r w:rsidRPr="004D22EA">
        <w:rPr>
          <w:rFonts w:ascii="ITC Avant Garde" w:hAnsi="ITC Avant Garde"/>
          <w:bCs/>
          <w:sz w:val="18"/>
          <w:szCs w:val="18"/>
        </w:rPr>
        <w:t xml:space="preserve"> de Altán Redes no se modificará</w:t>
      </w:r>
      <w:r w:rsidR="00800E31" w:rsidRPr="004D22EA">
        <w:rPr>
          <w:rFonts w:ascii="ITC Avant Garde" w:hAnsi="ITC Avant Garde"/>
          <w:bCs/>
          <w:sz w:val="18"/>
          <w:szCs w:val="18"/>
        </w:rPr>
        <w:t xml:space="preserve">, pues los accionistas actuales mantendrán sus derechos de voto relacionados con las acciones de las cuales son titulares. </w:t>
      </w:r>
    </w:p>
    <w:p w14:paraId="4A749891" w14:textId="77777777" w:rsidR="004D22EA" w:rsidRPr="004D22EA" w:rsidRDefault="00800E31" w:rsidP="004D22EA">
      <w:pPr>
        <w:pStyle w:val="Prrafodelista"/>
        <w:numPr>
          <w:ilvl w:val="0"/>
          <w:numId w:val="13"/>
        </w:numPr>
        <w:spacing w:before="240" w:after="240"/>
        <w:ind w:right="1183"/>
        <w:contextualSpacing/>
        <w:jc w:val="both"/>
        <w:rPr>
          <w:rFonts w:ascii="ITC Avant Garde" w:hAnsi="ITC Avant Garde"/>
          <w:bCs/>
          <w:sz w:val="18"/>
          <w:szCs w:val="18"/>
        </w:rPr>
      </w:pPr>
      <w:r w:rsidRPr="004D22EA">
        <w:rPr>
          <w:rFonts w:ascii="ITC Avant Garde" w:hAnsi="ITC Avant Garde"/>
          <w:bCs/>
          <w:sz w:val="18"/>
          <w:szCs w:val="18"/>
        </w:rPr>
        <w:t>La Operación no resultará en un cambio de control de Altán Redes por parte de sus accionistas, el cual cambiará sólo en el caso de que se ejecuten las garantías establecidas en el Contrato de Fideicomiso de Garantía.</w:t>
      </w:r>
    </w:p>
    <w:p w14:paraId="0FC6A658" w14:textId="2377EABA" w:rsidR="008110AA" w:rsidRPr="004D22EA" w:rsidRDefault="00800E31" w:rsidP="004D22EA">
      <w:pPr>
        <w:pStyle w:val="Prrafodelista"/>
        <w:numPr>
          <w:ilvl w:val="0"/>
          <w:numId w:val="13"/>
        </w:numPr>
        <w:spacing w:before="240" w:after="240"/>
        <w:ind w:right="1183"/>
        <w:contextualSpacing/>
        <w:jc w:val="both"/>
        <w:rPr>
          <w:rFonts w:ascii="ITC Avant Garde" w:hAnsi="ITC Avant Garde"/>
          <w:bCs/>
          <w:sz w:val="18"/>
          <w:szCs w:val="18"/>
        </w:rPr>
      </w:pPr>
      <w:proofErr w:type="spellStart"/>
      <w:r w:rsidRPr="004D22EA">
        <w:rPr>
          <w:rFonts w:ascii="ITC Avant Garde" w:hAnsi="ITC Avant Garde"/>
          <w:bCs/>
          <w:sz w:val="18"/>
          <w:szCs w:val="18"/>
        </w:rPr>
        <w:t>Altán</w:t>
      </w:r>
      <w:proofErr w:type="spellEnd"/>
      <w:r w:rsidRPr="004D22EA">
        <w:rPr>
          <w:rFonts w:ascii="ITC Avant Garde" w:hAnsi="ITC Avant Garde"/>
          <w:bCs/>
          <w:sz w:val="18"/>
          <w:szCs w:val="18"/>
        </w:rPr>
        <w:t xml:space="preserve"> Redes y sus accionistas, se reservarán el derecho de recuperar el patrimonio del fideicomiso una vez que termine el Contrato de Fideicomiso de Garantía, por lo que la celebraci</w:t>
      </w:r>
      <w:r w:rsidR="00A1144C" w:rsidRPr="004D22EA">
        <w:rPr>
          <w:rFonts w:ascii="ITC Avant Garde" w:hAnsi="ITC Avant Garde"/>
          <w:bCs/>
          <w:sz w:val="18"/>
          <w:szCs w:val="18"/>
        </w:rPr>
        <w:t>ón</w:t>
      </w:r>
      <w:r w:rsidRPr="004D22EA">
        <w:rPr>
          <w:rFonts w:ascii="ITC Avant Garde" w:hAnsi="ITC Avant Garde"/>
          <w:bCs/>
          <w:sz w:val="18"/>
          <w:szCs w:val="18"/>
        </w:rPr>
        <w:t xml:space="preserve"> del control no se considera</w:t>
      </w:r>
      <w:r w:rsidR="008110AA" w:rsidRPr="004D22EA">
        <w:rPr>
          <w:rFonts w:ascii="ITC Avant Garde" w:hAnsi="ITC Avant Garde"/>
          <w:bCs/>
          <w:sz w:val="18"/>
          <w:szCs w:val="18"/>
        </w:rPr>
        <w:t xml:space="preserve"> </w:t>
      </w:r>
      <w:r w:rsidR="00A1144C" w:rsidRPr="004D22EA">
        <w:rPr>
          <w:rFonts w:ascii="ITC Avant Garde" w:hAnsi="ITC Avant Garde"/>
          <w:bCs/>
          <w:sz w:val="18"/>
          <w:szCs w:val="18"/>
        </w:rPr>
        <w:t>una enajenación de bienes</w:t>
      </w:r>
      <w:r w:rsidR="00CB3C1E" w:rsidRPr="004D22EA">
        <w:rPr>
          <w:rStyle w:val="Refdenotaalpie"/>
          <w:rFonts w:ascii="ITC Avant Garde" w:hAnsi="ITC Avant Garde"/>
          <w:bCs/>
          <w:sz w:val="18"/>
          <w:szCs w:val="18"/>
        </w:rPr>
        <w:footnoteReference w:id="1"/>
      </w:r>
      <w:r w:rsidR="00A1144C" w:rsidRPr="004D22EA">
        <w:rPr>
          <w:rFonts w:ascii="ITC Avant Garde" w:hAnsi="ITC Avant Garde"/>
          <w:bCs/>
          <w:sz w:val="18"/>
          <w:szCs w:val="18"/>
        </w:rPr>
        <w:t>.</w:t>
      </w:r>
    </w:p>
    <w:p w14:paraId="262DFA0F" w14:textId="58A7D60A" w:rsidR="00A1144C" w:rsidRPr="004D22EA" w:rsidRDefault="00A1144C" w:rsidP="004D22EA">
      <w:pPr>
        <w:pStyle w:val="Prrafodelista"/>
        <w:numPr>
          <w:ilvl w:val="0"/>
          <w:numId w:val="13"/>
        </w:numPr>
        <w:spacing w:before="240" w:after="240"/>
        <w:ind w:right="1183"/>
        <w:contextualSpacing/>
        <w:jc w:val="both"/>
        <w:rPr>
          <w:rFonts w:ascii="ITC Avant Garde" w:hAnsi="ITC Avant Garde"/>
          <w:bCs/>
          <w:sz w:val="18"/>
          <w:szCs w:val="18"/>
        </w:rPr>
      </w:pPr>
      <w:r w:rsidRPr="004D22EA">
        <w:rPr>
          <w:rFonts w:ascii="ITC Avant Garde" w:hAnsi="ITC Avant Garde"/>
          <w:bCs/>
          <w:sz w:val="18"/>
          <w:szCs w:val="18"/>
        </w:rPr>
        <w:lastRenderedPageBreak/>
        <w:t>La constitución de fideicomisos de garantía en la que se aporten acciones sin que la finalidad o consecuencia necesaria sea la transferencia de dichas acciones a terceros, como el que pretende celebrar Altán Redes, no representa un riesgo a la competencia económica. Lo anterior, debido a que son los mismos accionistas que aportan las acciones quienes siguen manteniendo el control sobre las mismas y, por lo tanto, del agente económico emisor de las acciones.</w:t>
      </w:r>
    </w:p>
    <w:p w14:paraId="47E4B956" w14:textId="77777777" w:rsidR="004D22EA" w:rsidRPr="004D22EA" w:rsidRDefault="00A1144C" w:rsidP="004D22EA">
      <w:pPr>
        <w:spacing w:before="240" w:after="240"/>
        <w:ind w:left="1134" w:right="1183"/>
        <w:contextualSpacing/>
        <w:jc w:val="both"/>
        <w:rPr>
          <w:rFonts w:ascii="ITC Avant Garde" w:hAnsi="ITC Avant Garde"/>
          <w:bCs/>
          <w:sz w:val="18"/>
          <w:szCs w:val="18"/>
        </w:rPr>
      </w:pPr>
      <w:r w:rsidRPr="004D22EA">
        <w:rPr>
          <w:rFonts w:ascii="ITC Avant Garde" w:hAnsi="ITC Avant Garde"/>
          <w:bCs/>
          <w:sz w:val="18"/>
          <w:szCs w:val="18"/>
        </w:rPr>
        <w:t>Por otra parte, es de señalar que conforme a la información proporcionada por Altán Redes, se advierte que el capital social</w:t>
      </w:r>
      <w:r w:rsidR="005079F4" w:rsidRPr="004D22EA">
        <w:rPr>
          <w:rFonts w:ascii="ITC Avant Garde" w:hAnsi="ITC Avant Garde"/>
          <w:bCs/>
          <w:sz w:val="18"/>
          <w:szCs w:val="18"/>
        </w:rPr>
        <w:t xml:space="preserve"> de dicha sociedad asciende a 149.8 millones de dólares en los Estados Unidos de América; es decir, la aportación de las acciones de Altán Redes al Fideicomiso de Garantía equivale a aproximadamente </w:t>
      </w:r>
      <w:r w:rsidR="005079F4" w:rsidRPr="004D22EA">
        <w:rPr>
          <w:rFonts w:ascii="ITC Avant Garde" w:hAnsi="ITC Avant Garde"/>
          <w:b/>
          <w:bCs/>
          <w:sz w:val="18"/>
          <w:szCs w:val="18"/>
        </w:rPr>
        <w:t>3,047 (tres mil cuarenta y siete) millones de pesos</w:t>
      </w:r>
      <w:r w:rsidR="00CB3C1E" w:rsidRPr="004D22EA">
        <w:rPr>
          <w:rStyle w:val="Refdenotaalpie"/>
          <w:rFonts w:ascii="ITC Avant Garde" w:hAnsi="ITC Avant Garde"/>
          <w:b/>
          <w:bCs/>
          <w:sz w:val="18"/>
          <w:szCs w:val="18"/>
        </w:rPr>
        <w:footnoteReference w:id="2"/>
      </w:r>
      <w:r w:rsidR="005079F4" w:rsidRPr="004D22EA">
        <w:rPr>
          <w:rFonts w:ascii="ITC Avant Garde" w:hAnsi="ITC Avant Garde"/>
          <w:b/>
          <w:bCs/>
          <w:sz w:val="18"/>
          <w:szCs w:val="18"/>
        </w:rPr>
        <w:t>,</w:t>
      </w:r>
      <w:r w:rsidR="005079F4" w:rsidRPr="004D22EA">
        <w:rPr>
          <w:rFonts w:ascii="ITC Avant Garde" w:hAnsi="ITC Avant Garde"/>
          <w:bCs/>
          <w:sz w:val="18"/>
          <w:szCs w:val="18"/>
        </w:rPr>
        <w:t xml:space="preserve"> cifra superior a dieciocho millones de veces el valor diario de la Unidad de Medida y Actualización, equivalentes a 1,358 (mil trescientos cincuenta y ocho) millones de pesos</w:t>
      </w:r>
      <w:r w:rsidR="00CB3C1E" w:rsidRPr="004D22EA">
        <w:rPr>
          <w:rStyle w:val="Refdenotaalpie"/>
          <w:rFonts w:ascii="ITC Avant Garde" w:hAnsi="ITC Avant Garde"/>
          <w:bCs/>
          <w:sz w:val="18"/>
          <w:szCs w:val="18"/>
        </w:rPr>
        <w:footnoteReference w:id="3"/>
      </w:r>
      <w:r w:rsidR="005079F4" w:rsidRPr="004D22EA">
        <w:rPr>
          <w:rFonts w:ascii="ITC Avant Garde" w:hAnsi="ITC Avant Garde"/>
          <w:bCs/>
          <w:sz w:val="18"/>
          <w:szCs w:val="18"/>
        </w:rPr>
        <w:t>.</w:t>
      </w:r>
    </w:p>
    <w:p w14:paraId="1C095CA6" w14:textId="77777777" w:rsidR="004D22EA" w:rsidRPr="004D22EA" w:rsidRDefault="005079F4" w:rsidP="004D22EA">
      <w:pPr>
        <w:spacing w:before="240" w:after="240"/>
        <w:ind w:left="1134" w:right="1183"/>
        <w:contextualSpacing/>
        <w:jc w:val="both"/>
        <w:rPr>
          <w:rFonts w:ascii="ITC Avant Garde" w:hAnsi="ITC Avant Garde"/>
          <w:bCs/>
          <w:sz w:val="18"/>
          <w:szCs w:val="18"/>
        </w:rPr>
      </w:pPr>
      <w:r w:rsidRPr="004D22EA">
        <w:rPr>
          <w:rFonts w:ascii="ITC Avant Garde" w:hAnsi="ITC Avant Garde"/>
          <w:bCs/>
          <w:sz w:val="18"/>
          <w:szCs w:val="18"/>
        </w:rPr>
        <w:t>Conforme a las cifras anteriores, la Operación actualiza el supuesto de la fracción II del artículo 86 de la Ley Federal de Competencia Económica (LFCE) para efectos de ser notificada antes de su realización; sin embargo, la fracción III del artículo 93 de la LFCE, establece que no requieren de una evaluación y autorización por parte de la autoridad aquellas concentraciones que cumplan con lo siguiente:</w:t>
      </w:r>
    </w:p>
    <w:p w14:paraId="1C9AA550" w14:textId="77777777" w:rsidR="004D22EA" w:rsidRPr="004D22EA" w:rsidRDefault="00B2446C" w:rsidP="004D22EA">
      <w:pPr>
        <w:spacing w:before="240" w:after="240"/>
        <w:ind w:left="1404" w:right="1183"/>
        <w:contextualSpacing/>
        <w:jc w:val="both"/>
        <w:rPr>
          <w:rFonts w:ascii="ITC Avant Garde" w:hAnsi="ITC Avant Garde"/>
          <w:b/>
          <w:bCs/>
          <w:sz w:val="18"/>
          <w:szCs w:val="18"/>
          <w:u w:val="single"/>
        </w:rPr>
      </w:pPr>
      <w:r w:rsidRPr="004D22EA">
        <w:rPr>
          <w:rFonts w:ascii="ITC Avant Garde" w:hAnsi="ITC Avant Garde"/>
          <w:bCs/>
          <w:sz w:val="18"/>
          <w:szCs w:val="18"/>
        </w:rPr>
        <w:t xml:space="preserve">‘(…) Cuando se trate de la </w:t>
      </w:r>
      <w:r w:rsidRPr="004D22EA">
        <w:rPr>
          <w:rFonts w:ascii="ITC Avant Garde" w:hAnsi="ITC Avant Garde"/>
          <w:b/>
          <w:bCs/>
          <w:sz w:val="18"/>
          <w:szCs w:val="18"/>
          <w:u w:val="single"/>
        </w:rPr>
        <w:t>constitución de fideicomisos de administración, garantía</w:t>
      </w:r>
      <w:r w:rsidRPr="004D22EA">
        <w:rPr>
          <w:rFonts w:ascii="ITC Avant Garde" w:hAnsi="ITC Avant Garde"/>
          <w:bCs/>
          <w:sz w:val="18"/>
          <w:szCs w:val="18"/>
        </w:rPr>
        <w:t xml:space="preserve"> o de cualquier otra clase en la que un Agente Económico aporte sus activos, acciones, partes sociales o unidades de participación sin que la finalidad o consecuencia necesaria sea la transferencia de dicho</w:t>
      </w:r>
      <w:r w:rsidR="00713966" w:rsidRPr="004D22EA">
        <w:rPr>
          <w:rFonts w:ascii="ITC Avant Garde" w:hAnsi="ITC Avant Garde"/>
          <w:bCs/>
          <w:sz w:val="18"/>
          <w:szCs w:val="18"/>
        </w:rPr>
        <w:t xml:space="preserve">s activos, acciones, partes sociales o unidades de participación a una sociedad distinta tanto del fideicomitente como de la institución fiduciaria correspondiente. Sin embargo, </w:t>
      </w:r>
      <w:r w:rsidR="00713966" w:rsidRPr="004D22EA">
        <w:rPr>
          <w:rFonts w:ascii="ITC Avant Garde" w:hAnsi="ITC Avant Garde"/>
          <w:b/>
          <w:bCs/>
          <w:sz w:val="18"/>
          <w:szCs w:val="18"/>
          <w:u w:val="single"/>
        </w:rPr>
        <w:t>en caso de ejecución del fideicomiso de garantía se deberá de notificar si se actualiza alguno de los umbrales referidos en el artículo 86 de esta Ley;</w:t>
      </w:r>
    </w:p>
    <w:p w14:paraId="5B58E714" w14:textId="77777777" w:rsidR="004D22EA" w:rsidRPr="004D22EA" w:rsidRDefault="00713966" w:rsidP="004D22EA">
      <w:pPr>
        <w:spacing w:before="240" w:after="240"/>
        <w:ind w:left="1404" w:right="1183"/>
        <w:contextualSpacing/>
        <w:jc w:val="both"/>
        <w:rPr>
          <w:rFonts w:ascii="ITC Avant Garde" w:hAnsi="ITC Avant Garde"/>
          <w:bCs/>
          <w:sz w:val="18"/>
          <w:szCs w:val="18"/>
        </w:rPr>
      </w:pPr>
      <w:r w:rsidRPr="004D22EA">
        <w:rPr>
          <w:rFonts w:ascii="ITC Avant Garde" w:hAnsi="ITC Avant Garde"/>
          <w:bCs/>
          <w:sz w:val="18"/>
          <w:szCs w:val="18"/>
        </w:rPr>
        <w:t>(…)’</w:t>
      </w:r>
    </w:p>
    <w:p w14:paraId="7E109519" w14:textId="77777777" w:rsidR="004D22EA" w:rsidRPr="004D22EA" w:rsidRDefault="00713966" w:rsidP="004D22EA">
      <w:pPr>
        <w:spacing w:before="240" w:after="240"/>
        <w:ind w:left="1134" w:right="1183"/>
        <w:contextualSpacing/>
        <w:jc w:val="both"/>
        <w:rPr>
          <w:rFonts w:ascii="ITC Avant Garde" w:hAnsi="ITC Avant Garde"/>
          <w:bCs/>
          <w:sz w:val="18"/>
          <w:szCs w:val="18"/>
        </w:rPr>
      </w:pPr>
      <w:r w:rsidRPr="004D22EA">
        <w:rPr>
          <w:rFonts w:ascii="ITC Avant Garde" w:hAnsi="ITC Avant Garde"/>
          <w:bCs/>
          <w:sz w:val="18"/>
          <w:szCs w:val="18"/>
        </w:rPr>
        <w:t>Es decir, conforme a la LFCE, la constitución de fideicomisos de garantía en la que se aporten acciones sin que la finalidad o consecuencia necesaria sea la transferencia de dichas acciones a terceros, como el que pretende celebrar Altán Redes mediante el Contrato de Fideicomiso de Garantía, se encuentra exceptuada del procedimiento de notificación de concentraciones.</w:t>
      </w:r>
    </w:p>
    <w:p w14:paraId="508D2244" w14:textId="77777777" w:rsidR="004D22EA" w:rsidRPr="004D22EA" w:rsidRDefault="00713966" w:rsidP="004D22EA">
      <w:pPr>
        <w:spacing w:before="240" w:after="240"/>
        <w:ind w:left="1134" w:right="1183"/>
        <w:contextualSpacing/>
        <w:jc w:val="both"/>
        <w:rPr>
          <w:rFonts w:ascii="ITC Avant Garde" w:hAnsi="ITC Avant Garde"/>
          <w:bCs/>
          <w:sz w:val="18"/>
          <w:szCs w:val="18"/>
        </w:rPr>
      </w:pPr>
      <w:r w:rsidRPr="004D22EA">
        <w:rPr>
          <w:rFonts w:ascii="ITC Avant Garde" w:hAnsi="ITC Avant Garde"/>
          <w:bCs/>
          <w:sz w:val="18"/>
          <w:szCs w:val="18"/>
        </w:rPr>
        <w:t>No obstante lo anterior, es de advertirse que en caso de ejecución del Fideicomiso de Garantía que pretende celebrar Altán Redes, dicha ejecución deberá ser notificada para su autorización ante el Instituto en términos del artículo 112 de la Ley Federal de Telecomunicaciones y Radiodifusión, o en t</w:t>
      </w:r>
      <w:r w:rsidR="009E0CBF" w:rsidRPr="004D22EA">
        <w:rPr>
          <w:rFonts w:ascii="ITC Avant Garde" w:hAnsi="ITC Avant Garde"/>
          <w:bCs/>
          <w:sz w:val="18"/>
          <w:szCs w:val="18"/>
        </w:rPr>
        <w:t>érminos de la LFCE si se actualiza alguno de los umbrales referidos en el artículo 86 de esa ley.</w:t>
      </w:r>
    </w:p>
    <w:p w14:paraId="2DE00EEB" w14:textId="77777777" w:rsidR="004D22EA" w:rsidRPr="004D22EA" w:rsidRDefault="00F80A22" w:rsidP="004D22EA">
      <w:pPr>
        <w:spacing w:before="240" w:after="240"/>
        <w:ind w:left="1134" w:right="1183"/>
        <w:contextualSpacing/>
        <w:jc w:val="both"/>
        <w:rPr>
          <w:rFonts w:ascii="ITC Avant Garde" w:hAnsi="ITC Avant Garde"/>
          <w:bCs/>
          <w:sz w:val="18"/>
          <w:szCs w:val="18"/>
        </w:rPr>
      </w:pPr>
      <w:r w:rsidRPr="004D22EA">
        <w:rPr>
          <w:rFonts w:ascii="ITC Avant Garde" w:hAnsi="ITC Avant Garde"/>
          <w:bCs/>
          <w:sz w:val="18"/>
          <w:szCs w:val="18"/>
        </w:rPr>
        <w:t>[…]” (Énfasis añadido).</w:t>
      </w:r>
    </w:p>
    <w:p w14:paraId="7D440BF4" w14:textId="77777777" w:rsidR="004D22EA" w:rsidRPr="004D22EA" w:rsidRDefault="00F80A22" w:rsidP="004D22EA">
      <w:pPr>
        <w:autoSpaceDE w:val="0"/>
        <w:autoSpaceDN w:val="0"/>
        <w:adjustRightInd w:val="0"/>
        <w:spacing w:before="240" w:after="240"/>
        <w:contextualSpacing/>
        <w:jc w:val="both"/>
        <w:rPr>
          <w:rFonts w:ascii="ITC Avant Garde" w:hAnsi="ITC Avant Garde"/>
          <w:bCs/>
          <w:sz w:val="22"/>
          <w:szCs w:val="22"/>
        </w:rPr>
      </w:pPr>
      <w:r w:rsidRPr="004D22EA">
        <w:rPr>
          <w:rFonts w:ascii="ITC Avant Garde" w:hAnsi="ITC Avant Garde"/>
          <w:bCs/>
          <w:sz w:val="22"/>
          <w:szCs w:val="22"/>
        </w:rPr>
        <w:t xml:space="preserve">De lo anterior, </w:t>
      </w:r>
      <w:r w:rsidR="00DA10CA" w:rsidRPr="004D22EA">
        <w:rPr>
          <w:rFonts w:ascii="ITC Avant Garde" w:hAnsi="ITC Avant Garde"/>
          <w:bCs/>
          <w:sz w:val="22"/>
          <w:szCs w:val="22"/>
        </w:rPr>
        <w:t xml:space="preserve">se concluye que la afectación en fideicomiso y/o el otorgamiento en garantía de las acciones representativas del capital social de Altán Redes, derivados de </w:t>
      </w:r>
      <w:r w:rsidR="00DA10CA" w:rsidRPr="004D22EA">
        <w:rPr>
          <w:rFonts w:ascii="ITC Avant Garde" w:hAnsi="ITC Avant Garde"/>
          <w:bCs/>
          <w:sz w:val="22"/>
          <w:szCs w:val="22"/>
        </w:rPr>
        <w:lastRenderedPageBreak/>
        <w:t xml:space="preserve">la celebración del Contrato de Fideicomiso de Garantía y el Contrato de Prenda no afecta el proceso de competencia y libre concurrencia en la provisión de servicios mayoristas de telecomunicaciones donde participará Altán Redes. Lo anterior, </w:t>
      </w:r>
      <w:r w:rsidRPr="004D22EA">
        <w:rPr>
          <w:rFonts w:ascii="ITC Avant Garde" w:hAnsi="ITC Avant Garde"/>
          <w:bCs/>
          <w:sz w:val="22"/>
          <w:szCs w:val="22"/>
        </w:rPr>
        <w:t>considerando lo señalado por el artículo 93 fracción I</w:t>
      </w:r>
      <w:r w:rsidR="00DA10CA" w:rsidRPr="004D22EA">
        <w:rPr>
          <w:rFonts w:ascii="ITC Avant Garde" w:hAnsi="ITC Avant Garde"/>
          <w:bCs/>
          <w:sz w:val="22"/>
          <w:szCs w:val="22"/>
        </w:rPr>
        <w:t>II</w:t>
      </w:r>
      <w:r w:rsidRPr="004D22EA">
        <w:rPr>
          <w:rFonts w:ascii="ITC Avant Garde" w:hAnsi="ITC Avant Garde"/>
          <w:bCs/>
          <w:sz w:val="22"/>
          <w:szCs w:val="22"/>
        </w:rPr>
        <w:t xml:space="preserve"> de la Ley de Competencia, </w:t>
      </w:r>
      <w:r w:rsidR="00DA10CA" w:rsidRPr="004D22EA">
        <w:rPr>
          <w:rFonts w:ascii="ITC Avant Garde" w:hAnsi="ITC Avant Garde"/>
          <w:bCs/>
          <w:sz w:val="22"/>
          <w:szCs w:val="22"/>
        </w:rPr>
        <w:t xml:space="preserve">ya que </w:t>
      </w:r>
      <w:r w:rsidRPr="004D22EA">
        <w:rPr>
          <w:rFonts w:ascii="ITC Avant Garde" w:hAnsi="ITC Avant Garde"/>
          <w:bCs/>
          <w:sz w:val="22"/>
          <w:szCs w:val="22"/>
        </w:rPr>
        <w:t>la operación no constituye una concentración sujeta a la autorización prevista por el artículo 86 de la citada ley,</w:t>
      </w:r>
      <w:r w:rsidR="00DA10CA" w:rsidRPr="004D22EA">
        <w:rPr>
          <w:rFonts w:ascii="ITC Avant Garde" w:hAnsi="ITC Avant Garde"/>
          <w:bCs/>
          <w:sz w:val="22"/>
          <w:szCs w:val="22"/>
        </w:rPr>
        <w:t xml:space="preserve"> pues la Solicitud de Enajenación de Acciones presentada por Altán Redes implica la constitución de un fideicomiso de garantía, sin que la finalidad o consecuencia necesaria sea la transferencia de dichos activos, acciones, partes sociales o unidades de participación a una sociedad distinta tanto del fideicomitente como de la institución fiduciaria correspondiente</w:t>
      </w:r>
      <w:r w:rsidRPr="004D22EA">
        <w:rPr>
          <w:rFonts w:ascii="ITC Avant Garde" w:hAnsi="ITC Avant Garde"/>
          <w:bCs/>
          <w:sz w:val="22"/>
          <w:szCs w:val="22"/>
        </w:rPr>
        <w:t xml:space="preserve">. </w:t>
      </w:r>
    </w:p>
    <w:p w14:paraId="2111DAB3" w14:textId="77777777" w:rsidR="004D22EA" w:rsidRPr="004D22EA" w:rsidRDefault="007D35E1" w:rsidP="004D22EA">
      <w:pPr>
        <w:autoSpaceDE w:val="0"/>
        <w:autoSpaceDN w:val="0"/>
        <w:adjustRightInd w:val="0"/>
        <w:spacing w:before="240" w:after="240"/>
        <w:contextualSpacing/>
        <w:jc w:val="both"/>
        <w:rPr>
          <w:rFonts w:ascii="ITC Avant Garde" w:hAnsi="ITC Avant Garde"/>
          <w:bCs/>
          <w:sz w:val="22"/>
          <w:szCs w:val="22"/>
        </w:rPr>
      </w:pPr>
      <w:r w:rsidRPr="004D22EA">
        <w:rPr>
          <w:rFonts w:ascii="ITC Avant Garde" w:hAnsi="ITC Avant Garde"/>
          <w:bCs/>
          <w:sz w:val="22"/>
          <w:szCs w:val="22"/>
        </w:rPr>
        <w:t>No obstante lo anterior, es de advertirse que en caso de ejecución del Fideicomiso de Garantía que pretende celebrar Altán Redes, dicha ejecución deberá ser notificada para su autorización ante el Instituto en términos de la Ley y de la Ley de Competencia.</w:t>
      </w:r>
    </w:p>
    <w:p w14:paraId="25E7E9E7" w14:textId="77777777" w:rsidR="004D22EA" w:rsidRPr="004D22EA" w:rsidRDefault="00F80A22" w:rsidP="004D22EA">
      <w:pPr>
        <w:autoSpaceDE w:val="0"/>
        <w:autoSpaceDN w:val="0"/>
        <w:adjustRightInd w:val="0"/>
        <w:spacing w:before="240" w:after="240"/>
        <w:contextualSpacing/>
        <w:jc w:val="both"/>
        <w:rPr>
          <w:rFonts w:ascii="ITC Avant Garde" w:hAnsi="ITC Avant Garde"/>
          <w:bCs/>
          <w:sz w:val="22"/>
          <w:szCs w:val="22"/>
        </w:rPr>
      </w:pPr>
      <w:r w:rsidRPr="004D22EA">
        <w:rPr>
          <w:rFonts w:ascii="ITC Avant Garde" w:hAnsi="ITC Avant Garde"/>
          <w:bCs/>
          <w:sz w:val="22"/>
          <w:szCs w:val="22"/>
        </w:rPr>
        <w:t xml:space="preserve">Por otra parte, </w:t>
      </w:r>
      <w:proofErr w:type="spellStart"/>
      <w:r w:rsidR="00621D11" w:rsidRPr="004D22EA">
        <w:rPr>
          <w:rFonts w:ascii="ITC Avant Garde" w:hAnsi="ITC Avant Garde"/>
          <w:bCs/>
          <w:sz w:val="22"/>
          <w:szCs w:val="22"/>
        </w:rPr>
        <w:t>Altán</w:t>
      </w:r>
      <w:proofErr w:type="spellEnd"/>
      <w:r w:rsidR="00621D11" w:rsidRPr="004D22EA">
        <w:rPr>
          <w:rFonts w:ascii="ITC Avant Garde" w:hAnsi="ITC Avant Garde"/>
          <w:bCs/>
          <w:sz w:val="22"/>
          <w:szCs w:val="22"/>
        </w:rPr>
        <w:t xml:space="preserve"> Redes acompañó a la Solicitud de Enajenación de Acciones el</w:t>
      </w:r>
      <w:r w:rsidRPr="004D22EA">
        <w:rPr>
          <w:rFonts w:ascii="ITC Avant Garde" w:hAnsi="ITC Avant Garde"/>
          <w:bCs/>
          <w:sz w:val="22"/>
          <w:szCs w:val="22"/>
        </w:rPr>
        <w:t xml:space="preserve"> comprobante de pago de derechos por concepto del estudio de solicitud de cambios o modificaciones de características técnicas, administrativas operativas y legales, relativa a la suscripción o enajenación de acciones o partes sociales que requiera autorización en términos de la Ley, atendiendo de esta forma a lo dispuesto por el artículo 174-C fracción VI</w:t>
      </w:r>
      <w:r w:rsidR="00621D11" w:rsidRPr="004D22EA">
        <w:rPr>
          <w:rFonts w:ascii="ITC Avant Garde" w:hAnsi="ITC Avant Garde"/>
          <w:bCs/>
          <w:sz w:val="22"/>
          <w:szCs w:val="22"/>
        </w:rPr>
        <w:t>I de la Ley Federal de Derechos.</w:t>
      </w:r>
    </w:p>
    <w:p w14:paraId="53F720A5" w14:textId="77777777" w:rsidR="004D22EA" w:rsidRPr="004D22EA" w:rsidRDefault="00F80A22" w:rsidP="004D22EA">
      <w:pPr>
        <w:autoSpaceDE w:val="0"/>
        <w:autoSpaceDN w:val="0"/>
        <w:adjustRightInd w:val="0"/>
        <w:spacing w:before="240" w:after="240"/>
        <w:contextualSpacing/>
        <w:jc w:val="both"/>
        <w:rPr>
          <w:rFonts w:ascii="ITC Avant Garde" w:hAnsi="ITC Avant Garde"/>
          <w:bCs/>
          <w:sz w:val="22"/>
          <w:szCs w:val="22"/>
        </w:rPr>
      </w:pPr>
      <w:r w:rsidRPr="004D22EA">
        <w:rPr>
          <w:rFonts w:ascii="ITC Avant Garde" w:hAnsi="ITC Avant Garde"/>
          <w:bCs/>
          <w:sz w:val="22"/>
          <w:szCs w:val="22"/>
        </w:rPr>
        <w:t xml:space="preserve">Ahora bien, en relación con el tercer requisito de procedencia este Instituto </w:t>
      </w:r>
      <w:r w:rsidR="00621D11" w:rsidRPr="004D22EA">
        <w:rPr>
          <w:rFonts w:ascii="ITC Avant Garde" w:hAnsi="ITC Avant Garde"/>
          <w:bCs/>
          <w:sz w:val="22"/>
          <w:szCs w:val="22"/>
        </w:rPr>
        <w:t>mediante oficio IFT/223/UCS/185/2017 notificado el 21</w:t>
      </w:r>
      <w:r w:rsidRPr="004D22EA">
        <w:rPr>
          <w:rFonts w:ascii="ITC Avant Garde" w:hAnsi="ITC Avant Garde"/>
          <w:bCs/>
          <w:sz w:val="22"/>
          <w:szCs w:val="22"/>
        </w:rPr>
        <w:t xml:space="preserve"> de </w:t>
      </w:r>
      <w:r w:rsidR="00621D11" w:rsidRPr="004D22EA">
        <w:rPr>
          <w:rFonts w:ascii="ITC Avant Garde" w:hAnsi="ITC Avant Garde"/>
          <w:bCs/>
          <w:sz w:val="22"/>
          <w:szCs w:val="22"/>
        </w:rPr>
        <w:t>febrero de 2017</w:t>
      </w:r>
      <w:r w:rsidRPr="004D22EA">
        <w:rPr>
          <w:rFonts w:ascii="ITC Avant Garde" w:hAnsi="ITC Avant Garde"/>
          <w:bCs/>
          <w:sz w:val="22"/>
          <w:szCs w:val="22"/>
        </w:rPr>
        <w:t>, solicitó a la Secretaría la opinión técnica respecto de la Solicitud de Enajenación de Acciones.</w:t>
      </w:r>
      <w:r w:rsidR="005F614E" w:rsidRPr="004D22EA">
        <w:rPr>
          <w:rFonts w:ascii="ITC Avant Garde" w:hAnsi="ITC Avant Garde"/>
          <w:bCs/>
          <w:sz w:val="22"/>
          <w:szCs w:val="22"/>
        </w:rPr>
        <w:t xml:space="preserve"> Al respecto, mediante oficio 1.-030 </w:t>
      </w:r>
      <w:r w:rsidR="008251C0" w:rsidRPr="004D22EA">
        <w:rPr>
          <w:rFonts w:ascii="ITC Avant Garde" w:hAnsi="ITC Avant Garde"/>
          <w:bCs/>
          <w:sz w:val="22"/>
          <w:szCs w:val="22"/>
        </w:rPr>
        <w:t xml:space="preserve">de fecha 27 de febrero de 2017, </w:t>
      </w:r>
      <w:r w:rsidR="005F614E" w:rsidRPr="004D22EA">
        <w:rPr>
          <w:rFonts w:ascii="ITC Avant Garde" w:hAnsi="ITC Avant Garde"/>
          <w:bCs/>
          <w:sz w:val="22"/>
          <w:szCs w:val="22"/>
        </w:rPr>
        <w:t xml:space="preserve">la citada Dependencia emitió opinión favorable con respecto a la citada solicitud. </w:t>
      </w:r>
    </w:p>
    <w:p w14:paraId="4CDADF5A" w14:textId="77777777" w:rsidR="004D22EA" w:rsidRPr="004D22EA" w:rsidRDefault="00B84D08" w:rsidP="004D22EA">
      <w:pPr>
        <w:autoSpaceDE w:val="0"/>
        <w:autoSpaceDN w:val="0"/>
        <w:adjustRightInd w:val="0"/>
        <w:spacing w:before="240" w:after="240"/>
        <w:contextualSpacing/>
        <w:jc w:val="both"/>
        <w:rPr>
          <w:rFonts w:ascii="ITC Avant Garde" w:hAnsi="ITC Avant Garde"/>
          <w:bCs/>
          <w:sz w:val="22"/>
          <w:szCs w:val="22"/>
        </w:rPr>
      </w:pPr>
      <w:r w:rsidRPr="004D22EA">
        <w:rPr>
          <w:rFonts w:ascii="ITC Avant Garde" w:hAnsi="ITC Avant Garde"/>
          <w:bCs/>
          <w:sz w:val="22"/>
          <w:szCs w:val="22"/>
        </w:rPr>
        <w:t>Finalmente</w:t>
      </w:r>
      <w:r w:rsidR="00AB5063" w:rsidRPr="004D22EA">
        <w:rPr>
          <w:rFonts w:ascii="ITC Avant Garde" w:hAnsi="ITC Avant Garde"/>
          <w:bCs/>
          <w:sz w:val="22"/>
          <w:szCs w:val="22"/>
        </w:rPr>
        <w:t xml:space="preserve">, en atención al escrito de desistimiento presentado por Altán Redes, mismo que se señaló en el Antecedente XII de la presente Resolución </w:t>
      </w:r>
      <w:r w:rsidR="00365D9D" w:rsidRPr="004D22EA">
        <w:rPr>
          <w:rFonts w:ascii="ITC Avant Garde" w:hAnsi="ITC Avant Garde"/>
          <w:bCs/>
          <w:sz w:val="22"/>
          <w:szCs w:val="22"/>
        </w:rPr>
        <w:t>y por lo que respecta al otorgamiento en garantía y cesión de</w:t>
      </w:r>
      <w:r w:rsidR="000D123D" w:rsidRPr="004D22EA">
        <w:rPr>
          <w:rFonts w:ascii="ITC Avant Garde" w:hAnsi="ITC Avant Garde"/>
          <w:bCs/>
          <w:sz w:val="22"/>
          <w:szCs w:val="22"/>
        </w:rPr>
        <w:t xml:space="preserve"> los derechos derivados del Contrato de Asociación Público-Privada que celebró con el Organismo Promotor de Inversiones en Telecomunicaciones y Telecomunicaciones de México el 24 de enero de 2017, incluyendo los derechos de arrendatario del espectro radioeléctrico a que se refiere la sección 4.1. </w:t>
      </w:r>
      <w:proofErr w:type="gramStart"/>
      <w:r w:rsidR="000D123D" w:rsidRPr="004D22EA">
        <w:rPr>
          <w:rFonts w:ascii="ITC Avant Garde" w:hAnsi="ITC Avant Garde"/>
          <w:bCs/>
          <w:sz w:val="22"/>
          <w:szCs w:val="22"/>
        </w:rPr>
        <w:t>d</w:t>
      </w:r>
      <w:r w:rsidR="006816D2" w:rsidRPr="004D22EA">
        <w:rPr>
          <w:rFonts w:ascii="ITC Avant Garde" w:hAnsi="ITC Avant Garde"/>
          <w:bCs/>
          <w:sz w:val="22"/>
          <w:szCs w:val="22"/>
        </w:rPr>
        <w:t>el</w:t>
      </w:r>
      <w:proofErr w:type="gramEnd"/>
      <w:r w:rsidR="006816D2" w:rsidRPr="004D22EA">
        <w:rPr>
          <w:rFonts w:ascii="ITC Avant Garde" w:hAnsi="ITC Avant Garde"/>
          <w:bCs/>
          <w:sz w:val="22"/>
          <w:szCs w:val="22"/>
        </w:rPr>
        <w:t xml:space="preserve"> citado contrato, sus derechos sobre 1 (un) par de hilos de fibra óptica de la red troncal a que se refiere la sección 4.2.1 del citado contrato, así como todos aquellos bienes y derechos de los que Altán Redes es titular y será titular, </w:t>
      </w:r>
      <w:r w:rsidR="00365D9D" w:rsidRPr="004D22EA">
        <w:rPr>
          <w:rFonts w:ascii="ITC Avant Garde" w:hAnsi="ITC Avant Garde"/>
          <w:bCs/>
          <w:sz w:val="22"/>
          <w:szCs w:val="22"/>
        </w:rPr>
        <w:t xml:space="preserve">el mismo deberá contenerse en el instrumento respectivo, el cual </w:t>
      </w:r>
      <w:r w:rsidR="006816D2" w:rsidRPr="004D22EA">
        <w:rPr>
          <w:rFonts w:ascii="ITC Avant Garde" w:hAnsi="ITC Avant Garde"/>
          <w:bCs/>
          <w:sz w:val="22"/>
          <w:szCs w:val="22"/>
        </w:rPr>
        <w:t>deberá</w:t>
      </w:r>
      <w:r w:rsidR="00365D9D" w:rsidRPr="004D22EA">
        <w:rPr>
          <w:rFonts w:ascii="ITC Avant Garde" w:hAnsi="ITC Avant Garde"/>
          <w:bCs/>
          <w:sz w:val="22"/>
          <w:szCs w:val="22"/>
        </w:rPr>
        <w:t>,</w:t>
      </w:r>
      <w:r w:rsidR="0074600A" w:rsidRPr="004D22EA">
        <w:rPr>
          <w:rFonts w:ascii="ITC Avant Garde" w:hAnsi="ITC Avant Garde"/>
          <w:bCs/>
          <w:sz w:val="22"/>
          <w:szCs w:val="22"/>
        </w:rPr>
        <w:t xml:space="preserve"> en su caso,</w:t>
      </w:r>
      <w:r w:rsidR="006816D2" w:rsidRPr="004D22EA">
        <w:rPr>
          <w:rFonts w:ascii="ITC Avant Garde" w:hAnsi="ITC Avant Garde"/>
          <w:bCs/>
          <w:sz w:val="22"/>
          <w:szCs w:val="22"/>
        </w:rPr>
        <w:t xml:space="preserve"> </w:t>
      </w:r>
      <w:r w:rsidR="00365D9D" w:rsidRPr="004D22EA">
        <w:rPr>
          <w:rFonts w:ascii="ITC Avant Garde" w:hAnsi="ITC Avant Garde"/>
          <w:bCs/>
          <w:sz w:val="22"/>
          <w:szCs w:val="22"/>
        </w:rPr>
        <w:t xml:space="preserve">ser </w:t>
      </w:r>
      <w:r w:rsidR="006816D2" w:rsidRPr="004D22EA">
        <w:rPr>
          <w:rFonts w:ascii="ITC Avant Garde" w:hAnsi="ITC Avant Garde"/>
          <w:bCs/>
          <w:sz w:val="22"/>
          <w:szCs w:val="22"/>
        </w:rPr>
        <w:t>inscri</w:t>
      </w:r>
      <w:r w:rsidR="00365D9D" w:rsidRPr="004D22EA">
        <w:rPr>
          <w:rFonts w:ascii="ITC Avant Garde" w:hAnsi="ITC Avant Garde"/>
          <w:bCs/>
          <w:sz w:val="22"/>
          <w:szCs w:val="22"/>
        </w:rPr>
        <w:t>to</w:t>
      </w:r>
      <w:r w:rsidR="006816D2" w:rsidRPr="004D22EA">
        <w:rPr>
          <w:rFonts w:ascii="ITC Avant Garde" w:hAnsi="ITC Avant Garde"/>
          <w:bCs/>
          <w:sz w:val="22"/>
          <w:szCs w:val="22"/>
        </w:rPr>
        <w:t xml:space="preserve"> en el Registro Público de Concesiones.</w:t>
      </w:r>
    </w:p>
    <w:p w14:paraId="5EE7701D" w14:textId="77777777" w:rsidR="004D22EA" w:rsidRPr="004D22EA" w:rsidRDefault="00F80A22" w:rsidP="004D22EA">
      <w:pPr>
        <w:autoSpaceDE w:val="0"/>
        <w:autoSpaceDN w:val="0"/>
        <w:adjustRightInd w:val="0"/>
        <w:spacing w:before="240" w:after="240"/>
        <w:contextualSpacing/>
        <w:jc w:val="both"/>
        <w:rPr>
          <w:rFonts w:ascii="ITC Avant Garde" w:hAnsi="ITC Avant Garde"/>
          <w:bCs/>
          <w:sz w:val="22"/>
          <w:szCs w:val="22"/>
        </w:rPr>
      </w:pPr>
      <w:r w:rsidRPr="004D22EA">
        <w:rPr>
          <w:rFonts w:ascii="ITC Avant Garde" w:hAnsi="ITC Avant Garde"/>
          <w:bCs/>
          <w:sz w:val="22"/>
          <w:szCs w:val="22"/>
        </w:rPr>
        <w:t xml:space="preserve">Por lo anteriormente señalado, y con fundamento en los artículos 28 párrafos décimo </w:t>
      </w:r>
      <w:r w:rsidR="00093253" w:rsidRPr="004D22EA">
        <w:rPr>
          <w:rFonts w:ascii="ITC Avant Garde" w:hAnsi="ITC Avant Garde"/>
          <w:bCs/>
          <w:sz w:val="22"/>
          <w:szCs w:val="22"/>
        </w:rPr>
        <w:t xml:space="preserve">quinto, </w:t>
      </w:r>
      <w:r w:rsidRPr="004D22EA">
        <w:rPr>
          <w:rFonts w:ascii="ITC Avant Garde" w:hAnsi="ITC Avant Garde"/>
          <w:bCs/>
          <w:sz w:val="22"/>
          <w:szCs w:val="22"/>
        </w:rPr>
        <w:t>sexto y décimo séptimo de la Constitución Política de los Estados Unidos Mexicanos; 6 fracción IV, 7, 15 fracción IV, 17 fracción I</w:t>
      </w:r>
      <w:r w:rsidR="00BD0CEE" w:rsidRPr="004D22EA">
        <w:rPr>
          <w:rFonts w:ascii="ITC Avant Garde" w:hAnsi="ITC Avant Garde"/>
          <w:bCs/>
          <w:sz w:val="22"/>
          <w:szCs w:val="22"/>
        </w:rPr>
        <w:t xml:space="preserve">, </w:t>
      </w:r>
      <w:r w:rsidRPr="004D22EA">
        <w:rPr>
          <w:rFonts w:ascii="ITC Avant Garde" w:hAnsi="ITC Avant Garde"/>
          <w:bCs/>
          <w:sz w:val="22"/>
          <w:szCs w:val="22"/>
        </w:rPr>
        <w:t>112</w:t>
      </w:r>
      <w:r w:rsidR="006816D2" w:rsidRPr="004D22EA">
        <w:rPr>
          <w:rFonts w:ascii="ITC Avant Garde" w:hAnsi="ITC Avant Garde"/>
          <w:bCs/>
          <w:sz w:val="22"/>
          <w:szCs w:val="22"/>
        </w:rPr>
        <w:t xml:space="preserve"> y 177 fracción XXII</w:t>
      </w:r>
      <w:r w:rsidRPr="004D22EA">
        <w:rPr>
          <w:rFonts w:ascii="ITC Avant Garde" w:hAnsi="ITC Avant Garde"/>
          <w:bCs/>
          <w:sz w:val="22"/>
          <w:szCs w:val="22"/>
        </w:rPr>
        <w:t xml:space="preserve"> de la Ley Federal de Telecomunicaciones y Radiodifusión; 5, 86 y 93 fracción I</w:t>
      </w:r>
      <w:r w:rsidR="00BD0CEE" w:rsidRPr="004D22EA">
        <w:rPr>
          <w:rFonts w:ascii="ITC Avant Garde" w:hAnsi="ITC Avant Garde"/>
          <w:bCs/>
          <w:sz w:val="22"/>
          <w:szCs w:val="22"/>
        </w:rPr>
        <w:t>II</w:t>
      </w:r>
      <w:r w:rsidRPr="004D22EA">
        <w:rPr>
          <w:rFonts w:ascii="ITC Avant Garde" w:hAnsi="ITC Avant Garde"/>
          <w:bCs/>
          <w:sz w:val="22"/>
          <w:szCs w:val="22"/>
        </w:rPr>
        <w:t xml:space="preserve"> de la Ley Federal de Competencia Económica; 11 fracción II, 35 fracción I, 36, 38 y 39 de la Ley Federal de Procedimiento Administrativo; </w:t>
      </w:r>
      <w:r w:rsidRPr="004D22EA">
        <w:rPr>
          <w:rFonts w:ascii="ITC Avant Garde" w:hAnsi="ITC Avant Garde"/>
          <w:bCs/>
          <w:color w:val="000000" w:themeColor="text1"/>
          <w:sz w:val="22"/>
          <w:szCs w:val="22"/>
          <w:lang w:eastAsia="es-MX"/>
        </w:rPr>
        <w:t>174-C, fracción VII, de la Ley Federal de Derechos</w:t>
      </w:r>
      <w:r w:rsidRPr="004D22EA">
        <w:rPr>
          <w:rFonts w:ascii="ITC Avant Garde" w:hAnsi="ITC Avant Garde"/>
          <w:bCs/>
          <w:sz w:val="22"/>
          <w:szCs w:val="22"/>
        </w:rPr>
        <w:t>; y 1, 6 fracción XXXVII</w:t>
      </w:r>
      <w:r w:rsidR="00BD0CEE" w:rsidRPr="004D22EA">
        <w:rPr>
          <w:rFonts w:ascii="ITC Avant Garde" w:hAnsi="ITC Avant Garde"/>
          <w:bCs/>
          <w:sz w:val="22"/>
          <w:szCs w:val="22"/>
        </w:rPr>
        <w:t>I, 32, 33 fracciones II y</w:t>
      </w:r>
      <w:r w:rsidRPr="004D22EA">
        <w:rPr>
          <w:rFonts w:ascii="ITC Avant Garde" w:hAnsi="ITC Avant Garde"/>
          <w:bCs/>
          <w:sz w:val="22"/>
          <w:szCs w:val="22"/>
        </w:rPr>
        <w:t xml:space="preserve"> IV del Estatuto Orgánico del Instituto Federal de Telecomunicaciones, este órgano autónomo emite los siguientes:</w:t>
      </w:r>
    </w:p>
    <w:p w14:paraId="70E7FAA1" w14:textId="77777777" w:rsidR="004D22EA" w:rsidRPr="004D22EA" w:rsidRDefault="00F80A22" w:rsidP="004D22EA">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4D22EA">
        <w:rPr>
          <w:rFonts w:ascii="ITC Avant Garde" w:eastAsiaTheme="majorEastAsia" w:hAnsi="ITC Avant Garde" w:cstheme="majorBidi"/>
          <w:color w:val="000000" w:themeColor="text1"/>
          <w:sz w:val="22"/>
          <w:szCs w:val="22"/>
          <w:lang w:eastAsia="en-US"/>
        </w:rPr>
        <w:lastRenderedPageBreak/>
        <w:t>RESOLUTIVOS</w:t>
      </w:r>
    </w:p>
    <w:p w14:paraId="0A1546BE" w14:textId="6FC4EDE9" w:rsidR="00F80A22" w:rsidRPr="004D22EA" w:rsidRDefault="00F80A22" w:rsidP="004D22EA">
      <w:pPr>
        <w:spacing w:after="240"/>
        <w:contextualSpacing/>
        <w:jc w:val="both"/>
        <w:rPr>
          <w:rFonts w:ascii="ITC Avant Garde" w:hAnsi="ITC Avant Garde"/>
          <w:bCs/>
          <w:sz w:val="22"/>
          <w:szCs w:val="22"/>
        </w:rPr>
      </w:pPr>
      <w:r w:rsidRPr="004D22EA">
        <w:rPr>
          <w:rFonts w:ascii="ITC Avant Garde" w:hAnsi="ITC Avant Garde"/>
          <w:b/>
          <w:bCs/>
          <w:sz w:val="22"/>
          <w:szCs w:val="22"/>
        </w:rPr>
        <w:t xml:space="preserve">PRIMERO.- </w:t>
      </w:r>
      <w:r w:rsidRPr="004D22EA">
        <w:rPr>
          <w:rFonts w:ascii="ITC Avant Garde" w:hAnsi="ITC Avant Garde"/>
          <w:bCs/>
          <w:sz w:val="22"/>
          <w:szCs w:val="22"/>
        </w:rPr>
        <w:t xml:space="preserve">Se autoriza a la empresa </w:t>
      </w:r>
      <w:r w:rsidR="00BD0CEE" w:rsidRPr="004D22EA">
        <w:rPr>
          <w:rFonts w:ascii="ITC Avant Garde" w:hAnsi="ITC Avant Garde"/>
          <w:bCs/>
          <w:sz w:val="22"/>
          <w:szCs w:val="22"/>
        </w:rPr>
        <w:t>Altán Redes, S.A.P.I. de C.V.</w:t>
      </w:r>
      <w:r w:rsidRPr="004D22EA">
        <w:rPr>
          <w:rFonts w:ascii="ITC Avant Garde" w:hAnsi="ITC Avant Garde"/>
          <w:bCs/>
          <w:sz w:val="22"/>
          <w:szCs w:val="22"/>
        </w:rPr>
        <w:t xml:space="preserve"> a llevar a cabo la enajenación de acciones solicitada</w:t>
      </w:r>
      <w:r w:rsidR="00703564" w:rsidRPr="004D22EA">
        <w:rPr>
          <w:rFonts w:ascii="ITC Avant Garde" w:hAnsi="ITC Avant Garde"/>
          <w:bCs/>
          <w:sz w:val="22"/>
          <w:szCs w:val="22"/>
        </w:rPr>
        <w:t>, en términos de lo señalado por</w:t>
      </w:r>
      <w:r w:rsidR="00134135" w:rsidRPr="004D22EA">
        <w:rPr>
          <w:rFonts w:ascii="ITC Avant Garde" w:hAnsi="ITC Avant Garde"/>
          <w:bCs/>
          <w:sz w:val="22"/>
          <w:szCs w:val="22"/>
        </w:rPr>
        <w:t xml:space="preserve"> el Considerando Cuarto de la presente Resolución</w:t>
      </w:r>
      <w:r w:rsidRPr="004D22EA">
        <w:rPr>
          <w:rFonts w:ascii="ITC Avant Garde" w:hAnsi="ITC Avant Garde"/>
          <w:bCs/>
          <w:sz w:val="22"/>
          <w:szCs w:val="22"/>
        </w:rPr>
        <w:t>, a efecto de que la estructura accionaria de dicha concesionaria quede de la siguiente manera:</w:t>
      </w:r>
    </w:p>
    <w:p w14:paraId="6D479434" w14:textId="77777777" w:rsidR="00F80A22" w:rsidRPr="004D22EA" w:rsidRDefault="00F80A22" w:rsidP="004D22EA">
      <w:pPr>
        <w:spacing w:after="240"/>
        <w:contextualSpacing/>
        <w:jc w:val="both"/>
        <w:rPr>
          <w:rFonts w:ascii="ITC Avant Garde" w:hAnsi="ITC Avant Garde"/>
          <w:bCs/>
          <w:sz w:val="23"/>
          <w:szCs w:val="23"/>
        </w:rPr>
      </w:pPr>
    </w:p>
    <w:tbl>
      <w:tblPr>
        <w:tblStyle w:val="Tablaconcuadrcula"/>
        <w:tblW w:w="0" w:type="auto"/>
        <w:jc w:val="center"/>
        <w:tblLook w:val="04A0" w:firstRow="1" w:lastRow="0" w:firstColumn="1" w:lastColumn="0" w:noHBand="0" w:noVBand="1"/>
        <w:tblCaption w:val="Estructura accionaria autorizada para Altán Redes"/>
        <w:tblDescription w:val="En una tabla de 6 columnas y 4 filas, se proporcionan la información de como quedó la estructura accionaria de Altán Redes. "/>
      </w:tblPr>
      <w:tblGrid>
        <w:gridCol w:w="2942"/>
        <w:gridCol w:w="1225"/>
        <w:gridCol w:w="1105"/>
        <w:gridCol w:w="1346"/>
        <w:gridCol w:w="1177"/>
        <w:gridCol w:w="1599"/>
      </w:tblGrid>
      <w:tr w:rsidR="004D22EA" w:rsidRPr="004D22EA" w14:paraId="37592B60" w14:textId="77777777" w:rsidTr="004D22EA">
        <w:trPr>
          <w:tblHeader/>
          <w:jc w:val="center"/>
        </w:trPr>
        <w:tc>
          <w:tcPr>
            <w:tcW w:w="2942" w:type="dxa"/>
            <w:shd w:val="clear" w:color="auto" w:fill="A6A6A6" w:themeFill="background1" w:themeFillShade="A6"/>
            <w:vAlign w:val="center"/>
          </w:tcPr>
          <w:p w14:paraId="0887196E" w14:textId="18D8220E" w:rsidR="004D22EA" w:rsidRPr="004D22EA" w:rsidRDefault="004D22EA" w:rsidP="004D22EA">
            <w:pPr>
              <w:autoSpaceDE w:val="0"/>
              <w:autoSpaceDN w:val="0"/>
              <w:adjustRightInd w:val="0"/>
              <w:spacing w:after="240"/>
              <w:contextualSpacing/>
              <w:jc w:val="center"/>
              <w:rPr>
                <w:rFonts w:ascii="ITC Avant Garde" w:hAnsi="ITC Avant Garde"/>
                <w:bCs/>
                <w:color w:val="000000"/>
                <w:sz w:val="16"/>
                <w:szCs w:val="16"/>
                <w:lang w:val="es-MX" w:eastAsia="es-MX"/>
              </w:rPr>
            </w:pPr>
            <w:r w:rsidRPr="004D22EA">
              <w:rPr>
                <w:rFonts w:ascii="ITC Avant Garde" w:hAnsi="ITC Avant Garde"/>
                <w:b/>
                <w:bCs/>
                <w:color w:val="000000"/>
                <w:sz w:val="16"/>
                <w:szCs w:val="16"/>
                <w:lang w:eastAsia="es-MX"/>
              </w:rPr>
              <w:t>Accionista</w:t>
            </w:r>
          </w:p>
        </w:tc>
        <w:tc>
          <w:tcPr>
            <w:tcW w:w="1225" w:type="dxa"/>
            <w:shd w:val="clear" w:color="auto" w:fill="A6A6A6" w:themeFill="background1" w:themeFillShade="A6"/>
            <w:vAlign w:val="center"/>
          </w:tcPr>
          <w:p w14:paraId="41E73647" w14:textId="60487735" w:rsidR="004D22EA" w:rsidRPr="004D22EA" w:rsidRDefault="004D22EA" w:rsidP="004D22EA">
            <w:pPr>
              <w:autoSpaceDE w:val="0"/>
              <w:autoSpaceDN w:val="0"/>
              <w:adjustRightInd w:val="0"/>
              <w:spacing w:after="240"/>
              <w:contextualSpacing/>
              <w:jc w:val="center"/>
              <w:rPr>
                <w:rFonts w:ascii="ITC Avant Garde" w:hAnsi="ITC Avant Garde"/>
                <w:bCs/>
                <w:color w:val="000000"/>
                <w:sz w:val="16"/>
                <w:szCs w:val="16"/>
                <w:lang w:val="en-GB" w:eastAsia="es-MX"/>
              </w:rPr>
            </w:pPr>
            <w:r w:rsidRPr="004D22EA">
              <w:rPr>
                <w:rFonts w:ascii="ITC Avant Garde" w:hAnsi="ITC Avant Garde"/>
                <w:b/>
                <w:bCs/>
                <w:color w:val="000000"/>
                <w:sz w:val="16"/>
                <w:szCs w:val="16"/>
                <w:lang w:eastAsia="es-MX"/>
              </w:rPr>
              <w:t>Acciones Clase I</w:t>
            </w:r>
            <w:r w:rsidRPr="004D22EA">
              <w:rPr>
                <w:rFonts w:ascii="ITC Avant Garde" w:hAnsi="ITC Avant Garde"/>
                <w:b/>
                <w:bCs/>
                <w:color w:val="000000"/>
                <w:sz w:val="16"/>
                <w:szCs w:val="16"/>
                <w:lang w:eastAsia="es-MX"/>
              </w:rPr>
              <w:t xml:space="preserve"> Serie A</w:t>
            </w:r>
          </w:p>
        </w:tc>
        <w:tc>
          <w:tcPr>
            <w:tcW w:w="1105" w:type="dxa"/>
            <w:shd w:val="clear" w:color="auto" w:fill="A6A6A6" w:themeFill="background1" w:themeFillShade="A6"/>
            <w:vAlign w:val="center"/>
          </w:tcPr>
          <w:p w14:paraId="5E1A06CD" w14:textId="571207D1" w:rsidR="004D22EA" w:rsidRPr="004D22EA" w:rsidRDefault="004D22EA" w:rsidP="004D22EA">
            <w:pPr>
              <w:autoSpaceDE w:val="0"/>
              <w:autoSpaceDN w:val="0"/>
              <w:adjustRightInd w:val="0"/>
              <w:spacing w:after="240"/>
              <w:contextualSpacing/>
              <w:jc w:val="center"/>
              <w:rPr>
                <w:rFonts w:ascii="ITC Avant Garde" w:hAnsi="ITC Avant Garde"/>
                <w:bCs/>
                <w:color w:val="000000"/>
                <w:sz w:val="16"/>
                <w:szCs w:val="16"/>
                <w:lang w:val="en-GB" w:eastAsia="es-MX"/>
              </w:rPr>
            </w:pPr>
            <w:r w:rsidRPr="004D22EA">
              <w:rPr>
                <w:rFonts w:ascii="ITC Avant Garde" w:hAnsi="ITC Avant Garde"/>
                <w:b/>
                <w:bCs/>
                <w:color w:val="000000"/>
                <w:sz w:val="16"/>
                <w:szCs w:val="16"/>
                <w:lang w:eastAsia="es-MX"/>
              </w:rPr>
              <w:t xml:space="preserve">Acciones Clase I </w:t>
            </w:r>
            <w:r w:rsidRPr="004D22EA">
              <w:rPr>
                <w:rFonts w:ascii="ITC Avant Garde" w:hAnsi="ITC Avant Garde"/>
                <w:b/>
                <w:bCs/>
                <w:color w:val="000000"/>
                <w:sz w:val="16"/>
                <w:szCs w:val="16"/>
                <w:lang w:eastAsia="es-MX"/>
              </w:rPr>
              <w:t>Serie B</w:t>
            </w:r>
          </w:p>
        </w:tc>
        <w:tc>
          <w:tcPr>
            <w:tcW w:w="1346" w:type="dxa"/>
            <w:shd w:val="clear" w:color="auto" w:fill="A6A6A6" w:themeFill="background1" w:themeFillShade="A6"/>
            <w:vAlign w:val="center"/>
          </w:tcPr>
          <w:p w14:paraId="2783CB7A" w14:textId="69C2B56A" w:rsidR="004D22EA" w:rsidRPr="004D22EA" w:rsidRDefault="004D22EA" w:rsidP="004D22EA">
            <w:pPr>
              <w:autoSpaceDE w:val="0"/>
              <w:autoSpaceDN w:val="0"/>
              <w:adjustRightInd w:val="0"/>
              <w:spacing w:after="240"/>
              <w:contextualSpacing/>
              <w:jc w:val="center"/>
              <w:rPr>
                <w:rFonts w:ascii="ITC Avant Garde" w:hAnsi="ITC Avant Garde"/>
                <w:bCs/>
                <w:color w:val="000000"/>
                <w:sz w:val="16"/>
                <w:szCs w:val="16"/>
                <w:lang w:val="en-GB" w:eastAsia="es-MX"/>
              </w:rPr>
            </w:pPr>
            <w:r w:rsidRPr="004D22EA">
              <w:rPr>
                <w:rFonts w:ascii="ITC Avant Garde" w:hAnsi="ITC Avant Garde"/>
                <w:b/>
                <w:bCs/>
                <w:color w:val="000000"/>
                <w:sz w:val="16"/>
                <w:szCs w:val="16"/>
                <w:lang w:eastAsia="es-MX"/>
              </w:rPr>
              <w:t>Acciones Clase II</w:t>
            </w:r>
            <w:r w:rsidRPr="004D22EA">
              <w:rPr>
                <w:rFonts w:ascii="ITC Avant Garde" w:hAnsi="ITC Avant Garde"/>
                <w:b/>
                <w:bCs/>
                <w:color w:val="000000"/>
                <w:sz w:val="16"/>
                <w:szCs w:val="16"/>
                <w:lang w:eastAsia="es-MX"/>
              </w:rPr>
              <w:t xml:space="preserve"> Serie A</w:t>
            </w:r>
          </w:p>
        </w:tc>
        <w:tc>
          <w:tcPr>
            <w:tcW w:w="1177" w:type="dxa"/>
            <w:shd w:val="clear" w:color="auto" w:fill="A6A6A6" w:themeFill="background1" w:themeFillShade="A6"/>
            <w:vAlign w:val="center"/>
          </w:tcPr>
          <w:p w14:paraId="0621DB78" w14:textId="6DB69133" w:rsidR="004D22EA" w:rsidRPr="004D22EA" w:rsidRDefault="004D22EA" w:rsidP="004D22EA">
            <w:pPr>
              <w:autoSpaceDE w:val="0"/>
              <w:autoSpaceDN w:val="0"/>
              <w:adjustRightInd w:val="0"/>
              <w:spacing w:after="240"/>
              <w:contextualSpacing/>
              <w:jc w:val="center"/>
              <w:rPr>
                <w:rFonts w:ascii="ITC Avant Garde" w:hAnsi="ITC Avant Garde"/>
                <w:bCs/>
                <w:color w:val="000000"/>
                <w:sz w:val="16"/>
                <w:szCs w:val="16"/>
                <w:lang w:val="en-GB" w:eastAsia="es-MX"/>
              </w:rPr>
            </w:pPr>
            <w:r w:rsidRPr="004D22EA">
              <w:rPr>
                <w:rFonts w:ascii="ITC Avant Garde" w:hAnsi="ITC Avant Garde"/>
                <w:b/>
                <w:bCs/>
                <w:color w:val="000000"/>
                <w:sz w:val="16"/>
                <w:szCs w:val="16"/>
                <w:lang w:eastAsia="es-MX"/>
              </w:rPr>
              <w:t>Acciones Clase II</w:t>
            </w:r>
            <w:r w:rsidRPr="004D22EA">
              <w:rPr>
                <w:rFonts w:ascii="ITC Avant Garde" w:hAnsi="ITC Avant Garde"/>
                <w:b/>
                <w:bCs/>
                <w:color w:val="000000"/>
                <w:sz w:val="16"/>
                <w:szCs w:val="16"/>
                <w:lang w:eastAsia="es-MX"/>
              </w:rPr>
              <w:t xml:space="preserve"> Serie B</w:t>
            </w:r>
          </w:p>
        </w:tc>
        <w:tc>
          <w:tcPr>
            <w:tcW w:w="1599" w:type="dxa"/>
            <w:shd w:val="clear" w:color="auto" w:fill="A6A6A6" w:themeFill="background1" w:themeFillShade="A6"/>
            <w:vAlign w:val="center"/>
          </w:tcPr>
          <w:p w14:paraId="5CA2279F" w14:textId="77777777" w:rsidR="004D22EA" w:rsidRPr="004D22EA" w:rsidRDefault="004D22EA" w:rsidP="004D22EA">
            <w:pPr>
              <w:autoSpaceDE w:val="0"/>
              <w:autoSpaceDN w:val="0"/>
              <w:adjustRightInd w:val="0"/>
              <w:spacing w:after="240"/>
              <w:contextualSpacing/>
              <w:jc w:val="center"/>
              <w:rPr>
                <w:rFonts w:ascii="ITC Avant Garde" w:hAnsi="ITC Avant Garde"/>
                <w:b/>
                <w:bCs/>
                <w:color w:val="000000"/>
                <w:sz w:val="16"/>
                <w:szCs w:val="16"/>
                <w:lang w:eastAsia="es-MX"/>
              </w:rPr>
            </w:pPr>
            <w:r w:rsidRPr="004D22EA">
              <w:rPr>
                <w:rFonts w:ascii="ITC Avant Garde" w:hAnsi="ITC Avant Garde"/>
                <w:b/>
                <w:bCs/>
                <w:color w:val="000000"/>
                <w:sz w:val="16"/>
                <w:szCs w:val="16"/>
                <w:lang w:eastAsia="es-MX"/>
              </w:rPr>
              <w:t>Participación</w:t>
            </w:r>
          </w:p>
          <w:p w14:paraId="5BED3D65" w14:textId="53D6D71A" w:rsidR="004D22EA" w:rsidRPr="004D22EA" w:rsidRDefault="004D22EA" w:rsidP="004D22EA">
            <w:pPr>
              <w:autoSpaceDE w:val="0"/>
              <w:autoSpaceDN w:val="0"/>
              <w:adjustRightInd w:val="0"/>
              <w:spacing w:after="240"/>
              <w:contextualSpacing/>
              <w:jc w:val="center"/>
              <w:rPr>
                <w:rFonts w:ascii="ITC Avant Garde" w:hAnsi="ITC Avant Garde"/>
                <w:bCs/>
                <w:color w:val="000000"/>
                <w:sz w:val="16"/>
                <w:szCs w:val="16"/>
                <w:lang w:val="en-GB" w:eastAsia="es-MX"/>
              </w:rPr>
            </w:pPr>
            <w:r w:rsidRPr="004D22EA">
              <w:rPr>
                <w:rFonts w:ascii="ITC Avant Garde" w:hAnsi="ITC Avant Garde"/>
                <w:b/>
                <w:bCs/>
                <w:color w:val="000000"/>
                <w:sz w:val="16"/>
                <w:szCs w:val="16"/>
                <w:lang w:eastAsia="es-MX"/>
              </w:rPr>
              <w:t>%</w:t>
            </w:r>
          </w:p>
        </w:tc>
      </w:tr>
      <w:tr w:rsidR="004D22EA" w:rsidRPr="004D22EA" w14:paraId="0CFC391E" w14:textId="77777777" w:rsidTr="004D22EA">
        <w:trPr>
          <w:jc w:val="center"/>
        </w:trPr>
        <w:tc>
          <w:tcPr>
            <w:tcW w:w="2942" w:type="dxa"/>
          </w:tcPr>
          <w:p w14:paraId="765E3E91" w14:textId="77777777" w:rsidR="004D22EA" w:rsidRPr="004D22EA" w:rsidRDefault="004D22EA" w:rsidP="004D22EA">
            <w:pPr>
              <w:autoSpaceDE w:val="0"/>
              <w:autoSpaceDN w:val="0"/>
              <w:adjustRightInd w:val="0"/>
              <w:spacing w:after="240"/>
              <w:contextualSpacing/>
              <w:jc w:val="both"/>
              <w:rPr>
                <w:rFonts w:ascii="ITC Avant Garde" w:hAnsi="ITC Avant Garde"/>
                <w:bCs/>
                <w:color w:val="000000"/>
                <w:sz w:val="16"/>
                <w:szCs w:val="16"/>
                <w:lang w:val="es-MX" w:eastAsia="es-MX"/>
              </w:rPr>
            </w:pPr>
            <w:proofErr w:type="spellStart"/>
            <w:r w:rsidRPr="004D22EA">
              <w:rPr>
                <w:rFonts w:ascii="ITC Avant Garde" w:hAnsi="ITC Avant Garde"/>
                <w:bCs/>
                <w:color w:val="000000"/>
                <w:sz w:val="16"/>
                <w:szCs w:val="16"/>
                <w:lang w:val="es-MX" w:eastAsia="es-MX"/>
              </w:rPr>
              <w:t>Scotiabank</w:t>
            </w:r>
            <w:proofErr w:type="spellEnd"/>
            <w:r w:rsidRPr="004D22EA">
              <w:rPr>
                <w:rFonts w:ascii="ITC Avant Garde" w:hAnsi="ITC Avant Garde"/>
                <w:bCs/>
                <w:color w:val="000000"/>
                <w:sz w:val="16"/>
                <w:szCs w:val="16"/>
                <w:lang w:val="es-MX" w:eastAsia="es-MX"/>
              </w:rPr>
              <w:t>, en carácter de Fiduciario del Fideicomiso de Garantía.</w:t>
            </w:r>
          </w:p>
        </w:tc>
        <w:tc>
          <w:tcPr>
            <w:tcW w:w="1225" w:type="dxa"/>
          </w:tcPr>
          <w:p w14:paraId="18933737" w14:textId="77777777"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n-GB" w:eastAsia="es-MX"/>
              </w:rPr>
            </w:pPr>
            <w:r w:rsidRPr="004D22EA">
              <w:rPr>
                <w:rFonts w:ascii="ITC Avant Garde" w:hAnsi="ITC Avant Garde"/>
                <w:bCs/>
                <w:color w:val="000000"/>
                <w:sz w:val="16"/>
                <w:szCs w:val="16"/>
                <w:lang w:val="en-GB" w:eastAsia="es-MX"/>
              </w:rPr>
              <w:t>91,989</w:t>
            </w:r>
          </w:p>
        </w:tc>
        <w:tc>
          <w:tcPr>
            <w:tcW w:w="1105" w:type="dxa"/>
          </w:tcPr>
          <w:p w14:paraId="62B9FA3E" w14:textId="77777777"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n-GB" w:eastAsia="es-MX"/>
              </w:rPr>
            </w:pPr>
            <w:r w:rsidRPr="004D22EA">
              <w:rPr>
                <w:rFonts w:ascii="ITC Avant Garde" w:hAnsi="ITC Avant Garde"/>
                <w:bCs/>
                <w:color w:val="000000"/>
                <w:sz w:val="16"/>
                <w:szCs w:val="16"/>
                <w:lang w:val="en-GB" w:eastAsia="es-MX"/>
              </w:rPr>
              <w:t>8,020</w:t>
            </w:r>
          </w:p>
        </w:tc>
        <w:tc>
          <w:tcPr>
            <w:tcW w:w="1346" w:type="dxa"/>
          </w:tcPr>
          <w:p w14:paraId="13C1FE62" w14:textId="77777777"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n-GB" w:eastAsia="es-MX"/>
              </w:rPr>
            </w:pPr>
            <w:r w:rsidRPr="004D22EA">
              <w:rPr>
                <w:rFonts w:ascii="ITC Avant Garde" w:hAnsi="ITC Avant Garde"/>
                <w:bCs/>
                <w:color w:val="000000"/>
                <w:sz w:val="16"/>
                <w:szCs w:val="16"/>
                <w:lang w:val="en-GB" w:eastAsia="es-MX"/>
              </w:rPr>
              <w:t>9,199,000</w:t>
            </w:r>
          </w:p>
        </w:tc>
        <w:tc>
          <w:tcPr>
            <w:tcW w:w="1177" w:type="dxa"/>
          </w:tcPr>
          <w:p w14:paraId="1448B19F" w14:textId="77777777"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n-GB" w:eastAsia="es-MX"/>
              </w:rPr>
            </w:pPr>
            <w:r w:rsidRPr="004D22EA">
              <w:rPr>
                <w:rFonts w:ascii="ITC Avant Garde" w:hAnsi="ITC Avant Garde"/>
                <w:bCs/>
                <w:color w:val="000000"/>
                <w:sz w:val="16"/>
                <w:szCs w:val="16"/>
                <w:lang w:val="en-GB" w:eastAsia="es-MX"/>
              </w:rPr>
              <w:t>802,000</w:t>
            </w:r>
          </w:p>
        </w:tc>
        <w:tc>
          <w:tcPr>
            <w:tcW w:w="1599" w:type="dxa"/>
          </w:tcPr>
          <w:p w14:paraId="43D2E732" w14:textId="77777777"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n-GB" w:eastAsia="es-MX"/>
              </w:rPr>
            </w:pPr>
            <w:r w:rsidRPr="004D22EA">
              <w:rPr>
                <w:rFonts w:ascii="ITC Avant Garde" w:hAnsi="ITC Avant Garde"/>
                <w:bCs/>
                <w:color w:val="000000"/>
                <w:sz w:val="16"/>
                <w:szCs w:val="16"/>
                <w:lang w:val="en-GB" w:eastAsia="es-MX"/>
              </w:rPr>
              <w:t>99.99</w:t>
            </w:r>
          </w:p>
        </w:tc>
      </w:tr>
      <w:tr w:rsidR="004D22EA" w:rsidRPr="004D22EA" w14:paraId="38B9D1A4" w14:textId="77777777" w:rsidTr="004D22EA">
        <w:trPr>
          <w:jc w:val="center"/>
        </w:trPr>
        <w:tc>
          <w:tcPr>
            <w:tcW w:w="2942" w:type="dxa"/>
          </w:tcPr>
          <w:p w14:paraId="4327E01B" w14:textId="77777777" w:rsidR="004D22EA" w:rsidRPr="004D22EA" w:rsidRDefault="004D22EA" w:rsidP="004D22EA">
            <w:pPr>
              <w:autoSpaceDE w:val="0"/>
              <w:autoSpaceDN w:val="0"/>
              <w:adjustRightInd w:val="0"/>
              <w:spacing w:after="240"/>
              <w:contextualSpacing/>
              <w:jc w:val="both"/>
              <w:rPr>
                <w:rFonts w:ascii="ITC Avant Garde" w:hAnsi="ITC Avant Garde"/>
                <w:bCs/>
                <w:color w:val="000000"/>
                <w:sz w:val="16"/>
                <w:szCs w:val="16"/>
                <w:lang w:val="en-GB" w:eastAsia="es-MX"/>
              </w:rPr>
            </w:pPr>
            <w:r w:rsidRPr="004D22EA">
              <w:rPr>
                <w:rFonts w:ascii="ITC Avant Garde" w:hAnsi="ITC Avant Garde"/>
                <w:bCs/>
                <w:color w:val="000000"/>
                <w:sz w:val="16"/>
                <w:szCs w:val="16"/>
                <w:lang w:val="en-GB" w:eastAsia="es-MX"/>
              </w:rPr>
              <w:t>Isla Guadalupe Investments, S.L.U (IGI)</w:t>
            </w:r>
          </w:p>
        </w:tc>
        <w:tc>
          <w:tcPr>
            <w:tcW w:w="1225" w:type="dxa"/>
          </w:tcPr>
          <w:p w14:paraId="6BCD4C17" w14:textId="77777777"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n-GB" w:eastAsia="es-MX"/>
              </w:rPr>
            </w:pPr>
            <w:r w:rsidRPr="004D22EA">
              <w:rPr>
                <w:rFonts w:ascii="ITC Avant Garde" w:hAnsi="ITC Avant Garde"/>
                <w:bCs/>
                <w:color w:val="000000"/>
                <w:sz w:val="16"/>
                <w:szCs w:val="16"/>
                <w:lang w:val="en-GB" w:eastAsia="es-MX"/>
              </w:rPr>
              <w:t>1</w:t>
            </w:r>
          </w:p>
        </w:tc>
        <w:tc>
          <w:tcPr>
            <w:tcW w:w="1105" w:type="dxa"/>
          </w:tcPr>
          <w:p w14:paraId="3DECF7DB" w14:textId="77777777"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n-GB" w:eastAsia="es-MX"/>
              </w:rPr>
            </w:pPr>
          </w:p>
        </w:tc>
        <w:tc>
          <w:tcPr>
            <w:tcW w:w="1346" w:type="dxa"/>
          </w:tcPr>
          <w:p w14:paraId="46ED5CCF" w14:textId="77777777"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n-GB" w:eastAsia="es-MX"/>
              </w:rPr>
            </w:pPr>
          </w:p>
        </w:tc>
        <w:tc>
          <w:tcPr>
            <w:tcW w:w="1177" w:type="dxa"/>
          </w:tcPr>
          <w:p w14:paraId="1B0E3948" w14:textId="77777777"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n-GB" w:eastAsia="es-MX"/>
              </w:rPr>
            </w:pPr>
          </w:p>
        </w:tc>
        <w:tc>
          <w:tcPr>
            <w:tcW w:w="1599" w:type="dxa"/>
          </w:tcPr>
          <w:p w14:paraId="0BB84EF5" w14:textId="77777777" w:rsidR="004D22EA" w:rsidRPr="004D22EA" w:rsidRDefault="004D22EA" w:rsidP="004D22EA">
            <w:pPr>
              <w:autoSpaceDE w:val="0"/>
              <w:autoSpaceDN w:val="0"/>
              <w:adjustRightInd w:val="0"/>
              <w:spacing w:after="240"/>
              <w:contextualSpacing/>
              <w:jc w:val="right"/>
              <w:rPr>
                <w:rFonts w:ascii="ITC Avant Garde" w:hAnsi="ITC Avant Garde"/>
                <w:bCs/>
                <w:color w:val="000000"/>
                <w:sz w:val="16"/>
                <w:szCs w:val="16"/>
                <w:lang w:val="en-GB" w:eastAsia="es-MX"/>
              </w:rPr>
            </w:pPr>
            <w:r w:rsidRPr="004D22EA">
              <w:rPr>
                <w:rFonts w:ascii="ITC Avant Garde" w:hAnsi="ITC Avant Garde"/>
                <w:bCs/>
                <w:color w:val="000000"/>
                <w:sz w:val="16"/>
                <w:szCs w:val="16"/>
                <w:lang w:val="en-GB" w:eastAsia="es-MX"/>
              </w:rPr>
              <w:t>0.01</w:t>
            </w:r>
          </w:p>
        </w:tc>
      </w:tr>
      <w:tr w:rsidR="004D22EA" w:rsidRPr="004D22EA" w14:paraId="691B7BC1" w14:textId="77777777" w:rsidTr="004D22EA">
        <w:trPr>
          <w:jc w:val="center"/>
        </w:trPr>
        <w:tc>
          <w:tcPr>
            <w:tcW w:w="2942" w:type="dxa"/>
            <w:shd w:val="clear" w:color="auto" w:fill="A6A6A6" w:themeFill="background1" w:themeFillShade="A6"/>
          </w:tcPr>
          <w:p w14:paraId="4BAC42BD" w14:textId="77777777" w:rsidR="004D22EA" w:rsidRPr="004D22EA" w:rsidRDefault="004D22EA" w:rsidP="004D22EA">
            <w:pPr>
              <w:autoSpaceDE w:val="0"/>
              <w:autoSpaceDN w:val="0"/>
              <w:adjustRightInd w:val="0"/>
              <w:spacing w:after="240"/>
              <w:contextualSpacing/>
              <w:jc w:val="both"/>
              <w:rPr>
                <w:rFonts w:ascii="ITC Avant Garde" w:hAnsi="ITC Avant Garde"/>
                <w:b/>
                <w:bCs/>
                <w:color w:val="000000"/>
                <w:sz w:val="16"/>
                <w:szCs w:val="16"/>
                <w:lang w:val="es-MX" w:eastAsia="es-MX"/>
              </w:rPr>
            </w:pPr>
            <w:r w:rsidRPr="004D22EA">
              <w:rPr>
                <w:rFonts w:ascii="ITC Avant Garde" w:hAnsi="ITC Avant Garde"/>
                <w:b/>
                <w:bCs/>
                <w:color w:val="000000"/>
                <w:sz w:val="16"/>
                <w:szCs w:val="16"/>
                <w:lang w:val="es-MX" w:eastAsia="es-MX"/>
              </w:rPr>
              <w:t>Total</w:t>
            </w:r>
          </w:p>
        </w:tc>
        <w:tc>
          <w:tcPr>
            <w:tcW w:w="1225" w:type="dxa"/>
            <w:shd w:val="clear" w:color="auto" w:fill="A6A6A6" w:themeFill="background1" w:themeFillShade="A6"/>
          </w:tcPr>
          <w:p w14:paraId="2A893569" w14:textId="77777777" w:rsidR="004D22EA" w:rsidRPr="004D22EA" w:rsidRDefault="004D22EA" w:rsidP="004D22EA">
            <w:pPr>
              <w:autoSpaceDE w:val="0"/>
              <w:autoSpaceDN w:val="0"/>
              <w:adjustRightInd w:val="0"/>
              <w:spacing w:after="240"/>
              <w:contextualSpacing/>
              <w:jc w:val="right"/>
              <w:rPr>
                <w:rFonts w:ascii="ITC Avant Garde" w:hAnsi="ITC Avant Garde"/>
                <w:b/>
                <w:bCs/>
                <w:color w:val="000000"/>
                <w:sz w:val="16"/>
                <w:szCs w:val="16"/>
                <w:lang w:val="es-MX" w:eastAsia="es-MX"/>
              </w:rPr>
            </w:pPr>
            <w:r w:rsidRPr="004D22EA">
              <w:rPr>
                <w:rFonts w:ascii="ITC Avant Garde" w:hAnsi="ITC Avant Garde"/>
                <w:b/>
                <w:bCs/>
                <w:color w:val="000000"/>
                <w:sz w:val="16"/>
                <w:szCs w:val="16"/>
                <w:lang w:val="es-MX" w:eastAsia="es-MX"/>
              </w:rPr>
              <w:t>91,990</w:t>
            </w:r>
          </w:p>
        </w:tc>
        <w:tc>
          <w:tcPr>
            <w:tcW w:w="1105" w:type="dxa"/>
            <w:shd w:val="clear" w:color="auto" w:fill="A6A6A6" w:themeFill="background1" w:themeFillShade="A6"/>
          </w:tcPr>
          <w:p w14:paraId="6CD2D46F" w14:textId="77777777" w:rsidR="004D22EA" w:rsidRPr="004D22EA" w:rsidRDefault="004D22EA" w:rsidP="004D22EA">
            <w:pPr>
              <w:autoSpaceDE w:val="0"/>
              <w:autoSpaceDN w:val="0"/>
              <w:adjustRightInd w:val="0"/>
              <w:spacing w:after="240"/>
              <w:contextualSpacing/>
              <w:jc w:val="right"/>
              <w:rPr>
                <w:rFonts w:ascii="ITC Avant Garde" w:hAnsi="ITC Avant Garde"/>
                <w:b/>
                <w:bCs/>
                <w:color w:val="000000"/>
                <w:sz w:val="16"/>
                <w:szCs w:val="16"/>
                <w:lang w:val="es-MX" w:eastAsia="es-MX"/>
              </w:rPr>
            </w:pPr>
            <w:r w:rsidRPr="004D22EA">
              <w:rPr>
                <w:rFonts w:ascii="ITC Avant Garde" w:hAnsi="ITC Avant Garde"/>
                <w:b/>
                <w:bCs/>
                <w:color w:val="000000"/>
                <w:sz w:val="16"/>
                <w:szCs w:val="16"/>
                <w:lang w:val="es-MX" w:eastAsia="es-MX"/>
              </w:rPr>
              <w:t>8,020</w:t>
            </w:r>
          </w:p>
        </w:tc>
        <w:tc>
          <w:tcPr>
            <w:tcW w:w="1346" w:type="dxa"/>
            <w:shd w:val="clear" w:color="auto" w:fill="A6A6A6" w:themeFill="background1" w:themeFillShade="A6"/>
          </w:tcPr>
          <w:p w14:paraId="6F2C979D" w14:textId="77777777" w:rsidR="004D22EA" w:rsidRPr="004D22EA" w:rsidRDefault="004D22EA" w:rsidP="004D22EA">
            <w:pPr>
              <w:autoSpaceDE w:val="0"/>
              <w:autoSpaceDN w:val="0"/>
              <w:adjustRightInd w:val="0"/>
              <w:spacing w:after="240"/>
              <w:contextualSpacing/>
              <w:jc w:val="right"/>
              <w:rPr>
                <w:rFonts w:ascii="ITC Avant Garde" w:hAnsi="ITC Avant Garde"/>
                <w:b/>
                <w:bCs/>
                <w:color w:val="000000"/>
                <w:sz w:val="16"/>
                <w:szCs w:val="16"/>
                <w:lang w:val="es-MX" w:eastAsia="es-MX"/>
              </w:rPr>
            </w:pPr>
            <w:r w:rsidRPr="004D22EA">
              <w:rPr>
                <w:rFonts w:ascii="ITC Avant Garde" w:hAnsi="ITC Avant Garde"/>
                <w:b/>
                <w:bCs/>
                <w:color w:val="000000"/>
                <w:sz w:val="16"/>
                <w:szCs w:val="16"/>
                <w:lang w:val="es-MX" w:eastAsia="es-MX"/>
              </w:rPr>
              <w:t>9,199,000</w:t>
            </w:r>
          </w:p>
        </w:tc>
        <w:tc>
          <w:tcPr>
            <w:tcW w:w="1177" w:type="dxa"/>
            <w:shd w:val="clear" w:color="auto" w:fill="A6A6A6" w:themeFill="background1" w:themeFillShade="A6"/>
          </w:tcPr>
          <w:p w14:paraId="1CC15474" w14:textId="77777777" w:rsidR="004D22EA" w:rsidRPr="004D22EA" w:rsidRDefault="004D22EA" w:rsidP="004D22EA">
            <w:pPr>
              <w:autoSpaceDE w:val="0"/>
              <w:autoSpaceDN w:val="0"/>
              <w:adjustRightInd w:val="0"/>
              <w:spacing w:after="240"/>
              <w:contextualSpacing/>
              <w:jc w:val="right"/>
              <w:rPr>
                <w:rFonts w:ascii="ITC Avant Garde" w:hAnsi="ITC Avant Garde"/>
                <w:b/>
                <w:bCs/>
                <w:color w:val="000000"/>
                <w:sz w:val="16"/>
                <w:szCs w:val="16"/>
                <w:lang w:val="es-MX" w:eastAsia="es-MX"/>
              </w:rPr>
            </w:pPr>
            <w:r w:rsidRPr="004D22EA">
              <w:rPr>
                <w:rFonts w:ascii="ITC Avant Garde" w:hAnsi="ITC Avant Garde"/>
                <w:b/>
                <w:bCs/>
                <w:color w:val="000000"/>
                <w:sz w:val="16"/>
                <w:szCs w:val="16"/>
                <w:lang w:val="es-MX" w:eastAsia="es-MX"/>
              </w:rPr>
              <w:t>802,000</w:t>
            </w:r>
          </w:p>
        </w:tc>
        <w:tc>
          <w:tcPr>
            <w:tcW w:w="1599" w:type="dxa"/>
            <w:shd w:val="clear" w:color="auto" w:fill="A6A6A6" w:themeFill="background1" w:themeFillShade="A6"/>
          </w:tcPr>
          <w:p w14:paraId="3FD1A7B4" w14:textId="77777777" w:rsidR="004D22EA" w:rsidRPr="004D22EA" w:rsidRDefault="004D22EA" w:rsidP="004D22EA">
            <w:pPr>
              <w:autoSpaceDE w:val="0"/>
              <w:autoSpaceDN w:val="0"/>
              <w:adjustRightInd w:val="0"/>
              <w:spacing w:after="240"/>
              <w:contextualSpacing/>
              <w:jc w:val="right"/>
              <w:rPr>
                <w:rFonts w:ascii="ITC Avant Garde" w:hAnsi="ITC Avant Garde"/>
                <w:b/>
                <w:bCs/>
                <w:color w:val="000000"/>
                <w:sz w:val="16"/>
                <w:szCs w:val="16"/>
                <w:lang w:val="es-MX" w:eastAsia="es-MX"/>
              </w:rPr>
            </w:pPr>
            <w:r w:rsidRPr="004D22EA">
              <w:rPr>
                <w:rFonts w:ascii="ITC Avant Garde" w:hAnsi="ITC Avant Garde"/>
                <w:b/>
                <w:bCs/>
                <w:color w:val="000000"/>
                <w:sz w:val="16"/>
                <w:szCs w:val="16"/>
                <w:lang w:val="es-MX" w:eastAsia="es-MX"/>
              </w:rPr>
              <w:t>100.00</w:t>
            </w:r>
          </w:p>
        </w:tc>
      </w:tr>
    </w:tbl>
    <w:p w14:paraId="7BE2EC3E" w14:textId="77777777" w:rsidR="004D22EA" w:rsidRPr="004D22EA" w:rsidRDefault="004D22EA" w:rsidP="004D22EA">
      <w:pPr>
        <w:autoSpaceDE w:val="0"/>
        <w:autoSpaceDN w:val="0"/>
        <w:adjustRightInd w:val="0"/>
        <w:spacing w:before="240" w:after="240"/>
        <w:contextualSpacing/>
        <w:jc w:val="both"/>
        <w:rPr>
          <w:rFonts w:ascii="ITC Avant Garde" w:hAnsi="ITC Avant Garde"/>
          <w:b/>
          <w:bCs/>
          <w:sz w:val="23"/>
          <w:szCs w:val="23"/>
        </w:rPr>
      </w:pPr>
    </w:p>
    <w:p w14:paraId="66E8E6C6" w14:textId="77777777" w:rsidR="004D22EA" w:rsidRPr="004D22EA" w:rsidRDefault="00F80A22" w:rsidP="004D22EA">
      <w:pPr>
        <w:autoSpaceDE w:val="0"/>
        <w:autoSpaceDN w:val="0"/>
        <w:adjustRightInd w:val="0"/>
        <w:spacing w:after="240"/>
        <w:contextualSpacing/>
        <w:jc w:val="both"/>
        <w:rPr>
          <w:rFonts w:ascii="ITC Avant Garde" w:hAnsi="ITC Avant Garde"/>
          <w:bCs/>
          <w:sz w:val="22"/>
          <w:szCs w:val="22"/>
        </w:rPr>
      </w:pPr>
      <w:r w:rsidRPr="004D22EA">
        <w:rPr>
          <w:rFonts w:ascii="ITC Avant Garde" w:hAnsi="ITC Avant Garde"/>
          <w:b/>
          <w:bCs/>
          <w:sz w:val="22"/>
          <w:szCs w:val="22"/>
        </w:rPr>
        <w:t>SEGUNDO.-</w:t>
      </w:r>
      <w:r w:rsidRPr="004D22EA">
        <w:rPr>
          <w:rFonts w:ascii="ITC Avant Garde" w:hAnsi="ITC Avant Garde"/>
          <w:bCs/>
          <w:sz w:val="22"/>
          <w:szCs w:val="22"/>
        </w:rPr>
        <w:t xml:space="preserve"> Se instruye a la Unidad de Concesiones y Servicios a notificar personalmente al representante legal </w:t>
      </w:r>
      <w:r w:rsidR="00BD0CEE" w:rsidRPr="004D22EA">
        <w:rPr>
          <w:rFonts w:ascii="ITC Avant Garde" w:hAnsi="ITC Avant Garde"/>
          <w:bCs/>
          <w:sz w:val="22"/>
          <w:szCs w:val="22"/>
        </w:rPr>
        <w:t xml:space="preserve">de Altán Redes, S.A.P.I de C.V. </w:t>
      </w:r>
      <w:r w:rsidRPr="004D22EA">
        <w:rPr>
          <w:rFonts w:ascii="ITC Avant Garde" w:hAnsi="ITC Avant Garde"/>
          <w:bCs/>
          <w:sz w:val="22"/>
          <w:szCs w:val="22"/>
        </w:rPr>
        <w:t>la autorización para llevar a cabo la enajenación de acciones a que se refiere la presente Resolución, de conformidad con el Resolutivo Primero anterior.</w:t>
      </w:r>
    </w:p>
    <w:p w14:paraId="60531D9C" w14:textId="0E86DD6A" w:rsidR="004D22EA" w:rsidRPr="004D22EA" w:rsidRDefault="00F80A22" w:rsidP="004D22EA">
      <w:pPr>
        <w:autoSpaceDE w:val="0"/>
        <w:autoSpaceDN w:val="0"/>
        <w:adjustRightInd w:val="0"/>
        <w:spacing w:after="240"/>
        <w:contextualSpacing/>
        <w:jc w:val="both"/>
        <w:rPr>
          <w:rFonts w:ascii="ITC Avant Garde" w:hAnsi="ITC Avant Garde"/>
          <w:bCs/>
          <w:sz w:val="22"/>
          <w:szCs w:val="22"/>
        </w:rPr>
      </w:pPr>
      <w:r w:rsidRPr="004D22EA">
        <w:rPr>
          <w:rFonts w:ascii="ITC Avant Garde" w:hAnsi="ITC Avant Garde"/>
          <w:b/>
          <w:bCs/>
          <w:sz w:val="22"/>
          <w:szCs w:val="22"/>
        </w:rPr>
        <w:t>TERCERO.-</w:t>
      </w:r>
      <w:r w:rsidRPr="004D22EA">
        <w:rPr>
          <w:rFonts w:ascii="ITC Avant Garde" w:hAnsi="ITC Avant Garde"/>
          <w:bCs/>
          <w:sz w:val="22"/>
          <w:szCs w:val="22"/>
        </w:rPr>
        <w:t xml:space="preserve"> La presente autorización tendrá una vigencia de 60 (sesenta) días naturales, contados a partir de aquel en que hubiere surtido efectos la notificación de la misma. </w:t>
      </w:r>
    </w:p>
    <w:p w14:paraId="7CA0DB71" w14:textId="77777777" w:rsidR="004D22EA" w:rsidRPr="004D22EA" w:rsidRDefault="00F80A22" w:rsidP="004D22EA">
      <w:pPr>
        <w:autoSpaceDE w:val="0"/>
        <w:autoSpaceDN w:val="0"/>
        <w:adjustRightInd w:val="0"/>
        <w:spacing w:after="240"/>
        <w:contextualSpacing/>
        <w:jc w:val="both"/>
        <w:rPr>
          <w:rFonts w:ascii="ITC Avant Garde" w:hAnsi="ITC Avant Garde"/>
          <w:bCs/>
          <w:sz w:val="22"/>
          <w:szCs w:val="22"/>
        </w:rPr>
      </w:pPr>
      <w:r w:rsidRPr="004D22EA">
        <w:rPr>
          <w:rFonts w:ascii="ITC Avant Garde" w:hAnsi="ITC Avant Garde"/>
          <w:bCs/>
          <w:sz w:val="22"/>
          <w:szCs w:val="22"/>
        </w:rPr>
        <w:t>Dentro de este plazo de vigencia</w:t>
      </w:r>
      <w:r w:rsidR="00BD0CEE" w:rsidRPr="004D22EA">
        <w:rPr>
          <w:rFonts w:ascii="ITC Avant Garde" w:hAnsi="ITC Avant Garde"/>
          <w:bCs/>
          <w:sz w:val="22"/>
          <w:szCs w:val="22"/>
        </w:rPr>
        <w:t xml:space="preserve"> Altán Redes, S.A.P.I de C.V.</w:t>
      </w:r>
      <w:r w:rsidRPr="004D22EA">
        <w:rPr>
          <w:rFonts w:ascii="ITC Avant Garde" w:hAnsi="ITC Avant Garde"/>
          <w:bCs/>
          <w:sz w:val="22"/>
          <w:szCs w:val="22"/>
        </w:rPr>
        <w:t xml:space="preserve">, deberá presentar para su inscripción en el Registro Público de Concesiones, copia certificada del instrumento donde conste que se llevaron a cabo los movimientos a que se refiere el Resolutivo Primero anterior, en términos de los artículos 177 fracción XI, en relación con el 180 de la Ley Federal de Telecomunicaciones y Radiodifusión. Concluido dicho plazo, sin que se hubiere dado cumplimiento al presente Resolutivo, </w:t>
      </w:r>
      <w:r w:rsidR="00BD0CEE" w:rsidRPr="004D22EA">
        <w:rPr>
          <w:rFonts w:ascii="ITC Avant Garde" w:hAnsi="ITC Avant Garde"/>
          <w:bCs/>
          <w:sz w:val="22"/>
          <w:szCs w:val="22"/>
        </w:rPr>
        <w:t>Altán Redes, S.A.P.I de C.V.</w:t>
      </w:r>
      <w:r w:rsidRPr="004D22EA">
        <w:rPr>
          <w:rFonts w:ascii="ITC Avant Garde" w:hAnsi="ITC Avant Garde"/>
          <w:bCs/>
          <w:sz w:val="22"/>
          <w:szCs w:val="22"/>
        </w:rPr>
        <w:t>, deberá solicitar una nueva autorización.</w:t>
      </w:r>
    </w:p>
    <w:p w14:paraId="25EAB15D" w14:textId="77777777" w:rsidR="004D22EA" w:rsidRPr="004D22EA" w:rsidRDefault="008224F0" w:rsidP="004D22EA">
      <w:pPr>
        <w:autoSpaceDE w:val="0"/>
        <w:autoSpaceDN w:val="0"/>
        <w:adjustRightInd w:val="0"/>
        <w:spacing w:after="240"/>
        <w:contextualSpacing/>
        <w:jc w:val="both"/>
        <w:rPr>
          <w:rFonts w:ascii="ITC Avant Garde" w:hAnsi="ITC Avant Garde"/>
          <w:bCs/>
          <w:sz w:val="22"/>
          <w:szCs w:val="22"/>
        </w:rPr>
      </w:pPr>
      <w:r w:rsidRPr="004D22EA">
        <w:rPr>
          <w:rFonts w:ascii="ITC Avant Garde" w:hAnsi="ITC Avant Garde"/>
          <w:b/>
          <w:bCs/>
          <w:sz w:val="22"/>
          <w:szCs w:val="22"/>
        </w:rPr>
        <w:t>CUART</w:t>
      </w:r>
      <w:r w:rsidR="00F80A22" w:rsidRPr="004D22EA">
        <w:rPr>
          <w:rFonts w:ascii="ITC Avant Garde" w:hAnsi="ITC Avant Garde"/>
          <w:b/>
          <w:bCs/>
          <w:sz w:val="22"/>
          <w:szCs w:val="22"/>
        </w:rPr>
        <w:t xml:space="preserve">O.- </w:t>
      </w:r>
      <w:r w:rsidR="00F80A22" w:rsidRPr="004D22EA">
        <w:rPr>
          <w:rFonts w:ascii="ITC Avant Garde" w:hAnsi="ITC Avant Garde"/>
          <w:bCs/>
          <w:sz w:val="22"/>
          <w:szCs w:val="22"/>
        </w:rPr>
        <w:t>La presente Resolución se emite en el ámbito de aplicación de</w:t>
      </w:r>
      <w:r w:rsidRPr="004D22EA">
        <w:rPr>
          <w:rFonts w:ascii="ITC Avant Garde" w:hAnsi="ITC Avant Garde"/>
          <w:bCs/>
          <w:sz w:val="22"/>
          <w:szCs w:val="22"/>
        </w:rPr>
        <w:t>l</w:t>
      </w:r>
      <w:r w:rsidR="00BD0CEE" w:rsidRPr="004D22EA">
        <w:rPr>
          <w:rFonts w:ascii="ITC Avant Garde" w:hAnsi="ITC Avant Garde"/>
          <w:bCs/>
          <w:sz w:val="22"/>
          <w:szCs w:val="22"/>
        </w:rPr>
        <w:t xml:space="preserve"> </w:t>
      </w:r>
      <w:r w:rsidR="00F80A22" w:rsidRPr="004D22EA">
        <w:rPr>
          <w:rFonts w:ascii="ITC Avant Garde" w:hAnsi="ITC Avant Garde"/>
          <w:bCs/>
          <w:sz w:val="22"/>
          <w:szCs w:val="22"/>
        </w:rPr>
        <w:t xml:space="preserve">artículo 112 de la Ley Federal de Telecomunicaciones y Radiodifusión y no prejuzga sobre las atribuciones que corresponda ejercer al Instituto Federal de Telecomunicaciones en </w:t>
      </w:r>
      <w:r w:rsidR="000D123D" w:rsidRPr="004D22EA">
        <w:rPr>
          <w:rFonts w:ascii="ITC Avant Garde" w:hAnsi="ITC Avant Garde"/>
          <w:bCs/>
          <w:sz w:val="22"/>
          <w:szCs w:val="22"/>
        </w:rPr>
        <w:t>materia de competencia económica</w:t>
      </w:r>
      <w:r w:rsidR="00F80A22" w:rsidRPr="004D22EA">
        <w:rPr>
          <w:rFonts w:ascii="ITC Avant Garde" w:hAnsi="ITC Avant Garde"/>
          <w:bCs/>
          <w:sz w:val="22"/>
          <w:szCs w:val="22"/>
        </w:rPr>
        <w:t>.</w:t>
      </w:r>
    </w:p>
    <w:p w14:paraId="7D2CA667" w14:textId="0FEA2DC6" w:rsidR="00AB5063" w:rsidRPr="004D22EA" w:rsidRDefault="00B321A2" w:rsidP="004D22EA">
      <w:pPr>
        <w:pStyle w:val="Prrafodelista"/>
        <w:spacing w:after="240"/>
        <w:ind w:left="0"/>
        <w:jc w:val="both"/>
        <w:rPr>
          <w:rFonts w:ascii="ITC Avant Garde" w:hAnsi="ITC Avant Garde"/>
          <w:bCs/>
          <w:color w:val="000000"/>
          <w:sz w:val="14"/>
          <w:szCs w:val="14"/>
          <w:lang w:val="es-MX" w:eastAsia="es-MX"/>
        </w:rPr>
      </w:pPr>
      <w:r w:rsidRPr="004D22EA">
        <w:rPr>
          <w:rFonts w:ascii="ITC Avant Garde" w:hAnsi="ITC Avant Garde"/>
          <w:sz w:val="14"/>
          <w:szCs w:val="14"/>
        </w:rPr>
        <w:t xml:space="preserve">La presente Resolución fue aprobada por el Pleno del Instituto Federal de Telecomunicaciones en su IX Sesión Ordinaria celebrada el 6 de marzo de 2017, </w:t>
      </w:r>
      <w:r w:rsidRPr="004D22EA">
        <w:rPr>
          <w:rFonts w:ascii="ITC Avant Garde" w:hAnsi="ITC Avant Garde"/>
          <w:bCs/>
          <w:sz w:val="14"/>
          <w:szCs w:val="14"/>
        </w:rPr>
        <w:t>por mayoría</w:t>
      </w:r>
      <w:r w:rsidRPr="004D22EA">
        <w:rPr>
          <w:rFonts w:ascii="ITC Avant Garde" w:hAnsi="ITC Avant Garde"/>
          <w:sz w:val="14"/>
          <w:szCs w:val="14"/>
        </w:rPr>
        <w:t xml:space="preserve"> de votos de los Comisionados Gabriel Oswaldo Contreras Saldívar, Adriana Sofía </w:t>
      </w:r>
      <w:proofErr w:type="spellStart"/>
      <w:r w:rsidRPr="004D22EA">
        <w:rPr>
          <w:rFonts w:ascii="ITC Avant Garde" w:hAnsi="ITC Avant Garde"/>
          <w:sz w:val="14"/>
          <w:szCs w:val="14"/>
        </w:rPr>
        <w:t>Labardini</w:t>
      </w:r>
      <w:proofErr w:type="spellEnd"/>
      <w:r w:rsidRPr="004D22EA">
        <w:rPr>
          <w:rFonts w:ascii="ITC Avant Garde" w:hAnsi="ITC Avant Garde"/>
          <w:sz w:val="14"/>
          <w:szCs w:val="14"/>
        </w:rPr>
        <w:t xml:space="preserve"> </w:t>
      </w:r>
      <w:proofErr w:type="spellStart"/>
      <w:r w:rsidRPr="004D22EA">
        <w:rPr>
          <w:rFonts w:ascii="ITC Avant Garde" w:hAnsi="ITC Avant Garde"/>
          <w:sz w:val="14"/>
          <w:szCs w:val="14"/>
        </w:rPr>
        <w:t>Inzunza</w:t>
      </w:r>
      <w:proofErr w:type="spellEnd"/>
      <w:r w:rsidRPr="004D22EA">
        <w:rPr>
          <w:rFonts w:ascii="ITC Avant Garde" w:hAnsi="ITC Avant Garde"/>
          <w:sz w:val="14"/>
          <w:szCs w:val="14"/>
        </w:rPr>
        <w:t xml:space="preserve">, Mario Germán </w:t>
      </w:r>
      <w:proofErr w:type="spellStart"/>
      <w:r w:rsidRPr="004D22EA">
        <w:rPr>
          <w:rFonts w:ascii="ITC Avant Garde" w:hAnsi="ITC Avant Garde"/>
          <w:sz w:val="14"/>
          <w:szCs w:val="14"/>
        </w:rPr>
        <w:t>Fromow</w:t>
      </w:r>
      <w:proofErr w:type="spellEnd"/>
      <w:r w:rsidRPr="004D22EA">
        <w:rPr>
          <w:rFonts w:ascii="ITC Avant Garde" w:hAnsi="ITC Avant Garde"/>
          <w:sz w:val="14"/>
          <w:szCs w:val="14"/>
        </w:rPr>
        <w:t xml:space="preserve"> Rangel y Javier Juárez Mojica; y con el voto en contra de la Comisionada María Elena </w:t>
      </w:r>
      <w:proofErr w:type="spellStart"/>
      <w:r w:rsidRPr="004D22EA">
        <w:rPr>
          <w:rFonts w:ascii="ITC Avant Garde" w:hAnsi="ITC Avant Garde"/>
          <w:sz w:val="14"/>
          <w:szCs w:val="14"/>
        </w:rPr>
        <w:t>Estavillo</w:t>
      </w:r>
      <w:proofErr w:type="spellEnd"/>
      <w:r w:rsidRPr="004D22EA">
        <w:rPr>
          <w:rFonts w:ascii="ITC Avant Garde" w:hAnsi="ITC Avant Garde"/>
          <w:sz w:val="14"/>
          <w:szCs w:val="14"/>
        </w:rPr>
        <w:t xml:space="preserve"> Flores y del Comisionado Adolfo Cuevas Teja, quien presentará un voto particular por escrito;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P/IFT/060317/108.</w:t>
      </w:r>
    </w:p>
    <w:sectPr w:rsidR="00AB5063" w:rsidRPr="004D22EA" w:rsidSect="00927D6A">
      <w:footerReference w:type="even" r:id="rId8"/>
      <w:footerReference w:type="default" r:id="rId9"/>
      <w:footerReference w:type="first" r:id="rId10"/>
      <w:pgSz w:w="12240" w:h="15840" w:code="1"/>
      <w:pgMar w:top="1843" w:right="1418" w:bottom="1418" w:left="1418" w:header="992" w:footer="9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63C1B" w14:textId="77777777" w:rsidR="009F1A83" w:rsidRDefault="009F1A83">
      <w:r>
        <w:separator/>
      </w:r>
    </w:p>
  </w:endnote>
  <w:endnote w:type="continuationSeparator" w:id="0">
    <w:p w14:paraId="675A267A" w14:textId="77777777" w:rsidR="009F1A83" w:rsidRDefault="009F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TC Avant Garde">
    <w:altName w:val="Century Gothic"/>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77F6B" w14:textId="77777777" w:rsidR="004D22EA" w:rsidRDefault="00CF350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492239FD" w:rsidR="00CF3503" w:rsidRDefault="00CF350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385991"/>
      <w:docPartObj>
        <w:docPartGallery w:val="Page Numbers (Bottom of Page)"/>
        <w:docPartUnique/>
      </w:docPartObj>
    </w:sdtPr>
    <w:sdtEndPr>
      <w:rPr>
        <w:rFonts w:ascii="ITC Avant Garde" w:hAnsi="ITC Avant Garde"/>
        <w:sz w:val="20"/>
      </w:rPr>
    </w:sdtEndPr>
    <w:sdtContent>
      <w:p w14:paraId="236E47E7" w14:textId="3A2FF3E0" w:rsidR="00005D96" w:rsidRPr="00005D96" w:rsidRDefault="00005D96">
        <w:pPr>
          <w:pStyle w:val="Piedepgina"/>
          <w:jc w:val="right"/>
          <w:rPr>
            <w:rFonts w:ascii="ITC Avant Garde" w:hAnsi="ITC Avant Garde"/>
            <w:sz w:val="20"/>
          </w:rPr>
        </w:pPr>
        <w:r w:rsidRPr="00005D96">
          <w:rPr>
            <w:rFonts w:ascii="ITC Avant Garde" w:hAnsi="ITC Avant Garde"/>
            <w:sz w:val="20"/>
          </w:rPr>
          <w:fldChar w:fldCharType="begin"/>
        </w:r>
        <w:r w:rsidRPr="00005D96">
          <w:rPr>
            <w:rFonts w:ascii="ITC Avant Garde" w:hAnsi="ITC Avant Garde"/>
            <w:sz w:val="20"/>
          </w:rPr>
          <w:instrText>PAGE   \* MERGEFORMAT</w:instrText>
        </w:r>
        <w:r w:rsidRPr="00005D96">
          <w:rPr>
            <w:rFonts w:ascii="ITC Avant Garde" w:hAnsi="ITC Avant Garde"/>
            <w:sz w:val="20"/>
          </w:rPr>
          <w:fldChar w:fldCharType="separate"/>
        </w:r>
        <w:r w:rsidR="004D22EA">
          <w:rPr>
            <w:rFonts w:ascii="ITC Avant Garde" w:hAnsi="ITC Avant Garde"/>
            <w:noProof/>
            <w:sz w:val="20"/>
          </w:rPr>
          <w:t>13</w:t>
        </w:r>
        <w:r w:rsidRPr="00005D96">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886713"/>
      <w:docPartObj>
        <w:docPartGallery w:val="Page Numbers (Bottom of Page)"/>
        <w:docPartUnique/>
      </w:docPartObj>
    </w:sdtPr>
    <w:sdtEndPr>
      <w:rPr>
        <w:rFonts w:ascii="ITC Avant Garde" w:hAnsi="ITC Avant Garde"/>
        <w:sz w:val="20"/>
      </w:rPr>
    </w:sdtEndPr>
    <w:sdtContent>
      <w:p w14:paraId="74F632FB" w14:textId="61B9E41D" w:rsidR="00005D96" w:rsidRPr="00005D96" w:rsidRDefault="00005D96">
        <w:pPr>
          <w:pStyle w:val="Piedepgina"/>
          <w:jc w:val="right"/>
          <w:rPr>
            <w:rFonts w:ascii="ITC Avant Garde" w:hAnsi="ITC Avant Garde"/>
            <w:sz w:val="20"/>
          </w:rPr>
        </w:pPr>
        <w:r w:rsidRPr="00005D96">
          <w:rPr>
            <w:rFonts w:ascii="ITC Avant Garde" w:hAnsi="ITC Avant Garde"/>
            <w:sz w:val="20"/>
          </w:rPr>
          <w:fldChar w:fldCharType="begin"/>
        </w:r>
        <w:r w:rsidRPr="00005D96">
          <w:rPr>
            <w:rFonts w:ascii="ITC Avant Garde" w:hAnsi="ITC Avant Garde"/>
            <w:sz w:val="20"/>
          </w:rPr>
          <w:instrText>PAGE   \* MERGEFORMAT</w:instrText>
        </w:r>
        <w:r w:rsidRPr="00005D96">
          <w:rPr>
            <w:rFonts w:ascii="ITC Avant Garde" w:hAnsi="ITC Avant Garde"/>
            <w:sz w:val="20"/>
          </w:rPr>
          <w:fldChar w:fldCharType="separate"/>
        </w:r>
        <w:r w:rsidR="004D22EA">
          <w:rPr>
            <w:rFonts w:ascii="ITC Avant Garde" w:hAnsi="ITC Avant Garde"/>
            <w:noProof/>
            <w:sz w:val="20"/>
          </w:rPr>
          <w:t>1</w:t>
        </w:r>
        <w:r w:rsidRPr="00005D96">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246DF" w14:textId="77777777" w:rsidR="009F1A83" w:rsidRDefault="009F1A83">
      <w:r>
        <w:separator/>
      </w:r>
    </w:p>
  </w:footnote>
  <w:footnote w:type="continuationSeparator" w:id="0">
    <w:p w14:paraId="09EDDB3B" w14:textId="77777777" w:rsidR="009F1A83" w:rsidRDefault="009F1A83">
      <w:r>
        <w:continuationSeparator/>
      </w:r>
    </w:p>
  </w:footnote>
  <w:footnote w:id="1">
    <w:p w14:paraId="7ECD2504" w14:textId="4FF55175" w:rsidR="00CB3C1E" w:rsidRDefault="00CB3C1E">
      <w:pPr>
        <w:pStyle w:val="Textonotapie"/>
        <w:rPr>
          <w:rFonts w:ascii="ITC Avant Garde" w:hAnsi="ITC Avant Garde"/>
          <w:sz w:val="16"/>
          <w:szCs w:val="16"/>
        </w:rPr>
      </w:pPr>
      <w:r w:rsidRPr="00CB3C1E">
        <w:rPr>
          <w:rStyle w:val="Refdenotaalpie"/>
          <w:rFonts w:ascii="ITC Avant Garde" w:hAnsi="ITC Avant Garde"/>
          <w:sz w:val="16"/>
          <w:szCs w:val="16"/>
        </w:rPr>
        <w:footnoteRef/>
      </w:r>
      <w:r w:rsidRPr="00CB3C1E">
        <w:rPr>
          <w:rFonts w:ascii="ITC Avant Garde" w:hAnsi="ITC Avant Garde"/>
          <w:sz w:val="16"/>
          <w:szCs w:val="16"/>
        </w:rPr>
        <w:t xml:space="preserve"> </w:t>
      </w:r>
      <w:r>
        <w:rPr>
          <w:rFonts w:ascii="ITC Avant Garde" w:hAnsi="ITC Avant Garde"/>
          <w:sz w:val="16"/>
          <w:szCs w:val="16"/>
        </w:rPr>
        <w:t>A manera de referencia, se advierte que no se cumplen los supuestos del artículo 14 del Código Fiscal de la Federación, fracción V, inciso a), que señala lo siguiente:</w:t>
      </w:r>
    </w:p>
    <w:p w14:paraId="1434FDB2" w14:textId="36D8643B" w:rsidR="00CB3C1E" w:rsidRPr="00810777" w:rsidRDefault="00CB3C1E">
      <w:pPr>
        <w:pStyle w:val="Textonotapie"/>
        <w:rPr>
          <w:rFonts w:ascii="ITC Avant Garde" w:hAnsi="ITC Avant Garde"/>
          <w:i/>
          <w:sz w:val="16"/>
          <w:szCs w:val="16"/>
        </w:rPr>
      </w:pPr>
      <w:r>
        <w:rPr>
          <w:rFonts w:ascii="ITC Avant Garde" w:hAnsi="ITC Avant Garde"/>
          <w:sz w:val="16"/>
          <w:szCs w:val="16"/>
        </w:rPr>
        <w:tab/>
      </w:r>
      <w:r w:rsidRPr="00810777">
        <w:rPr>
          <w:rFonts w:ascii="ITC Avant Garde" w:hAnsi="ITC Avant Garde"/>
          <w:i/>
          <w:sz w:val="16"/>
          <w:szCs w:val="16"/>
        </w:rPr>
        <w:t>Artículo 14.- Se entiende por enajenación de bienes:</w:t>
      </w:r>
    </w:p>
    <w:p w14:paraId="02C4114D" w14:textId="11AE522F" w:rsidR="00CB3C1E" w:rsidRPr="00810777" w:rsidRDefault="00CB3C1E">
      <w:pPr>
        <w:pStyle w:val="Textonotapie"/>
        <w:rPr>
          <w:rFonts w:ascii="ITC Avant Garde" w:hAnsi="ITC Avant Garde"/>
          <w:i/>
          <w:sz w:val="16"/>
          <w:szCs w:val="16"/>
        </w:rPr>
      </w:pPr>
      <w:r w:rsidRPr="00810777">
        <w:rPr>
          <w:rFonts w:ascii="ITC Avant Garde" w:hAnsi="ITC Avant Garde"/>
          <w:i/>
          <w:sz w:val="16"/>
          <w:szCs w:val="16"/>
        </w:rPr>
        <w:tab/>
      </w:r>
      <w:r w:rsidR="00810777">
        <w:rPr>
          <w:rFonts w:ascii="ITC Avant Garde" w:hAnsi="ITC Avant Garde"/>
          <w:i/>
          <w:sz w:val="16"/>
          <w:szCs w:val="16"/>
        </w:rPr>
        <w:t>“</w:t>
      </w:r>
      <w:r w:rsidRPr="00810777">
        <w:rPr>
          <w:rFonts w:ascii="ITC Avant Garde" w:hAnsi="ITC Avant Garde"/>
          <w:i/>
          <w:sz w:val="16"/>
          <w:szCs w:val="16"/>
        </w:rPr>
        <w:t>[…]</w:t>
      </w:r>
    </w:p>
    <w:p w14:paraId="1A69727D" w14:textId="337BD56E" w:rsidR="00CB3C1E" w:rsidRPr="00810777" w:rsidRDefault="00CB3C1E">
      <w:pPr>
        <w:pStyle w:val="Textonotapie"/>
        <w:rPr>
          <w:rFonts w:ascii="ITC Avant Garde" w:hAnsi="ITC Avant Garde"/>
          <w:i/>
          <w:sz w:val="16"/>
          <w:szCs w:val="16"/>
        </w:rPr>
      </w:pPr>
      <w:r w:rsidRPr="00810777">
        <w:rPr>
          <w:rFonts w:ascii="ITC Avant Garde" w:hAnsi="ITC Avant Garde"/>
          <w:i/>
          <w:sz w:val="16"/>
          <w:szCs w:val="16"/>
        </w:rPr>
        <w:tab/>
        <w:t>V. La que se realiza a través del fideicomiso, en los siguiente casos:</w:t>
      </w:r>
    </w:p>
    <w:p w14:paraId="5CB8AAC3" w14:textId="5FF697E0" w:rsidR="00CB3C1E" w:rsidRDefault="00CB3C1E" w:rsidP="00CB3C1E">
      <w:pPr>
        <w:pStyle w:val="Textonotapie"/>
        <w:ind w:left="708"/>
        <w:rPr>
          <w:rFonts w:ascii="ITC Avant Garde" w:hAnsi="ITC Avant Garde"/>
          <w:i/>
          <w:sz w:val="16"/>
          <w:szCs w:val="16"/>
        </w:rPr>
      </w:pPr>
      <w:r w:rsidRPr="00810777">
        <w:rPr>
          <w:rFonts w:ascii="ITC Avant Garde" w:hAnsi="ITC Avant Garde"/>
          <w:i/>
          <w:sz w:val="16"/>
          <w:szCs w:val="16"/>
        </w:rPr>
        <w:t xml:space="preserve">a) En el acto en el que </w:t>
      </w:r>
      <w:r w:rsidR="00810777" w:rsidRPr="00810777">
        <w:rPr>
          <w:rFonts w:ascii="ITC Avant Garde" w:hAnsi="ITC Avant Garde"/>
          <w:b/>
          <w:i/>
          <w:sz w:val="16"/>
          <w:szCs w:val="16"/>
        </w:rPr>
        <w:t>el</w:t>
      </w:r>
      <w:r w:rsidRPr="00810777">
        <w:rPr>
          <w:rFonts w:ascii="ITC Avant Garde" w:hAnsi="ITC Avant Garde"/>
          <w:b/>
          <w:i/>
          <w:sz w:val="16"/>
          <w:szCs w:val="16"/>
        </w:rPr>
        <w:t xml:space="preserve"> fideicomitente</w:t>
      </w:r>
      <w:r w:rsidRPr="00810777">
        <w:rPr>
          <w:rFonts w:ascii="ITC Avant Garde" w:hAnsi="ITC Avant Garde"/>
          <w:i/>
          <w:sz w:val="16"/>
          <w:szCs w:val="16"/>
        </w:rPr>
        <w:t xml:space="preserve"> designe o se obliga a designar fideicomisario diverso de él y siempre que </w:t>
      </w:r>
      <w:r w:rsidRPr="00810777">
        <w:rPr>
          <w:rFonts w:ascii="ITC Avant Garde" w:hAnsi="ITC Avant Garde"/>
          <w:b/>
          <w:i/>
          <w:sz w:val="16"/>
          <w:szCs w:val="16"/>
        </w:rPr>
        <w:t xml:space="preserve">no tenga derecho a readquirir del fiduciario los bienes. </w:t>
      </w:r>
    </w:p>
    <w:p w14:paraId="6793A2FF" w14:textId="31287BBC" w:rsidR="00810777" w:rsidRPr="00810777" w:rsidRDefault="00810777" w:rsidP="00CB3C1E">
      <w:pPr>
        <w:pStyle w:val="Textonotapie"/>
        <w:ind w:left="708"/>
        <w:rPr>
          <w:rFonts w:ascii="ITC Avant Garde" w:hAnsi="ITC Avant Garde"/>
          <w:i/>
          <w:sz w:val="16"/>
          <w:szCs w:val="16"/>
        </w:rPr>
      </w:pPr>
      <w:r>
        <w:rPr>
          <w:rFonts w:ascii="ITC Avant Garde" w:hAnsi="ITC Avant Garde"/>
          <w:i/>
          <w:sz w:val="16"/>
          <w:szCs w:val="16"/>
        </w:rPr>
        <w:t>[…]” (Énfasis añadido).</w:t>
      </w:r>
    </w:p>
  </w:footnote>
  <w:footnote w:id="2">
    <w:p w14:paraId="3310D62C" w14:textId="545E04DA" w:rsidR="00CB3C1E" w:rsidRPr="00CB3C1E" w:rsidRDefault="00CB3C1E" w:rsidP="00CB3C1E">
      <w:pPr>
        <w:pStyle w:val="Textonotapie"/>
        <w:jc w:val="both"/>
        <w:rPr>
          <w:rFonts w:ascii="ITC Avant Garde" w:hAnsi="ITC Avant Garde"/>
          <w:sz w:val="16"/>
          <w:szCs w:val="16"/>
          <w:lang w:val="es-MX"/>
        </w:rPr>
      </w:pPr>
      <w:r w:rsidRPr="00CB3C1E">
        <w:rPr>
          <w:rStyle w:val="Refdenotaalpie"/>
          <w:rFonts w:ascii="ITC Avant Garde" w:hAnsi="ITC Avant Garde"/>
          <w:sz w:val="16"/>
          <w:szCs w:val="16"/>
        </w:rPr>
        <w:footnoteRef/>
      </w:r>
      <w:r w:rsidRPr="00CB3C1E">
        <w:rPr>
          <w:rFonts w:ascii="ITC Avant Garde" w:hAnsi="ITC Avant Garde"/>
          <w:sz w:val="16"/>
          <w:szCs w:val="16"/>
        </w:rPr>
        <w:t xml:space="preserve"> </w:t>
      </w:r>
      <w:r w:rsidRPr="00CB3C1E">
        <w:rPr>
          <w:rFonts w:ascii="ITC Avant Garde" w:hAnsi="ITC Avant Garde"/>
          <w:sz w:val="16"/>
          <w:szCs w:val="16"/>
          <w:lang w:val="es-MX"/>
        </w:rPr>
        <w:t>Se utiliz</w:t>
      </w:r>
      <w:r>
        <w:rPr>
          <w:rFonts w:ascii="ITC Avant Garde" w:hAnsi="ITC Avant Garde"/>
          <w:sz w:val="16"/>
          <w:szCs w:val="16"/>
          <w:lang w:val="es-MX"/>
        </w:rPr>
        <w:t>ó un tipo de cambio de 20.3439 pesos por USD, correspondiente al tipo de cambio para solventar obligaciones denominadas en moneda extranjera pagaderas en la República Mexicana publicado por el Banco de México más bajo durante los cinco días anteriores al 13 de febrero de 2017, fecha en la que Altán Redes presentó la solicitud para celebrar el Contrato de Fideicomiso de Garantía. Ello, en referencia al artículo 15, párrafo segundo, de las Disposiciones Regulatorias de la Ley Federal de Competencia Económica para los sectores de telecomunicaciones y radiodifusión (Disposiciones Regulatorias).</w:t>
      </w:r>
    </w:p>
  </w:footnote>
  <w:footnote w:id="3">
    <w:p w14:paraId="6AA25B2C" w14:textId="62653D20" w:rsidR="00CB3C1E" w:rsidRPr="00CB3C1E" w:rsidRDefault="00CB3C1E" w:rsidP="00CB3C1E">
      <w:pPr>
        <w:pStyle w:val="Textonotapie"/>
        <w:jc w:val="both"/>
        <w:rPr>
          <w:rFonts w:ascii="ITC Avant Garde" w:hAnsi="ITC Avant Garde"/>
          <w:sz w:val="16"/>
          <w:szCs w:val="16"/>
          <w:lang w:val="es-MX"/>
        </w:rPr>
      </w:pPr>
      <w:r w:rsidRPr="00CB3C1E">
        <w:rPr>
          <w:rStyle w:val="Refdenotaalpie"/>
          <w:rFonts w:ascii="ITC Avant Garde" w:hAnsi="ITC Avant Garde"/>
          <w:sz w:val="16"/>
          <w:szCs w:val="16"/>
        </w:rPr>
        <w:footnoteRef/>
      </w:r>
      <w:r w:rsidRPr="00CB3C1E">
        <w:rPr>
          <w:rFonts w:ascii="ITC Avant Garde" w:hAnsi="ITC Avant Garde"/>
          <w:sz w:val="16"/>
          <w:szCs w:val="16"/>
        </w:rPr>
        <w:t xml:space="preserve"> </w:t>
      </w:r>
      <w:r w:rsidRPr="00CB3C1E">
        <w:rPr>
          <w:rFonts w:ascii="ITC Avant Garde" w:hAnsi="ITC Avant Garde"/>
          <w:sz w:val="16"/>
          <w:szCs w:val="16"/>
          <w:lang w:val="es-MX"/>
        </w:rPr>
        <w:t xml:space="preserve">El valor diario de la Unidad de Medida y Actualización que se utilizó fue de 75.49 (setenta y cinco punto cuarenta y nueve) pesos, correspondiente al día anterior al 13 de febrero de 2017, fecha en la que Altán Redes presentó la solicitud para celebrar el Contrato de Fideicomiso de Garantía. Ello, en referencia al artículo 15, párrafo segundo de las Disposiciones Regulatorias.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E7B19"/>
    <w:multiLevelType w:val="hybridMultilevel"/>
    <w:tmpl w:val="63F05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BF4F09"/>
    <w:multiLevelType w:val="hybridMultilevel"/>
    <w:tmpl w:val="FDF41318"/>
    <w:lvl w:ilvl="0" w:tplc="42947E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4" w15:restartNumberingAfterBreak="0">
    <w:nsid w:val="24494432"/>
    <w:multiLevelType w:val="hybridMultilevel"/>
    <w:tmpl w:val="51C8BDFC"/>
    <w:lvl w:ilvl="0" w:tplc="F9CEF888">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F72AD6"/>
    <w:multiLevelType w:val="hybridMultilevel"/>
    <w:tmpl w:val="37BCB1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D21D65"/>
    <w:multiLevelType w:val="hybridMultilevel"/>
    <w:tmpl w:val="B73E3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1E5EC4"/>
    <w:multiLevelType w:val="hybridMultilevel"/>
    <w:tmpl w:val="9C8634B4"/>
    <w:lvl w:ilvl="0" w:tplc="DF7661D4">
      <w:start w:val="5"/>
      <w:numFmt w:val="decimal"/>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6B1F71"/>
    <w:multiLevelType w:val="hybridMultilevel"/>
    <w:tmpl w:val="C900B31E"/>
    <w:lvl w:ilvl="0" w:tplc="F7507C9E">
      <w:start w:val="8"/>
      <w:numFmt w:val="decimal"/>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CF4356"/>
    <w:multiLevelType w:val="hybridMultilevel"/>
    <w:tmpl w:val="61D0CA5C"/>
    <w:lvl w:ilvl="0" w:tplc="58BE0C9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4404052"/>
    <w:multiLevelType w:val="hybridMultilevel"/>
    <w:tmpl w:val="BDA051FE"/>
    <w:lvl w:ilvl="0" w:tplc="31FC1C52">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1" w15:restartNumberingAfterBreak="0">
    <w:nsid w:val="35BF29EB"/>
    <w:multiLevelType w:val="hybridMultilevel"/>
    <w:tmpl w:val="8A648AF2"/>
    <w:lvl w:ilvl="0" w:tplc="F80C681A">
      <w:start w:val="1"/>
      <w:numFmt w:val="decimal"/>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15:restartNumberingAfterBreak="0">
    <w:nsid w:val="51421C86"/>
    <w:multiLevelType w:val="hybridMultilevel"/>
    <w:tmpl w:val="3E1C1138"/>
    <w:lvl w:ilvl="0" w:tplc="69C08128">
      <w:start w:val="1"/>
      <w:numFmt w:val="upperRoman"/>
      <w:lvlText w:val="%1."/>
      <w:lvlJc w:val="left"/>
      <w:pPr>
        <w:ind w:left="1996" w:hanging="720"/>
      </w:pPr>
      <w:rPr>
        <w:rFonts w:hint="default"/>
      </w:rPr>
    </w:lvl>
    <w:lvl w:ilvl="1" w:tplc="080A0019">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3" w15:restartNumberingAfterBreak="0">
    <w:nsid w:val="52E733EA"/>
    <w:multiLevelType w:val="hybridMultilevel"/>
    <w:tmpl w:val="C1103352"/>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4" w15:restartNumberingAfterBreak="0">
    <w:nsid w:val="54A50DE8"/>
    <w:multiLevelType w:val="hybridMultilevel"/>
    <w:tmpl w:val="D4D47C88"/>
    <w:lvl w:ilvl="0" w:tplc="D0561FE4">
      <w:start w:val="1"/>
      <w:numFmt w:val="lowerLetter"/>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5" w15:restartNumberingAfterBreak="0">
    <w:nsid w:val="59AB49B8"/>
    <w:multiLevelType w:val="hybridMultilevel"/>
    <w:tmpl w:val="61D0CA5C"/>
    <w:lvl w:ilvl="0" w:tplc="58BE0C9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5E6B6A8F"/>
    <w:multiLevelType w:val="hybridMultilevel"/>
    <w:tmpl w:val="ABF218E2"/>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0A56E74"/>
    <w:multiLevelType w:val="hybridMultilevel"/>
    <w:tmpl w:val="16A64B4E"/>
    <w:lvl w:ilvl="0" w:tplc="080A0017">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8" w15:restartNumberingAfterBreak="0">
    <w:nsid w:val="67351662"/>
    <w:multiLevelType w:val="hybridMultilevel"/>
    <w:tmpl w:val="E8E2C59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9" w15:restartNumberingAfterBreak="0">
    <w:nsid w:val="6ADF4989"/>
    <w:multiLevelType w:val="hybridMultilevel"/>
    <w:tmpl w:val="C0D4FF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6F655080"/>
    <w:multiLevelType w:val="hybridMultilevel"/>
    <w:tmpl w:val="A96E4EF8"/>
    <w:lvl w:ilvl="0" w:tplc="C4A22A9A">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1286D80"/>
    <w:multiLevelType w:val="hybridMultilevel"/>
    <w:tmpl w:val="D65293A0"/>
    <w:lvl w:ilvl="0" w:tplc="0DE2DD3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9"/>
  </w:num>
  <w:num w:numId="3">
    <w:abstractNumId w:val="9"/>
  </w:num>
  <w:num w:numId="4">
    <w:abstractNumId w:val="12"/>
  </w:num>
  <w:num w:numId="5">
    <w:abstractNumId w:val="2"/>
  </w:num>
  <w:num w:numId="6">
    <w:abstractNumId w:val="3"/>
  </w:num>
  <w:num w:numId="7">
    <w:abstractNumId w:val="5"/>
  </w:num>
  <w:num w:numId="8">
    <w:abstractNumId w:val="18"/>
  </w:num>
  <w:num w:numId="9">
    <w:abstractNumId w:val="16"/>
  </w:num>
  <w:num w:numId="10">
    <w:abstractNumId w:val="20"/>
  </w:num>
  <w:num w:numId="11">
    <w:abstractNumId w:val="0"/>
  </w:num>
  <w:num w:numId="12">
    <w:abstractNumId w:val="6"/>
  </w:num>
  <w:num w:numId="13">
    <w:abstractNumId w:val="13"/>
  </w:num>
  <w:num w:numId="14">
    <w:abstractNumId w:val="15"/>
  </w:num>
  <w:num w:numId="15">
    <w:abstractNumId w:val="1"/>
  </w:num>
  <w:num w:numId="16">
    <w:abstractNumId w:val="21"/>
  </w:num>
  <w:num w:numId="17">
    <w:abstractNumId w:val="10"/>
  </w:num>
  <w:num w:numId="18">
    <w:abstractNumId w:val="7"/>
  </w:num>
  <w:num w:numId="19">
    <w:abstractNumId w:val="8"/>
  </w:num>
  <w:num w:numId="20">
    <w:abstractNumId w:val="11"/>
  </w:num>
  <w:num w:numId="21">
    <w:abstractNumId w:val="14"/>
  </w:num>
  <w:num w:numId="2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47FB"/>
    <w:rsid w:val="00004A1B"/>
    <w:rsid w:val="000051F4"/>
    <w:rsid w:val="000055FA"/>
    <w:rsid w:val="00005D96"/>
    <w:rsid w:val="0000607E"/>
    <w:rsid w:val="000067ED"/>
    <w:rsid w:val="00006E01"/>
    <w:rsid w:val="00006F51"/>
    <w:rsid w:val="000074E2"/>
    <w:rsid w:val="00010729"/>
    <w:rsid w:val="00011AFB"/>
    <w:rsid w:val="00013843"/>
    <w:rsid w:val="000138AD"/>
    <w:rsid w:val="00013D3C"/>
    <w:rsid w:val="00014500"/>
    <w:rsid w:val="00015968"/>
    <w:rsid w:val="00015DBA"/>
    <w:rsid w:val="00017241"/>
    <w:rsid w:val="0001764E"/>
    <w:rsid w:val="000200E5"/>
    <w:rsid w:val="00020212"/>
    <w:rsid w:val="000203A5"/>
    <w:rsid w:val="00020690"/>
    <w:rsid w:val="00020849"/>
    <w:rsid w:val="00020B7D"/>
    <w:rsid w:val="00022AA1"/>
    <w:rsid w:val="00022D0A"/>
    <w:rsid w:val="00022D3F"/>
    <w:rsid w:val="00023FC3"/>
    <w:rsid w:val="00025D60"/>
    <w:rsid w:val="00025F7E"/>
    <w:rsid w:val="000276D8"/>
    <w:rsid w:val="00030964"/>
    <w:rsid w:val="00030A33"/>
    <w:rsid w:val="00030F1A"/>
    <w:rsid w:val="00030FC5"/>
    <w:rsid w:val="00031895"/>
    <w:rsid w:val="00031FB4"/>
    <w:rsid w:val="00032351"/>
    <w:rsid w:val="000333A0"/>
    <w:rsid w:val="00034023"/>
    <w:rsid w:val="000347B5"/>
    <w:rsid w:val="00034C16"/>
    <w:rsid w:val="00034FCF"/>
    <w:rsid w:val="000363F8"/>
    <w:rsid w:val="000364BD"/>
    <w:rsid w:val="00036D34"/>
    <w:rsid w:val="00037297"/>
    <w:rsid w:val="000372C5"/>
    <w:rsid w:val="000378D9"/>
    <w:rsid w:val="00037F2D"/>
    <w:rsid w:val="00040E84"/>
    <w:rsid w:val="000413E7"/>
    <w:rsid w:val="00041BEC"/>
    <w:rsid w:val="0004241F"/>
    <w:rsid w:val="00042F69"/>
    <w:rsid w:val="0004373E"/>
    <w:rsid w:val="0004437B"/>
    <w:rsid w:val="00044F30"/>
    <w:rsid w:val="00045929"/>
    <w:rsid w:val="00045B56"/>
    <w:rsid w:val="00046288"/>
    <w:rsid w:val="000463C3"/>
    <w:rsid w:val="00046C8C"/>
    <w:rsid w:val="000515FD"/>
    <w:rsid w:val="00051AE6"/>
    <w:rsid w:val="00051D63"/>
    <w:rsid w:val="0005274E"/>
    <w:rsid w:val="00052829"/>
    <w:rsid w:val="00052D9F"/>
    <w:rsid w:val="000533A1"/>
    <w:rsid w:val="0005402F"/>
    <w:rsid w:val="0005451A"/>
    <w:rsid w:val="00054949"/>
    <w:rsid w:val="00055803"/>
    <w:rsid w:val="00056F87"/>
    <w:rsid w:val="00057FD1"/>
    <w:rsid w:val="00061842"/>
    <w:rsid w:val="00061C64"/>
    <w:rsid w:val="000624EE"/>
    <w:rsid w:val="000627E2"/>
    <w:rsid w:val="00062AB7"/>
    <w:rsid w:val="00062B07"/>
    <w:rsid w:val="0006346B"/>
    <w:rsid w:val="000635C5"/>
    <w:rsid w:val="000650D6"/>
    <w:rsid w:val="000659D0"/>
    <w:rsid w:val="00066A93"/>
    <w:rsid w:val="000673B3"/>
    <w:rsid w:val="00067854"/>
    <w:rsid w:val="00067C16"/>
    <w:rsid w:val="000701E9"/>
    <w:rsid w:val="000704E0"/>
    <w:rsid w:val="000705A3"/>
    <w:rsid w:val="000705C0"/>
    <w:rsid w:val="00070EFF"/>
    <w:rsid w:val="00071099"/>
    <w:rsid w:val="000711FE"/>
    <w:rsid w:val="00072801"/>
    <w:rsid w:val="00073606"/>
    <w:rsid w:val="00074169"/>
    <w:rsid w:val="00074E75"/>
    <w:rsid w:val="00075479"/>
    <w:rsid w:val="00075A4E"/>
    <w:rsid w:val="0007776F"/>
    <w:rsid w:val="00077C72"/>
    <w:rsid w:val="00080445"/>
    <w:rsid w:val="000808CF"/>
    <w:rsid w:val="0008095F"/>
    <w:rsid w:val="00081E5C"/>
    <w:rsid w:val="00081FA3"/>
    <w:rsid w:val="00083218"/>
    <w:rsid w:val="000839A1"/>
    <w:rsid w:val="00083B87"/>
    <w:rsid w:val="00083DDC"/>
    <w:rsid w:val="00084D15"/>
    <w:rsid w:val="000852D5"/>
    <w:rsid w:val="00085950"/>
    <w:rsid w:val="00086145"/>
    <w:rsid w:val="00086454"/>
    <w:rsid w:val="00086B71"/>
    <w:rsid w:val="00086E86"/>
    <w:rsid w:val="00086F10"/>
    <w:rsid w:val="000872DE"/>
    <w:rsid w:val="00087C4D"/>
    <w:rsid w:val="00093253"/>
    <w:rsid w:val="00093370"/>
    <w:rsid w:val="000934F3"/>
    <w:rsid w:val="000939CC"/>
    <w:rsid w:val="00093CC4"/>
    <w:rsid w:val="000946A7"/>
    <w:rsid w:val="000948A0"/>
    <w:rsid w:val="00094EFD"/>
    <w:rsid w:val="00095600"/>
    <w:rsid w:val="0009592D"/>
    <w:rsid w:val="00095AE6"/>
    <w:rsid w:val="00095F7A"/>
    <w:rsid w:val="000966E9"/>
    <w:rsid w:val="000973F9"/>
    <w:rsid w:val="000A267F"/>
    <w:rsid w:val="000A4944"/>
    <w:rsid w:val="000A532A"/>
    <w:rsid w:val="000A5802"/>
    <w:rsid w:val="000A5BD3"/>
    <w:rsid w:val="000A5D2F"/>
    <w:rsid w:val="000A5E2A"/>
    <w:rsid w:val="000B0CBA"/>
    <w:rsid w:val="000B166C"/>
    <w:rsid w:val="000B2094"/>
    <w:rsid w:val="000B2548"/>
    <w:rsid w:val="000B2D65"/>
    <w:rsid w:val="000B3640"/>
    <w:rsid w:val="000B3DFF"/>
    <w:rsid w:val="000B4E86"/>
    <w:rsid w:val="000B51C0"/>
    <w:rsid w:val="000B5478"/>
    <w:rsid w:val="000B57F2"/>
    <w:rsid w:val="000B6F2B"/>
    <w:rsid w:val="000B7735"/>
    <w:rsid w:val="000B7B62"/>
    <w:rsid w:val="000B7DEE"/>
    <w:rsid w:val="000C32E0"/>
    <w:rsid w:val="000C7383"/>
    <w:rsid w:val="000C7B32"/>
    <w:rsid w:val="000D08BB"/>
    <w:rsid w:val="000D123D"/>
    <w:rsid w:val="000D1296"/>
    <w:rsid w:val="000D1EC7"/>
    <w:rsid w:val="000D23FD"/>
    <w:rsid w:val="000D474E"/>
    <w:rsid w:val="000D4E02"/>
    <w:rsid w:val="000D6B29"/>
    <w:rsid w:val="000D73CC"/>
    <w:rsid w:val="000D7607"/>
    <w:rsid w:val="000D7878"/>
    <w:rsid w:val="000D7C78"/>
    <w:rsid w:val="000E0D15"/>
    <w:rsid w:val="000E0D7F"/>
    <w:rsid w:val="000E0FC2"/>
    <w:rsid w:val="000E18D2"/>
    <w:rsid w:val="000E2405"/>
    <w:rsid w:val="000E2F60"/>
    <w:rsid w:val="000E42AF"/>
    <w:rsid w:val="000E4B54"/>
    <w:rsid w:val="000E61BE"/>
    <w:rsid w:val="000E6DE8"/>
    <w:rsid w:val="000F02B1"/>
    <w:rsid w:val="000F119B"/>
    <w:rsid w:val="000F1B10"/>
    <w:rsid w:val="000F238B"/>
    <w:rsid w:val="000F2472"/>
    <w:rsid w:val="000F25F4"/>
    <w:rsid w:val="000F2906"/>
    <w:rsid w:val="000F2BDC"/>
    <w:rsid w:val="000F2CDA"/>
    <w:rsid w:val="000F3BAB"/>
    <w:rsid w:val="000F41FA"/>
    <w:rsid w:val="000F47A9"/>
    <w:rsid w:val="000F490D"/>
    <w:rsid w:val="000F4E19"/>
    <w:rsid w:val="000F5441"/>
    <w:rsid w:val="000F68DA"/>
    <w:rsid w:val="000F7BD0"/>
    <w:rsid w:val="001004A4"/>
    <w:rsid w:val="00100662"/>
    <w:rsid w:val="00101477"/>
    <w:rsid w:val="0010169C"/>
    <w:rsid w:val="0010174B"/>
    <w:rsid w:val="00101DF0"/>
    <w:rsid w:val="00102D0F"/>
    <w:rsid w:val="00104A38"/>
    <w:rsid w:val="00104C40"/>
    <w:rsid w:val="00105458"/>
    <w:rsid w:val="001068CA"/>
    <w:rsid w:val="00106D48"/>
    <w:rsid w:val="00107503"/>
    <w:rsid w:val="00110AC2"/>
    <w:rsid w:val="00111A91"/>
    <w:rsid w:val="001126EC"/>
    <w:rsid w:val="00112A9A"/>
    <w:rsid w:val="0011343A"/>
    <w:rsid w:val="001147B6"/>
    <w:rsid w:val="00114ABF"/>
    <w:rsid w:val="001151FC"/>
    <w:rsid w:val="00116552"/>
    <w:rsid w:val="001166E4"/>
    <w:rsid w:val="0011721A"/>
    <w:rsid w:val="001172F1"/>
    <w:rsid w:val="00117AF7"/>
    <w:rsid w:val="0012024D"/>
    <w:rsid w:val="00120803"/>
    <w:rsid w:val="00121BD6"/>
    <w:rsid w:val="00122D64"/>
    <w:rsid w:val="00123CE7"/>
    <w:rsid w:val="00124845"/>
    <w:rsid w:val="00124B76"/>
    <w:rsid w:val="0012642E"/>
    <w:rsid w:val="00126441"/>
    <w:rsid w:val="00127010"/>
    <w:rsid w:val="001305DA"/>
    <w:rsid w:val="00131E87"/>
    <w:rsid w:val="00132BF6"/>
    <w:rsid w:val="00133255"/>
    <w:rsid w:val="00134135"/>
    <w:rsid w:val="00134442"/>
    <w:rsid w:val="00134D8E"/>
    <w:rsid w:val="00135C24"/>
    <w:rsid w:val="00135C45"/>
    <w:rsid w:val="00136A5D"/>
    <w:rsid w:val="00137876"/>
    <w:rsid w:val="0013791C"/>
    <w:rsid w:val="00137EE0"/>
    <w:rsid w:val="00140B5C"/>
    <w:rsid w:val="00140FBF"/>
    <w:rsid w:val="0014159A"/>
    <w:rsid w:val="00141CDA"/>
    <w:rsid w:val="00141CF7"/>
    <w:rsid w:val="00141D4D"/>
    <w:rsid w:val="00143CF8"/>
    <w:rsid w:val="00143F9B"/>
    <w:rsid w:val="001449A3"/>
    <w:rsid w:val="001462C5"/>
    <w:rsid w:val="00146342"/>
    <w:rsid w:val="00146A83"/>
    <w:rsid w:val="00146F03"/>
    <w:rsid w:val="00147831"/>
    <w:rsid w:val="001478B7"/>
    <w:rsid w:val="00147DB2"/>
    <w:rsid w:val="0015046E"/>
    <w:rsid w:val="00150FE3"/>
    <w:rsid w:val="00151162"/>
    <w:rsid w:val="001524BD"/>
    <w:rsid w:val="00155941"/>
    <w:rsid w:val="00156AEC"/>
    <w:rsid w:val="001574BC"/>
    <w:rsid w:val="00161A31"/>
    <w:rsid w:val="0016262B"/>
    <w:rsid w:val="0016430C"/>
    <w:rsid w:val="00164DD0"/>
    <w:rsid w:val="001650D0"/>
    <w:rsid w:val="001661EE"/>
    <w:rsid w:val="00166E66"/>
    <w:rsid w:val="00167D38"/>
    <w:rsid w:val="001707FA"/>
    <w:rsid w:val="0017192E"/>
    <w:rsid w:val="00171DF9"/>
    <w:rsid w:val="00172A3D"/>
    <w:rsid w:val="0017381D"/>
    <w:rsid w:val="00173D77"/>
    <w:rsid w:val="001740E3"/>
    <w:rsid w:val="00174541"/>
    <w:rsid w:val="00174FDC"/>
    <w:rsid w:val="00175A43"/>
    <w:rsid w:val="001763D8"/>
    <w:rsid w:val="001768B3"/>
    <w:rsid w:val="00177D5D"/>
    <w:rsid w:val="001820D4"/>
    <w:rsid w:val="001823D1"/>
    <w:rsid w:val="001833AA"/>
    <w:rsid w:val="001833F2"/>
    <w:rsid w:val="00184339"/>
    <w:rsid w:val="00187261"/>
    <w:rsid w:val="0019107E"/>
    <w:rsid w:val="00193B5B"/>
    <w:rsid w:val="00194C30"/>
    <w:rsid w:val="00195355"/>
    <w:rsid w:val="00195492"/>
    <w:rsid w:val="0019596D"/>
    <w:rsid w:val="0019694F"/>
    <w:rsid w:val="0019770A"/>
    <w:rsid w:val="00197D54"/>
    <w:rsid w:val="001A1A21"/>
    <w:rsid w:val="001A4604"/>
    <w:rsid w:val="001A48FB"/>
    <w:rsid w:val="001A4BD8"/>
    <w:rsid w:val="001A51A5"/>
    <w:rsid w:val="001A55E4"/>
    <w:rsid w:val="001A6399"/>
    <w:rsid w:val="001A6F66"/>
    <w:rsid w:val="001A7036"/>
    <w:rsid w:val="001A760F"/>
    <w:rsid w:val="001A79E3"/>
    <w:rsid w:val="001B0E28"/>
    <w:rsid w:val="001B30EA"/>
    <w:rsid w:val="001B33F4"/>
    <w:rsid w:val="001B51F0"/>
    <w:rsid w:val="001B6138"/>
    <w:rsid w:val="001B636B"/>
    <w:rsid w:val="001B65C9"/>
    <w:rsid w:val="001C0366"/>
    <w:rsid w:val="001C1477"/>
    <w:rsid w:val="001C1A12"/>
    <w:rsid w:val="001C1A58"/>
    <w:rsid w:val="001C2A9D"/>
    <w:rsid w:val="001C31AE"/>
    <w:rsid w:val="001C3DFA"/>
    <w:rsid w:val="001C4436"/>
    <w:rsid w:val="001C443E"/>
    <w:rsid w:val="001C4A89"/>
    <w:rsid w:val="001C4AC9"/>
    <w:rsid w:val="001C4B3B"/>
    <w:rsid w:val="001C4E08"/>
    <w:rsid w:val="001C6B89"/>
    <w:rsid w:val="001C6B94"/>
    <w:rsid w:val="001C6CC2"/>
    <w:rsid w:val="001D0BC5"/>
    <w:rsid w:val="001D0E5A"/>
    <w:rsid w:val="001D17D3"/>
    <w:rsid w:val="001D24A2"/>
    <w:rsid w:val="001D3349"/>
    <w:rsid w:val="001D3358"/>
    <w:rsid w:val="001D41A6"/>
    <w:rsid w:val="001D4AE3"/>
    <w:rsid w:val="001D4D5B"/>
    <w:rsid w:val="001D53C7"/>
    <w:rsid w:val="001D5ADB"/>
    <w:rsid w:val="001D5D4E"/>
    <w:rsid w:val="001D5DE2"/>
    <w:rsid w:val="001D679A"/>
    <w:rsid w:val="001D6A1F"/>
    <w:rsid w:val="001D6D66"/>
    <w:rsid w:val="001E04A7"/>
    <w:rsid w:val="001E05C4"/>
    <w:rsid w:val="001E06F7"/>
    <w:rsid w:val="001E0CBE"/>
    <w:rsid w:val="001E0D66"/>
    <w:rsid w:val="001E1576"/>
    <w:rsid w:val="001E30DB"/>
    <w:rsid w:val="001E33CE"/>
    <w:rsid w:val="001E3E15"/>
    <w:rsid w:val="001E45E2"/>
    <w:rsid w:val="001E5F01"/>
    <w:rsid w:val="001E70F1"/>
    <w:rsid w:val="001E7209"/>
    <w:rsid w:val="001F0027"/>
    <w:rsid w:val="001F08C9"/>
    <w:rsid w:val="001F3C6E"/>
    <w:rsid w:val="001F7293"/>
    <w:rsid w:val="001F761B"/>
    <w:rsid w:val="001F7DC7"/>
    <w:rsid w:val="00200B4D"/>
    <w:rsid w:val="0020364B"/>
    <w:rsid w:val="00203C4F"/>
    <w:rsid w:val="00206DA3"/>
    <w:rsid w:val="00207678"/>
    <w:rsid w:val="00207D5F"/>
    <w:rsid w:val="002127F6"/>
    <w:rsid w:val="00212FA3"/>
    <w:rsid w:val="002138E6"/>
    <w:rsid w:val="00213B7E"/>
    <w:rsid w:val="00214AA5"/>
    <w:rsid w:val="00215729"/>
    <w:rsid w:val="002210EE"/>
    <w:rsid w:val="00223297"/>
    <w:rsid w:val="002245E5"/>
    <w:rsid w:val="00224A5F"/>
    <w:rsid w:val="00224D5A"/>
    <w:rsid w:val="00224E0D"/>
    <w:rsid w:val="002250BD"/>
    <w:rsid w:val="0022538C"/>
    <w:rsid w:val="0022573F"/>
    <w:rsid w:val="0022617C"/>
    <w:rsid w:val="00227651"/>
    <w:rsid w:val="00227836"/>
    <w:rsid w:val="0023126F"/>
    <w:rsid w:val="00231795"/>
    <w:rsid w:val="0023271D"/>
    <w:rsid w:val="00234946"/>
    <w:rsid w:val="00234A57"/>
    <w:rsid w:val="002363CE"/>
    <w:rsid w:val="002370DC"/>
    <w:rsid w:val="0023717A"/>
    <w:rsid w:val="002372A2"/>
    <w:rsid w:val="002373B1"/>
    <w:rsid w:val="00237A51"/>
    <w:rsid w:val="00240605"/>
    <w:rsid w:val="00240889"/>
    <w:rsid w:val="00241378"/>
    <w:rsid w:val="00242E10"/>
    <w:rsid w:val="00243254"/>
    <w:rsid w:val="002466A0"/>
    <w:rsid w:val="00246902"/>
    <w:rsid w:val="00246906"/>
    <w:rsid w:val="00246C5C"/>
    <w:rsid w:val="00247ADA"/>
    <w:rsid w:val="00251061"/>
    <w:rsid w:val="00252DA7"/>
    <w:rsid w:val="00253771"/>
    <w:rsid w:val="00253B57"/>
    <w:rsid w:val="00253B7E"/>
    <w:rsid w:val="002543CF"/>
    <w:rsid w:val="002548EC"/>
    <w:rsid w:val="0025514D"/>
    <w:rsid w:val="00256557"/>
    <w:rsid w:val="00256BAC"/>
    <w:rsid w:val="00257CAC"/>
    <w:rsid w:val="0026000F"/>
    <w:rsid w:val="00260151"/>
    <w:rsid w:val="002605BF"/>
    <w:rsid w:val="0026189C"/>
    <w:rsid w:val="00261B36"/>
    <w:rsid w:val="002627D3"/>
    <w:rsid w:val="00262DE5"/>
    <w:rsid w:val="00263460"/>
    <w:rsid w:val="002639C7"/>
    <w:rsid w:val="00267CAB"/>
    <w:rsid w:val="00271479"/>
    <w:rsid w:val="00272CA1"/>
    <w:rsid w:val="0027386B"/>
    <w:rsid w:val="00274E52"/>
    <w:rsid w:val="0027509C"/>
    <w:rsid w:val="00275873"/>
    <w:rsid w:val="00275F9D"/>
    <w:rsid w:val="0027615B"/>
    <w:rsid w:val="0027663D"/>
    <w:rsid w:val="00277386"/>
    <w:rsid w:val="00280045"/>
    <w:rsid w:val="0028097A"/>
    <w:rsid w:val="00280E84"/>
    <w:rsid w:val="002819A8"/>
    <w:rsid w:val="00281B08"/>
    <w:rsid w:val="00282781"/>
    <w:rsid w:val="00283085"/>
    <w:rsid w:val="002833ED"/>
    <w:rsid w:val="00283730"/>
    <w:rsid w:val="00284195"/>
    <w:rsid w:val="002844C1"/>
    <w:rsid w:val="00285258"/>
    <w:rsid w:val="0028670C"/>
    <w:rsid w:val="00286EA0"/>
    <w:rsid w:val="00287192"/>
    <w:rsid w:val="00287BF2"/>
    <w:rsid w:val="00290920"/>
    <w:rsid w:val="00291A88"/>
    <w:rsid w:val="002924DB"/>
    <w:rsid w:val="002930DC"/>
    <w:rsid w:val="0029320B"/>
    <w:rsid w:val="0029482F"/>
    <w:rsid w:val="0029679C"/>
    <w:rsid w:val="002A0880"/>
    <w:rsid w:val="002A1002"/>
    <w:rsid w:val="002A104D"/>
    <w:rsid w:val="002A12BF"/>
    <w:rsid w:val="002A35D8"/>
    <w:rsid w:val="002A395A"/>
    <w:rsid w:val="002A3C0F"/>
    <w:rsid w:val="002A4752"/>
    <w:rsid w:val="002A4767"/>
    <w:rsid w:val="002A544A"/>
    <w:rsid w:val="002A54A7"/>
    <w:rsid w:val="002A64ED"/>
    <w:rsid w:val="002A7487"/>
    <w:rsid w:val="002B1059"/>
    <w:rsid w:val="002B285E"/>
    <w:rsid w:val="002B2B25"/>
    <w:rsid w:val="002B3CBE"/>
    <w:rsid w:val="002B42F1"/>
    <w:rsid w:val="002B5012"/>
    <w:rsid w:val="002B574B"/>
    <w:rsid w:val="002B5A5F"/>
    <w:rsid w:val="002B61C5"/>
    <w:rsid w:val="002B6E5E"/>
    <w:rsid w:val="002B754A"/>
    <w:rsid w:val="002B77A7"/>
    <w:rsid w:val="002B77DC"/>
    <w:rsid w:val="002C1E86"/>
    <w:rsid w:val="002C2039"/>
    <w:rsid w:val="002C32B7"/>
    <w:rsid w:val="002C3E90"/>
    <w:rsid w:val="002C42CE"/>
    <w:rsid w:val="002C44A9"/>
    <w:rsid w:val="002C45B6"/>
    <w:rsid w:val="002C6E7E"/>
    <w:rsid w:val="002C7DAD"/>
    <w:rsid w:val="002D3760"/>
    <w:rsid w:val="002D42C8"/>
    <w:rsid w:val="002D5138"/>
    <w:rsid w:val="002D7697"/>
    <w:rsid w:val="002D7DF0"/>
    <w:rsid w:val="002E04BD"/>
    <w:rsid w:val="002E18B2"/>
    <w:rsid w:val="002E2551"/>
    <w:rsid w:val="002E2761"/>
    <w:rsid w:val="002E33E5"/>
    <w:rsid w:val="002E449D"/>
    <w:rsid w:val="002E4893"/>
    <w:rsid w:val="002E5636"/>
    <w:rsid w:val="002E584A"/>
    <w:rsid w:val="002E5BFD"/>
    <w:rsid w:val="002E5D42"/>
    <w:rsid w:val="002E656C"/>
    <w:rsid w:val="002E737F"/>
    <w:rsid w:val="002E7F0D"/>
    <w:rsid w:val="002F0CFA"/>
    <w:rsid w:val="002F1446"/>
    <w:rsid w:val="002F194D"/>
    <w:rsid w:val="002F2699"/>
    <w:rsid w:val="002F37C0"/>
    <w:rsid w:val="002F3F37"/>
    <w:rsid w:val="002F4209"/>
    <w:rsid w:val="002F4882"/>
    <w:rsid w:val="002F4A51"/>
    <w:rsid w:val="002F4B02"/>
    <w:rsid w:val="002F4FC9"/>
    <w:rsid w:val="002F59AC"/>
    <w:rsid w:val="002F61D8"/>
    <w:rsid w:val="002F7866"/>
    <w:rsid w:val="003011F7"/>
    <w:rsid w:val="003015C0"/>
    <w:rsid w:val="00302145"/>
    <w:rsid w:val="003027A1"/>
    <w:rsid w:val="00302948"/>
    <w:rsid w:val="0030331F"/>
    <w:rsid w:val="00303817"/>
    <w:rsid w:val="00303D0D"/>
    <w:rsid w:val="00304399"/>
    <w:rsid w:val="003069B7"/>
    <w:rsid w:val="00306FB1"/>
    <w:rsid w:val="003103DA"/>
    <w:rsid w:val="0031074A"/>
    <w:rsid w:val="00310964"/>
    <w:rsid w:val="003114DF"/>
    <w:rsid w:val="00311C72"/>
    <w:rsid w:val="00312FD7"/>
    <w:rsid w:val="0031427B"/>
    <w:rsid w:val="00314848"/>
    <w:rsid w:val="003152D5"/>
    <w:rsid w:val="00315469"/>
    <w:rsid w:val="0031602B"/>
    <w:rsid w:val="00316E48"/>
    <w:rsid w:val="0031765C"/>
    <w:rsid w:val="00317777"/>
    <w:rsid w:val="00317D1C"/>
    <w:rsid w:val="00320D45"/>
    <w:rsid w:val="00320D9F"/>
    <w:rsid w:val="00322A54"/>
    <w:rsid w:val="00323BCB"/>
    <w:rsid w:val="00324CAC"/>
    <w:rsid w:val="003251B9"/>
    <w:rsid w:val="00325F55"/>
    <w:rsid w:val="00326060"/>
    <w:rsid w:val="00326356"/>
    <w:rsid w:val="0032778E"/>
    <w:rsid w:val="00330401"/>
    <w:rsid w:val="00330668"/>
    <w:rsid w:val="00330F29"/>
    <w:rsid w:val="00333730"/>
    <w:rsid w:val="00333D9E"/>
    <w:rsid w:val="00334F78"/>
    <w:rsid w:val="00335E7D"/>
    <w:rsid w:val="003361AA"/>
    <w:rsid w:val="00336E77"/>
    <w:rsid w:val="0033755C"/>
    <w:rsid w:val="003402C2"/>
    <w:rsid w:val="00343A04"/>
    <w:rsid w:val="00343C5E"/>
    <w:rsid w:val="0034428E"/>
    <w:rsid w:val="00344EBC"/>
    <w:rsid w:val="00345413"/>
    <w:rsid w:val="00345DB8"/>
    <w:rsid w:val="00346F3D"/>
    <w:rsid w:val="00347771"/>
    <w:rsid w:val="003478FC"/>
    <w:rsid w:val="00347D15"/>
    <w:rsid w:val="003501E5"/>
    <w:rsid w:val="00351F85"/>
    <w:rsid w:val="0035236F"/>
    <w:rsid w:val="0035238E"/>
    <w:rsid w:val="00352642"/>
    <w:rsid w:val="00352A02"/>
    <w:rsid w:val="00354EC7"/>
    <w:rsid w:val="00355ACE"/>
    <w:rsid w:val="003566CC"/>
    <w:rsid w:val="003568BA"/>
    <w:rsid w:val="003600F8"/>
    <w:rsid w:val="0036014C"/>
    <w:rsid w:val="00360ACD"/>
    <w:rsid w:val="00360C58"/>
    <w:rsid w:val="003613FB"/>
    <w:rsid w:val="0036345D"/>
    <w:rsid w:val="00363746"/>
    <w:rsid w:val="00363A3C"/>
    <w:rsid w:val="00364981"/>
    <w:rsid w:val="00365034"/>
    <w:rsid w:val="00365D9D"/>
    <w:rsid w:val="00366121"/>
    <w:rsid w:val="00366EF5"/>
    <w:rsid w:val="00367198"/>
    <w:rsid w:val="00367871"/>
    <w:rsid w:val="00370694"/>
    <w:rsid w:val="003718C6"/>
    <w:rsid w:val="00371A8D"/>
    <w:rsid w:val="0037291B"/>
    <w:rsid w:val="0037468B"/>
    <w:rsid w:val="00375217"/>
    <w:rsid w:val="00380287"/>
    <w:rsid w:val="003806ED"/>
    <w:rsid w:val="003807E3"/>
    <w:rsid w:val="00381199"/>
    <w:rsid w:val="0038134C"/>
    <w:rsid w:val="003815F9"/>
    <w:rsid w:val="003829AE"/>
    <w:rsid w:val="00383516"/>
    <w:rsid w:val="003837BF"/>
    <w:rsid w:val="00383DC8"/>
    <w:rsid w:val="003846E0"/>
    <w:rsid w:val="00384EB1"/>
    <w:rsid w:val="00385CA9"/>
    <w:rsid w:val="003866FB"/>
    <w:rsid w:val="00387B95"/>
    <w:rsid w:val="00396BD0"/>
    <w:rsid w:val="00397378"/>
    <w:rsid w:val="00397AA2"/>
    <w:rsid w:val="003A2516"/>
    <w:rsid w:val="003A48D0"/>
    <w:rsid w:val="003A4AEF"/>
    <w:rsid w:val="003A5177"/>
    <w:rsid w:val="003A6D88"/>
    <w:rsid w:val="003A6D99"/>
    <w:rsid w:val="003A7C88"/>
    <w:rsid w:val="003A7EB7"/>
    <w:rsid w:val="003B0228"/>
    <w:rsid w:val="003B0361"/>
    <w:rsid w:val="003B0B32"/>
    <w:rsid w:val="003B1EDB"/>
    <w:rsid w:val="003B20F1"/>
    <w:rsid w:val="003B3060"/>
    <w:rsid w:val="003B3E14"/>
    <w:rsid w:val="003B477D"/>
    <w:rsid w:val="003B4B5D"/>
    <w:rsid w:val="003B5B97"/>
    <w:rsid w:val="003B72D8"/>
    <w:rsid w:val="003B74DA"/>
    <w:rsid w:val="003B7C71"/>
    <w:rsid w:val="003C011A"/>
    <w:rsid w:val="003C119E"/>
    <w:rsid w:val="003C3F3A"/>
    <w:rsid w:val="003C4618"/>
    <w:rsid w:val="003C49A6"/>
    <w:rsid w:val="003C4CA4"/>
    <w:rsid w:val="003C6807"/>
    <w:rsid w:val="003C6B0D"/>
    <w:rsid w:val="003C70A8"/>
    <w:rsid w:val="003C7446"/>
    <w:rsid w:val="003D1324"/>
    <w:rsid w:val="003D178C"/>
    <w:rsid w:val="003D1998"/>
    <w:rsid w:val="003D1DD2"/>
    <w:rsid w:val="003D28A1"/>
    <w:rsid w:val="003D29A8"/>
    <w:rsid w:val="003D2A1A"/>
    <w:rsid w:val="003D3355"/>
    <w:rsid w:val="003D3969"/>
    <w:rsid w:val="003D3C84"/>
    <w:rsid w:val="003D41B4"/>
    <w:rsid w:val="003D4972"/>
    <w:rsid w:val="003D50D3"/>
    <w:rsid w:val="003D5EDD"/>
    <w:rsid w:val="003D5F02"/>
    <w:rsid w:val="003D6097"/>
    <w:rsid w:val="003D66C9"/>
    <w:rsid w:val="003D7285"/>
    <w:rsid w:val="003D757F"/>
    <w:rsid w:val="003E1C84"/>
    <w:rsid w:val="003E2CE5"/>
    <w:rsid w:val="003E3C31"/>
    <w:rsid w:val="003E45C4"/>
    <w:rsid w:val="003E4699"/>
    <w:rsid w:val="003E4F8B"/>
    <w:rsid w:val="003E6A12"/>
    <w:rsid w:val="003F15D1"/>
    <w:rsid w:val="003F1DD0"/>
    <w:rsid w:val="003F2774"/>
    <w:rsid w:val="003F5158"/>
    <w:rsid w:val="003F61E9"/>
    <w:rsid w:val="003F7DC4"/>
    <w:rsid w:val="004015D5"/>
    <w:rsid w:val="0040238E"/>
    <w:rsid w:val="00404646"/>
    <w:rsid w:val="00405E06"/>
    <w:rsid w:val="00406BDB"/>
    <w:rsid w:val="00407174"/>
    <w:rsid w:val="00407312"/>
    <w:rsid w:val="0040741D"/>
    <w:rsid w:val="00407812"/>
    <w:rsid w:val="00407D73"/>
    <w:rsid w:val="00410A47"/>
    <w:rsid w:val="004117A9"/>
    <w:rsid w:val="00411A53"/>
    <w:rsid w:val="004124EE"/>
    <w:rsid w:val="00412664"/>
    <w:rsid w:val="00413FEF"/>
    <w:rsid w:val="00415652"/>
    <w:rsid w:val="00415D3A"/>
    <w:rsid w:val="00415FFA"/>
    <w:rsid w:val="00416C87"/>
    <w:rsid w:val="00422CD1"/>
    <w:rsid w:val="00423109"/>
    <w:rsid w:val="00423699"/>
    <w:rsid w:val="00423D7A"/>
    <w:rsid w:val="00423DEC"/>
    <w:rsid w:val="00424003"/>
    <w:rsid w:val="00424A72"/>
    <w:rsid w:val="00427CCA"/>
    <w:rsid w:val="00431544"/>
    <w:rsid w:val="00431C14"/>
    <w:rsid w:val="00432FC5"/>
    <w:rsid w:val="0043485D"/>
    <w:rsid w:val="00434954"/>
    <w:rsid w:val="004352C9"/>
    <w:rsid w:val="004358F8"/>
    <w:rsid w:val="004359ED"/>
    <w:rsid w:val="004403DE"/>
    <w:rsid w:val="00440A77"/>
    <w:rsid w:val="004413BC"/>
    <w:rsid w:val="004415E2"/>
    <w:rsid w:val="00441630"/>
    <w:rsid w:val="00441C02"/>
    <w:rsid w:val="0044295F"/>
    <w:rsid w:val="004432C8"/>
    <w:rsid w:val="004440C3"/>
    <w:rsid w:val="00444D28"/>
    <w:rsid w:val="00444D3C"/>
    <w:rsid w:val="00445843"/>
    <w:rsid w:val="004465B5"/>
    <w:rsid w:val="004472BB"/>
    <w:rsid w:val="004476A2"/>
    <w:rsid w:val="00451592"/>
    <w:rsid w:val="004517FD"/>
    <w:rsid w:val="00451CDB"/>
    <w:rsid w:val="00452E0D"/>
    <w:rsid w:val="0045446E"/>
    <w:rsid w:val="0045470B"/>
    <w:rsid w:val="0045501B"/>
    <w:rsid w:val="0045676D"/>
    <w:rsid w:val="00457C8E"/>
    <w:rsid w:val="00460E91"/>
    <w:rsid w:val="00460F50"/>
    <w:rsid w:val="004612B4"/>
    <w:rsid w:val="004617B2"/>
    <w:rsid w:val="004624D7"/>
    <w:rsid w:val="00463037"/>
    <w:rsid w:val="004633A2"/>
    <w:rsid w:val="00465956"/>
    <w:rsid w:val="00465A9B"/>
    <w:rsid w:val="00465CDE"/>
    <w:rsid w:val="00465CE8"/>
    <w:rsid w:val="00466281"/>
    <w:rsid w:val="00466D51"/>
    <w:rsid w:val="004679D7"/>
    <w:rsid w:val="00467B06"/>
    <w:rsid w:val="004706E3"/>
    <w:rsid w:val="00471777"/>
    <w:rsid w:val="00471CA9"/>
    <w:rsid w:val="0047392C"/>
    <w:rsid w:val="004743D4"/>
    <w:rsid w:val="00475BD2"/>
    <w:rsid w:val="00480010"/>
    <w:rsid w:val="004820EF"/>
    <w:rsid w:val="004821CF"/>
    <w:rsid w:val="00482314"/>
    <w:rsid w:val="00482577"/>
    <w:rsid w:val="0048331A"/>
    <w:rsid w:val="00483BB7"/>
    <w:rsid w:val="00483EB0"/>
    <w:rsid w:val="00484040"/>
    <w:rsid w:val="00484D65"/>
    <w:rsid w:val="00485A34"/>
    <w:rsid w:val="00485C86"/>
    <w:rsid w:val="004865AA"/>
    <w:rsid w:val="0048696C"/>
    <w:rsid w:val="004878F9"/>
    <w:rsid w:val="004903F9"/>
    <w:rsid w:val="0049062D"/>
    <w:rsid w:val="00490B68"/>
    <w:rsid w:val="00490E42"/>
    <w:rsid w:val="004917C9"/>
    <w:rsid w:val="004920AF"/>
    <w:rsid w:val="0049259E"/>
    <w:rsid w:val="00493604"/>
    <w:rsid w:val="00494D13"/>
    <w:rsid w:val="0049602B"/>
    <w:rsid w:val="004960D4"/>
    <w:rsid w:val="0049695D"/>
    <w:rsid w:val="00496E28"/>
    <w:rsid w:val="00497805"/>
    <w:rsid w:val="004A0264"/>
    <w:rsid w:val="004A02A4"/>
    <w:rsid w:val="004A0FC0"/>
    <w:rsid w:val="004A1861"/>
    <w:rsid w:val="004A2BAD"/>
    <w:rsid w:val="004A404F"/>
    <w:rsid w:val="004A4451"/>
    <w:rsid w:val="004A4B45"/>
    <w:rsid w:val="004A4BC0"/>
    <w:rsid w:val="004A4BE6"/>
    <w:rsid w:val="004A4CE7"/>
    <w:rsid w:val="004A4E95"/>
    <w:rsid w:val="004A5222"/>
    <w:rsid w:val="004A7007"/>
    <w:rsid w:val="004A71DD"/>
    <w:rsid w:val="004B07F7"/>
    <w:rsid w:val="004B2D75"/>
    <w:rsid w:val="004B480C"/>
    <w:rsid w:val="004B495E"/>
    <w:rsid w:val="004B5F23"/>
    <w:rsid w:val="004B652D"/>
    <w:rsid w:val="004B6966"/>
    <w:rsid w:val="004B6D8A"/>
    <w:rsid w:val="004B73E2"/>
    <w:rsid w:val="004B774E"/>
    <w:rsid w:val="004C00A1"/>
    <w:rsid w:val="004C12F1"/>
    <w:rsid w:val="004C208C"/>
    <w:rsid w:val="004C20B1"/>
    <w:rsid w:val="004C2541"/>
    <w:rsid w:val="004C2A13"/>
    <w:rsid w:val="004C31B5"/>
    <w:rsid w:val="004C3974"/>
    <w:rsid w:val="004C4BAB"/>
    <w:rsid w:val="004C5A91"/>
    <w:rsid w:val="004C7026"/>
    <w:rsid w:val="004C7215"/>
    <w:rsid w:val="004C74D3"/>
    <w:rsid w:val="004C7979"/>
    <w:rsid w:val="004D011F"/>
    <w:rsid w:val="004D0439"/>
    <w:rsid w:val="004D04F0"/>
    <w:rsid w:val="004D11C8"/>
    <w:rsid w:val="004D13EB"/>
    <w:rsid w:val="004D22EA"/>
    <w:rsid w:val="004D2B96"/>
    <w:rsid w:val="004D2BDF"/>
    <w:rsid w:val="004D323B"/>
    <w:rsid w:val="004D4454"/>
    <w:rsid w:val="004D4781"/>
    <w:rsid w:val="004D4E63"/>
    <w:rsid w:val="004D5DDD"/>
    <w:rsid w:val="004D64C4"/>
    <w:rsid w:val="004D7C66"/>
    <w:rsid w:val="004E129F"/>
    <w:rsid w:val="004E2DB4"/>
    <w:rsid w:val="004E33F4"/>
    <w:rsid w:val="004E3A3D"/>
    <w:rsid w:val="004E4815"/>
    <w:rsid w:val="004E4DF1"/>
    <w:rsid w:val="004E4FBB"/>
    <w:rsid w:val="004E5421"/>
    <w:rsid w:val="004E5D49"/>
    <w:rsid w:val="004E6925"/>
    <w:rsid w:val="004E6F50"/>
    <w:rsid w:val="004E7468"/>
    <w:rsid w:val="004F09B2"/>
    <w:rsid w:val="004F1CE0"/>
    <w:rsid w:val="004F2D4F"/>
    <w:rsid w:val="004F31D5"/>
    <w:rsid w:val="004F3342"/>
    <w:rsid w:val="004F3431"/>
    <w:rsid w:val="004F3E53"/>
    <w:rsid w:val="004F622F"/>
    <w:rsid w:val="004F6920"/>
    <w:rsid w:val="005007B9"/>
    <w:rsid w:val="0050238C"/>
    <w:rsid w:val="005029E9"/>
    <w:rsid w:val="005033E4"/>
    <w:rsid w:val="00503AC1"/>
    <w:rsid w:val="0050427D"/>
    <w:rsid w:val="005043EB"/>
    <w:rsid w:val="0050508F"/>
    <w:rsid w:val="005053DB"/>
    <w:rsid w:val="00506E1C"/>
    <w:rsid w:val="00506FBF"/>
    <w:rsid w:val="005073BC"/>
    <w:rsid w:val="0050779F"/>
    <w:rsid w:val="005079F4"/>
    <w:rsid w:val="00510659"/>
    <w:rsid w:val="0051183E"/>
    <w:rsid w:val="00511AE7"/>
    <w:rsid w:val="00512265"/>
    <w:rsid w:val="005124D9"/>
    <w:rsid w:val="005139F7"/>
    <w:rsid w:val="00513AF9"/>
    <w:rsid w:val="00514C49"/>
    <w:rsid w:val="005156F8"/>
    <w:rsid w:val="0051579A"/>
    <w:rsid w:val="005163D2"/>
    <w:rsid w:val="00517A3E"/>
    <w:rsid w:val="00517C6A"/>
    <w:rsid w:val="00517DD3"/>
    <w:rsid w:val="0052161E"/>
    <w:rsid w:val="0052277D"/>
    <w:rsid w:val="00522ED3"/>
    <w:rsid w:val="005247EC"/>
    <w:rsid w:val="00524F06"/>
    <w:rsid w:val="005254C1"/>
    <w:rsid w:val="0052557F"/>
    <w:rsid w:val="005262A8"/>
    <w:rsid w:val="00527BAF"/>
    <w:rsid w:val="00532916"/>
    <w:rsid w:val="0053340C"/>
    <w:rsid w:val="0053371E"/>
    <w:rsid w:val="00534270"/>
    <w:rsid w:val="005343FE"/>
    <w:rsid w:val="00534C30"/>
    <w:rsid w:val="0053590C"/>
    <w:rsid w:val="00535B5B"/>
    <w:rsid w:val="00536437"/>
    <w:rsid w:val="005364F0"/>
    <w:rsid w:val="00536620"/>
    <w:rsid w:val="005408F6"/>
    <w:rsid w:val="00541876"/>
    <w:rsid w:val="00541C10"/>
    <w:rsid w:val="0054289D"/>
    <w:rsid w:val="005442A1"/>
    <w:rsid w:val="00544A7B"/>
    <w:rsid w:val="005451A3"/>
    <w:rsid w:val="00547226"/>
    <w:rsid w:val="005500E2"/>
    <w:rsid w:val="005548F5"/>
    <w:rsid w:val="00554DAF"/>
    <w:rsid w:val="00555D7A"/>
    <w:rsid w:val="0055627D"/>
    <w:rsid w:val="005602D9"/>
    <w:rsid w:val="00561F38"/>
    <w:rsid w:val="0056200C"/>
    <w:rsid w:val="0056308C"/>
    <w:rsid w:val="00564321"/>
    <w:rsid w:val="00564C55"/>
    <w:rsid w:val="0056615C"/>
    <w:rsid w:val="0056791D"/>
    <w:rsid w:val="00567EBB"/>
    <w:rsid w:val="0057089E"/>
    <w:rsid w:val="00570E4B"/>
    <w:rsid w:val="005716C7"/>
    <w:rsid w:val="0057302C"/>
    <w:rsid w:val="00573D70"/>
    <w:rsid w:val="00574633"/>
    <w:rsid w:val="005747E2"/>
    <w:rsid w:val="005748EE"/>
    <w:rsid w:val="00574AC5"/>
    <w:rsid w:val="0057529E"/>
    <w:rsid w:val="00575490"/>
    <w:rsid w:val="0057564E"/>
    <w:rsid w:val="005758B3"/>
    <w:rsid w:val="00575C58"/>
    <w:rsid w:val="00576309"/>
    <w:rsid w:val="00576CBA"/>
    <w:rsid w:val="00577273"/>
    <w:rsid w:val="005808A1"/>
    <w:rsid w:val="005808E9"/>
    <w:rsid w:val="005809DA"/>
    <w:rsid w:val="005814DC"/>
    <w:rsid w:val="0058292B"/>
    <w:rsid w:val="00583A88"/>
    <w:rsid w:val="00583E79"/>
    <w:rsid w:val="00585FBB"/>
    <w:rsid w:val="00586125"/>
    <w:rsid w:val="00586FEB"/>
    <w:rsid w:val="00590378"/>
    <w:rsid w:val="00590974"/>
    <w:rsid w:val="00590D87"/>
    <w:rsid w:val="00590FDF"/>
    <w:rsid w:val="00591CFD"/>
    <w:rsid w:val="00592572"/>
    <w:rsid w:val="00593750"/>
    <w:rsid w:val="005942F4"/>
    <w:rsid w:val="00594ED5"/>
    <w:rsid w:val="00595550"/>
    <w:rsid w:val="0059568D"/>
    <w:rsid w:val="00595B1E"/>
    <w:rsid w:val="00595ECE"/>
    <w:rsid w:val="00597147"/>
    <w:rsid w:val="005A0407"/>
    <w:rsid w:val="005A2C9B"/>
    <w:rsid w:val="005A2E3F"/>
    <w:rsid w:val="005A3592"/>
    <w:rsid w:val="005A57FB"/>
    <w:rsid w:val="005A6526"/>
    <w:rsid w:val="005A6BCF"/>
    <w:rsid w:val="005A6D67"/>
    <w:rsid w:val="005A705A"/>
    <w:rsid w:val="005A75F5"/>
    <w:rsid w:val="005B1145"/>
    <w:rsid w:val="005B1651"/>
    <w:rsid w:val="005B218B"/>
    <w:rsid w:val="005B3BD0"/>
    <w:rsid w:val="005B4D74"/>
    <w:rsid w:val="005B5138"/>
    <w:rsid w:val="005B6435"/>
    <w:rsid w:val="005B6819"/>
    <w:rsid w:val="005B7279"/>
    <w:rsid w:val="005B7C06"/>
    <w:rsid w:val="005C008B"/>
    <w:rsid w:val="005C19B9"/>
    <w:rsid w:val="005C1CF8"/>
    <w:rsid w:val="005C2687"/>
    <w:rsid w:val="005C3822"/>
    <w:rsid w:val="005C4E2B"/>
    <w:rsid w:val="005C5EBA"/>
    <w:rsid w:val="005C663C"/>
    <w:rsid w:val="005C76B6"/>
    <w:rsid w:val="005D0312"/>
    <w:rsid w:val="005D07F0"/>
    <w:rsid w:val="005D101A"/>
    <w:rsid w:val="005D1FB4"/>
    <w:rsid w:val="005D2433"/>
    <w:rsid w:val="005D33AF"/>
    <w:rsid w:val="005D35F6"/>
    <w:rsid w:val="005D3C9B"/>
    <w:rsid w:val="005D3DC0"/>
    <w:rsid w:val="005D4C69"/>
    <w:rsid w:val="005D68F7"/>
    <w:rsid w:val="005D7CAA"/>
    <w:rsid w:val="005D7E8E"/>
    <w:rsid w:val="005E098F"/>
    <w:rsid w:val="005E0BFF"/>
    <w:rsid w:val="005E1541"/>
    <w:rsid w:val="005E22BC"/>
    <w:rsid w:val="005E39EB"/>
    <w:rsid w:val="005E551E"/>
    <w:rsid w:val="005E5B41"/>
    <w:rsid w:val="005E7238"/>
    <w:rsid w:val="005E7C43"/>
    <w:rsid w:val="005F00B3"/>
    <w:rsid w:val="005F02EC"/>
    <w:rsid w:val="005F1BD0"/>
    <w:rsid w:val="005F2B54"/>
    <w:rsid w:val="005F2D01"/>
    <w:rsid w:val="005F3008"/>
    <w:rsid w:val="005F39D7"/>
    <w:rsid w:val="005F3EFE"/>
    <w:rsid w:val="005F5832"/>
    <w:rsid w:val="005F5908"/>
    <w:rsid w:val="005F5AC9"/>
    <w:rsid w:val="005F614E"/>
    <w:rsid w:val="005F6E25"/>
    <w:rsid w:val="005F7404"/>
    <w:rsid w:val="00600419"/>
    <w:rsid w:val="00600AB2"/>
    <w:rsid w:val="006015FC"/>
    <w:rsid w:val="00601705"/>
    <w:rsid w:val="006020D5"/>
    <w:rsid w:val="00605C1C"/>
    <w:rsid w:val="00605F02"/>
    <w:rsid w:val="00606CB2"/>
    <w:rsid w:val="0060753A"/>
    <w:rsid w:val="00607A2C"/>
    <w:rsid w:val="0061016F"/>
    <w:rsid w:val="00610EFC"/>
    <w:rsid w:val="00611433"/>
    <w:rsid w:val="006115A9"/>
    <w:rsid w:val="00611FAA"/>
    <w:rsid w:val="00612426"/>
    <w:rsid w:val="00612823"/>
    <w:rsid w:val="00612B08"/>
    <w:rsid w:val="00612D71"/>
    <w:rsid w:val="00613077"/>
    <w:rsid w:val="00613556"/>
    <w:rsid w:val="00613AFE"/>
    <w:rsid w:val="00613C73"/>
    <w:rsid w:val="006153FA"/>
    <w:rsid w:val="00615DD5"/>
    <w:rsid w:val="0061696A"/>
    <w:rsid w:val="00616AB1"/>
    <w:rsid w:val="00616FA0"/>
    <w:rsid w:val="006203E4"/>
    <w:rsid w:val="00620B94"/>
    <w:rsid w:val="00620DDD"/>
    <w:rsid w:val="0062129E"/>
    <w:rsid w:val="00621D11"/>
    <w:rsid w:val="00622095"/>
    <w:rsid w:val="00622B52"/>
    <w:rsid w:val="00623BE9"/>
    <w:rsid w:val="00624B0F"/>
    <w:rsid w:val="00624BED"/>
    <w:rsid w:val="00624C74"/>
    <w:rsid w:val="00624EB2"/>
    <w:rsid w:val="00625446"/>
    <w:rsid w:val="00625517"/>
    <w:rsid w:val="006262BF"/>
    <w:rsid w:val="006306D2"/>
    <w:rsid w:val="006307DC"/>
    <w:rsid w:val="0063184D"/>
    <w:rsid w:val="00631E36"/>
    <w:rsid w:val="00633CD9"/>
    <w:rsid w:val="0063420F"/>
    <w:rsid w:val="006342B3"/>
    <w:rsid w:val="006347CF"/>
    <w:rsid w:val="00634EB1"/>
    <w:rsid w:val="00635B8D"/>
    <w:rsid w:val="00636F97"/>
    <w:rsid w:val="00637C0E"/>
    <w:rsid w:val="00637F49"/>
    <w:rsid w:val="00640315"/>
    <w:rsid w:val="00640A34"/>
    <w:rsid w:val="00641ADC"/>
    <w:rsid w:val="0064260F"/>
    <w:rsid w:val="00642E6E"/>
    <w:rsid w:val="00643125"/>
    <w:rsid w:val="006431DC"/>
    <w:rsid w:val="006439C9"/>
    <w:rsid w:val="00643E5D"/>
    <w:rsid w:val="00644155"/>
    <w:rsid w:val="006445DD"/>
    <w:rsid w:val="00644B7A"/>
    <w:rsid w:val="0064524B"/>
    <w:rsid w:val="00651ECC"/>
    <w:rsid w:val="00652624"/>
    <w:rsid w:val="00653D13"/>
    <w:rsid w:val="00654750"/>
    <w:rsid w:val="00656893"/>
    <w:rsid w:val="0065698E"/>
    <w:rsid w:val="00657691"/>
    <w:rsid w:val="00657736"/>
    <w:rsid w:val="00657CFF"/>
    <w:rsid w:val="006618F0"/>
    <w:rsid w:val="00663A68"/>
    <w:rsid w:val="00663EEC"/>
    <w:rsid w:val="0066437C"/>
    <w:rsid w:val="006650C0"/>
    <w:rsid w:val="0066641F"/>
    <w:rsid w:val="0066686A"/>
    <w:rsid w:val="00667028"/>
    <w:rsid w:val="00667879"/>
    <w:rsid w:val="00667A4E"/>
    <w:rsid w:val="00670403"/>
    <w:rsid w:val="0067070A"/>
    <w:rsid w:val="00670842"/>
    <w:rsid w:val="00670E7A"/>
    <w:rsid w:val="006715D2"/>
    <w:rsid w:val="00672C8E"/>
    <w:rsid w:val="006732BD"/>
    <w:rsid w:val="006733F7"/>
    <w:rsid w:val="00675993"/>
    <w:rsid w:val="00675E47"/>
    <w:rsid w:val="006768BB"/>
    <w:rsid w:val="00676B29"/>
    <w:rsid w:val="0068132E"/>
    <w:rsid w:val="00681433"/>
    <w:rsid w:val="006816D2"/>
    <w:rsid w:val="00682072"/>
    <w:rsid w:val="006829C2"/>
    <w:rsid w:val="00683168"/>
    <w:rsid w:val="00683227"/>
    <w:rsid w:val="006839F9"/>
    <w:rsid w:val="006863A3"/>
    <w:rsid w:val="006863C0"/>
    <w:rsid w:val="0068656C"/>
    <w:rsid w:val="0068762A"/>
    <w:rsid w:val="00690247"/>
    <w:rsid w:val="00690CA6"/>
    <w:rsid w:val="00690E36"/>
    <w:rsid w:val="00692009"/>
    <w:rsid w:val="00692071"/>
    <w:rsid w:val="00692AEF"/>
    <w:rsid w:val="00692C2C"/>
    <w:rsid w:val="006930D5"/>
    <w:rsid w:val="00693675"/>
    <w:rsid w:val="006937BC"/>
    <w:rsid w:val="00693FDF"/>
    <w:rsid w:val="00694933"/>
    <w:rsid w:val="00695F54"/>
    <w:rsid w:val="0069608C"/>
    <w:rsid w:val="006A1423"/>
    <w:rsid w:val="006A192F"/>
    <w:rsid w:val="006A24AC"/>
    <w:rsid w:val="006A38DB"/>
    <w:rsid w:val="006A3E04"/>
    <w:rsid w:val="006A403B"/>
    <w:rsid w:val="006A61BF"/>
    <w:rsid w:val="006A65F4"/>
    <w:rsid w:val="006B0615"/>
    <w:rsid w:val="006B0F55"/>
    <w:rsid w:val="006B1381"/>
    <w:rsid w:val="006B25E9"/>
    <w:rsid w:val="006B26D4"/>
    <w:rsid w:val="006B2818"/>
    <w:rsid w:val="006B5068"/>
    <w:rsid w:val="006B514A"/>
    <w:rsid w:val="006B5642"/>
    <w:rsid w:val="006B747D"/>
    <w:rsid w:val="006B7582"/>
    <w:rsid w:val="006B75C0"/>
    <w:rsid w:val="006C07D9"/>
    <w:rsid w:val="006C2C1F"/>
    <w:rsid w:val="006C31EE"/>
    <w:rsid w:val="006C32ED"/>
    <w:rsid w:val="006C32F7"/>
    <w:rsid w:val="006C4729"/>
    <w:rsid w:val="006C489E"/>
    <w:rsid w:val="006C4A66"/>
    <w:rsid w:val="006C4AE8"/>
    <w:rsid w:val="006C695F"/>
    <w:rsid w:val="006C7D97"/>
    <w:rsid w:val="006D0C2C"/>
    <w:rsid w:val="006D0DF6"/>
    <w:rsid w:val="006D1A08"/>
    <w:rsid w:val="006D1F19"/>
    <w:rsid w:val="006D235F"/>
    <w:rsid w:val="006D25AC"/>
    <w:rsid w:val="006D2A92"/>
    <w:rsid w:val="006D3110"/>
    <w:rsid w:val="006D35C6"/>
    <w:rsid w:val="006D4561"/>
    <w:rsid w:val="006D4A69"/>
    <w:rsid w:val="006D5210"/>
    <w:rsid w:val="006D58D3"/>
    <w:rsid w:val="006D5CA4"/>
    <w:rsid w:val="006D6AF7"/>
    <w:rsid w:val="006D6B5D"/>
    <w:rsid w:val="006D6C36"/>
    <w:rsid w:val="006D7237"/>
    <w:rsid w:val="006D72EA"/>
    <w:rsid w:val="006E002D"/>
    <w:rsid w:val="006E4424"/>
    <w:rsid w:val="006E6489"/>
    <w:rsid w:val="006E69AB"/>
    <w:rsid w:val="006E6D7B"/>
    <w:rsid w:val="006E7765"/>
    <w:rsid w:val="006F252C"/>
    <w:rsid w:val="006F27B0"/>
    <w:rsid w:val="006F3880"/>
    <w:rsid w:val="006F3AC9"/>
    <w:rsid w:val="006F4305"/>
    <w:rsid w:val="006F5A2A"/>
    <w:rsid w:val="006F5BF9"/>
    <w:rsid w:val="006F6837"/>
    <w:rsid w:val="006F6CEE"/>
    <w:rsid w:val="006F73D1"/>
    <w:rsid w:val="006F76A0"/>
    <w:rsid w:val="006F7EC4"/>
    <w:rsid w:val="0070027D"/>
    <w:rsid w:val="00700B13"/>
    <w:rsid w:val="00700D9E"/>
    <w:rsid w:val="00701C92"/>
    <w:rsid w:val="00701E9D"/>
    <w:rsid w:val="00703564"/>
    <w:rsid w:val="0070380A"/>
    <w:rsid w:val="00704063"/>
    <w:rsid w:val="00705624"/>
    <w:rsid w:val="00705D72"/>
    <w:rsid w:val="007062BB"/>
    <w:rsid w:val="00706588"/>
    <w:rsid w:val="00706FBE"/>
    <w:rsid w:val="00707A30"/>
    <w:rsid w:val="00707F4B"/>
    <w:rsid w:val="0071061B"/>
    <w:rsid w:val="00710B2B"/>
    <w:rsid w:val="00711997"/>
    <w:rsid w:val="00712462"/>
    <w:rsid w:val="00712EC3"/>
    <w:rsid w:val="00713053"/>
    <w:rsid w:val="0071306B"/>
    <w:rsid w:val="00713966"/>
    <w:rsid w:val="0071424F"/>
    <w:rsid w:val="007149EF"/>
    <w:rsid w:val="00714E55"/>
    <w:rsid w:val="00715ADE"/>
    <w:rsid w:val="00715BF3"/>
    <w:rsid w:val="007167A9"/>
    <w:rsid w:val="00716BF9"/>
    <w:rsid w:val="00716FA2"/>
    <w:rsid w:val="00717187"/>
    <w:rsid w:val="00717ACB"/>
    <w:rsid w:val="00720FBD"/>
    <w:rsid w:val="007210F8"/>
    <w:rsid w:val="00721959"/>
    <w:rsid w:val="0072227A"/>
    <w:rsid w:val="00722D1B"/>
    <w:rsid w:val="00722FAB"/>
    <w:rsid w:val="00723A81"/>
    <w:rsid w:val="007258EE"/>
    <w:rsid w:val="00725CB5"/>
    <w:rsid w:val="0072614D"/>
    <w:rsid w:val="007263C6"/>
    <w:rsid w:val="007263E1"/>
    <w:rsid w:val="007271C6"/>
    <w:rsid w:val="00727562"/>
    <w:rsid w:val="007275A1"/>
    <w:rsid w:val="00730BB1"/>
    <w:rsid w:val="00731BDA"/>
    <w:rsid w:val="00731ED4"/>
    <w:rsid w:val="00732E7A"/>
    <w:rsid w:val="00733136"/>
    <w:rsid w:val="0073365B"/>
    <w:rsid w:val="00734157"/>
    <w:rsid w:val="0073453A"/>
    <w:rsid w:val="00734FF0"/>
    <w:rsid w:val="00735546"/>
    <w:rsid w:val="00736FB2"/>
    <w:rsid w:val="007374F0"/>
    <w:rsid w:val="00737739"/>
    <w:rsid w:val="00737A07"/>
    <w:rsid w:val="00740961"/>
    <w:rsid w:val="00740A27"/>
    <w:rsid w:val="00742F72"/>
    <w:rsid w:val="007433AB"/>
    <w:rsid w:val="00743954"/>
    <w:rsid w:val="00744625"/>
    <w:rsid w:val="0074600A"/>
    <w:rsid w:val="00746631"/>
    <w:rsid w:val="007466C4"/>
    <w:rsid w:val="007474E1"/>
    <w:rsid w:val="0074783C"/>
    <w:rsid w:val="00747E34"/>
    <w:rsid w:val="00750AAB"/>
    <w:rsid w:val="00750C07"/>
    <w:rsid w:val="00751679"/>
    <w:rsid w:val="0075199A"/>
    <w:rsid w:val="00752FF5"/>
    <w:rsid w:val="0075654E"/>
    <w:rsid w:val="007600D8"/>
    <w:rsid w:val="0076084E"/>
    <w:rsid w:val="00761399"/>
    <w:rsid w:val="007613C6"/>
    <w:rsid w:val="00761D07"/>
    <w:rsid w:val="00761EFB"/>
    <w:rsid w:val="007620BA"/>
    <w:rsid w:val="00762355"/>
    <w:rsid w:val="00762DFC"/>
    <w:rsid w:val="00763754"/>
    <w:rsid w:val="007637CC"/>
    <w:rsid w:val="00763BF1"/>
    <w:rsid w:val="007656F0"/>
    <w:rsid w:val="00766171"/>
    <w:rsid w:val="007666F8"/>
    <w:rsid w:val="00766BF9"/>
    <w:rsid w:val="00766C17"/>
    <w:rsid w:val="00766DE7"/>
    <w:rsid w:val="0076706C"/>
    <w:rsid w:val="00767243"/>
    <w:rsid w:val="00767895"/>
    <w:rsid w:val="00767AED"/>
    <w:rsid w:val="00772076"/>
    <w:rsid w:val="0077211F"/>
    <w:rsid w:val="00772829"/>
    <w:rsid w:val="00776093"/>
    <w:rsid w:val="007761C4"/>
    <w:rsid w:val="00777A1C"/>
    <w:rsid w:val="00780143"/>
    <w:rsid w:val="007803DC"/>
    <w:rsid w:val="007804CA"/>
    <w:rsid w:val="00780954"/>
    <w:rsid w:val="00781D61"/>
    <w:rsid w:val="00782688"/>
    <w:rsid w:val="007830B8"/>
    <w:rsid w:val="007833F1"/>
    <w:rsid w:val="00785F7E"/>
    <w:rsid w:val="007870BC"/>
    <w:rsid w:val="00787457"/>
    <w:rsid w:val="00787509"/>
    <w:rsid w:val="0079014D"/>
    <w:rsid w:val="007915A3"/>
    <w:rsid w:val="007919B0"/>
    <w:rsid w:val="00792359"/>
    <w:rsid w:val="007929AC"/>
    <w:rsid w:val="00792E59"/>
    <w:rsid w:val="00792FC5"/>
    <w:rsid w:val="007931DC"/>
    <w:rsid w:val="007939B3"/>
    <w:rsid w:val="00794D64"/>
    <w:rsid w:val="00795D7E"/>
    <w:rsid w:val="00796128"/>
    <w:rsid w:val="00796C34"/>
    <w:rsid w:val="00797883"/>
    <w:rsid w:val="007A014A"/>
    <w:rsid w:val="007A11E0"/>
    <w:rsid w:val="007A12BB"/>
    <w:rsid w:val="007A1CBC"/>
    <w:rsid w:val="007A1F84"/>
    <w:rsid w:val="007A363E"/>
    <w:rsid w:val="007A3AC7"/>
    <w:rsid w:val="007A3B4E"/>
    <w:rsid w:val="007A63FB"/>
    <w:rsid w:val="007A6535"/>
    <w:rsid w:val="007A6781"/>
    <w:rsid w:val="007A67FE"/>
    <w:rsid w:val="007A7109"/>
    <w:rsid w:val="007A7971"/>
    <w:rsid w:val="007A7EAC"/>
    <w:rsid w:val="007B16A3"/>
    <w:rsid w:val="007B269F"/>
    <w:rsid w:val="007B4366"/>
    <w:rsid w:val="007B48DD"/>
    <w:rsid w:val="007B49BC"/>
    <w:rsid w:val="007B4B99"/>
    <w:rsid w:val="007B588D"/>
    <w:rsid w:val="007B631B"/>
    <w:rsid w:val="007B6327"/>
    <w:rsid w:val="007B63E7"/>
    <w:rsid w:val="007B6675"/>
    <w:rsid w:val="007B6B09"/>
    <w:rsid w:val="007B6D9D"/>
    <w:rsid w:val="007B7396"/>
    <w:rsid w:val="007B770A"/>
    <w:rsid w:val="007C17BE"/>
    <w:rsid w:val="007C2293"/>
    <w:rsid w:val="007C31A6"/>
    <w:rsid w:val="007C4023"/>
    <w:rsid w:val="007C50C7"/>
    <w:rsid w:val="007C565A"/>
    <w:rsid w:val="007C5B9D"/>
    <w:rsid w:val="007C6DEF"/>
    <w:rsid w:val="007C6ED9"/>
    <w:rsid w:val="007C70FC"/>
    <w:rsid w:val="007D0116"/>
    <w:rsid w:val="007D02D2"/>
    <w:rsid w:val="007D1B3D"/>
    <w:rsid w:val="007D21F6"/>
    <w:rsid w:val="007D29C8"/>
    <w:rsid w:val="007D31B8"/>
    <w:rsid w:val="007D35B6"/>
    <w:rsid w:val="007D35E1"/>
    <w:rsid w:val="007D5A5B"/>
    <w:rsid w:val="007D5C60"/>
    <w:rsid w:val="007D6D06"/>
    <w:rsid w:val="007E08BD"/>
    <w:rsid w:val="007E1438"/>
    <w:rsid w:val="007E1E75"/>
    <w:rsid w:val="007E2062"/>
    <w:rsid w:val="007E227C"/>
    <w:rsid w:val="007E2ABE"/>
    <w:rsid w:val="007E2C59"/>
    <w:rsid w:val="007E6841"/>
    <w:rsid w:val="007E6A15"/>
    <w:rsid w:val="007E6EF2"/>
    <w:rsid w:val="007E750B"/>
    <w:rsid w:val="007E7AA4"/>
    <w:rsid w:val="007F05D9"/>
    <w:rsid w:val="007F2040"/>
    <w:rsid w:val="007F3137"/>
    <w:rsid w:val="007F3ED7"/>
    <w:rsid w:val="007F52BC"/>
    <w:rsid w:val="007F5C0A"/>
    <w:rsid w:val="007F7858"/>
    <w:rsid w:val="007F7926"/>
    <w:rsid w:val="008005DA"/>
    <w:rsid w:val="00800E31"/>
    <w:rsid w:val="00800F03"/>
    <w:rsid w:val="00800F88"/>
    <w:rsid w:val="008010C3"/>
    <w:rsid w:val="00801B8B"/>
    <w:rsid w:val="00801CFB"/>
    <w:rsid w:val="0080211C"/>
    <w:rsid w:val="0080311B"/>
    <w:rsid w:val="00803B5E"/>
    <w:rsid w:val="00803D49"/>
    <w:rsid w:val="00805CB9"/>
    <w:rsid w:val="00807235"/>
    <w:rsid w:val="00807FAB"/>
    <w:rsid w:val="00810777"/>
    <w:rsid w:val="008110AA"/>
    <w:rsid w:val="00812144"/>
    <w:rsid w:val="00812736"/>
    <w:rsid w:val="00812F6F"/>
    <w:rsid w:val="00814C60"/>
    <w:rsid w:val="00815C1A"/>
    <w:rsid w:val="00816591"/>
    <w:rsid w:val="00816723"/>
    <w:rsid w:val="00817052"/>
    <w:rsid w:val="0081738D"/>
    <w:rsid w:val="00820C12"/>
    <w:rsid w:val="00821939"/>
    <w:rsid w:val="00821BE6"/>
    <w:rsid w:val="00821E8C"/>
    <w:rsid w:val="008224F0"/>
    <w:rsid w:val="008225C0"/>
    <w:rsid w:val="008225CF"/>
    <w:rsid w:val="00824700"/>
    <w:rsid w:val="00824AB0"/>
    <w:rsid w:val="008251C0"/>
    <w:rsid w:val="0082679C"/>
    <w:rsid w:val="008274EE"/>
    <w:rsid w:val="00831F67"/>
    <w:rsid w:val="0083215A"/>
    <w:rsid w:val="0083235B"/>
    <w:rsid w:val="00832E63"/>
    <w:rsid w:val="0083348B"/>
    <w:rsid w:val="00833C15"/>
    <w:rsid w:val="00834ECB"/>
    <w:rsid w:val="00835F2D"/>
    <w:rsid w:val="00837AAC"/>
    <w:rsid w:val="00841570"/>
    <w:rsid w:val="00841C8A"/>
    <w:rsid w:val="00842D00"/>
    <w:rsid w:val="00842FE5"/>
    <w:rsid w:val="008430D0"/>
    <w:rsid w:val="00843830"/>
    <w:rsid w:val="00844611"/>
    <w:rsid w:val="00844C37"/>
    <w:rsid w:val="00844E51"/>
    <w:rsid w:val="008454F9"/>
    <w:rsid w:val="00845F9F"/>
    <w:rsid w:val="00846984"/>
    <w:rsid w:val="00846CCB"/>
    <w:rsid w:val="0084733A"/>
    <w:rsid w:val="0084739E"/>
    <w:rsid w:val="0085056E"/>
    <w:rsid w:val="00850FA2"/>
    <w:rsid w:val="00852AAA"/>
    <w:rsid w:val="00852DEC"/>
    <w:rsid w:val="00853F45"/>
    <w:rsid w:val="00854C2B"/>
    <w:rsid w:val="008550B5"/>
    <w:rsid w:val="00856844"/>
    <w:rsid w:val="00856851"/>
    <w:rsid w:val="00856856"/>
    <w:rsid w:val="008604AE"/>
    <w:rsid w:val="00861946"/>
    <w:rsid w:val="00861F8E"/>
    <w:rsid w:val="00862947"/>
    <w:rsid w:val="00863524"/>
    <w:rsid w:val="008636E2"/>
    <w:rsid w:val="00863A14"/>
    <w:rsid w:val="008641C3"/>
    <w:rsid w:val="00864FC9"/>
    <w:rsid w:val="008653CA"/>
    <w:rsid w:val="00865807"/>
    <w:rsid w:val="00866D6B"/>
    <w:rsid w:val="00866FB5"/>
    <w:rsid w:val="00867EB0"/>
    <w:rsid w:val="00870061"/>
    <w:rsid w:val="0087029A"/>
    <w:rsid w:val="00870D02"/>
    <w:rsid w:val="0087159C"/>
    <w:rsid w:val="00871B3F"/>
    <w:rsid w:val="00872C21"/>
    <w:rsid w:val="00873FDF"/>
    <w:rsid w:val="00874A05"/>
    <w:rsid w:val="00876087"/>
    <w:rsid w:val="00876583"/>
    <w:rsid w:val="008775F0"/>
    <w:rsid w:val="00881799"/>
    <w:rsid w:val="00881A12"/>
    <w:rsid w:val="00882B90"/>
    <w:rsid w:val="00883807"/>
    <w:rsid w:val="008838C7"/>
    <w:rsid w:val="00883E3C"/>
    <w:rsid w:val="00883EA0"/>
    <w:rsid w:val="008844AE"/>
    <w:rsid w:val="00884C0A"/>
    <w:rsid w:val="00886A45"/>
    <w:rsid w:val="00886DC4"/>
    <w:rsid w:val="00890503"/>
    <w:rsid w:val="0089118F"/>
    <w:rsid w:val="0089139B"/>
    <w:rsid w:val="00891556"/>
    <w:rsid w:val="00891F6E"/>
    <w:rsid w:val="008925DE"/>
    <w:rsid w:val="00892CDB"/>
    <w:rsid w:val="00895EAD"/>
    <w:rsid w:val="00896186"/>
    <w:rsid w:val="0089638C"/>
    <w:rsid w:val="008A06D5"/>
    <w:rsid w:val="008A12D1"/>
    <w:rsid w:val="008A142B"/>
    <w:rsid w:val="008A2250"/>
    <w:rsid w:val="008A37A6"/>
    <w:rsid w:val="008A3FE4"/>
    <w:rsid w:val="008A4116"/>
    <w:rsid w:val="008A4FA3"/>
    <w:rsid w:val="008A5E55"/>
    <w:rsid w:val="008A6124"/>
    <w:rsid w:val="008A7E18"/>
    <w:rsid w:val="008A7E7C"/>
    <w:rsid w:val="008B01E0"/>
    <w:rsid w:val="008B0FBB"/>
    <w:rsid w:val="008B2920"/>
    <w:rsid w:val="008B2C19"/>
    <w:rsid w:val="008B37F1"/>
    <w:rsid w:val="008B390C"/>
    <w:rsid w:val="008B39D7"/>
    <w:rsid w:val="008B3B8E"/>
    <w:rsid w:val="008B4417"/>
    <w:rsid w:val="008B4DF9"/>
    <w:rsid w:val="008B6251"/>
    <w:rsid w:val="008B773E"/>
    <w:rsid w:val="008C0443"/>
    <w:rsid w:val="008C1060"/>
    <w:rsid w:val="008C14DC"/>
    <w:rsid w:val="008C35AE"/>
    <w:rsid w:val="008C53FA"/>
    <w:rsid w:val="008C5C47"/>
    <w:rsid w:val="008C70E9"/>
    <w:rsid w:val="008D0F8B"/>
    <w:rsid w:val="008D1E02"/>
    <w:rsid w:val="008D2519"/>
    <w:rsid w:val="008D2739"/>
    <w:rsid w:val="008D3CC1"/>
    <w:rsid w:val="008D3FE9"/>
    <w:rsid w:val="008D577F"/>
    <w:rsid w:val="008D5C68"/>
    <w:rsid w:val="008D5F8D"/>
    <w:rsid w:val="008D7475"/>
    <w:rsid w:val="008D78B8"/>
    <w:rsid w:val="008E00E7"/>
    <w:rsid w:val="008E1D09"/>
    <w:rsid w:val="008E3A83"/>
    <w:rsid w:val="008E4738"/>
    <w:rsid w:val="008E5800"/>
    <w:rsid w:val="008E721D"/>
    <w:rsid w:val="008E7AB0"/>
    <w:rsid w:val="008E7DF2"/>
    <w:rsid w:val="008F0565"/>
    <w:rsid w:val="008F2F34"/>
    <w:rsid w:val="008F33DD"/>
    <w:rsid w:val="008F34CE"/>
    <w:rsid w:val="008F42EF"/>
    <w:rsid w:val="008F4F2E"/>
    <w:rsid w:val="008F579C"/>
    <w:rsid w:val="008F692A"/>
    <w:rsid w:val="008F6E54"/>
    <w:rsid w:val="008F744C"/>
    <w:rsid w:val="008F75F1"/>
    <w:rsid w:val="008F7791"/>
    <w:rsid w:val="00900155"/>
    <w:rsid w:val="00900DB5"/>
    <w:rsid w:val="00901008"/>
    <w:rsid w:val="009026A9"/>
    <w:rsid w:val="00903D78"/>
    <w:rsid w:val="00904CD3"/>
    <w:rsid w:val="00906052"/>
    <w:rsid w:val="00906524"/>
    <w:rsid w:val="009077D1"/>
    <w:rsid w:val="00907FC2"/>
    <w:rsid w:val="00910066"/>
    <w:rsid w:val="0091006B"/>
    <w:rsid w:val="009105BF"/>
    <w:rsid w:val="00911E5D"/>
    <w:rsid w:val="0091268A"/>
    <w:rsid w:val="00912826"/>
    <w:rsid w:val="00912ABD"/>
    <w:rsid w:val="00912D9F"/>
    <w:rsid w:val="009136C9"/>
    <w:rsid w:val="00913E12"/>
    <w:rsid w:val="009143BC"/>
    <w:rsid w:val="00914C8A"/>
    <w:rsid w:val="009151E1"/>
    <w:rsid w:val="00915DCD"/>
    <w:rsid w:val="0091658D"/>
    <w:rsid w:val="0091663A"/>
    <w:rsid w:val="00917A4E"/>
    <w:rsid w:val="009205E1"/>
    <w:rsid w:val="009206CE"/>
    <w:rsid w:val="00920894"/>
    <w:rsid w:val="009218B5"/>
    <w:rsid w:val="00922A4C"/>
    <w:rsid w:val="00922A5E"/>
    <w:rsid w:val="009234D5"/>
    <w:rsid w:val="0092359A"/>
    <w:rsid w:val="00923696"/>
    <w:rsid w:val="00924F1E"/>
    <w:rsid w:val="00925B6B"/>
    <w:rsid w:val="00927D6A"/>
    <w:rsid w:val="00930BB7"/>
    <w:rsid w:val="0093135C"/>
    <w:rsid w:val="00932E6F"/>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2B97"/>
    <w:rsid w:val="00943321"/>
    <w:rsid w:val="00943DBD"/>
    <w:rsid w:val="009440A5"/>
    <w:rsid w:val="00944321"/>
    <w:rsid w:val="00944607"/>
    <w:rsid w:val="00945822"/>
    <w:rsid w:val="0094595D"/>
    <w:rsid w:val="00945D13"/>
    <w:rsid w:val="00947727"/>
    <w:rsid w:val="00947D1A"/>
    <w:rsid w:val="00950144"/>
    <w:rsid w:val="00950A85"/>
    <w:rsid w:val="00951640"/>
    <w:rsid w:val="00952299"/>
    <w:rsid w:val="0095240C"/>
    <w:rsid w:val="00952895"/>
    <w:rsid w:val="009536D0"/>
    <w:rsid w:val="0095551A"/>
    <w:rsid w:val="0095640D"/>
    <w:rsid w:val="009579A3"/>
    <w:rsid w:val="00957A1E"/>
    <w:rsid w:val="00960560"/>
    <w:rsid w:val="00963642"/>
    <w:rsid w:val="00963895"/>
    <w:rsid w:val="0096409A"/>
    <w:rsid w:val="00964BE5"/>
    <w:rsid w:val="00965C34"/>
    <w:rsid w:val="009664C5"/>
    <w:rsid w:val="00967878"/>
    <w:rsid w:val="00970C9F"/>
    <w:rsid w:val="00970EDB"/>
    <w:rsid w:val="0097110E"/>
    <w:rsid w:val="009718E1"/>
    <w:rsid w:val="00971C0E"/>
    <w:rsid w:val="00971E3A"/>
    <w:rsid w:val="00972152"/>
    <w:rsid w:val="00973576"/>
    <w:rsid w:val="00976B3A"/>
    <w:rsid w:val="00976D94"/>
    <w:rsid w:val="0097703F"/>
    <w:rsid w:val="0097739F"/>
    <w:rsid w:val="009773E0"/>
    <w:rsid w:val="00980D6C"/>
    <w:rsid w:val="009816BF"/>
    <w:rsid w:val="0098257F"/>
    <w:rsid w:val="00982852"/>
    <w:rsid w:val="00983127"/>
    <w:rsid w:val="0098327E"/>
    <w:rsid w:val="00983665"/>
    <w:rsid w:val="0098382C"/>
    <w:rsid w:val="00983E44"/>
    <w:rsid w:val="009842E7"/>
    <w:rsid w:val="00984310"/>
    <w:rsid w:val="0098434B"/>
    <w:rsid w:val="00984629"/>
    <w:rsid w:val="009862BE"/>
    <w:rsid w:val="00986768"/>
    <w:rsid w:val="00987253"/>
    <w:rsid w:val="00990BE2"/>
    <w:rsid w:val="009917A8"/>
    <w:rsid w:val="0099295A"/>
    <w:rsid w:val="00994905"/>
    <w:rsid w:val="00994923"/>
    <w:rsid w:val="009950AC"/>
    <w:rsid w:val="00995B19"/>
    <w:rsid w:val="00995B24"/>
    <w:rsid w:val="0099689B"/>
    <w:rsid w:val="009A1F22"/>
    <w:rsid w:val="009A2274"/>
    <w:rsid w:val="009A3110"/>
    <w:rsid w:val="009A34FA"/>
    <w:rsid w:val="009A37B9"/>
    <w:rsid w:val="009A44C0"/>
    <w:rsid w:val="009A4778"/>
    <w:rsid w:val="009A5E7A"/>
    <w:rsid w:val="009A6781"/>
    <w:rsid w:val="009A6EA1"/>
    <w:rsid w:val="009A7370"/>
    <w:rsid w:val="009B025A"/>
    <w:rsid w:val="009B08AA"/>
    <w:rsid w:val="009B0AFB"/>
    <w:rsid w:val="009B0D36"/>
    <w:rsid w:val="009B24CC"/>
    <w:rsid w:val="009B2785"/>
    <w:rsid w:val="009B4280"/>
    <w:rsid w:val="009B4445"/>
    <w:rsid w:val="009B45C4"/>
    <w:rsid w:val="009B4E09"/>
    <w:rsid w:val="009B50A3"/>
    <w:rsid w:val="009B5AB6"/>
    <w:rsid w:val="009B6A91"/>
    <w:rsid w:val="009B6C24"/>
    <w:rsid w:val="009B738B"/>
    <w:rsid w:val="009B7510"/>
    <w:rsid w:val="009B7953"/>
    <w:rsid w:val="009C0A25"/>
    <w:rsid w:val="009C0B1A"/>
    <w:rsid w:val="009C0B51"/>
    <w:rsid w:val="009C16E1"/>
    <w:rsid w:val="009C1B35"/>
    <w:rsid w:val="009C3783"/>
    <w:rsid w:val="009C407A"/>
    <w:rsid w:val="009C4196"/>
    <w:rsid w:val="009C507A"/>
    <w:rsid w:val="009C55F4"/>
    <w:rsid w:val="009C5A7B"/>
    <w:rsid w:val="009C64FD"/>
    <w:rsid w:val="009C7A05"/>
    <w:rsid w:val="009D1045"/>
    <w:rsid w:val="009D1657"/>
    <w:rsid w:val="009D24D7"/>
    <w:rsid w:val="009D300C"/>
    <w:rsid w:val="009D3311"/>
    <w:rsid w:val="009D382D"/>
    <w:rsid w:val="009D3D0B"/>
    <w:rsid w:val="009D3D6B"/>
    <w:rsid w:val="009D464B"/>
    <w:rsid w:val="009D5518"/>
    <w:rsid w:val="009D6887"/>
    <w:rsid w:val="009D6DAA"/>
    <w:rsid w:val="009D789B"/>
    <w:rsid w:val="009E0839"/>
    <w:rsid w:val="009E0CBF"/>
    <w:rsid w:val="009E1CC5"/>
    <w:rsid w:val="009E1DF7"/>
    <w:rsid w:val="009E1E67"/>
    <w:rsid w:val="009E2149"/>
    <w:rsid w:val="009E23DA"/>
    <w:rsid w:val="009E27E7"/>
    <w:rsid w:val="009E3959"/>
    <w:rsid w:val="009E395D"/>
    <w:rsid w:val="009E3EC9"/>
    <w:rsid w:val="009E4CC1"/>
    <w:rsid w:val="009E6973"/>
    <w:rsid w:val="009E6D3F"/>
    <w:rsid w:val="009E7F03"/>
    <w:rsid w:val="009F0AC2"/>
    <w:rsid w:val="009F0D04"/>
    <w:rsid w:val="009F10DA"/>
    <w:rsid w:val="009F1842"/>
    <w:rsid w:val="009F1A83"/>
    <w:rsid w:val="009F37CC"/>
    <w:rsid w:val="009F3DBB"/>
    <w:rsid w:val="009F4C5A"/>
    <w:rsid w:val="009F5634"/>
    <w:rsid w:val="009F597A"/>
    <w:rsid w:val="009F6976"/>
    <w:rsid w:val="009F7DD8"/>
    <w:rsid w:val="00A0204F"/>
    <w:rsid w:val="00A031F1"/>
    <w:rsid w:val="00A03754"/>
    <w:rsid w:val="00A0400B"/>
    <w:rsid w:val="00A04739"/>
    <w:rsid w:val="00A04B51"/>
    <w:rsid w:val="00A05145"/>
    <w:rsid w:val="00A05676"/>
    <w:rsid w:val="00A071B7"/>
    <w:rsid w:val="00A07513"/>
    <w:rsid w:val="00A07BDB"/>
    <w:rsid w:val="00A1144C"/>
    <w:rsid w:val="00A11478"/>
    <w:rsid w:val="00A1167B"/>
    <w:rsid w:val="00A11D80"/>
    <w:rsid w:val="00A127A6"/>
    <w:rsid w:val="00A13002"/>
    <w:rsid w:val="00A13207"/>
    <w:rsid w:val="00A143F5"/>
    <w:rsid w:val="00A14688"/>
    <w:rsid w:val="00A1556C"/>
    <w:rsid w:val="00A17463"/>
    <w:rsid w:val="00A17E64"/>
    <w:rsid w:val="00A206B5"/>
    <w:rsid w:val="00A21390"/>
    <w:rsid w:val="00A21B36"/>
    <w:rsid w:val="00A2224E"/>
    <w:rsid w:val="00A22749"/>
    <w:rsid w:val="00A229A4"/>
    <w:rsid w:val="00A248CB"/>
    <w:rsid w:val="00A2540E"/>
    <w:rsid w:val="00A25A91"/>
    <w:rsid w:val="00A25B8E"/>
    <w:rsid w:val="00A26296"/>
    <w:rsid w:val="00A263B5"/>
    <w:rsid w:val="00A26EDB"/>
    <w:rsid w:val="00A303B0"/>
    <w:rsid w:val="00A30B51"/>
    <w:rsid w:val="00A30B7A"/>
    <w:rsid w:val="00A31D81"/>
    <w:rsid w:val="00A31FCE"/>
    <w:rsid w:val="00A327E7"/>
    <w:rsid w:val="00A32AFF"/>
    <w:rsid w:val="00A331D2"/>
    <w:rsid w:val="00A3405B"/>
    <w:rsid w:val="00A357CB"/>
    <w:rsid w:val="00A361E5"/>
    <w:rsid w:val="00A362FC"/>
    <w:rsid w:val="00A36D75"/>
    <w:rsid w:val="00A3797B"/>
    <w:rsid w:val="00A37F6F"/>
    <w:rsid w:val="00A40528"/>
    <w:rsid w:val="00A405AF"/>
    <w:rsid w:val="00A4085F"/>
    <w:rsid w:val="00A40FED"/>
    <w:rsid w:val="00A41E2A"/>
    <w:rsid w:val="00A42B0F"/>
    <w:rsid w:val="00A43383"/>
    <w:rsid w:val="00A43457"/>
    <w:rsid w:val="00A43728"/>
    <w:rsid w:val="00A44117"/>
    <w:rsid w:val="00A44512"/>
    <w:rsid w:val="00A447F1"/>
    <w:rsid w:val="00A46BAD"/>
    <w:rsid w:val="00A46CB5"/>
    <w:rsid w:val="00A47164"/>
    <w:rsid w:val="00A47738"/>
    <w:rsid w:val="00A47E41"/>
    <w:rsid w:val="00A52A1C"/>
    <w:rsid w:val="00A53195"/>
    <w:rsid w:val="00A531FD"/>
    <w:rsid w:val="00A53513"/>
    <w:rsid w:val="00A54316"/>
    <w:rsid w:val="00A54CAB"/>
    <w:rsid w:val="00A54EED"/>
    <w:rsid w:val="00A55EEB"/>
    <w:rsid w:val="00A56C9D"/>
    <w:rsid w:val="00A57DA2"/>
    <w:rsid w:val="00A601A6"/>
    <w:rsid w:val="00A605C7"/>
    <w:rsid w:val="00A6081E"/>
    <w:rsid w:val="00A61144"/>
    <w:rsid w:val="00A61C22"/>
    <w:rsid w:val="00A61D59"/>
    <w:rsid w:val="00A62945"/>
    <w:rsid w:val="00A62E8B"/>
    <w:rsid w:val="00A63A23"/>
    <w:rsid w:val="00A64E82"/>
    <w:rsid w:val="00A65752"/>
    <w:rsid w:val="00A6770C"/>
    <w:rsid w:val="00A718B9"/>
    <w:rsid w:val="00A7379B"/>
    <w:rsid w:val="00A73EEA"/>
    <w:rsid w:val="00A74C4A"/>
    <w:rsid w:val="00A7551A"/>
    <w:rsid w:val="00A75670"/>
    <w:rsid w:val="00A76F23"/>
    <w:rsid w:val="00A77616"/>
    <w:rsid w:val="00A805C6"/>
    <w:rsid w:val="00A80BD3"/>
    <w:rsid w:val="00A80CCB"/>
    <w:rsid w:val="00A80DAA"/>
    <w:rsid w:val="00A84085"/>
    <w:rsid w:val="00A84DEB"/>
    <w:rsid w:val="00A850C6"/>
    <w:rsid w:val="00A851EB"/>
    <w:rsid w:val="00A858D7"/>
    <w:rsid w:val="00A860D2"/>
    <w:rsid w:val="00A86BA7"/>
    <w:rsid w:val="00A87521"/>
    <w:rsid w:val="00A90F85"/>
    <w:rsid w:val="00A90FEE"/>
    <w:rsid w:val="00A91315"/>
    <w:rsid w:val="00A913DF"/>
    <w:rsid w:val="00A91C63"/>
    <w:rsid w:val="00A921BD"/>
    <w:rsid w:val="00A939CB"/>
    <w:rsid w:val="00A942D4"/>
    <w:rsid w:val="00A94ADD"/>
    <w:rsid w:val="00A94C09"/>
    <w:rsid w:val="00A969BF"/>
    <w:rsid w:val="00A96ECB"/>
    <w:rsid w:val="00A9708F"/>
    <w:rsid w:val="00A9728D"/>
    <w:rsid w:val="00AA00C2"/>
    <w:rsid w:val="00AA0145"/>
    <w:rsid w:val="00AA0839"/>
    <w:rsid w:val="00AA08B0"/>
    <w:rsid w:val="00AA174F"/>
    <w:rsid w:val="00AA2A69"/>
    <w:rsid w:val="00AA2F37"/>
    <w:rsid w:val="00AA3393"/>
    <w:rsid w:val="00AA3BD4"/>
    <w:rsid w:val="00AA4125"/>
    <w:rsid w:val="00AA44E3"/>
    <w:rsid w:val="00AA4ABD"/>
    <w:rsid w:val="00AA4AE8"/>
    <w:rsid w:val="00AA532F"/>
    <w:rsid w:val="00AA5E48"/>
    <w:rsid w:val="00AA61C9"/>
    <w:rsid w:val="00AA6326"/>
    <w:rsid w:val="00AA6CC7"/>
    <w:rsid w:val="00AA7501"/>
    <w:rsid w:val="00AB0220"/>
    <w:rsid w:val="00AB0CF1"/>
    <w:rsid w:val="00AB2026"/>
    <w:rsid w:val="00AB297D"/>
    <w:rsid w:val="00AB35E5"/>
    <w:rsid w:val="00AB5063"/>
    <w:rsid w:val="00AB7A98"/>
    <w:rsid w:val="00AB7EDD"/>
    <w:rsid w:val="00AB7F7D"/>
    <w:rsid w:val="00AC08F6"/>
    <w:rsid w:val="00AC0CA0"/>
    <w:rsid w:val="00AC1E81"/>
    <w:rsid w:val="00AC1FD3"/>
    <w:rsid w:val="00AC29C1"/>
    <w:rsid w:val="00AC2A49"/>
    <w:rsid w:val="00AC3680"/>
    <w:rsid w:val="00AC4F34"/>
    <w:rsid w:val="00AC7039"/>
    <w:rsid w:val="00AD02C0"/>
    <w:rsid w:val="00AD1013"/>
    <w:rsid w:val="00AD121D"/>
    <w:rsid w:val="00AD1527"/>
    <w:rsid w:val="00AD1AA9"/>
    <w:rsid w:val="00AD1EF1"/>
    <w:rsid w:val="00AD3BA3"/>
    <w:rsid w:val="00AD4164"/>
    <w:rsid w:val="00AD42D8"/>
    <w:rsid w:val="00AD51F6"/>
    <w:rsid w:val="00AD55C8"/>
    <w:rsid w:val="00AD71F8"/>
    <w:rsid w:val="00AE01BD"/>
    <w:rsid w:val="00AE01DD"/>
    <w:rsid w:val="00AE02A1"/>
    <w:rsid w:val="00AE04B0"/>
    <w:rsid w:val="00AE0919"/>
    <w:rsid w:val="00AE1B0C"/>
    <w:rsid w:val="00AE34E6"/>
    <w:rsid w:val="00AE3C45"/>
    <w:rsid w:val="00AE3E6D"/>
    <w:rsid w:val="00AE59B4"/>
    <w:rsid w:val="00AE6093"/>
    <w:rsid w:val="00AE7A9C"/>
    <w:rsid w:val="00AF0843"/>
    <w:rsid w:val="00AF1239"/>
    <w:rsid w:val="00AF14DE"/>
    <w:rsid w:val="00AF1DDD"/>
    <w:rsid w:val="00AF2202"/>
    <w:rsid w:val="00AF4CD1"/>
    <w:rsid w:val="00AF51F1"/>
    <w:rsid w:val="00AF52EA"/>
    <w:rsid w:val="00AF5322"/>
    <w:rsid w:val="00AF7642"/>
    <w:rsid w:val="00B0191F"/>
    <w:rsid w:val="00B0282B"/>
    <w:rsid w:val="00B04A56"/>
    <w:rsid w:val="00B05113"/>
    <w:rsid w:val="00B0539D"/>
    <w:rsid w:val="00B06940"/>
    <w:rsid w:val="00B0700B"/>
    <w:rsid w:val="00B072D3"/>
    <w:rsid w:val="00B10474"/>
    <w:rsid w:val="00B10AC0"/>
    <w:rsid w:val="00B10F5D"/>
    <w:rsid w:val="00B1115F"/>
    <w:rsid w:val="00B131A5"/>
    <w:rsid w:val="00B138C9"/>
    <w:rsid w:val="00B13D99"/>
    <w:rsid w:val="00B16771"/>
    <w:rsid w:val="00B20FC4"/>
    <w:rsid w:val="00B21312"/>
    <w:rsid w:val="00B217A5"/>
    <w:rsid w:val="00B21A63"/>
    <w:rsid w:val="00B21BE9"/>
    <w:rsid w:val="00B22E60"/>
    <w:rsid w:val="00B23A99"/>
    <w:rsid w:val="00B23EAA"/>
    <w:rsid w:val="00B2446C"/>
    <w:rsid w:val="00B260DE"/>
    <w:rsid w:val="00B2640E"/>
    <w:rsid w:val="00B26D56"/>
    <w:rsid w:val="00B27850"/>
    <w:rsid w:val="00B27AA1"/>
    <w:rsid w:val="00B27AAC"/>
    <w:rsid w:val="00B30794"/>
    <w:rsid w:val="00B30C77"/>
    <w:rsid w:val="00B315B5"/>
    <w:rsid w:val="00B31DFE"/>
    <w:rsid w:val="00B321A2"/>
    <w:rsid w:val="00B3252C"/>
    <w:rsid w:val="00B32E8A"/>
    <w:rsid w:val="00B335C4"/>
    <w:rsid w:val="00B34055"/>
    <w:rsid w:val="00B342FB"/>
    <w:rsid w:val="00B34E0A"/>
    <w:rsid w:val="00B34E6B"/>
    <w:rsid w:val="00B35109"/>
    <w:rsid w:val="00B35220"/>
    <w:rsid w:val="00B35279"/>
    <w:rsid w:val="00B36A0B"/>
    <w:rsid w:val="00B36E39"/>
    <w:rsid w:val="00B370F7"/>
    <w:rsid w:val="00B37CCA"/>
    <w:rsid w:val="00B404A5"/>
    <w:rsid w:val="00B43124"/>
    <w:rsid w:val="00B4343A"/>
    <w:rsid w:val="00B441D6"/>
    <w:rsid w:val="00B45561"/>
    <w:rsid w:val="00B466EC"/>
    <w:rsid w:val="00B466FE"/>
    <w:rsid w:val="00B50081"/>
    <w:rsid w:val="00B500F5"/>
    <w:rsid w:val="00B50996"/>
    <w:rsid w:val="00B531B8"/>
    <w:rsid w:val="00B53214"/>
    <w:rsid w:val="00B546D5"/>
    <w:rsid w:val="00B54928"/>
    <w:rsid w:val="00B54A8F"/>
    <w:rsid w:val="00B54B47"/>
    <w:rsid w:val="00B55F22"/>
    <w:rsid w:val="00B56B3E"/>
    <w:rsid w:val="00B56C90"/>
    <w:rsid w:val="00B57D5A"/>
    <w:rsid w:val="00B61743"/>
    <w:rsid w:val="00B6238B"/>
    <w:rsid w:val="00B62FC9"/>
    <w:rsid w:val="00B6398C"/>
    <w:rsid w:val="00B63B2A"/>
    <w:rsid w:val="00B63BB6"/>
    <w:rsid w:val="00B6408F"/>
    <w:rsid w:val="00B6411C"/>
    <w:rsid w:val="00B6448B"/>
    <w:rsid w:val="00B65373"/>
    <w:rsid w:val="00B65806"/>
    <w:rsid w:val="00B66402"/>
    <w:rsid w:val="00B666BE"/>
    <w:rsid w:val="00B67312"/>
    <w:rsid w:val="00B70395"/>
    <w:rsid w:val="00B70428"/>
    <w:rsid w:val="00B70A91"/>
    <w:rsid w:val="00B71A9E"/>
    <w:rsid w:val="00B71EF6"/>
    <w:rsid w:val="00B71F8E"/>
    <w:rsid w:val="00B72335"/>
    <w:rsid w:val="00B728FF"/>
    <w:rsid w:val="00B743FC"/>
    <w:rsid w:val="00B7551E"/>
    <w:rsid w:val="00B75958"/>
    <w:rsid w:val="00B7627B"/>
    <w:rsid w:val="00B768CC"/>
    <w:rsid w:val="00B76D58"/>
    <w:rsid w:val="00B770D1"/>
    <w:rsid w:val="00B77EC0"/>
    <w:rsid w:val="00B804B5"/>
    <w:rsid w:val="00B80DDB"/>
    <w:rsid w:val="00B8139A"/>
    <w:rsid w:val="00B81496"/>
    <w:rsid w:val="00B82006"/>
    <w:rsid w:val="00B8232D"/>
    <w:rsid w:val="00B83976"/>
    <w:rsid w:val="00B848F2"/>
    <w:rsid w:val="00B84D08"/>
    <w:rsid w:val="00B85726"/>
    <w:rsid w:val="00B85D89"/>
    <w:rsid w:val="00B870C4"/>
    <w:rsid w:val="00B87249"/>
    <w:rsid w:val="00B87912"/>
    <w:rsid w:val="00B87D2A"/>
    <w:rsid w:val="00B909A3"/>
    <w:rsid w:val="00B90D79"/>
    <w:rsid w:val="00B91596"/>
    <w:rsid w:val="00B9226D"/>
    <w:rsid w:val="00B9241B"/>
    <w:rsid w:val="00B928CC"/>
    <w:rsid w:val="00B929BB"/>
    <w:rsid w:val="00B92A62"/>
    <w:rsid w:val="00B92AC1"/>
    <w:rsid w:val="00B95A7E"/>
    <w:rsid w:val="00B95FF2"/>
    <w:rsid w:val="00B96236"/>
    <w:rsid w:val="00B96732"/>
    <w:rsid w:val="00B97627"/>
    <w:rsid w:val="00B97889"/>
    <w:rsid w:val="00B9799C"/>
    <w:rsid w:val="00B97EB7"/>
    <w:rsid w:val="00B97F61"/>
    <w:rsid w:val="00BA0222"/>
    <w:rsid w:val="00BA0370"/>
    <w:rsid w:val="00BA18BA"/>
    <w:rsid w:val="00BA23CC"/>
    <w:rsid w:val="00BA2DCB"/>
    <w:rsid w:val="00BA2F41"/>
    <w:rsid w:val="00BA3E0A"/>
    <w:rsid w:val="00BA5D69"/>
    <w:rsid w:val="00BA73B1"/>
    <w:rsid w:val="00BA749C"/>
    <w:rsid w:val="00BB0869"/>
    <w:rsid w:val="00BB0CD3"/>
    <w:rsid w:val="00BB2515"/>
    <w:rsid w:val="00BB31F0"/>
    <w:rsid w:val="00BB32E4"/>
    <w:rsid w:val="00BB3460"/>
    <w:rsid w:val="00BB4ABE"/>
    <w:rsid w:val="00BB7DAE"/>
    <w:rsid w:val="00BC04D6"/>
    <w:rsid w:val="00BC067F"/>
    <w:rsid w:val="00BC0ABE"/>
    <w:rsid w:val="00BC0DCE"/>
    <w:rsid w:val="00BC2188"/>
    <w:rsid w:val="00BC47C1"/>
    <w:rsid w:val="00BC4922"/>
    <w:rsid w:val="00BC53E2"/>
    <w:rsid w:val="00BC54D0"/>
    <w:rsid w:val="00BC5785"/>
    <w:rsid w:val="00BC5903"/>
    <w:rsid w:val="00BC600A"/>
    <w:rsid w:val="00BC6227"/>
    <w:rsid w:val="00BC7368"/>
    <w:rsid w:val="00BC7AE9"/>
    <w:rsid w:val="00BD0140"/>
    <w:rsid w:val="00BD0AA2"/>
    <w:rsid w:val="00BD0CEE"/>
    <w:rsid w:val="00BD16EA"/>
    <w:rsid w:val="00BD258D"/>
    <w:rsid w:val="00BD31EC"/>
    <w:rsid w:val="00BD40F6"/>
    <w:rsid w:val="00BD4602"/>
    <w:rsid w:val="00BD490D"/>
    <w:rsid w:val="00BD4F4C"/>
    <w:rsid w:val="00BD65F9"/>
    <w:rsid w:val="00BD6733"/>
    <w:rsid w:val="00BD70B0"/>
    <w:rsid w:val="00BD74AD"/>
    <w:rsid w:val="00BD7890"/>
    <w:rsid w:val="00BD7D52"/>
    <w:rsid w:val="00BD7E50"/>
    <w:rsid w:val="00BE1EB4"/>
    <w:rsid w:val="00BE258E"/>
    <w:rsid w:val="00BE4366"/>
    <w:rsid w:val="00BE4930"/>
    <w:rsid w:val="00BE4940"/>
    <w:rsid w:val="00BE4970"/>
    <w:rsid w:val="00BE5C04"/>
    <w:rsid w:val="00BE5E94"/>
    <w:rsid w:val="00BE742C"/>
    <w:rsid w:val="00BE7899"/>
    <w:rsid w:val="00BF14EA"/>
    <w:rsid w:val="00BF28DE"/>
    <w:rsid w:val="00BF4012"/>
    <w:rsid w:val="00BF4401"/>
    <w:rsid w:val="00BF4983"/>
    <w:rsid w:val="00BF57B1"/>
    <w:rsid w:val="00BF6409"/>
    <w:rsid w:val="00BF65E0"/>
    <w:rsid w:val="00BF7017"/>
    <w:rsid w:val="00BF73DC"/>
    <w:rsid w:val="00BF7454"/>
    <w:rsid w:val="00BF768F"/>
    <w:rsid w:val="00BF797F"/>
    <w:rsid w:val="00C00156"/>
    <w:rsid w:val="00C0089F"/>
    <w:rsid w:val="00C00FA0"/>
    <w:rsid w:val="00C012EC"/>
    <w:rsid w:val="00C04198"/>
    <w:rsid w:val="00C042C9"/>
    <w:rsid w:val="00C05732"/>
    <w:rsid w:val="00C058ED"/>
    <w:rsid w:val="00C059D2"/>
    <w:rsid w:val="00C07C71"/>
    <w:rsid w:val="00C07F33"/>
    <w:rsid w:val="00C113E5"/>
    <w:rsid w:val="00C1152F"/>
    <w:rsid w:val="00C11FC0"/>
    <w:rsid w:val="00C120CF"/>
    <w:rsid w:val="00C1215B"/>
    <w:rsid w:val="00C12B53"/>
    <w:rsid w:val="00C12BD6"/>
    <w:rsid w:val="00C14EF2"/>
    <w:rsid w:val="00C15338"/>
    <w:rsid w:val="00C15621"/>
    <w:rsid w:val="00C15D49"/>
    <w:rsid w:val="00C163F1"/>
    <w:rsid w:val="00C16E64"/>
    <w:rsid w:val="00C17B5E"/>
    <w:rsid w:val="00C20B51"/>
    <w:rsid w:val="00C219B4"/>
    <w:rsid w:val="00C21EEF"/>
    <w:rsid w:val="00C22AF1"/>
    <w:rsid w:val="00C230FE"/>
    <w:rsid w:val="00C23BB6"/>
    <w:rsid w:val="00C2495A"/>
    <w:rsid w:val="00C249A7"/>
    <w:rsid w:val="00C25258"/>
    <w:rsid w:val="00C25EEB"/>
    <w:rsid w:val="00C26779"/>
    <w:rsid w:val="00C27935"/>
    <w:rsid w:val="00C3007F"/>
    <w:rsid w:val="00C30336"/>
    <w:rsid w:val="00C30C06"/>
    <w:rsid w:val="00C30C97"/>
    <w:rsid w:val="00C31AD1"/>
    <w:rsid w:val="00C324C4"/>
    <w:rsid w:val="00C32C57"/>
    <w:rsid w:val="00C33D7E"/>
    <w:rsid w:val="00C35099"/>
    <w:rsid w:val="00C3534B"/>
    <w:rsid w:val="00C35847"/>
    <w:rsid w:val="00C35C93"/>
    <w:rsid w:val="00C35E4A"/>
    <w:rsid w:val="00C40704"/>
    <w:rsid w:val="00C44C5C"/>
    <w:rsid w:val="00C45377"/>
    <w:rsid w:val="00C4609A"/>
    <w:rsid w:val="00C47DD3"/>
    <w:rsid w:val="00C505F6"/>
    <w:rsid w:val="00C52545"/>
    <w:rsid w:val="00C52BB0"/>
    <w:rsid w:val="00C52D87"/>
    <w:rsid w:val="00C53EA3"/>
    <w:rsid w:val="00C54C71"/>
    <w:rsid w:val="00C55AEF"/>
    <w:rsid w:val="00C55EEC"/>
    <w:rsid w:val="00C56B94"/>
    <w:rsid w:val="00C57159"/>
    <w:rsid w:val="00C57E85"/>
    <w:rsid w:val="00C6022D"/>
    <w:rsid w:val="00C60EFF"/>
    <w:rsid w:val="00C6166C"/>
    <w:rsid w:val="00C61CA8"/>
    <w:rsid w:val="00C61F09"/>
    <w:rsid w:val="00C6265A"/>
    <w:rsid w:val="00C628E7"/>
    <w:rsid w:val="00C63320"/>
    <w:rsid w:val="00C63F6D"/>
    <w:rsid w:val="00C64EDC"/>
    <w:rsid w:val="00C658E9"/>
    <w:rsid w:val="00C6716C"/>
    <w:rsid w:val="00C706AB"/>
    <w:rsid w:val="00C73EEE"/>
    <w:rsid w:val="00C74FFD"/>
    <w:rsid w:val="00C76BE5"/>
    <w:rsid w:val="00C77D19"/>
    <w:rsid w:val="00C82CDF"/>
    <w:rsid w:val="00C82DFD"/>
    <w:rsid w:val="00C84A35"/>
    <w:rsid w:val="00C84EB7"/>
    <w:rsid w:val="00C85F9C"/>
    <w:rsid w:val="00C862AB"/>
    <w:rsid w:val="00C877CE"/>
    <w:rsid w:val="00C87D73"/>
    <w:rsid w:val="00C9019C"/>
    <w:rsid w:val="00C903CC"/>
    <w:rsid w:val="00C904C3"/>
    <w:rsid w:val="00C907E5"/>
    <w:rsid w:val="00C90A05"/>
    <w:rsid w:val="00C90EE0"/>
    <w:rsid w:val="00C92019"/>
    <w:rsid w:val="00C926FD"/>
    <w:rsid w:val="00C93F69"/>
    <w:rsid w:val="00C941BC"/>
    <w:rsid w:val="00C945A4"/>
    <w:rsid w:val="00C95715"/>
    <w:rsid w:val="00C9592E"/>
    <w:rsid w:val="00C96121"/>
    <w:rsid w:val="00C9676D"/>
    <w:rsid w:val="00C96B1B"/>
    <w:rsid w:val="00CA15A6"/>
    <w:rsid w:val="00CA19DF"/>
    <w:rsid w:val="00CA201B"/>
    <w:rsid w:val="00CA2247"/>
    <w:rsid w:val="00CA256E"/>
    <w:rsid w:val="00CA2E52"/>
    <w:rsid w:val="00CA42D6"/>
    <w:rsid w:val="00CA46BB"/>
    <w:rsid w:val="00CA517C"/>
    <w:rsid w:val="00CA53B4"/>
    <w:rsid w:val="00CA5D01"/>
    <w:rsid w:val="00CA5E61"/>
    <w:rsid w:val="00CA6580"/>
    <w:rsid w:val="00CA7279"/>
    <w:rsid w:val="00CA754D"/>
    <w:rsid w:val="00CA7DF3"/>
    <w:rsid w:val="00CB0E37"/>
    <w:rsid w:val="00CB11C5"/>
    <w:rsid w:val="00CB20AC"/>
    <w:rsid w:val="00CB3C1E"/>
    <w:rsid w:val="00CB42F0"/>
    <w:rsid w:val="00CB6347"/>
    <w:rsid w:val="00CB6808"/>
    <w:rsid w:val="00CB6887"/>
    <w:rsid w:val="00CB709C"/>
    <w:rsid w:val="00CC12F9"/>
    <w:rsid w:val="00CC1A07"/>
    <w:rsid w:val="00CC1AEF"/>
    <w:rsid w:val="00CC3F73"/>
    <w:rsid w:val="00CC3F9A"/>
    <w:rsid w:val="00CC435A"/>
    <w:rsid w:val="00CC5276"/>
    <w:rsid w:val="00CC5444"/>
    <w:rsid w:val="00CC5987"/>
    <w:rsid w:val="00CC5E86"/>
    <w:rsid w:val="00CC68D7"/>
    <w:rsid w:val="00CC7B1D"/>
    <w:rsid w:val="00CD0770"/>
    <w:rsid w:val="00CD07E8"/>
    <w:rsid w:val="00CD0A29"/>
    <w:rsid w:val="00CD32F2"/>
    <w:rsid w:val="00CD48FD"/>
    <w:rsid w:val="00CD5933"/>
    <w:rsid w:val="00CD68B6"/>
    <w:rsid w:val="00CD6D9E"/>
    <w:rsid w:val="00CD73D7"/>
    <w:rsid w:val="00CD7A54"/>
    <w:rsid w:val="00CE05B2"/>
    <w:rsid w:val="00CE062A"/>
    <w:rsid w:val="00CE0889"/>
    <w:rsid w:val="00CE0A76"/>
    <w:rsid w:val="00CE0E9E"/>
    <w:rsid w:val="00CE12BE"/>
    <w:rsid w:val="00CE1E77"/>
    <w:rsid w:val="00CE4951"/>
    <w:rsid w:val="00CE5801"/>
    <w:rsid w:val="00CE5D2D"/>
    <w:rsid w:val="00CE5D6C"/>
    <w:rsid w:val="00CE7270"/>
    <w:rsid w:val="00CF0028"/>
    <w:rsid w:val="00CF04ED"/>
    <w:rsid w:val="00CF0674"/>
    <w:rsid w:val="00CF0BE2"/>
    <w:rsid w:val="00CF0BEA"/>
    <w:rsid w:val="00CF14B3"/>
    <w:rsid w:val="00CF1745"/>
    <w:rsid w:val="00CF1B0D"/>
    <w:rsid w:val="00CF2EDD"/>
    <w:rsid w:val="00CF3503"/>
    <w:rsid w:val="00CF3EF6"/>
    <w:rsid w:val="00CF4E87"/>
    <w:rsid w:val="00CF56FF"/>
    <w:rsid w:val="00CF7131"/>
    <w:rsid w:val="00CF7401"/>
    <w:rsid w:val="00CF7BE6"/>
    <w:rsid w:val="00CF7C7B"/>
    <w:rsid w:val="00CF7FD0"/>
    <w:rsid w:val="00D0101F"/>
    <w:rsid w:val="00D022FF"/>
    <w:rsid w:val="00D02812"/>
    <w:rsid w:val="00D02B1E"/>
    <w:rsid w:val="00D03356"/>
    <w:rsid w:val="00D03EF4"/>
    <w:rsid w:val="00D04C7A"/>
    <w:rsid w:val="00D0567D"/>
    <w:rsid w:val="00D05C7C"/>
    <w:rsid w:val="00D05FC6"/>
    <w:rsid w:val="00D063B1"/>
    <w:rsid w:val="00D0655B"/>
    <w:rsid w:val="00D10109"/>
    <w:rsid w:val="00D1014A"/>
    <w:rsid w:val="00D10A5E"/>
    <w:rsid w:val="00D10D76"/>
    <w:rsid w:val="00D11936"/>
    <w:rsid w:val="00D12450"/>
    <w:rsid w:val="00D12A7B"/>
    <w:rsid w:val="00D16A88"/>
    <w:rsid w:val="00D20079"/>
    <w:rsid w:val="00D203F3"/>
    <w:rsid w:val="00D205AE"/>
    <w:rsid w:val="00D214F7"/>
    <w:rsid w:val="00D2184F"/>
    <w:rsid w:val="00D21B31"/>
    <w:rsid w:val="00D229D6"/>
    <w:rsid w:val="00D23A76"/>
    <w:rsid w:val="00D24508"/>
    <w:rsid w:val="00D277C7"/>
    <w:rsid w:val="00D30A39"/>
    <w:rsid w:val="00D30DC6"/>
    <w:rsid w:val="00D31A88"/>
    <w:rsid w:val="00D324D1"/>
    <w:rsid w:val="00D33287"/>
    <w:rsid w:val="00D33368"/>
    <w:rsid w:val="00D33A53"/>
    <w:rsid w:val="00D34067"/>
    <w:rsid w:val="00D344DB"/>
    <w:rsid w:val="00D349C8"/>
    <w:rsid w:val="00D34D85"/>
    <w:rsid w:val="00D34F2A"/>
    <w:rsid w:val="00D35D9B"/>
    <w:rsid w:val="00D367CB"/>
    <w:rsid w:val="00D36A40"/>
    <w:rsid w:val="00D379C4"/>
    <w:rsid w:val="00D37E8A"/>
    <w:rsid w:val="00D404B6"/>
    <w:rsid w:val="00D40FF1"/>
    <w:rsid w:val="00D4130F"/>
    <w:rsid w:val="00D4262C"/>
    <w:rsid w:val="00D43E78"/>
    <w:rsid w:val="00D44E73"/>
    <w:rsid w:val="00D44EA9"/>
    <w:rsid w:val="00D45A41"/>
    <w:rsid w:val="00D45F32"/>
    <w:rsid w:val="00D46A5C"/>
    <w:rsid w:val="00D5111B"/>
    <w:rsid w:val="00D51E0F"/>
    <w:rsid w:val="00D5282A"/>
    <w:rsid w:val="00D52E55"/>
    <w:rsid w:val="00D530C9"/>
    <w:rsid w:val="00D532A7"/>
    <w:rsid w:val="00D551B9"/>
    <w:rsid w:val="00D55703"/>
    <w:rsid w:val="00D55CA3"/>
    <w:rsid w:val="00D568FE"/>
    <w:rsid w:val="00D56DD4"/>
    <w:rsid w:val="00D5738B"/>
    <w:rsid w:val="00D57AB8"/>
    <w:rsid w:val="00D613C8"/>
    <w:rsid w:val="00D619AA"/>
    <w:rsid w:val="00D621C9"/>
    <w:rsid w:val="00D6225A"/>
    <w:rsid w:val="00D62378"/>
    <w:rsid w:val="00D62574"/>
    <w:rsid w:val="00D62761"/>
    <w:rsid w:val="00D6374E"/>
    <w:rsid w:val="00D653FE"/>
    <w:rsid w:val="00D65E9F"/>
    <w:rsid w:val="00D666B3"/>
    <w:rsid w:val="00D677B6"/>
    <w:rsid w:val="00D718DA"/>
    <w:rsid w:val="00D71CEE"/>
    <w:rsid w:val="00D72631"/>
    <w:rsid w:val="00D72EE1"/>
    <w:rsid w:val="00D73AC8"/>
    <w:rsid w:val="00D73B62"/>
    <w:rsid w:val="00D73CA5"/>
    <w:rsid w:val="00D73F97"/>
    <w:rsid w:val="00D75109"/>
    <w:rsid w:val="00D76062"/>
    <w:rsid w:val="00D7637C"/>
    <w:rsid w:val="00D765EC"/>
    <w:rsid w:val="00D80791"/>
    <w:rsid w:val="00D80798"/>
    <w:rsid w:val="00D809EE"/>
    <w:rsid w:val="00D8139A"/>
    <w:rsid w:val="00D83653"/>
    <w:rsid w:val="00D83B5F"/>
    <w:rsid w:val="00D84F95"/>
    <w:rsid w:val="00D853B8"/>
    <w:rsid w:val="00D86427"/>
    <w:rsid w:val="00D87F68"/>
    <w:rsid w:val="00D90003"/>
    <w:rsid w:val="00D90F9B"/>
    <w:rsid w:val="00D91CBC"/>
    <w:rsid w:val="00D93328"/>
    <w:rsid w:val="00D9576B"/>
    <w:rsid w:val="00D965D8"/>
    <w:rsid w:val="00D966F7"/>
    <w:rsid w:val="00D9688B"/>
    <w:rsid w:val="00D96FD3"/>
    <w:rsid w:val="00D9729D"/>
    <w:rsid w:val="00D97B89"/>
    <w:rsid w:val="00DA04C8"/>
    <w:rsid w:val="00DA0546"/>
    <w:rsid w:val="00DA10CA"/>
    <w:rsid w:val="00DA26D2"/>
    <w:rsid w:val="00DA32B8"/>
    <w:rsid w:val="00DA33DD"/>
    <w:rsid w:val="00DA3E61"/>
    <w:rsid w:val="00DA5F07"/>
    <w:rsid w:val="00DA7366"/>
    <w:rsid w:val="00DA757B"/>
    <w:rsid w:val="00DA7606"/>
    <w:rsid w:val="00DA7E41"/>
    <w:rsid w:val="00DB1C61"/>
    <w:rsid w:val="00DB1F36"/>
    <w:rsid w:val="00DB37F2"/>
    <w:rsid w:val="00DB3B3C"/>
    <w:rsid w:val="00DB51B6"/>
    <w:rsid w:val="00DB561D"/>
    <w:rsid w:val="00DB58CC"/>
    <w:rsid w:val="00DB5B84"/>
    <w:rsid w:val="00DB61F3"/>
    <w:rsid w:val="00DB6C9D"/>
    <w:rsid w:val="00DB7090"/>
    <w:rsid w:val="00DB74CD"/>
    <w:rsid w:val="00DC37BA"/>
    <w:rsid w:val="00DC3D5B"/>
    <w:rsid w:val="00DC3FAB"/>
    <w:rsid w:val="00DC4D80"/>
    <w:rsid w:val="00DC50F0"/>
    <w:rsid w:val="00DC5BD9"/>
    <w:rsid w:val="00DC6984"/>
    <w:rsid w:val="00DC78FC"/>
    <w:rsid w:val="00DC7A61"/>
    <w:rsid w:val="00DC7D57"/>
    <w:rsid w:val="00DD06B9"/>
    <w:rsid w:val="00DD07F1"/>
    <w:rsid w:val="00DD0C4E"/>
    <w:rsid w:val="00DD1C35"/>
    <w:rsid w:val="00DD1CA7"/>
    <w:rsid w:val="00DD2279"/>
    <w:rsid w:val="00DD28C7"/>
    <w:rsid w:val="00DD298C"/>
    <w:rsid w:val="00DD46B0"/>
    <w:rsid w:val="00DD488D"/>
    <w:rsid w:val="00DD4D88"/>
    <w:rsid w:val="00DD4EEA"/>
    <w:rsid w:val="00DD608C"/>
    <w:rsid w:val="00DD7055"/>
    <w:rsid w:val="00DD70C0"/>
    <w:rsid w:val="00DD751B"/>
    <w:rsid w:val="00DD79C6"/>
    <w:rsid w:val="00DE0A17"/>
    <w:rsid w:val="00DE152B"/>
    <w:rsid w:val="00DE198F"/>
    <w:rsid w:val="00DE288E"/>
    <w:rsid w:val="00DE2DA7"/>
    <w:rsid w:val="00DE3B55"/>
    <w:rsid w:val="00DE5796"/>
    <w:rsid w:val="00DE6215"/>
    <w:rsid w:val="00DE7069"/>
    <w:rsid w:val="00DE75E6"/>
    <w:rsid w:val="00DE77E3"/>
    <w:rsid w:val="00DE7FDA"/>
    <w:rsid w:val="00DF09E3"/>
    <w:rsid w:val="00DF17A1"/>
    <w:rsid w:val="00DF196B"/>
    <w:rsid w:val="00DF219C"/>
    <w:rsid w:val="00DF2372"/>
    <w:rsid w:val="00DF2876"/>
    <w:rsid w:val="00DF2E19"/>
    <w:rsid w:val="00DF3248"/>
    <w:rsid w:val="00DF354F"/>
    <w:rsid w:val="00DF4BFB"/>
    <w:rsid w:val="00DF4E6A"/>
    <w:rsid w:val="00DF5B5F"/>
    <w:rsid w:val="00DF70E3"/>
    <w:rsid w:val="00E00A3F"/>
    <w:rsid w:val="00E00A9D"/>
    <w:rsid w:val="00E01723"/>
    <w:rsid w:val="00E017C7"/>
    <w:rsid w:val="00E0201D"/>
    <w:rsid w:val="00E03073"/>
    <w:rsid w:val="00E031C2"/>
    <w:rsid w:val="00E03E4D"/>
    <w:rsid w:val="00E040A2"/>
    <w:rsid w:val="00E04209"/>
    <w:rsid w:val="00E04568"/>
    <w:rsid w:val="00E0504C"/>
    <w:rsid w:val="00E05BCB"/>
    <w:rsid w:val="00E064AD"/>
    <w:rsid w:val="00E069AF"/>
    <w:rsid w:val="00E0744C"/>
    <w:rsid w:val="00E1065D"/>
    <w:rsid w:val="00E10B75"/>
    <w:rsid w:val="00E12077"/>
    <w:rsid w:val="00E15289"/>
    <w:rsid w:val="00E156FB"/>
    <w:rsid w:val="00E15D54"/>
    <w:rsid w:val="00E16335"/>
    <w:rsid w:val="00E17D9C"/>
    <w:rsid w:val="00E17FB9"/>
    <w:rsid w:val="00E21E6B"/>
    <w:rsid w:val="00E222B0"/>
    <w:rsid w:val="00E228A4"/>
    <w:rsid w:val="00E22CBD"/>
    <w:rsid w:val="00E23093"/>
    <w:rsid w:val="00E2390D"/>
    <w:rsid w:val="00E23C3C"/>
    <w:rsid w:val="00E24444"/>
    <w:rsid w:val="00E245D3"/>
    <w:rsid w:val="00E245F7"/>
    <w:rsid w:val="00E24986"/>
    <w:rsid w:val="00E25CC7"/>
    <w:rsid w:val="00E264D5"/>
    <w:rsid w:val="00E265AD"/>
    <w:rsid w:val="00E27508"/>
    <w:rsid w:val="00E30F0F"/>
    <w:rsid w:val="00E30F90"/>
    <w:rsid w:val="00E31624"/>
    <w:rsid w:val="00E31717"/>
    <w:rsid w:val="00E32138"/>
    <w:rsid w:val="00E322C3"/>
    <w:rsid w:val="00E323DD"/>
    <w:rsid w:val="00E329FD"/>
    <w:rsid w:val="00E32D01"/>
    <w:rsid w:val="00E334DE"/>
    <w:rsid w:val="00E33C8C"/>
    <w:rsid w:val="00E34354"/>
    <w:rsid w:val="00E34CDE"/>
    <w:rsid w:val="00E405F7"/>
    <w:rsid w:val="00E40B23"/>
    <w:rsid w:val="00E41052"/>
    <w:rsid w:val="00E424B3"/>
    <w:rsid w:val="00E428D0"/>
    <w:rsid w:val="00E433DE"/>
    <w:rsid w:val="00E44050"/>
    <w:rsid w:val="00E44DD9"/>
    <w:rsid w:val="00E45ECE"/>
    <w:rsid w:val="00E4755A"/>
    <w:rsid w:val="00E5098C"/>
    <w:rsid w:val="00E50EBB"/>
    <w:rsid w:val="00E510D4"/>
    <w:rsid w:val="00E518E6"/>
    <w:rsid w:val="00E52939"/>
    <w:rsid w:val="00E536F8"/>
    <w:rsid w:val="00E54021"/>
    <w:rsid w:val="00E55879"/>
    <w:rsid w:val="00E559B0"/>
    <w:rsid w:val="00E55A22"/>
    <w:rsid w:val="00E55FC6"/>
    <w:rsid w:val="00E56F75"/>
    <w:rsid w:val="00E5789A"/>
    <w:rsid w:val="00E604F8"/>
    <w:rsid w:val="00E60C95"/>
    <w:rsid w:val="00E62532"/>
    <w:rsid w:val="00E628F1"/>
    <w:rsid w:val="00E6292E"/>
    <w:rsid w:val="00E63296"/>
    <w:rsid w:val="00E635F5"/>
    <w:rsid w:val="00E644D8"/>
    <w:rsid w:val="00E64EBB"/>
    <w:rsid w:val="00E65C0F"/>
    <w:rsid w:val="00E65E93"/>
    <w:rsid w:val="00E67120"/>
    <w:rsid w:val="00E67B3F"/>
    <w:rsid w:val="00E70188"/>
    <w:rsid w:val="00E71010"/>
    <w:rsid w:val="00E71020"/>
    <w:rsid w:val="00E72361"/>
    <w:rsid w:val="00E73219"/>
    <w:rsid w:val="00E73FB4"/>
    <w:rsid w:val="00E74269"/>
    <w:rsid w:val="00E76C7B"/>
    <w:rsid w:val="00E76D9B"/>
    <w:rsid w:val="00E7799A"/>
    <w:rsid w:val="00E82766"/>
    <w:rsid w:val="00E82E13"/>
    <w:rsid w:val="00E8383F"/>
    <w:rsid w:val="00E83CB6"/>
    <w:rsid w:val="00E83F1E"/>
    <w:rsid w:val="00E842AE"/>
    <w:rsid w:val="00E8475F"/>
    <w:rsid w:val="00E85E05"/>
    <w:rsid w:val="00E86741"/>
    <w:rsid w:val="00E87FE0"/>
    <w:rsid w:val="00E90043"/>
    <w:rsid w:val="00E90E81"/>
    <w:rsid w:val="00E91015"/>
    <w:rsid w:val="00E9399C"/>
    <w:rsid w:val="00E9520F"/>
    <w:rsid w:val="00E9653A"/>
    <w:rsid w:val="00E96E34"/>
    <w:rsid w:val="00E97796"/>
    <w:rsid w:val="00E9785F"/>
    <w:rsid w:val="00E979D2"/>
    <w:rsid w:val="00EA0B47"/>
    <w:rsid w:val="00EA20F8"/>
    <w:rsid w:val="00EA24E0"/>
    <w:rsid w:val="00EA337C"/>
    <w:rsid w:val="00EA3AD2"/>
    <w:rsid w:val="00EA3AD3"/>
    <w:rsid w:val="00EA402C"/>
    <w:rsid w:val="00EA42B2"/>
    <w:rsid w:val="00EA4D11"/>
    <w:rsid w:val="00EA52D7"/>
    <w:rsid w:val="00EA71A5"/>
    <w:rsid w:val="00EA77DE"/>
    <w:rsid w:val="00EA7B05"/>
    <w:rsid w:val="00EB0954"/>
    <w:rsid w:val="00EB0B8B"/>
    <w:rsid w:val="00EB10A0"/>
    <w:rsid w:val="00EB27DB"/>
    <w:rsid w:val="00EB2D3F"/>
    <w:rsid w:val="00EB3342"/>
    <w:rsid w:val="00EB35D5"/>
    <w:rsid w:val="00EB4039"/>
    <w:rsid w:val="00EB4CE2"/>
    <w:rsid w:val="00EB71A5"/>
    <w:rsid w:val="00EB7BFE"/>
    <w:rsid w:val="00EC112F"/>
    <w:rsid w:val="00EC3CCC"/>
    <w:rsid w:val="00EC581F"/>
    <w:rsid w:val="00EC5934"/>
    <w:rsid w:val="00EC5F4A"/>
    <w:rsid w:val="00EC6594"/>
    <w:rsid w:val="00ED0611"/>
    <w:rsid w:val="00ED19DE"/>
    <w:rsid w:val="00ED24E0"/>
    <w:rsid w:val="00ED2842"/>
    <w:rsid w:val="00ED4623"/>
    <w:rsid w:val="00ED5905"/>
    <w:rsid w:val="00ED5962"/>
    <w:rsid w:val="00ED60CD"/>
    <w:rsid w:val="00ED7B3A"/>
    <w:rsid w:val="00EE0F5F"/>
    <w:rsid w:val="00EE1565"/>
    <w:rsid w:val="00EE1FF0"/>
    <w:rsid w:val="00EE3986"/>
    <w:rsid w:val="00EE41CA"/>
    <w:rsid w:val="00EE4570"/>
    <w:rsid w:val="00EE4864"/>
    <w:rsid w:val="00EE5867"/>
    <w:rsid w:val="00EE5998"/>
    <w:rsid w:val="00EE5AD0"/>
    <w:rsid w:val="00EE5FDA"/>
    <w:rsid w:val="00EE6A1D"/>
    <w:rsid w:val="00EE7E1F"/>
    <w:rsid w:val="00EF0068"/>
    <w:rsid w:val="00EF0DA2"/>
    <w:rsid w:val="00EF24D5"/>
    <w:rsid w:val="00EF2B74"/>
    <w:rsid w:val="00EF2D91"/>
    <w:rsid w:val="00EF333F"/>
    <w:rsid w:val="00EF6308"/>
    <w:rsid w:val="00EF6325"/>
    <w:rsid w:val="00EF661D"/>
    <w:rsid w:val="00EF7156"/>
    <w:rsid w:val="00EF7248"/>
    <w:rsid w:val="00EF728A"/>
    <w:rsid w:val="00F00B7A"/>
    <w:rsid w:val="00F0145F"/>
    <w:rsid w:val="00F01758"/>
    <w:rsid w:val="00F02C60"/>
    <w:rsid w:val="00F035D8"/>
    <w:rsid w:val="00F03D93"/>
    <w:rsid w:val="00F0424D"/>
    <w:rsid w:val="00F04444"/>
    <w:rsid w:val="00F04B9F"/>
    <w:rsid w:val="00F04F72"/>
    <w:rsid w:val="00F065AC"/>
    <w:rsid w:val="00F07420"/>
    <w:rsid w:val="00F107AF"/>
    <w:rsid w:val="00F10C4A"/>
    <w:rsid w:val="00F111D6"/>
    <w:rsid w:val="00F112C3"/>
    <w:rsid w:val="00F11346"/>
    <w:rsid w:val="00F1187C"/>
    <w:rsid w:val="00F11FD9"/>
    <w:rsid w:val="00F1301E"/>
    <w:rsid w:val="00F1330B"/>
    <w:rsid w:val="00F1357E"/>
    <w:rsid w:val="00F1384A"/>
    <w:rsid w:val="00F15999"/>
    <w:rsid w:val="00F161E1"/>
    <w:rsid w:val="00F174B7"/>
    <w:rsid w:val="00F203F9"/>
    <w:rsid w:val="00F211D8"/>
    <w:rsid w:val="00F219B0"/>
    <w:rsid w:val="00F21A03"/>
    <w:rsid w:val="00F22234"/>
    <w:rsid w:val="00F224DA"/>
    <w:rsid w:val="00F22714"/>
    <w:rsid w:val="00F22D7A"/>
    <w:rsid w:val="00F22FCF"/>
    <w:rsid w:val="00F232E4"/>
    <w:rsid w:val="00F23C6B"/>
    <w:rsid w:val="00F24975"/>
    <w:rsid w:val="00F24A56"/>
    <w:rsid w:val="00F26227"/>
    <w:rsid w:val="00F267E4"/>
    <w:rsid w:val="00F26810"/>
    <w:rsid w:val="00F2769A"/>
    <w:rsid w:val="00F27E27"/>
    <w:rsid w:val="00F31C86"/>
    <w:rsid w:val="00F321C5"/>
    <w:rsid w:val="00F32309"/>
    <w:rsid w:val="00F3262F"/>
    <w:rsid w:val="00F34480"/>
    <w:rsid w:val="00F34628"/>
    <w:rsid w:val="00F34B89"/>
    <w:rsid w:val="00F3500B"/>
    <w:rsid w:val="00F36306"/>
    <w:rsid w:val="00F36984"/>
    <w:rsid w:val="00F378B0"/>
    <w:rsid w:val="00F37A5D"/>
    <w:rsid w:val="00F408EC"/>
    <w:rsid w:val="00F40BBE"/>
    <w:rsid w:val="00F40BD7"/>
    <w:rsid w:val="00F44B2C"/>
    <w:rsid w:val="00F4525C"/>
    <w:rsid w:val="00F45952"/>
    <w:rsid w:val="00F46611"/>
    <w:rsid w:val="00F46781"/>
    <w:rsid w:val="00F5138B"/>
    <w:rsid w:val="00F52496"/>
    <w:rsid w:val="00F52743"/>
    <w:rsid w:val="00F52BD3"/>
    <w:rsid w:val="00F52FDA"/>
    <w:rsid w:val="00F531B8"/>
    <w:rsid w:val="00F533CC"/>
    <w:rsid w:val="00F534BA"/>
    <w:rsid w:val="00F5387F"/>
    <w:rsid w:val="00F53AA6"/>
    <w:rsid w:val="00F540A0"/>
    <w:rsid w:val="00F54A73"/>
    <w:rsid w:val="00F55AF6"/>
    <w:rsid w:val="00F57806"/>
    <w:rsid w:val="00F57D1A"/>
    <w:rsid w:val="00F57F5C"/>
    <w:rsid w:val="00F611FF"/>
    <w:rsid w:val="00F61CD8"/>
    <w:rsid w:val="00F629FA"/>
    <w:rsid w:val="00F62E9E"/>
    <w:rsid w:val="00F64720"/>
    <w:rsid w:val="00F64B45"/>
    <w:rsid w:val="00F65945"/>
    <w:rsid w:val="00F66907"/>
    <w:rsid w:val="00F70B83"/>
    <w:rsid w:val="00F71071"/>
    <w:rsid w:val="00F72CB0"/>
    <w:rsid w:val="00F731D7"/>
    <w:rsid w:val="00F73953"/>
    <w:rsid w:val="00F73B35"/>
    <w:rsid w:val="00F75647"/>
    <w:rsid w:val="00F75F1B"/>
    <w:rsid w:val="00F75F1F"/>
    <w:rsid w:val="00F76402"/>
    <w:rsid w:val="00F76C7B"/>
    <w:rsid w:val="00F77554"/>
    <w:rsid w:val="00F80195"/>
    <w:rsid w:val="00F8048E"/>
    <w:rsid w:val="00F804AF"/>
    <w:rsid w:val="00F80A22"/>
    <w:rsid w:val="00F810F8"/>
    <w:rsid w:val="00F81505"/>
    <w:rsid w:val="00F81EF0"/>
    <w:rsid w:val="00F82E4F"/>
    <w:rsid w:val="00F83E60"/>
    <w:rsid w:val="00F85A61"/>
    <w:rsid w:val="00F85F16"/>
    <w:rsid w:val="00F862C1"/>
    <w:rsid w:val="00F91FF9"/>
    <w:rsid w:val="00F92B76"/>
    <w:rsid w:val="00F934F0"/>
    <w:rsid w:val="00F936D8"/>
    <w:rsid w:val="00F93956"/>
    <w:rsid w:val="00F9397E"/>
    <w:rsid w:val="00F93990"/>
    <w:rsid w:val="00F94744"/>
    <w:rsid w:val="00F97D88"/>
    <w:rsid w:val="00FA0244"/>
    <w:rsid w:val="00FA2603"/>
    <w:rsid w:val="00FA50C6"/>
    <w:rsid w:val="00FA5DAE"/>
    <w:rsid w:val="00FA62FA"/>
    <w:rsid w:val="00FA63B9"/>
    <w:rsid w:val="00FA6CC7"/>
    <w:rsid w:val="00FA7DE0"/>
    <w:rsid w:val="00FB10FB"/>
    <w:rsid w:val="00FB1204"/>
    <w:rsid w:val="00FB1D42"/>
    <w:rsid w:val="00FB311C"/>
    <w:rsid w:val="00FB5255"/>
    <w:rsid w:val="00FB5703"/>
    <w:rsid w:val="00FB5C48"/>
    <w:rsid w:val="00FB5E4A"/>
    <w:rsid w:val="00FB5F5B"/>
    <w:rsid w:val="00FC1245"/>
    <w:rsid w:val="00FC1324"/>
    <w:rsid w:val="00FC14E7"/>
    <w:rsid w:val="00FC26A4"/>
    <w:rsid w:val="00FC299B"/>
    <w:rsid w:val="00FC314E"/>
    <w:rsid w:val="00FC324E"/>
    <w:rsid w:val="00FC3540"/>
    <w:rsid w:val="00FC3E98"/>
    <w:rsid w:val="00FC67EE"/>
    <w:rsid w:val="00FD03DE"/>
    <w:rsid w:val="00FD063D"/>
    <w:rsid w:val="00FD1556"/>
    <w:rsid w:val="00FD19FC"/>
    <w:rsid w:val="00FD1C6E"/>
    <w:rsid w:val="00FD27B9"/>
    <w:rsid w:val="00FD2F97"/>
    <w:rsid w:val="00FD4D13"/>
    <w:rsid w:val="00FD5508"/>
    <w:rsid w:val="00FD5715"/>
    <w:rsid w:val="00FD60C2"/>
    <w:rsid w:val="00FD68C7"/>
    <w:rsid w:val="00FD6F17"/>
    <w:rsid w:val="00FD7308"/>
    <w:rsid w:val="00FE0039"/>
    <w:rsid w:val="00FE29D2"/>
    <w:rsid w:val="00FE3259"/>
    <w:rsid w:val="00FE36DC"/>
    <w:rsid w:val="00FE3719"/>
    <w:rsid w:val="00FE436C"/>
    <w:rsid w:val="00FE5177"/>
    <w:rsid w:val="00FE56C7"/>
    <w:rsid w:val="00FE5739"/>
    <w:rsid w:val="00FE5E2C"/>
    <w:rsid w:val="00FE73FB"/>
    <w:rsid w:val="00FF2931"/>
    <w:rsid w:val="00FF2E03"/>
    <w:rsid w:val="00FF48B3"/>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62B051DE-0130-4575-855F-482360EE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uiPriority w:val="99"/>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styleId="nfasis">
    <w:name w:val="Emphasis"/>
    <w:basedOn w:val="Fuentedeprrafopredeter"/>
    <w:uiPriority w:val="20"/>
    <w:qFormat/>
    <w:rsid w:val="00320D45"/>
    <w:rPr>
      <w:i/>
      <w:iCs/>
    </w:rPr>
  </w:style>
  <w:style w:type="paragraph" w:styleId="HTMLconformatoprevio">
    <w:name w:val="HTML Preformatted"/>
    <w:basedOn w:val="Normal"/>
    <w:link w:val="HTMLconformatoprevioCar"/>
    <w:uiPriority w:val="99"/>
    <w:semiHidden/>
    <w:unhideWhenUsed/>
    <w:rsid w:val="00BA5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MX" w:eastAsia="es-MX"/>
    </w:rPr>
  </w:style>
  <w:style w:type="character" w:customStyle="1" w:styleId="HTMLconformatoprevioCar">
    <w:name w:val="HTML con formato previo Car"/>
    <w:basedOn w:val="Fuentedeprrafopredeter"/>
    <w:link w:val="HTMLconformatoprevio"/>
    <w:uiPriority w:val="99"/>
    <w:semiHidden/>
    <w:rsid w:val="00BA5D69"/>
    <w:rPr>
      <w:rFonts w:ascii="Courier New" w:hAnsi="Courier New" w:cs="Courier New"/>
    </w:rPr>
  </w:style>
  <w:style w:type="character" w:customStyle="1" w:styleId="Ttulo2Car">
    <w:name w:val="Título 2 Car"/>
    <w:basedOn w:val="Fuentedeprrafopredeter"/>
    <w:link w:val="Ttulo2"/>
    <w:uiPriority w:val="9"/>
    <w:rsid w:val="004D22EA"/>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32817">
      <w:bodyDiv w:val="1"/>
      <w:marLeft w:val="0"/>
      <w:marRight w:val="0"/>
      <w:marTop w:val="0"/>
      <w:marBottom w:val="0"/>
      <w:divBdr>
        <w:top w:val="none" w:sz="0" w:space="0" w:color="auto"/>
        <w:left w:val="none" w:sz="0" w:space="0" w:color="auto"/>
        <w:bottom w:val="none" w:sz="0" w:space="0" w:color="auto"/>
        <w:right w:val="none" w:sz="0" w:space="0" w:color="auto"/>
      </w:divBdr>
    </w:div>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410734656">
      <w:bodyDiv w:val="1"/>
      <w:marLeft w:val="0"/>
      <w:marRight w:val="0"/>
      <w:marTop w:val="0"/>
      <w:marBottom w:val="0"/>
      <w:divBdr>
        <w:top w:val="none" w:sz="0" w:space="0" w:color="auto"/>
        <w:left w:val="none" w:sz="0" w:space="0" w:color="auto"/>
        <w:bottom w:val="none" w:sz="0" w:space="0" w:color="auto"/>
        <w:right w:val="none" w:sz="0" w:space="0" w:color="auto"/>
      </w:divBdr>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1352564021">
      <w:bodyDiv w:val="1"/>
      <w:marLeft w:val="0"/>
      <w:marRight w:val="0"/>
      <w:marTop w:val="0"/>
      <w:marBottom w:val="0"/>
      <w:divBdr>
        <w:top w:val="none" w:sz="0" w:space="0" w:color="auto"/>
        <w:left w:val="none" w:sz="0" w:space="0" w:color="auto"/>
        <w:bottom w:val="none" w:sz="0" w:space="0" w:color="auto"/>
        <w:right w:val="none" w:sz="0" w:space="0" w:color="auto"/>
      </w:divBdr>
    </w:div>
    <w:div w:id="1412191885">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20895332">
      <w:bodyDiv w:val="1"/>
      <w:marLeft w:val="0"/>
      <w:marRight w:val="0"/>
      <w:marTop w:val="0"/>
      <w:marBottom w:val="0"/>
      <w:divBdr>
        <w:top w:val="none" w:sz="0" w:space="0" w:color="auto"/>
        <w:left w:val="none" w:sz="0" w:space="0" w:color="auto"/>
        <w:bottom w:val="none" w:sz="0" w:space="0" w:color="auto"/>
        <w:right w:val="none" w:sz="0" w:space="0" w:color="auto"/>
      </w:divBdr>
    </w:div>
    <w:div w:id="1748377809">
      <w:bodyDiv w:val="1"/>
      <w:marLeft w:val="0"/>
      <w:marRight w:val="0"/>
      <w:marTop w:val="0"/>
      <w:marBottom w:val="0"/>
      <w:divBdr>
        <w:top w:val="none" w:sz="0" w:space="0" w:color="auto"/>
        <w:left w:val="none" w:sz="0" w:space="0" w:color="auto"/>
        <w:bottom w:val="none" w:sz="0" w:space="0" w:color="auto"/>
        <w:right w:val="none" w:sz="0" w:space="0" w:color="auto"/>
      </w:divBdr>
    </w:div>
    <w:div w:id="1839803913">
      <w:bodyDiv w:val="1"/>
      <w:marLeft w:val="0"/>
      <w:marRight w:val="0"/>
      <w:marTop w:val="0"/>
      <w:marBottom w:val="0"/>
      <w:divBdr>
        <w:top w:val="none" w:sz="0" w:space="0" w:color="auto"/>
        <w:left w:val="none" w:sz="0" w:space="0" w:color="auto"/>
        <w:bottom w:val="none" w:sz="0" w:space="0" w:color="auto"/>
        <w:right w:val="none" w:sz="0" w:space="0" w:color="auto"/>
      </w:divBdr>
    </w:div>
    <w:div w:id="1915553107">
      <w:bodyDiv w:val="1"/>
      <w:marLeft w:val="0"/>
      <w:marRight w:val="0"/>
      <w:marTop w:val="0"/>
      <w:marBottom w:val="0"/>
      <w:divBdr>
        <w:top w:val="none" w:sz="0" w:space="0" w:color="auto"/>
        <w:left w:val="none" w:sz="0" w:space="0" w:color="auto"/>
        <w:bottom w:val="none" w:sz="0" w:space="0" w:color="auto"/>
        <w:right w:val="none" w:sz="0" w:space="0" w:color="auto"/>
      </w:divBdr>
    </w:div>
    <w:div w:id="2055690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15DB5-F2AE-4BDB-BAB1-325E432BF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5923</Words>
  <Characters>32577</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38424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11</cp:revision>
  <cp:lastPrinted>2017-03-06T21:50:00Z</cp:lastPrinted>
  <dcterms:created xsi:type="dcterms:W3CDTF">2017-03-06T19:18:00Z</dcterms:created>
  <dcterms:modified xsi:type="dcterms:W3CDTF">2017-03-07T00:57:00Z</dcterms:modified>
</cp:coreProperties>
</file>