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1E28" w:rsidRPr="00DC1E28" w:rsidRDefault="00E86505" w:rsidP="00DC1E28">
      <w:pPr>
        <w:pStyle w:val="Ttulo1"/>
        <w:spacing w:after="240" w:line="240" w:lineRule="auto"/>
        <w:jc w:val="both"/>
        <w:rPr>
          <w:rFonts w:ascii="ITC Avant Garde" w:hAnsi="ITC Avant Garde"/>
          <w:b/>
          <w:color w:val="000000" w:themeColor="text1"/>
          <w:sz w:val="22"/>
          <w:szCs w:val="22"/>
          <w:lang w:eastAsia="es-MX"/>
        </w:rPr>
      </w:pPr>
      <w:r w:rsidRPr="00DC1E28">
        <w:rPr>
          <w:rFonts w:ascii="ITC Avant Garde" w:hAnsi="ITC Avant Garde"/>
          <w:b/>
          <w:color w:val="000000" w:themeColor="text1"/>
          <w:sz w:val="22"/>
          <w:szCs w:val="22"/>
          <w:lang w:eastAsia="es-MX"/>
        </w:rPr>
        <w:t xml:space="preserve">RESOLUCIÓN MEDIANTE LA CUAL EL PLENO DEL INSTITUTO FEDERAL DE TELECOMUNICACIONES AUTORIZA LA MODIFICACIÓN A LAS CARACTERÍSTICAS TÉCNICAS DE OPERACIÓN DE LA ESTACIÓN DE RADIODIFUSIÓN SONORA CON DISTINTIVO DE LLAMADA XHUAMC-FM LA FRECUENCIA 94.1 MHz EN LA CIUDAD DE MÉXICO CONTENIDAS EN LA CONCESIÓN DE ESPECTRO RADIOELECTRICO DE USO PÚBLICO OTORGADA A LA UNIVERSIDAD AUTONOMA METROPOLITANA </w:t>
      </w:r>
    </w:p>
    <w:p w:rsidR="00DC1E28" w:rsidRPr="00DC1E28" w:rsidRDefault="00E86505" w:rsidP="00DC1E28">
      <w:pPr>
        <w:pStyle w:val="Ttulo2"/>
        <w:spacing w:after="240"/>
        <w:jc w:val="center"/>
        <w:rPr>
          <w:rFonts w:ascii="ITC Avant Garde" w:hAnsi="ITC Avant Garde"/>
          <w:b/>
          <w:color w:val="000000" w:themeColor="text1"/>
          <w:sz w:val="22"/>
          <w:szCs w:val="22"/>
        </w:rPr>
      </w:pPr>
      <w:r w:rsidRPr="00DC1E28">
        <w:rPr>
          <w:rFonts w:ascii="ITC Avant Garde" w:hAnsi="ITC Avant Garde"/>
          <w:b/>
          <w:color w:val="000000" w:themeColor="text1"/>
          <w:sz w:val="22"/>
          <w:szCs w:val="22"/>
        </w:rPr>
        <w:t>ANTECEDENTES</w:t>
      </w:r>
    </w:p>
    <w:p w:rsidR="00DC1E28" w:rsidRPr="00DC1E28" w:rsidRDefault="00E86505" w:rsidP="00DC1E28">
      <w:pPr>
        <w:pStyle w:val="Prrafodelista"/>
        <w:numPr>
          <w:ilvl w:val="0"/>
          <w:numId w:val="1"/>
        </w:numPr>
        <w:spacing w:before="240" w:after="160" w:line="276" w:lineRule="auto"/>
        <w:jc w:val="both"/>
      </w:pPr>
      <w:r w:rsidRPr="00DC1E28">
        <w:rPr>
          <w:rFonts w:ascii="ITC Avant Garde" w:hAnsi="ITC Avant Garde"/>
          <w:b/>
          <w:bCs/>
          <w:sz w:val="22"/>
          <w:szCs w:val="22"/>
          <w:lang w:eastAsia="es-MX"/>
        </w:rPr>
        <w:t xml:space="preserve">Títulos de Permiso. </w:t>
      </w:r>
      <w:r w:rsidRPr="00DC1E28">
        <w:rPr>
          <w:rFonts w:ascii="ITC Avant Garde" w:hAnsi="ITC Avant Garde"/>
          <w:bCs/>
          <w:sz w:val="22"/>
          <w:szCs w:val="22"/>
          <w:lang w:eastAsia="es-MX"/>
        </w:rPr>
        <w:t>Con fecha 11 de marzo de 2010, la Comisión Federal de Telecomunicaciones otorgó a la Universidad Autónoma Metropolitana, cinco títulos de permiso para usar con fines oficiales la frecuencia 94.1 MHz para operar 5 (cinco) estaciones para el servicio de radiodifusión sonora en la banda de frecuencia modulada (FM) con vigencia hasta el día 11 de marzo de 2022, para sus diferentes instalaciones educativas o administrativas.</w:t>
      </w:r>
    </w:p>
    <w:p w:rsidR="00DC1E28" w:rsidRPr="00DC1E28" w:rsidRDefault="00E86505" w:rsidP="00DC1E28">
      <w:pPr>
        <w:pStyle w:val="Prrafodelista"/>
        <w:numPr>
          <w:ilvl w:val="0"/>
          <w:numId w:val="1"/>
        </w:numPr>
        <w:spacing w:before="240" w:after="160" w:line="276" w:lineRule="auto"/>
        <w:jc w:val="both"/>
      </w:pPr>
      <w:r w:rsidRPr="00DC1E28">
        <w:rPr>
          <w:rFonts w:ascii="ITC Avant Garde" w:hAnsi="ITC Avant Garde"/>
          <w:b/>
          <w:bCs/>
          <w:color w:val="000000"/>
          <w:sz w:val="22"/>
          <w:szCs w:val="22"/>
          <w:lang w:eastAsia="es-MX"/>
        </w:rPr>
        <w:t xml:space="preserve">Decreto de Reforma Constitucional. </w:t>
      </w:r>
      <w:r w:rsidRPr="00DC1E28">
        <w:rPr>
          <w:rFonts w:ascii="ITC Avant Garde" w:hAnsi="ITC Avant Garde"/>
          <w:bCs/>
          <w:color w:val="000000"/>
          <w:sz w:val="22"/>
          <w:szCs w:val="22"/>
          <w:lang w:eastAsia="es-MX"/>
        </w:rPr>
        <w:t>Con fecha 11 de junio de 2013, se publicó en el Diario Oficial de la Federación (el “DOF”) el “Decreto por el que se reforman y adicionan diversas disposiciones de los artículos 6o., 7o., 27, 28, 73, 78, 94 y 105 de la Constitución Política de los Estados Unidos Mexicanos, en materia de telecomunicaciones” (el “Decreto de Reforma Constitucional”), mediante el cual se creó el Instituto Federal de Telecomunicaciones (el “Instituto”).</w:t>
      </w:r>
    </w:p>
    <w:p w:rsidR="00DC1E28" w:rsidRPr="00DC1E28" w:rsidRDefault="00E86505" w:rsidP="00DC1E28">
      <w:pPr>
        <w:pStyle w:val="Prrafodelista"/>
        <w:numPr>
          <w:ilvl w:val="0"/>
          <w:numId w:val="1"/>
        </w:numPr>
        <w:spacing w:before="240" w:after="160" w:line="276" w:lineRule="auto"/>
        <w:jc w:val="both"/>
      </w:pPr>
      <w:r w:rsidRPr="00DC1E28">
        <w:rPr>
          <w:rFonts w:ascii="ITC Avant Garde" w:hAnsi="ITC Avant Garde"/>
          <w:b/>
          <w:bCs/>
          <w:color w:val="000000"/>
          <w:sz w:val="22"/>
          <w:szCs w:val="22"/>
          <w:lang w:eastAsia="es-MX"/>
        </w:rPr>
        <w:t xml:space="preserve">Decreto de Ley. </w:t>
      </w:r>
      <w:r w:rsidRPr="00DC1E28">
        <w:rPr>
          <w:rFonts w:ascii="ITC Avant Garde" w:hAnsi="ITC Avant Garde"/>
          <w:bCs/>
          <w:color w:val="000000"/>
          <w:sz w:val="22"/>
          <w:szCs w:val="22"/>
          <w:lang w:eastAsia="es-MX"/>
        </w:rPr>
        <w:t>El 14 de julio de 2014, se publicó en el DOF el “Decreto por el que se expiden la Ley Federal de Telecomunicaciones y Radiodifusión, y la Ley del Sistema Público de Radiodifusión del Estado Mexicano; y se reforman, adicionan y derogan diversas disposiciones en materia de telecomunicaciones y radiodifusión” (el “Decreto de Ley”), el cual entró en vigor el 13 de agosto de 2014.</w:t>
      </w:r>
    </w:p>
    <w:p w:rsidR="00DC1E28" w:rsidRPr="00DC1E28" w:rsidRDefault="00E86505" w:rsidP="00DC1E28">
      <w:pPr>
        <w:pStyle w:val="Prrafodelista"/>
        <w:numPr>
          <w:ilvl w:val="0"/>
          <w:numId w:val="1"/>
        </w:numPr>
        <w:spacing w:before="240" w:after="160" w:line="276" w:lineRule="auto"/>
        <w:jc w:val="both"/>
      </w:pPr>
      <w:r w:rsidRPr="00DC1E28">
        <w:rPr>
          <w:rFonts w:ascii="ITC Avant Garde" w:hAnsi="ITC Avant Garde"/>
          <w:b/>
          <w:bCs/>
          <w:color w:val="000000"/>
          <w:sz w:val="22"/>
          <w:szCs w:val="22"/>
          <w:lang w:eastAsia="es-MX"/>
        </w:rPr>
        <w:t>Estatuto Orgánico</w:t>
      </w:r>
      <w:r w:rsidRPr="00DC1E28">
        <w:rPr>
          <w:rFonts w:ascii="ITC Avant Garde" w:hAnsi="ITC Avant Garde"/>
          <w:bCs/>
          <w:color w:val="000000"/>
          <w:sz w:val="22"/>
          <w:szCs w:val="22"/>
          <w:lang w:eastAsia="es-MX"/>
        </w:rPr>
        <w:t xml:space="preserve">. </w:t>
      </w:r>
      <w:r w:rsidRPr="00DC1E28">
        <w:rPr>
          <w:rFonts w:ascii="ITC Avant Garde" w:hAnsi="ITC Avant Garde" w:cs="Arial"/>
          <w:kern w:val="3"/>
          <w:sz w:val="22"/>
          <w:szCs w:val="22"/>
          <w:lang w:val="es-ES" w:eastAsia="ar-SA"/>
        </w:rPr>
        <w:t>El 4 de septiembre de 2014, se publicó en el DOF el “Estatuto Orgánico del Instituto Federal de Telecomunicaciones” (el “Estatuto Orgánico”), el cual entró en vigor el 26 de septiembre de 2014 y cuya última modificación fue publicada el 17 de octubre de 2016.</w:t>
      </w:r>
    </w:p>
    <w:p w:rsidR="004C6E61" w:rsidRPr="00DC1E28" w:rsidRDefault="00E86505" w:rsidP="00DC1E28">
      <w:pPr>
        <w:pStyle w:val="Prrafodelista"/>
        <w:numPr>
          <w:ilvl w:val="0"/>
          <w:numId w:val="1"/>
        </w:numPr>
        <w:spacing w:before="240" w:after="160" w:line="276" w:lineRule="auto"/>
        <w:jc w:val="both"/>
      </w:pPr>
      <w:r w:rsidRPr="00DC1E28">
        <w:rPr>
          <w:rFonts w:ascii="ITC Avant Garde" w:hAnsi="ITC Avant Garde"/>
          <w:b/>
          <w:color w:val="000000"/>
          <w:sz w:val="22"/>
          <w:szCs w:val="22"/>
          <w:lang w:eastAsia="es-MX"/>
        </w:rPr>
        <w:t>Transición de los permisos al régimen de concesión para uso público.</w:t>
      </w:r>
      <w:r w:rsidRPr="00DC1E28">
        <w:rPr>
          <w:rFonts w:ascii="ITC Avant Garde" w:hAnsi="ITC Avant Garde"/>
          <w:color w:val="000000"/>
          <w:sz w:val="22"/>
          <w:szCs w:val="22"/>
          <w:lang w:eastAsia="es-MX"/>
        </w:rPr>
        <w:t xml:space="preserve"> Con fecha 1° de julio de 2016, se aprobó la Resolución con número de acuerdo P/IFT/010716/364, mediante</w:t>
      </w:r>
      <w:r w:rsidRPr="00DC1E28">
        <w:rPr>
          <w:rFonts w:ascii="ITC Avant Garde" w:hAnsi="ITC Avant Garde"/>
          <w:bCs/>
          <w:color w:val="000000"/>
          <w:sz w:val="22"/>
          <w:szCs w:val="22"/>
          <w:lang w:eastAsia="es-MX"/>
        </w:rPr>
        <w:t xml:space="preserve"> la cual el Pleno del Instituto autorizó a la Universidad Autónoma Metropolitana (el “Concesionario”), el cambio de régimen a concesión de uso público en términos de lo establecido en la Ley Federal de Telecomunicaciones y Radiodifusión (la “Ley”) para las estaciones señaladas en el Antecedente I.</w:t>
      </w:r>
    </w:p>
    <w:tbl>
      <w:tblPr>
        <w:tblStyle w:val="Tablaconcuadrcula"/>
        <w:tblW w:w="6892" w:type="dxa"/>
        <w:jc w:val="center"/>
        <w:tblLook w:val="0000" w:firstRow="0" w:lastRow="0" w:firstColumn="0" w:lastColumn="0" w:noHBand="0" w:noVBand="0"/>
        <w:tblCaption w:val="Transición de permisos al régimen de concesión para uso público"/>
        <w:tblDescription w:val="En una tabla de 6 filas y 4 columnas, se proporcionan los distintivos de llamada con frecuencia y población de los cambios de las concesiones de la UAM al régimen de concesión para uso público. "/>
      </w:tblPr>
      <w:tblGrid>
        <w:gridCol w:w="657"/>
        <w:gridCol w:w="1736"/>
        <w:gridCol w:w="1108"/>
        <w:gridCol w:w="3391"/>
      </w:tblGrid>
      <w:tr w:rsidR="004C6E61" w:rsidRPr="00DC1E28" w:rsidTr="00DC1E28">
        <w:trPr>
          <w:trHeight w:val="838"/>
          <w:tblHeader/>
          <w:jc w:val="center"/>
        </w:trPr>
        <w:tc>
          <w:tcPr>
            <w:tcW w:w="657" w:type="dxa"/>
            <w:shd w:val="clear" w:color="auto" w:fill="A6A6A6" w:themeFill="background1" w:themeFillShade="A6"/>
            <w:vAlign w:val="center"/>
          </w:tcPr>
          <w:p w:rsidR="004C6E61" w:rsidRPr="00DC1E28" w:rsidRDefault="00E86505" w:rsidP="00DC1E28">
            <w:pPr>
              <w:pStyle w:val="Prrafodelista"/>
              <w:spacing w:line="276" w:lineRule="auto"/>
              <w:ind w:left="0"/>
              <w:jc w:val="center"/>
              <w:rPr>
                <w:rFonts w:ascii="ITC Avant Garde" w:hAnsi="ITC Avant Garde"/>
                <w:b/>
                <w:bCs/>
                <w:sz w:val="16"/>
                <w:szCs w:val="18"/>
                <w:lang w:eastAsia="es-MX"/>
              </w:rPr>
            </w:pPr>
            <w:bookmarkStart w:id="0" w:name="_GoBack"/>
            <w:r w:rsidRPr="00DC1E28">
              <w:rPr>
                <w:rFonts w:ascii="ITC Avant Garde" w:hAnsi="ITC Avant Garde"/>
                <w:b/>
                <w:bCs/>
                <w:sz w:val="16"/>
                <w:szCs w:val="18"/>
                <w:lang w:eastAsia="es-MX"/>
              </w:rPr>
              <w:lastRenderedPageBreak/>
              <w:t>No.</w:t>
            </w:r>
          </w:p>
        </w:tc>
        <w:tc>
          <w:tcPr>
            <w:tcW w:w="1736" w:type="dxa"/>
            <w:shd w:val="clear" w:color="auto" w:fill="A6A6A6" w:themeFill="background1" w:themeFillShade="A6"/>
            <w:vAlign w:val="center"/>
          </w:tcPr>
          <w:p w:rsidR="004C6E61" w:rsidRPr="00DC1E28" w:rsidRDefault="00E86505" w:rsidP="00DC1E28">
            <w:pPr>
              <w:pStyle w:val="Prrafodelista"/>
              <w:spacing w:line="276" w:lineRule="auto"/>
              <w:ind w:left="0"/>
              <w:jc w:val="center"/>
              <w:rPr>
                <w:rFonts w:ascii="ITC Avant Garde" w:hAnsi="ITC Avant Garde"/>
                <w:b/>
                <w:bCs/>
                <w:sz w:val="16"/>
                <w:szCs w:val="18"/>
                <w:lang w:eastAsia="es-MX"/>
              </w:rPr>
            </w:pPr>
            <w:r w:rsidRPr="00DC1E28">
              <w:rPr>
                <w:rFonts w:ascii="ITC Avant Garde" w:hAnsi="ITC Avant Garde"/>
                <w:b/>
                <w:bCs/>
                <w:sz w:val="16"/>
                <w:szCs w:val="18"/>
                <w:lang w:eastAsia="es-MX"/>
              </w:rPr>
              <w:t>Distintivo de llamada</w:t>
            </w:r>
          </w:p>
        </w:tc>
        <w:tc>
          <w:tcPr>
            <w:tcW w:w="1108" w:type="dxa"/>
            <w:shd w:val="clear" w:color="auto" w:fill="A6A6A6" w:themeFill="background1" w:themeFillShade="A6"/>
            <w:vAlign w:val="center"/>
          </w:tcPr>
          <w:p w:rsidR="004C6E61" w:rsidRPr="00DC1E28" w:rsidRDefault="00E86505" w:rsidP="00DC1E28">
            <w:pPr>
              <w:pStyle w:val="Prrafodelista"/>
              <w:spacing w:line="276" w:lineRule="auto"/>
              <w:ind w:left="0"/>
              <w:jc w:val="center"/>
              <w:rPr>
                <w:rFonts w:ascii="ITC Avant Garde" w:hAnsi="ITC Avant Garde"/>
                <w:b/>
                <w:bCs/>
                <w:sz w:val="16"/>
                <w:szCs w:val="18"/>
                <w:lang w:eastAsia="es-MX"/>
              </w:rPr>
            </w:pPr>
            <w:r w:rsidRPr="00DC1E28">
              <w:rPr>
                <w:rFonts w:ascii="ITC Avant Garde" w:hAnsi="ITC Avant Garde"/>
                <w:b/>
                <w:bCs/>
                <w:sz w:val="16"/>
                <w:szCs w:val="18"/>
                <w:lang w:eastAsia="es-MX"/>
              </w:rPr>
              <w:t>Frecuencia</w:t>
            </w:r>
          </w:p>
        </w:tc>
        <w:tc>
          <w:tcPr>
            <w:tcW w:w="3391" w:type="dxa"/>
            <w:shd w:val="clear" w:color="auto" w:fill="A6A6A6" w:themeFill="background1" w:themeFillShade="A6"/>
            <w:vAlign w:val="center"/>
          </w:tcPr>
          <w:p w:rsidR="004C6E61" w:rsidRPr="00DC1E28" w:rsidRDefault="00E86505" w:rsidP="00DC1E28">
            <w:pPr>
              <w:pStyle w:val="Prrafodelista"/>
              <w:spacing w:line="276" w:lineRule="auto"/>
              <w:ind w:left="0"/>
              <w:jc w:val="center"/>
              <w:rPr>
                <w:rFonts w:ascii="ITC Avant Garde" w:hAnsi="ITC Avant Garde"/>
                <w:b/>
                <w:bCs/>
                <w:sz w:val="16"/>
                <w:szCs w:val="18"/>
                <w:lang w:eastAsia="es-MX"/>
              </w:rPr>
            </w:pPr>
            <w:r w:rsidRPr="00DC1E28">
              <w:rPr>
                <w:rFonts w:ascii="ITC Avant Garde" w:hAnsi="ITC Avant Garde"/>
                <w:b/>
                <w:bCs/>
                <w:sz w:val="16"/>
                <w:szCs w:val="18"/>
                <w:lang w:eastAsia="es-MX"/>
              </w:rPr>
              <w:t>Población</w:t>
            </w:r>
          </w:p>
        </w:tc>
      </w:tr>
      <w:tr w:rsidR="004C6E61" w:rsidRPr="00DC1E28" w:rsidTr="00DC1E28">
        <w:trPr>
          <w:trHeight w:val="419"/>
          <w:jc w:val="center"/>
        </w:trPr>
        <w:tc>
          <w:tcPr>
            <w:tcW w:w="657" w:type="dxa"/>
            <w:vAlign w:val="center"/>
          </w:tcPr>
          <w:p w:rsidR="004C6E61" w:rsidRPr="00DC1E28" w:rsidRDefault="00E86505" w:rsidP="00DC1E28">
            <w:pPr>
              <w:pStyle w:val="Prrafodelista"/>
              <w:spacing w:line="276" w:lineRule="auto"/>
              <w:ind w:left="0"/>
              <w:jc w:val="center"/>
              <w:rPr>
                <w:rFonts w:ascii="ITC Avant Garde" w:hAnsi="ITC Avant Garde"/>
                <w:b/>
                <w:bCs/>
                <w:sz w:val="16"/>
                <w:szCs w:val="18"/>
                <w:lang w:eastAsia="es-MX"/>
              </w:rPr>
            </w:pPr>
            <w:r w:rsidRPr="00DC1E28">
              <w:rPr>
                <w:rFonts w:ascii="ITC Avant Garde" w:hAnsi="ITC Avant Garde"/>
                <w:b/>
                <w:bCs/>
                <w:sz w:val="16"/>
                <w:szCs w:val="18"/>
                <w:lang w:eastAsia="es-MX"/>
              </w:rPr>
              <w:t>1</w:t>
            </w:r>
          </w:p>
        </w:tc>
        <w:tc>
          <w:tcPr>
            <w:tcW w:w="1736" w:type="dxa"/>
            <w:vAlign w:val="center"/>
          </w:tcPr>
          <w:p w:rsidR="004C6E61" w:rsidRPr="00DC1E28" w:rsidRDefault="00E86505" w:rsidP="00DC1E28">
            <w:pPr>
              <w:pStyle w:val="Prrafodelista"/>
              <w:spacing w:line="276" w:lineRule="auto"/>
              <w:ind w:left="0"/>
              <w:jc w:val="center"/>
              <w:rPr>
                <w:rFonts w:ascii="ITC Avant Garde" w:hAnsi="ITC Avant Garde"/>
                <w:b/>
                <w:bCs/>
                <w:sz w:val="16"/>
                <w:szCs w:val="18"/>
                <w:lang w:eastAsia="es-MX"/>
              </w:rPr>
            </w:pPr>
            <w:r w:rsidRPr="00DC1E28">
              <w:rPr>
                <w:rFonts w:ascii="ITC Avant Garde" w:hAnsi="ITC Avant Garde"/>
                <w:b/>
                <w:bCs/>
                <w:sz w:val="16"/>
                <w:szCs w:val="18"/>
                <w:lang w:eastAsia="es-MX"/>
              </w:rPr>
              <w:t>XUAMC-FM</w:t>
            </w:r>
          </w:p>
        </w:tc>
        <w:tc>
          <w:tcPr>
            <w:tcW w:w="1108" w:type="dxa"/>
            <w:vAlign w:val="center"/>
          </w:tcPr>
          <w:p w:rsidR="004C6E61" w:rsidRPr="00DC1E28" w:rsidRDefault="00E86505" w:rsidP="00DC1E28">
            <w:pPr>
              <w:pStyle w:val="Prrafodelista"/>
              <w:spacing w:line="276" w:lineRule="auto"/>
              <w:ind w:left="0"/>
              <w:jc w:val="center"/>
              <w:rPr>
                <w:rFonts w:ascii="ITC Avant Garde" w:hAnsi="ITC Avant Garde"/>
                <w:b/>
                <w:bCs/>
                <w:sz w:val="16"/>
                <w:szCs w:val="18"/>
                <w:lang w:eastAsia="es-MX"/>
              </w:rPr>
            </w:pPr>
            <w:r w:rsidRPr="00DC1E28">
              <w:rPr>
                <w:rFonts w:ascii="ITC Avant Garde" w:hAnsi="ITC Avant Garde"/>
                <w:b/>
                <w:bCs/>
                <w:sz w:val="16"/>
                <w:szCs w:val="18"/>
                <w:lang w:eastAsia="es-MX"/>
              </w:rPr>
              <w:t>94.1</w:t>
            </w:r>
          </w:p>
        </w:tc>
        <w:tc>
          <w:tcPr>
            <w:tcW w:w="3391" w:type="dxa"/>
            <w:vAlign w:val="center"/>
          </w:tcPr>
          <w:p w:rsidR="004C6E61" w:rsidRPr="00DC1E28" w:rsidRDefault="00E86505" w:rsidP="00DC1E28">
            <w:pPr>
              <w:pStyle w:val="Prrafodelista"/>
              <w:spacing w:line="276" w:lineRule="auto"/>
              <w:ind w:left="0"/>
              <w:jc w:val="center"/>
              <w:rPr>
                <w:rFonts w:ascii="ITC Avant Garde" w:hAnsi="ITC Avant Garde"/>
                <w:bCs/>
                <w:sz w:val="16"/>
                <w:szCs w:val="18"/>
                <w:lang w:eastAsia="es-MX"/>
              </w:rPr>
            </w:pPr>
            <w:r w:rsidRPr="00DC1E28">
              <w:rPr>
                <w:rFonts w:ascii="ITC Avant Garde" w:hAnsi="ITC Avant Garde"/>
                <w:bCs/>
                <w:sz w:val="16"/>
                <w:szCs w:val="18"/>
                <w:lang w:eastAsia="es-MX"/>
              </w:rPr>
              <w:t>Unidad Cuajimalpa, Cd. de México</w:t>
            </w:r>
          </w:p>
        </w:tc>
      </w:tr>
      <w:tr w:rsidR="00DC1E28" w:rsidRPr="00DC1E28" w:rsidTr="00DC1E28">
        <w:trPr>
          <w:trHeight w:val="419"/>
          <w:jc w:val="center"/>
        </w:trPr>
        <w:tc>
          <w:tcPr>
            <w:tcW w:w="657" w:type="dxa"/>
            <w:vAlign w:val="center"/>
          </w:tcPr>
          <w:p w:rsidR="00DC1E28" w:rsidRPr="00DC1E28" w:rsidRDefault="00DC1E28" w:rsidP="00DC1E28">
            <w:pPr>
              <w:pStyle w:val="Prrafodelista"/>
              <w:spacing w:line="276" w:lineRule="auto"/>
              <w:ind w:left="0"/>
              <w:jc w:val="center"/>
              <w:rPr>
                <w:rFonts w:ascii="ITC Avant Garde" w:hAnsi="ITC Avant Garde"/>
                <w:b/>
                <w:bCs/>
                <w:sz w:val="16"/>
                <w:szCs w:val="18"/>
                <w:lang w:eastAsia="es-MX"/>
              </w:rPr>
            </w:pPr>
            <w:r w:rsidRPr="00DC1E28">
              <w:rPr>
                <w:rFonts w:ascii="ITC Avant Garde" w:hAnsi="ITC Avant Garde"/>
                <w:b/>
                <w:bCs/>
                <w:sz w:val="16"/>
                <w:szCs w:val="18"/>
                <w:lang w:eastAsia="es-MX"/>
              </w:rPr>
              <w:t>2</w:t>
            </w:r>
          </w:p>
        </w:tc>
        <w:tc>
          <w:tcPr>
            <w:tcW w:w="1736" w:type="dxa"/>
            <w:vAlign w:val="center"/>
          </w:tcPr>
          <w:p w:rsidR="00DC1E28" w:rsidRPr="00DC1E28" w:rsidRDefault="00DC1E28" w:rsidP="00DC1E28">
            <w:pPr>
              <w:pStyle w:val="Prrafodelista"/>
              <w:spacing w:line="276" w:lineRule="auto"/>
              <w:ind w:left="0"/>
              <w:jc w:val="center"/>
              <w:rPr>
                <w:rFonts w:ascii="ITC Avant Garde" w:hAnsi="ITC Avant Garde"/>
                <w:bCs/>
                <w:sz w:val="16"/>
                <w:szCs w:val="18"/>
                <w:lang w:eastAsia="es-MX"/>
              </w:rPr>
            </w:pPr>
            <w:r w:rsidRPr="00DC1E28">
              <w:rPr>
                <w:rFonts w:ascii="ITC Avant Garde" w:hAnsi="ITC Avant Garde"/>
                <w:bCs/>
                <w:sz w:val="16"/>
                <w:szCs w:val="18"/>
                <w:lang w:eastAsia="es-MX"/>
              </w:rPr>
              <w:t>XHUAMA- FM</w:t>
            </w:r>
          </w:p>
        </w:tc>
        <w:tc>
          <w:tcPr>
            <w:tcW w:w="1108" w:type="dxa"/>
            <w:vAlign w:val="center"/>
          </w:tcPr>
          <w:p w:rsidR="00DC1E28" w:rsidRPr="00DC1E28" w:rsidRDefault="00DC1E28" w:rsidP="00DC1E28">
            <w:pPr>
              <w:jc w:val="center"/>
            </w:pPr>
            <w:r w:rsidRPr="00DC1E28">
              <w:rPr>
                <w:rFonts w:ascii="ITC Avant Garde" w:hAnsi="ITC Avant Garde"/>
                <w:b/>
                <w:bCs/>
                <w:sz w:val="16"/>
                <w:szCs w:val="18"/>
                <w:lang w:eastAsia="es-MX"/>
              </w:rPr>
              <w:t>94.1</w:t>
            </w:r>
          </w:p>
        </w:tc>
        <w:tc>
          <w:tcPr>
            <w:tcW w:w="3391" w:type="dxa"/>
            <w:vAlign w:val="center"/>
          </w:tcPr>
          <w:p w:rsidR="00DC1E28" w:rsidRPr="00DC1E28" w:rsidRDefault="00DC1E28" w:rsidP="00DC1E28">
            <w:pPr>
              <w:pStyle w:val="Prrafodelista"/>
              <w:spacing w:line="276" w:lineRule="auto"/>
              <w:ind w:left="0"/>
              <w:jc w:val="center"/>
              <w:rPr>
                <w:rFonts w:ascii="ITC Avant Garde" w:hAnsi="ITC Avant Garde"/>
                <w:bCs/>
                <w:sz w:val="16"/>
                <w:szCs w:val="18"/>
                <w:lang w:eastAsia="es-MX"/>
              </w:rPr>
            </w:pPr>
            <w:r w:rsidRPr="00DC1E28">
              <w:rPr>
                <w:rFonts w:ascii="ITC Avant Garde" w:hAnsi="ITC Avant Garde"/>
                <w:bCs/>
                <w:sz w:val="16"/>
                <w:szCs w:val="18"/>
                <w:lang w:eastAsia="es-MX"/>
              </w:rPr>
              <w:t>Unidad Azcapotzalco, Cd. de México</w:t>
            </w:r>
          </w:p>
        </w:tc>
      </w:tr>
      <w:tr w:rsidR="00DC1E28" w:rsidRPr="00DC1E28" w:rsidTr="00DC1E28">
        <w:trPr>
          <w:trHeight w:val="419"/>
          <w:jc w:val="center"/>
        </w:trPr>
        <w:tc>
          <w:tcPr>
            <w:tcW w:w="657" w:type="dxa"/>
            <w:vAlign w:val="center"/>
          </w:tcPr>
          <w:p w:rsidR="00DC1E28" w:rsidRPr="00DC1E28" w:rsidRDefault="00DC1E28" w:rsidP="00DC1E28">
            <w:pPr>
              <w:pStyle w:val="Prrafodelista"/>
              <w:spacing w:line="276" w:lineRule="auto"/>
              <w:ind w:left="0"/>
              <w:jc w:val="center"/>
              <w:rPr>
                <w:rFonts w:ascii="ITC Avant Garde" w:hAnsi="ITC Avant Garde"/>
                <w:b/>
                <w:bCs/>
                <w:sz w:val="16"/>
                <w:szCs w:val="18"/>
                <w:lang w:eastAsia="es-MX"/>
              </w:rPr>
            </w:pPr>
            <w:r w:rsidRPr="00DC1E28">
              <w:rPr>
                <w:rFonts w:ascii="ITC Avant Garde" w:hAnsi="ITC Avant Garde"/>
                <w:b/>
                <w:bCs/>
                <w:sz w:val="16"/>
                <w:szCs w:val="18"/>
                <w:lang w:eastAsia="es-MX"/>
              </w:rPr>
              <w:t>3</w:t>
            </w:r>
          </w:p>
        </w:tc>
        <w:tc>
          <w:tcPr>
            <w:tcW w:w="1736" w:type="dxa"/>
            <w:vAlign w:val="center"/>
          </w:tcPr>
          <w:p w:rsidR="00DC1E28" w:rsidRPr="00DC1E28" w:rsidRDefault="00DC1E28" w:rsidP="00DC1E28">
            <w:pPr>
              <w:pStyle w:val="Prrafodelista"/>
              <w:spacing w:line="276" w:lineRule="auto"/>
              <w:ind w:left="0"/>
              <w:jc w:val="center"/>
              <w:rPr>
                <w:rFonts w:ascii="ITC Avant Garde" w:hAnsi="ITC Avant Garde"/>
                <w:bCs/>
                <w:sz w:val="16"/>
                <w:szCs w:val="18"/>
                <w:lang w:eastAsia="es-MX"/>
              </w:rPr>
            </w:pPr>
            <w:r w:rsidRPr="00DC1E28">
              <w:rPr>
                <w:rFonts w:ascii="ITC Avant Garde" w:hAnsi="ITC Avant Garde"/>
                <w:bCs/>
                <w:sz w:val="16"/>
                <w:szCs w:val="18"/>
                <w:lang w:eastAsia="es-MX"/>
              </w:rPr>
              <w:t>XHUAMI-FM</w:t>
            </w:r>
          </w:p>
        </w:tc>
        <w:tc>
          <w:tcPr>
            <w:tcW w:w="1108" w:type="dxa"/>
            <w:vAlign w:val="center"/>
          </w:tcPr>
          <w:p w:rsidR="00DC1E28" w:rsidRPr="00DC1E28" w:rsidRDefault="00DC1E28" w:rsidP="00DC1E28">
            <w:pPr>
              <w:jc w:val="center"/>
            </w:pPr>
            <w:r w:rsidRPr="00DC1E28">
              <w:rPr>
                <w:rFonts w:ascii="ITC Avant Garde" w:hAnsi="ITC Avant Garde"/>
                <w:b/>
                <w:bCs/>
                <w:sz w:val="16"/>
                <w:szCs w:val="18"/>
                <w:lang w:eastAsia="es-MX"/>
              </w:rPr>
              <w:t>94.1</w:t>
            </w:r>
          </w:p>
        </w:tc>
        <w:tc>
          <w:tcPr>
            <w:tcW w:w="3391" w:type="dxa"/>
            <w:vAlign w:val="center"/>
          </w:tcPr>
          <w:p w:rsidR="00DC1E28" w:rsidRPr="00DC1E28" w:rsidRDefault="00DC1E28" w:rsidP="00DC1E28">
            <w:pPr>
              <w:pStyle w:val="Prrafodelista"/>
              <w:spacing w:line="276" w:lineRule="auto"/>
              <w:ind w:left="0"/>
              <w:jc w:val="center"/>
              <w:rPr>
                <w:rFonts w:ascii="ITC Avant Garde" w:hAnsi="ITC Avant Garde"/>
                <w:bCs/>
                <w:sz w:val="16"/>
                <w:szCs w:val="18"/>
                <w:lang w:eastAsia="es-MX"/>
              </w:rPr>
            </w:pPr>
            <w:r w:rsidRPr="00DC1E28">
              <w:rPr>
                <w:rFonts w:ascii="ITC Avant Garde" w:hAnsi="ITC Avant Garde"/>
                <w:bCs/>
                <w:sz w:val="16"/>
                <w:szCs w:val="18"/>
                <w:lang w:eastAsia="es-MX"/>
              </w:rPr>
              <w:t>Unidad Iztapalapa, Cd. de México</w:t>
            </w:r>
          </w:p>
        </w:tc>
      </w:tr>
      <w:tr w:rsidR="00DC1E28" w:rsidRPr="00DC1E28" w:rsidTr="00DC1E28">
        <w:trPr>
          <w:trHeight w:val="391"/>
          <w:jc w:val="center"/>
        </w:trPr>
        <w:tc>
          <w:tcPr>
            <w:tcW w:w="657" w:type="dxa"/>
            <w:vAlign w:val="center"/>
          </w:tcPr>
          <w:p w:rsidR="00DC1E28" w:rsidRPr="00DC1E28" w:rsidRDefault="00DC1E28" w:rsidP="00DC1E28">
            <w:pPr>
              <w:pStyle w:val="Prrafodelista"/>
              <w:spacing w:line="276" w:lineRule="auto"/>
              <w:ind w:left="0"/>
              <w:jc w:val="center"/>
              <w:rPr>
                <w:rFonts w:ascii="ITC Avant Garde" w:hAnsi="ITC Avant Garde"/>
                <w:b/>
                <w:bCs/>
                <w:sz w:val="16"/>
                <w:szCs w:val="18"/>
                <w:lang w:eastAsia="es-MX"/>
              </w:rPr>
            </w:pPr>
            <w:r w:rsidRPr="00DC1E28">
              <w:rPr>
                <w:rFonts w:ascii="ITC Avant Garde" w:hAnsi="ITC Avant Garde"/>
                <w:b/>
                <w:bCs/>
                <w:sz w:val="16"/>
                <w:szCs w:val="18"/>
                <w:lang w:eastAsia="es-MX"/>
              </w:rPr>
              <w:t>4</w:t>
            </w:r>
          </w:p>
        </w:tc>
        <w:tc>
          <w:tcPr>
            <w:tcW w:w="1736" w:type="dxa"/>
            <w:vAlign w:val="center"/>
          </w:tcPr>
          <w:p w:rsidR="00DC1E28" w:rsidRPr="00DC1E28" w:rsidRDefault="00DC1E28" w:rsidP="00DC1E28">
            <w:pPr>
              <w:pStyle w:val="Prrafodelista"/>
              <w:spacing w:line="276" w:lineRule="auto"/>
              <w:ind w:left="0"/>
              <w:jc w:val="center"/>
              <w:rPr>
                <w:rFonts w:ascii="ITC Avant Garde" w:hAnsi="ITC Avant Garde"/>
                <w:bCs/>
                <w:sz w:val="16"/>
                <w:szCs w:val="18"/>
                <w:lang w:eastAsia="es-MX"/>
              </w:rPr>
            </w:pPr>
            <w:r w:rsidRPr="00DC1E28">
              <w:rPr>
                <w:rFonts w:ascii="ITC Avant Garde" w:hAnsi="ITC Avant Garde"/>
                <w:bCs/>
                <w:sz w:val="16"/>
                <w:szCs w:val="18"/>
                <w:lang w:eastAsia="es-MX"/>
              </w:rPr>
              <w:t>XHUAMR-FM</w:t>
            </w:r>
          </w:p>
        </w:tc>
        <w:tc>
          <w:tcPr>
            <w:tcW w:w="1108" w:type="dxa"/>
            <w:vAlign w:val="center"/>
          </w:tcPr>
          <w:p w:rsidR="00DC1E28" w:rsidRPr="00DC1E28" w:rsidRDefault="00DC1E28" w:rsidP="00DC1E28">
            <w:pPr>
              <w:jc w:val="center"/>
            </w:pPr>
            <w:r w:rsidRPr="00DC1E28">
              <w:rPr>
                <w:rFonts w:ascii="ITC Avant Garde" w:hAnsi="ITC Avant Garde"/>
                <w:b/>
                <w:bCs/>
                <w:sz w:val="16"/>
                <w:szCs w:val="18"/>
                <w:lang w:eastAsia="es-MX"/>
              </w:rPr>
              <w:t>94.1</w:t>
            </w:r>
          </w:p>
        </w:tc>
        <w:tc>
          <w:tcPr>
            <w:tcW w:w="3391" w:type="dxa"/>
            <w:vAlign w:val="center"/>
          </w:tcPr>
          <w:p w:rsidR="00DC1E28" w:rsidRPr="00DC1E28" w:rsidRDefault="00DC1E28" w:rsidP="00DC1E28">
            <w:pPr>
              <w:pStyle w:val="Prrafodelista"/>
              <w:spacing w:line="276" w:lineRule="auto"/>
              <w:ind w:left="0"/>
              <w:jc w:val="center"/>
              <w:rPr>
                <w:rFonts w:ascii="ITC Avant Garde" w:hAnsi="ITC Avant Garde"/>
                <w:bCs/>
                <w:sz w:val="16"/>
                <w:szCs w:val="18"/>
                <w:lang w:eastAsia="es-MX"/>
              </w:rPr>
            </w:pPr>
            <w:r w:rsidRPr="00DC1E28">
              <w:rPr>
                <w:rFonts w:ascii="ITC Avant Garde" w:hAnsi="ITC Avant Garde"/>
                <w:bCs/>
                <w:sz w:val="16"/>
                <w:szCs w:val="18"/>
                <w:lang w:eastAsia="es-MX"/>
              </w:rPr>
              <w:t>Edificio Rectoría General, Cd. de México</w:t>
            </w:r>
          </w:p>
        </w:tc>
      </w:tr>
      <w:tr w:rsidR="00DC1E28" w:rsidRPr="00DC1E28" w:rsidTr="00DC1E28">
        <w:trPr>
          <w:trHeight w:val="426"/>
          <w:jc w:val="center"/>
        </w:trPr>
        <w:tc>
          <w:tcPr>
            <w:tcW w:w="657" w:type="dxa"/>
            <w:vAlign w:val="center"/>
          </w:tcPr>
          <w:p w:rsidR="00DC1E28" w:rsidRPr="00DC1E28" w:rsidRDefault="00DC1E28" w:rsidP="00DC1E28">
            <w:pPr>
              <w:pStyle w:val="Prrafodelista"/>
              <w:spacing w:line="276" w:lineRule="auto"/>
              <w:ind w:left="0"/>
              <w:jc w:val="center"/>
              <w:rPr>
                <w:rFonts w:ascii="ITC Avant Garde" w:hAnsi="ITC Avant Garde"/>
                <w:b/>
                <w:bCs/>
                <w:sz w:val="16"/>
                <w:szCs w:val="18"/>
                <w:lang w:eastAsia="es-MX"/>
              </w:rPr>
            </w:pPr>
            <w:r w:rsidRPr="00DC1E28">
              <w:rPr>
                <w:rFonts w:ascii="ITC Avant Garde" w:hAnsi="ITC Avant Garde"/>
                <w:b/>
                <w:bCs/>
                <w:sz w:val="16"/>
                <w:szCs w:val="18"/>
                <w:lang w:eastAsia="es-MX"/>
              </w:rPr>
              <w:t>5</w:t>
            </w:r>
          </w:p>
        </w:tc>
        <w:tc>
          <w:tcPr>
            <w:tcW w:w="1736" w:type="dxa"/>
            <w:vAlign w:val="center"/>
          </w:tcPr>
          <w:p w:rsidR="00DC1E28" w:rsidRPr="00DC1E28" w:rsidRDefault="00DC1E28" w:rsidP="00DC1E28">
            <w:pPr>
              <w:pStyle w:val="Prrafodelista"/>
              <w:spacing w:line="276" w:lineRule="auto"/>
              <w:ind w:left="0"/>
              <w:jc w:val="center"/>
              <w:rPr>
                <w:rFonts w:ascii="ITC Avant Garde" w:hAnsi="ITC Avant Garde"/>
                <w:bCs/>
                <w:sz w:val="16"/>
                <w:szCs w:val="18"/>
                <w:lang w:eastAsia="es-MX"/>
              </w:rPr>
            </w:pPr>
            <w:r w:rsidRPr="00DC1E28">
              <w:rPr>
                <w:rFonts w:ascii="ITC Avant Garde" w:hAnsi="ITC Avant Garde"/>
                <w:bCs/>
                <w:sz w:val="16"/>
                <w:szCs w:val="18"/>
                <w:lang w:eastAsia="es-MX"/>
              </w:rPr>
              <w:t>XHUAMX-FM</w:t>
            </w:r>
          </w:p>
        </w:tc>
        <w:tc>
          <w:tcPr>
            <w:tcW w:w="1108" w:type="dxa"/>
            <w:vAlign w:val="center"/>
          </w:tcPr>
          <w:p w:rsidR="00DC1E28" w:rsidRPr="00DC1E28" w:rsidRDefault="00DC1E28" w:rsidP="00DC1E28">
            <w:pPr>
              <w:jc w:val="center"/>
            </w:pPr>
            <w:r w:rsidRPr="00DC1E28">
              <w:rPr>
                <w:rFonts w:ascii="ITC Avant Garde" w:hAnsi="ITC Avant Garde"/>
                <w:b/>
                <w:bCs/>
                <w:sz w:val="16"/>
                <w:szCs w:val="18"/>
                <w:lang w:eastAsia="es-MX"/>
              </w:rPr>
              <w:t>94.1</w:t>
            </w:r>
          </w:p>
        </w:tc>
        <w:tc>
          <w:tcPr>
            <w:tcW w:w="3391" w:type="dxa"/>
            <w:vAlign w:val="center"/>
          </w:tcPr>
          <w:p w:rsidR="00DC1E28" w:rsidRPr="00DC1E28" w:rsidRDefault="00DC1E28" w:rsidP="00DC1E28">
            <w:pPr>
              <w:pStyle w:val="Prrafodelista"/>
              <w:spacing w:line="276" w:lineRule="auto"/>
              <w:ind w:left="0"/>
              <w:jc w:val="center"/>
              <w:rPr>
                <w:rFonts w:ascii="ITC Avant Garde" w:hAnsi="ITC Avant Garde"/>
                <w:bCs/>
                <w:sz w:val="16"/>
                <w:szCs w:val="18"/>
                <w:lang w:eastAsia="es-MX"/>
              </w:rPr>
            </w:pPr>
            <w:r w:rsidRPr="00DC1E28">
              <w:rPr>
                <w:rFonts w:ascii="ITC Avant Garde" w:hAnsi="ITC Avant Garde"/>
                <w:bCs/>
                <w:sz w:val="16"/>
                <w:szCs w:val="18"/>
                <w:lang w:eastAsia="es-MX"/>
              </w:rPr>
              <w:t>Unidad Xochimilco, Cd. de México</w:t>
            </w:r>
          </w:p>
        </w:tc>
      </w:tr>
    </w:tbl>
    <w:bookmarkEnd w:id="0"/>
    <w:p w:rsidR="00DC1E28" w:rsidRPr="00DC1E28" w:rsidRDefault="00E86505" w:rsidP="00DC1E28">
      <w:pPr>
        <w:pStyle w:val="Prrafodelista"/>
        <w:numPr>
          <w:ilvl w:val="0"/>
          <w:numId w:val="1"/>
        </w:numPr>
        <w:spacing w:before="240" w:after="160" w:line="276" w:lineRule="auto"/>
        <w:jc w:val="both"/>
      </w:pPr>
      <w:r w:rsidRPr="00DC1E28">
        <w:rPr>
          <w:rFonts w:ascii="ITC Avant Garde" w:hAnsi="ITC Avant Garde"/>
          <w:b/>
          <w:bCs/>
          <w:color w:val="000000"/>
          <w:sz w:val="22"/>
          <w:szCs w:val="22"/>
          <w:lang w:eastAsia="es-MX"/>
        </w:rPr>
        <w:t xml:space="preserve">Solicitud de modificación técnica. </w:t>
      </w:r>
      <w:r w:rsidRPr="00DC1E28">
        <w:rPr>
          <w:rFonts w:ascii="ITC Avant Garde" w:hAnsi="ITC Avant Garde"/>
          <w:bCs/>
          <w:color w:val="000000"/>
          <w:sz w:val="22"/>
          <w:szCs w:val="22"/>
          <w:lang w:eastAsia="es-MX"/>
        </w:rPr>
        <w:t xml:space="preserve">Con escrito de fecha 17 de febrero de 2017 registrado con número de folio 11147, el Concesionario solicitó la modificación de la potencia radiada aparente, potencia de operación, así como el cambio en la direccionalidad de la antena y del distintivo de llamada, y precisó que de autorizarse las modificaciones técnicas solicitadas renunciaría a los títulos de concesión para operar las estaciones </w:t>
      </w:r>
      <w:r w:rsidRPr="00DC1E28">
        <w:rPr>
          <w:rFonts w:ascii="ITC Avant Garde" w:hAnsi="ITC Avant Garde"/>
          <w:bCs/>
          <w:sz w:val="22"/>
          <w:szCs w:val="22"/>
          <w:lang w:eastAsia="es-MX"/>
        </w:rPr>
        <w:t>XHUAMA-FM, XHUAMI-FM, XHUA</w:t>
      </w:r>
      <w:r w:rsidR="007D4412" w:rsidRPr="00DC1E28">
        <w:rPr>
          <w:rFonts w:ascii="ITC Avant Garde" w:hAnsi="ITC Avant Garde"/>
          <w:bCs/>
          <w:sz w:val="22"/>
          <w:szCs w:val="22"/>
          <w:lang w:eastAsia="es-MX"/>
        </w:rPr>
        <w:t>M</w:t>
      </w:r>
      <w:r w:rsidRPr="00DC1E28">
        <w:rPr>
          <w:rFonts w:ascii="ITC Avant Garde" w:hAnsi="ITC Avant Garde"/>
          <w:bCs/>
          <w:sz w:val="22"/>
          <w:szCs w:val="22"/>
          <w:lang w:eastAsia="es-MX"/>
        </w:rPr>
        <w:t>R-FM, XHUAMX-FM (la “Solicitud”).</w:t>
      </w:r>
    </w:p>
    <w:p w:rsidR="00DC1E28" w:rsidRPr="00DC1E28" w:rsidRDefault="00E86505" w:rsidP="00DC1E28">
      <w:pPr>
        <w:pStyle w:val="Prrafodelista"/>
        <w:spacing w:before="240" w:after="160" w:line="276" w:lineRule="auto"/>
        <w:ind w:left="720"/>
        <w:jc w:val="both"/>
        <w:rPr>
          <w:rFonts w:ascii="ITC Avant Garde" w:hAnsi="ITC Avant Garde"/>
          <w:bCs/>
          <w:color w:val="000000"/>
          <w:sz w:val="22"/>
          <w:szCs w:val="22"/>
          <w:lang w:eastAsia="es-MX"/>
        </w:rPr>
      </w:pPr>
      <w:r w:rsidRPr="00DC1E28">
        <w:rPr>
          <w:rFonts w:ascii="ITC Avant Garde" w:hAnsi="ITC Avant Garde"/>
          <w:bCs/>
          <w:color w:val="000000"/>
          <w:sz w:val="22"/>
          <w:szCs w:val="22"/>
          <w:lang w:eastAsia="es-MX"/>
        </w:rPr>
        <w:t>Con escrito de fecha 22 de febrero de 2017, registrado con número de folio 11812, el Concesionario presentó los pagos de derechos por las modificaciones técnicas solicitadas.</w:t>
      </w:r>
    </w:p>
    <w:p w:rsidR="00DC1E28" w:rsidRPr="00DC1E28" w:rsidRDefault="00E86505" w:rsidP="00DC1E28">
      <w:pPr>
        <w:pStyle w:val="Prrafodelista"/>
        <w:numPr>
          <w:ilvl w:val="0"/>
          <w:numId w:val="1"/>
        </w:numPr>
        <w:spacing w:before="240" w:after="160" w:line="276" w:lineRule="auto"/>
        <w:jc w:val="both"/>
      </w:pPr>
      <w:r w:rsidRPr="00DC1E28">
        <w:rPr>
          <w:rFonts w:ascii="ITC Avant Garde" w:hAnsi="ITC Avant Garde"/>
          <w:b/>
          <w:bCs/>
          <w:color w:val="000000"/>
          <w:sz w:val="22"/>
          <w:szCs w:val="22"/>
          <w:lang w:eastAsia="es-MX"/>
        </w:rPr>
        <w:t xml:space="preserve">Solicitud de opinión técnica a la Unidad de Espectro Radioeléctrico. </w:t>
      </w:r>
      <w:r w:rsidRPr="00DC1E28">
        <w:rPr>
          <w:rFonts w:ascii="ITC Avant Garde" w:hAnsi="ITC Avant Garde"/>
          <w:bCs/>
          <w:color w:val="000000"/>
          <w:sz w:val="22"/>
          <w:szCs w:val="22"/>
          <w:lang w:eastAsia="es-MX"/>
        </w:rPr>
        <w:t>Con oficio número IFT/223/UCS/DG-CRAD/530/2017 de fecha 15 de marzo de 2016, la Unidad de Concesiones y Servicios a través de la Dirección General de Concesiones de Radiodifusión en términos de lo señalado en el artículo 34 fracción XIV del Estatuto Orgánico solicitó a la Dirección General de Ingeniería del Espectro y Estudios Técnicos adscrita a la Unidad de Espectro Radioeléctrico (la “UER”) opinión técnica respecto a la Solicitud.</w:t>
      </w:r>
    </w:p>
    <w:p w:rsidR="00DC1E28" w:rsidRPr="00DC1E28" w:rsidRDefault="00E86505" w:rsidP="00DC1E28">
      <w:pPr>
        <w:pStyle w:val="Prrafodelista"/>
        <w:numPr>
          <w:ilvl w:val="0"/>
          <w:numId w:val="1"/>
        </w:numPr>
        <w:spacing w:before="240" w:after="160" w:line="276" w:lineRule="auto"/>
        <w:jc w:val="both"/>
      </w:pPr>
      <w:r w:rsidRPr="00DC1E28">
        <w:rPr>
          <w:rFonts w:ascii="ITC Avant Garde" w:hAnsi="ITC Avant Garde"/>
          <w:b/>
          <w:bCs/>
          <w:color w:val="000000"/>
          <w:sz w:val="22"/>
          <w:szCs w:val="22"/>
          <w:lang w:eastAsia="es-MX"/>
        </w:rPr>
        <w:t xml:space="preserve">Opinión técnica de la UER. </w:t>
      </w:r>
      <w:r w:rsidRPr="00DC1E28">
        <w:rPr>
          <w:rFonts w:ascii="ITC Avant Garde" w:hAnsi="ITC Avant Garde"/>
          <w:bCs/>
          <w:color w:val="000000"/>
          <w:sz w:val="22"/>
          <w:szCs w:val="22"/>
          <w:lang w:eastAsia="es-MX"/>
        </w:rPr>
        <w:t>Con oficio IFT/222/UER/DG-IEET/0703/2017 de fecha 25 de mayo de 2017, la Dirección General de Ingeniería del Espectro y Estudios Técnicos adscrita a la UER, emitió opinión técnica respecto de la Solicitud.</w:t>
      </w:r>
    </w:p>
    <w:p w:rsidR="004C6E61" w:rsidRPr="00DC1E28" w:rsidRDefault="00E86505" w:rsidP="00DC1E28">
      <w:pPr>
        <w:tabs>
          <w:tab w:val="left" w:pos="426"/>
        </w:tabs>
        <w:spacing w:before="240" w:line="276" w:lineRule="auto"/>
        <w:jc w:val="both"/>
        <w:rPr>
          <w:rFonts w:ascii="ITC Avant Garde" w:hAnsi="ITC Avant Garde"/>
          <w:bCs/>
          <w:lang w:val="es-ES"/>
        </w:rPr>
      </w:pPr>
      <w:r w:rsidRPr="00DC1E28">
        <w:rPr>
          <w:rFonts w:ascii="ITC Avant Garde" w:hAnsi="ITC Avant Garde"/>
          <w:bCs/>
          <w:lang w:val="es-ES"/>
        </w:rPr>
        <w:t>En virtud de lo anteriormente señalado y,</w:t>
      </w:r>
    </w:p>
    <w:p w:rsidR="00DC1E28" w:rsidRPr="00DC1E28" w:rsidRDefault="00E86505" w:rsidP="00DC1E28">
      <w:pPr>
        <w:pStyle w:val="Ttulo2"/>
        <w:spacing w:after="240"/>
        <w:jc w:val="center"/>
        <w:rPr>
          <w:rFonts w:ascii="ITC Avant Garde" w:hAnsi="ITC Avant Garde"/>
          <w:b/>
          <w:color w:val="000000" w:themeColor="text1"/>
          <w:sz w:val="22"/>
          <w:szCs w:val="22"/>
        </w:rPr>
      </w:pPr>
      <w:r w:rsidRPr="00DC1E28">
        <w:rPr>
          <w:rFonts w:ascii="ITC Avant Garde" w:hAnsi="ITC Avant Garde"/>
          <w:b/>
          <w:color w:val="000000" w:themeColor="text1"/>
          <w:sz w:val="22"/>
          <w:szCs w:val="22"/>
        </w:rPr>
        <w:t>CONSIDERANDO</w:t>
      </w:r>
    </w:p>
    <w:p w:rsidR="00DC1E28" w:rsidRPr="00DC1E28" w:rsidRDefault="00E86505" w:rsidP="00DC1E28">
      <w:pPr>
        <w:autoSpaceDE w:val="0"/>
        <w:spacing w:before="240" w:line="276" w:lineRule="auto"/>
        <w:jc w:val="both"/>
      </w:pPr>
      <w:r w:rsidRPr="00DC1E28">
        <w:rPr>
          <w:rFonts w:ascii="ITC Avant Garde" w:hAnsi="ITC Avant Garde"/>
          <w:b/>
          <w:bCs/>
          <w:kern w:val="3"/>
          <w:lang w:val="es-ES" w:eastAsia="ar-SA"/>
        </w:rPr>
        <w:t>PRIMERO. Competencia.</w:t>
      </w:r>
      <w:r w:rsidRPr="00DC1E28">
        <w:rPr>
          <w:rFonts w:ascii="ITC Avant Garde" w:hAnsi="ITC Avant Garde"/>
          <w:bCs/>
          <w:kern w:val="3"/>
          <w:lang w:val="es-ES" w:eastAsia="ar-SA"/>
        </w:rPr>
        <w:t xml:space="preserve"> </w:t>
      </w:r>
      <w:r w:rsidRPr="00DC1E28">
        <w:rPr>
          <w:rFonts w:ascii="ITC Avant Garde" w:hAnsi="ITC Avant Garde"/>
          <w:bCs/>
        </w:rPr>
        <w:t>Conforme lo dispone el artículo 28 párrafo décimo quinto y décimo sexto de la Constitución, e</w:t>
      </w:r>
      <w:r w:rsidRPr="00DC1E28">
        <w:rPr>
          <w:rFonts w:ascii="ITC Avant Garde" w:hAnsi="ITC Avant Garde"/>
          <w:bCs/>
          <w:lang w:val="es-ES"/>
        </w:rPr>
        <w:t xml:space="preserve">l Instituto es un órgano autónomo, con personalidad jurídica y patrimonio propio, que tiene por objeto el desarrollo eficiente de la </w:t>
      </w:r>
      <w:r w:rsidRPr="00DC1E28">
        <w:rPr>
          <w:rFonts w:ascii="ITC Avant Garde" w:hAnsi="ITC Avant Garde"/>
          <w:bCs/>
          <w:lang w:val="es-ES"/>
        </w:rPr>
        <w:lastRenderedPageBreak/>
        <w:t>radiodifusión y las telecomunicaciones, conforme a lo dispuesto en la Constitución y en los términos que fijen las leyes. Para tal efecto, tiene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propia Constitución.</w:t>
      </w:r>
    </w:p>
    <w:p w:rsidR="00DC1E28" w:rsidRPr="00DC1E28" w:rsidRDefault="00E86505" w:rsidP="00DC1E28">
      <w:pPr>
        <w:autoSpaceDE w:val="0"/>
        <w:spacing w:before="240" w:line="276" w:lineRule="auto"/>
        <w:jc w:val="both"/>
        <w:rPr>
          <w:rFonts w:ascii="ITC Avant Garde" w:hAnsi="ITC Avant Garde"/>
          <w:bCs/>
        </w:rPr>
      </w:pPr>
      <w:r w:rsidRPr="00DC1E28">
        <w:rPr>
          <w:rFonts w:ascii="ITC Avant Garde" w:hAnsi="ITC Avant Garde"/>
          <w:bCs/>
        </w:rPr>
        <w:t>Asimismo, el Instituto es la autoridad en materia de competencia económica de los sectores de radiodifusión y telecomunicaciones, por lo que entre otros aspectos, regulará de forma asimétrica a los participantes en estos mercados con el objeto de eliminar eficazmente las barreras a la competencia y la libre concurrencia; impondrá límites al concesionamiento y a la propiedad cruzada que controle varios medios de comunicación que sean concesionarios de radiodifusión y telecomunicaciones que sirvan a un mismo mercado o zona de cobertura geográfica, garantizando lo dispuesto en los artículos 6o. y 7o. de la Constitución.</w:t>
      </w:r>
    </w:p>
    <w:p w:rsidR="00DC1E28" w:rsidRPr="00DC1E28" w:rsidRDefault="00E86505" w:rsidP="00DC1E28">
      <w:pPr>
        <w:autoSpaceDE w:val="0"/>
        <w:spacing w:before="240" w:line="276" w:lineRule="auto"/>
        <w:jc w:val="both"/>
        <w:rPr>
          <w:rFonts w:ascii="ITC Avant Garde" w:hAnsi="ITC Avant Garde"/>
          <w:bCs/>
        </w:rPr>
      </w:pPr>
      <w:r w:rsidRPr="00DC1E28">
        <w:rPr>
          <w:rFonts w:ascii="ITC Avant Garde" w:hAnsi="ITC Avant Garde"/>
          <w:bCs/>
        </w:rPr>
        <w:t>Por su parte, el artículo 6 fracción I del Estatuto Orgánico, establece la atribución del Pleno del Instituto de regular, promover y supervisar el uso, aprovechamiento y explotación eficiente del espectro radioeléctrico, los recursos orbitales, los servicios satelitales, las redes de telecomunicaciones y la prestación de los servicios de radiodifusión y telecomunicaciones, así como el acceso a infraestructura activa, pasiva e insumos esenciales.</w:t>
      </w:r>
    </w:p>
    <w:p w:rsidR="00DC1E28" w:rsidRPr="00DC1E28" w:rsidRDefault="00E86505" w:rsidP="00DC1E28">
      <w:pPr>
        <w:autoSpaceDE w:val="0"/>
        <w:spacing w:before="240" w:line="276" w:lineRule="auto"/>
        <w:jc w:val="both"/>
      </w:pPr>
      <w:r w:rsidRPr="00DC1E28">
        <w:rPr>
          <w:rFonts w:ascii="ITC Avant Garde" w:hAnsi="ITC Avant Garde"/>
          <w:bCs/>
        </w:rPr>
        <w:t>En este sentido</w:t>
      </w:r>
      <w:r w:rsidRPr="00DC1E28">
        <w:rPr>
          <w:rFonts w:ascii="ITC Avant Garde" w:hAnsi="ITC Avant Garde" w:cs="Tahoma"/>
          <w:bCs/>
          <w:lang w:eastAsia="es-MX"/>
        </w:rPr>
        <w:t xml:space="preserve">, conforme al artículo 32 del Estatuto Orgánico, </w:t>
      </w:r>
      <w:r w:rsidRPr="00DC1E28">
        <w:rPr>
          <w:rFonts w:ascii="ITC Avant Garde" w:hAnsi="ITC Avant Garde"/>
          <w:bCs/>
        </w:rPr>
        <w:t xml:space="preserve">corresponden originariamente a </w:t>
      </w:r>
      <w:r w:rsidRPr="00DC1E28">
        <w:rPr>
          <w:rFonts w:ascii="ITC Avant Garde" w:hAnsi="ITC Avant Garde" w:cs="Tahoma"/>
          <w:bCs/>
          <w:lang w:eastAsia="es-MX"/>
        </w:rPr>
        <w:t xml:space="preserve">la Unidad de Concesiones y Servicios las atribuciones conferidas a la Dirección General de Concesiones de Radiodifusión, así también, corresponde a dicha Dirección General en términos del artículo 34, fracción XIV del ordenamiento jurídico en cita, </w:t>
      </w:r>
      <w:r w:rsidRPr="00DC1E28">
        <w:rPr>
          <w:rFonts w:ascii="ITC Avant Garde" w:hAnsi="ITC Avant Garde" w:cs="Tahoma"/>
          <w:bCs/>
          <w:lang w:val="es-ES_tradnl" w:eastAsia="es-MX"/>
        </w:rPr>
        <w:t>tramitar las solicitudes de cualquier modificación a las características técnicas de las estaciones radiodifusoras, previa opinión de la Unidad de Espectro Radioeléctrico.</w:t>
      </w:r>
    </w:p>
    <w:p w:rsidR="00DC1E28" w:rsidRPr="00DC1E28" w:rsidRDefault="00E86505" w:rsidP="00DC1E28">
      <w:pPr>
        <w:autoSpaceDE w:val="0"/>
        <w:spacing w:before="240"/>
        <w:jc w:val="both"/>
      </w:pPr>
      <w:r w:rsidRPr="00DC1E28">
        <w:rPr>
          <w:rFonts w:ascii="ITC Avant Garde" w:hAnsi="ITC Avant Garde"/>
          <w:b/>
          <w:kern w:val="3"/>
          <w:lang w:eastAsia="ar-SA"/>
        </w:rPr>
        <w:t xml:space="preserve">SEGUNDO. Marco legal aplicable. </w:t>
      </w:r>
      <w:r w:rsidRPr="00DC1E28">
        <w:rPr>
          <w:rFonts w:ascii="ITC Avant Garde" w:hAnsi="ITC Avant Garde"/>
          <w:bCs/>
        </w:rPr>
        <w:t xml:space="preserve">Considerando la fecha de presentación de la Solicitud, se deberá observar lo dispuesto en el artículo 155 de la Ley, en el cual se estable que las </w:t>
      </w:r>
      <w:r w:rsidRPr="00DC1E28">
        <w:rPr>
          <w:rFonts w:ascii="ITC Avant Garde" w:hAnsi="ITC Avant Garde"/>
          <w:bCs/>
          <w:lang w:val="es-ES_tradnl"/>
        </w:rPr>
        <w:t>estaciones radiodifusoras y sus equipos complementarios deberán operar con sujeción a los requisitos técnicos que determine el Instituto, así como lo señalado en los tratados internacionales, las normas oficiales mexicanas, normas técnicas, las normas de ingeniería generalmente aceptadas y las demás disposiciones aplicables. En ese sentido, la norma técnica aplicable es la “Disposición Técnica IFT-002-2016, Especificaciones y requerimientos para la instalación y operación de las estaciones de radiodifusión sonora en frecuencia modulada en la banda de 88 MHz a 108 MHz”, (la “Disposición IFT-002-2016”) publicada en el DOF el 5 de abril de 2016.</w:t>
      </w:r>
    </w:p>
    <w:p w:rsidR="00DC1E28" w:rsidRPr="00DC1E28" w:rsidRDefault="00E86505" w:rsidP="00DC1E28">
      <w:pPr>
        <w:autoSpaceDE w:val="0"/>
        <w:spacing w:before="240"/>
        <w:jc w:val="both"/>
      </w:pPr>
      <w:r w:rsidRPr="00DC1E28">
        <w:rPr>
          <w:rFonts w:ascii="ITC Avant Garde" w:hAnsi="ITC Avant Garde"/>
          <w:bCs/>
        </w:rPr>
        <w:lastRenderedPageBreak/>
        <w:t>Aunado a lo anterior, cabe destacar que para este tipo de solicitudes deben acatarse los requisitos de procedencia establecidos en el artículo 174-C fracciones VIII y IX de la Ley Federal de Derechos</w:t>
      </w:r>
      <w:r w:rsidRPr="00DC1E28">
        <w:rPr>
          <w:rFonts w:ascii="ITC Avant Garde" w:hAnsi="ITC Avant Garde"/>
          <w:color w:val="000000"/>
          <w:lang w:val="es-ES" w:eastAsia="es-ES"/>
        </w:rPr>
        <w:t xml:space="preserve"> vigente a la presentación de la Solicitud</w:t>
      </w:r>
      <w:r w:rsidRPr="00DC1E28">
        <w:rPr>
          <w:rFonts w:ascii="ITC Avant Garde" w:hAnsi="ITC Avant Garde"/>
          <w:bCs/>
        </w:rPr>
        <w:t>, el cual dispone la obligación de pagar los derechos por el trámite relativo al estudio de solicitud y documentación inherente a modificaciones de características técnicas, administrativas o legales, correspondientes, como en el caso que nos ocupa.</w:t>
      </w:r>
    </w:p>
    <w:p w:rsidR="00DC1E28" w:rsidRPr="00DC1E28" w:rsidRDefault="00E86505" w:rsidP="00DC1E28">
      <w:pPr>
        <w:autoSpaceDE w:val="0"/>
        <w:spacing w:before="240"/>
        <w:jc w:val="both"/>
      </w:pPr>
      <w:r w:rsidRPr="00DC1E28">
        <w:rPr>
          <w:rFonts w:ascii="ITC Avant Garde" w:hAnsi="ITC Avant Garde"/>
          <w:b/>
          <w:kern w:val="3"/>
          <w:lang w:val="es-ES" w:eastAsia="ar-SA"/>
        </w:rPr>
        <w:t>TERCERO</w:t>
      </w:r>
      <w:r w:rsidRPr="00DC1E28">
        <w:rPr>
          <w:rFonts w:ascii="ITC Avant Garde" w:hAnsi="ITC Avant Garde"/>
          <w:b/>
          <w:kern w:val="3"/>
          <w:lang w:eastAsia="ar-SA"/>
        </w:rPr>
        <w:t>. Administración del espectro.</w:t>
      </w:r>
      <w:r w:rsidRPr="00DC1E28">
        <w:rPr>
          <w:rFonts w:ascii="ITC Avant Garde" w:hAnsi="ITC Avant Garde"/>
          <w:bCs/>
        </w:rPr>
        <w:t xml:space="preserve"> El espectro radioeléctrico es un bien finito, pero reutilizable, por lo que, desde la iniciativa de la Ley, presentada por el Ejecutivo Federal ante la Cámara de Senadores y, que posteriormente fue aprobada por ambas cámaras, se consideró que la planificación del espectro radioeléctrico constituye una de las tareas más relevantes del Estado en materia de telecomunicaciones, toda vez que este recurso es el elemento primario e indispensable de las comunicaciones inalámbricas; circunstancia que lo convierte en un recurso extremadamente escaso y de gran valor.</w:t>
      </w:r>
    </w:p>
    <w:p w:rsidR="00DC1E28" w:rsidRPr="00DC1E28" w:rsidRDefault="00E86505" w:rsidP="00DC1E28">
      <w:pPr>
        <w:spacing w:before="240"/>
        <w:ind w:right="-144"/>
        <w:jc w:val="both"/>
        <w:rPr>
          <w:rFonts w:ascii="ITC Avant Garde" w:hAnsi="ITC Avant Garde"/>
          <w:bCs/>
        </w:rPr>
      </w:pPr>
      <w:r w:rsidRPr="00DC1E28">
        <w:rPr>
          <w:rFonts w:ascii="ITC Avant Garde" w:hAnsi="ITC Avant Garde"/>
          <w:bCs/>
        </w:rPr>
        <w:t>Además, se previó al espectro radioeléctrico como un bien de dominio público de la Nación y de naturaleza limitada, se debe aprovechar al máximo a través de una regulación eficiente e idónea, que permita el uso, aprovechamiento y explotación de dicho bien, en beneficio de la Nación.</w:t>
      </w:r>
    </w:p>
    <w:p w:rsidR="00DC1E28" w:rsidRPr="00DC1E28" w:rsidRDefault="00E86505" w:rsidP="00DC1E28">
      <w:pPr>
        <w:spacing w:before="240"/>
        <w:ind w:right="-144"/>
        <w:jc w:val="both"/>
        <w:rPr>
          <w:rFonts w:ascii="ITC Avant Garde" w:hAnsi="ITC Avant Garde"/>
          <w:bCs/>
        </w:rPr>
      </w:pPr>
      <w:r w:rsidRPr="00DC1E28">
        <w:rPr>
          <w:rFonts w:ascii="ITC Avant Garde" w:hAnsi="ITC Avant Garde"/>
          <w:bCs/>
        </w:rPr>
        <w:t>En ese sentido, el artículo 54 de la Ley dispone lo siguiente:</w:t>
      </w:r>
    </w:p>
    <w:p w:rsidR="00DC1E28" w:rsidRPr="00DC1E28" w:rsidRDefault="00E86505" w:rsidP="00DC1E28">
      <w:pPr>
        <w:spacing w:before="240" w:line="240" w:lineRule="auto"/>
        <w:ind w:left="567" w:right="902"/>
        <w:jc w:val="both"/>
        <w:rPr>
          <w:rFonts w:ascii="ITC Avant Garde" w:hAnsi="ITC Avant Garde"/>
          <w:bCs/>
          <w:sz w:val="20"/>
          <w:szCs w:val="20"/>
        </w:rPr>
      </w:pPr>
      <w:r w:rsidRPr="00DC1E28">
        <w:rPr>
          <w:rFonts w:ascii="ITC Avant Garde" w:hAnsi="ITC Avant Garde"/>
          <w:bCs/>
          <w:sz w:val="20"/>
          <w:szCs w:val="20"/>
        </w:rPr>
        <w:t>"Artículo 54. El espectro radioeléctrico y los recursos orbitales son bienes del dominio público de la Nación, cuya titularidad y administración corresponden al Estado.</w:t>
      </w:r>
    </w:p>
    <w:p w:rsidR="00DC1E28" w:rsidRPr="00DC1E28" w:rsidRDefault="00E86505" w:rsidP="00DC1E28">
      <w:pPr>
        <w:spacing w:before="240" w:line="240" w:lineRule="auto"/>
        <w:ind w:left="567" w:right="902"/>
        <w:jc w:val="both"/>
        <w:rPr>
          <w:rFonts w:ascii="ITC Avant Garde" w:hAnsi="ITC Avant Garde"/>
          <w:bCs/>
          <w:sz w:val="20"/>
          <w:szCs w:val="20"/>
        </w:rPr>
      </w:pPr>
      <w:r w:rsidRPr="00DC1E28">
        <w:rPr>
          <w:rFonts w:ascii="ITC Avant Garde" w:hAnsi="ITC Avant Garde"/>
          <w:bCs/>
          <w:sz w:val="20"/>
          <w:szCs w:val="20"/>
        </w:rPr>
        <w:t>Dicha administración se ejercerá por el Instituto en el ejercicio de sus funciones según lo dispuesto por la Constitución, en esta Ley, en los tratados y acuerdos internacionales firmados por México y, en lo aplicable, siguiendo las recomendaciones de la Unión Internacional de Telecomunicaciones y otros organismos internacionales.</w:t>
      </w:r>
    </w:p>
    <w:p w:rsidR="00DC1E28" w:rsidRPr="00DC1E28" w:rsidRDefault="00E86505" w:rsidP="00DC1E28">
      <w:pPr>
        <w:spacing w:before="240" w:line="240" w:lineRule="auto"/>
        <w:ind w:left="567" w:right="902"/>
        <w:jc w:val="both"/>
        <w:rPr>
          <w:rFonts w:ascii="ITC Avant Garde" w:hAnsi="ITC Avant Garde"/>
          <w:bCs/>
          <w:sz w:val="20"/>
          <w:szCs w:val="20"/>
        </w:rPr>
      </w:pPr>
      <w:r w:rsidRPr="00DC1E28">
        <w:rPr>
          <w:rFonts w:ascii="ITC Avant Garde" w:hAnsi="ITC Avant Garde"/>
          <w:bCs/>
          <w:sz w:val="20"/>
          <w:szCs w:val="20"/>
        </w:rPr>
        <w:t>La administración incluye la elaboración y aprobación de planes y programas de uso, el establecimiento de las condiciones para la atribución de una banda de frecuencias, el otorgamiento de las concesiones, la supervisión de las emisiones radioeléctricas y la aplicación del régimen de sanciones, sin menoscabo de las atribuciones que corresponden al Ejecutivo Federal.</w:t>
      </w:r>
    </w:p>
    <w:p w:rsidR="004C6E61" w:rsidRPr="00DC1E28" w:rsidRDefault="00E86505" w:rsidP="00DC1E28">
      <w:pPr>
        <w:spacing w:before="240" w:line="240" w:lineRule="auto"/>
        <w:ind w:left="567" w:right="902"/>
        <w:jc w:val="both"/>
        <w:rPr>
          <w:rFonts w:ascii="ITC Avant Garde" w:hAnsi="ITC Avant Garde"/>
          <w:bCs/>
          <w:sz w:val="20"/>
          <w:szCs w:val="20"/>
        </w:rPr>
      </w:pPr>
      <w:r w:rsidRPr="00DC1E28">
        <w:rPr>
          <w:rFonts w:ascii="ITC Avant Garde" w:hAnsi="ITC Avant Garde"/>
          <w:bCs/>
          <w:sz w:val="20"/>
          <w:szCs w:val="20"/>
        </w:rPr>
        <w:t>Al administrar el espectro, el Instituto perseguirá los siguientes objetivos generales en beneficio de los usuarios:</w:t>
      </w:r>
    </w:p>
    <w:p w:rsidR="00DC1E28" w:rsidRPr="00DC1E28" w:rsidRDefault="00E86505" w:rsidP="00DC1E28">
      <w:pPr>
        <w:spacing w:before="240" w:line="240" w:lineRule="auto"/>
        <w:ind w:left="567" w:right="902"/>
        <w:jc w:val="both"/>
        <w:rPr>
          <w:rFonts w:ascii="ITC Avant Garde" w:hAnsi="ITC Avant Garde"/>
          <w:bCs/>
          <w:sz w:val="20"/>
          <w:szCs w:val="20"/>
        </w:rPr>
      </w:pPr>
      <w:r w:rsidRPr="00DC1E28">
        <w:rPr>
          <w:rFonts w:ascii="ITC Avant Garde" w:hAnsi="ITC Avant Garde"/>
          <w:bCs/>
          <w:sz w:val="20"/>
          <w:szCs w:val="20"/>
        </w:rPr>
        <w:t>I. La seguridad de la vida;</w:t>
      </w:r>
    </w:p>
    <w:p w:rsidR="00DC1E28" w:rsidRPr="00DC1E28" w:rsidRDefault="00E86505" w:rsidP="00DC1E28">
      <w:pPr>
        <w:spacing w:before="240" w:line="240" w:lineRule="auto"/>
        <w:ind w:left="567" w:right="902"/>
        <w:jc w:val="both"/>
        <w:rPr>
          <w:rFonts w:ascii="ITC Avant Garde" w:hAnsi="ITC Avant Garde"/>
          <w:bCs/>
          <w:sz w:val="20"/>
          <w:szCs w:val="20"/>
        </w:rPr>
      </w:pPr>
      <w:r w:rsidRPr="00DC1E28">
        <w:rPr>
          <w:rFonts w:ascii="ITC Avant Garde" w:hAnsi="ITC Avant Garde"/>
          <w:bCs/>
          <w:sz w:val="20"/>
          <w:szCs w:val="20"/>
        </w:rPr>
        <w:t>II. La promoción de la cohesión social, regional o territorial;</w:t>
      </w:r>
    </w:p>
    <w:p w:rsidR="00DC1E28" w:rsidRPr="00DC1E28" w:rsidRDefault="00E86505" w:rsidP="00DC1E28">
      <w:pPr>
        <w:spacing w:before="240" w:line="240" w:lineRule="auto"/>
        <w:ind w:left="567" w:right="902"/>
        <w:jc w:val="both"/>
        <w:rPr>
          <w:rFonts w:ascii="ITC Avant Garde" w:hAnsi="ITC Avant Garde"/>
          <w:bCs/>
          <w:sz w:val="20"/>
          <w:szCs w:val="20"/>
        </w:rPr>
      </w:pPr>
      <w:r w:rsidRPr="00DC1E28">
        <w:rPr>
          <w:rFonts w:ascii="ITC Avant Garde" w:hAnsi="ITC Avant Garde"/>
          <w:bCs/>
          <w:sz w:val="20"/>
          <w:szCs w:val="20"/>
        </w:rPr>
        <w:t>III. La competencia efectiva en los mercados convergentes de los sectores de telecomunicaciones y radiodifusión;</w:t>
      </w:r>
    </w:p>
    <w:p w:rsidR="00DC1E28" w:rsidRPr="00DC1E28" w:rsidRDefault="00E86505" w:rsidP="00DC1E28">
      <w:pPr>
        <w:spacing w:before="240" w:line="240" w:lineRule="auto"/>
        <w:ind w:left="567" w:right="902"/>
        <w:jc w:val="both"/>
        <w:rPr>
          <w:rFonts w:ascii="ITC Avant Garde" w:hAnsi="ITC Avant Garde"/>
          <w:bCs/>
          <w:sz w:val="20"/>
          <w:szCs w:val="20"/>
        </w:rPr>
      </w:pPr>
      <w:r w:rsidRPr="00DC1E28">
        <w:rPr>
          <w:rFonts w:ascii="ITC Avant Garde" w:hAnsi="ITC Avant Garde"/>
          <w:bCs/>
          <w:sz w:val="20"/>
          <w:szCs w:val="20"/>
        </w:rPr>
        <w:lastRenderedPageBreak/>
        <w:t>IV. El uso eficaz del espectro y su protección;</w:t>
      </w:r>
    </w:p>
    <w:p w:rsidR="00DC1E28" w:rsidRPr="00DC1E28" w:rsidRDefault="00E86505" w:rsidP="00DC1E28">
      <w:pPr>
        <w:spacing w:before="240" w:line="240" w:lineRule="auto"/>
        <w:ind w:left="567" w:right="902"/>
        <w:jc w:val="both"/>
        <w:rPr>
          <w:rFonts w:ascii="ITC Avant Garde" w:hAnsi="ITC Avant Garde"/>
          <w:bCs/>
          <w:sz w:val="20"/>
          <w:szCs w:val="20"/>
        </w:rPr>
      </w:pPr>
      <w:r w:rsidRPr="00DC1E28">
        <w:rPr>
          <w:rFonts w:ascii="ITC Avant Garde" w:hAnsi="ITC Avant Garde"/>
          <w:bCs/>
          <w:sz w:val="20"/>
          <w:szCs w:val="20"/>
        </w:rPr>
        <w:t>V. La garantía del espectro necesario para los fines y funciones del Ejecutivo Federal;</w:t>
      </w:r>
    </w:p>
    <w:p w:rsidR="00DC1E28" w:rsidRPr="00DC1E28" w:rsidRDefault="00E86505" w:rsidP="00DC1E28">
      <w:pPr>
        <w:spacing w:before="240" w:line="240" w:lineRule="auto"/>
        <w:ind w:left="567" w:right="902"/>
        <w:jc w:val="both"/>
        <w:rPr>
          <w:rFonts w:ascii="ITC Avant Garde" w:hAnsi="ITC Avant Garde"/>
          <w:bCs/>
          <w:sz w:val="20"/>
          <w:szCs w:val="20"/>
        </w:rPr>
      </w:pPr>
      <w:r w:rsidRPr="00DC1E28">
        <w:rPr>
          <w:rFonts w:ascii="ITC Avant Garde" w:hAnsi="ITC Avant Garde"/>
          <w:bCs/>
          <w:sz w:val="20"/>
          <w:szCs w:val="20"/>
        </w:rPr>
        <w:t>VI. La inversión eficiente en infraestructuras, la innovación y el desarrollo de la industria de productos y servicios convergentes;</w:t>
      </w:r>
    </w:p>
    <w:p w:rsidR="00DC1E28" w:rsidRPr="00DC1E28" w:rsidRDefault="00E86505" w:rsidP="00DC1E28">
      <w:pPr>
        <w:spacing w:before="240" w:line="240" w:lineRule="auto"/>
        <w:ind w:left="567" w:right="902"/>
        <w:jc w:val="both"/>
        <w:rPr>
          <w:rFonts w:ascii="ITC Avant Garde" w:hAnsi="ITC Avant Garde"/>
          <w:bCs/>
          <w:sz w:val="20"/>
          <w:szCs w:val="20"/>
        </w:rPr>
      </w:pPr>
      <w:r w:rsidRPr="00DC1E28">
        <w:rPr>
          <w:rFonts w:ascii="ITC Avant Garde" w:hAnsi="ITC Avant Garde"/>
          <w:bCs/>
          <w:sz w:val="20"/>
          <w:szCs w:val="20"/>
        </w:rPr>
        <w:t>VII. El fomento de la neutralidad tecnológica, y</w:t>
      </w:r>
    </w:p>
    <w:p w:rsidR="00DC1E28" w:rsidRPr="00DC1E28" w:rsidRDefault="00E86505" w:rsidP="00DC1E28">
      <w:pPr>
        <w:spacing w:before="240" w:line="240" w:lineRule="auto"/>
        <w:ind w:left="567" w:right="902"/>
        <w:jc w:val="both"/>
        <w:rPr>
          <w:rFonts w:ascii="ITC Avant Garde" w:hAnsi="ITC Avant Garde"/>
          <w:bCs/>
          <w:sz w:val="20"/>
          <w:szCs w:val="20"/>
        </w:rPr>
      </w:pPr>
      <w:r w:rsidRPr="00DC1E28">
        <w:rPr>
          <w:rFonts w:ascii="ITC Avant Garde" w:hAnsi="ITC Avant Garde"/>
          <w:bCs/>
          <w:sz w:val="20"/>
          <w:szCs w:val="20"/>
        </w:rPr>
        <w:t>VIII. El cumplimiento de lo dispuesto por los artículos 2o., 6o., 7o. y 28 de la Constitución.</w:t>
      </w:r>
    </w:p>
    <w:p w:rsidR="00DC1E28" w:rsidRPr="00DC1E28" w:rsidRDefault="00E86505" w:rsidP="00DC1E28">
      <w:pPr>
        <w:spacing w:before="240" w:line="240" w:lineRule="auto"/>
        <w:ind w:left="567" w:right="902"/>
        <w:jc w:val="both"/>
        <w:rPr>
          <w:rFonts w:ascii="ITC Avant Garde" w:hAnsi="ITC Avant Garde"/>
          <w:bCs/>
          <w:sz w:val="20"/>
          <w:szCs w:val="20"/>
        </w:rPr>
      </w:pPr>
      <w:r w:rsidRPr="00DC1E28">
        <w:rPr>
          <w:rFonts w:ascii="ITC Avant Garde" w:hAnsi="ITC Avant Garde"/>
          <w:bCs/>
          <w:sz w:val="20"/>
          <w:szCs w:val="20"/>
        </w:rPr>
        <w:t>Para la atribución de una banda de frecuencias y la concesión del espectro y recursos orbitales, el Instituto se basará en criterios objetivos, transparentes, no discriminatorios y proporcionales."</w:t>
      </w:r>
    </w:p>
    <w:p w:rsidR="00DC1E28" w:rsidRPr="00DC1E28" w:rsidRDefault="00E86505" w:rsidP="00DC1E28">
      <w:pPr>
        <w:autoSpaceDE w:val="0"/>
        <w:spacing w:before="240"/>
        <w:jc w:val="both"/>
        <w:rPr>
          <w:rFonts w:ascii="ITC Avant Garde" w:hAnsi="ITC Avant Garde"/>
          <w:bCs/>
          <w:lang w:val="es-ES_tradnl"/>
        </w:rPr>
      </w:pPr>
      <w:r w:rsidRPr="00DC1E28">
        <w:rPr>
          <w:rFonts w:ascii="ITC Avant Garde" w:hAnsi="ITC Avant Garde"/>
          <w:bCs/>
          <w:lang w:val="es-ES_tradnl"/>
        </w:rPr>
        <w:t>De lo anterior, se advierte con claridad, en cuanto a la administración del espectro radioeléctrico, lo siguiente:</w:t>
      </w:r>
    </w:p>
    <w:p w:rsidR="00DC1E28" w:rsidRPr="00DC1E28" w:rsidRDefault="00E86505" w:rsidP="00DC1E28">
      <w:pPr>
        <w:pStyle w:val="Prrafodelista"/>
        <w:numPr>
          <w:ilvl w:val="0"/>
          <w:numId w:val="2"/>
        </w:numPr>
        <w:autoSpaceDE w:val="0"/>
        <w:spacing w:before="240" w:after="160"/>
        <w:jc w:val="both"/>
        <w:rPr>
          <w:rFonts w:ascii="ITC Avant Garde" w:eastAsia="Calibri" w:hAnsi="ITC Avant Garde"/>
          <w:bCs/>
          <w:sz w:val="22"/>
          <w:szCs w:val="22"/>
          <w:lang w:val="es-ES_tradnl"/>
        </w:rPr>
      </w:pPr>
      <w:r w:rsidRPr="00DC1E28">
        <w:rPr>
          <w:rFonts w:ascii="ITC Avant Garde" w:eastAsia="Calibri" w:hAnsi="ITC Avant Garde"/>
          <w:bCs/>
          <w:sz w:val="22"/>
          <w:szCs w:val="22"/>
          <w:lang w:val="es-ES_tradnl"/>
        </w:rPr>
        <w:t>La administración del espectro radioeléctrico como bien de dominio público de la Nación se ejercerá por el Instituto, según lo dispuesto por la Constitución, la Ley, los tratados y acuerdos internacionales firmados por México y, en lo aplicable; siguiendo las recomendaciones de la Unión Internacional de Telecomunicaciones (UIT) y otros organismos internacionales.</w:t>
      </w:r>
    </w:p>
    <w:p w:rsidR="00DC1E28" w:rsidRPr="00DC1E28" w:rsidRDefault="00E86505" w:rsidP="00DC1E28">
      <w:pPr>
        <w:pStyle w:val="Prrafodelista"/>
        <w:numPr>
          <w:ilvl w:val="0"/>
          <w:numId w:val="2"/>
        </w:numPr>
        <w:autoSpaceDE w:val="0"/>
        <w:spacing w:before="240" w:after="160"/>
        <w:jc w:val="both"/>
        <w:rPr>
          <w:rFonts w:ascii="ITC Avant Garde" w:eastAsia="Calibri" w:hAnsi="ITC Avant Garde"/>
          <w:bCs/>
          <w:sz w:val="22"/>
          <w:szCs w:val="22"/>
          <w:lang w:val="es-ES_tradnl"/>
        </w:rPr>
      </w:pPr>
      <w:r w:rsidRPr="00DC1E28">
        <w:rPr>
          <w:rFonts w:ascii="ITC Avant Garde" w:eastAsia="Calibri" w:hAnsi="ITC Avant Garde"/>
          <w:bCs/>
          <w:sz w:val="22"/>
          <w:szCs w:val="22"/>
          <w:lang w:val="es-ES_tradnl"/>
        </w:rPr>
        <w:t>La administración del espectro radioeléctrico comprende la elaboración y aprobación de planes y programas de su uso, el establecimiento de las condiciones para la atribución de una banda de frecuencias, el otorgamiento de las concesiones, la supervisión de las emisiones radioeléctricas y la aplicación del régimen de sanciones, sin menoscabo de las atribuciones que corresponden al Ejecutivo Federal.</w:t>
      </w:r>
    </w:p>
    <w:p w:rsidR="004C6E61" w:rsidRPr="00DC1E28" w:rsidRDefault="00E86505" w:rsidP="00DC1E28">
      <w:pPr>
        <w:autoSpaceDE w:val="0"/>
        <w:spacing w:before="240"/>
        <w:jc w:val="both"/>
        <w:rPr>
          <w:rFonts w:ascii="ITC Avant Garde" w:hAnsi="ITC Avant Garde"/>
          <w:kern w:val="3"/>
          <w:lang w:eastAsia="ar-SA"/>
        </w:rPr>
      </w:pPr>
      <w:r w:rsidRPr="00DC1E28">
        <w:rPr>
          <w:rFonts w:ascii="ITC Avant Garde" w:hAnsi="ITC Avant Garde"/>
          <w:kern w:val="3"/>
          <w:lang w:eastAsia="ar-SA"/>
        </w:rPr>
        <w:t xml:space="preserve">Ahora bien, conforme a lo establecido en la Ley, la administración del espectro radioeléctrico se ejercerá por el Instituto según lo dispuesto por la Constitución, en los tratados y acuerdos internacionales y, en lo aplicable, siguiendo las recomendaciones de la Unión Internacional de Telecomunicaciones (UIT) y otros organismos internacionales. Dicha administración incluye la elaboración y aprobación de planes y programas de uso, el establecimiento de las condiciones para el aprovechamiento de una banda de frecuencias. </w:t>
      </w:r>
    </w:p>
    <w:p w:rsidR="00DC1E28" w:rsidRPr="00DC1E28" w:rsidRDefault="00E86505" w:rsidP="00DC1E28">
      <w:pPr>
        <w:tabs>
          <w:tab w:val="left" w:pos="284"/>
        </w:tabs>
        <w:spacing w:before="240"/>
        <w:jc w:val="both"/>
        <w:rPr>
          <w:rFonts w:ascii="ITC Avant Garde" w:hAnsi="ITC Avant Garde"/>
          <w:kern w:val="3"/>
          <w:lang w:eastAsia="ar-SA"/>
        </w:rPr>
      </w:pPr>
      <w:r w:rsidRPr="00DC1E28">
        <w:rPr>
          <w:rFonts w:ascii="ITC Avant Garde" w:hAnsi="ITC Avant Garde"/>
          <w:kern w:val="3"/>
          <w:lang w:eastAsia="ar-SA"/>
        </w:rPr>
        <w:t>Para la adecuada planeación, administración y control del espectro radioeléctrico y para su uso y aprovechamiento eficiente el Instituto deberá considerar la evolución tecnológica en materia de telecomunicaciones y radiodifusión, particularmente la de radiocomunicación y la reglamentación en la materia de radiocomunicaciones por parte de la UIT.</w:t>
      </w:r>
    </w:p>
    <w:p w:rsidR="004C6E61" w:rsidRPr="00DC1E28" w:rsidRDefault="00E86505" w:rsidP="00DC1E28">
      <w:pPr>
        <w:tabs>
          <w:tab w:val="left" w:pos="284"/>
        </w:tabs>
        <w:spacing w:before="240"/>
        <w:jc w:val="both"/>
      </w:pPr>
      <w:r w:rsidRPr="00DC1E28">
        <w:rPr>
          <w:rFonts w:ascii="ITC Avant Garde" w:hAnsi="ITC Avant Garde"/>
          <w:b/>
          <w:kern w:val="3"/>
          <w:lang w:eastAsia="ar-SA"/>
        </w:rPr>
        <w:lastRenderedPageBreak/>
        <w:t xml:space="preserve">CUARTO. </w:t>
      </w:r>
      <w:r w:rsidRPr="00DC1E28">
        <w:rPr>
          <w:rFonts w:ascii="ITC Avant Garde" w:hAnsi="ITC Avant Garde"/>
          <w:b/>
          <w:bCs/>
        </w:rPr>
        <w:t>Concesiones de bandas de frecuencias del espectro radioeléctrico para uso público</w:t>
      </w:r>
      <w:r w:rsidRPr="00DC1E28">
        <w:rPr>
          <w:rFonts w:ascii="ITC Avant Garde" w:hAnsi="ITC Avant Garde"/>
          <w:bCs/>
        </w:rPr>
        <w:t xml:space="preserve">. El artículo 76 de la Ley establece los tipos de concesiones de sobre el espectro radioeléctrico de acuerdo con sus fines, que confieren el derecho de usar, aprovechar y explotar bandas de frecuencias del espectro radioeléctrico. Asimismo, este numeral dispone que las concesiones sobre espectro radioeléctrico podrán ser de uso comercial, </w:t>
      </w:r>
      <w:r w:rsidRPr="00DC1E28">
        <w:rPr>
          <w:rFonts w:ascii="ITC Avant Garde" w:hAnsi="ITC Avant Garde"/>
          <w:bCs/>
          <w:u w:val="single"/>
        </w:rPr>
        <w:t>público</w:t>
      </w:r>
      <w:r w:rsidRPr="00DC1E28">
        <w:rPr>
          <w:rFonts w:ascii="ITC Avant Garde" w:hAnsi="ITC Avant Garde"/>
          <w:bCs/>
        </w:rPr>
        <w:t xml:space="preserve">, privado o social. </w:t>
      </w:r>
    </w:p>
    <w:p w:rsidR="00DC1E28" w:rsidRPr="00DC1E28" w:rsidRDefault="00E86505" w:rsidP="00DC1E28">
      <w:pPr>
        <w:spacing w:before="240"/>
        <w:jc w:val="both"/>
      </w:pPr>
      <w:r w:rsidRPr="00DC1E28">
        <w:rPr>
          <w:rFonts w:ascii="ITC Avant Garde" w:hAnsi="ITC Avant Garde"/>
          <w:bCs/>
        </w:rPr>
        <w:t xml:space="preserve">Por lo que hace al uso </w:t>
      </w:r>
      <w:r w:rsidRPr="00DC1E28">
        <w:rPr>
          <w:rFonts w:ascii="ITC Avant Garde" w:hAnsi="ITC Avant Garde"/>
          <w:bCs/>
          <w:u w:val="single"/>
        </w:rPr>
        <w:t>público</w:t>
      </w:r>
      <w:r w:rsidRPr="00DC1E28">
        <w:rPr>
          <w:rFonts w:ascii="ITC Avant Garde" w:hAnsi="ITC Avant Garde"/>
          <w:bCs/>
        </w:rPr>
        <w:t xml:space="preserve">, la fracción II del propio artículo 76 de la Ley dispone que éstas únicamente se otorgan a los Poderes de la Unión, de los Estados, los órganos de Gobierno del Distrito Federal, los Municipios, los órganos constitucionales autónomos y las instituciones de educación superior de carácter público sin que pueda usarse, aprovecharse o explotarse el espectro radioeléctrico con fines de lucro, como se lee a continuación: </w:t>
      </w:r>
    </w:p>
    <w:p w:rsidR="00DC1E28" w:rsidRPr="00DC1E28" w:rsidRDefault="00E86505" w:rsidP="00DC1E28">
      <w:pPr>
        <w:autoSpaceDE w:val="0"/>
        <w:spacing w:before="240" w:line="240" w:lineRule="auto"/>
        <w:ind w:left="567" w:right="902"/>
        <w:jc w:val="both"/>
        <w:rPr>
          <w:rFonts w:ascii="ITC Avant Garde" w:hAnsi="ITC Avant Garde"/>
          <w:bCs/>
          <w:sz w:val="20"/>
          <w:szCs w:val="20"/>
        </w:rPr>
      </w:pPr>
      <w:r w:rsidRPr="00DC1E28">
        <w:rPr>
          <w:rFonts w:ascii="ITC Avant Garde" w:hAnsi="ITC Avant Garde"/>
          <w:bCs/>
          <w:sz w:val="20"/>
          <w:szCs w:val="20"/>
        </w:rPr>
        <w:t xml:space="preserve">“Artículo 76. De acuerdo con sus fines, las concesiones a que se refiere este capítulo serán: </w:t>
      </w:r>
    </w:p>
    <w:p w:rsidR="00DC1E28" w:rsidRPr="00DC1E28" w:rsidRDefault="00E86505" w:rsidP="00DC1E28">
      <w:pPr>
        <w:autoSpaceDE w:val="0"/>
        <w:spacing w:before="240" w:line="240" w:lineRule="auto"/>
        <w:ind w:left="567" w:right="902"/>
        <w:jc w:val="both"/>
        <w:rPr>
          <w:rFonts w:ascii="ITC Avant Garde" w:hAnsi="ITC Avant Garde"/>
          <w:bCs/>
          <w:sz w:val="20"/>
          <w:szCs w:val="20"/>
        </w:rPr>
      </w:pPr>
      <w:r w:rsidRPr="00DC1E28">
        <w:rPr>
          <w:rFonts w:ascii="ITC Avant Garde" w:hAnsi="ITC Avant Garde"/>
          <w:bCs/>
          <w:sz w:val="20"/>
          <w:szCs w:val="20"/>
        </w:rPr>
        <w:t>(…)</w:t>
      </w:r>
    </w:p>
    <w:p w:rsidR="00DC1E28" w:rsidRPr="00DC1E28" w:rsidRDefault="00E86505" w:rsidP="00DC1E28">
      <w:pPr>
        <w:autoSpaceDE w:val="0"/>
        <w:spacing w:before="240" w:line="240" w:lineRule="auto"/>
        <w:ind w:left="567" w:right="902"/>
        <w:jc w:val="both"/>
        <w:rPr>
          <w:rFonts w:ascii="ITC Avant Garde" w:hAnsi="ITC Avant Garde"/>
          <w:bCs/>
          <w:sz w:val="20"/>
          <w:szCs w:val="20"/>
        </w:rPr>
      </w:pPr>
      <w:r w:rsidRPr="00DC1E28">
        <w:rPr>
          <w:rFonts w:ascii="ITC Avant Garde" w:hAnsi="ITC Avant Garde"/>
          <w:bCs/>
          <w:sz w:val="20"/>
          <w:szCs w:val="20"/>
        </w:rPr>
        <w:t xml:space="preserve">II. Para uso público: Confiere el derecho a los Poderes de la Unión, de los Estados, los órganos de Gobierno del Distrito Federal, los Municipios, los órganos constitucionales autónomos y las instituciones de educación superior de carácter público para proveer servicios de telecomunicaciones y radiodifusión para el cumplimiento de sus fines y atribuciones. </w:t>
      </w:r>
    </w:p>
    <w:p w:rsidR="00DC1E28" w:rsidRPr="00DC1E28" w:rsidRDefault="00E86505" w:rsidP="00DC1E28">
      <w:pPr>
        <w:autoSpaceDE w:val="0"/>
        <w:spacing w:before="240" w:line="240" w:lineRule="auto"/>
        <w:ind w:left="567" w:right="902"/>
        <w:jc w:val="both"/>
        <w:rPr>
          <w:rFonts w:ascii="ITC Avant Garde" w:hAnsi="ITC Avant Garde"/>
          <w:bCs/>
          <w:sz w:val="20"/>
          <w:szCs w:val="20"/>
        </w:rPr>
      </w:pPr>
      <w:r w:rsidRPr="00DC1E28">
        <w:rPr>
          <w:rFonts w:ascii="ITC Avant Garde" w:hAnsi="ITC Avant Garde"/>
          <w:bCs/>
          <w:sz w:val="20"/>
          <w:szCs w:val="20"/>
        </w:rPr>
        <w:t xml:space="preserve">Bajo este tipo de concesiones se incluyen a los concesionarios o permisionarios de servicios públicos, distintos a los de telecomunicaciones o de radiodifusión, cuando éstas sean necesarias para la operación y seguridad del servicio de que se trate. </w:t>
      </w:r>
    </w:p>
    <w:p w:rsidR="00DC1E28" w:rsidRPr="00DC1E28" w:rsidRDefault="00E86505" w:rsidP="00DC1E28">
      <w:pPr>
        <w:spacing w:before="240" w:line="240" w:lineRule="auto"/>
        <w:ind w:left="567" w:right="902"/>
        <w:jc w:val="both"/>
        <w:rPr>
          <w:rFonts w:ascii="ITC Avant Garde" w:hAnsi="ITC Avant Garde"/>
          <w:bCs/>
          <w:sz w:val="20"/>
          <w:szCs w:val="20"/>
        </w:rPr>
      </w:pPr>
      <w:r w:rsidRPr="00DC1E28">
        <w:rPr>
          <w:rFonts w:ascii="ITC Avant Garde" w:hAnsi="ITC Avant Garde"/>
          <w:bCs/>
          <w:sz w:val="20"/>
          <w:szCs w:val="20"/>
        </w:rPr>
        <w:t>En este tipo de concesiones no se podrán usar, aprovechar o explotar con fines de lucro, bandas de frecuencias del espectro radioeléctrico de uso determinado o para la ocupación o explotación de recursos orbitales, de lo contrario deberán obtener una concesión para uso comercial;</w:t>
      </w:r>
    </w:p>
    <w:p w:rsidR="00DC1E28" w:rsidRPr="00DC1E28" w:rsidRDefault="00E86505" w:rsidP="00DC1E28">
      <w:pPr>
        <w:spacing w:before="240" w:line="240" w:lineRule="auto"/>
        <w:ind w:left="567" w:right="902"/>
        <w:jc w:val="both"/>
        <w:rPr>
          <w:rFonts w:ascii="ITC Avant Garde" w:hAnsi="ITC Avant Garde"/>
          <w:bCs/>
          <w:sz w:val="20"/>
          <w:szCs w:val="20"/>
        </w:rPr>
      </w:pPr>
      <w:r w:rsidRPr="00DC1E28">
        <w:rPr>
          <w:rFonts w:ascii="ITC Avant Garde" w:hAnsi="ITC Avant Garde"/>
          <w:bCs/>
          <w:sz w:val="20"/>
          <w:szCs w:val="20"/>
        </w:rPr>
        <w:t>(…)”</w:t>
      </w:r>
    </w:p>
    <w:p w:rsidR="00DC1E28" w:rsidRPr="00DC1E28" w:rsidRDefault="00E86505" w:rsidP="00DC1E28">
      <w:pPr>
        <w:autoSpaceDE w:val="0"/>
        <w:spacing w:before="240"/>
        <w:jc w:val="both"/>
      </w:pPr>
      <w:r w:rsidRPr="00DC1E28">
        <w:rPr>
          <w:rFonts w:ascii="ITC Avant Garde" w:hAnsi="ITC Avant Garde"/>
          <w:bCs/>
        </w:rPr>
        <w:t xml:space="preserve">Adicionalmente, tratándose de concesiones sobre el espectro radioeléctrico para uso </w:t>
      </w:r>
      <w:r w:rsidRPr="00DC1E28">
        <w:rPr>
          <w:rFonts w:ascii="ITC Avant Garde" w:hAnsi="ITC Avant Garde"/>
          <w:bCs/>
          <w:u w:val="single"/>
        </w:rPr>
        <w:t>público</w:t>
      </w:r>
      <w:r w:rsidRPr="00DC1E28">
        <w:rPr>
          <w:rFonts w:ascii="ITC Avant Garde" w:hAnsi="ITC Avant Garde"/>
          <w:bCs/>
        </w:rPr>
        <w:t xml:space="preserve"> o social, de conformidad con lo dispuesto en la Constitución, la ley prescribe que su otorgamiento debe realizarse mediante asignación directa, esto es, mediante un mecanismo que no involucra un procedimiento de licitación o concurso de carácter público. En este mecanismo únicamente pueden intervenir como solicitantes los poderes públicos y demás personas jurídicas de carácter público a que se refiere la fracción II del artículo 76 de la Ley.</w:t>
      </w:r>
    </w:p>
    <w:p w:rsidR="00DC1E28" w:rsidRPr="00DC1E28" w:rsidRDefault="00E86505" w:rsidP="00DC1E28">
      <w:pPr>
        <w:spacing w:before="240" w:line="276" w:lineRule="auto"/>
        <w:jc w:val="both"/>
      </w:pPr>
      <w:r w:rsidRPr="00DC1E28">
        <w:rPr>
          <w:rFonts w:ascii="ITC Avant Garde" w:hAnsi="ITC Avant Garde"/>
          <w:b/>
          <w:bCs/>
        </w:rPr>
        <w:lastRenderedPageBreak/>
        <w:t xml:space="preserve">QUINTO. Análisis de la Solicitud de Modificación Técnica. </w:t>
      </w:r>
      <w:r w:rsidRPr="00DC1E28">
        <w:rPr>
          <w:rFonts w:ascii="ITC Avant Garde" w:hAnsi="ITC Avant Garde"/>
          <w:bCs/>
        </w:rPr>
        <w:t>De la revisión al marco legal aplicable, se advierte que los requisitos de procedencia que debe cumplir el Concesionario que solicite una modificación de parámetros técnicos son:</w:t>
      </w:r>
    </w:p>
    <w:p w:rsidR="00DC1E28" w:rsidRPr="00DC1E28" w:rsidRDefault="00E86505" w:rsidP="00DC1E28">
      <w:pPr>
        <w:pStyle w:val="Prrafodelista"/>
        <w:numPr>
          <w:ilvl w:val="0"/>
          <w:numId w:val="3"/>
        </w:numPr>
        <w:tabs>
          <w:tab w:val="left" w:pos="993"/>
        </w:tabs>
        <w:spacing w:before="240" w:after="160" w:line="276" w:lineRule="auto"/>
        <w:ind w:left="709" w:right="899" w:firstLine="0"/>
        <w:jc w:val="both"/>
        <w:textAlignment w:val="auto"/>
        <w:rPr>
          <w:rFonts w:ascii="ITC Avant Garde" w:eastAsia="Calibri" w:hAnsi="ITC Avant Garde"/>
          <w:bCs/>
          <w:sz w:val="22"/>
          <w:szCs w:val="22"/>
        </w:rPr>
      </w:pPr>
      <w:r w:rsidRPr="00DC1E28">
        <w:rPr>
          <w:rFonts w:ascii="ITC Avant Garde" w:eastAsia="Calibri" w:hAnsi="ITC Avant Garde"/>
          <w:bCs/>
          <w:sz w:val="22"/>
          <w:szCs w:val="22"/>
        </w:rPr>
        <w:t>Presentar por escrito su solicitud al Instituto, en la cual indique la modificación técnica que requiere, debiendo acompañar la documentación técnica consistente en áreas de servicio FM (AS-FM), en su caso Plano de Ubicación (PU-FM), Opinión favorable de la Dirección General de Aeronáutica Civil y Croquis de Operación Múltiple (COM-FM).</w:t>
      </w:r>
    </w:p>
    <w:p w:rsidR="00DC1E28" w:rsidRPr="00DC1E28" w:rsidRDefault="00E86505" w:rsidP="00DC1E28">
      <w:pPr>
        <w:pStyle w:val="Prrafodelista"/>
        <w:numPr>
          <w:ilvl w:val="0"/>
          <w:numId w:val="3"/>
        </w:numPr>
        <w:tabs>
          <w:tab w:val="left" w:pos="993"/>
        </w:tabs>
        <w:spacing w:before="240" w:after="160" w:line="276" w:lineRule="auto"/>
        <w:ind w:left="709" w:right="899" w:firstLine="0"/>
        <w:jc w:val="both"/>
        <w:textAlignment w:val="auto"/>
        <w:rPr>
          <w:rFonts w:ascii="ITC Avant Garde" w:eastAsia="Calibri" w:hAnsi="ITC Avant Garde"/>
          <w:bCs/>
          <w:sz w:val="22"/>
          <w:szCs w:val="22"/>
        </w:rPr>
      </w:pPr>
      <w:r w:rsidRPr="00DC1E28">
        <w:rPr>
          <w:rFonts w:ascii="ITC Avant Garde" w:eastAsia="Calibri" w:hAnsi="ITC Avant Garde"/>
          <w:bCs/>
          <w:sz w:val="22"/>
          <w:szCs w:val="22"/>
        </w:rPr>
        <w:t>Comprobante de pago de derechos en términos del artículo 174-C, fracción VIII y IX de la Ley Federal de Derechos.</w:t>
      </w:r>
    </w:p>
    <w:p w:rsidR="00DC1E28" w:rsidRPr="00DC1E28" w:rsidRDefault="00E86505" w:rsidP="00DC1E28">
      <w:pPr>
        <w:spacing w:before="240" w:line="276" w:lineRule="auto"/>
        <w:jc w:val="both"/>
        <w:textAlignment w:val="auto"/>
        <w:rPr>
          <w:rFonts w:ascii="ITC Avant Garde" w:hAnsi="ITC Avant Garde"/>
          <w:bCs/>
        </w:rPr>
      </w:pPr>
      <w:r w:rsidRPr="00DC1E28">
        <w:rPr>
          <w:rFonts w:ascii="ITC Avant Garde" w:hAnsi="ITC Avant Garde"/>
          <w:bCs/>
        </w:rPr>
        <w:t>Visto lo anterior, el Concesionario, presentó por escrito su solicitud acompañada del Estudio de Predicción de Áreas de Servicio (AS-FM) y comprobante de pago de derechos con número de folio 170002013 de fecha 20 de febrero de 2017.</w:t>
      </w:r>
    </w:p>
    <w:p w:rsidR="004C6E61" w:rsidRPr="00DC1E28" w:rsidRDefault="00E86505" w:rsidP="00DC1E28">
      <w:pPr>
        <w:tabs>
          <w:tab w:val="left" w:pos="284"/>
        </w:tabs>
        <w:spacing w:before="240"/>
        <w:ind w:right="48"/>
        <w:jc w:val="both"/>
      </w:pPr>
      <w:r w:rsidRPr="00DC1E28">
        <w:rPr>
          <w:rFonts w:ascii="ITC Avant Garde" w:hAnsi="ITC Avant Garde"/>
          <w:b/>
          <w:bCs/>
        </w:rPr>
        <w:t xml:space="preserve">A. </w:t>
      </w:r>
      <w:r w:rsidRPr="00DC1E28">
        <w:rPr>
          <w:rFonts w:ascii="ITC Avant Garde" w:hAnsi="ITC Avant Garde"/>
          <w:b/>
          <w:bCs/>
          <w:kern w:val="3"/>
          <w:lang w:eastAsia="ar-SA"/>
        </w:rPr>
        <w:t xml:space="preserve">Concesiones vigentes del Concesionario. </w:t>
      </w:r>
      <w:r w:rsidRPr="00DC1E28">
        <w:rPr>
          <w:rFonts w:ascii="ITC Avant Garde" w:hAnsi="ITC Avant Garde"/>
          <w:bCs/>
          <w:kern w:val="3"/>
          <w:lang w:eastAsia="ar-SA"/>
        </w:rPr>
        <w:t>Resulta relevante señalar que como</w:t>
      </w:r>
      <w:r w:rsidR="00DC1E28" w:rsidRPr="00DC1E28">
        <w:rPr>
          <w:rFonts w:ascii="ITC Avant Garde" w:hAnsi="ITC Avant Garde"/>
          <w:bCs/>
          <w:kern w:val="3"/>
          <w:lang w:eastAsia="ar-SA"/>
        </w:rPr>
        <w:t xml:space="preserve"> se indica en el Antecedente I,</w:t>
      </w:r>
      <w:r w:rsidRPr="00DC1E28">
        <w:rPr>
          <w:rFonts w:ascii="ITC Avant Garde" w:hAnsi="ITC Avant Garde"/>
          <w:bCs/>
          <w:kern w:val="3"/>
          <w:lang w:eastAsia="ar-SA"/>
        </w:rPr>
        <w:t xml:space="preserve"> el Concesionario actualmente brinda el servicio de radiodifusión en la banda de frecuencia modulada en la Ciudad de México, a través de la operación de 5(cinco) estaciones ubicadas en los diferentes campus universitarios del Concesionario, dichas estaciones se encuentra ubicadas en:</w:t>
      </w:r>
    </w:p>
    <w:tbl>
      <w:tblPr>
        <w:tblStyle w:val="Tablaconcuadrcula"/>
        <w:tblW w:w="8500" w:type="dxa"/>
        <w:jc w:val="center"/>
        <w:tblLook w:val="0000" w:firstRow="0" w:lastRow="0" w:firstColumn="0" w:lastColumn="0" w:noHBand="0" w:noVBand="0"/>
        <w:tblCaption w:val="Concesiones vigentes del Concesionario"/>
        <w:tblDescription w:val="En una tabla de 6 columnas por 5 filas, se proporciona los datos técnicos de los distintivos de llamada y su clase de estación que actualmente brindan servicio de radiodifusión por el concesionario."/>
      </w:tblPr>
      <w:tblGrid>
        <w:gridCol w:w="658"/>
        <w:gridCol w:w="1072"/>
        <w:gridCol w:w="1204"/>
        <w:gridCol w:w="1104"/>
        <w:gridCol w:w="3187"/>
        <w:gridCol w:w="1275"/>
      </w:tblGrid>
      <w:tr w:rsidR="004C6E61" w:rsidRPr="00DC1E28" w:rsidTr="001D1A84">
        <w:trPr>
          <w:trHeight w:val="20"/>
          <w:tblHeader/>
          <w:jc w:val="center"/>
        </w:trPr>
        <w:tc>
          <w:tcPr>
            <w:tcW w:w="658" w:type="dxa"/>
            <w:shd w:val="clear" w:color="auto" w:fill="A8D08D" w:themeFill="accent6" w:themeFillTint="99"/>
            <w:vAlign w:val="center"/>
          </w:tcPr>
          <w:p w:rsidR="004C6E61" w:rsidRPr="00DC1E28" w:rsidRDefault="00E86505" w:rsidP="001D1A84">
            <w:pPr>
              <w:pStyle w:val="Prrafodelista"/>
              <w:spacing w:line="276" w:lineRule="auto"/>
              <w:ind w:left="0"/>
              <w:jc w:val="center"/>
              <w:rPr>
                <w:rFonts w:ascii="ITC Avant Garde" w:hAnsi="ITC Avant Garde"/>
                <w:b/>
                <w:bCs/>
                <w:sz w:val="14"/>
                <w:szCs w:val="16"/>
                <w:lang w:eastAsia="es-MX"/>
              </w:rPr>
            </w:pPr>
            <w:r w:rsidRPr="00DC1E28">
              <w:rPr>
                <w:rFonts w:ascii="ITC Avant Garde" w:hAnsi="ITC Avant Garde"/>
                <w:b/>
                <w:bCs/>
                <w:sz w:val="14"/>
                <w:szCs w:val="16"/>
                <w:lang w:eastAsia="es-MX"/>
              </w:rPr>
              <w:t>No.</w:t>
            </w:r>
          </w:p>
        </w:tc>
        <w:tc>
          <w:tcPr>
            <w:tcW w:w="1072" w:type="dxa"/>
            <w:shd w:val="clear" w:color="auto" w:fill="A8D08D" w:themeFill="accent6" w:themeFillTint="99"/>
            <w:vAlign w:val="center"/>
          </w:tcPr>
          <w:p w:rsidR="004C6E61" w:rsidRPr="00DC1E28" w:rsidRDefault="00E86505" w:rsidP="001D1A84">
            <w:pPr>
              <w:pStyle w:val="Prrafodelista"/>
              <w:spacing w:line="276" w:lineRule="auto"/>
              <w:ind w:left="0"/>
              <w:jc w:val="center"/>
              <w:rPr>
                <w:rFonts w:ascii="ITC Avant Garde" w:hAnsi="ITC Avant Garde"/>
                <w:b/>
                <w:bCs/>
                <w:sz w:val="14"/>
                <w:szCs w:val="18"/>
                <w:lang w:eastAsia="es-MX"/>
              </w:rPr>
            </w:pPr>
            <w:r w:rsidRPr="00DC1E28">
              <w:rPr>
                <w:rFonts w:ascii="ITC Avant Garde" w:hAnsi="ITC Avant Garde"/>
                <w:b/>
                <w:bCs/>
                <w:sz w:val="14"/>
                <w:szCs w:val="18"/>
                <w:lang w:eastAsia="es-MX"/>
              </w:rPr>
              <w:t>Distintivo de llamada</w:t>
            </w:r>
          </w:p>
        </w:tc>
        <w:tc>
          <w:tcPr>
            <w:tcW w:w="1204" w:type="dxa"/>
            <w:shd w:val="clear" w:color="auto" w:fill="A8D08D" w:themeFill="accent6" w:themeFillTint="99"/>
            <w:vAlign w:val="center"/>
          </w:tcPr>
          <w:p w:rsidR="004C6E61" w:rsidRPr="00DC1E28" w:rsidRDefault="00E86505" w:rsidP="001D1A84">
            <w:pPr>
              <w:pStyle w:val="Prrafodelista"/>
              <w:spacing w:line="276" w:lineRule="auto"/>
              <w:ind w:left="0"/>
              <w:jc w:val="center"/>
              <w:rPr>
                <w:rFonts w:ascii="ITC Avant Garde" w:hAnsi="ITC Avant Garde"/>
                <w:b/>
                <w:bCs/>
                <w:sz w:val="14"/>
                <w:szCs w:val="18"/>
                <w:lang w:eastAsia="es-MX"/>
              </w:rPr>
            </w:pPr>
            <w:r w:rsidRPr="00DC1E28">
              <w:rPr>
                <w:rFonts w:ascii="ITC Avant Garde" w:hAnsi="ITC Avant Garde"/>
                <w:b/>
                <w:bCs/>
                <w:sz w:val="14"/>
                <w:szCs w:val="18"/>
                <w:lang w:eastAsia="es-MX"/>
              </w:rPr>
              <w:t>Frecuencia</w:t>
            </w:r>
          </w:p>
        </w:tc>
        <w:tc>
          <w:tcPr>
            <w:tcW w:w="1104" w:type="dxa"/>
            <w:shd w:val="clear" w:color="auto" w:fill="A8D08D" w:themeFill="accent6" w:themeFillTint="99"/>
            <w:vAlign w:val="center"/>
          </w:tcPr>
          <w:p w:rsidR="004C6E61" w:rsidRPr="00DC1E28" w:rsidRDefault="00E86505" w:rsidP="001D1A84">
            <w:pPr>
              <w:pStyle w:val="Prrafodelista"/>
              <w:spacing w:line="276" w:lineRule="auto"/>
              <w:ind w:left="0"/>
              <w:jc w:val="center"/>
              <w:rPr>
                <w:rFonts w:ascii="ITC Avant Garde" w:hAnsi="ITC Avant Garde"/>
                <w:b/>
                <w:bCs/>
                <w:sz w:val="14"/>
                <w:szCs w:val="18"/>
                <w:lang w:eastAsia="es-MX"/>
              </w:rPr>
            </w:pPr>
            <w:r w:rsidRPr="00DC1E28">
              <w:rPr>
                <w:rFonts w:ascii="ITC Avant Garde" w:hAnsi="ITC Avant Garde"/>
                <w:b/>
                <w:bCs/>
                <w:sz w:val="14"/>
                <w:szCs w:val="18"/>
                <w:lang w:eastAsia="es-MX"/>
              </w:rPr>
              <w:t>Población principal a servir</w:t>
            </w:r>
          </w:p>
        </w:tc>
        <w:tc>
          <w:tcPr>
            <w:tcW w:w="3187" w:type="dxa"/>
            <w:shd w:val="clear" w:color="auto" w:fill="A8D08D" w:themeFill="accent6" w:themeFillTint="99"/>
            <w:vAlign w:val="center"/>
          </w:tcPr>
          <w:p w:rsidR="004C6E61" w:rsidRPr="00DC1E28" w:rsidRDefault="00E86505" w:rsidP="001D1A84">
            <w:pPr>
              <w:pStyle w:val="Prrafodelista"/>
              <w:spacing w:line="276" w:lineRule="auto"/>
              <w:ind w:left="0"/>
              <w:jc w:val="center"/>
              <w:rPr>
                <w:rFonts w:ascii="ITC Avant Garde" w:hAnsi="ITC Avant Garde"/>
                <w:b/>
                <w:bCs/>
                <w:sz w:val="14"/>
                <w:szCs w:val="18"/>
                <w:lang w:eastAsia="es-MX"/>
              </w:rPr>
            </w:pPr>
            <w:r w:rsidRPr="00DC1E28">
              <w:rPr>
                <w:rFonts w:ascii="ITC Avant Garde" w:hAnsi="ITC Avant Garde"/>
                <w:b/>
                <w:bCs/>
                <w:sz w:val="14"/>
                <w:szCs w:val="18"/>
                <w:lang w:eastAsia="es-MX"/>
              </w:rPr>
              <w:t>Ubicación de la Antena y Planta transmisora</w:t>
            </w:r>
          </w:p>
        </w:tc>
        <w:tc>
          <w:tcPr>
            <w:tcW w:w="1275" w:type="dxa"/>
            <w:shd w:val="clear" w:color="auto" w:fill="A8D08D" w:themeFill="accent6" w:themeFillTint="99"/>
            <w:vAlign w:val="center"/>
          </w:tcPr>
          <w:p w:rsidR="004C6E61" w:rsidRPr="00DC1E28" w:rsidRDefault="00E86505" w:rsidP="001D1A84">
            <w:pPr>
              <w:pStyle w:val="Prrafodelista"/>
              <w:spacing w:line="276" w:lineRule="auto"/>
              <w:ind w:left="0"/>
              <w:jc w:val="center"/>
              <w:rPr>
                <w:rFonts w:ascii="ITC Avant Garde" w:hAnsi="ITC Avant Garde"/>
                <w:b/>
                <w:bCs/>
                <w:sz w:val="14"/>
                <w:szCs w:val="18"/>
                <w:lang w:eastAsia="es-MX"/>
              </w:rPr>
            </w:pPr>
            <w:r w:rsidRPr="00DC1E28">
              <w:rPr>
                <w:rFonts w:ascii="ITC Avant Garde" w:hAnsi="ITC Avant Garde"/>
                <w:b/>
                <w:bCs/>
                <w:sz w:val="14"/>
                <w:szCs w:val="18"/>
                <w:lang w:eastAsia="es-MX"/>
              </w:rPr>
              <w:t>Clase de la estación</w:t>
            </w:r>
          </w:p>
        </w:tc>
      </w:tr>
      <w:tr w:rsidR="004C6E61" w:rsidRPr="00DC1E28" w:rsidTr="00DC1E28">
        <w:trPr>
          <w:trHeight w:val="20"/>
          <w:jc w:val="center"/>
        </w:trPr>
        <w:tc>
          <w:tcPr>
            <w:tcW w:w="658" w:type="dxa"/>
          </w:tcPr>
          <w:p w:rsidR="004C6E61" w:rsidRPr="00DC1E28" w:rsidRDefault="00E86505" w:rsidP="00DC1E28">
            <w:pPr>
              <w:pStyle w:val="Prrafodelista"/>
              <w:spacing w:line="276" w:lineRule="auto"/>
              <w:ind w:left="0"/>
              <w:jc w:val="center"/>
              <w:rPr>
                <w:rFonts w:ascii="ITC Avant Garde" w:hAnsi="ITC Avant Garde"/>
                <w:b/>
                <w:bCs/>
                <w:sz w:val="14"/>
                <w:szCs w:val="16"/>
                <w:lang w:eastAsia="es-MX"/>
              </w:rPr>
            </w:pPr>
            <w:r w:rsidRPr="00DC1E28">
              <w:rPr>
                <w:rFonts w:ascii="ITC Avant Garde" w:hAnsi="ITC Avant Garde"/>
                <w:b/>
                <w:bCs/>
                <w:sz w:val="14"/>
                <w:szCs w:val="16"/>
                <w:lang w:eastAsia="es-MX"/>
              </w:rPr>
              <w:t>1</w:t>
            </w:r>
          </w:p>
        </w:tc>
        <w:tc>
          <w:tcPr>
            <w:tcW w:w="1072" w:type="dxa"/>
          </w:tcPr>
          <w:p w:rsidR="004C6E61" w:rsidRPr="00DC1E28" w:rsidRDefault="00E86505" w:rsidP="00DC1E28">
            <w:pPr>
              <w:pStyle w:val="Prrafodelista"/>
              <w:spacing w:line="276" w:lineRule="auto"/>
              <w:ind w:left="0"/>
              <w:jc w:val="center"/>
              <w:rPr>
                <w:rFonts w:ascii="ITC Avant Garde" w:hAnsi="ITC Avant Garde"/>
                <w:bCs/>
                <w:sz w:val="14"/>
                <w:szCs w:val="18"/>
                <w:lang w:eastAsia="es-MX"/>
              </w:rPr>
            </w:pPr>
            <w:r w:rsidRPr="00DC1E28">
              <w:rPr>
                <w:rFonts w:ascii="ITC Avant Garde" w:hAnsi="ITC Avant Garde"/>
                <w:bCs/>
                <w:sz w:val="14"/>
                <w:szCs w:val="18"/>
                <w:lang w:eastAsia="es-MX"/>
              </w:rPr>
              <w:t>XUAMA-FM</w:t>
            </w:r>
          </w:p>
        </w:tc>
        <w:tc>
          <w:tcPr>
            <w:tcW w:w="1204" w:type="dxa"/>
          </w:tcPr>
          <w:p w:rsidR="004C6E61" w:rsidRPr="00DC1E28" w:rsidRDefault="00E86505" w:rsidP="00DC1E28">
            <w:pPr>
              <w:pStyle w:val="Prrafodelista"/>
              <w:spacing w:line="276" w:lineRule="auto"/>
              <w:ind w:left="0"/>
              <w:jc w:val="center"/>
              <w:rPr>
                <w:rFonts w:ascii="ITC Avant Garde" w:hAnsi="ITC Avant Garde"/>
                <w:bCs/>
                <w:sz w:val="14"/>
                <w:szCs w:val="18"/>
                <w:lang w:eastAsia="es-MX"/>
              </w:rPr>
            </w:pPr>
            <w:r w:rsidRPr="00DC1E28">
              <w:rPr>
                <w:rFonts w:ascii="ITC Avant Garde" w:hAnsi="ITC Avant Garde"/>
                <w:bCs/>
                <w:sz w:val="14"/>
                <w:szCs w:val="18"/>
                <w:lang w:eastAsia="es-MX"/>
              </w:rPr>
              <w:t>94.1</w:t>
            </w:r>
          </w:p>
        </w:tc>
        <w:tc>
          <w:tcPr>
            <w:tcW w:w="1104" w:type="dxa"/>
          </w:tcPr>
          <w:p w:rsidR="004C6E61" w:rsidRPr="00DC1E28" w:rsidRDefault="00E86505" w:rsidP="00DC1E28">
            <w:pPr>
              <w:pStyle w:val="Prrafodelista"/>
              <w:spacing w:line="276" w:lineRule="auto"/>
              <w:ind w:left="0"/>
              <w:jc w:val="center"/>
              <w:rPr>
                <w:rFonts w:ascii="ITC Avant Garde" w:hAnsi="ITC Avant Garde"/>
                <w:bCs/>
                <w:sz w:val="14"/>
                <w:szCs w:val="18"/>
                <w:lang w:eastAsia="es-MX"/>
              </w:rPr>
            </w:pPr>
            <w:r w:rsidRPr="00DC1E28">
              <w:rPr>
                <w:rFonts w:ascii="ITC Avant Garde" w:hAnsi="ITC Avant Garde"/>
                <w:bCs/>
                <w:sz w:val="14"/>
                <w:szCs w:val="18"/>
                <w:lang w:eastAsia="es-MX"/>
              </w:rPr>
              <w:t>Ciudad de México</w:t>
            </w:r>
          </w:p>
        </w:tc>
        <w:tc>
          <w:tcPr>
            <w:tcW w:w="3187" w:type="dxa"/>
          </w:tcPr>
          <w:p w:rsidR="004C6E61" w:rsidRPr="00DC1E28" w:rsidRDefault="00E86505" w:rsidP="00DC1E28">
            <w:pPr>
              <w:pStyle w:val="Prrafodelista"/>
              <w:spacing w:line="276" w:lineRule="auto"/>
              <w:ind w:left="0"/>
              <w:jc w:val="both"/>
              <w:rPr>
                <w:rFonts w:ascii="ITC Avant Garde" w:hAnsi="ITC Avant Garde"/>
                <w:bCs/>
                <w:sz w:val="14"/>
                <w:szCs w:val="18"/>
                <w:lang w:eastAsia="es-MX"/>
              </w:rPr>
            </w:pPr>
            <w:r w:rsidRPr="00DC1E28">
              <w:rPr>
                <w:rFonts w:ascii="ITC Avant Garde" w:hAnsi="ITC Avant Garde"/>
                <w:bCs/>
                <w:sz w:val="14"/>
                <w:szCs w:val="18"/>
                <w:lang w:eastAsia="es-MX"/>
              </w:rPr>
              <w:t>Av. San Pablo No. 180, Col. Reynosa Tamps, Deleg. Azcapotzalco, Ciudad de México.</w:t>
            </w:r>
          </w:p>
        </w:tc>
        <w:tc>
          <w:tcPr>
            <w:tcW w:w="1275" w:type="dxa"/>
          </w:tcPr>
          <w:p w:rsidR="004C6E61" w:rsidRPr="00DC1E28" w:rsidRDefault="00E86505" w:rsidP="00DC1E28">
            <w:pPr>
              <w:pStyle w:val="Prrafodelista"/>
              <w:spacing w:line="276" w:lineRule="auto"/>
              <w:ind w:left="0"/>
              <w:jc w:val="center"/>
              <w:rPr>
                <w:rFonts w:ascii="ITC Avant Garde" w:hAnsi="ITC Avant Garde"/>
                <w:bCs/>
                <w:sz w:val="14"/>
                <w:szCs w:val="18"/>
                <w:lang w:eastAsia="es-MX"/>
              </w:rPr>
            </w:pPr>
            <w:r w:rsidRPr="00DC1E28">
              <w:rPr>
                <w:rFonts w:ascii="ITC Avant Garde" w:hAnsi="ITC Avant Garde"/>
                <w:bCs/>
                <w:sz w:val="14"/>
                <w:szCs w:val="18"/>
                <w:lang w:eastAsia="es-MX"/>
              </w:rPr>
              <w:t>D</w:t>
            </w:r>
          </w:p>
        </w:tc>
      </w:tr>
      <w:tr w:rsidR="00DC1E28" w:rsidRPr="00DC1E28" w:rsidTr="00DC1E28">
        <w:trPr>
          <w:trHeight w:val="20"/>
          <w:jc w:val="center"/>
        </w:trPr>
        <w:tc>
          <w:tcPr>
            <w:tcW w:w="658" w:type="dxa"/>
          </w:tcPr>
          <w:p w:rsidR="00DC1E28" w:rsidRPr="00DC1E28" w:rsidRDefault="00DC1E28" w:rsidP="00DC1E28">
            <w:pPr>
              <w:pStyle w:val="Prrafodelista"/>
              <w:spacing w:line="276" w:lineRule="auto"/>
              <w:ind w:left="0"/>
              <w:jc w:val="center"/>
              <w:rPr>
                <w:rFonts w:ascii="ITC Avant Garde" w:hAnsi="ITC Avant Garde"/>
                <w:b/>
                <w:bCs/>
                <w:sz w:val="14"/>
                <w:szCs w:val="16"/>
                <w:lang w:eastAsia="es-MX"/>
              </w:rPr>
            </w:pPr>
            <w:r w:rsidRPr="00DC1E28">
              <w:rPr>
                <w:rFonts w:ascii="ITC Avant Garde" w:hAnsi="ITC Avant Garde"/>
                <w:b/>
                <w:bCs/>
                <w:sz w:val="14"/>
                <w:szCs w:val="16"/>
                <w:lang w:eastAsia="es-MX"/>
              </w:rPr>
              <w:t>2</w:t>
            </w:r>
          </w:p>
        </w:tc>
        <w:tc>
          <w:tcPr>
            <w:tcW w:w="1072" w:type="dxa"/>
          </w:tcPr>
          <w:p w:rsidR="00DC1E28" w:rsidRPr="00DC1E28" w:rsidRDefault="00DC1E28" w:rsidP="00DC1E28">
            <w:pPr>
              <w:pStyle w:val="Prrafodelista"/>
              <w:spacing w:line="276" w:lineRule="auto"/>
              <w:ind w:left="0"/>
              <w:jc w:val="center"/>
              <w:rPr>
                <w:rFonts w:ascii="ITC Avant Garde" w:hAnsi="ITC Avant Garde"/>
                <w:b/>
                <w:bCs/>
                <w:sz w:val="14"/>
                <w:szCs w:val="18"/>
                <w:lang w:eastAsia="es-MX"/>
              </w:rPr>
            </w:pPr>
            <w:r w:rsidRPr="00DC1E28">
              <w:rPr>
                <w:rFonts w:ascii="ITC Avant Garde" w:hAnsi="ITC Avant Garde"/>
                <w:b/>
                <w:bCs/>
                <w:sz w:val="14"/>
                <w:szCs w:val="18"/>
                <w:lang w:eastAsia="es-MX"/>
              </w:rPr>
              <w:t>XHUAMC- FM</w:t>
            </w:r>
          </w:p>
        </w:tc>
        <w:tc>
          <w:tcPr>
            <w:tcW w:w="1204" w:type="dxa"/>
          </w:tcPr>
          <w:p w:rsidR="00DC1E28" w:rsidRPr="00DC1E28" w:rsidRDefault="00DC1E28" w:rsidP="00DC1E28">
            <w:pPr>
              <w:pStyle w:val="Prrafodelista"/>
              <w:spacing w:line="276" w:lineRule="auto"/>
              <w:ind w:left="0"/>
              <w:jc w:val="center"/>
              <w:rPr>
                <w:rFonts w:ascii="ITC Avant Garde" w:hAnsi="ITC Avant Garde"/>
                <w:bCs/>
                <w:sz w:val="14"/>
                <w:szCs w:val="18"/>
                <w:lang w:eastAsia="es-MX"/>
              </w:rPr>
            </w:pPr>
            <w:r w:rsidRPr="00DC1E28">
              <w:rPr>
                <w:rFonts w:ascii="ITC Avant Garde" w:hAnsi="ITC Avant Garde"/>
                <w:bCs/>
                <w:sz w:val="14"/>
                <w:szCs w:val="18"/>
                <w:lang w:eastAsia="es-MX"/>
              </w:rPr>
              <w:t>94.1</w:t>
            </w:r>
          </w:p>
        </w:tc>
        <w:tc>
          <w:tcPr>
            <w:tcW w:w="1104" w:type="dxa"/>
          </w:tcPr>
          <w:p w:rsidR="00DC1E28" w:rsidRPr="00DC1E28" w:rsidRDefault="00DC1E28" w:rsidP="00DC1E28">
            <w:pPr>
              <w:pStyle w:val="Prrafodelista"/>
              <w:spacing w:line="276" w:lineRule="auto"/>
              <w:ind w:left="0"/>
              <w:jc w:val="center"/>
              <w:rPr>
                <w:rFonts w:ascii="ITC Avant Garde" w:hAnsi="ITC Avant Garde"/>
                <w:bCs/>
                <w:sz w:val="14"/>
                <w:szCs w:val="18"/>
                <w:lang w:eastAsia="es-MX"/>
              </w:rPr>
            </w:pPr>
            <w:r w:rsidRPr="00DC1E28">
              <w:rPr>
                <w:rFonts w:ascii="ITC Avant Garde" w:hAnsi="ITC Avant Garde"/>
                <w:bCs/>
                <w:sz w:val="14"/>
                <w:szCs w:val="18"/>
                <w:lang w:eastAsia="es-MX"/>
              </w:rPr>
              <w:t>Ciudad de México</w:t>
            </w:r>
          </w:p>
        </w:tc>
        <w:tc>
          <w:tcPr>
            <w:tcW w:w="3187" w:type="dxa"/>
          </w:tcPr>
          <w:p w:rsidR="00DC1E28" w:rsidRPr="00DC1E28" w:rsidRDefault="00DC1E28" w:rsidP="00DC1E28">
            <w:pPr>
              <w:pStyle w:val="Prrafodelista"/>
              <w:spacing w:line="276" w:lineRule="auto"/>
              <w:ind w:left="0"/>
              <w:jc w:val="both"/>
              <w:rPr>
                <w:rFonts w:ascii="ITC Avant Garde" w:hAnsi="ITC Avant Garde"/>
                <w:bCs/>
                <w:sz w:val="14"/>
                <w:szCs w:val="18"/>
                <w:lang w:eastAsia="es-MX"/>
              </w:rPr>
            </w:pPr>
            <w:r w:rsidRPr="00DC1E28">
              <w:rPr>
                <w:rFonts w:ascii="ITC Avant Garde" w:hAnsi="ITC Avant Garde"/>
                <w:bCs/>
                <w:sz w:val="14"/>
                <w:szCs w:val="18"/>
                <w:lang w:eastAsia="es-MX"/>
              </w:rPr>
              <w:t>Av. Constituyentes No. 1054, Col. Lomas Altas, Deleg. Miguel Hidalgo, Ciudad de México.</w:t>
            </w:r>
          </w:p>
        </w:tc>
        <w:tc>
          <w:tcPr>
            <w:tcW w:w="1275" w:type="dxa"/>
          </w:tcPr>
          <w:p w:rsidR="00DC1E28" w:rsidRPr="00DC1E28" w:rsidRDefault="00DC1E28" w:rsidP="00DC1E28">
            <w:pPr>
              <w:jc w:val="center"/>
            </w:pPr>
            <w:r w:rsidRPr="00DC1E28">
              <w:rPr>
                <w:rFonts w:ascii="ITC Avant Garde" w:hAnsi="ITC Avant Garde"/>
                <w:bCs/>
                <w:sz w:val="14"/>
                <w:szCs w:val="18"/>
                <w:lang w:eastAsia="es-MX"/>
              </w:rPr>
              <w:t>D</w:t>
            </w:r>
          </w:p>
        </w:tc>
      </w:tr>
      <w:tr w:rsidR="00DC1E28" w:rsidRPr="00DC1E28" w:rsidTr="00DC1E28">
        <w:trPr>
          <w:trHeight w:val="20"/>
          <w:jc w:val="center"/>
        </w:trPr>
        <w:tc>
          <w:tcPr>
            <w:tcW w:w="658" w:type="dxa"/>
          </w:tcPr>
          <w:p w:rsidR="00DC1E28" w:rsidRPr="00DC1E28" w:rsidRDefault="00DC1E28" w:rsidP="00DC1E28">
            <w:pPr>
              <w:pStyle w:val="Prrafodelista"/>
              <w:spacing w:line="276" w:lineRule="auto"/>
              <w:ind w:left="0"/>
              <w:jc w:val="center"/>
              <w:rPr>
                <w:rFonts w:ascii="ITC Avant Garde" w:hAnsi="ITC Avant Garde"/>
                <w:b/>
                <w:bCs/>
                <w:sz w:val="14"/>
                <w:szCs w:val="16"/>
                <w:lang w:eastAsia="es-MX"/>
              </w:rPr>
            </w:pPr>
            <w:r w:rsidRPr="00DC1E28">
              <w:rPr>
                <w:rFonts w:ascii="ITC Avant Garde" w:hAnsi="ITC Avant Garde"/>
                <w:b/>
                <w:bCs/>
                <w:sz w:val="14"/>
                <w:szCs w:val="16"/>
                <w:lang w:eastAsia="es-MX"/>
              </w:rPr>
              <w:t>3</w:t>
            </w:r>
          </w:p>
        </w:tc>
        <w:tc>
          <w:tcPr>
            <w:tcW w:w="1072" w:type="dxa"/>
          </w:tcPr>
          <w:p w:rsidR="00DC1E28" w:rsidRPr="00DC1E28" w:rsidRDefault="00DC1E28" w:rsidP="00DC1E28">
            <w:pPr>
              <w:pStyle w:val="Prrafodelista"/>
              <w:spacing w:line="276" w:lineRule="auto"/>
              <w:ind w:left="0"/>
              <w:jc w:val="center"/>
              <w:rPr>
                <w:rFonts w:ascii="ITC Avant Garde" w:hAnsi="ITC Avant Garde"/>
                <w:bCs/>
                <w:sz w:val="14"/>
                <w:szCs w:val="18"/>
                <w:lang w:eastAsia="es-MX"/>
              </w:rPr>
            </w:pPr>
            <w:r w:rsidRPr="00DC1E28">
              <w:rPr>
                <w:rFonts w:ascii="ITC Avant Garde" w:hAnsi="ITC Avant Garde"/>
                <w:bCs/>
                <w:sz w:val="14"/>
                <w:szCs w:val="18"/>
                <w:lang w:eastAsia="es-MX"/>
              </w:rPr>
              <w:t>XHUAMI-FM</w:t>
            </w:r>
          </w:p>
        </w:tc>
        <w:tc>
          <w:tcPr>
            <w:tcW w:w="1204" w:type="dxa"/>
          </w:tcPr>
          <w:p w:rsidR="00DC1E28" w:rsidRPr="00DC1E28" w:rsidRDefault="00DC1E28" w:rsidP="00DC1E28">
            <w:pPr>
              <w:pStyle w:val="Prrafodelista"/>
              <w:spacing w:line="276" w:lineRule="auto"/>
              <w:ind w:left="0"/>
              <w:jc w:val="center"/>
              <w:rPr>
                <w:rFonts w:ascii="ITC Avant Garde" w:hAnsi="ITC Avant Garde"/>
                <w:bCs/>
                <w:sz w:val="14"/>
                <w:szCs w:val="18"/>
                <w:lang w:eastAsia="es-MX"/>
              </w:rPr>
            </w:pPr>
            <w:r w:rsidRPr="00DC1E28">
              <w:rPr>
                <w:rFonts w:ascii="ITC Avant Garde" w:hAnsi="ITC Avant Garde"/>
                <w:bCs/>
                <w:sz w:val="14"/>
                <w:szCs w:val="18"/>
                <w:lang w:eastAsia="es-MX"/>
              </w:rPr>
              <w:t>94.1</w:t>
            </w:r>
          </w:p>
        </w:tc>
        <w:tc>
          <w:tcPr>
            <w:tcW w:w="1104" w:type="dxa"/>
          </w:tcPr>
          <w:p w:rsidR="00DC1E28" w:rsidRPr="00DC1E28" w:rsidRDefault="00DC1E28" w:rsidP="00DC1E28">
            <w:pPr>
              <w:pStyle w:val="Prrafodelista"/>
              <w:spacing w:line="276" w:lineRule="auto"/>
              <w:ind w:left="0"/>
              <w:jc w:val="center"/>
              <w:rPr>
                <w:rFonts w:ascii="ITC Avant Garde" w:hAnsi="ITC Avant Garde"/>
                <w:bCs/>
                <w:sz w:val="14"/>
                <w:szCs w:val="18"/>
                <w:lang w:eastAsia="es-MX"/>
              </w:rPr>
            </w:pPr>
            <w:r w:rsidRPr="00DC1E28">
              <w:rPr>
                <w:rFonts w:ascii="ITC Avant Garde" w:hAnsi="ITC Avant Garde"/>
                <w:bCs/>
                <w:sz w:val="14"/>
                <w:szCs w:val="18"/>
                <w:lang w:eastAsia="es-MX"/>
              </w:rPr>
              <w:t>Ciudad de México</w:t>
            </w:r>
          </w:p>
        </w:tc>
        <w:tc>
          <w:tcPr>
            <w:tcW w:w="3187" w:type="dxa"/>
          </w:tcPr>
          <w:p w:rsidR="00DC1E28" w:rsidRPr="00DC1E28" w:rsidRDefault="00DC1E28" w:rsidP="00DC1E28">
            <w:pPr>
              <w:pStyle w:val="Prrafodelista"/>
              <w:spacing w:line="276" w:lineRule="auto"/>
              <w:ind w:left="0"/>
              <w:jc w:val="both"/>
              <w:rPr>
                <w:rFonts w:ascii="ITC Avant Garde" w:hAnsi="ITC Avant Garde"/>
                <w:bCs/>
                <w:sz w:val="14"/>
                <w:szCs w:val="18"/>
                <w:lang w:eastAsia="es-MX"/>
              </w:rPr>
            </w:pPr>
            <w:r w:rsidRPr="00DC1E28">
              <w:rPr>
                <w:rFonts w:ascii="ITC Avant Garde" w:hAnsi="ITC Avant Garde"/>
                <w:bCs/>
                <w:sz w:val="14"/>
                <w:szCs w:val="18"/>
                <w:lang w:eastAsia="es-MX"/>
              </w:rPr>
              <w:t>Av. San Rafael Atlixco, No. 86, Col. Vicentina, Deleg. Iztapalapa, Ciudad de México.</w:t>
            </w:r>
          </w:p>
        </w:tc>
        <w:tc>
          <w:tcPr>
            <w:tcW w:w="1275" w:type="dxa"/>
          </w:tcPr>
          <w:p w:rsidR="00DC1E28" w:rsidRPr="00DC1E28" w:rsidRDefault="00DC1E28" w:rsidP="00DC1E28">
            <w:pPr>
              <w:jc w:val="center"/>
            </w:pPr>
            <w:r w:rsidRPr="00DC1E28">
              <w:rPr>
                <w:rFonts w:ascii="ITC Avant Garde" w:hAnsi="ITC Avant Garde"/>
                <w:bCs/>
                <w:sz w:val="14"/>
                <w:szCs w:val="18"/>
                <w:lang w:eastAsia="es-MX"/>
              </w:rPr>
              <w:t>D</w:t>
            </w:r>
          </w:p>
        </w:tc>
      </w:tr>
      <w:tr w:rsidR="00DC1E28" w:rsidRPr="00DC1E28" w:rsidTr="00DC1E28">
        <w:trPr>
          <w:trHeight w:val="20"/>
          <w:jc w:val="center"/>
        </w:trPr>
        <w:tc>
          <w:tcPr>
            <w:tcW w:w="658" w:type="dxa"/>
          </w:tcPr>
          <w:p w:rsidR="00DC1E28" w:rsidRPr="00DC1E28" w:rsidRDefault="00DC1E28" w:rsidP="00DC1E28">
            <w:pPr>
              <w:pStyle w:val="Prrafodelista"/>
              <w:spacing w:line="276" w:lineRule="auto"/>
              <w:ind w:left="0"/>
              <w:jc w:val="center"/>
              <w:rPr>
                <w:rFonts w:ascii="ITC Avant Garde" w:hAnsi="ITC Avant Garde"/>
                <w:b/>
                <w:bCs/>
                <w:sz w:val="14"/>
                <w:szCs w:val="16"/>
                <w:lang w:eastAsia="es-MX"/>
              </w:rPr>
            </w:pPr>
            <w:r w:rsidRPr="00DC1E28">
              <w:rPr>
                <w:rFonts w:ascii="ITC Avant Garde" w:hAnsi="ITC Avant Garde"/>
                <w:b/>
                <w:bCs/>
                <w:sz w:val="14"/>
                <w:szCs w:val="16"/>
                <w:lang w:eastAsia="es-MX"/>
              </w:rPr>
              <w:t>4</w:t>
            </w:r>
          </w:p>
        </w:tc>
        <w:tc>
          <w:tcPr>
            <w:tcW w:w="1072" w:type="dxa"/>
          </w:tcPr>
          <w:p w:rsidR="00DC1E28" w:rsidRPr="00DC1E28" w:rsidRDefault="00DC1E28" w:rsidP="00DC1E28">
            <w:pPr>
              <w:pStyle w:val="Prrafodelista"/>
              <w:spacing w:line="276" w:lineRule="auto"/>
              <w:ind w:left="0"/>
              <w:jc w:val="center"/>
              <w:rPr>
                <w:rFonts w:ascii="ITC Avant Garde" w:hAnsi="ITC Avant Garde"/>
                <w:bCs/>
                <w:sz w:val="14"/>
                <w:szCs w:val="18"/>
                <w:lang w:eastAsia="es-MX"/>
              </w:rPr>
            </w:pPr>
            <w:r w:rsidRPr="00DC1E28">
              <w:rPr>
                <w:rFonts w:ascii="ITC Avant Garde" w:hAnsi="ITC Avant Garde"/>
                <w:bCs/>
                <w:sz w:val="14"/>
                <w:szCs w:val="18"/>
                <w:lang w:eastAsia="es-MX"/>
              </w:rPr>
              <w:t>XHUAMR-FM</w:t>
            </w:r>
          </w:p>
        </w:tc>
        <w:tc>
          <w:tcPr>
            <w:tcW w:w="1204" w:type="dxa"/>
          </w:tcPr>
          <w:p w:rsidR="00DC1E28" w:rsidRPr="00DC1E28" w:rsidRDefault="00DC1E28" w:rsidP="00DC1E28">
            <w:pPr>
              <w:pStyle w:val="Prrafodelista"/>
              <w:spacing w:line="276" w:lineRule="auto"/>
              <w:ind w:left="0"/>
              <w:jc w:val="center"/>
              <w:rPr>
                <w:rFonts w:ascii="ITC Avant Garde" w:hAnsi="ITC Avant Garde"/>
                <w:bCs/>
                <w:sz w:val="14"/>
                <w:szCs w:val="18"/>
                <w:lang w:eastAsia="es-MX"/>
              </w:rPr>
            </w:pPr>
            <w:r w:rsidRPr="00DC1E28">
              <w:rPr>
                <w:rFonts w:ascii="ITC Avant Garde" w:hAnsi="ITC Avant Garde"/>
                <w:bCs/>
                <w:sz w:val="14"/>
                <w:szCs w:val="18"/>
                <w:lang w:eastAsia="es-MX"/>
              </w:rPr>
              <w:t>94.1</w:t>
            </w:r>
          </w:p>
        </w:tc>
        <w:tc>
          <w:tcPr>
            <w:tcW w:w="1104" w:type="dxa"/>
          </w:tcPr>
          <w:p w:rsidR="00DC1E28" w:rsidRPr="00DC1E28" w:rsidRDefault="00DC1E28" w:rsidP="00DC1E28">
            <w:pPr>
              <w:pStyle w:val="Prrafodelista"/>
              <w:spacing w:line="276" w:lineRule="auto"/>
              <w:ind w:left="0"/>
              <w:jc w:val="center"/>
              <w:rPr>
                <w:rFonts w:ascii="ITC Avant Garde" w:hAnsi="ITC Avant Garde"/>
                <w:bCs/>
                <w:sz w:val="14"/>
                <w:szCs w:val="18"/>
                <w:lang w:eastAsia="es-MX"/>
              </w:rPr>
            </w:pPr>
            <w:r w:rsidRPr="00DC1E28">
              <w:rPr>
                <w:rFonts w:ascii="ITC Avant Garde" w:hAnsi="ITC Avant Garde"/>
                <w:bCs/>
                <w:sz w:val="14"/>
                <w:szCs w:val="18"/>
                <w:lang w:eastAsia="es-MX"/>
              </w:rPr>
              <w:t>Ciudad de México</w:t>
            </w:r>
          </w:p>
        </w:tc>
        <w:tc>
          <w:tcPr>
            <w:tcW w:w="3187" w:type="dxa"/>
          </w:tcPr>
          <w:p w:rsidR="00DC1E28" w:rsidRPr="00DC1E28" w:rsidRDefault="00DC1E28" w:rsidP="00DC1E28">
            <w:pPr>
              <w:pStyle w:val="Prrafodelista"/>
              <w:spacing w:line="276" w:lineRule="auto"/>
              <w:ind w:left="0"/>
              <w:jc w:val="both"/>
              <w:rPr>
                <w:rFonts w:ascii="ITC Avant Garde" w:hAnsi="ITC Avant Garde"/>
                <w:bCs/>
                <w:sz w:val="14"/>
                <w:szCs w:val="18"/>
                <w:lang w:eastAsia="es-MX"/>
              </w:rPr>
            </w:pPr>
            <w:r w:rsidRPr="00DC1E28">
              <w:rPr>
                <w:rFonts w:ascii="ITC Avant Garde" w:hAnsi="ITC Avant Garde"/>
                <w:bCs/>
                <w:sz w:val="14"/>
                <w:szCs w:val="18"/>
                <w:lang w:eastAsia="es-MX"/>
              </w:rPr>
              <w:t xml:space="preserve">Prolongación Canal de Miramontes No. 3855, Col. Ex Hacienda San Juan de Dios, Deleg. Tlalpan, Ciudad de México.  </w:t>
            </w:r>
          </w:p>
        </w:tc>
        <w:tc>
          <w:tcPr>
            <w:tcW w:w="1275" w:type="dxa"/>
          </w:tcPr>
          <w:p w:rsidR="00DC1E28" w:rsidRPr="00DC1E28" w:rsidRDefault="00DC1E28" w:rsidP="00DC1E28">
            <w:pPr>
              <w:jc w:val="center"/>
            </w:pPr>
            <w:r w:rsidRPr="00DC1E28">
              <w:rPr>
                <w:rFonts w:ascii="ITC Avant Garde" w:hAnsi="ITC Avant Garde"/>
                <w:bCs/>
                <w:sz w:val="14"/>
                <w:szCs w:val="18"/>
                <w:lang w:eastAsia="es-MX"/>
              </w:rPr>
              <w:t>D</w:t>
            </w:r>
          </w:p>
        </w:tc>
      </w:tr>
      <w:tr w:rsidR="00DC1E28" w:rsidRPr="00DC1E28" w:rsidTr="00DC1E28">
        <w:trPr>
          <w:trHeight w:val="20"/>
          <w:jc w:val="center"/>
        </w:trPr>
        <w:tc>
          <w:tcPr>
            <w:tcW w:w="658" w:type="dxa"/>
          </w:tcPr>
          <w:p w:rsidR="00DC1E28" w:rsidRPr="00DC1E28" w:rsidRDefault="00DC1E28" w:rsidP="00DC1E28">
            <w:pPr>
              <w:pStyle w:val="Prrafodelista"/>
              <w:spacing w:line="276" w:lineRule="auto"/>
              <w:ind w:left="0"/>
              <w:jc w:val="center"/>
              <w:rPr>
                <w:rFonts w:ascii="ITC Avant Garde" w:hAnsi="ITC Avant Garde"/>
                <w:b/>
                <w:bCs/>
                <w:sz w:val="14"/>
                <w:szCs w:val="16"/>
                <w:lang w:eastAsia="es-MX"/>
              </w:rPr>
            </w:pPr>
            <w:r w:rsidRPr="00DC1E28">
              <w:rPr>
                <w:rFonts w:ascii="ITC Avant Garde" w:hAnsi="ITC Avant Garde"/>
                <w:b/>
                <w:bCs/>
                <w:sz w:val="14"/>
                <w:szCs w:val="16"/>
                <w:lang w:eastAsia="es-MX"/>
              </w:rPr>
              <w:t>5</w:t>
            </w:r>
          </w:p>
        </w:tc>
        <w:tc>
          <w:tcPr>
            <w:tcW w:w="1072" w:type="dxa"/>
          </w:tcPr>
          <w:p w:rsidR="00DC1E28" w:rsidRPr="00DC1E28" w:rsidRDefault="00DC1E28" w:rsidP="00DC1E28">
            <w:pPr>
              <w:pStyle w:val="Prrafodelista"/>
              <w:spacing w:line="276" w:lineRule="auto"/>
              <w:ind w:left="0"/>
              <w:jc w:val="center"/>
              <w:rPr>
                <w:rFonts w:ascii="ITC Avant Garde" w:hAnsi="ITC Avant Garde"/>
                <w:bCs/>
                <w:sz w:val="14"/>
                <w:szCs w:val="18"/>
                <w:lang w:eastAsia="es-MX"/>
              </w:rPr>
            </w:pPr>
            <w:r w:rsidRPr="00DC1E28">
              <w:rPr>
                <w:rFonts w:ascii="ITC Avant Garde" w:hAnsi="ITC Avant Garde"/>
                <w:bCs/>
                <w:sz w:val="14"/>
                <w:szCs w:val="18"/>
                <w:lang w:eastAsia="es-MX"/>
              </w:rPr>
              <w:t>XHUAMX-FM</w:t>
            </w:r>
          </w:p>
        </w:tc>
        <w:tc>
          <w:tcPr>
            <w:tcW w:w="1204" w:type="dxa"/>
          </w:tcPr>
          <w:p w:rsidR="00DC1E28" w:rsidRPr="00DC1E28" w:rsidRDefault="00DC1E28" w:rsidP="00DC1E28">
            <w:pPr>
              <w:pStyle w:val="Prrafodelista"/>
              <w:spacing w:line="276" w:lineRule="auto"/>
              <w:ind w:left="0"/>
              <w:jc w:val="center"/>
              <w:rPr>
                <w:rFonts w:ascii="ITC Avant Garde" w:hAnsi="ITC Avant Garde"/>
                <w:bCs/>
                <w:sz w:val="14"/>
                <w:szCs w:val="18"/>
                <w:lang w:eastAsia="es-MX"/>
              </w:rPr>
            </w:pPr>
            <w:r w:rsidRPr="00DC1E28">
              <w:rPr>
                <w:rFonts w:ascii="ITC Avant Garde" w:hAnsi="ITC Avant Garde"/>
                <w:bCs/>
                <w:sz w:val="14"/>
                <w:szCs w:val="18"/>
                <w:lang w:eastAsia="es-MX"/>
              </w:rPr>
              <w:t>94.1</w:t>
            </w:r>
          </w:p>
        </w:tc>
        <w:tc>
          <w:tcPr>
            <w:tcW w:w="1104" w:type="dxa"/>
          </w:tcPr>
          <w:p w:rsidR="00DC1E28" w:rsidRPr="00DC1E28" w:rsidRDefault="00DC1E28" w:rsidP="00DC1E28">
            <w:pPr>
              <w:pStyle w:val="Prrafodelista"/>
              <w:spacing w:line="276" w:lineRule="auto"/>
              <w:ind w:left="0"/>
              <w:jc w:val="center"/>
              <w:rPr>
                <w:rFonts w:ascii="ITC Avant Garde" w:hAnsi="ITC Avant Garde"/>
                <w:bCs/>
                <w:sz w:val="14"/>
                <w:szCs w:val="18"/>
                <w:lang w:eastAsia="es-MX"/>
              </w:rPr>
            </w:pPr>
            <w:r w:rsidRPr="00DC1E28">
              <w:rPr>
                <w:rFonts w:ascii="ITC Avant Garde" w:hAnsi="ITC Avant Garde"/>
                <w:bCs/>
                <w:sz w:val="14"/>
                <w:szCs w:val="18"/>
                <w:lang w:eastAsia="es-MX"/>
              </w:rPr>
              <w:t>Ciudad de México</w:t>
            </w:r>
          </w:p>
        </w:tc>
        <w:tc>
          <w:tcPr>
            <w:tcW w:w="3187" w:type="dxa"/>
          </w:tcPr>
          <w:p w:rsidR="00DC1E28" w:rsidRPr="00DC1E28" w:rsidRDefault="00DC1E28" w:rsidP="00DC1E28">
            <w:pPr>
              <w:pStyle w:val="Prrafodelista"/>
              <w:spacing w:line="276" w:lineRule="auto"/>
              <w:ind w:left="0"/>
              <w:jc w:val="both"/>
              <w:rPr>
                <w:rFonts w:ascii="ITC Avant Garde" w:hAnsi="ITC Avant Garde"/>
                <w:bCs/>
                <w:sz w:val="14"/>
                <w:szCs w:val="18"/>
                <w:lang w:eastAsia="es-MX"/>
              </w:rPr>
            </w:pPr>
            <w:r w:rsidRPr="00DC1E28">
              <w:rPr>
                <w:rFonts w:ascii="ITC Avant Garde" w:hAnsi="ITC Avant Garde"/>
                <w:bCs/>
                <w:sz w:val="14"/>
                <w:szCs w:val="18"/>
                <w:lang w:eastAsia="es-MX"/>
              </w:rPr>
              <w:t>Calzada del Hueso No. 1100, Col. Villa Quietud, Deleg. Coayoacán, Ciudad de México.</w:t>
            </w:r>
          </w:p>
        </w:tc>
        <w:tc>
          <w:tcPr>
            <w:tcW w:w="1275" w:type="dxa"/>
          </w:tcPr>
          <w:p w:rsidR="00DC1E28" w:rsidRPr="00DC1E28" w:rsidRDefault="00DC1E28" w:rsidP="00DC1E28">
            <w:pPr>
              <w:jc w:val="center"/>
            </w:pPr>
            <w:r w:rsidRPr="00DC1E28">
              <w:rPr>
                <w:rFonts w:ascii="ITC Avant Garde" w:hAnsi="ITC Avant Garde"/>
                <w:bCs/>
                <w:sz w:val="14"/>
                <w:szCs w:val="18"/>
                <w:lang w:eastAsia="es-MX"/>
              </w:rPr>
              <w:t>D</w:t>
            </w:r>
          </w:p>
        </w:tc>
      </w:tr>
    </w:tbl>
    <w:p w:rsidR="00DC1E28" w:rsidRPr="00DC1E28" w:rsidRDefault="00E86505" w:rsidP="00DC1E28">
      <w:pPr>
        <w:spacing w:before="240"/>
        <w:jc w:val="both"/>
      </w:pPr>
      <w:r w:rsidRPr="00DC1E28">
        <w:rPr>
          <w:rFonts w:ascii="ITC Avant Garde" w:hAnsi="ITC Avant Garde"/>
          <w:bCs/>
        </w:rPr>
        <w:t xml:space="preserve">Ahora bien, es importante señalar que dichas estaciones operan simultáneamente trasmitiendo la misma programación como se puede observar en la información programática presentada en el año 2016, para las estaciones en comento en términos del “Acuerdo por el que se integra en un solo documento, la información técnica, programática, estadística y económica que los concesionarios y permisionarios de radiodifusión deben exhibir anualmente a las secretarías de Comunicaciones y Transportes y de Gobernación, publicado el 30 de abril de 1997” publicado en el DOF </w:t>
      </w:r>
      <w:r w:rsidRPr="00DC1E28">
        <w:rPr>
          <w:rFonts w:ascii="ITC Avant Garde" w:hAnsi="ITC Avant Garde"/>
          <w:bCs/>
        </w:rPr>
        <w:lastRenderedPageBreak/>
        <w:t>con fecha 28 de junio de 2013, transmiten la misma programación, es decir, que funcionan como una red para proveer el servicio de radiodifusión en frecuencia modula cuya población principal a servir es la Ciudad de México.</w:t>
      </w:r>
    </w:p>
    <w:p w:rsidR="00DC1E28" w:rsidRPr="00DC1E28" w:rsidRDefault="00E86505" w:rsidP="00DC1E28">
      <w:pPr>
        <w:spacing w:before="240" w:line="276" w:lineRule="auto"/>
        <w:jc w:val="both"/>
        <w:textAlignment w:val="auto"/>
      </w:pPr>
      <w:r w:rsidRPr="00DC1E28">
        <w:rPr>
          <w:rFonts w:ascii="ITC Avant Garde" w:hAnsi="ITC Avant Garde"/>
          <w:b/>
          <w:bCs/>
          <w:kern w:val="3"/>
          <w:lang w:eastAsia="ar-SA"/>
        </w:rPr>
        <w:t xml:space="preserve">B. Dictamen técnico. </w:t>
      </w:r>
      <w:r w:rsidRPr="00DC1E28">
        <w:rPr>
          <w:rFonts w:ascii="ITC Avant Garde" w:hAnsi="ITC Avant Garde"/>
          <w:bCs/>
          <w:kern w:val="3"/>
          <w:lang w:eastAsia="ar-SA"/>
        </w:rPr>
        <w:t xml:space="preserve">Con oficio </w:t>
      </w:r>
      <w:r w:rsidRPr="00DC1E28">
        <w:rPr>
          <w:rFonts w:ascii="ITC Avant Garde" w:hAnsi="ITC Avant Garde"/>
          <w:bCs/>
          <w:lang w:val="es-ES"/>
        </w:rPr>
        <w:t>IFT/222/UER/DG-IEET/0703/2017 de fecha 25 de mayo de 2017, señalado en el Antecedente VIII</w:t>
      </w:r>
      <w:r w:rsidRPr="00DC1E28">
        <w:rPr>
          <w:rFonts w:ascii="ITC Avant Garde" w:hAnsi="ITC Avant Garde"/>
          <w:bCs/>
          <w:kern w:val="3"/>
          <w:lang w:eastAsia="ar-SA"/>
        </w:rPr>
        <w:t xml:space="preserve"> </w:t>
      </w:r>
      <w:r w:rsidRPr="00DC1E28">
        <w:rPr>
          <w:rFonts w:ascii="ITC Avant Garde" w:hAnsi="ITC Avant Garde"/>
          <w:bCs/>
          <w:color w:val="000000"/>
          <w:lang w:eastAsia="es-MX"/>
        </w:rPr>
        <w:t>la Dirección General de Ingeniería del Espectro y Estudios Técnicos adscrita a la UER</w:t>
      </w:r>
      <w:r w:rsidRPr="00DC1E28">
        <w:rPr>
          <w:rFonts w:ascii="ITC Avant Garde" w:hAnsi="ITC Avant Garde"/>
          <w:bCs/>
        </w:rPr>
        <w:t xml:space="preserve">, emitió dictamen </w:t>
      </w:r>
      <w:r w:rsidRPr="00DC1E28">
        <w:rPr>
          <w:rFonts w:ascii="ITC Avant Garde" w:hAnsi="ITC Avant Garde"/>
          <w:bCs/>
          <w:lang w:val="es-ES"/>
        </w:rPr>
        <w:t>señalando lo siguiente:</w:t>
      </w:r>
    </w:p>
    <w:p w:rsidR="004C6E61" w:rsidRPr="00DC1E28" w:rsidRDefault="00E86505" w:rsidP="00DC1E28">
      <w:pPr>
        <w:spacing w:before="240" w:line="276" w:lineRule="auto"/>
        <w:ind w:left="567" w:right="474"/>
        <w:jc w:val="center"/>
        <w:textAlignment w:val="auto"/>
      </w:pPr>
      <w:r w:rsidRPr="00DC1E28">
        <w:rPr>
          <w:rFonts w:ascii="ITC Avant Garde" w:hAnsi="ITC Avant Garde"/>
          <w:b/>
          <w:bCs/>
          <w:sz w:val="21"/>
          <w:szCs w:val="21"/>
          <w:lang w:val="es-ES"/>
        </w:rPr>
        <w:t>“Dictamen</w:t>
      </w:r>
      <w:r w:rsidRPr="00DC1E28">
        <w:rPr>
          <w:rFonts w:ascii="ITC Avant Garde" w:hAnsi="ITC Avant Garde"/>
          <w:b/>
          <w:bCs/>
          <w:sz w:val="21"/>
          <w:szCs w:val="21"/>
          <w:lang w:val="es-ES"/>
        </w:rPr>
        <w:br/>
        <w:t>Técnicamente Factible</w:t>
      </w:r>
    </w:p>
    <w:p w:rsidR="004C6E61" w:rsidRPr="00DC1E28" w:rsidRDefault="00E86505" w:rsidP="00DC1E28">
      <w:pPr>
        <w:spacing w:before="240" w:line="276" w:lineRule="auto"/>
        <w:ind w:left="567" w:right="474"/>
        <w:jc w:val="both"/>
        <w:textAlignment w:val="auto"/>
        <w:rPr>
          <w:rFonts w:ascii="ITC Avant Garde" w:hAnsi="ITC Avant Garde"/>
          <w:bCs/>
          <w:sz w:val="21"/>
          <w:szCs w:val="21"/>
          <w:lang w:val="es-ES"/>
        </w:rPr>
      </w:pPr>
      <w:r w:rsidRPr="00DC1E28">
        <w:rPr>
          <w:rFonts w:ascii="ITC Avant Garde" w:hAnsi="ITC Avant Garde"/>
          <w:bCs/>
          <w:sz w:val="21"/>
          <w:szCs w:val="21"/>
          <w:lang w:val="es-ES"/>
        </w:rPr>
        <w:t>Después de realizados los estudios y análisis técnicos correspondientes se determinó técnicamente factible la autorización de las modificaciones técnicas solicitadas, condicionadas al cese de operaciones de las estaciones: XHUAMR-FM, XHAUMX-FM, XHUAMA-FM, XHUAMI-FM operando en la frecuencia 94.1 MHz, en la Ciudad de México…</w:t>
      </w:r>
    </w:p>
    <w:p w:rsidR="004C6E61" w:rsidRPr="00DC1E28" w:rsidRDefault="00E86505" w:rsidP="00DC1E28">
      <w:pPr>
        <w:spacing w:before="240" w:line="276" w:lineRule="auto"/>
        <w:ind w:left="567" w:right="474"/>
        <w:jc w:val="center"/>
        <w:textAlignment w:val="auto"/>
        <w:rPr>
          <w:rFonts w:ascii="ITC Avant Garde" w:hAnsi="ITC Avant Garde"/>
          <w:b/>
          <w:bCs/>
          <w:sz w:val="21"/>
          <w:szCs w:val="21"/>
          <w:lang w:val="es-ES"/>
        </w:rPr>
      </w:pPr>
      <w:r w:rsidRPr="00DC1E28">
        <w:rPr>
          <w:rFonts w:ascii="ITC Avant Garde" w:hAnsi="ITC Avant Garde"/>
          <w:b/>
          <w:bCs/>
          <w:sz w:val="21"/>
          <w:szCs w:val="21"/>
          <w:lang w:val="es-ES"/>
        </w:rPr>
        <w:t>Observaciones específicas</w:t>
      </w:r>
    </w:p>
    <w:p w:rsidR="004C6E61" w:rsidRPr="00DC1E28" w:rsidRDefault="00E86505" w:rsidP="00DC1E28">
      <w:pPr>
        <w:pStyle w:val="Prrafodelista"/>
        <w:numPr>
          <w:ilvl w:val="0"/>
          <w:numId w:val="4"/>
        </w:numPr>
        <w:spacing w:before="240" w:after="160" w:line="276" w:lineRule="auto"/>
        <w:ind w:right="474"/>
        <w:jc w:val="both"/>
        <w:textAlignment w:val="auto"/>
        <w:rPr>
          <w:rFonts w:ascii="ITC Avant Garde" w:hAnsi="ITC Avant Garde"/>
          <w:bCs/>
          <w:sz w:val="21"/>
          <w:szCs w:val="21"/>
          <w:lang w:val="es-ES"/>
        </w:rPr>
      </w:pPr>
      <w:r w:rsidRPr="00DC1E28">
        <w:rPr>
          <w:rFonts w:ascii="ITC Avant Garde" w:hAnsi="ITC Avant Garde"/>
          <w:bCs/>
          <w:sz w:val="21"/>
          <w:szCs w:val="21"/>
          <w:lang w:val="es-ES"/>
        </w:rPr>
        <w:t>En caso de emitir una resolución favorable al solicitante, este deberá condicionarse al cese de operaciones de las estaciones: XHUAMR-FM, XHAUMX-FM, XHUAMA-FM, XHUAMI-FM que operan en la Ciudad de México en los diferentes Campus de la Universidad Autónoma Metropolitana en la frecuencia 94.1 MHz., tal y como lo manifiesta el solicitante a efecto de garantizar el adecuado funcionamiento de la estación que se dictamina</w:t>
      </w:r>
    </w:p>
    <w:p w:rsidR="00DC1E28" w:rsidRPr="00DC1E28" w:rsidRDefault="00E86505" w:rsidP="00DC1E28">
      <w:pPr>
        <w:pStyle w:val="Prrafodelista"/>
        <w:numPr>
          <w:ilvl w:val="0"/>
          <w:numId w:val="4"/>
        </w:numPr>
        <w:spacing w:before="240" w:after="160" w:line="276" w:lineRule="auto"/>
        <w:ind w:right="474"/>
        <w:jc w:val="both"/>
        <w:textAlignment w:val="auto"/>
        <w:rPr>
          <w:rFonts w:ascii="ITC Avant Garde" w:hAnsi="ITC Avant Garde"/>
          <w:bCs/>
          <w:sz w:val="21"/>
          <w:szCs w:val="21"/>
          <w:lang w:val="es-ES"/>
        </w:rPr>
      </w:pPr>
      <w:r w:rsidRPr="00DC1E28">
        <w:rPr>
          <w:rFonts w:ascii="ITC Avant Garde" w:hAnsi="ITC Avant Garde"/>
          <w:bCs/>
          <w:sz w:val="21"/>
          <w:szCs w:val="21"/>
          <w:lang w:val="es-ES"/>
        </w:rPr>
        <w:t>… la documentación técnica presentada consistente en Estudio de predicción de Área de Servicio (AS-FM), cuenta con los elementos necesarios para su registro</w:t>
      </w:r>
    </w:p>
    <w:p w:rsidR="00DC1E28" w:rsidRPr="00DC1E28" w:rsidRDefault="00E86505" w:rsidP="00DC1E28">
      <w:pPr>
        <w:pStyle w:val="Prrafodelista"/>
        <w:spacing w:before="240" w:after="160" w:line="276" w:lineRule="auto"/>
        <w:ind w:left="927" w:right="474"/>
        <w:jc w:val="both"/>
        <w:textAlignment w:val="auto"/>
        <w:rPr>
          <w:rFonts w:ascii="ITC Avant Garde" w:hAnsi="ITC Avant Garde"/>
          <w:bCs/>
          <w:sz w:val="21"/>
          <w:szCs w:val="21"/>
          <w:lang w:val="es-ES"/>
        </w:rPr>
      </w:pPr>
      <w:r w:rsidRPr="00DC1E28">
        <w:rPr>
          <w:rFonts w:ascii="ITC Avant Garde" w:hAnsi="ITC Avant Garde"/>
          <w:bCs/>
          <w:sz w:val="21"/>
          <w:szCs w:val="21"/>
          <w:lang w:val="es-ES"/>
        </w:rPr>
        <w:t>(…)”</w:t>
      </w:r>
    </w:p>
    <w:p w:rsidR="00DC1E28" w:rsidRPr="00DC1E28" w:rsidRDefault="00E86505" w:rsidP="00DC1E28">
      <w:pPr>
        <w:spacing w:before="240" w:line="276" w:lineRule="auto"/>
        <w:jc w:val="both"/>
        <w:textAlignment w:val="auto"/>
      </w:pPr>
      <w:r w:rsidRPr="00DC1E28">
        <w:rPr>
          <w:rFonts w:ascii="ITC Avant Garde" w:hAnsi="ITC Avant Garde"/>
          <w:bCs/>
          <w:kern w:val="3"/>
          <w:lang w:eastAsia="ar-SA"/>
        </w:rPr>
        <w:t xml:space="preserve">Adicionalmente, del dictamen de la Dirección General de Ingeniería del Espectro Radioeléctrico y Estudios Técnicos, se advierte que de autorizarse los nuevos parámetros solicitados a la estación </w:t>
      </w:r>
      <w:r w:rsidRPr="00DC1E28">
        <w:rPr>
          <w:rFonts w:ascii="ITC Avant Garde" w:hAnsi="ITC Avant Garde"/>
          <w:b/>
          <w:bCs/>
          <w:kern w:val="3"/>
          <w:lang w:eastAsia="ar-SA"/>
        </w:rPr>
        <w:t>XHUAMC-FM,</w:t>
      </w:r>
      <w:r w:rsidRPr="00DC1E28">
        <w:rPr>
          <w:rFonts w:ascii="ITC Avant Garde" w:hAnsi="ITC Avant Garde"/>
          <w:bCs/>
          <w:kern w:val="3"/>
          <w:lang w:eastAsia="ar-SA"/>
        </w:rPr>
        <w:t xml:space="preserve"> ésta tendría un alcance máximo de 27 Km con una potencia limitada de 3 kW, con lo cual se ubicaría dentro del rango definido en la Disposición IFT-02-2016 para una estación clase “A”.</w:t>
      </w:r>
    </w:p>
    <w:p w:rsidR="004C6E61" w:rsidRPr="00DC1E28" w:rsidRDefault="00E86505" w:rsidP="00DC1E28">
      <w:pPr>
        <w:spacing w:before="240" w:line="276" w:lineRule="auto"/>
        <w:jc w:val="both"/>
        <w:textAlignment w:val="auto"/>
      </w:pPr>
      <w:r w:rsidRPr="00DC1E28">
        <w:rPr>
          <w:rFonts w:ascii="ITC Avant Garde" w:hAnsi="ITC Avant Garde"/>
          <w:bCs/>
          <w:kern w:val="3"/>
          <w:lang w:eastAsia="ar-SA"/>
        </w:rPr>
        <w:t>Es importante señalar, que el alcance promedio de las cinco estaciones es de 20 km y con la modificación propuesta la estación XHUAMC-FM tendría un alcance promedio de 2</w:t>
      </w:r>
      <w:r w:rsidR="00FF1C26" w:rsidRPr="00DC1E28">
        <w:rPr>
          <w:rFonts w:ascii="ITC Avant Garde" w:hAnsi="ITC Avant Garde"/>
          <w:bCs/>
          <w:kern w:val="3"/>
          <w:lang w:eastAsia="ar-SA"/>
        </w:rPr>
        <w:t>4</w:t>
      </w:r>
      <w:r w:rsidRPr="00DC1E28">
        <w:rPr>
          <w:rFonts w:ascii="ITC Avant Garde" w:hAnsi="ITC Avant Garde"/>
          <w:bCs/>
          <w:kern w:val="3"/>
          <w:lang w:eastAsia="ar-SA"/>
        </w:rPr>
        <w:t xml:space="preserve"> km,</w:t>
      </w:r>
      <w:r w:rsidR="00FF1C26" w:rsidRPr="00DC1E28">
        <w:rPr>
          <w:rFonts w:ascii="ITC Avant Garde" w:hAnsi="ITC Avant Garde"/>
          <w:bCs/>
          <w:kern w:val="3"/>
          <w:lang w:eastAsia="ar-SA"/>
        </w:rPr>
        <w:t xml:space="preserve"> lo que corresponde a una estación clase “A”,</w:t>
      </w:r>
      <w:r w:rsidRPr="00DC1E28">
        <w:rPr>
          <w:rFonts w:ascii="ITC Avant Garde" w:hAnsi="ITC Avant Garde"/>
          <w:bCs/>
          <w:kern w:val="3"/>
          <w:lang w:eastAsia="ar-SA"/>
        </w:rPr>
        <w:t xml:space="preserve"> lo cual representaría un incremento del 12.94% de la cobertura poblacional considerando la suma de las áreas de servicio de las estaciones de radiodifusión sonora con distintivo de llamada XHUAMR-</w:t>
      </w:r>
      <w:r w:rsidRPr="00DC1E28">
        <w:rPr>
          <w:rFonts w:ascii="ITC Avant Garde" w:hAnsi="ITC Avant Garde"/>
          <w:bCs/>
          <w:kern w:val="3"/>
          <w:lang w:eastAsia="ar-SA"/>
        </w:rPr>
        <w:lastRenderedPageBreak/>
        <w:t>FM, XHUAMX-FM, XHUAMA-FM y XHUAMI-FM, que opera el Concesionario de manera simultánea, lo cual puede observarse en la siguiente gráfica:</w:t>
      </w:r>
    </w:p>
    <w:p w:rsidR="004C6E61" w:rsidRPr="00DC1E28" w:rsidRDefault="00E86505" w:rsidP="00DC1E28">
      <w:pPr>
        <w:spacing w:before="240" w:line="276" w:lineRule="auto"/>
        <w:jc w:val="center"/>
        <w:textAlignment w:val="auto"/>
      </w:pPr>
      <w:r w:rsidRPr="00DC1E28">
        <w:rPr>
          <w:noProof/>
          <w:lang w:eastAsia="es-MX"/>
        </w:rPr>
        <w:drawing>
          <wp:inline distT="0" distB="0" distL="0" distR="0">
            <wp:extent cx="3073033" cy="2780278"/>
            <wp:effectExtent l="0" t="0" r="0" b="1270"/>
            <wp:docPr id="1" name="Imagen 8" descr="La imagen ilustra la cobertura poblacional o área de servicio de las estaciones de radiodifusión sonora con distintivo de llamada XHUAMR-FM, XHUAMX-FM, XHUAMA-FM y XHUAMI-FM, que opera la UAM de manera simultánea." title="Äreas de servicio de estaciones de la UA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073033" cy="2780278"/>
                    </a:xfrm>
                    <a:prstGeom prst="rect">
                      <a:avLst/>
                    </a:prstGeom>
                    <a:noFill/>
                    <a:ln>
                      <a:noFill/>
                      <a:prstDash/>
                    </a:ln>
                  </pic:spPr>
                </pic:pic>
              </a:graphicData>
            </a:graphic>
          </wp:inline>
        </w:drawing>
      </w:r>
    </w:p>
    <w:p w:rsidR="004C6E61" w:rsidRPr="00DC1E28" w:rsidRDefault="00E86505" w:rsidP="00DC1E28">
      <w:pPr>
        <w:spacing w:before="240" w:line="240" w:lineRule="auto"/>
        <w:ind w:left="2124"/>
      </w:pPr>
      <w:r w:rsidRPr="00DC1E28">
        <w:rPr>
          <w:noProof/>
          <w:sz w:val="16"/>
          <w:lang w:eastAsia="es-MX"/>
        </w:rPr>
        <mc:AlternateContent>
          <mc:Choice Requires="wps">
            <w:drawing>
              <wp:inline distT="0" distB="0" distL="0" distR="0">
                <wp:extent cx="93982" cy="0"/>
                <wp:effectExtent l="0" t="0" r="20320" b="19050"/>
                <wp:docPr id="2" name="Conector recto 5" descr="La imagen se refiere a una línea en color amarillo, que hace referencia a un marcador de la ilustración de la cobertura de radiodifusión de la UAM para referenciar un área de servicio determinada. " title="Referencia de color 1"/>
                <wp:cNvGraphicFramePr/>
                <a:graphic xmlns:a="http://schemas.openxmlformats.org/drawingml/2006/main">
                  <a:graphicData uri="http://schemas.microsoft.com/office/word/2010/wordprocessingShape">
                    <wps:wsp>
                      <wps:cNvCnPr/>
                      <wps:spPr>
                        <a:xfrm>
                          <a:off x="0" y="0"/>
                          <a:ext cx="93982" cy="0"/>
                        </a:xfrm>
                        <a:prstGeom prst="straightConnector1">
                          <a:avLst/>
                        </a:prstGeom>
                        <a:noFill/>
                        <a:ln w="12701" cap="flat">
                          <a:solidFill>
                            <a:srgbClr val="FFC000"/>
                          </a:solidFill>
                          <a:prstDash val="solid"/>
                          <a:miter/>
                        </a:ln>
                      </wps:spPr>
                      <wps:bodyPr/>
                    </wps:wsp>
                  </a:graphicData>
                </a:graphic>
              </wp:inline>
            </w:drawing>
          </mc:Choice>
          <mc:Fallback>
            <w:pict>
              <v:shapetype w14:anchorId="6BB96AAF" id="_x0000_t32" coordsize="21600,21600" o:spt="32" o:oned="t" path="m,l21600,21600e" filled="f">
                <v:path arrowok="t" fillok="f" o:connecttype="none"/>
                <o:lock v:ext="edit" shapetype="t"/>
              </v:shapetype>
              <v:shape id="Conector recto 5" o:spid="_x0000_s1026" type="#_x0000_t32" alt="Título: Referencia de color 1 - Descripción: La imagen se refiere a una línea en color amarillo, que hace referencia a un marcador de la ilustración de la cobertura de radiodifusión de la UAM para referenciar un área de servicio determinada. " style="width:7.4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" strokecolor="#ffc000" strokeweight=".35281mm">
                <v:stroke joinstyle="miter"/>
                <w10:anchorlock/>
              </v:shape>
            </w:pict>
          </mc:Fallback>
        </mc:AlternateContent>
      </w:r>
      <w:r w:rsidRPr="00DC1E28">
        <w:rPr>
          <w:sz w:val="16"/>
        </w:rPr>
        <w:t>Área de servicio de las 5 estaciones de la UAM (integradas, color amarillo, 60 dBu),</w:t>
      </w:r>
    </w:p>
    <w:p w:rsidR="00DC1E28" w:rsidRPr="00DC1E28" w:rsidRDefault="00E86505" w:rsidP="00DC1E28">
      <w:pPr>
        <w:spacing w:before="240" w:line="240" w:lineRule="auto"/>
        <w:ind w:left="2124"/>
      </w:pPr>
      <w:r w:rsidRPr="00DC1E28">
        <w:rPr>
          <w:noProof/>
          <w:sz w:val="16"/>
          <w:lang w:eastAsia="es-MX"/>
        </w:rPr>
        <mc:AlternateContent>
          <mc:Choice Requires="wps">
            <w:drawing>
              <wp:inline distT="0" distB="0" distL="0" distR="0">
                <wp:extent cx="93982" cy="0"/>
                <wp:effectExtent l="0" t="0" r="20320" b="19050"/>
                <wp:docPr id="3" name="Conector recto 3" descr="La imagen se refiere a una línea en color naranja, que hace referencia a un marcador de la ilustración de la cobertura de radiodifusión de la UAM para referenciar un área de servicio determinada. " title="Referencia de color 2"/>
                <wp:cNvGraphicFramePr/>
                <a:graphic xmlns:a="http://schemas.openxmlformats.org/drawingml/2006/main">
                  <a:graphicData uri="http://schemas.microsoft.com/office/word/2010/wordprocessingShape">
                    <wps:wsp>
                      <wps:cNvCnPr/>
                      <wps:spPr>
                        <a:xfrm>
                          <a:off x="0" y="0"/>
                          <a:ext cx="93982" cy="0"/>
                        </a:xfrm>
                        <a:prstGeom prst="straightConnector1">
                          <a:avLst/>
                        </a:prstGeom>
                        <a:noFill/>
                        <a:ln w="19046" cap="flat">
                          <a:solidFill>
                            <a:srgbClr val="ED7D31"/>
                          </a:solidFill>
                          <a:prstDash val="solid"/>
                          <a:miter/>
                        </a:ln>
                      </wps:spPr>
                      <wps:bodyPr/>
                    </wps:wsp>
                  </a:graphicData>
                </a:graphic>
              </wp:inline>
            </w:drawing>
          </mc:Choice>
          <mc:Fallback>
            <w:pict>
              <v:shape w14:anchorId="37C5A2B1" id="Conector recto 3" o:spid="_x0000_s1026" type="#_x0000_t32" alt="Título: Referencia de color 2 - Descripción: La imagen se refiere a una línea en color naranja, que hace referencia a un marcador de la ilustración de la cobertura de radiodifusión de la UAM para referenciar un área de servicio determinada. " style="width:7.4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" strokecolor="#ed7d31" strokeweight=".52906mm">
                <v:stroke joinstyle="miter"/>
                <w10:anchorlock/>
              </v:shape>
            </w:pict>
          </mc:Fallback>
        </mc:AlternateContent>
      </w:r>
      <w:r w:rsidRPr="00DC1E28">
        <w:rPr>
          <w:sz w:val="16"/>
        </w:rPr>
        <w:t>Área de servicio con la modificación Solicitada desde el Camus de Cuajimalpa (60 dBu)</w:t>
      </w:r>
    </w:p>
    <w:p w:rsidR="00DC1E28" w:rsidRPr="00DC1E28" w:rsidRDefault="00E86505" w:rsidP="00DC1E28">
      <w:pPr>
        <w:spacing w:before="240" w:line="276" w:lineRule="auto"/>
        <w:jc w:val="both"/>
        <w:textAlignment w:val="auto"/>
      </w:pPr>
      <w:r w:rsidRPr="00DC1E28">
        <w:rPr>
          <w:rFonts w:ascii="ITC Avant Garde" w:hAnsi="ITC Avant Garde"/>
          <w:bCs/>
          <w:kern w:val="3"/>
          <w:lang w:eastAsia="ar-SA"/>
        </w:rPr>
        <w:t xml:space="preserve">Asimismo, la Dirección General de Ingeniería del Espectro Radioeléctrico y Estudios Técnicos indica que con las modificaciones solicitadas existe un incremento de cobertura poblacional fuera del alcance máximo de la estación del 13.5 % (1,500,391 habitantes), con lo cual  brindará servicio adicional a los municipios de Milpa Alta en la Ciudad de México, Acolman, Atenco, Chalco, Chicoloapan, Chiconcuac, Temamatla, Tepetlaoxtoc, Texcoco, Tezoyuca, Tlalmanalco y Valle de Chalco Solidaridad en el Estado de México, dando como resultado un incremento del número de habitantes contenidos en el contorno de servicio audible de 74 dBu de 7,155,242 habitantes (equivalente al 271.19% de su cobertura autorizada, al </w:t>
      </w:r>
      <w:r w:rsidRPr="00DC1E28">
        <w:rPr>
          <w:rFonts w:ascii="ITC Avant Garde" w:hAnsi="ITC Avant Garde"/>
          <w:bCs/>
        </w:rPr>
        <w:t>considerar la suma de las áreas de servicio de las 5 estaciones, con las cuales brinda actualmente el servicio de radiodifusión sonora en la frecuencia modulada el Concesionario).</w:t>
      </w:r>
    </w:p>
    <w:p w:rsidR="00DC1E28" w:rsidRPr="00DC1E28" w:rsidRDefault="00E86505" w:rsidP="00DC1E28">
      <w:pPr>
        <w:spacing w:before="240" w:line="276" w:lineRule="auto"/>
        <w:jc w:val="both"/>
        <w:textAlignment w:val="auto"/>
      </w:pPr>
      <w:r w:rsidRPr="00DC1E28">
        <w:rPr>
          <w:rFonts w:ascii="ITC Avant Garde" w:hAnsi="ITC Avant Garde"/>
          <w:bCs/>
        </w:rPr>
        <w:t xml:space="preserve">No obstante lo anterior, considerando que se trata de una estación que opera bandas de frecuencias del espectro radioeléctrico para uso público y que de acuerdo a lo señalado anteriormente dichas concesiones son sin fines de lucro y se otorgan mediante asignación directa, aunado a que la modificación solicitada es técnicamente factible de acuerdo al dictamen emitido por la UER, al no generar ninguna interferencia perjudicial a estaciones existentes en la zona de interés, este Pleno considera que no existe ningún inconveniente en autorizar las modificaciones técnicas solicitadas las </w:t>
      </w:r>
      <w:r w:rsidRPr="00DC1E28">
        <w:rPr>
          <w:rFonts w:ascii="ITC Avant Garde" w:hAnsi="ITC Avant Garde"/>
          <w:bCs/>
        </w:rPr>
        <w:lastRenderedPageBreak/>
        <w:t>cuales implican un cambio de clase para la estación XHUAMC-FM. Sin embargo, dadas las implicaciones técnicas de operación, y atendiendo a los términos en los que el concesionario presentó su Solicitud, la presente autorización queda condicionada a la renuncia de las concesiones de bandas de frecuencias del espectro radioeléctrico para uso público de las estaciones con distintivo de llamada XHUAMR</w:t>
      </w:r>
      <w:r w:rsidRPr="00DC1E28">
        <w:rPr>
          <w:rFonts w:ascii="ITC Avant Garde" w:hAnsi="ITC Avant Garde"/>
          <w:bCs/>
          <w:kern w:val="3"/>
          <w:lang w:eastAsia="ar-SA"/>
        </w:rPr>
        <w:t>-FM, XHUAMX-FM, XHUAMA-FM y XHUAMI-FM que opera actualmente el concesionario de conformidad con lo señalado en el dictamen de UER</w:t>
      </w:r>
      <w:r w:rsidR="00FF1C26" w:rsidRPr="00DC1E28">
        <w:rPr>
          <w:rFonts w:ascii="ITC Avant Garde" w:hAnsi="ITC Avant Garde"/>
          <w:bCs/>
          <w:kern w:val="3"/>
          <w:lang w:eastAsia="ar-SA"/>
        </w:rPr>
        <w:t>, lo anterior considerando que no existe afectación en la continuidad del servicio debido a que con la modificación técnica solicitada para la estación XHUAMC-FM el Concesionario brindará servicio adicional a los municipios de Milpa Alta en la Ciudad de México, Acolman, Atenco, Chalco, Chicoloapan, Chiconcuac, Temamatla, Tepetlaoxtoc, Texcoco, Tezoyuca, Tlalmanalco y Valle de Chalco Solidaridad en el Estado de México</w:t>
      </w:r>
      <w:r w:rsidR="00F07658" w:rsidRPr="00DC1E28">
        <w:rPr>
          <w:rFonts w:ascii="ITC Avant Garde" w:hAnsi="ITC Avant Garde"/>
          <w:bCs/>
          <w:kern w:val="3"/>
          <w:lang w:eastAsia="ar-SA"/>
        </w:rPr>
        <w:t xml:space="preserve"> y no existen localidades o zonas servidas por las estaciones con distintivo de llamada XHUAMR-FM, XHUAMX-FM, XHUAMA-FM y XHUAMI-FM que con motivo de la presente modificación técnica que dejen de recibir el servicio de radiodifusión sonora por parte de la Concesionaria</w:t>
      </w:r>
      <w:r w:rsidRPr="00DC1E28">
        <w:rPr>
          <w:rFonts w:ascii="ITC Avant Garde" w:hAnsi="ITC Avant Garde"/>
          <w:bCs/>
          <w:kern w:val="3"/>
          <w:lang w:eastAsia="ar-SA"/>
        </w:rPr>
        <w:t>.</w:t>
      </w:r>
    </w:p>
    <w:p w:rsidR="00DC1E28" w:rsidRPr="00DC1E28" w:rsidRDefault="00E86505" w:rsidP="00DC1E28">
      <w:pPr>
        <w:spacing w:before="240" w:line="276" w:lineRule="auto"/>
        <w:jc w:val="both"/>
        <w:textAlignment w:val="auto"/>
      </w:pPr>
      <w:r w:rsidRPr="00DC1E28">
        <w:rPr>
          <w:rFonts w:ascii="ITC Avant Garde" w:hAnsi="ITC Avant Garde"/>
          <w:bCs/>
        </w:rPr>
        <w:t>En ese sentido, con el fin de que surta</w:t>
      </w:r>
      <w:r w:rsidR="008A6493" w:rsidRPr="00DC1E28">
        <w:rPr>
          <w:rFonts w:ascii="ITC Avant Garde" w:hAnsi="ITC Avant Garde"/>
          <w:bCs/>
        </w:rPr>
        <w:t>n</w:t>
      </w:r>
      <w:r w:rsidRPr="00DC1E28">
        <w:rPr>
          <w:rFonts w:ascii="ITC Avant Garde" w:hAnsi="ITC Avant Garde"/>
          <w:bCs/>
        </w:rPr>
        <w:t xml:space="preserve"> eficacia la</w:t>
      </w:r>
      <w:r w:rsidR="00522DB1" w:rsidRPr="00DC1E28">
        <w:rPr>
          <w:rFonts w:ascii="ITC Avant Garde" w:hAnsi="ITC Avant Garde"/>
          <w:bCs/>
        </w:rPr>
        <w:t>s</w:t>
      </w:r>
      <w:r w:rsidRPr="00DC1E28">
        <w:rPr>
          <w:rFonts w:ascii="ITC Avant Garde" w:hAnsi="ITC Avant Garde"/>
          <w:bCs/>
        </w:rPr>
        <w:t xml:space="preserve"> modificaci</w:t>
      </w:r>
      <w:r w:rsidR="00522DB1" w:rsidRPr="00DC1E28">
        <w:rPr>
          <w:rFonts w:ascii="ITC Avant Garde" w:hAnsi="ITC Avant Garde"/>
          <w:bCs/>
        </w:rPr>
        <w:t>ones</w:t>
      </w:r>
      <w:r w:rsidRPr="00DC1E28">
        <w:rPr>
          <w:rFonts w:ascii="ITC Avant Garde" w:hAnsi="ITC Avant Garde"/>
          <w:bCs/>
        </w:rPr>
        <w:t xml:space="preserve"> técnica</w:t>
      </w:r>
      <w:r w:rsidR="00522DB1" w:rsidRPr="00DC1E28">
        <w:rPr>
          <w:rFonts w:ascii="ITC Avant Garde" w:hAnsi="ITC Avant Garde"/>
          <w:bCs/>
        </w:rPr>
        <w:t>s</w:t>
      </w:r>
      <w:r w:rsidRPr="00DC1E28">
        <w:rPr>
          <w:rFonts w:ascii="ITC Avant Garde" w:hAnsi="ITC Avant Garde"/>
          <w:bCs/>
        </w:rPr>
        <w:t xml:space="preserve"> solicitada</w:t>
      </w:r>
      <w:r w:rsidR="00522DB1" w:rsidRPr="00DC1E28">
        <w:rPr>
          <w:rFonts w:ascii="ITC Avant Garde" w:hAnsi="ITC Avant Garde"/>
          <w:bCs/>
        </w:rPr>
        <w:t>s</w:t>
      </w:r>
      <w:r w:rsidRPr="00DC1E28">
        <w:rPr>
          <w:rFonts w:ascii="ITC Avant Garde" w:hAnsi="ITC Avant Garde"/>
          <w:bCs/>
        </w:rPr>
        <w:t xml:space="preserve"> debe establecerse una condición en la cual se informe al concesionario que la autorización no surtirá sus efectos hasta en tanto no renuncie a los títulos de concesión </w:t>
      </w:r>
      <w:r w:rsidRPr="00DC1E28">
        <w:rPr>
          <w:rFonts w:ascii="ITC Avant Garde" w:hAnsi="ITC Avant Garde"/>
          <w:bCs/>
          <w:kern w:val="3"/>
          <w:lang w:eastAsia="ar-SA"/>
        </w:rPr>
        <w:t xml:space="preserve">de bandas de frecuencias del espectro radioeléctrico </w:t>
      </w:r>
      <w:r w:rsidRPr="00DC1E28">
        <w:rPr>
          <w:rFonts w:ascii="ITC Avant Garde" w:hAnsi="ITC Avant Garde"/>
          <w:bCs/>
        </w:rPr>
        <w:t>para</w:t>
      </w:r>
      <w:r w:rsidRPr="00DC1E28">
        <w:rPr>
          <w:rFonts w:ascii="ITC Avant Garde" w:hAnsi="ITC Avant Garde"/>
          <w:bCs/>
          <w:kern w:val="3"/>
          <w:lang w:eastAsia="ar-SA"/>
        </w:rPr>
        <w:t xml:space="preserve"> uso público de las estaciones con distintivo de llamada XHUAMR-FM, XHUAMX-FM, XHUAMA-FM y XHUAMI-FM</w:t>
      </w:r>
      <w:r w:rsidRPr="00DC1E28">
        <w:rPr>
          <w:rFonts w:ascii="ITC Avant Garde" w:hAnsi="ITC Avant Garde"/>
          <w:bCs/>
        </w:rPr>
        <w:t>, en el entendido que la terminación de la concesión no extingue las obligaciones contraídas por el concesionario durante su vigencia, conforme al último párrafo del artículo 115 de la Ley, ya que de lo contrario técnicamente no sería posible la convivencia de dichas estaciones con la modificación a los parámetros solicitados para la estación XHUAMC-FM.</w:t>
      </w:r>
    </w:p>
    <w:p w:rsidR="00DC1E28" w:rsidRPr="00DC1E28" w:rsidRDefault="00E86505" w:rsidP="00DC1E28">
      <w:pPr>
        <w:spacing w:before="240" w:line="276" w:lineRule="auto"/>
        <w:jc w:val="both"/>
        <w:textAlignment w:val="auto"/>
      </w:pPr>
      <w:r w:rsidRPr="00DC1E28">
        <w:rPr>
          <w:rFonts w:ascii="ITC Avant Garde" w:hAnsi="ITC Avant Garde"/>
          <w:b/>
          <w:bCs/>
          <w:kern w:val="3"/>
          <w:lang w:eastAsia="ar-SA"/>
        </w:rPr>
        <w:t xml:space="preserve">C. Distintivo de llamada. </w:t>
      </w:r>
      <w:r w:rsidRPr="00DC1E28">
        <w:rPr>
          <w:rFonts w:ascii="ITC Avant Garde" w:hAnsi="ITC Avant Garde"/>
          <w:bCs/>
          <w:kern w:val="3"/>
          <w:lang w:eastAsia="ar-SA"/>
        </w:rPr>
        <w:t>Por lo que hace a la solicitud de cambio de distintivo de llamada para la estación XHUAMC-FM, en términos de lo señalado en el artículo 19 del Reglamento Internacional de Telecomunicaciones de la UIT, todas las transmisiones deben ser identificables haciendo uso de señales de identificación, razón por la cual, las estaciones que proveen el servicio de radiodifusión sonora en frecuencia modulada tienen asignado un distintivo de llamada el cual debe ser único e irrepetible para cada estación.</w:t>
      </w:r>
    </w:p>
    <w:p w:rsidR="00DC1E28" w:rsidRPr="00DC1E28" w:rsidRDefault="00E86505" w:rsidP="00DC1E28">
      <w:pPr>
        <w:spacing w:before="240" w:line="276" w:lineRule="auto"/>
        <w:jc w:val="both"/>
        <w:textAlignment w:val="auto"/>
      </w:pPr>
      <w:r w:rsidRPr="00DC1E28">
        <w:rPr>
          <w:rFonts w:ascii="ITC Avant Garde" w:hAnsi="ITC Avant Garde"/>
          <w:bCs/>
          <w:kern w:val="3"/>
          <w:lang w:eastAsia="ar-SA"/>
        </w:rPr>
        <w:t>Para el caso particular, como se mencionó en los párrafos que anteceden  el Concesionario provee el servicio de radiodifusión sonora a través de cinco estaciones de radio ubicadas en distintos puntos de la Ciudad de México, mismas que se identifican con cinco distintivos de llamada diferentes  XHUAMC-FM, XHUAMR-FM, XHUAMX-FM, XHUAMA-FM y XHUAMI-FM</w:t>
      </w:r>
      <w:r w:rsidRPr="00DC1E28">
        <w:rPr>
          <w:rFonts w:ascii="ITC Avant Garde" w:hAnsi="ITC Avant Garde"/>
          <w:bCs/>
        </w:rPr>
        <w:t xml:space="preserve">, en ese sentido, considerando que la modificación técnica </w:t>
      </w:r>
      <w:r w:rsidRPr="00DC1E28">
        <w:rPr>
          <w:rFonts w:ascii="ITC Avant Garde" w:hAnsi="ITC Avant Garde"/>
          <w:bCs/>
        </w:rPr>
        <w:lastRenderedPageBreak/>
        <w:t xml:space="preserve">que se autoriza en el presente acto consistente en el aumento de la potencia radiada aparente y que ello conlleva la modificación del área de servicio de la estación XHUAMC-FM con lo cual el Concesionario prestaría el servicio en la Ciudad de México a través de una sola estación, se encuentra procedente el cambio de </w:t>
      </w:r>
      <w:r w:rsidRPr="00DC1E28">
        <w:rPr>
          <w:rFonts w:ascii="ITC Avant Garde" w:hAnsi="ITC Avant Garde"/>
          <w:bCs/>
          <w:sz w:val="20"/>
        </w:rPr>
        <w:t>distintivo</w:t>
      </w:r>
      <w:r w:rsidRPr="00DC1E28">
        <w:rPr>
          <w:rFonts w:ascii="ITC Avant Garde" w:hAnsi="ITC Avant Garde"/>
          <w:bCs/>
        </w:rPr>
        <w:t xml:space="preserve"> de llamada solicitado teniendo en cuenta que el distintivo de llamada s</w:t>
      </w:r>
      <w:r w:rsidRPr="00DC1E28">
        <w:rPr>
          <w:rFonts w:ascii="ITC Avant Garde" w:hAnsi="ITC Avant Garde"/>
          <w:bCs/>
          <w:kern w:val="3"/>
          <w:lang w:eastAsia="ar-SA"/>
        </w:rPr>
        <w:t>e encuentra disponible, aunado a que dicho distintivo facilita la identificación de la estación al auditorio, y favorece la identidad de la estación y de las transmisiones.</w:t>
      </w:r>
    </w:p>
    <w:p w:rsidR="00DC1E28" w:rsidRPr="00DC1E28" w:rsidRDefault="00E86505" w:rsidP="00DC1E28">
      <w:pPr>
        <w:spacing w:before="240" w:line="276" w:lineRule="auto"/>
        <w:jc w:val="both"/>
        <w:textAlignment w:val="auto"/>
      </w:pPr>
      <w:r w:rsidRPr="00DC1E28">
        <w:rPr>
          <w:rFonts w:ascii="ITC Avant Garde" w:eastAsia="Times New Roman" w:hAnsi="ITC Avant Garde"/>
          <w:bCs/>
          <w:lang w:val="es-ES" w:eastAsia="es-MX"/>
        </w:rPr>
        <w:t xml:space="preserve">Por todo lo antes expuesto, considerando </w:t>
      </w:r>
      <w:r w:rsidRPr="00DC1E28">
        <w:rPr>
          <w:rFonts w:ascii="ITC Avant Garde" w:hAnsi="ITC Avant Garde"/>
          <w:bCs/>
        </w:rPr>
        <w:t>que el</w:t>
      </w:r>
      <w:r w:rsidRPr="00DC1E28">
        <w:rPr>
          <w:rFonts w:ascii="ITC Avant Garde" w:hAnsi="ITC Avant Garde"/>
          <w:bCs/>
          <w:lang w:val="es-ES"/>
        </w:rPr>
        <w:t xml:space="preserve"> estudio técnico realizado por </w:t>
      </w:r>
      <w:r w:rsidRPr="00DC1E28">
        <w:rPr>
          <w:rFonts w:ascii="ITC Avant Garde" w:eastAsia="Times New Roman" w:hAnsi="ITC Avant Garde"/>
          <w:bCs/>
          <w:lang w:val="es-ES" w:eastAsia="es-MX"/>
        </w:rPr>
        <w:t>la Dirección General de Ingeniería del Espectro y Estudios Técnicos de la Unidad de Espectro Radioeléctrico</w:t>
      </w:r>
      <w:r w:rsidRPr="00DC1E28">
        <w:rPr>
          <w:rFonts w:ascii="ITC Avant Garde" w:hAnsi="ITC Avant Garde"/>
          <w:bCs/>
          <w:lang w:val="es-ES"/>
        </w:rPr>
        <w:t xml:space="preserve"> concluye </w:t>
      </w:r>
      <w:r w:rsidR="00522DB1" w:rsidRPr="00DC1E28">
        <w:rPr>
          <w:rFonts w:ascii="ITC Avant Garde" w:hAnsi="ITC Avant Garde"/>
          <w:bCs/>
          <w:lang w:val="es-ES"/>
        </w:rPr>
        <w:t xml:space="preserve">es </w:t>
      </w:r>
      <w:r w:rsidR="00522DB1" w:rsidRPr="00DC1E28">
        <w:rPr>
          <w:rFonts w:ascii="ITC Avant Garde" w:hAnsi="ITC Avant Garde"/>
          <w:b/>
          <w:bCs/>
        </w:rPr>
        <w:t>factible</w:t>
      </w:r>
      <w:r w:rsidR="00522DB1" w:rsidRPr="00DC1E28">
        <w:rPr>
          <w:rFonts w:ascii="ITC Avant Garde" w:hAnsi="ITC Avant Garde"/>
          <w:bCs/>
          <w:lang w:val="es-ES"/>
        </w:rPr>
        <w:t xml:space="preserve"> autorizar al  Concesionario </w:t>
      </w:r>
      <w:r w:rsidRPr="00DC1E28">
        <w:rPr>
          <w:rFonts w:ascii="ITC Avant Garde" w:hAnsi="ITC Avant Garde"/>
          <w:bCs/>
          <w:lang w:val="es-ES"/>
        </w:rPr>
        <w:t>la</w:t>
      </w:r>
      <w:r w:rsidR="00522DB1" w:rsidRPr="00DC1E28">
        <w:rPr>
          <w:rFonts w:ascii="ITC Avant Garde" w:hAnsi="ITC Avant Garde"/>
          <w:bCs/>
          <w:lang w:val="es-ES"/>
        </w:rPr>
        <w:t>s</w:t>
      </w:r>
      <w:r w:rsidRPr="00DC1E28">
        <w:rPr>
          <w:rFonts w:ascii="ITC Avant Garde" w:hAnsi="ITC Avant Garde"/>
          <w:bCs/>
          <w:lang w:val="es-ES"/>
        </w:rPr>
        <w:t xml:space="preserve"> </w:t>
      </w:r>
      <w:r w:rsidRPr="00DC1E28">
        <w:rPr>
          <w:rFonts w:ascii="ITC Avant Garde" w:hAnsi="ITC Avant Garde"/>
          <w:bCs/>
          <w:kern w:val="3"/>
          <w:lang w:eastAsia="ar-SA"/>
        </w:rPr>
        <w:t>modificaci</w:t>
      </w:r>
      <w:r w:rsidR="00522DB1" w:rsidRPr="00DC1E28">
        <w:rPr>
          <w:rFonts w:ascii="ITC Avant Garde" w:hAnsi="ITC Avant Garde"/>
          <w:bCs/>
          <w:kern w:val="3"/>
          <w:lang w:eastAsia="ar-SA"/>
        </w:rPr>
        <w:t>ones</w:t>
      </w:r>
      <w:r w:rsidRPr="00DC1E28">
        <w:rPr>
          <w:rFonts w:ascii="ITC Avant Garde" w:hAnsi="ITC Avant Garde"/>
          <w:bCs/>
          <w:lang w:val="es-ES"/>
        </w:rPr>
        <w:t xml:space="preserve"> técnica</w:t>
      </w:r>
      <w:r w:rsidR="00522DB1" w:rsidRPr="00DC1E28">
        <w:rPr>
          <w:rFonts w:ascii="ITC Avant Garde" w:hAnsi="ITC Avant Garde"/>
          <w:bCs/>
          <w:lang w:val="es-ES"/>
        </w:rPr>
        <w:t>s</w:t>
      </w:r>
      <w:r w:rsidRPr="00DC1E28">
        <w:rPr>
          <w:rFonts w:ascii="ITC Avant Garde" w:hAnsi="ITC Avant Garde"/>
          <w:bCs/>
          <w:lang w:val="es-ES"/>
        </w:rPr>
        <w:t xml:space="preserve"> </w:t>
      </w:r>
      <w:r w:rsidRPr="00DC1E28">
        <w:rPr>
          <w:rFonts w:ascii="ITC Avant Garde" w:hAnsi="ITC Avant Garde"/>
          <w:bCs/>
        </w:rPr>
        <w:t>incluyendo</w:t>
      </w:r>
      <w:r w:rsidRPr="00DC1E28">
        <w:rPr>
          <w:rFonts w:ascii="ITC Avant Garde" w:hAnsi="ITC Avant Garde"/>
          <w:b/>
          <w:bCs/>
        </w:rPr>
        <w:t xml:space="preserve"> </w:t>
      </w:r>
      <w:r w:rsidRPr="00DC1E28">
        <w:rPr>
          <w:rFonts w:ascii="ITC Avant Garde" w:hAnsi="ITC Avant Garde"/>
          <w:bCs/>
        </w:rPr>
        <w:t>el cambio de distintivo de llamada,</w:t>
      </w:r>
      <w:r w:rsidRPr="00DC1E28">
        <w:rPr>
          <w:rFonts w:ascii="ITC Avant Garde" w:hAnsi="ITC Avant Garde"/>
          <w:b/>
          <w:bCs/>
        </w:rPr>
        <w:t xml:space="preserve"> </w:t>
      </w:r>
      <w:r w:rsidRPr="00DC1E28">
        <w:rPr>
          <w:rFonts w:ascii="ITC Avant Garde" w:hAnsi="ITC Avant Garde"/>
          <w:bCs/>
        </w:rPr>
        <w:t>considerando</w:t>
      </w:r>
      <w:r w:rsidRPr="00DC1E28">
        <w:rPr>
          <w:rFonts w:ascii="ITC Avant Garde" w:hAnsi="ITC Avant Garde"/>
          <w:b/>
          <w:bCs/>
        </w:rPr>
        <w:t xml:space="preserve"> </w:t>
      </w:r>
      <w:r w:rsidRPr="00DC1E28">
        <w:rPr>
          <w:rFonts w:ascii="ITC Avant Garde" w:hAnsi="ITC Avant Garde"/>
          <w:bCs/>
        </w:rPr>
        <w:t xml:space="preserve">que el Concesionario, </w:t>
      </w:r>
      <w:r w:rsidRPr="00DC1E28">
        <w:rPr>
          <w:rFonts w:ascii="ITC Avant Garde" w:hAnsi="ITC Avant Garde"/>
          <w:color w:val="000000"/>
          <w:lang w:val="es-ES" w:eastAsia="es-ES"/>
        </w:rPr>
        <w:t xml:space="preserve">acreditó lo señalado por el artículo 174-C fracciones VIII y IX, de la Ley Federal de Derechos vigente, con los </w:t>
      </w:r>
      <w:r w:rsidRPr="00DC1E28">
        <w:rPr>
          <w:rFonts w:ascii="ITC Avant Garde" w:eastAsia="Times New Roman" w:hAnsi="ITC Avant Garde"/>
          <w:color w:val="000000"/>
          <w:lang w:val="es-ES" w:eastAsia="es-ES"/>
        </w:rPr>
        <w:t xml:space="preserve">comprobantes de pago de derechos con números de folio </w:t>
      </w:r>
      <w:r w:rsidRPr="00DC1E28">
        <w:rPr>
          <w:rFonts w:ascii="ITC Avant Garde" w:hAnsi="ITC Avant Garde"/>
          <w:bCs/>
        </w:rPr>
        <w:t>170002013 y 170002017</w:t>
      </w:r>
      <w:r w:rsidRPr="00DC1E28">
        <w:rPr>
          <w:rFonts w:ascii="ITC Avant Garde" w:eastAsia="Times New Roman" w:hAnsi="ITC Avant Garde"/>
          <w:color w:val="000000"/>
          <w:lang w:val="es-ES" w:eastAsia="es-ES"/>
        </w:rPr>
        <w:t>,</w:t>
      </w:r>
      <w:r w:rsidRPr="00DC1E28">
        <w:rPr>
          <w:rFonts w:ascii="ITC Avant Garde" w:hAnsi="ITC Avant Garde"/>
          <w:b/>
          <w:bCs/>
        </w:rPr>
        <w:t xml:space="preserve"> </w:t>
      </w:r>
      <w:r w:rsidRPr="00DC1E28">
        <w:rPr>
          <w:rFonts w:ascii="ITC Avant Garde" w:hAnsi="ITC Avant Garde"/>
          <w:bCs/>
        </w:rPr>
        <w:t xml:space="preserve">que dicha modificación favorece una mayor eficiencia administrativa considerando que tanto el Instituto como el Concesionario, únicamente administrará un título de concesión de bandas de frecuencias para uso público en vez de cinco títulos de bandas de frecuencias para el mismo fin, este Instituto </w:t>
      </w:r>
      <w:r w:rsidRPr="00DC1E28">
        <w:rPr>
          <w:rFonts w:ascii="ITC Avant Garde" w:hAnsi="ITC Avant Garde"/>
          <w:b/>
          <w:bCs/>
        </w:rPr>
        <w:t>considera procedente la modificación técnica solicitada para la estación XHUAMC-FM cuya población principal a servir es la Ciudad de México.</w:t>
      </w:r>
    </w:p>
    <w:p w:rsidR="00DC1E28" w:rsidRPr="00DC1E28" w:rsidRDefault="00E86505" w:rsidP="00DC1E28">
      <w:pPr>
        <w:spacing w:before="240" w:line="276" w:lineRule="auto"/>
        <w:jc w:val="both"/>
        <w:textAlignment w:val="auto"/>
      </w:pPr>
      <w:r w:rsidRPr="00DC1E28">
        <w:rPr>
          <w:rFonts w:ascii="ITC Avant Garde" w:hAnsi="ITC Avant Garde"/>
          <w:bCs/>
        </w:rPr>
        <w:t xml:space="preserve">Asimismo, en atención a que la modificación técnica solicitad impacta en la operación técnica y la asignación jurídica de otras estaciones cuya titularidad tiene la propia </w:t>
      </w:r>
      <w:r w:rsidRPr="00DC1E28">
        <w:rPr>
          <w:rFonts w:ascii="ITC Avant Garde" w:hAnsi="ITC Avant Garde"/>
          <w:b/>
          <w:bCs/>
        </w:rPr>
        <w:t>Universidad Autónoma Metropolitana,</w:t>
      </w:r>
      <w:r w:rsidRPr="00DC1E28">
        <w:rPr>
          <w:rFonts w:ascii="ITC Avant Garde" w:hAnsi="ITC Avant Garde"/>
          <w:bCs/>
        </w:rPr>
        <w:t xml:space="preserve"> la presente autorización queda condicionada </w:t>
      </w:r>
      <w:r w:rsidRPr="00DC1E28">
        <w:rPr>
          <w:rFonts w:ascii="ITC Avant Garde" w:hAnsi="ITC Avant Garde"/>
          <w:bCs/>
          <w:kern w:val="3"/>
          <w:lang w:eastAsia="ar-SA"/>
        </w:rPr>
        <w:t xml:space="preserve">a la renuncia de las concesiones de bandas de </w:t>
      </w:r>
      <w:r w:rsidRPr="00DC1E28">
        <w:rPr>
          <w:rFonts w:ascii="ITC Avant Garde" w:hAnsi="ITC Avant Garde"/>
          <w:bCs/>
        </w:rPr>
        <w:t>frecuencias</w:t>
      </w:r>
      <w:r w:rsidRPr="00DC1E28">
        <w:rPr>
          <w:rFonts w:ascii="ITC Avant Garde" w:hAnsi="ITC Avant Garde"/>
          <w:bCs/>
          <w:kern w:val="3"/>
          <w:lang w:eastAsia="ar-SA"/>
        </w:rPr>
        <w:t xml:space="preserve"> del espectro radioeléctrico para uso público de las estaciones con distintivo de llamada </w:t>
      </w:r>
      <w:r w:rsidRPr="00DC1E28">
        <w:rPr>
          <w:rFonts w:ascii="ITC Avant Garde" w:hAnsi="ITC Avant Garde"/>
          <w:b/>
          <w:bCs/>
          <w:kern w:val="3"/>
          <w:lang w:eastAsia="ar-SA"/>
        </w:rPr>
        <w:t>XHUAMR-FM, XHUAMX-FM, XHUAMA-FM y XHUAMI-FM</w:t>
      </w:r>
      <w:r w:rsidRPr="00DC1E28">
        <w:rPr>
          <w:rFonts w:ascii="ITC Avant Garde" w:hAnsi="ITC Avant Garde"/>
          <w:bCs/>
          <w:kern w:val="3"/>
          <w:lang w:eastAsia="ar-SA"/>
        </w:rPr>
        <w:t xml:space="preserve"> cuya población principal a servir es la Ciudad de México.</w:t>
      </w:r>
    </w:p>
    <w:p w:rsidR="00DC1E28" w:rsidRPr="00DC1E28" w:rsidRDefault="00E86505" w:rsidP="00DC1E28">
      <w:pPr>
        <w:spacing w:before="240" w:line="276" w:lineRule="auto"/>
        <w:jc w:val="both"/>
        <w:textAlignment w:val="auto"/>
      </w:pPr>
      <w:r w:rsidRPr="00DC1E28">
        <w:rPr>
          <w:rFonts w:ascii="ITC Avant Garde" w:hAnsi="ITC Avant Garde"/>
        </w:rPr>
        <w:t xml:space="preserve">Dicho lo anterior, </w:t>
      </w:r>
      <w:r w:rsidRPr="00DC1E28">
        <w:rPr>
          <w:rFonts w:ascii="ITC Avant Garde" w:hAnsi="ITC Avant Garde"/>
          <w:bCs/>
        </w:rPr>
        <w:t xml:space="preserve">con fundamento en los artículos 28 párrafos décimo quinto y décimo sexto de la Constitución Política de los Estados Unidos </w:t>
      </w:r>
      <w:r w:rsidRPr="00DC1E28">
        <w:rPr>
          <w:rFonts w:ascii="ITC Avant Garde" w:hAnsi="ITC Avant Garde"/>
          <w:bCs/>
          <w:kern w:val="3"/>
          <w:lang w:eastAsia="ar-SA"/>
        </w:rPr>
        <w:t>Mexicanos</w:t>
      </w:r>
      <w:r w:rsidRPr="00DC1E28">
        <w:rPr>
          <w:rFonts w:ascii="ITC Avant Garde" w:hAnsi="ITC Avant Garde"/>
          <w:bCs/>
        </w:rPr>
        <w:t>; 3,15 fracciones IV y XV, 17 fracción I, 155 y 156 de la Ley Federal de Telecomunicaciones y Radiodifusión; 3, 16 fracción X, 35, 36, 38 y 39 de la Ley Federal de Procedimiento Administrativo</w:t>
      </w:r>
      <w:r w:rsidRPr="00DC1E28">
        <w:rPr>
          <w:rFonts w:ascii="ITC Avant Garde" w:eastAsia="Times New Roman" w:hAnsi="ITC Avant Garde"/>
          <w:bCs/>
          <w:lang w:val="es-ES" w:eastAsia="es-MX"/>
        </w:rPr>
        <w:t xml:space="preserve">; </w:t>
      </w:r>
      <w:r w:rsidRPr="00DC1E28">
        <w:rPr>
          <w:rFonts w:ascii="ITC Avant Garde" w:hAnsi="ITC Avant Garde"/>
          <w:bCs/>
        </w:rPr>
        <w:t xml:space="preserve">y 1, 6 fracción XXXVIII, 32, 34 fracción XIII y 50 fracción XII del Estatuto Orgánico del Instituto Federal de Telecomunicaciones; </w:t>
      </w:r>
      <w:r w:rsidRPr="00DC1E28">
        <w:rPr>
          <w:rFonts w:ascii="ITC Avant Garde" w:hAnsi="ITC Avant Garde"/>
        </w:rPr>
        <w:t>Capítulos 8 y 10 de la “Disposición Técnica IFT-002-2016, Especificaciones y requerimientos para la instalación y operación de las estaciones de radiodifusión sonara en radiodifusión sonora en frecuencia modulada en la banda de 88 MHz a 108 MHz”</w:t>
      </w:r>
      <w:r w:rsidRPr="00DC1E28">
        <w:rPr>
          <w:rFonts w:ascii="ITC Avant Garde" w:hAnsi="ITC Avant Garde"/>
          <w:bCs/>
        </w:rPr>
        <w:t xml:space="preserve"> publicada en el DOF el 5 de abril de 2016, el Pleno del Instituto Federal de Telecomunicaciones emite los siguientes:</w:t>
      </w:r>
      <w:r w:rsidRPr="00DC1E28">
        <w:rPr>
          <w:rFonts w:ascii="Times New Roman" w:hAnsi="Times New Roman"/>
          <w:sz w:val="24"/>
          <w:szCs w:val="24"/>
          <w:lang w:eastAsia="es-MX"/>
        </w:rPr>
        <w:t xml:space="preserve"> </w:t>
      </w:r>
    </w:p>
    <w:p w:rsidR="00DC1E28" w:rsidRPr="00DC1E28" w:rsidRDefault="00E86505" w:rsidP="00DC1E28">
      <w:pPr>
        <w:pStyle w:val="Ttulo2"/>
        <w:spacing w:after="240"/>
        <w:jc w:val="center"/>
        <w:rPr>
          <w:rFonts w:ascii="ITC Avant Garde" w:hAnsi="ITC Avant Garde"/>
          <w:b/>
          <w:color w:val="000000" w:themeColor="text1"/>
          <w:sz w:val="22"/>
          <w:szCs w:val="22"/>
        </w:rPr>
      </w:pPr>
      <w:r w:rsidRPr="00DC1E28">
        <w:rPr>
          <w:rFonts w:ascii="ITC Avant Garde" w:hAnsi="ITC Avant Garde"/>
          <w:b/>
          <w:color w:val="000000" w:themeColor="text1"/>
          <w:sz w:val="22"/>
          <w:szCs w:val="22"/>
        </w:rPr>
        <w:lastRenderedPageBreak/>
        <w:t>RESOLUTIVOS</w:t>
      </w:r>
    </w:p>
    <w:p w:rsidR="00DC1E28" w:rsidRPr="00DC1E28" w:rsidRDefault="00E86505" w:rsidP="00DC1E28">
      <w:pPr>
        <w:spacing w:before="240" w:line="276" w:lineRule="auto"/>
        <w:jc w:val="both"/>
        <w:textAlignment w:val="auto"/>
      </w:pPr>
      <w:r w:rsidRPr="00DC1E28">
        <w:rPr>
          <w:rFonts w:ascii="ITC Avant Garde" w:hAnsi="ITC Avant Garde"/>
          <w:b/>
          <w:bCs/>
          <w:kern w:val="3"/>
          <w:lang w:eastAsia="ar-SA"/>
        </w:rPr>
        <w:t xml:space="preserve">PRIMERO. </w:t>
      </w:r>
      <w:r w:rsidRPr="00DC1E28">
        <w:rPr>
          <w:rFonts w:ascii="ITC Avant Garde" w:hAnsi="ITC Avant Garde"/>
          <w:bCs/>
          <w:kern w:val="3"/>
          <w:lang w:eastAsia="ar-SA"/>
        </w:rPr>
        <w:t xml:space="preserve">Se autoriza a </w:t>
      </w:r>
      <w:r w:rsidRPr="00DC1E28">
        <w:rPr>
          <w:rFonts w:ascii="ITC Avant Garde" w:hAnsi="ITC Avant Garde"/>
          <w:kern w:val="3"/>
          <w:lang w:val="es-ES" w:eastAsia="ar-SA"/>
        </w:rPr>
        <w:t>la</w:t>
      </w:r>
      <w:r w:rsidRPr="00DC1E28">
        <w:rPr>
          <w:rFonts w:ascii="ITC Avant Garde" w:hAnsi="ITC Avant Garde"/>
          <w:b/>
          <w:kern w:val="3"/>
          <w:lang w:val="es-ES" w:eastAsia="ar-SA"/>
        </w:rPr>
        <w:t xml:space="preserve"> Universidad Autónoma Metropolitana,</w:t>
      </w:r>
      <w:r w:rsidRPr="00DC1E28">
        <w:rPr>
          <w:rFonts w:ascii="ITC Avant Garde" w:hAnsi="ITC Avant Garde"/>
          <w:kern w:val="3"/>
          <w:lang w:val="es-ES" w:eastAsia="ar-SA"/>
        </w:rPr>
        <w:t xml:space="preserve"> las siguientes modificaciones técnicas: </w:t>
      </w:r>
      <w:r w:rsidRPr="00DC1E28">
        <w:rPr>
          <w:rFonts w:ascii="ITC Avant Garde" w:hAnsi="ITC Avant Garde"/>
          <w:bCs/>
          <w:color w:val="000000"/>
          <w:lang w:eastAsia="es-MX"/>
        </w:rPr>
        <w:t xml:space="preserve">potencia radiada </w:t>
      </w:r>
      <w:r w:rsidRPr="00DC1E28">
        <w:rPr>
          <w:rFonts w:ascii="ITC Avant Garde" w:hAnsi="ITC Avant Garde"/>
        </w:rPr>
        <w:t>aparente</w:t>
      </w:r>
      <w:r w:rsidRPr="00DC1E28">
        <w:rPr>
          <w:rFonts w:ascii="ITC Avant Garde" w:hAnsi="ITC Avant Garde"/>
          <w:bCs/>
          <w:color w:val="000000"/>
          <w:lang w:eastAsia="es-MX"/>
        </w:rPr>
        <w:t>, potencia de operación, el cambio en la direccionalidad de la antena,</w:t>
      </w:r>
      <w:r w:rsidR="00522DB1" w:rsidRPr="00DC1E28">
        <w:rPr>
          <w:rFonts w:ascii="ITC Avant Garde" w:hAnsi="ITC Avant Garde"/>
          <w:bCs/>
          <w:color w:val="000000"/>
          <w:lang w:eastAsia="es-MX"/>
        </w:rPr>
        <w:t xml:space="preserve"> altura del centro de radiación,</w:t>
      </w:r>
      <w:r w:rsidRPr="00DC1E28">
        <w:rPr>
          <w:rFonts w:ascii="ITC Avant Garde" w:hAnsi="ITC Avant Garde"/>
          <w:bCs/>
          <w:color w:val="000000"/>
          <w:lang w:eastAsia="es-MX"/>
        </w:rPr>
        <w:t xml:space="preserve"> así como el cambio de distintivo de llamada</w:t>
      </w:r>
      <w:r w:rsidRPr="00DC1E28">
        <w:rPr>
          <w:rFonts w:ascii="ITC Avant Garde" w:hAnsi="ITC Avant Garde"/>
          <w:b/>
          <w:kern w:val="3"/>
          <w:lang w:val="es-ES" w:eastAsia="ar-SA"/>
        </w:rPr>
        <w:t>,</w:t>
      </w:r>
      <w:r w:rsidRPr="00DC1E28">
        <w:rPr>
          <w:rFonts w:ascii="ITC Avant Garde" w:hAnsi="ITC Avant Garde"/>
          <w:kern w:val="3"/>
          <w:lang w:val="es-ES" w:eastAsia="ar-SA"/>
        </w:rPr>
        <w:t xml:space="preserve"> misma </w:t>
      </w:r>
      <w:r w:rsidRPr="00DC1E28">
        <w:rPr>
          <w:rFonts w:ascii="ITC Avant Garde" w:hAnsi="ITC Avant Garde"/>
          <w:bCs/>
        </w:rPr>
        <w:t xml:space="preserve">que deberá operar </w:t>
      </w:r>
      <w:r w:rsidRPr="00DC1E28">
        <w:rPr>
          <w:rFonts w:ascii="ITC Avant Garde" w:hAnsi="ITC Avant Garde"/>
          <w:bCs/>
          <w:color w:val="000000"/>
        </w:rPr>
        <w:t>de acuerdo con las siguientes características y especificaciones técnicas</w:t>
      </w:r>
      <w:r w:rsidRPr="00DC1E28">
        <w:rPr>
          <w:rFonts w:ascii="ITC Avant Garde" w:hAnsi="ITC Avant Garde"/>
          <w:bCs/>
        </w:rPr>
        <w:t>:</w:t>
      </w:r>
    </w:p>
    <w:p w:rsidR="00DC1E28" w:rsidRPr="00DC1E28" w:rsidRDefault="00DC1E28" w:rsidP="00DC1E28">
      <w:pPr>
        <w:spacing w:before="240" w:line="276" w:lineRule="auto"/>
        <w:ind w:left="1418" w:right="1324"/>
        <w:rPr>
          <w:rFonts w:ascii="ITC Avant Garde" w:hAnsi="ITC Avant Garde"/>
          <w:b/>
          <w:bCs/>
        </w:rPr>
      </w:pPr>
      <w:r w:rsidRPr="00DC1E28">
        <w:rPr>
          <w:rFonts w:ascii="ITC Avant Garde" w:hAnsi="ITC Avant Garde"/>
          <w:b/>
          <w:bCs/>
        </w:rPr>
        <w:t xml:space="preserve">Frecuencia: </w:t>
      </w:r>
      <w:r w:rsidRPr="00DC1E28">
        <w:rPr>
          <w:rFonts w:ascii="ITC Avant Garde" w:hAnsi="ITC Avant Garde"/>
          <w:bCs/>
        </w:rPr>
        <w:t>94.1 MHz</w:t>
      </w:r>
    </w:p>
    <w:p w:rsidR="00DC1E28" w:rsidRPr="00DC1E28" w:rsidRDefault="00DC1E28" w:rsidP="00DC1E28">
      <w:pPr>
        <w:spacing w:before="240" w:line="276" w:lineRule="auto"/>
        <w:ind w:left="1418" w:right="1324"/>
        <w:rPr>
          <w:rFonts w:ascii="ITC Avant Garde" w:hAnsi="ITC Avant Garde"/>
          <w:b/>
          <w:bCs/>
        </w:rPr>
      </w:pPr>
      <w:r w:rsidRPr="00DC1E28">
        <w:rPr>
          <w:rFonts w:ascii="ITC Avant Garde" w:hAnsi="ITC Avant Garde"/>
          <w:b/>
          <w:bCs/>
        </w:rPr>
        <w:t xml:space="preserve">Distintivo de llamada: </w:t>
      </w:r>
      <w:r w:rsidRPr="00DC1E28">
        <w:rPr>
          <w:rFonts w:ascii="ITC Avant Garde" w:hAnsi="ITC Avant Garde"/>
          <w:bCs/>
        </w:rPr>
        <w:t>XHUAM-FM</w:t>
      </w:r>
    </w:p>
    <w:p w:rsidR="00DC1E28" w:rsidRPr="00DC1E28" w:rsidRDefault="00DC1E28" w:rsidP="00DC1E28">
      <w:pPr>
        <w:spacing w:before="240" w:line="276" w:lineRule="auto"/>
        <w:ind w:left="1418" w:right="1324"/>
        <w:rPr>
          <w:rFonts w:ascii="ITC Avant Garde" w:hAnsi="ITC Avant Garde"/>
          <w:b/>
          <w:bCs/>
        </w:rPr>
      </w:pPr>
      <w:r w:rsidRPr="00DC1E28">
        <w:rPr>
          <w:rFonts w:ascii="ITC Avant Garde" w:hAnsi="ITC Avant Garde"/>
          <w:b/>
          <w:bCs/>
        </w:rPr>
        <w:t xml:space="preserve">Población principal a servir: </w:t>
      </w:r>
      <w:r w:rsidRPr="00DC1E28">
        <w:rPr>
          <w:rFonts w:ascii="ITC Avant Garde" w:hAnsi="ITC Avant Garde"/>
          <w:bCs/>
        </w:rPr>
        <w:t>Ciudad de México</w:t>
      </w:r>
    </w:p>
    <w:p w:rsidR="00DC1E28" w:rsidRPr="00DC1E28" w:rsidRDefault="00DC1E28" w:rsidP="00DC1E28">
      <w:pPr>
        <w:spacing w:before="240" w:line="276" w:lineRule="auto"/>
        <w:ind w:left="1418" w:right="1324"/>
        <w:rPr>
          <w:rFonts w:ascii="ITC Avant Garde" w:hAnsi="ITC Avant Garde"/>
          <w:b/>
          <w:bCs/>
        </w:rPr>
      </w:pPr>
      <w:r w:rsidRPr="00DC1E28">
        <w:rPr>
          <w:rFonts w:ascii="ITC Avant Garde" w:hAnsi="ITC Avant Garde"/>
          <w:b/>
          <w:bCs/>
        </w:rPr>
        <w:t xml:space="preserve">Potencia radiada aparente (PRA): </w:t>
      </w:r>
      <w:r w:rsidRPr="00DC1E28">
        <w:rPr>
          <w:rFonts w:ascii="ITC Avant Garde" w:hAnsi="ITC Avant Garde"/>
          <w:bCs/>
        </w:rPr>
        <w:t>3.00 kW</w:t>
      </w:r>
    </w:p>
    <w:p w:rsidR="00DC1E28" w:rsidRPr="00DC1E28" w:rsidRDefault="00DC1E28" w:rsidP="00DC1E28">
      <w:pPr>
        <w:spacing w:before="240" w:line="276" w:lineRule="auto"/>
        <w:ind w:left="1418" w:right="1324"/>
        <w:rPr>
          <w:rFonts w:ascii="ITC Avant Garde" w:hAnsi="ITC Avant Garde"/>
          <w:b/>
          <w:bCs/>
        </w:rPr>
      </w:pPr>
      <w:r w:rsidRPr="00DC1E28">
        <w:rPr>
          <w:rFonts w:ascii="ITC Avant Garde" w:hAnsi="ITC Avant Garde"/>
          <w:b/>
          <w:bCs/>
        </w:rPr>
        <w:t xml:space="preserve">Sistema radiador: </w:t>
      </w:r>
      <w:r w:rsidRPr="00DC1E28">
        <w:rPr>
          <w:rFonts w:ascii="ITC Avant Garde" w:hAnsi="ITC Avant Garde"/>
          <w:bCs/>
        </w:rPr>
        <w:t>Direccional (AD 90°)</w:t>
      </w:r>
    </w:p>
    <w:p w:rsidR="00DC1E28" w:rsidRPr="00DC1E28" w:rsidRDefault="00DC1E28" w:rsidP="00DC1E28">
      <w:pPr>
        <w:spacing w:before="240" w:line="276" w:lineRule="auto"/>
        <w:ind w:left="1418" w:right="1324"/>
        <w:rPr>
          <w:rFonts w:ascii="ITC Avant Garde" w:hAnsi="ITC Avant Garde"/>
          <w:b/>
          <w:bCs/>
        </w:rPr>
      </w:pPr>
      <w:r w:rsidRPr="00DC1E28">
        <w:rPr>
          <w:rFonts w:ascii="ITC Avant Garde" w:hAnsi="ITC Avant Garde"/>
          <w:b/>
          <w:bCs/>
        </w:rPr>
        <w:t xml:space="preserve">Ubicación de la planta transmisora: </w:t>
      </w:r>
      <w:r w:rsidRPr="00DC1E28">
        <w:rPr>
          <w:rFonts w:ascii="ITC Avant Garde" w:hAnsi="ITC Avant Garde"/>
          <w:bCs/>
        </w:rPr>
        <w:t>Av. Constituyentes No. 1054, Col. Lomas Altas, Deleg. Miguel Hidalgo, Ciudad de México.</w:t>
      </w:r>
    </w:p>
    <w:p w:rsidR="00DC1E28" w:rsidRPr="00DC1E28" w:rsidRDefault="00DC1E28" w:rsidP="00DC1E28">
      <w:pPr>
        <w:spacing w:before="240" w:line="276" w:lineRule="auto"/>
        <w:ind w:left="1418" w:right="1324"/>
        <w:jc w:val="both"/>
        <w:rPr>
          <w:rFonts w:ascii="ITC Avant Garde" w:hAnsi="ITC Avant Garde"/>
          <w:b/>
          <w:bCs/>
        </w:rPr>
      </w:pPr>
      <w:r w:rsidRPr="00DC1E28">
        <w:rPr>
          <w:rFonts w:ascii="ITC Avant Garde" w:hAnsi="ITC Avant Garde"/>
          <w:b/>
          <w:bCs/>
        </w:rPr>
        <w:t xml:space="preserve">Coordenadas Geográficas: </w:t>
      </w:r>
      <w:r w:rsidRPr="00DC1E28">
        <w:rPr>
          <w:rFonts w:ascii="ITC Avant Garde" w:hAnsi="ITC Avant Garde"/>
          <w:bCs/>
        </w:rPr>
        <w:t>L.N. 19° 23’ 41”L.W. 99° 14’ 01”</w:t>
      </w:r>
    </w:p>
    <w:p w:rsidR="00DC1E28" w:rsidRPr="00DC1E28" w:rsidRDefault="00DC1E28" w:rsidP="00DC1E28">
      <w:pPr>
        <w:spacing w:before="240" w:line="276" w:lineRule="auto"/>
        <w:ind w:left="1418" w:right="1324"/>
        <w:jc w:val="both"/>
        <w:rPr>
          <w:rFonts w:ascii="ITC Avant Garde" w:hAnsi="ITC Avant Garde"/>
          <w:b/>
          <w:bCs/>
        </w:rPr>
      </w:pPr>
      <w:r w:rsidRPr="00DC1E28">
        <w:rPr>
          <w:rFonts w:ascii="ITC Avant Garde" w:hAnsi="ITC Avant Garde"/>
          <w:b/>
          <w:bCs/>
        </w:rPr>
        <w:t xml:space="preserve">Altura del centro de radiación de la antena sobre el lugar de instalación (m): </w:t>
      </w:r>
      <w:r w:rsidRPr="00DC1E28">
        <w:rPr>
          <w:rFonts w:ascii="ITC Avant Garde" w:hAnsi="ITC Avant Garde"/>
          <w:bCs/>
        </w:rPr>
        <w:t>23</w:t>
      </w:r>
    </w:p>
    <w:p w:rsidR="00DC1E28" w:rsidRPr="00DC1E28" w:rsidRDefault="00DC1E28" w:rsidP="00DC1E28">
      <w:pPr>
        <w:spacing w:before="240" w:line="276" w:lineRule="auto"/>
        <w:ind w:left="1418" w:right="1324"/>
        <w:jc w:val="both"/>
      </w:pPr>
      <w:r w:rsidRPr="00DC1E28">
        <w:rPr>
          <w:rFonts w:ascii="ITC Avant Garde" w:hAnsi="ITC Avant Garde"/>
          <w:b/>
          <w:bCs/>
        </w:rPr>
        <w:t xml:space="preserve">Altura del centro de radiación de la antena en relación al terreno promedio entre 3 y 16 km (m): </w:t>
      </w:r>
      <w:r w:rsidRPr="00DC1E28">
        <w:rPr>
          <w:rFonts w:ascii="ITC Avant Garde" w:hAnsi="ITC Avant Garde"/>
          <w:bCs/>
        </w:rPr>
        <w:t>-1.3</w:t>
      </w:r>
      <w:r w:rsidRPr="00DC1E28">
        <w:rPr>
          <w:rStyle w:val="Refdenotaalpie"/>
          <w:rFonts w:ascii="ITC Avant Garde" w:hAnsi="ITC Avant Garde"/>
          <w:bCs/>
        </w:rPr>
        <w:footnoteReference w:id="1"/>
      </w:r>
    </w:p>
    <w:p w:rsidR="00DC1E28" w:rsidRPr="00DC1E28" w:rsidRDefault="00DC1E28" w:rsidP="00DC1E28">
      <w:pPr>
        <w:spacing w:before="240" w:line="276" w:lineRule="auto"/>
        <w:ind w:left="1418" w:right="1324"/>
        <w:jc w:val="both"/>
        <w:rPr>
          <w:rFonts w:ascii="ITC Avant Garde" w:hAnsi="ITC Avant Garde"/>
          <w:b/>
          <w:bCs/>
        </w:rPr>
      </w:pPr>
      <w:r w:rsidRPr="00DC1E28">
        <w:rPr>
          <w:rFonts w:ascii="ITC Avant Garde" w:hAnsi="ITC Avant Garde"/>
          <w:b/>
          <w:bCs/>
        </w:rPr>
        <w:t xml:space="preserve">Potencia de operación del equipo operación (kW): </w:t>
      </w:r>
      <w:r w:rsidRPr="00DC1E28">
        <w:rPr>
          <w:rFonts w:ascii="ITC Avant Garde" w:hAnsi="ITC Avant Garde"/>
          <w:bCs/>
        </w:rPr>
        <w:t>0.99</w:t>
      </w:r>
    </w:p>
    <w:p w:rsidR="00DC1E28" w:rsidRPr="00DC1E28" w:rsidRDefault="00DC1E28" w:rsidP="00DC1E28">
      <w:pPr>
        <w:spacing w:before="240" w:line="276" w:lineRule="auto"/>
        <w:ind w:left="1418" w:right="1324"/>
        <w:jc w:val="both"/>
        <w:rPr>
          <w:rFonts w:ascii="ITC Avant Garde" w:hAnsi="ITC Avant Garde"/>
          <w:bCs/>
        </w:rPr>
      </w:pPr>
      <w:r w:rsidRPr="00DC1E28">
        <w:rPr>
          <w:rFonts w:ascii="ITC Avant Garde" w:hAnsi="ITC Avant Garde"/>
          <w:b/>
          <w:bCs/>
        </w:rPr>
        <w:t xml:space="preserve">Inclinación del haz eléctrico: </w:t>
      </w:r>
      <w:r w:rsidRPr="00DC1E28">
        <w:rPr>
          <w:rFonts w:ascii="ITC Avant Garde" w:hAnsi="ITC Avant Garde"/>
          <w:bCs/>
        </w:rPr>
        <w:t>0°</w:t>
      </w:r>
    </w:p>
    <w:p w:rsidR="00DC1E28" w:rsidRPr="00DC1E28" w:rsidRDefault="00DC1E28" w:rsidP="00DC1E28">
      <w:pPr>
        <w:spacing w:before="240" w:line="276" w:lineRule="auto"/>
        <w:ind w:left="1418" w:right="1324"/>
        <w:jc w:val="both"/>
        <w:rPr>
          <w:rFonts w:ascii="ITC Avant Garde" w:eastAsia="Times New Roman" w:hAnsi="ITC Avant Garde"/>
          <w:bCs/>
          <w:kern w:val="3"/>
          <w:lang w:eastAsia="ar-SA"/>
        </w:rPr>
      </w:pPr>
      <w:r w:rsidRPr="00DC1E28">
        <w:rPr>
          <w:rFonts w:ascii="ITC Avant Garde" w:hAnsi="ITC Avant Garde"/>
          <w:b/>
          <w:bCs/>
        </w:rPr>
        <w:t xml:space="preserve">Clase de estación: </w:t>
      </w:r>
      <w:r w:rsidRPr="00DC1E28">
        <w:rPr>
          <w:rFonts w:ascii="ITC Avant Garde" w:hAnsi="ITC Avant Garde"/>
          <w:bCs/>
        </w:rPr>
        <w:t>A</w:t>
      </w:r>
    </w:p>
    <w:p w:rsidR="00DC1E28" w:rsidRPr="00DC1E28" w:rsidRDefault="00E86505" w:rsidP="00DC1E28">
      <w:pPr>
        <w:spacing w:before="240" w:line="276" w:lineRule="auto"/>
        <w:jc w:val="both"/>
        <w:textAlignment w:val="auto"/>
      </w:pPr>
      <w:r w:rsidRPr="00DC1E28">
        <w:rPr>
          <w:rFonts w:ascii="ITC Avant Garde" w:eastAsia="Times New Roman" w:hAnsi="ITC Avant Garde"/>
          <w:b/>
          <w:bCs/>
          <w:kern w:val="3"/>
          <w:lang w:eastAsia="ar-SA"/>
        </w:rPr>
        <w:t>SEGUNDO.</w:t>
      </w:r>
      <w:r w:rsidRPr="00DC1E28">
        <w:rPr>
          <w:rFonts w:ascii="ITC Avant Garde" w:eastAsia="Times New Roman" w:hAnsi="ITC Avant Garde"/>
          <w:bCs/>
          <w:kern w:val="3"/>
          <w:lang w:eastAsia="ar-SA"/>
        </w:rPr>
        <w:t xml:space="preserve"> </w:t>
      </w:r>
      <w:r w:rsidRPr="00DC1E28">
        <w:rPr>
          <w:rFonts w:ascii="ITC Avant Garde" w:hAnsi="ITC Avant Garde"/>
          <w:bCs/>
        </w:rPr>
        <w:t xml:space="preserve">La presente autorización señalada que describe en el Resolutivo PRIMERO está sujeta a la renuncia expresa por parte de la </w:t>
      </w:r>
      <w:r w:rsidRPr="00DC1E28">
        <w:rPr>
          <w:rFonts w:ascii="ITC Avant Garde" w:hAnsi="ITC Avant Garde"/>
          <w:b/>
          <w:bCs/>
        </w:rPr>
        <w:t>Universidad Autónoma Metropolitana</w:t>
      </w:r>
      <w:r w:rsidRPr="00DC1E28">
        <w:rPr>
          <w:rFonts w:ascii="ITC Avant Garde" w:hAnsi="ITC Avant Garde"/>
          <w:bCs/>
        </w:rPr>
        <w:t xml:space="preserve"> a los títulos de bandas de frecuencias del espectro radioeléctrico para uso público de las </w:t>
      </w:r>
      <w:r w:rsidRPr="00DC1E28">
        <w:rPr>
          <w:rFonts w:ascii="ITC Avant Garde" w:hAnsi="ITC Avant Garde"/>
          <w:bCs/>
          <w:kern w:val="3"/>
          <w:lang w:eastAsia="ar-SA"/>
        </w:rPr>
        <w:t>estaciones XHUAMR-FM, XHUAMX-</w:t>
      </w:r>
      <w:r w:rsidRPr="00DC1E28">
        <w:rPr>
          <w:rFonts w:ascii="ITC Avant Garde" w:hAnsi="ITC Avant Garde"/>
          <w:bCs/>
          <w:color w:val="000000"/>
          <w:lang w:eastAsia="es-MX"/>
        </w:rPr>
        <w:t>FM</w:t>
      </w:r>
      <w:r w:rsidRPr="00DC1E28">
        <w:rPr>
          <w:rFonts w:ascii="ITC Avant Garde" w:hAnsi="ITC Avant Garde"/>
          <w:bCs/>
          <w:kern w:val="3"/>
          <w:lang w:eastAsia="ar-SA"/>
        </w:rPr>
        <w:t>, XHUAMA-FM y XHUAMI-FM</w:t>
      </w:r>
      <w:r w:rsidRPr="00DC1E28">
        <w:rPr>
          <w:rFonts w:ascii="ITC Avant Garde" w:hAnsi="ITC Avant Garde"/>
          <w:bCs/>
        </w:rPr>
        <w:t>, cuya población principal a servir es la Ciudad de México</w:t>
      </w:r>
      <w:r w:rsidRPr="00DC1E28">
        <w:rPr>
          <w:rFonts w:ascii="ITC Avant Garde" w:eastAsia="Times New Roman" w:hAnsi="ITC Avant Garde"/>
          <w:bCs/>
          <w:color w:val="000000"/>
          <w:lang w:val="es-ES" w:eastAsia="es-MX"/>
        </w:rPr>
        <w:t>,</w:t>
      </w:r>
      <w:r w:rsidRPr="00DC1E28">
        <w:rPr>
          <w:rFonts w:ascii="ITC Avant Garde" w:hAnsi="ITC Avant Garde"/>
          <w:bCs/>
        </w:rPr>
        <w:t xml:space="preserve"> la cual deberá ser presentada en un plazo no </w:t>
      </w:r>
      <w:r w:rsidRPr="00DC1E28">
        <w:rPr>
          <w:rFonts w:ascii="ITC Avant Garde" w:hAnsi="ITC Avant Garde"/>
          <w:bCs/>
        </w:rPr>
        <w:lastRenderedPageBreak/>
        <w:t xml:space="preserve">mayor de </w:t>
      </w:r>
      <w:r w:rsidRPr="00DC1E28">
        <w:rPr>
          <w:rFonts w:ascii="ITC Avant Garde" w:hAnsi="ITC Avant Garde"/>
          <w:b/>
          <w:bCs/>
        </w:rPr>
        <w:t xml:space="preserve">30 (treinta) días hábiles </w:t>
      </w:r>
      <w:r w:rsidRPr="00DC1E28">
        <w:rPr>
          <w:rFonts w:ascii="ITC Avant Garde" w:hAnsi="ITC Avant Garde"/>
          <w:bCs/>
        </w:rPr>
        <w:t>contados a partir del día siguiente a aquel en que haya surtido efectos la notificación respectiva.</w:t>
      </w:r>
    </w:p>
    <w:p w:rsidR="00DC1E28" w:rsidRPr="00DC1E28" w:rsidRDefault="00E86505" w:rsidP="00DC1E28">
      <w:pPr>
        <w:spacing w:before="240" w:line="276" w:lineRule="auto"/>
        <w:jc w:val="both"/>
        <w:textAlignment w:val="auto"/>
      </w:pPr>
      <w:r w:rsidRPr="00DC1E28">
        <w:rPr>
          <w:rFonts w:ascii="ITC Avant Garde" w:hAnsi="ITC Avant Garde"/>
          <w:bCs/>
        </w:rPr>
        <w:t xml:space="preserve">En caso de que la </w:t>
      </w:r>
      <w:r w:rsidRPr="00DC1E28">
        <w:rPr>
          <w:rFonts w:ascii="ITC Avant Garde" w:hAnsi="ITC Avant Garde"/>
          <w:b/>
          <w:bCs/>
        </w:rPr>
        <w:t>Universidad Autónoma Metropolitana</w:t>
      </w:r>
      <w:r w:rsidRPr="00DC1E28">
        <w:rPr>
          <w:rFonts w:ascii="ITC Avant Garde" w:hAnsi="ITC Avant Garde"/>
          <w:bCs/>
        </w:rPr>
        <w:t xml:space="preserve"> no dé cumplimiento a lo antes señalado, la presente Resolución quedará sin efectos.</w:t>
      </w:r>
    </w:p>
    <w:p w:rsidR="00DC1E28" w:rsidRPr="00DC1E28" w:rsidRDefault="00E86505" w:rsidP="00DC1E28">
      <w:pPr>
        <w:spacing w:before="240" w:line="276" w:lineRule="auto"/>
        <w:jc w:val="both"/>
        <w:textAlignment w:val="auto"/>
      </w:pPr>
      <w:r w:rsidRPr="00DC1E28">
        <w:rPr>
          <w:rFonts w:ascii="ITC Avant Garde" w:hAnsi="ITC Avant Garde"/>
          <w:b/>
          <w:bCs/>
        </w:rPr>
        <w:t>TERCERO.</w:t>
      </w:r>
      <w:r w:rsidRPr="00DC1E28">
        <w:rPr>
          <w:rFonts w:ascii="ITC Avant Garde" w:hAnsi="ITC Avant Garde"/>
          <w:b/>
          <w:bCs/>
          <w:kern w:val="3"/>
          <w:lang w:eastAsia="ar-SA"/>
        </w:rPr>
        <w:t xml:space="preserve"> </w:t>
      </w:r>
      <w:r w:rsidRPr="00DC1E28">
        <w:rPr>
          <w:rFonts w:ascii="ITC Avant Garde" w:hAnsi="ITC Avant Garde"/>
          <w:bCs/>
          <w:kern w:val="3"/>
          <w:lang w:eastAsia="ar-SA"/>
        </w:rPr>
        <w:t>Se instruye a la Unidad de Concesiones y Servicios a notificar personalmente a</w:t>
      </w:r>
      <w:r w:rsidRPr="00DC1E28">
        <w:rPr>
          <w:rFonts w:ascii="ITC Avant Garde" w:hAnsi="ITC Avant Garde"/>
        </w:rPr>
        <w:t xml:space="preserve"> la </w:t>
      </w:r>
      <w:r w:rsidRPr="00DC1E28">
        <w:rPr>
          <w:rFonts w:ascii="ITC Avant Garde" w:eastAsia="Times New Roman" w:hAnsi="ITC Avant Garde"/>
          <w:b/>
          <w:kern w:val="3"/>
          <w:lang w:val="es-ES" w:eastAsia="ar-SA"/>
        </w:rPr>
        <w:t>Universidad Autónoma Metropolitana</w:t>
      </w:r>
      <w:r w:rsidRPr="00DC1E28">
        <w:rPr>
          <w:rFonts w:ascii="ITC Avant Garde" w:hAnsi="ITC Avant Garde"/>
          <w:bCs/>
          <w:kern w:val="3"/>
          <w:lang w:eastAsia="ar-SA"/>
        </w:rPr>
        <w:t xml:space="preserve"> el contenido </w:t>
      </w:r>
      <w:r w:rsidRPr="00DC1E28">
        <w:rPr>
          <w:rFonts w:ascii="ITC Avant Garde" w:hAnsi="ITC Avant Garde"/>
          <w:bCs/>
          <w:color w:val="000000"/>
          <w:lang w:eastAsia="es-MX"/>
        </w:rPr>
        <w:t>de</w:t>
      </w:r>
      <w:r w:rsidRPr="00DC1E28">
        <w:rPr>
          <w:rFonts w:ascii="ITC Avant Garde" w:hAnsi="ITC Avant Garde"/>
          <w:bCs/>
          <w:kern w:val="3"/>
          <w:lang w:eastAsia="ar-SA"/>
        </w:rPr>
        <w:t xml:space="preserve"> la presente Resolución.</w:t>
      </w:r>
    </w:p>
    <w:p w:rsidR="00DC1E28" w:rsidRPr="00DC1E28" w:rsidRDefault="00E86505" w:rsidP="00DC1E28">
      <w:pPr>
        <w:spacing w:before="240" w:line="276" w:lineRule="auto"/>
        <w:ind w:right="-62"/>
        <w:jc w:val="both"/>
      </w:pPr>
      <w:r w:rsidRPr="00DC1E28">
        <w:rPr>
          <w:rFonts w:ascii="ITC Avant Garde" w:hAnsi="ITC Avant Garde"/>
          <w:b/>
          <w:kern w:val="3"/>
          <w:lang w:val="es-ES" w:eastAsia="ar-SA"/>
        </w:rPr>
        <w:t>CUARTO</w:t>
      </w:r>
      <w:r w:rsidRPr="00DC1E28">
        <w:rPr>
          <w:rFonts w:ascii="ITC Avant Garde" w:hAnsi="ITC Avant Garde"/>
          <w:kern w:val="3"/>
          <w:lang w:val="es-ES" w:eastAsia="ar-SA"/>
        </w:rPr>
        <w:t xml:space="preserve">. En términos de lo establecido en el artículo 156 de la Ley Federal de Telecomunicaciones y Radiodifusión, </w:t>
      </w:r>
      <w:r w:rsidRPr="00DC1E28">
        <w:rPr>
          <w:rFonts w:ascii="ITC Avant Garde" w:hAnsi="ITC Avant Garde"/>
          <w:bCs/>
          <w:lang w:eastAsia="es-MX"/>
        </w:rPr>
        <w:t xml:space="preserve">una vez que </w:t>
      </w:r>
      <w:r w:rsidRPr="00DC1E28">
        <w:rPr>
          <w:rFonts w:ascii="ITC Avant Garde" w:hAnsi="ITC Avant Garde"/>
          <w:bCs/>
        </w:rPr>
        <w:t xml:space="preserve">la </w:t>
      </w:r>
      <w:r w:rsidRPr="00DC1E28">
        <w:rPr>
          <w:rFonts w:ascii="ITC Avant Garde" w:hAnsi="ITC Avant Garde"/>
          <w:b/>
          <w:bCs/>
        </w:rPr>
        <w:t>Universidad Autónoma Metropolitana</w:t>
      </w:r>
      <w:r w:rsidRPr="00DC1E28">
        <w:rPr>
          <w:rFonts w:ascii="ITC Avant Garde" w:hAnsi="ITC Avant Garde"/>
          <w:bCs/>
        </w:rPr>
        <w:t xml:space="preserve"> a </w:t>
      </w:r>
      <w:r w:rsidRPr="00DC1E28">
        <w:rPr>
          <w:rFonts w:ascii="ITC Avant Garde" w:hAnsi="ITC Avant Garde"/>
          <w:kern w:val="3"/>
          <w:lang w:val="es-ES" w:eastAsia="ar-SA"/>
        </w:rPr>
        <w:t>de cumplimiento a lo señalado en el Resolutivo Segundo</w:t>
      </w:r>
      <w:r w:rsidRPr="00DC1E28">
        <w:rPr>
          <w:rFonts w:ascii="ITC Avant Garde" w:hAnsi="ITC Avant Garde"/>
          <w:bCs/>
          <w:lang w:eastAsia="es-MX"/>
        </w:rPr>
        <w:t xml:space="preserve">, </w:t>
      </w:r>
      <w:r w:rsidRPr="00DC1E28">
        <w:rPr>
          <w:rFonts w:ascii="ITC Avant Garde" w:hAnsi="ITC Avant Garde"/>
          <w:bCs/>
        </w:rPr>
        <w:t xml:space="preserve">contará con un plazo de 90 (noventa) días naturales, contados a partir de que surta efectos la presente Resolución </w:t>
      </w:r>
      <w:r w:rsidRPr="00DC1E28">
        <w:rPr>
          <w:rFonts w:ascii="ITC Avant Garde" w:hAnsi="ITC Avant Garde"/>
          <w:bCs/>
          <w:lang w:eastAsia="es-MX"/>
        </w:rPr>
        <w:t xml:space="preserve">para realizar los trabajos de instalación que implican </w:t>
      </w:r>
      <w:r w:rsidRPr="00DC1E28">
        <w:rPr>
          <w:rFonts w:ascii="ITC Avant Garde" w:hAnsi="ITC Avant Garde"/>
          <w:bCs/>
        </w:rPr>
        <w:t>las modificaciones técnicas autorizadas en la presente Resolución.</w:t>
      </w:r>
    </w:p>
    <w:p w:rsidR="00DC1E28" w:rsidRPr="00DC1E28" w:rsidRDefault="00E86505" w:rsidP="00DC1E28">
      <w:pPr>
        <w:spacing w:before="240" w:line="276" w:lineRule="auto"/>
        <w:jc w:val="both"/>
        <w:textAlignment w:val="auto"/>
      </w:pPr>
      <w:r w:rsidRPr="00DC1E28">
        <w:rPr>
          <w:rFonts w:ascii="ITC Avant Garde" w:hAnsi="ITC Avant Garde"/>
          <w:bCs/>
        </w:rPr>
        <w:t xml:space="preserve">Asimismo, para la realización de los trabajos de instalación materia de la presente resolución, el Concesionario deberá contar con el aval técnico de un perito en telecomunicaciones con </w:t>
      </w:r>
      <w:r w:rsidRPr="00DC1E28">
        <w:rPr>
          <w:rFonts w:ascii="ITC Avant Garde" w:hAnsi="ITC Avant Garde"/>
          <w:bCs/>
          <w:kern w:val="3"/>
          <w:lang w:eastAsia="ar-SA"/>
        </w:rPr>
        <w:t>especialidad</w:t>
      </w:r>
      <w:r w:rsidRPr="00DC1E28">
        <w:rPr>
          <w:rFonts w:ascii="ITC Avant Garde" w:hAnsi="ITC Avant Garde"/>
          <w:bCs/>
        </w:rPr>
        <w:t xml:space="preserve"> en radiodifusión y registro vigente, con el propósito de que verifique y garantice la no afectación a otros sistemas radioeléctricos y/o de radiodifusión dentro del área de servicio de la estación, así como el cumplimiento de todas las características técnicas autorizadas para la operación de la misma.</w:t>
      </w:r>
    </w:p>
    <w:p w:rsidR="00DC1E28" w:rsidRPr="00DC1E28" w:rsidRDefault="00E86505" w:rsidP="00DC1E28">
      <w:pPr>
        <w:spacing w:before="240" w:line="276" w:lineRule="auto"/>
        <w:ind w:right="-62"/>
        <w:jc w:val="both"/>
      </w:pPr>
      <w:r w:rsidRPr="00DC1E28">
        <w:rPr>
          <w:rFonts w:ascii="ITC Avant Garde" w:hAnsi="ITC Avant Garde"/>
          <w:b/>
          <w:bCs/>
        </w:rPr>
        <w:t xml:space="preserve">QUINTO. </w:t>
      </w:r>
      <w:r w:rsidRPr="00DC1E28">
        <w:rPr>
          <w:rFonts w:ascii="ITC Avant Garde" w:hAnsi="ITC Avant Garde"/>
          <w:bCs/>
        </w:rPr>
        <w:t xml:space="preserve">En ese sentido, una vez concluidos los trabajos, la </w:t>
      </w:r>
      <w:r w:rsidRPr="00DC1E28">
        <w:rPr>
          <w:rFonts w:ascii="ITC Avant Garde" w:hAnsi="ITC Avant Garde"/>
          <w:b/>
          <w:bCs/>
        </w:rPr>
        <w:t xml:space="preserve">Universidad Autónoma </w:t>
      </w:r>
      <w:r w:rsidRPr="00DC1E28">
        <w:rPr>
          <w:rFonts w:ascii="ITC Avant Garde" w:eastAsia="Times New Roman" w:hAnsi="ITC Avant Garde"/>
          <w:b/>
          <w:kern w:val="3"/>
          <w:lang w:val="es-ES" w:eastAsia="ar-SA"/>
        </w:rPr>
        <w:t>Metropolitana</w:t>
      </w:r>
      <w:r w:rsidRPr="00DC1E28">
        <w:rPr>
          <w:rFonts w:ascii="ITC Avant Garde" w:hAnsi="ITC Avant Garde"/>
          <w:bCs/>
        </w:rPr>
        <w:t>, deberá comunicar por escrito dentro del plazo indicado en el Resolutivo inmediato anterior la conclusión de los trabajos de instalación y el inicio de operaciones de la estación con las características técnicas autorizadas en el Resolutivo PRIMERO.</w:t>
      </w:r>
    </w:p>
    <w:p w:rsidR="00DC1E28" w:rsidRPr="00DC1E28" w:rsidRDefault="00E86505" w:rsidP="00DC1E28">
      <w:pPr>
        <w:spacing w:before="240" w:line="276" w:lineRule="auto"/>
        <w:jc w:val="both"/>
        <w:textAlignment w:val="auto"/>
      </w:pPr>
      <w:r w:rsidRPr="00DC1E28">
        <w:rPr>
          <w:rFonts w:ascii="ITC Avant Garde" w:hAnsi="ITC Avant Garde"/>
          <w:b/>
          <w:bCs/>
        </w:rPr>
        <w:t xml:space="preserve">SÉXTO. </w:t>
      </w:r>
      <w:r w:rsidRPr="00DC1E28">
        <w:rPr>
          <w:rFonts w:ascii="ITC Avant Garde" w:hAnsi="ITC Avant Garde"/>
          <w:bCs/>
        </w:rPr>
        <w:t xml:space="preserve">La </w:t>
      </w:r>
      <w:r w:rsidRPr="00DC1E28">
        <w:rPr>
          <w:rFonts w:ascii="ITC Avant Garde" w:hAnsi="ITC Avant Garde"/>
          <w:b/>
          <w:bCs/>
        </w:rPr>
        <w:t>Universidad Autónoma Metropolitana</w:t>
      </w:r>
      <w:r w:rsidRPr="00DC1E28">
        <w:rPr>
          <w:rFonts w:ascii="ITC Avant Garde" w:hAnsi="ITC Avant Garde"/>
          <w:bCs/>
        </w:rPr>
        <w:t xml:space="preserve"> acepta que si derivado de la instalación y operación de la estación acorde a las características técnicas detalladas en el Resolutivo PRIMERO de la presente autorización, se presentan interferencias con otros sistemas de radiodifusión o telecomunicaciones, acatará las medidas y modificaciones técnicas necesarias que al respecto dicte este Instituto Federal de Telecomunicaciones hasta que éstas hayan sido eliminadas por completo, de conformidad con lo establecido por las disposiciones legales, administrativas y técnicas aplicables en la materia.</w:t>
      </w:r>
    </w:p>
    <w:p w:rsidR="00DC1E28" w:rsidRPr="00DC1E28" w:rsidRDefault="00E86505" w:rsidP="00DC1E28">
      <w:pPr>
        <w:spacing w:before="240" w:line="276" w:lineRule="auto"/>
        <w:jc w:val="both"/>
        <w:rPr>
          <w:rFonts w:ascii="ITC Avant Garde" w:hAnsi="ITC Avant Garde"/>
          <w:bCs/>
        </w:rPr>
      </w:pPr>
      <w:r w:rsidRPr="00DC1E28">
        <w:rPr>
          <w:rFonts w:ascii="ITC Avant Garde" w:hAnsi="ITC Avant Garde"/>
          <w:bCs/>
        </w:rPr>
        <w:t>Todas las modificaciones que pudieran presentarse, por virtud de las medidas que este Instituto Federal de Telecomunicaciones pudiera dictar para eliminar las interferencias que en su caso llegaren a presentarse, deberán acatarse bajo la absoluta y entera responsabilidad del Concesionario quien asumirá los costos que las mismas impliquen.</w:t>
      </w:r>
    </w:p>
    <w:p w:rsidR="00DC1E28" w:rsidRPr="00DC1E28" w:rsidRDefault="00E86505" w:rsidP="00DC1E28">
      <w:pPr>
        <w:spacing w:before="240" w:line="276" w:lineRule="auto"/>
        <w:jc w:val="both"/>
      </w:pPr>
      <w:r w:rsidRPr="00DC1E28">
        <w:rPr>
          <w:rFonts w:ascii="ITC Avant Garde" w:hAnsi="ITC Avant Garde"/>
          <w:b/>
          <w:bCs/>
        </w:rPr>
        <w:lastRenderedPageBreak/>
        <w:t xml:space="preserve">SÉPTIMO. </w:t>
      </w:r>
      <w:r w:rsidRPr="00DC1E28">
        <w:rPr>
          <w:rFonts w:ascii="ITC Avant Garde" w:eastAsia="Times New Roman" w:hAnsi="ITC Avant Garde"/>
          <w:bCs/>
          <w:lang w:val="es-ES" w:eastAsia="es-ES"/>
        </w:rPr>
        <w:t xml:space="preserve">Con motivo de la presente queda autorizado </w:t>
      </w:r>
      <w:r w:rsidRPr="00DC1E28">
        <w:rPr>
          <w:rFonts w:ascii="ITC Avant Garde" w:hAnsi="ITC Avant Garde"/>
          <w:bCs/>
        </w:rPr>
        <w:t>el Estudio de Predicción de Áreas de Servicio (AS-FM-I-II), avalado por el Ingeniero Ignacio Espinosa Abonza, Perito en Telecomunicaciones con registro vigente número 201;</w:t>
      </w:r>
      <w:r w:rsidRPr="00DC1E28">
        <w:rPr>
          <w:rFonts w:ascii="ITC Avant Garde" w:eastAsia="Times New Roman" w:hAnsi="ITC Avant Garde"/>
          <w:bCs/>
          <w:lang w:val="es-ES" w:eastAsia="es-ES"/>
        </w:rPr>
        <w:t xml:space="preserve"> mismo que será entregado una vez que haya cumplido con las condiciones establecidas en la presente Resolución.</w:t>
      </w:r>
    </w:p>
    <w:p w:rsidR="00DC1E28" w:rsidRPr="00DC1E28" w:rsidRDefault="00E86505" w:rsidP="00DC1E28">
      <w:pPr>
        <w:spacing w:before="240" w:line="276" w:lineRule="auto"/>
        <w:jc w:val="both"/>
        <w:rPr>
          <w:rFonts w:ascii="ITC Avant Garde" w:hAnsi="ITC Avant Garde"/>
          <w:bCs/>
        </w:rPr>
      </w:pPr>
      <w:r w:rsidRPr="00DC1E28">
        <w:rPr>
          <w:rFonts w:ascii="ITC Avant Garde" w:hAnsi="ITC Avant Garde"/>
          <w:bCs/>
        </w:rPr>
        <w:t>Asimismo, deberá tener a disposición del Instituto Federal de Telecomunicaciones, la documentación correspondiente a: Características Técnicas de la Estación (CTE-FM-II-III), Pruebas de Comportamiento de la Estación (PCE-FM-I-II); documentación que, deberá estar avalada por un Perito en Telecomunicaciones con especialidad en radiodifusión y registro vigente, considerando que deberá consignar los datos con que se encuentre instalada y operando la estación, de conformidad con las características técnicas autorizadas por este Instituto Federal de Telecomunicaciones.</w:t>
      </w:r>
    </w:p>
    <w:p w:rsidR="00DC1E28" w:rsidRPr="00DC1E28" w:rsidRDefault="00E86505" w:rsidP="00DC1E28">
      <w:pPr>
        <w:spacing w:before="240" w:line="276" w:lineRule="auto"/>
        <w:jc w:val="both"/>
        <w:rPr>
          <w:rFonts w:ascii="ITC Avant Garde" w:hAnsi="ITC Avant Garde"/>
          <w:bCs/>
        </w:rPr>
      </w:pPr>
      <w:r w:rsidRPr="00DC1E28">
        <w:rPr>
          <w:rFonts w:ascii="ITC Avant Garde" w:hAnsi="ITC Avant Garde"/>
          <w:b/>
          <w:bCs/>
        </w:rPr>
        <w:t>OCTAVO.</w:t>
      </w:r>
      <w:r w:rsidRPr="00DC1E28">
        <w:rPr>
          <w:rFonts w:ascii="ITC Avant Garde" w:eastAsia="Times New Roman" w:hAnsi="ITC Avant Garde"/>
          <w:b/>
          <w:bCs/>
          <w:lang w:val="es-ES" w:eastAsia="es-ES"/>
        </w:rPr>
        <w:t xml:space="preserve"> </w:t>
      </w:r>
      <w:r w:rsidRPr="00DC1E28">
        <w:rPr>
          <w:rFonts w:ascii="ITC Avant Garde" w:eastAsia="Times New Roman" w:hAnsi="ITC Avant Garde"/>
          <w:bCs/>
          <w:lang w:val="es-ES" w:eastAsia="es-ES"/>
        </w:rPr>
        <w:t xml:space="preserve">En su oportunidad remítase la presente resolución a la Dirección General Adjunta del </w:t>
      </w:r>
      <w:r w:rsidRPr="00DC1E28">
        <w:rPr>
          <w:rFonts w:ascii="ITC Avant Garde" w:hAnsi="ITC Avant Garde"/>
          <w:bCs/>
        </w:rPr>
        <w:t>Registro Público de Telecomunicaciones para efectos de su debida Inscripción en el Registro Público de Concesiones, una vez satisfecho lo señalado en el Resolutivo SEGUNDO.</w:t>
      </w:r>
    </w:p>
    <w:p w:rsidR="009406DF" w:rsidRPr="00DC1E28" w:rsidRDefault="009406DF" w:rsidP="00DC1E28">
      <w:pPr>
        <w:spacing w:before="240" w:line="240" w:lineRule="auto"/>
        <w:jc w:val="both"/>
        <w:rPr>
          <w:rFonts w:ascii="ITC Avant Garde" w:hAnsi="ITC Avant Garde"/>
          <w:bCs/>
          <w:sz w:val="14"/>
          <w:szCs w:val="14"/>
          <w:bdr w:val="none" w:sz="0" w:space="0" w:color="auto" w:frame="1"/>
        </w:rPr>
      </w:pPr>
      <w:r w:rsidRPr="00DC1E28">
        <w:rPr>
          <w:rFonts w:ascii="ITC Avant Garde" w:hAnsi="ITC Avant Garde"/>
          <w:sz w:val="14"/>
          <w:szCs w:val="14"/>
        </w:rPr>
        <w:t xml:space="preserve">La presente Resolución fue aprobada por el Pleno del Instituto Federal de Telecomunicaciones en su XXVIII Sesión Ordinaria celebrada el 5 de julio de 2017, </w:t>
      </w:r>
      <w:r w:rsidRPr="00DC1E28">
        <w:rPr>
          <w:rFonts w:ascii="ITC Avant Garde" w:hAnsi="ITC Avant Garde"/>
          <w:bCs/>
          <w:sz w:val="14"/>
          <w:szCs w:val="14"/>
        </w:rPr>
        <w:t xml:space="preserve">por unanimidad </w:t>
      </w:r>
      <w:r w:rsidRPr="00DC1E28">
        <w:rPr>
          <w:rFonts w:ascii="ITC Avant Garde" w:hAnsi="ITC Avant Garde"/>
          <w:sz w:val="14"/>
          <w:szCs w:val="14"/>
        </w:rPr>
        <w:t>de votos de los Comisionados Gabriel Oswaldo Contreras Saldívar, Adriana Sofía Labardini Inzunza, María Elena Estavillo Flores, Mario Germán Fromow Rangel, Adolfo Cuevas Teja, Javier Juárez Mojica y Arturo Robles Rovalo;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P/IFT/050717/388.</w:t>
      </w:r>
    </w:p>
    <w:sectPr w:rsidR="009406DF" w:rsidRPr="00DC1E28" w:rsidSect="00660198">
      <w:footerReference w:type="default" r:id="rId8"/>
      <w:pgSz w:w="12240" w:h="15840"/>
      <w:pgMar w:top="1985" w:right="1418" w:bottom="1418" w:left="1418" w:header="709" w:footer="98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4BF8" w:rsidRDefault="008A4BF8">
      <w:pPr>
        <w:spacing w:after="0" w:line="240" w:lineRule="auto"/>
      </w:pPr>
      <w:r>
        <w:separator/>
      </w:r>
    </w:p>
  </w:endnote>
  <w:endnote w:type="continuationSeparator" w:id="0">
    <w:p w:rsidR="008A4BF8" w:rsidRDefault="008A4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ITC Avant Garde">
    <w:altName w:val="Avant Garde"/>
    <w:panose1 w:val="020B04020202030203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2971950"/>
      <w:docPartObj>
        <w:docPartGallery w:val="Page Numbers (Bottom of Page)"/>
        <w:docPartUnique/>
      </w:docPartObj>
    </w:sdtPr>
    <w:sdtEndPr>
      <w:rPr>
        <w:rFonts w:ascii="ITC Avant Garde" w:hAnsi="ITC Avant Garde"/>
        <w:sz w:val="20"/>
        <w:szCs w:val="20"/>
      </w:rPr>
    </w:sdtEndPr>
    <w:sdtContent>
      <w:p w:rsidR="00660198" w:rsidRPr="00660198" w:rsidRDefault="00660198">
        <w:pPr>
          <w:pStyle w:val="Piedepgina"/>
          <w:jc w:val="right"/>
          <w:rPr>
            <w:rFonts w:ascii="ITC Avant Garde" w:hAnsi="ITC Avant Garde"/>
            <w:sz w:val="20"/>
            <w:szCs w:val="20"/>
          </w:rPr>
        </w:pPr>
        <w:r w:rsidRPr="00660198">
          <w:rPr>
            <w:rFonts w:ascii="ITC Avant Garde" w:hAnsi="ITC Avant Garde"/>
            <w:sz w:val="20"/>
            <w:szCs w:val="20"/>
          </w:rPr>
          <w:fldChar w:fldCharType="begin"/>
        </w:r>
        <w:r w:rsidRPr="00660198">
          <w:rPr>
            <w:rFonts w:ascii="ITC Avant Garde" w:hAnsi="ITC Avant Garde"/>
            <w:sz w:val="20"/>
            <w:szCs w:val="20"/>
          </w:rPr>
          <w:instrText>PAGE   \* MERGEFORMAT</w:instrText>
        </w:r>
        <w:r w:rsidRPr="00660198">
          <w:rPr>
            <w:rFonts w:ascii="ITC Avant Garde" w:hAnsi="ITC Avant Garde"/>
            <w:sz w:val="20"/>
            <w:szCs w:val="20"/>
          </w:rPr>
          <w:fldChar w:fldCharType="separate"/>
        </w:r>
        <w:r w:rsidR="001D1A84" w:rsidRPr="001D1A84">
          <w:rPr>
            <w:rFonts w:ascii="ITC Avant Garde" w:hAnsi="ITC Avant Garde"/>
            <w:noProof/>
            <w:sz w:val="20"/>
            <w:szCs w:val="20"/>
            <w:lang w:val="es-ES"/>
          </w:rPr>
          <w:t>4</w:t>
        </w:r>
        <w:r w:rsidRPr="00660198">
          <w:rPr>
            <w:rFonts w:ascii="ITC Avant Garde" w:hAnsi="ITC Avant Garde"/>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4BF8" w:rsidRDefault="008A4BF8">
      <w:pPr>
        <w:spacing w:after="0" w:line="240" w:lineRule="auto"/>
      </w:pPr>
      <w:r>
        <w:rPr>
          <w:color w:val="000000"/>
        </w:rPr>
        <w:separator/>
      </w:r>
    </w:p>
  </w:footnote>
  <w:footnote w:type="continuationSeparator" w:id="0">
    <w:p w:rsidR="008A4BF8" w:rsidRDefault="008A4BF8">
      <w:pPr>
        <w:spacing w:after="0" w:line="240" w:lineRule="auto"/>
      </w:pPr>
      <w:r>
        <w:continuationSeparator/>
      </w:r>
    </w:p>
  </w:footnote>
  <w:footnote w:id="1">
    <w:p w:rsidR="00DC1E28" w:rsidRDefault="00DC1E28">
      <w:pPr>
        <w:pStyle w:val="Textonotapie"/>
      </w:pPr>
      <w:r>
        <w:rPr>
          <w:rStyle w:val="Refdenotaalpie"/>
        </w:rPr>
        <w:footnoteRef/>
      </w:r>
      <w:r>
        <w:t xml:space="preserve"> Calculado a 72 radiales, de acuerdo con información del INEGI-2010.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981ABB"/>
    <w:multiLevelType w:val="multilevel"/>
    <w:tmpl w:val="822C79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12F19A3"/>
    <w:multiLevelType w:val="multilevel"/>
    <w:tmpl w:val="897AA33E"/>
    <w:lvl w:ilvl="0">
      <w:start w:val="1"/>
      <w:numFmt w:val="decimal"/>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71C0336C"/>
    <w:multiLevelType w:val="multilevel"/>
    <w:tmpl w:val="C7E660E6"/>
    <w:lvl w:ilvl="0">
      <w:start w:val="1"/>
      <w:numFmt w:val="upperRoman"/>
      <w:lvlText w:val="%1."/>
      <w:lvlJc w:val="righ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84F50BE"/>
    <w:multiLevelType w:val="multilevel"/>
    <w:tmpl w:val="A16894F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E61"/>
    <w:rsid w:val="001D1A84"/>
    <w:rsid w:val="003A1890"/>
    <w:rsid w:val="004950EE"/>
    <w:rsid w:val="004B45B2"/>
    <w:rsid w:val="004C6E61"/>
    <w:rsid w:val="00506E12"/>
    <w:rsid w:val="00522DB1"/>
    <w:rsid w:val="00660198"/>
    <w:rsid w:val="006D0914"/>
    <w:rsid w:val="007D4412"/>
    <w:rsid w:val="008A4BF8"/>
    <w:rsid w:val="008A6493"/>
    <w:rsid w:val="009406DF"/>
    <w:rsid w:val="00C463AE"/>
    <w:rsid w:val="00C72D27"/>
    <w:rsid w:val="00DC1E28"/>
    <w:rsid w:val="00E86505"/>
    <w:rsid w:val="00F07658"/>
    <w:rsid w:val="00FF1C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D25925-7A62-41AE-957F-35843B218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MX"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line="247" w:lineRule="auto"/>
    </w:pPr>
  </w:style>
  <w:style w:type="paragraph" w:styleId="Ttulo1">
    <w:name w:val="heading 1"/>
    <w:basedOn w:val="Normal"/>
    <w:next w:val="Normal"/>
    <w:link w:val="Ttulo1Car"/>
    <w:uiPriority w:val="9"/>
    <w:qFormat/>
    <w:rsid w:val="00DC1E28"/>
    <w:pPr>
      <w:keepNext/>
      <w:keepLines/>
      <w:suppressAutoHyphens w:val="0"/>
      <w:autoSpaceDN/>
      <w:spacing w:before="240" w:after="0" w:line="276" w:lineRule="auto"/>
      <w:textAlignment w:val="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C1E28"/>
    <w:pPr>
      <w:keepNext/>
      <w:keepLines/>
      <w:suppressAutoHyphens w:val="0"/>
      <w:autoSpaceDN/>
      <w:spacing w:before="40" w:after="0" w:line="276" w:lineRule="auto"/>
      <w:textAlignment w:val="auto"/>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pPr>
      <w:spacing w:before="100" w:after="100" w:line="240" w:lineRule="auto"/>
      <w:textAlignment w:val="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pPr>
      <w:spacing w:after="0" w:line="240" w:lineRule="auto"/>
      <w:ind w:left="708"/>
    </w:pPr>
    <w:rPr>
      <w:rFonts w:ascii="Arial" w:eastAsia="Times New Roman" w:hAnsi="Arial"/>
      <w:sz w:val="24"/>
      <w:szCs w:val="20"/>
    </w:rPr>
  </w:style>
  <w:style w:type="paragraph" w:customStyle="1" w:styleId="estilo30">
    <w:name w:val="estilo30"/>
    <w:basedOn w:val="Normal"/>
    <w:pPr>
      <w:spacing w:before="100" w:after="100" w:line="240" w:lineRule="auto"/>
      <w:textAlignment w:val="auto"/>
    </w:pPr>
    <w:rPr>
      <w:rFonts w:ascii="Times New Roman" w:eastAsia="Times New Roman" w:hAnsi="Times New Roman"/>
      <w:sz w:val="24"/>
      <w:szCs w:val="24"/>
      <w:lang w:eastAsia="es-MX"/>
    </w:rPr>
  </w:style>
  <w:style w:type="character" w:customStyle="1" w:styleId="PrrafodelistaCar">
    <w:name w:val="Párrafo de lista Car"/>
    <w:rPr>
      <w:rFonts w:ascii="Arial" w:eastAsia="Times New Roman" w:hAnsi="Arial" w:cs="Times New Roman"/>
      <w:sz w:val="24"/>
      <w:szCs w:val="20"/>
    </w:rPr>
  </w:style>
  <w:style w:type="paragraph" w:styleId="Encabezado">
    <w:name w:val="header"/>
    <w:basedOn w:val="Normal"/>
    <w:pPr>
      <w:tabs>
        <w:tab w:val="center" w:pos="4419"/>
        <w:tab w:val="right" w:pos="8838"/>
      </w:tabs>
      <w:spacing w:after="0" w:line="240" w:lineRule="auto"/>
    </w:pPr>
  </w:style>
  <w:style w:type="character" w:customStyle="1" w:styleId="EncabezadoCar">
    <w:name w:val="Encabezado Car"/>
    <w:basedOn w:val="Fuentedeprrafopredeter"/>
    <w:rPr>
      <w:rFonts w:ascii="Calibri" w:eastAsia="Calibri" w:hAnsi="Calibri" w:cs="Times New Roman"/>
    </w:rPr>
  </w:style>
  <w:style w:type="paragraph" w:styleId="Piedepgina">
    <w:name w:val="footer"/>
    <w:basedOn w:val="Normal"/>
    <w:uiPriority w:val="99"/>
    <w:pPr>
      <w:tabs>
        <w:tab w:val="center" w:pos="4419"/>
        <w:tab w:val="right" w:pos="8838"/>
      </w:tabs>
      <w:spacing w:after="0" w:line="240" w:lineRule="auto"/>
    </w:pPr>
  </w:style>
  <w:style w:type="character" w:customStyle="1" w:styleId="PiedepginaCar">
    <w:name w:val="Pie de página Car"/>
    <w:basedOn w:val="Fuentedeprrafopredeter"/>
    <w:uiPriority w:val="99"/>
    <w:rPr>
      <w:rFonts w:ascii="Calibri" w:eastAsia="Calibri" w:hAnsi="Calibri" w:cs="Times New Roman"/>
    </w:rPr>
  </w:style>
  <w:style w:type="character" w:customStyle="1" w:styleId="TextoCar">
    <w:name w:val="Texto Car"/>
    <w:rPr>
      <w:rFonts w:ascii="Arial" w:hAnsi="Arial" w:cs="Arial"/>
      <w:sz w:val="18"/>
      <w:lang w:val="es-ES" w:eastAsia="es-ES"/>
    </w:rPr>
  </w:style>
  <w:style w:type="paragraph" w:customStyle="1" w:styleId="Texto">
    <w:name w:val="Texto"/>
    <w:basedOn w:val="Normal"/>
    <w:pPr>
      <w:spacing w:after="101" w:line="216" w:lineRule="exact"/>
      <w:ind w:firstLine="288"/>
      <w:jc w:val="both"/>
      <w:textAlignment w:val="auto"/>
    </w:pPr>
    <w:rPr>
      <w:rFonts w:ascii="Arial" w:hAnsi="Arial" w:cs="Arial"/>
      <w:sz w:val="18"/>
      <w:lang w:val="es-ES" w:eastAsia="es-ES"/>
    </w:rPr>
  </w:style>
  <w:style w:type="character" w:customStyle="1" w:styleId="apple-converted-space">
    <w:name w:val="apple-converted-space"/>
    <w:basedOn w:val="Fuentedeprrafopredeter"/>
  </w:style>
  <w:style w:type="paragraph" w:styleId="Textonotapie">
    <w:name w:val="footnote text"/>
    <w:basedOn w:val="Normal"/>
    <w:pPr>
      <w:spacing w:after="0" w:line="240" w:lineRule="auto"/>
    </w:pPr>
    <w:rPr>
      <w:sz w:val="20"/>
      <w:szCs w:val="20"/>
    </w:rPr>
  </w:style>
  <w:style w:type="character" w:customStyle="1" w:styleId="TextonotapieCar">
    <w:name w:val="Texto nota pie Car"/>
    <w:basedOn w:val="Fuentedeprrafopredeter"/>
    <w:rPr>
      <w:rFonts w:ascii="Calibri" w:eastAsia="Calibri" w:hAnsi="Calibri" w:cs="Times New Roman"/>
      <w:sz w:val="20"/>
      <w:szCs w:val="20"/>
    </w:rPr>
  </w:style>
  <w:style w:type="character" w:styleId="Refdenotaalpie">
    <w:name w:val="footnote reference"/>
    <w:basedOn w:val="Fuentedeprrafopredeter"/>
    <w:rPr>
      <w:position w:val="0"/>
      <w:vertAlign w:val="superscript"/>
    </w:rPr>
  </w:style>
  <w:style w:type="paragraph" w:styleId="Textodeglobo">
    <w:name w:val="Balloon Text"/>
    <w:basedOn w:val="Normal"/>
    <w:pPr>
      <w:spacing w:after="0" w:line="240" w:lineRule="auto"/>
    </w:pPr>
    <w:rPr>
      <w:rFonts w:ascii="Segoe UI" w:hAnsi="Segoe UI" w:cs="Segoe UI"/>
      <w:sz w:val="18"/>
      <w:szCs w:val="18"/>
    </w:rPr>
  </w:style>
  <w:style w:type="character" w:customStyle="1" w:styleId="TextodegloboCar">
    <w:name w:val="Texto de globo Car"/>
    <w:basedOn w:val="Fuentedeprrafopredeter"/>
    <w:rPr>
      <w:rFonts w:ascii="Segoe UI" w:eastAsia="Calibri" w:hAnsi="Segoe UI" w:cs="Segoe UI"/>
      <w:sz w:val="18"/>
      <w:szCs w:val="18"/>
    </w:rPr>
  </w:style>
  <w:style w:type="character" w:styleId="Refdecomentario">
    <w:name w:val="annotation reference"/>
    <w:basedOn w:val="Fuentedeprrafopredeter"/>
    <w:rPr>
      <w:sz w:val="16"/>
      <w:szCs w:val="16"/>
    </w:rPr>
  </w:style>
  <w:style w:type="paragraph" w:styleId="Textocomentario">
    <w:name w:val="annotation text"/>
    <w:basedOn w:val="Normal"/>
    <w:pPr>
      <w:spacing w:line="240" w:lineRule="auto"/>
    </w:pPr>
    <w:rPr>
      <w:sz w:val="20"/>
      <w:szCs w:val="20"/>
    </w:rPr>
  </w:style>
  <w:style w:type="character" w:customStyle="1" w:styleId="TextocomentarioCar">
    <w:name w:val="Texto comentario Car"/>
    <w:basedOn w:val="Fuentedeprrafopredeter"/>
    <w:rPr>
      <w:rFonts w:ascii="Calibri" w:eastAsia="Calibri" w:hAnsi="Calibri" w:cs="Times New Roman"/>
      <w:sz w:val="20"/>
      <w:szCs w:val="20"/>
    </w:rPr>
  </w:style>
  <w:style w:type="paragraph" w:styleId="Asuntodelcomentario">
    <w:name w:val="annotation subject"/>
    <w:basedOn w:val="Textocomentario"/>
    <w:next w:val="Textocomentario"/>
    <w:rPr>
      <w:b/>
      <w:bCs/>
    </w:rPr>
  </w:style>
  <w:style w:type="character" w:customStyle="1" w:styleId="AsuntodelcomentarioCar">
    <w:name w:val="Asunto del comentario Car"/>
    <w:basedOn w:val="TextocomentarioCar"/>
    <w:rPr>
      <w:rFonts w:ascii="Calibri" w:eastAsia="Calibri" w:hAnsi="Calibri" w:cs="Times New Roman"/>
      <w:b/>
      <w:bCs/>
      <w:sz w:val="20"/>
      <w:szCs w:val="20"/>
    </w:rPr>
  </w:style>
  <w:style w:type="paragraph" w:styleId="Revisin">
    <w:name w:val="Revision"/>
    <w:pPr>
      <w:suppressAutoHyphens/>
      <w:spacing w:after="0" w:line="240" w:lineRule="auto"/>
    </w:pPr>
  </w:style>
  <w:style w:type="character" w:customStyle="1" w:styleId="Ttulo3Car">
    <w:name w:val="Título 3 Car"/>
    <w:basedOn w:val="Fuentedeprrafopredeter"/>
    <w:rPr>
      <w:rFonts w:ascii="Times New Roman" w:eastAsia="Times New Roman" w:hAnsi="Times New Roman" w:cs="Times New Roman"/>
      <w:b/>
      <w:bCs/>
      <w:sz w:val="27"/>
      <w:szCs w:val="27"/>
      <w:lang w:eastAsia="es-MX"/>
    </w:rPr>
  </w:style>
  <w:style w:type="character" w:customStyle="1" w:styleId="Ttulo1Car">
    <w:name w:val="Título 1 Car"/>
    <w:basedOn w:val="Fuentedeprrafopredeter"/>
    <w:link w:val="Ttulo1"/>
    <w:uiPriority w:val="9"/>
    <w:rsid w:val="00DC1E28"/>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DC1E28"/>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DC1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43178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14</Pages>
  <Words>5143</Words>
  <Characters>28289</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Cortes Espidio</dc:creator>
  <dc:description/>
  <cp:lastModifiedBy>Maria del Consuelo Gonzalez Moreno</cp:lastModifiedBy>
  <cp:revision>5</cp:revision>
  <dcterms:created xsi:type="dcterms:W3CDTF">2017-08-30T16:55:00Z</dcterms:created>
  <dcterms:modified xsi:type="dcterms:W3CDTF">2017-10-10T23:06:00Z</dcterms:modified>
</cp:coreProperties>
</file>