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1AD" w:rsidRPr="004A51AD" w:rsidRDefault="004A51AD" w:rsidP="004A51AD">
      <w:pPr>
        <w:pStyle w:val="Ttulo1"/>
        <w:spacing w:after="240" w:line="240" w:lineRule="auto"/>
        <w:jc w:val="both"/>
        <w:rPr>
          <w:rFonts w:ascii="ITC Avant Garde" w:hAnsi="ITC Avant Garde"/>
          <w:b/>
          <w:color w:val="000000" w:themeColor="text1"/>
          <w:sz w:val="22"/>
          <w:szCs w:val="22"/>
          <w:lang w:eastAsia="es-MX"/>
        </w:rPr>
      </w:pPr>
      <w:r w:rsidRPr="004A51AD">
        <w:rPr>
          <w:rFonts w:ascii="ITC Avant Garde" w:hAnsi="ITC Avant Garde"/>
          <w:b/>
          <w:color w:val="000000" w:themeColor="text1"/>
          <w:sz w:val="22"/>
          <w:szCs w:val="22"/>
          <w:lang w:eastAsia="es-MX"/>
        </w:rPr>
        <w:t>ACUERDO MEDIANTE EL CUAL EL PLENO DEL INSTITUTO FEDERAL DE TELECOMUNICACIONES ESTABLECE EL GRUPO DE TRABAJO A QUE SE REFIERE LA MEDIDA SEPTUAGÉSIMA NOVENA DEL ANEXO 1.</w:t>
      </w:r>
    </w:p>
    <w:p w:rsidR="004A51AD" w:rsidRPr="004A51AD" w:rsidRDefault="004A51AD" w:rsidP="004A51AD">
      <w:pPr>
        <w:pStyle w:val="Ttulo2"/>
        <w:spacing w:after="240"/>
        <w:jc w:val="center"/>
        <w:rPr>
          <w:rFonts w:ascii="ITC Avant Garde" w:hAnsi="ITC Avant Garde"/>
          <w:b/>
          <w:color w:val="000000" w:themeColor="text1"/>
          <w:sz w:val="22"/>
          <w:szCs w:val="22"/>
        </w:rPr>
      </w:pPr>
      <w:r w:rsidRPr="004A51AD">
        <w:rPr>
          <w:rFonts w:ascii="ITC Avant Garde" w:hAnsi="ITC Avant Garde"/>
          <w:b/>
          <w:color w:val="000000" w:themeColor="text1"/>
          <w:sz w:val="22"/>
          <w:szCs w:val="22"/>
        </w:rPr>
        <w:t>ANTECEDENTES</w:t>
      </w:r>
    </w:p>
    <w:p w:rsidR="004A51AD" w:rsidRPr="004A51AD" w:rsidRDefault="004A51AD" w:rsidP="004A51AD">
      <w:pPr>
        <w:spacing w:after="240" w:line="240" w:lineRule="auto"/>
        <w:ind w:left="426" w:hanging="426"/>
        <w:jc w:val="both"/>
        <w:rPr>
          <w:rFonts w:ascii="ITC Avant Garde" w:hAnsi="ITC Avant Garde"/>
        </w:rPr>
      </w:pPr>
      <w:r w:rsidRPr="004A51AD">
        <w:rPr>
          <w:rFonts w:ascii="ITC Avant Garde" w:hAnsi="ITC Avant Garde"/>
        </w:rPr>
        <w:t>I.</w:t>
      </w:r>
      <w:r w:rsidRPr="004A51AD">
        <w:rPr>
          <w:rFonts w:ascii="ITC Avant Garde" w:hAnsi="ITC Avant Garde"/>
        </w:rPr>
        <w:tab/>
        <w:t>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(en lo sucesivo el "Decreto Constitucional"), mediante el cual se creó el Instituto Federal de Telecomunicaciones (en lo sucesivo, el "Instituto"), como un órgano autónomo con personalidad jurídica y patrimonio propio.</w:t>
      </w:r>
    </w:p>
    <w:p w:rsidR="004A51AD" w:rsidRPr="004A51AD" w:rsidRDefault="004A51AD" w:rsidP="004A51AD">
      <w:pPr>
        <w:spacing w:after="240" w:line="240" w:lineRule="auto"/>
        <w:ind w:left="426" w:hanging="426"/>
        <w:jc w:val="both"/>
        <w:rPr>
          <w:rFonts w:ascii="ITC Avant Garde" w:hAnsi="ITC Avant Garde"/>
        </w:rPr>
      </w:pPr>
      <w:r w:rsidRPr="004A51AD">
        <w:rPr>
          <w:rFonts w:ascii="ITC Avant Garde" w:hAnsi="ITC Avant Garde"/>
        </w:rPr>
        <w:t>II.</w:t>
      </w:r>
      <w:r w:rsidRPr="004A51AD">
        <w:rPr>
          <w:rFonts w:ascii="ITC Avant Garde" w:hAnsi="ITC Avant Garde"/>
        </w:rPr>
        <w:tab/>
        <w:t xml:space="preserve">El 6 de marzo de 2014, el Pleno del Instituto aprobó mediante Acuerdo P/IFT/EXT/060314/76, la “RESOLUCIÓN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w:t>
      </w:r>
      <w:r w:rsidRPr="004A51AD">
        <w:rPr>
          <w:rFonts w:ascii="ITC Avant Garde" w:eastAsia="Calibri" w:hAnsi="ITC Avant Garde" w:cs="Times New Roman"/>
          <w:bCs/>
          <w:color w:val="000000"/>
          <w:lang w:eastAsia="es-MX"/>
        </w:rPr>
        <w:t>TELECOMUNICACIONES</w:t>
      </w:r>
      <w:r w:rsidRPr="004A51AD">
        <w:rPr>
          <w:rFonts w:ascii="ITC Avant Garde" w:hAnsi="ITC Avant Garde"/>
        </w:rPr>
        <w:t xml:space="preserve"> Y LE IMPONE LAS MEDIDAS NECESARIAS PARA EVITAR QUE SE AFECTE LA COMPETENCIA Y LA LIBRE CONCURRENCIA”(sic) (en lo sucesivo, la “Resolución de AEP”), con dicha Resolución se emitieron los Anexos siguiente:</w:t>
      </w:r>
    </w:p>
    <w:p w:rsidR="004A51AD" w:rsidRPr="004A51AD" w:rsidRDefault="004A51AD" w:rsidP="004A51AD">
      <w:pPr>
        <w:autoSpaceDE w:val="0"/>
        <w:autoSpaceDN w:val="0"/>
        <w:adjustRightInd w:val="0"/>
        <w:spacing w:after="240" w:line="240" w:lineRule="auto"/>
        <w:ind w:left="709" w:right="474"/>
        <w:jc w:val="both"/>
        <w:rPr>
          <w:rFonts w:ascii="ITC Avant Garde" w:eastAsia="Calibri" w:hAnsi="ITC Avant Garde" w:cs="Times New Roman"/>
          <w:bCs/>
        </w:rPr>
      </w:pPr>
      <w:r w:rsidRPr="004A51AD">
        <w:rPr>
          <w:rFonts w:ascii="ITC Avant Garde" w:eastAsia="Calibri" w:hAnsi="ITC Avant Garde" w:cs="Times New Roman"/>
          <w:bCs/>
        </w:rPr>
        <w:t>Anexo 1,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w:t>
      </w:r>
    </w:p>
    <w:p w:rsidR="004A51AD" w:rsidRPr="004A51AD" w:rsidRDefault="004A51AD" w:rsidP="004A51AD">
      <w:pPr>
        <w:autoSpaceDE w:val="0"/>
        <w:autoSpaceDN w:val="0"/>
        <w:adjustRightInd w:val="0"/>
        <w:spacing w:after="240" w:line="240" w:lineRule="auto"/>
        <w:ind w:left="709" w:right="474"/>
        <w:jc w:val="both"/>
        <w:rPr>
          <w:rFonts w:ascii="ITC Avant Garde" w:eastAsia="Calibri" w:hAnsi="ITC Avant Garde" w:cs="Times New Roman"/>
          <w:bCs/>
        </w:rPr>
      </w:pPr>
      <w:r w:rsidRPr="004A51AD">
        <w:rPr>
          <w:rFonts w:ascii="ITC Avant Garde" w:eastAsia="Calibri" w:hAnsi="ITC Avant Garde" w:cs="Times New Roman"/>
          <w:bCs/>
        </w:rPr>
        <w:t>Anexo 2,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w:t>
      </w:r>
    </w:p>
    <w:p w:rsidR="004A51AD" w:rsidRPr="004A51AD" w:rsidRDefault="004A51AD" w:rsidP="004A51AD">
      <w:pPr>
        <w:autoSpaceDE w:val="0"/>
        <w:autoSpaceDN w:val="0"/>
        <w:adjustRightInd w:val="0"/>
        <w:spacing w:after="240" w:line="240" w:lineRule="auto"/>
        <w:ind w:left="709" w:right="474"/>
        <w:jc w:val="both"/>
        <w:rPr>
          <w:rFonts w:ascii="ITC Avant Garde" w:eastAsia="Calibri" w:hAnsi="ITC Avant Garde" w:cs="Times New Roman"/>
          <w:bCs/>
        </w:rPr>
      </w:pPr>
      <w:r w:rsidRPr="004A51AD">
        <w:rPr>
          <w:rFonts w:ascii="ITC Avant Garde" w:eastAsia="Calibri" w:hAnsi="ITC Avant Garde" w:cs="Times New Roman"/>
          <w:bCs/>
        </w:rPr>
        <w:t xml:space="preserve">Anexo 3, MEDIDAS QUE PERMITEN LA DESAGREGACIÓN EFECTIVA DE LA RED LOCAL DEL AGENTE ECONÓMICO PREPONDERANTE EN TELECOMUNICACIONES DE MANERA QUE OTROS CONCESIONARIOS DE TELECOMUNICACIONES PUEDAN ACCEDER, ENTRE OTROS, A LOS MEDIOS </w:t>
      </w:r>
      <w:r w:rsidRPr="004A51AD">
        <w:rPr>
          <w:rFonts w:ascii="ITC Avant Garde" w:eastAsia="Calibri" w:hAnsi="ITC Avant Garde" w:cs="Times New Roman"/>
          <w:bCs/>
        </w:rPr>
        <w:lastRenderedPageBreak/>
        <w:t>FÍSICOS, TÉCNICOS Y LÓGICOS DE CONEXIÓN ENTRE CUALQUIER PUNTO TERMINAL DE LA RED PÚBLICA DE TELECOMUNICACIONES Y EL PUNTO DE ACCESO A LA RED LOCAL PERTENECIENTE A DICHO AGENTE.</w:t>
      </w:r>
    </w:p>
    <w:p w:rsidR="004A51AD" w:rsidRPr="004A51AD" w:rsidRDefault="004A51AD" w:rsidP="004A51AD">
      <w:pPr>
        <w:autoSpaceDE w:val="0"/>
        <w:autoSpaceDN w:val="0"/>
        <w:adjustRightInd w:val="0"/>
        <w:spacing w:after="240" w:line="240" w:lineRule="auto"/>
        <w:ind w:left="709" w:right="474"/>
        <w:jc w:val="both"/>
        <w:rPr>
          <w:rFonts w:ascii="ITC Avant Garde" w:eastAsia="Calibri" w:hAnsi="ITC Avant Garde" w:cs="Times New Roman"/>
          <w:bCs/>
        </w:rPr>
      </w:pPr>
      <w:r w:rsidRPr="004A51AD">
        <w:rPr>
          <w:rFonts w:ascii="ITC Avant Garde" w:eastAsia="Calibri" w:hAnsi="ITC Avant Garde" w:cs="Times New Roman"/>
          <w:bCs/>
        </w:rPr>
        <w:t>Anexo 4, MEDIDAS EN MATERIA DE CONTENIDOS AUDIOVISUALES QUE SE ESTABLECERÁN AL AGENTE ECONÓMICO PREPONDERANTE EN TELECOMUNICACIONES.</w:t>
      </w:r>
    </w:p>
    <w:p w:rsidR="004A51AD" w:rsidRPr="004A51AD" w:rsidRDefault="004A51AD" w:rsidP="004A51AD">
      <w:pPr>
        <w:autoSpaceDE w:val="0"/>
        <w:autoSpaceDN w:val="0"/>
        <w:adjustRightInd w:val="0"/>
        <w:spacing w:after="240" w:line="240" w:lineRule="auto"/>
        <w:ind w:left="709" w:right="474"/>
        <w:jc w:val="both"/>
        <w:rPr>
          <w:rFonts w:ascii="ITC Avant Garde" w:eastAsia="Calibri" w:hAnsi="ITC Avant Garde" w:cs="Times New Roman"/>
          <w:bCs/>
        </w:rPr>
      </w:pPr>
      <w:r w:rsidRPr="004A51AD">
        <w:rPr>
          <w:rFonts w:ascii="ITC Avant Garde" w:eastAsia="Calibri" w:hAnsi="ITC Avant Garde" w:cs="Times New Roman"/>
          <w:bCs/>
        </w:rPr>
        <w:t>Anexo 5, CONVENIO MARCO DE INTERCONEXIÓN ENTRE LAS REDES DE [RAZÓN SOCIAL DEL INTEGRANTE DEL AGENTE ECONÓMICO PREPONDERANTE] CON LA RED PÚBLICA DE TELECOMUNICACIONES DE [RAZÓN SOCIAL DEL CONCESIONARIO].</w:t>
      </w:r>
    </w:p>
    <w:p w:rsidR="004A51AD" w:rsidRPr="004A51AD" w:rsidRDefault="004A51AD" w:rsidP="004A51AD">
      <w:pPr>
        <w:spacing w:after="240" w:line="240" w:lineRule="auto"/>
        <w:ind w:left="426" w:hanging="426"/>
        <w:jc w:val="both"/>
        <w:rPr>
          <w:rFonts w:ascii="ITC Avant Garde" w:hAnsi="ITC Avant Garde"/>
        </w:rPr>
      </w:pPr>
      <w:r w:rsidRPr="004A51AD">
        <w:rPr>
          <w:rFonts w:ascii="ITC Avant Garde" w:hAnsi="ITC Avant Garde"/>
        </w:rPr>
        <w:t>III.</w:t>
      </w:r>
      <w:r w:rsidRPr="004A51AD">
        <w:rPr>
          <w:rFonts w:ascii="ITC Avant Garde" w:hAnsi="ITC Avant Garde"/>
        </w:rPr>
        <w:tab/>
        <w:t xml:space="preserve">El 14 de julio de 2014 se publicó en el DOF el “DECRETO por el que se expiden la Ley Federal de Telecomunicaciones y Radiodifusión, y la Ley del Sistema Público de </w:t>
      </w:r>
      <w:r w:rsidRPr="004A51AD">
        <w:rPr>
          <w:rFonts w:ascii="ITC Avant Garde" w:eastAsia="Calibri" w:hAnsi="ITC Avant Garde" w:cs="Times New Roman"/>
          <w:bCs/>
          <w:color w:val="000000"/>
          <w:lang w:eastAsia="es-MX"/>
        </w:rPr>
        <w:t>Radiodifusión</w:t>
      </w:r>
      <w:r w:rsidRPr="004A51AD">
        <w:rPr>
          <w:rFonts w:ascii="ITC Avant Garde" w:hAnsi="ITC Avant Garde"/>
        </w:rPr>
        <w:t xml:space="preserve"> del Estado Mexicano; y se reforman, adicionan y derogan diversas disposiciones en materia de telecomunicaciones y radiodifusión”, entrando en vigor la Ley Federal de Telecomunicaciones y Radiodifusión (en lo sucesivo, la “Ley”) el 13 de agosto de 2014.</w:t>
      </w:r>
    </w:p>
    <w:p w:rsidR="004A51AD" w:rsidRPr="004A51AD" w:rsidRDefault="004A51AD" w:rsidP="004A51AD">
      <w:pPr>
        <w:spacing w:after="240" w:line="240" w:lineRule="auto"/>
        <w:ind w:left="426" w:hanging="426"/>
        <w:jc w:val="both"/>
        <w:rPr>
          <w:rFonts w:ascii="ITC Avant Garde" w:hAnsi="ITC Avant Garde"/>
        </w:rPr>
      </w:pPr>
      <w:r w:rsidRPr="004A51AD">
        <w:rPr>
          <w:rFonts w:ascii="ITC Avant Garde" w:hAnsi="ITC Avant Garde"/>
        </w:rPr>
        <w:t>IV.</w:t>
      </w:r>
      <w:r w:rsidRPr="004A51AD">
        <w:rPr>
          <w:rFonts w:ascii="ITC Avant Garde" w:hAnsi="ITC Avant Garde"/>
        </w:rPr>
        <w:tab/>
        <w:t>El 4 de septiembre de 2014 se publicó en el DOF el “Estatuto Orgánico del Instituto Federal de Telecomunicaciones” (en lo sucesivo, el “Estatuto Orgánico”), el cual entró en vigor el 26 de septiembre de 2014, y fue modificado mediante publicaciones en el medio de difusión citado, el 17 de octubre de 2014 y el 17 de octubre de 2016.</w:t>
      </w:r>
    </w:p>
    <w:p w:rsidR="004A51AD" w:rsidRPr="004A51AD" w:rsidRDefault="004A51AD" w:rsidP="004A51AD">
      <w:pPr>
        <w:spacing w:after="240" w:line="240" w:lineRule="auto"/>
        <w:ind w:left="426" w:hanging="426"/>
        <w:jc w:val="both"/>
        <w:rPr>
          <w:rFonts w:ascii="ITC Avant Garde" w:hAnsi="ITC Avant Garde"/>
        </w:rPr>
      </w:pPr>
      <w:r w:rsidRPr="004A51AD">
        <w:rPr>
          <w:rFonts w:ascii="ITC Avant Garde" w:hAnsi="ITC Avant Garde"/>
        </w:rPr>
        <w:t>V.</w:t>
      </w:r>
      <w:r w:rsidRPr="004A51AD">
        <w:rPr>
          <w:rFonts w:ascii="ITC Avant Garde" w:hAnsi="ITC Avant Garde"/>
        </w:rPr>
        <w:tab/>
        <w:t>El 27 de febrero de 2017, el Pleno del Instituto emitió el Acuerdo P/IFT/EXT/270217/119 denominado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 (</w:t>
      </w:r>
      <w:proofErr w:type="gramStart"/>
      <w:r w:rsidRPr="004A51AD">
        <w:rPr>
          <w:rFonts w:ascii="ITC Avant Garde" w:hAnsi="ITC Avant Garde"/>
        </w:rPr>
        <w:t>en</w:t>
      </w:r>
      <w:proofErr w:type="gramEnd"/>
      <w:r w:rsidRPr="004A51AD">
        <w:rPr>
          <w:rFonts w:ascii="ITC Avant Garde" w:hAnsi="ITC Avant Garde"/>
        </w:rPr>
        <w:t xml:space="preserve"> lo sucesivo, la “Resolución Bienal”).</w:t>
      </w:r>
    </w:p>
    <w:p w:rsidR="004A51AD" w:rsidRPr="004A51AD" w:rsidRDefault="004A51AD" w:rsidP="004A51AD">
      <w:pPr>
        <w:jc w:val="both"/>
        <w:rPr>
          <w:rFonts w:ascii="ITC Avant Garde" w:hAnsi="ITC Avant Garde"/>
        </w:rPr>
      </w:pPr>
      <w:r w:rsidRPr="004A51AD">
        <w:rPr>
          <w:rFonts w:ascii="ITC Avant Garde" w:hAnsi="ITC Avant Garde"/>
        </w:rPr>
        <w:t>En virtud de los Antecedentes señalados y,</w:t>
      </w:r>
    </w:p>
    <w:p w:rsidR="004A51AD" w:rsidRPr="004A51AD" w:rsidRDefault="004A51AD" w:rsidP="004A51AD">
      <w:pPr>
        <w:pStyle w:val="Ttulo2"/>
        <w:spacing w:after="240"/>
        <w:jc w:val="center"/>
        <w:rPr>
          <w:rFonts w:ascii="ITC Avant Garde" w:hAnsi="ITC Avant Garde"/>
          <w:b/>
          <w:color w:val="000000" w:themeColor="text1"/>
          <w:sz w:val="22"/>
          <w:szCs w:val="22"/>
        </w:rPr>
      </w:pPr>
      <w:r w:rsidRPr="004A51AD">
        <w:rPr>
          <w:rFonts w:ascii="ITC Avant Garde" w:hAnsi="ITC Avant Garde"/>
          <w:b/>
          <w:color w:val="000000" w:themeColor="text1"/>
          <w:sz w:val="22"/>
          <w:szCs w:val="22"/>
        </w:rPr>
        <w:t>CONSIDERANDO</w:t>
      </w:r>
    </w:p>
    <w:p w:rsidR="004A51AD" w:rsidRPr="004A51AD" w:rsidRDefault="004A51AD" w:rsidP="004A51AD">
      <w:pPr>
        <w:jc w:val="both"/>
        <w:rPr>
          <w:rFonts w:ascii="ITC Avant Garde" w:hAnsi="ITC Avant Garde"/>
        </w:rPr>
      </w:pPr>
      <w:r w:rsidRPr="004A51AD">
        <w:rPr>
          <w:rFonts w:ascii="ITC Avant Garde" w:hAnsi="ITC Avant Garde"/>
          <w:b/>
        </w:rPr>
        <w:t>PRIMERO. Competencia del Instituto.</w:t>
      </w:r>
      <w:r w:rsidRPr="004A51AD">
        <w:rPr>
          <w:rFonts w:ascii="ITC Avant Garde" w:hAnsi="ITC Avant Garde"/>
        </w:rPr>
        <w:t xml:space="preserve"> De conformidad con lo dispuesto en el artículo 28, párrafos décimo quinto y décimo sexto de la Constitución Política de los Estados Unidos Mexicanos (en lo sucesivo, la “Constitución”); 2 y 7 de la Ley; y 1, 4, fracción I y 6 fracción XXXVIII del Estatuto Orgánico, el Instituto Federal de Telecomunicaciones (en lo sucesivo, el “Instituto”) es un órgano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rsidR="004A51AD" w:rsidRPr="004A51AD" w:rsidRDefault="004A51AD" w:rsidP="004A51AD">
      <w:pPr>
        <w:jc w:val="both"/>
        <w:rPr>
          <w:rFonts w:ascii="ITC Avant Garde" w:hAnsi="ITC Avant Garde"/>
        </w:rPr>
      </w:pPr>
      <w:r w:rsidRPr="004A51AD">
        <w:rPr>
          <w:rFonts w:ascii="ITC Avant Garde" w:hAnsi="ITC Avant Garde"/>
        </w:rPr>
        <w:lastRenderedPageBreak/>
        <w:t xml:space="preserve">Para tal efecto, tiene a su cargo la regulación, promoción y supervisión del uso, aprovechamiento y explotación del espectro radioeléctrico, las redes públicas de telecomunicaciones y la prestación de los servicios de radiodifusión y de telecomunicaciones, así como del acceso a la infraestructura activa y pasiva y otros insumos esenciales. </w:t>
      </w:r>
    </w:p>
    <w:p w:rsidR="004A51AD" w:rsidRPr="004A51AD" w:rsidRDefault="004A51AD" w:rsidP="004A51AD">
      <w:pPr>
        <w:jc w:val="both"/>
        <w:rPr>
          <w:rFonts w:ascii="ITC Avant Garde" w:hAnsi="ITC Avant Garde"/>
        </w:rPr>
      </w:pPr>
      <w:r w:rsidRPr="004A51AD">
        <w:rPr>
          <w:rFonts w:ascii="ITC Avant Garde" w:hAnsi="ITC Avant Garde"/>
        </w:rPr>
        <w:t>Como órgano máximo de gobierno del Instituto, el Pleno resulta competente para emitir el presente Acuerdo.</w:t>
      </w:r>
    </w:p>
    <w:p w:rsidR="004A51AD" w:rsidRPr="004A51AD" w:rsidRDefault="004A51AD" w:rsidP="004A51AD">
      <w:pPr>
        <w:jc w:val="both"/>
        <w:rPr>
          <w:rFonts w:ascii="ITC Avant Garde" w:hAnsi="ITC Avant Garde"/>
        </w:rPr>
      </w:pPr>
      <w:r w:rsidRPr="004A51AD">
        <w:rPr>
          <w:rFonts w:ascii="ITC Avant Garde" w:hAnsi="ITC Avant Garde"/>
          <w:b/>
        </w:rPr>
        <w:t>SEGUNDO. Grupo de Trabajo.</w:t>
      </w:r>
      <w:r w:rsidRPr="004A51AD">
        <w:rPr>
          <w:rFonts w:ascii="ITC Avant Garde" w:hAnsi="ITC Avant Garde"/>
        </w:rPr>
        <w:t xml:space="preserve"> En la Resolución Bienal se señaló la importancia y necesidad de mitigar asimetrías de información existentes entre el Agente Económico Preponderante (en lo sucesivo, el “AEP”) y el Instituto con el fin de favorecer una provisión más eficiente de los servicios mayoristas regulados. </w:t>
      </w:r>
    </w:p>
    <w:p w:rsidR="004A51AD" w:rsidRPr="004A51AD" w:rsidRDefault="004A51AD" w:rsidP="004A51AD">
      <w:pPr>
        <w:jc w:val="both"/>
        <w:rPr>
          <w:rFonts w:ascii="ITC Avant Garde" w:hAnsi="ITC Avant Garde"/>
        </w:rPr>
      </w:pPr>
      <w:r w:rsidRPr="004A51AD">
        <w:rPr>
          <w:rFonts w:ascii="ITC Avant Garde" w:hAnsi="ITC Avant Garde"/>
        </w:rPr>
        <w:t>En ese sentido, se ordenó la creación de un Grupo de Trabajo con el fin de contar con un mecanismo directo y continuo para identificar a tiempo aspectos de mejora que permitan una óptima implementación de las medidas, en aras de lograr una competencia en el sector en el menor plazo posible.</w:t>
      </w:r>
    </w:p>
    <w:p w:rsidR="004A51AD" w:rsidRPr="004A51AD" w:rsidRDefault="004A51AD" w:rsidP="004A51AD">
      <w:pPr>
        <w:jc w:val="both"/>
        <w:rPr>
          <w:rFonts w:ascii="ITC Avant Garde" w:hAnsi="ITC Avant Garde"/>
        </w:rPr>
      </w:pPr>
      <w:r w:rsidRPr="004A51AD">
        <w:rPr>
          <w:rFonts w:ascii="ITC Avant Garde" w:hAnsi="ITC Avant Garde"/>
        </w:rPr>
        <w:t xml:space="preserve">Por ello, en la medida Septuagésima Novena y Octava transitoria del Anexo 1 de la Resolución Bienal,  establecieron el objeto y la forma en que se integrará el Grupo de Trabajo, en los términos siguientes: </w:t>
      </w:r>
    </w:p>
    <w:p w:rsidR="004A51AD" w:rsidRPr="004A51AD" w:rsidRDefault="004A51AD" w:rsidP="004A51AD">
      <w:pPr>
        <w:ind w:left="567" w:right="616"/>
        <w:jc w:val="both"/>
        <w:rPr>
          <w:rFonts w:ascii="ITC Avant Garde" w:hAnsi="ITC Avant Garde"/>
        </w:rPr>
      </w:pPr>
      <w:r w:rsidRPr="004A51AD">
        <w:rPr>
          <w:rFonts w:ascii="ITC Avant Garde" w:hAnsi="ITC Avant Garde"/>
        </w:rPr>
        <w:t>“SEPTUAGÉSIMA NOVENA.- El Instituto establecerá un grupo de trabajo al que deberá integrarse el Agente Económico Preponderante, con el fin de mejorar la implementación de las presentes Medidas.</w:t>
      </w:r>
    </w:p>
    <w:p w:rsidR="004A51AD" w:rsidRPr="004A51AD" w:rsidRDefault="004A51AD" w:rsidP="004A51AD">
      <w:pPr>
        <w:ind w:left="567" w:right="616"/>
        <w:jc w:val="both"/>
        <w:rPr>
          <w:rFonts w:ascii="ITC Avant Garde" w:hAnsi="ITC Avant Garde"/>
        </w:rPr>
      </w:pPr>
      <w:r w:rsidRPr="004A51AD">
        <w:rPr>
          <w:rFonts w:ascii="ITC Avant Garde" w:hAnsi="ITC Avant Garde"/>
        </w:rPr>
        <w:t>Como parte de las actividades del grupo de trabajo, se abordarán, de manera enunciativa más no limitativa, los siguientes aspectos:</w:t>
      </w:r>
    </w:p>
    <w:p w:rsidR="004A51AD" w:rsidRPr="004A51AD" w:rsidRDefault="004A51AD" w:rsidP="004A51AD">
      <w:pPr>
        <w:ind w:left="1134" w:right="616" w:hanging="283"/>
        <w:jc w:val="both"/>
        <w:rPr>
          <w:rFonts w:ascii="ITC Avant Garde" w:hAnsi="ITC Avant Garde"/>
        </w:rPr>
      </w:pPr>
      <w:r w:rsidRPr="004A51AD">
        <w:rPr>
          <w:rFonts w:ascii="ITC Avant Garde" w:hAnsi="ITC Avant Garde"/>
        </w:rPr>
        <w:t>I.</w:t>
      </w:r>
      <w:r w:rsidRPr="004A51AD">
        <w:rPr>
          <w:rFonts w:ascii="ITC Avant Garde" w:hAnsi="ITC Avant Garde"/>
        </w:rPr>
        <w:tab/>
        <w:t>Definición del mecanismo de trabajo, incluyendo el contenido de los reportes de desempeño, frecuencia de reuniones y la agenda de trabajo del grupo;</w:t>
      </w:r>
    </w:p>
    <w:p w:rsidR="004A51AD" w:rsidRPr="004A51AD" w:rsidRDefault="004A51AD" w:rsidP="004A51AD">
      <w:pPr>
        <w:ind w:left="1134" w:right="616" w:hanging="283"/>
        <w:jc w:val="both"/>
        <w:rPr>
          <w:rFonts w:ascii="ITC Avant Garde" w:hAnsi="ITC Avant Garde"/>
        </w:rPr>
      </w:pPr>
      <w:r w:rsidRPr="004A51AD">
        <w:rPr>
          <w:rFonts w:ascii="ITC Avant Garde" w:hAnsi="ITC Avant Garde"/>
        </w:rPr>
        <w:t>II.</w:t>
      </w:r>
      <w:r w:rsidRPr="004A51AD">
        <w:rPr>
          <w:rFonts w:ascii="ITC Avant Garde" w:hAnsi="ITC Avant Garde"/>
        </w:rPr>
        <w:tab/>
        <w:t>Revisión de los reportes de desempeño elaborados por el Agente Económico Preponderante sobre factores relacionados con los servicios mayoristas regulados;</w:t>
      </w:r>
    </w:p>
    <w:p w:rsidR="004A51AD" w:rsidRPr="004A51AD" w:rsidRDefault="004A51AD" w:rsidP="004A51AD">
      <w:pPr>
        <w:ind w:left="1134" w:right="616" w:hanging="283"/>
        <w:jc w:val="both"/>
        <w:rPr>
          <w:rFonts w:ascii="ITC Avant Garde" w:hAnsi="ITC Avant Garde"/>
        </w:rPr>
      </w:pPr>
      <w:r w:rsidRPr="004A51AD">
        <w:rPr>
          <w:rFonts w:ascii="ITC Avant Garde" w:hAnsi="ITC Avant Garde"/>
        </w:rPr>
        <w:t>III.</w:t>
      </w:r>
      <w:r w:rsidRPr="004A51AD">
        <w:rPr>
          <w:rFonts w:ascii="ITC Avant Garde" w:hAnsi="ITC Avant Garde"/>
        </w:rPr>
        <w:tab/>
        <w:t>Apoyo en las modificaciones o mejoras en los diferentes servicios o procesos contemplados en las Ofertas de Referencia, y</w:t>
      </w:r>
    </w:p>
    <w:p w:rsidR="004A51AD" w:rsidRPr="004A51AD" w:rsidRDefault="004A51AD" w:rsidP="004A51AD">
      <w:pPr>
        <w:ind w:left="1134" w:right="616" w:hanging="283"/>
        <w:jc w:val="both"/>
        <w:rPr>
          <w:rFonts w:ascii="ITC Avant Garde" w:hAnsi="ITC Avant Garde"/>
        </w:rPr>
      </w:pPr>
      <w:r w:rsidRPr="004A51AD">
        <w:rPr>
          <w:rFonts w:ascii="ITC Avant Garde" w:hAnsi="ITC Avant Garde"/>
        </w:rPr>
        <w:t>IV.</w:t>
      </w:r>
      <w:r w:rsidRPr="004A51AD">
        <w:rPr>
          <w:rFonts w:ascii="ITC Avant Garde" w:hAnsi="ITC Avant Garde"/>
        </w:rPr>
        <w:tab/>
        <w:t>Seguimiento a la implementación de nuevos servicios, procesos o cualquier aspecto que esté relacionado con las Ofertas de Referencia con objeto de que se cumplan los términos, condiciones y plazos definidos en las mismas.</w:t>
      </w:r>
    </w:p>
    <w:p w:rsidR="004A51AD" w:rsidRPr="004A51AD" w:rsidRDefault="004A51AD" w:rsidP="004A51AD">
      <w:pPr>
        <w:ind w:left="567" w:right="616"/>
        <w:jc w:val="both"/>
        <w:rPr>
          <w:rFonts w:ascii="ITC Avant Garde" w:hAnsi="ITC Avant Garde"/>
        </w:rPr>
      </w:pPr>
      <w:r w:rsidRPr="004A51AD">
        <w:rPr>
          <w:rFonts w:ascii="ITC Avant Garde" w:hAnsi="ITC Avant Garde"/>
        </w:rPr>
        <w:t xml:space="preserve">Este grupo de trabajo estará conformado por integrantes del Agente Económico Preponderante y del Instituto.” </w:t>
      </w:r>
    </w:p>
    <w:p w:rsidR="004A51AD" w:rsidRPr="004A51AD" w:rsidRDefault="004A51AD" w:rsidP="004A51AD">
      <w:pPr>
        <w:ind w:left="567" w:right="616"/>
        <w:jc w:val="both"/>
        <w:rPr>
          <w:rFonts w:ascii="ITC Avant Garde" w:hAnsi="ITC Avant Garde"/>
        </w:rPr>
      </w:pPr>
      <w:r w:rsidRPr="004A51AD">
        <w:rPr>
          <w:rFonts w:ascii="ITC Avant Garde" w:hAnsi="ITC Avant Garde"/>
        </w:rPr>
        <w:lastRenderedPageBreak/>
        <w:t>“OCTAVA.- El Instituto, en un plazo no mayor a 20 días hábiles siguientes a que surtan efectos las presentes modificaciones, supresiones y adiciones, convocará al Agente Económico Preponderante para constituir el grupo de trabajo al que refiere la medida Septuagésima Novena y definir sus integrantes.”</w:t>
      </w:r>
    </w:p>
    <w:p w:rsidR="004A51AD" w:rsidRPr="004A51AD" w:rsidRDefault="004A51AD" w:rsidP="004A51AD">
      <w:pPr>
        <w:jc w:val="both"/>
        <w:rPr>
          <w:rFonts w:ascii="ITC Avant Garde" w:hAnsi="ITC Avant Garde"/>
        </w:rPr>
      </w:pPr>
      <w:r w:rsidRPr="004A51AD">
        <w:rPr>
          <w:rFonts w:ascii="ITC Avant Garde" w:hAnsi="ITC Avant Garde"/>
        </w:rPr>
        <w:t>Por lo expuesto y con fundamento en los artículos 28 párrafos décimo quinto y décimo sexto de la Constitución Política de los Estados Unidos Mexicanos; 1, 2, 7, 15 fracción LXIII, 16 y 17 fracción XV de la Ley Federal de Telecomunicaciones y Radiodifusión; 1, 4 fracción I, 6 fracción XXXVIII y 97 fracción IV del Estatuto Orgánico del Instituto Federal de Telecomunicaciones, así como en las medidas Septuagésima Novena y Octava transitoria en términos de la Resolución P/IFT/EXT/270217/119 denominada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 el Pleno de este Instituto Federal Telecomunicaciones emite el siguiente:</w:t>
      </w:r>
    </w:p>
    <w:p w:rsidR="004A51AD" w:rsidRPr="004A51AD" w:rsidRDefault="004A51AD" w:rsidP="004A51AD">
      <w:pPr>
        <w:pStyle w:val="Ttulo2"/>
        <w:spacing w:after="240"/>
        <w:jc w:val="center"/>
        <w:rPr>
          <w:rFonts w:ascii="ITC Avant Garde" w:hAnsi="ITC Avant Garde"/>
          <w:b/>
          <w:color w:val="000000" w:themeColor="text1"/>
          <w:sz w:val="22"/>
          <w:szCs w:val="22"/>
        </w:rPr>
      </w:pPr>
      <w:r w:rsidRPr="004A51AD">
        <w:rPr>
          <w:rFonts w:ascii="ITC Avant Garde" w:hAnsi="ITC Avant Garde"/>
          <w:b/>
          <w:color w:val="000000" w:themeColor="text1"/>
          <w:sz w:val="22"/>
          <w:szCs w:val="22"/>
        </w:rPr>
        <w:t>ACUERDO</w:t>
      </w:r>
    </w:p>
    <w:p w:rsidR="004A51AD" w:rsidRPr="004A51AD" w:rsidRDefault="004A51AD" w:rsidP="004A51AD">
      <w:pPr>
        <w:jc w:val="both"/>
        <w:rPr>
          <w:rFonts w:ascii="ITC Avant Garde" w:hAnsi="ITC Avant Garde"/>
        </w:rPr>
      </w:pPr>
      <w:r w:rsidRPr="004A51AD">
        <w:rPr>
          <w:rFonts w:ascii="ITC Avant Garde" w:hAnsi="ITC Avant Garde"/>
          <w:b/>
        </w:rPr>
        <w:t>PRIMERO.</w:t>
      </w:r>
      <w:r w:rsidRPr="004A51AD">
        <w:rPr>
          <w:rFonts w:ascii="ITC Avant Garde" w:hAnsi="ITC Avant Garde"/>
        </w:rPr>
        <w:t xml:space="preserve"> Se establece el Grupo de Trabajo a que se refieren las medidas Septuagésima Novena y Octava transitoria del Anexo 1 de la Resolución Bienal.</w:t>
      </w:r>
    </w:p>
    <w:p w:rsidR="004A51AD" w:rsidRPr="004A51AD" w:rsidRDefault="004A51AD" w:rsidP="004A51AD">
      <w:pPr>
        <w:jc w:val="both"/>
        <w:rPr>
          <w:rFonts w:ascii="ITC Avant Garde" w:hAnsi="ITC Avant Garde"/>
        </w:rPr>
      </w:pPr>
      <w:r w:rsidRPr="004A51AD">
        <w:rPr>
          <w:rFonts w:ascii="ITC Avant Garde" w:hAnsi="ITC Avant Garde"/>
          <w:b/>
        </w:rPr>
        <w:t>SEGUNDO.</w:t>
      </w:r>
      <w:r w:rsidRPr="004A51AD">
        <w:rPr>
          <w:rFonts w:ascii="ITC Avant Garde" w:hAnsi="ITC Avant Garde"/>
        </w:rPr>
        <w:t xml:space="preserve"> El Grupo de Trabajo se integra de la siguiente manera:</w:t>
      </w:r>
    </w:p>
    <w:p w:rsidR="004A51AD" w:rsidRPr="004A51AD" w:rsidRDefault="004A51AD" w:rsidP="004A51AD">
      <w:pPr>
        <w:pStyle w:val="Prrafodelista"/>
        <w:numPr>
          <w:ilvl w:val="0"/>
          <w:numId w:val="1"/>
        </w:numPr>
        <w:jc w:val="both"/>
        <w:rPr>
          <w:rFonts w:ascii="ITC Avant Garde" w:hAnsi="ITC Avant Garde"/>
        </w:rPr>
      </w:pPr>
      <w:r w:rsidRPr="004A51AD">
        <w:rPr>
          <w:rFonts w:ascii="ITC Avant Garde" w:hAnsi="ITC Avant Garde"/>
        </w:rPr>
        <w:t>El Titular de la Unidad de Política Regulatoria, quien fungirá como coordinador del mismo;</w:t>
      </w:r>
    </w:p>
    <w:p w:rsidR="004A51AD" w:rsidRPr="004A51AD" w:rsidRDefault="004A51AD" w:rsidP="004A51AD">
      <w:pPr>
        <w:pStyle w:val="Prrafodelista"/>
        <w:numPr>
          <w:ilvl w:val="0"/>
          <w:numId w:val="1"/>
        </w:numPr>
        <w:jc w:val="both"/>
        <w:rPr>
          <w:rFonts w:ascii="ITC Avant Garde" w:hAnsi="ITC Avant Garde"/>
        </w:rPr>
      </w:pPr>
      <w:r w:rsidRPr="004A51AD">
        <w:rPr>
          <w:rFonts w:ascii="ITC Avant Garde" w:hAnsi="ITC Avant Garde"/>
        </w:rPr>
        <w:t>El Titular de la Unidad de Cumplimiento;</w:t>
      </w:r>
    </w:p>
    <w:p w:rsidR="004A51AD" w:rsidRPr="004A51AD" w:rsidRDefault="004A51AD" w:rsidP="004A51AD">
      <w:pPr>
        <w:pStyle w:val="Prrafodelista"/>
        <w:numPr>
          <w:ilvl w:val="0"/>
          <w:numId w:val="1"/>
        </w:numPr>
        <w:jc w:val="both"/>
        <w:rPr>
          <w:rFonts w:ascii="ITC Avant Garde" w:hAnsi="ITC Avant Garde"/>
        </w:rPr>
      </w:pPr>
      <w:r w:rsidRPr="004A51AD">
        <w:rPr>
          <w:rFonts w:ascii="ITC Avant Garde" w:hAnsi="ITC Avant Garde"/>
        </w:rPr>
        <w:t>La Titular de la Unidad de Competencia Económica;</w:t>
      </w:r>
    </w:p>
    <w:p w:rsidR="004A51AD" w:rsidRPr="004A51AD" w:rsidRDefault="004A51AD" w:rsidP="004A51AD">
      <w:pPr>
        <w:pStyle w:val="Prrafodelista"/>
        <w:numPr>
          <w:ilvl w:val="0"/>
          <w:numId w:val="1"/>
        </w:numPr>
        <w:jc w:val="both"/>
        <w:rPr>
          <w:rFonts w:ascii="ITC Avant Garde" w:hAnsi="ITC Avant Garde"/>
        </w:rPr>
      </w:pPr>
      <w:r w:rsidRPr="004A51AD">
        <w:rPr>
          <w:rFonts w:ascii="ITC Avant Garde" w:hAnsi="ITC Avant Garde"/>
        </w:rPr>
        <w:t>El Titular de la Unidad de Asuntos Jurídicos, y</w:t>
      </w:r>
    </w:p>
    <w:p w:rsidR="004A51AD" w:rsidRPr="004A51AD" w:rsidRDefault="004A51AD" w:rsidP="004A51AD">
      <w:pPr>
        <w:pStyle w:val="Prrafodelista"/>
        <w:numPr>
          <w:ilvl w:val="0"/>
          <w:numId w:val="1"/>
        </w:numPr>
        <w:jc w:val="both"/>
        <w:rPr>
          <w:rFonts w:ascii="ITC Avant Garde" w:hAnsi="ITC Avant Garde"/>
        </w:rPr>
      </w:pPr>
      <w:r w:rsidRPr="004A51AD">
        <w:rPr>
          <w:rFonts w:ascii="ITC Avant Garde" w:hAnsi="ITC Avant Garde"/>
        </w:rPr>
        <w:t>Tres representantes designados por el Agente Económico Preponderante.</w:t>
      </w:r>
    </w:p>
    <w:p w:rsidR="004A51AD" w:rsidRPr="004A51AD" w:rsidRDefault="004A51AD" w:rsidP="004A51AD">
      <w:pPr>
        <w:jc w:val="both"/>
        <w:rPr>
          <w:rFonts w:ascii="ITC Avant Garde" w:hAnsi="ITC Avant Garde"/>
        </w:rPr>
      </w:pPr>
      <w:r w:rsidRPr="004A51AD">
        <w:rPr>
          <w:rFonts w:ascii="ITC Avant Garde" w:hAnsi="ITC Avant Garde"/>
        </w:rPr>
        <w:t>Los integrantes del Grupo de Trabajo designarán a dos suplentes. Asimismo, durante las sesiones podrán acompañarse del personal interno y/o externo que se estime necesario, cuya participación se hará constar en el acta correspondiente.</w:t>
      </w:r>
    </w:p>
    <w:p w:rsidR="004A51AD" w:rsidRPr="004A51AD" w:rsidRDefault="004A51AD" w:rsidP="004A51AD">
      <w:pPr>
        <w:jc w:val="both"/>
        <w:rPr>
          <w:rFonts w:ascii="ITC Avant Garde" w:hAnsi="ITC Avant Garde"/>
        </w:rPr>
      </w:pPr>
      <w:r w:rsidRPr="004A51AD">
        <w:rPr>
          <w:rFonts w:ascii="ITC Avant Garde" w:hAnsi="ITC Avant Garde"/>
        </w:rPr>
        <w:t>Los aspectos relativos al funcionamiento del Grupo de Trabajo, se establecerán en las Reglas de Operación que el mismo expida.</w:t>
      </w:r>
    </w:p>
    <w:p w:rsidR="004A51AD" w:rsidRPr="004A51AD" w:rsidRDefault="004A51AD" w:rsidP="004A51AD">
      <w:pPr>
        <w:pStyle w:val="Ttulo2"/>
        <w:spacing w:after="240"/>
        <w:jc w:val="center"/>
        <w:rPr>
          <w:rFonts w:ascii="ITC Avant Garde" w:hAnsi="ITC Avant Garde"/>
          <w:b/>
          <w:color w:val="000000" w:themeColor="text1"/>
          <w:sz w:val="22"/>
          <w:szCs w:val="22"/>
        </w:rPr>
      </w:pPr>
      <w:r w:rsidRPr="004A51AD">
        <w:rPr>
          <w:rFonts w:ascii="ITC Avant Garde" w:hAnsi="ITC Avant Garde"/>
          <w:b/>
          <w:color w:val="000000" w:themeColor="text1"/>
          <w:sz w:val="22"/>
          <w:szCs w:val="22"/>
        </w:rPr>
        <w:t>TRANSITORIOS</w:t>
      </w:r>
    </w:p>
    <w:p w:rsidR="004A51AD" w:rsidRPr="004A51AD" w:rsidRDefault="004A51AD" w:rsidP="004A51AD">
      <w:pPr>
        <w:jc w:val="both"/>
        <w:rPr>
          <w:rFonts w:ascii="ITC Avant Garde" w:hAnsi="ITC Avant Garde"/>
        </w:rPr>
      </w:pPr>
      <w:r w:rsidRPr="004A51AD">
        <w:rPr>
          <w:rFonts w:ascii="ITC Avant Garde" w:hAnsi="ITC Avant Garde"/>
          <w:b/>
        </w:rPr>
        <w:t>PRIMERO.</w:t>
      </w:r>
      <w:r w:rsidRPr="004A51AD">
        <w:rPr>
          <w:rFonts w:ascii="ITC Avant Garde" w:hAnsi="ITC Avant Garde"/>
        </w:rPr>
        <w:t xml:space="preserve"> Notifíquese el presente Acuerdo al Agente Económico Preponderante.</w:t>
      </w:r>
    </w:p>
    <w:p w:rsidR="004A51AD" w:rsidRPr="004A51AD" w:rsidRDefault="004A51AD" w:rsidP="004A51AD">
      <w:pPr>
        <w:jc w:val="both"/>
        <w:rPr>
          <w:rFonts w:ascii="ITC Avant Garde" w:hAnsi="ITC Avant Garde"/>
        </w:rPr>
      </w:pPr>
      <w:r w:rsidRPr="004A51AD">
        <w:rPr>
          <w:rFonts w:ascii="ITC Avant Garde" w:hAnsi="ITC Avant Garde"/>
          <w:b/>
        </w:rPr>
        <w:t>SEGUNDO.</w:t>
      </w:r>
      <w:r w:rsidRPr="004A51AD">
        <w:rPr>
          <w:rFonts w:ascii="ITC Avant Garde" w:hAnsi="ITC Avant Garde"/>
        </w:rPr>
        <w:t xml:space="preserve"> La sesión de instalación del Grupo de Trabajo tendrá verificativo el jueves 20 de abril de 2017, de 10 a.m. a 12 p.m., en las instalaciones del Instituto </w:t>
      </w:r>
      <w:r w:rsidRPr="004A51AD">
        <w:rPr>
          <w:rFonts w:ascii="ITC Avant Garde" w:hAnsi="ITC Avant Garde"/>
        </w:rPr>
        <w:lastRenderedPageBreak/>
        <w:t>Federal de Telecomunicaciones ubicadas en Av. Insurgentes Sur 1143, Colonia Nochebuena, Delegación Benito Juárez, Ciudad de México, C.P. 03720.</w:t>
      </w:r>
    </w:p>
    <w:p w:rsidR="004A51AD" w:rsidRPr="004A51AD" w:rsidRDefault="004A51AD" w:rsidP="004A51AD">
      <w:pPr>
        <w:jc w:val="both"/>
        <w:rPr>
          <w:rFonts w:ascii="ITC Avant Garde" w:hAnsi="ITC Avant Garde"/>
        </w:rPr>
      </w:pPr>
      <w:r w:rsidRPr="004A51AD">
        <w:rPr>
          <w:rFonts w:ascii="ITC Avant Garde" w:hAnsi="ITC Avant Garde"/>
        </w:rPr>
        <w:t>Para tal efecto, mediante el presente Acuerdo, se convoca al Agente Económico Preponderante a dicha sesión de trabajo, en la cual se tratarán los temas relacionados con (i) la formalización de la designación de los integrantes del Grupo de Trabajo, (ii) las generalidades de las Reglas de Operación, incluidos los aspectos relacionados con el mecanismo de trabajo y frecuencia de las reuniones, y (iii) la agenda de trabajo.</w:t>
      </w:r>
    </w:p>
    <w:p w:rsidR="004A51AD" w:rsidRPr="004A51AD" w:rsidRDefault="004A51AD" w:rsidP="004A51AD">
      <w:pPr>
        <w:spacing w:after="240" w:line="240" w:lineRule="auto"/>
        <w:jc w:val="both"/>
        <w:rPr>
          <w:rFonts w:ascii="ITC Avant Garde" w:eastAsia="Calibri" w:hAnsi="ITC Avant Garde" w:cs="Times New Roman"/>
          <w:color w:val="000000"/>
          <w:sz w:val="14"/>
          <w:szCs w:val="20"/>
        </w:rPr>
      </w:pPr>
      <w:r w:rsidRPr="004A51AD">
        <w:rPr>
          <w:rFonts w:ascii="ITC Avant Garde" w:eastAsia="Calibri" w:hAnsi="ITC Avant Garde" w:cs="Times New Roman"/>
          <w:color w:val="000000"/>
          <w:sz w:val="14"/>
          <w:szCs w:val="20"/>
        </w:rPr>
        <w:t xml:space="preserve">El presente Acuerdo fue aprobado por el Pleno del Instituto Federal de Telecomunicaciones en su XIV Sesión Ordinaria celebrada el 5 de abril de 2017, por unanimidad de votos de los Comisionados Gabriel Oswaldo Contreras Saldívar, Adriana Sofía </w:t>
      </w:r>
      <w:proofErr w:type="spellStart"/>
      <w:r w:rsidRPr="004A51AD">
        <w:rPr>
          <w:rFonts w:ascii="ITC Avant Garde" w:eastAsia="Calibri" w:hAnsi="ITC Avant Garde" w:cs="Times New Roman"/>
          <w:color w:val="000000"/>
          <w:sz w:val="14"/>
          <w:szCs w:val="20"/>
        </w:rPr>
        <w:t>Labardini</w:t>
      </w:r>
      <w:proofErr w:type="spellEnd"/>
      <w:r w:rsidRPr="004A51AD">
        <w:rPr>
          <w:rFonts w:ascii="ITC Avant Garde" w:eastAsia="Calibri" w:hAnsi="ITC Avant Garde" w:cs="Times New Roman"/>
          <w:color w:val="000000"/>
          <w:sz w:val="14"/>
          <w:szCs w:val="20"/>
        </w:rPr>
        <w:t xml:space="preserve"> </w:t>
      </w:r>
      <w:proofErr w:type="spellStart"/>
      <w:r w:rsidRPr="004A51AD">
        <w:rPr>
          <w:rFonts w:ascii="ITC Avant Garde" w:eastAsia="Calibri" w:hAnsi="ITC Avant Garde" w:cs="Times New Roman"/>
          <w:color w:val="000000"/>
          <w:sz w:val="14"/>
          <w:szCs w:val="20"/>
        </w:rPr>
        <w:t>Inzunza</w:t>
      </w:r>
      <w:proofErr w:type="spellEnd"/>
      <w:r w:rsidRPr="004A51AD">
        <w:rPr>
          <w:rFonts w:ascii="ITC Avant Garde" w:eastAsia="Calibri" w:hAnsi="ITC Avant Garde" w:cs="Times New Roman"/>
          <w:color w:val="000000"/>
          <w:sz w:val="14"/>
          <w:szCs w:val="20"/>
        </w:rPr>
        <w:t xml:space="preserve">, María Elena </w:t>
      </w:r>
      <w:proofErr w:type="spellStart"/>
      <w:r w:rsidRPr="004A51AD">
        <w:rPr>
          <w:rFonts w:ascii="ITC Avant Garde" w:eastAsia="Calibri" w:hAnsi="ITC Avant Garde" w:cs="Times New Roman"/>
          <w:color w:val="000000"/>
          <w:sz w:val="14"/>
          <w:szCs w:val="20"/>
        </w:rPr>
        <w:t>Estavillo</w:t>
      </w:r>
      <w:proofErr w:type="spellEnd"/>
      <w:r w:rsidRPr="004A51AD">
        <w:rPr>
          <w:rFonts w:ascii="ITC Avant Garde" w:eastAsia="Calibri" w:hAnsi="ITC Avant Garde" w:cs="Times New Roman"/>
          <w:color w:val="000000"/>
          <w:sz w:val="14"/>
          <w:szCs w:val="20"/>
        </w:rPr>
        <w:t xml:space="preserve"> Flores, Mario Germán </w:t>
      </w:r>
      <w:proofErr w:type="spellStart"/>
      <w:r w:rsidRPr="004A51AD">
        <w:rPr>
          <w:rFonts w:ascii="ITC Avant Garde" w:eastAsia="Calibri" w:hAnsi="ITC Avant Garde" w:cs="Times New Roman"/>
          <w:color w:val="000000"/>
          <w:sz w:val="14"/>
          <w:szCs w:val="20"/>
        </w:rPr>
        <w:t>Fromow</w:t>
      </w:r>
      <w:proofErr w:type="spellEnd"/>
      <w:r w:rsidRPr="004A51AD">
        <w:rPr>
          <w:rFonts w:ascii="ITC Avant Garde" w:eastAsia="Calibri" w:hAnsi="ITC Avant Garde" w:cs="Times New Roman"/>
          <w:color w:val="000000"/>
          <w:sz w:val="14"/>
          <w:szCs w:val="20"/>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w:t>
      </w:r>
      <w:bookmarkStart w:id="0" w:name="_GoBack"/>
      <w:bookmarkEnd w:id="0"/>
      <w:r w:rsidRPr="004A51AD">
        <w:rPr>
          <w:rFonts w:ascii="ITC Avant Garde" w:eastAsia="Calibri" w:hAnsi="ITC Avant Garde" w:cs="Times New Roman"/>
          <w:color w:val="000000"/>
          <w:sz w:val="14"/>
          <w:szCs w:val="20"/>
        </w:rPr>
        <w:t xml:space="preserve"> los artículos 1, 7, 8 y 12 del Estatuto Orgánico del Instituto Federal de Telecomunicaciones, mediante Acuerdo P/IFT/050417/184.</w:t>
      </w:r>
    </w:p>
    <w:sectPr w:rsidR="004A51AD" w:rsidRPr="004A51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TC Avant Garde">
    <w:panose1 w:val="020B0402020203020304"/>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207E2"/>
    <w:multiLevelType w:val="hybridMultilevel"/>
    <w:tmpl w:val="30A454A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AD"/>
    <w:rsid w:val="004A51AD"/>
    <w:rsid w:val="00A14E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62EDF-7E3D-4E35-9AEE-609846B9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A51A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A51AD"/>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51A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A51AD"/>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4A5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1683</Words>
  <Characters>9259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10921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Consuelo Gonzalez Moreno</dc:creator>
  <cp:keywords/>
  <dc:description/>
  <cp:lastModifiedBy>Maria del Consuelo Gonzalez Moreno</cp:lastModifiedBy>
  <cp:revision>1</cp:revision>
  <dcterms:created xsi:type="dcterms:W3CDTF">2017-04-06T15:18:00Z</dcterms:created>
  <dcterms:modified xsi:type="dcterms:W3CDTF">2017-04-06T15:20:00Z</dcterms:modified>
</cp:coreProperties>
</file>