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2C332" w14:textId="77777777" w:rsidR="005D1E74" w:rsidRPr="00CA039C" w:rsidRDefault="00DF3AF9" w:rsidP="00CA039C">
      <w:pPr>
        <w:pStyle w:val="Ttulo1"/>
        <w:spacing w:after="240" w:line="240" w:lineRule="auto"/>
        <w:jc w:val="both"/>
        <w:rPr>
          <w:rFonts w:ascii="ITC Avant Garde" w:hAnsi="ITC Avant Garde"/>
          <w:b/>
          <w:color w:val="000000" w:themeColor="text1"/>
          <w:sz w:val="22"/>
          <w:szCs w:val="22"/>
          <w:lang w:eastAsia="es-MX"/>
        </w:rPr>
      </w:pPr>
      <w:r w:rsidRPr="00CA039C">
        <w:rPr>
          <w:rFonts w:ascii="ITC Avant Garde" w:hAnsi="ITC Avant Garde"/>
          <w:b/>
          <w:color w:val="000000" w:themeColor="text1"/>
          <w:sz w:val="22"/>
          <w:szCs w:val="22"/>
          <w:lang w:eastAsia="es-MX"/>
        </w:rPr>
        <w:t xml:space="preserve">RESOLUCIÓN MEDIANTE LA CUAL EL PLENO DEL INSTITUTO FEDERAL DE TELECOMUNICACIONES MODIFICA LOS TÍTULOS DE CONCESIÓN PARA OCUPAR LAS POSICIONES ORBITALES GEOESTACIONARIAS </w:t>
      </w:r>
      <w:r w:rsidR="00E936C8" w:rsidRPr="00CA039C">
        <w:rPr>
          <w:rFonts w:ascii="ITC Avant Garde" w:hAnsi="ITC Avant Garde"/>
          <w:b/>
          <w:color w:val="000000" w:themeColor="text1"/>
          <w:sz w:val="22"/>
          <w:szCs w:val="22"/>
          <w:lang w:eastAsia="es-MX"/>
        </w:rPr>
        <w:t>113.0°</w:t>
      </w:r>
      <w:r w:rsidR="00946721" w:rsidRPr="00CA039C">
        <w:rPr>
          <w:rFonts w:ascii="ITC Avant Garde" w:hAnsi="ITC Avant Garde"/>
          <w:b/>
          <w:color w:val="000000" w:themeColor="text1"/>
          <w:sz w:val="22"/>
          <w:szCs w:val="22"/>
          <w:lang w:eastAsia="es-MX"/>
        </w:rPr>
        <w:t xml:space="preserve"> O</w:t>
      </w:r>
      <w:r w:rsidR="00E936C8" w:rsidRPr="00CA039C">
        <w:rPr>
          <w:rFonts w:ascii="ITC Avant Garde" w:hAnsi="ITC Avant Garde"/>
          <w:b/>
          <w:color w:val="000000" w:themeColor="text1"/>
          <w:sz w:val="22"/>
          <w:szCs w:val="22"/>
          <w:lang w:eastAsia="es-MX"/>
        </w:rPr>
        <w:t xml:space="preserve">, </w:t>
      </w:r>
      <w:r w:rsidRPr="00CA039C">
        <w:rPr>
          <w:rFonts w:ascii="ITC Avant Garde" w:hAnsi="ITC Avant Garde"/>
          <w:b/>
          <w:color w:val="000000" w:themeColor="text1"/>
          <w:sz w:val="22"/>
          <w:szCs w:val="22"/>
          <w:lang w:eastAsia="es-MX"/>
        </w:rPr>
        <w:t>114.9°</w:t>
      </w:r>
      <w:r w:rsidR="00E936C8" w:rsidRPr="00CA039C">
        <w:rPr>
          <w:rFonts w:ascii="ITC Avant Garde" w:hAnsi="ITC Avant Garde"/>
          <w:b/>
          <w:color w:val="000000" w:themeColor="text1"/>
          <w:sz w:val="22"/>
          <w:szCs w:val="22"/>
          <w:lang w:eastAsia="es-MX"/>
        </w:rPr>
        <w:t xml:space="preserve"> </w:t>
      </w:r>
      <w:r w:rsidR="00946721" w:rsidRPr="00CA039C">
        <w:rPr>
          <w:rFonts w:ascii="ITC Avant Garde" w:hAnsi="ITC Avant Garde"/>
          <w:b/>
          <w:color w:val="000000" w:themeColor="text1"/>
          <w:sz w:val="22"/>
          <w:szCs w:val="22"/>
          <w:lang w:eastAsia="es-MX"/>
        </w:rPr>
        <w:t xml:space="preserve">O </w:t>
      </w:r>
      <w:r w:rsidR="00E936C8" w:rsidRPr="00CA039C">
        <w:rPr>
          <w:rFonts w:ascii="ITC Avant Garde" w:hAnsi="ITC Avant Garde"/>
          <w:b/>
          <w:color w:val="000000" w:themeColor="text1"/>
          <w:sz w:val="22"/>
          <w:szCs w:val="22"/>
          <w:lang w:eastAsia="es-MX"/>
        </w:rPr>
        <w:t>y 116.8°</w:t>
      </w:r>
      <w:r w:rsidR="00946721" w:rsidRPr="00CA039C">
        <w:rPr>
          <w:rFonts w:ascii="ITC Avant Garde" w:hAnsi="ITC Avant Garde"/>
          <w:b/>
          <w:color w:val="000000" w:themeColor="text1"/>
          <w:sz w:val="22"/>
          <w:szCs w:val="22"/>
          <w:lang w:eastAsia="es-MX"/>
        </w:rPr>
        <w:t xml:space="preserve"> O</w:t>
      </w:r>
      <w:r w:rsidR="00E936C8" w:rsidRPr="00CA039C">
        <w:rPr>
          <w:rFonts w:ascii="ITC Avant Garde" w:hAnsi="ITC Avant Garde"/>
          <w:b/>
          <w:color w:val="000000" w:themeColor="text1"/>
          <w:sz w:val="22"/>
          <w:szCs w:val="22"/>
          <w:lang w:eastAsia="es-MX"/>
        </w:rPr>
        <w:t>,</w:t>
      </w:r>
      <w:r w:rsidRPr="00CA039C">
        <w:rPr>
          <w:rFonts w:ascii="ITC Avant Garde" w:hAnsi="ITC Avant Garde"/>
          <w:b/>
          <w:color w:val="000000" w:themeColor="text1"/>
          <w:sz w:val="22"/>
          <w:szCs w:val="22"/>
          <w:lang w:eastAsia="es-MX"/>
        </w:rPr>
        <w:t xml:space="preserve"> ASIGNADAS AL PAÍS, PARA LA EXPLOTACIÓN EXCLUSIVA DE LAS </w:t>
      </w:r>
      <w:r w:rsidR="00E936C8" w:rsidRPr="00CA039C">
        <w:rPr>
          <w:rFonts w:ascii="ITC Avant Garde" w:hAnsi="ITC Avant Garde"/>
          <w:b/>
          <w:color w:val="000000" w:themeColor="text1"/>
          <w:sz w:val="22"/>
          <w:szCs w:val="22"/>
          <w:lang w:eastAsia="es-MX"/>
        </w:rPr>
        <w:t xml:space="preserve">BANDAS DE </w:t>
      </w:r>
      <w:r w:rsidRPr="00CA039C">
        <w:rPr>
          <w:rFonts w:ascii="ITC Avant Garde" w:hAnsi="ITC Avant Garde"/>
          <w:b/>
          <w:color w:val="000000" w:themeColor="text1"/>
          <w:sz w:val="22"/>
          <w:szCs w:val="22"/>
          <w:lang w:eastAsia="es-MX"/>
        </w:rPr>
        <w:t xml:space="preserve">FRECUENCIAS </w:t>
      </w:r>
      <w:r w:rsidR="00E936C8" w:rsidRPr="00CA039C">
        <w:rPr>
          <w:rFonts w:ascii="ITC Avant Garde" w:hAnsi="ITC Avant Garde"/>
          <w:b/>
          <w:color w:val="000000" w:themeColor="text1"/>
          <w:sz w:val="22"/>
          <w:szCs w:val="22"/>
          <w:lang w:eastAsia="es-MX"/>
        </w:rPr>
        <w:t xml:space="preserve">ASOCIADAS </w:t>
      </w:r>
      <w:r w:rsidRPr="00CA039C">
        <w:rPr>
          <w:rFonts w:ascii="ITC Avant Garde" w:hAnsi="ITC Avant Garde"/>
          <w:b/>
          <w:color w:val="000000" w:themeColor="text1"/>
          <w:sz w:val="22"/>
          <w:szCs w:val="22"/>
          <w:lang w:eastAsia="es-MX"/>
        </w:rPr>
        <w:t>3.7-4.2 GHZ</w:t>
      </w:r>
      <w:r w:rsidR="00E936C8" w:rsidRPr="00CA039C">
        <w:rPr>
          <w:rFonts w:ascii="ITC Avant Garde" w:hAnsi="ITC Avant Garde"/>
          <w:b/>
          <w:color w:val="000000" w:themeColor="text1"/>
          <w:sz w:val="22"/>
          <w:szCs w:val="22"/>
          <w:lang w:eastAsia="es-MX"/>
        </w:rPr>
        <w:t xml:space="preserve"> </w:t>
      </w:r>
      <w:r w:rsidRPr="00CA039C">
        <w:rPr>
          <w:rFonts w:ascii="ITC Avant Garde" w:hAnsi="ITC Avant Garde"/>
          <w:b/>
          <w:color w:val="000000" w:themeColor="text1"/>
          <w:sz w:val="22"/>
          <w:szCs w:val="22"/>
          <w:lang w:eastAsia="es-MX"/>
        </w:rPr>
        <w:t>Y 5.925–6.425 GHZ</w:t>
      </w:r>
      <w:r w:rsidR="00E936C8" w:rsidRPr="00CA039C">
        <w:rPr>
          <w:rFonts w:ascii="ITC Avant Garde" w:hAnsi="ITC Avant Garde"/>
          <w:b/>
          <w:color w:val="000000" w:themeColor="text1"/>
          <w:sz w:val="22"/>
          <w:szCs w:val="22"/>
          <w:lang w:eastAsia="es-MX"/>
        </w:rPr>
        <w:t xml:space="preserve"> (BANDA C)</w:t>
      </w:r>
      <w:r w:rsidRPr="00CA039C">
        <w:rPr>
          <w:rFonts w:ascii="ITC Avant Garde" w:hAnsi="ITC Avant Garde"/>
          <w:b/>
          <w:color w:val="000000" w:themeColor="text1"/>
          <w:sz w:val="22"/>
          <w:szCs w:val="22"/>
          <w:lang w:eastAsia="es-MX"/>
        </w:rPr>
        <w:t xml:space="preserve">, 11.7–12.2 GHZ Y 14–14.5 GHZ </w:t>
      </w:r>
      <w:r w:rsidR="00E936C8" w:rsidRPr="00CA039C">
        <w:rPr>
          <w:rFonts w:ascii="ITC Avant Garde" w:hAnsi="ITC Avant Garde"/>
          <w:b/>
          <w:color w:val="000000" w:themeColor="text1"/>
          <w:sz w:val="22"/>
          <w:szCs w:val="22"/>
          <w:lang w:eastAsia="es-MX"/>
        </w:rPr>
        <w:t>(BANDA KU)</w:t>
      </w:r>
      <w:r w:rsidRPr="00CA039C">
        <w:rPr>
          <w:rFonts w:ascii="ITC Avant Garde" w:hAnsi="ITC Avant Garde"/>
          <w:b/>
          <w:color w:val="000000" w:themeColor="text1"/>
          <w:sz w:val="22"/>
          <w:szCs w:val="22"/>
          <w:lang w:eastAsia="es-MX"/>
        </w:rPr>
        <w:t>; ASÍ COMO LOS DERECHOS DE EMISIÓN Y RECEPCIÓN DE SEÑALES, OTORGADO</w:t>
      </w:r>
      <w:r w:rsidR="00E936C8" w:rsidRPr="00CA039C">
        <w:rPr>
          <w:rFonts w:ascii="ITC Avant Garde" w:hAnsi="ITC Avant Garde"/>
          <w:b/>
          <w:color w:val="000000" w:themeColor="text1"/>
          <w:sz w:val="22"/>
          <w:szCs w:val="22"/>
          <w:lang w:eastAsia="es-MX"/>
        </w:rPr>
        <w:t>S</w:t>
      </w:r>
      <w:r w:rsidRPr="00CA039C">
        <w:rPr>
          <w:rFonts w:ascii="ITC Avant Garde" w:hAnsi="ITC Avant Garde"/>
          <w:b/>
          <w:color w:val="000000" w:themeColor="text1"/>
          <w:sz w:val="22"/>
          <w:szCs w:val="22"/>
          <w:lang w:eastAsia="es-MX"/>
        </w:rPr>
        <w:t xml:space="preserve"> A SATÉLITES MEXICANOS S.A. DE C.V, ASÍ COMO SUS RESPECTIVAS PRÓRROGAS.</w:t>
      </w:r>
    </w:p>
    <w:p w14:paraId="6DBB281D" w14:textId="77777777" w:rsidR="005D1E74" w:rsidRPr="00CA039C" w:rsidRDefault="0070596E" w:rsidP="00CA039C">
      <w:pPr>
        <w:pStyle w:val="Ttulo2"/>
        <w:spacing w:after="240"/>
        <w:jc w:val="center"/>
        <w:rPr>
          <w:rFonts w:ascii="ITC Avant Garde" w:hAnsi="ITC Avant Garde"/>
          <w:b/>
          <w:color w:val="000000" w:themeColor="text1"/>
          <w:sz w:val="22"/>
          <w:szCs w:val="22"/>
        </w:rPr>
      </w:pPr>
      <w:r w:rsidRPr="00CA039C">
        <w:rPr>
          <w:rFonts w:ascii="ITC Avant Garde" w:hAnsi="ITC Avant Garde"/>
          <w:b/>
          <w:color w:val="000000" w:themeColor="text1"/>
          <w:sz w:val="22"/>
          <w:szCs w:val="22"/>
        </w:rPr>
        <w:t>ANTECEDENTES</w:t>
      </w:r>
    </w:p>
    <w:p w14:paraId="2FE98571" w14:textId="77777777" w:rsidR="005D1E74" w:rsidRPr="005D1E74" w:rsidRDefault="00DF3AF9" w:rsidP="005D1E74">
      <w:pPr>
        <w:pStyle w:val="Prrafodelista"/>
        <w:numPr>
          <w:ilvl w:val="0"/>
          <w:numId w:val="5"/>
        </w:numPr>
        <w:tabs>
          <w:tab w:val="left" w:pos="567"/>
        </w:tabs>
        <w:spacing w:before="240" w:after="240"/>
        <w:ind w:left="567" w:right="45" w:hanging="567"/>
        <w:jc w:val="both"/>
        <w:rPr>
          <w:rFonts w:ascii="ITC Avant Garde" w:hAnsi="ITC Avant Garde"/>
          <w:bCs/>
          <w:color w:val="000000"/>
          <w:lang w:eastAsia="es-MX"/>
        </w:rPr>
      </w:pPr>
      <w:r w:rsidRPr="005D1E74">
        <w:rPr>
          <w:rFonts w:ascii="ITC Avant Garde" w:hAnsi="ITC Avant Garde"/>
          <w:b/>
          <w:bCs/>
          <w:color w:val="000000"/>
          <w:sz w:val="22"/>
          <w:szCs w:val="22"/>
          <w:lang w:eastAsia="es-MX"/>
        </w:rPr>
        <w:t xml:space="preserve">Otorgamiento de las Concesiones. </w:t>
      </w:r>
      <w:r w:rsidRPr="005D1E74">
        <w:rPr>
          <w:rFonts w:ascii="ITC Avant Garde" w:hAnsi="ITC Avant Garde"/>
          <w:bCs/>
          <w:color w:val="000000"/>
          <w:sz w:val="22"/>
          <w:szCs w:val="22"/>
          <w:lang w:eastAsia="es-MX"/>
        </w:rPr>
        <w:t>El 23 de octubre de 1997, el Gobierno Federal,</w:t>
      </w:r>
      <w:r w:rsidR="00E138EF" w:rsidRPr="005D1E74">
        <w:rPr>
          <w:rFonts w:ascii="ITC Avant Garde" w:hAnsi="ITC Avant Garde"/>
          <w:bCs/>
          <w:color w:val="000000"/>
          <w:sz w:val="22"/>
          <w:szCs w:val="22"/>
          <w:lang w:eastAsia="es-MX"/>
        </w:rPr>
        <w:t xml:space="preserve"> por </w:t>
      </w:r>
      <w:r w:rsidRPr="005D1E74">
        <w:rPr>
          <w:rFonts w:ascii="ITC Avant Garde" w:hAnsi="ITC Avant Garde"/>
          <w:bCs/>
          <w:color w:val="000000"/>
          <w:sz w:val="22"/>
          <w:szCs w:val="22"/>
          <w:lang w:eastAsia="es-MX"/>
        </w:rPr>
        <w:t xml:space="preserve">conducto de la Secretaría de Comunicaciones y Transportes (la “Secretaría”), otorgó a </w:t>
      </w:r>
      <w:r w:rsidR="00B012DA" w:rsidRPr="005D1E74">
        <w:rPr>
          <w:rFonts w:ascii="ITC Avant Garde" w:hAnsi="ITC Avant Garde"/>
          <w:bCs/>
          <w:color w:val="000000"/>
          <w:sz w:val="22"/>
          <w:szCs w:val="22"/>
          <w:lang w:eastAsia="es-MX"/>
        </w:rPr>
        <w:t>Satélites Mexicanos S.A. de C.V.(“Satmex”)</w:t>
      </w:r>
      <w:r w:rsidRPr="005D1E74">
        <w:rPr>
          <w:rFonts w:ascii="ITC Avant Garde" w:hAnsi="ITC Avant Garde"/>
          <w:bCs/>
          <w:color w:val="000000"/>
          <w:sz w:val="22"/>
          <w:szCs w:val="22"/>
          <w:lang w:eastAsia="es-MX"/>
        </w:rPr>
        <w:t xml:space="preserve">, </w:t>
      </w:r>
      <w:r w:rsidR="00663D8F" w:rsidRPr="005D1E74">
        <w:rPr>
          <w:rFonts w:ascii="ITC Avant Garde" w:hAnsi="ITC Avant Garde"/>
          <w:bCs/>
          <w:color w:val="000000"/>
          <w:sz w:val="22"/>
          <w:szCs w:val="22"/>
          <w:lang w:eastAsia="es-MX"/>
        </w:rPr>
        <w:t>3 (tres)</w:t>
      </w:r>
      <w:r w:rsidR="00B012DA" w:rsidRPr="005D1E74">
        <w:rPr>
          <w:rFonts w:ascii="ITC Avant Garde" w:hAnsi="ITC Avant Garde"/>
          <w:bCs/>
          <w:color w:val="000000"/>
          <w:sz w:val="22"/>
          <w:szCs w:val="22"/>
          <w:lang w:eastAsia="es-MX"/>
        </w:rPr>
        <w:t xml:space="preserve"> </w:t>
      </w:r>
      <w:r w:rsidRPr="005D1E74">
        <w:rPr>
          <w:rFonts w:ascii="ITC Avant Garde" w:hAnsi="ITC Avant Garde"/>
          <w:bCs/>
          <w:color w:val="000000"/>
          <w:sz w:val="22"/>
          <w:szCs w:val="22"/>
          <w:lang w:eastAsia="es-MX"/>
        </w:rPr>
        <w:t>título</w:t>
      </w:r>
      <w:r w:rsidR="00B012DA" w:rsidRPr="005D1E74">
        <w:rPr>
          <w:rFonts w:ascii="ITC Avant Garde" w:hAnsi="ITC Avant Garde"/>
          <w:bCs/>
          <w:color w:val="000000"/>
          <w:sz w:val="22"/>
          <w:szCs w:val="22"/>
          <w:lang w:eastAsia="es-MX"/>
        </w:rPr>
        <w:t>s</w:t>
      </w:r>
      <w:r w:rsidRPr="005D1E74">
        <w:rPr>
          <w:rFonts w:ascii="ITC Avant Garde" w:hAnsi="ITC Avant Garde"/>
          <w:bCs/>
          <w:color w:val="000000"/>
          <w:sz w:val="22"/>
          <w:szCs w:val="22"/>
          <w:lang w:eastAsia="es-MX"/>
        </w:rPr>
        <w:t xml:space="preserve"> de concesión para ocupar</w:t>
      </w:r>
      <w:r w:rsidR="00946721" w:rsidRPr="005D1E74">
        <w:rPr>
          <w:rFonts w:ascii="ITC Avant Garde" w:hAnsi="ITC Avant Garde"/>
          <w:bCs/>
          <w:color w:val="000000"/>
          <w:sz w:val="22"/>
          <w:szCs w:val="22"/>
          <w:lang w:eastAsia="es-MX"/>
        </w:rPr>
        <w:t xml:space="preserve"> las</w:t>
      </w:r>
      <w:r w:rsidRPr="005D1E74">
        <w:rPr>
          <w:rFonts w:ascii="ITC Avant Garde" w:hAnsi="ITC Avant Garde"/>
          <w:bCs/>
          <w:color w:val="000000"/>
          <w:sz w:val="22"/>
          <w:szCs w:val="22"/>
          <w:lang w:eastAsia="es-MX"/>
        </w:rPr>
        <w:t xml:space="preserve"> </w:t>
      </w:r>
      <w:r w:rsidR="00B012DA" w:rsidRPr="005D1E74">
        <w:rPr>
          <w:rFonts w:ascii="ITC Avant Garde" w:hAnsi="ITC Avant Garde"/>
          <w:bCs/>
          <w:color w:val="000000"/>
          <w:sz w:val="22"/>
          <w:szCs w:val="22"/>
          <w:lang w:eastAsia="es-MX"/>
        </w:rPr>
        <w:t>posiciones</w:t>
      </w:r>
      <w:r w:rsidRPr="005D1E74">
        <w:rPr>
          <w:rFonts w:ascii="ITC Avant Garde" w:hAnsi="ITC Avant Garde"/>
          <w:bCs/>
          <w:color w:val="000000"/>
          <w:sz w:val="22"/>
          <w:szCs w:val="22"/>
          <w:lang w:eastAsia="es-MX"/>
        </w:rPr>
        <w:t xml:space="preserve"> orbital</w:t>
      </w:r>
      <w:r w:rsidR="00B012DA" w:rsidRPr="005D1E74">
        <w:rPr>
          <w:rFonts w:ascii="ITC Avant Garde" w:hAnsi="ITC Avant Garde"/>
          <w:bCs/>
          <w:color w:val="000000"/>
          <w:sz w:val="22"/>
          <w:szCs w:val="22"/>
          <w:lang w:eastAsia="es-MX"/>
        </w:rPr>
        <w:t>es</w:t>
      </w:r>
      <w:r w:rsidRPr="005D1E74">
        <w:rPr>
          <w:rFonts w:ascii="ITC Avant Garde" w:hAnsi="ITC Avant Garde"/>
          <w:bCs/>
          <w:color w:val="000000"/>
          <w:sz w:val="22"/>
          <w:szCs w:val="22"/>
          <w:lang w:eastAsia="es-MX"/>
        </w:rPr>
        <w:t xml:space="preserve"> geoestacionaria</w:t>
      </w:r>
      <w:r w:rsidR="00B012DA" w:rsidRPr="005D1E74">
        <w:rPr>
          <w:rFonts w:ascii="ITC Avant Garde" w:hAnsi="ITC Avant Garde"/>
          <w:bCs/>
          <w:color w:val="000000"/>
          <w:sz w:val="22"/>
          <w:szCs w:val="22"/>
          <w:lang w:eastAsia="es-MX"/>
        </w:rPr>
        <w:t>s</w:t>
      </w:r>
      <w:r w:rsidR="000D536B" w:rsidRPr="005D1E74">
        <w:rPr>
          <w:rFonts w:ascii="ITC Avant Garde" w:hAnsi="ITC Avant Garde"/>
          <w:bCs/>
          <w:color w:val="000000"/>
          <w:sz w:val="22"/>
          <w:szCs w:val="22"/>
          <w:lang w:eastAsia="es-MX"/>
        </w:rPr>
        <w:t xml:space="preserve"> </w:t>
      </w:r>
      <w:r w:rsidR="00946721" w:rsidRPr="005D1E74">
        <w:rPr>
          <w:rFonts w:ascii="ITC Avant Garde" w:hAnsi="ITC Avant Garde"/>
          <w:bCs/>
          <w:color w:val="000000"/>
          <w:sz w:val="22"/>
          <w:szCs w:val="22"/>
          <w:lang w:eastAsia="es-MX"/>
        </w:rPr>
        <w:t xml:space="preserve">109.2° O, 113.0° O y 116.8° O, </w:t>
      </w:r>
      <w:r w:rsidRPr="005D1E74">
        <w:rPr>
          <w:rFonts w:ascii="ITC Avant Garde" w:hAnsi="ITC Avant Garde"/>
          <w:bCs/>
          <w:color w:val="000000"/>
          <w:sz w:val="22"/>
          <w:szCs w:val="22"/>
          <w:lang w:eastAsia="es-MX"/>
        </w:rPr>
        <w:t>asignada</w:t>
      </w:r>
      <w:r w:rsidR="00E138EF" w:rsidRPr="005D1E74">
        <w:rPr>
          <w:rFonts w:ascii="ITC Avant Garde" w:hAnsi="ITC Avant Garde"/>
          <w:bCs/>
          <w:color w:val="000000"/>
          <w:sz w:val="22"/>
          <w:szCs w:val="22"/>
          <w:lang w:eastAsia="es-MX"/>
        </w:rPr>
        <w:t>s</w:t>
      </w:r>
      <w:r w:rsidRPr="005D1E74">
        <w:rPr>
          <w:rFonts w:ascii="ITC Avant Garde" w:hAnsi="ITC Avant Garde"/>
          <w:bCs/>
          <w:color w:val="000000"/>
          <w:sz w:val="22"/>
          <w:szCs w:val="22"/>
          <w:lang w:eastAsia="es-MX"/>
        </w:rPr>
        <w:t xml:space="preserve"> al país</w:t>
      </w:r>
      <w:r w:rsidR="00E138EF" w:rsidRPr="005D1E74">
        <w:rPr>
          <w:rFonts w:ascii="ITC Avant Garde" w:hAnsi="ITC Avant Garde"/>
          <w:bCs/>
          <w:color w:val="000000"/>
          <w:sz w:val="22"/>
          <w:szCs w:val="22"/>
          <w:lang w:eastAsia="es-MX"/>
        </w:rPr>
        <w:t>,</w:t>
      </w:r>
      <w:r w:rsidR="00A44F59" w:rsidRPr="005D1E74">
        <w:rPr>
          <w:rFonts w:ascii="ITC Avant Garde" w:hAnsi="ITC Avant Garde"/>
          <w:bCs/>
          <w:color w:val="000000"/>
          <w:sz w:val="22"/>
          <w:szCs w:val="22"/>
          <w:lang w:eastAsia="es-MX"/>
        </w:rPr>
        <w:t xml:space="preserve"> respectivamente,</w:t>
      </w:r>
      <w:r w:rsidR="00E138EF" w:rsidRPr="005D1E74">
        <w:rPr>
          <w:rFonts w:ascii="ITC Avant Garde" w:hAnsi="ITC Avant Garde"/>
          <w:bCs/>
          <w:color w:val="000000"/>
          <w:sz w:val="22"/>
          <w:szCs w:val="22"/>
          <w:lang w:eastAsia="es-MX"/>
        </w:rPr>
        <w:t xml:space="preserve"> para la explotación exclusiva de las </w:t>
      </w:r>
      <w:r w:rsidR="00663D8F" w:rsidRPr="005D1E74">
        <w:rPr>
          <w:rFonts w:ascii="ITC Avant Garde" w:hAnsi="ITC Avant Garde"/>
          <w:bCs/>
          <w:color w:val="000000"/>
          <w:sz w:val="22"/>
          <w:szCs w:val="22"/>
          <w:lang w:eastAsia="es-MX"/>
        </w:rPr>
        <w:t xml:space="preserve">bandas de </w:t>
      </w:r>
      <w:r w:rsidR="00E138EF" w:rsidRPr="005D1E74">
        <w:rPr>
          <w:rFonts w:ascii="ITC Avant Garde" w:hAnsi="ITC Avant Garde"/>
          <w:bCs/>
          <w:color w:val="000000"/>
          <w:sz w:val="22"/>
          <w:szCs w:val="22"/>
          <w:lang w:eastAsia="es-MX"/>
        </w:rPr>
        <w:t xml:space="preserve">frecuencias </w:t>
      </w:r>
      <w:r w:rsidR="00663D8F" w:rsidRPr="005D1E74">
        <w:rPr>
          <w:rFonts w:ascii="ITC Avant Garde" w:hAnsi="ITC Avant Garde"/>
          <w:bCs/>
          <w:color w:val="000000"/>
          <w:sz w:val="22"/>
          <w:szCs w:val="22"/>
          <w:lang w:eastAsia="es-MX"/>
        </w:rPr>
        <w:t xml:space="preserve">asociadas </w:t>
      </w:r>
      <w:r w:rsidR="00E138EF" w:rsidRPr="005D1E74">
        <w:rPr>
          <w:rFonts w:ascii="ITC Avant Garde" w:hAnsi="ITC Avant Garde"/>
          <w:bCs/>
          <w:color w:val="000000"/>
          <w:sz w:val="22"/>
          <w:szCs w:val="22"/>
          <w:lang w:eastAsia="es-MX"/>
        </w:rPr>
        <w:t>3.7-4.2 GHz y 5.925–6.425 GHz</w:t>
      </w:r>
      <w:r w:rsidR="00663D8F" w:rsidRPr="005D1E74">
        <w:rPr>
          <w:rFonts w:ascii="ITC Avant Garde" w:hAnsi="ITC Avant Garde"/>
          <w:bCs/>
          <w:color w:val="000000"/>
          <w:sz w:val="22"/>
          <w:szCs w:val="22"/>
          <w:lang w:eastAsia="es-MX"/>
        </w:rPr>
        <w:t xml:space="preserve"> (Banda C)</w:t>
      </w:r>
      <w:r w:rsidR="00E138EF" w:rsidRPr="005D1E74">
        <w:rPr>
          <w:rFonts w:ascii="ITC Avant Garde" w:hAnsi="ITC Avant Garde"/>
          <w:bCs/>
          <w:color w:val="000000"/>
          <w:sz w:val="22"/>
          <w:szCs w:val="22"/>
          <w:lang w:eastAsia="es-MX"/>
        </w:rPr>
        <w:t xml:space="preserve">, y 11.7–12.2 GHz y 14–14.5 GHz </w:t>
      </w:r>
      <w:r w:rsidR="00663D8F" w:rsidRPr="005D1E74">
        <w:rPr>
          <w:rFonts w:ascii="ITC Avant Garde" w:hAnsi="ITC Avant Garde"/>
          <w:bCs/>
          <w:color w:val="000000"/>
          <w:sz w:val="22"/>
          <w:szCs w:val="22"/>
          <w:lang w:eastAsia="es-MX"/>
        </w:rPr>
        <w:t>(Banda Ku)</w:t>
      </w:r>
      <w:r w:rsidR="00E138EF" w:rsidRPr="005D1E74">
        <w:rPr>
          <w:rFonts w:ascii="ITC Avant Garde" w:hAnsi="ITC Avant Garde"/>
          <w:bCs/>
          <w:color w:val="000000"/>
          <w:sz w:val="22"/>
          <w:szCs w:val="22"/>
          <w:lang w:eastAsia="es-MX"/>
        </w:rPr>
        <w:t xml:space="preserve">; así como los derechos de emisión y recepción de señales </w:t>
      </w:r>
      <w:r w:rsidRPr="005D1E74">
        <w:rPr>
          <w:rFonts w:ascii="ITC Avant Garde" w:hAnsi="ITC Avant Garde"/>
          <w:bCs/>
          <w:color w:val="000000"/>
          <w:sz w:val="22"/>
          <w:szCs w:val="22"/>
          <w:lang w:eastAsia="es-MX"/>
        </w:rPr>
        <w:t>(la</w:t>
      </w:r>
      <w:r w:rsidR="00E138EF" w:rsidRPr="005D1E74">
        <w:rPr>
          <w:rFonts w:ascii="ITC Avant Garde" w:hAnsi="ITC Avant Garde"/>
          <w:bCs/>
          <w:color w:val="000000"/>
          <w:sz w:val="22"/>
          <w:szCs w:val="22"/>
          <w:lang w:eastAsia="es-MX"/>
        </w:rPr>
        <w:t>s “Concesiones</w:t>
      </w:r>
      <w:r w:rsidRPr="005D1E74">
        <w:rPr>
          <w:rFonts w:ascii="ITC Avant Garde" w:hAnsi="ITC Avant Garde"/>
          <w:bCs/>
          <w:color w:val="000000"/>
          <w:sz w:val="22"/>
          <w:szCs w:val="22"/>
          <w:lang w:eastAsia="es-MX"/>
        </w:rPr>
        <w:t>”)</w:t>
      </w:r>
      <w:r w:rsidR="005D0C1D" w:rsidRPr="005D1E74">
        <w:rPr>
          <w:rFonts w:ascii="ITC Avant Garde" w:hAnsi="ITC Avant Garde"/>
          <w:bCs/>
          <w:color w:val="000000"/>
          <w:sz w:val="22"/>
          <w:szCs w:val="22"/>
          <w:lang w:eastAsia="es-MX"/>
        </w:rPr>
        <w:t>.</w:t>
      </w:r>
    </w:p>
    <w:p w14:paraId="21662F90" w14:textId="77777777" w:rsidR="005D1E74" w:rsidRPr="005D1E74" w:rsidRDefault="00F03A32" w:rsidP="005D1E74">
      <w:pPr>
        <w:pStyle w:val="Prrafodelista"/>
        <w:numPr>
          <w:ilvl w:val="0"/>
          <w:numId w:val="5"/>
        </w:numPr>
        <w:tabs>
          <w:tab w:val="left" w:pos="567"/>
        </w:tabs>
        <w:spacing w:before="240" w:after="240"/>
        <w:ind w:left="567" w:right="45" w:hanging="567"/>
        <w:jc w:val="both"/>
        <w:rPr>
          <w:rFonts w:ascii="ITC Avant Garde" w:hAnsi="ITC Avant Garde"/>
          <w:bCs/>
          <w:color w:val="000000"/>
          <w:sz w:val="22"/>
          <w:szCs w:val="22"/>
          <w:lang w:eastAsia="es-MX"/>
        </w:rPr>
      </w:pPr>
      <w:r w:rsidRPr="005D1E74">
        <w:rPr>
          <w:rFonts w:ascii="ITC Avant Garde" w:hAnsi="ITC Avant Garde"/>
          <w:b/>
          <w:bCs/>
          <w:color w:val="000000"/>
          <w:sz w:val="22"/>
          <w:szCs w:val="22"/>
          <w:lang w:eastAsia="es-MX"/>
        </w:rPr>
        <w:t>Primera</w:t>
      </w:r>
      <w:r w:rsidR="006C7563" w:rsidRPr="005D1E74">
        <w:rPr>
          <w:rFonts w:ascii="ITC Avant Garde" w:hAnsi="ITC Avant Garde"/>
          <w:b/>
          <w:bCs/>
          <w:color w:val="000000"/>
          <w:sz w:val="22"/>
          <w:szCs w:val="22"/>
          <w:lang w:eastAsia="es-MX"/>
        </w:rPr>
        <w:t xml:space="preserve"> Modificación. </w:t>
      </w:r>
      <w:r w:rsidR="006C7563" w:rsidRPr="005D1E74">
        <w:rPr>
          <w:rFonts w:ascii="ITC Avant Garde" w:hAnsi="ITC Avant Garde"/>
          <w:bCs/>
          <w:color w:val="000000"/>
          <w:sz w:val="22"/>
          <w:lang w:eastAsia="es-MX"/>
        </w:rPr>
        <w:t xml:space="preserve">Con </w:t>
      </w:r>
      <w:r w:rsidR="006C7563" w:rsidRPr="005D1E74">
        <w:rPr>
          <w:rFonts w:ascii="ITC Avant Garde" w:hAnsi="ITC Avant Garde"/>
          <w:bCs/>
          <w:color w:val="000000"/>
          <w:sz w:val="22"/>
          <w:szCs w:val="22"/>
          <w:lang w:eastAsia="es-MX"/>
        </w:rPr>
        <w:t xml:space="preserve">fecha </w:t>
      </w:r>
      <w:r w:rsidR="00946721" w:rsidRPr="005D1E74">
        <w:rPr>
          <w:rFonts w:ascii="ITC Avant Garde" w:hAnsi="ITC Avant Garde"/>
          <w:bCs/>
          <w:color w:val="000000"/>
          <w:sz w:val="22"/>
          <w:szCs w:val="22"/>
          <w:lang w:eastAsia="es-MX"/>
        </w:rPr>
        <w:t>20 de agosto</w:t>
      </w:r>
      <w:r w:rsidR="006C7563" w:rsidRPr="005D1E74">
        <w:rPr>
          <w:rFonts w:ascii="ITC Avant Garde" w:hAnsi="ITC Avant Garde"/>
          <w:bCs/>
          <w:color w:val="000000"/>
          <w:sz w:val="22"/>
          <w:szCs w:val="22"/>
          <w:lang w:eastAsia="es-MX"/>
        </w:rPr>
        <w:t xml:space="preserve"> de 2004, la </w:t>
      </w:r>
      <w:r w:rsidR="00946721" w:rsidRPr="005D1E74">
        <w:rPr>
          <w:rFonts w:ascii="ITC Avant Garde" w:hAnsi="ITC Avant Garde"/>
          <w:bCs/>
          <w:color w:val="000000"/>
          <w:sz w:val="22"/>
          <w:szCs w:val="22"/>
          <w:lang w:eastAsia="es-MX"/>
        </w:rPr>
        <w:t xml:space="preserve">extinta Comisión Federal de Telecomunicaciones </w:t>
      </w:r>
      <w:r w:rsidR="006C7563" w:rsidRPr="005D1E74">
        <w:rPr>
          <w:rFonts w:ascii="ITC Avant Garde" w:hAnsi="ITC Avant Garde"/>
          <w:bCs/>
          <w:color w:val="000000"/>
          <w:sz w:val="22"/>
          <w:szCs w:val="22"/>
          <w:lang w:val="es-MX" w:eastAsia="es-MX"/>
        </w:rPr>
        <w:t>autorizó la modificación de</w:t>
      </w:r>
      <w:r w:rsidR="006C7563" w:rsidRPr="005D1E74">
        <w:rPr>
          <w:rFonts w:ascii="Helvetica" w:hAnsi="Helvetica" w:cs="Helvetica"/>
          <w:sz w:val="22"/>
          <w:szCs w:val="22"/>
          <w:lang w:eastAsia="es-MX"/>
        </w:rPr>
        <w:t xml:space="preserve"> </w:t>
      </w:r>
      <w:r w:rsidR="006C7563" w:rsidRPr="005D1E74">
        <w:rPr>
          <w:rFonts w:ascii="ITC Avant Garde" w:hAnsi="ITC Avant Garde"/>
          <w:bCs/>
          <w:color w:val="000000"/>
          <w:sz w:val="22"/>
          <w:szCs w:val="22"/>
          <w:lang w:eastAsia="es-MX"/>
        </w:rPr>
        <w:t xml:space="preserve">los parámetros técnicos contenidos en los Apéndices I y II de la </w:t>
      </w:r>
      <w:r w:rsidR="00946721" w:rsidRPr="005D1E74">
        <w:rPr>
          <w:rFonts w:ascii="ITC Avant Garde" w:hAnsi="ITC Avant Garde"/>
          <w:bCs/>
          <w:color w:val="000000"/>
          <w:sz w:val="22"/>
          <w:szCs w:val="22"/>
          <w:lang w:eastAsia="es-MX"/>
        </w:rPr>
        <w:t>c</w:t>
      </w:r>
      <w:r w:rsidR="006C7563" w:rsidRPr="005D1E74">
        <w:rPr>
          <w:rFonts w:ascii="ITC Avant Garde" w:hAnsi="ITC Avant Garde"/>
          <w:bCs/>
          <w:color w:val="000000"/>
          <w:sz w:val="22"/>
          <w:szCs w:val="22"/>
          <w:lang w:eastAsia="es-MX"/>
        </w:rPr>
        <w:t xml:space="preserve">oncesión </w:t>
      </w:r>
      <w:r w:rsidR="007E6859" w:rsidRPr="005D1E74">
        <w:rPr>
          <w:rFonts w:ascii="ITC Avant Garde" w:hAnsi="ITC Avant Garde"/>
          <w:bCs/>
          <w:color w:val="000000"/>
          <w:sz w:val="22"/>
          <w:szCs w:val="22"/>
          <w:lang w:eastAsia="es-MX"/>
        </w:rPr>
        <w:t xml:space="preserve">correspondiente </w:t>
      </w:r>
      <w:r w:rsidR="00A44F59" w:rsidRPr="005D1E74">
        <w:rPr>
          <w:rFonts w:ascii="ITC Avant Garde" w:hAnsi="ITC Avant Garde"/>
          <w:bCs/>
          <w:color w:val="000000"/>
          <w:sz w:val="22"/>
          <w:szCs w:val="22"/>
          <w:lang w:eastAsia="es-MX"/>
        </w:rPr>
        <w:t>a la posición orbital geoestacionaria (“POG”) 113.0° O</w:t>
      </w:r>
      <w:r w:rsidR="007E6859" w:rsidRPr="005D1E74">
        <w:rPr>
          <w:rFonts w:ascii="ITC Avant Garde" w:hAnsi="ITC Avant Garde"/>
          <w:bCs/>
          <w:color w:val="000000"/>
          <w:sz w:val="22"/>
          <w:szCs w:val="22"/>
          <w:lang w:eastAsia="es-MX"/>
        </w:rPr>
        <w:t>,</w:t>
      </w:r>
      <w:r w:rsidR="006C7563" w:rsidRPr="005D1E74">
        <w:rPr>
          <w:rFonts w:ascii="ITC Avant Garde" w:hAnsi="ITC Avant Garde"/>
          <w:bCs/>
          <w:color w:val="000000"/>
          <w:sz w:val="22"/>
          <w:szCs w:val="22"/>
          <w:lang w:eastAsia="es-MX"/>
        </w:rPr>
        <w:t xml:space="preserve"> a efecto de adicionar las características técnicas del satélite Satmex 6</w:t>
      </w:r>
      <w:r w:rsidR="006C7563" w:rsidRPr="005D1E74">
        <w:rPr>
          <w:rFonts w:ascii="ITC Avant Garde" w:hAnsi="ITC Avant Garde"/>
          <w:bCs/>
          <w:color w:val="000000"/>
          <w:sz w:val="22"/>
          <w:szCs w:val="22"/>
          <w:lang w:val="es-MX" w:eastAsia="es-MX"/>
        </w:rPr>
        <w:t xml:space="preserve">. </w:t>
      </w:r>
    </w:p>
    <w:p w14:paraId="4A419018" w14:textId="77777777" w:rsidR="005D1E74" w:rsidRPr="005D1E74" w:rsidRDefault="00F03A32" w:rsidP="005D1E74">
      <w:pPr>
        <w:pStyle w:val="Prrafodelista"/>
        <w:numPr>
          <w:ilvl w:val="0"/>
          <w:numId w:val="5"/>
        </w:numPr>
        <w:tabs>
          <w:tab w:val="left" w:pos="567"/>
        </w:tabs>
        <w:spacing w:before="240" w:after="240"/>
        <w:ind w:left="567" w:right="45" w:hanging="567"/>
        <w:jc w:val="both"/>
        <w:rPr>
          <w:rFonts w:ascii="ITC Avant Garde" w:hAnsi="ITC Avant Garde"/>
          <w:bCs/>
          <w:color w:val="000000"/>
          <w:sz w:val="22"/>
          <w:szCs w:val="22"/>
          <w:lang w:eastAsia="es-MX"/>
        </w:rPr>
      </w:pPr>
      <w:r w:rsidRPr="005D1E74">
        <w:rPr>
          <w:rFonts w:ascii="ITC Avant Garde" w:hAnsi="ITC Avant Garde"/>
          <w:b/>
          <w:bCs/>
          <w:color w:val="000000"/>
          <w:sz w:val="22"/>
          <w:szCs w:val="22"/>
          <w:lang w:eastAsia="es-MX"/>
        </w:rPr>
        <w:t>Segunda</w:t>
      </w:r>
      <w:r w:rsidR="00CC3B37" w:rsidRPr="005D1E74">
        <w:rPr>
          <w:rFonts w:ascii="ITC Avant Garde" w:hAnsi="ITC Avant Garde"/>
          <w:b/>
          <w:bCs/>
          <w:color w:val="000000"/>
          <w:sz w:val="22"/>
          <w:szCs w:val="22"/>
          <w:lang w:eastAsia="es-MX"/>
        </w:rPr>
        <w:t xml:space="preserve"> Modificación. </w:t>
      </w:r>
      <w:r w:rsidR="00CC3B37" w:rsidRPr="005D1E74">
        <w:rPr>
          <w:rFonts w:ascii="ITC Avant Garde" w:hAnsi="ITC Avant Garde"/>
          <w:bCs/>
          <w:color w:val="000000"/>
          <w:sz w:val="22"/>
          <w:szCs w:val="22"/>
          <w:lang w:eastAsia="es-MX"/>
        </w:rPr>
        <w:t>Con fecha 30 de agosto de 200</w:t>
      </w:r>
      <w:r w:rsidR="000D536B" w:rsidRPr="005D1E74">
        <w:rPr>
          <w:rFonts w:ascii="ITC Avant Garde" w:hAnsi="ITC Avant Garde"/>
          <w:bCs/>
          <w:color w:val="000000"/>
          <w:sz w:val="22"/>
          <w:szCs w:val="22"/>
          <w:lang w:eastAsia="es-MX"/>
        </w:rPr>
        <w:t>5</w:t>
      </w:r>
      <w:r w:rsidR="00CC3B37" w:rsidRPr="005D1E74">
        <w:rPr>
          <w:rFonts w:ascii="ITC Avant Garde" w:hAnsi="ITC Avant Garde"/>
          <w:bCs/>
          <w:color w:val="000000"/>
          <w:sz w:val="22"/>
          <w:szCs w:val="22"/>
          <w:lang w:eastAsia="es-MX"/>
        </w:rPr>
        <w:t xml:space="preserve">, la Secretaría autorizó la modificación de la </w:t>
      </w:r>
      <w:r w:rsidR="00D1152A" w:rsidRPr="005D1E74">
        <w:rPr>
          <w:rFonts w:ascii="ITC Avant Garde" w:hAnsi="ITC Avant Garde"/>
          <w:bCs/>
          <w:color w:val="000000"/>
          <w:sz w:val="22"/>
          <w:szCs w:val="22"/>
          <w:lang w:eastAsia="es-MX"/>
        </w:rPr>
        <w:t>c</w:t>
      </w:r>
      <w:r w:rsidR="00CC3B37" w:rsidRPr="005D1E74">
        <w:rPr>
          <w:rFonts w:ascii="ITC Avant Garde" w:hAnsi="ITC Avant Garde"/>
          <w:bCs/>
          <w:color w:val="000000"/>
          <w:sz w:val="22"/>
          <w:szCs w:val="22"/>
          <w:lang w:eastAsia="es-MX"/>
        </w:rPr>
        <w:t>oncesión</w:t>
      </w:r>
      <w:r w:rsidR="000D536B" w:rsidRPr="005D1E74">
        <w:rPr>
          <w:rFonts w:ascii="ITC Avant Garde" w:hAnsi="ITC Avant Garde"/>
          <w:bCs/>
          <w:color w:val="000000"/>
          <w:sz w:val="22"/>
          <w:szCs w:val="22"/>
          <w:lang w:eastAsia="es-MX"/>
        </w:rPr>
        <w:t xml:space="preserve"> </w:t>
      </w:r>
      <w:r w:rsidR="007E6859" w:rsidRPr="005D1E74">
        <w:rPr>
          <w:rFonts w:ascii="ITC Avant Garde" w:hAnsi="ITC Avant Garde"/>
          <w:bCs/>
          <w:color w:val="000000"/>
          <w:sz w:val="22"/>
          <w:szCs w:val="22"/>
          <w:lang w:eastAsia="es-MX"/>
        </w:rPr>
        <w:t>correspondiente</w:t>
      </w:r>
      <w:r w:rsidR="000D536B" w:rsidRPr="005D1E74">
        <w:rPr>
          <w:rFonts w:ascii="ITC Avant Garde" w:hAnsi="ITC Avant Garde"/>
          <w:bCs/>
          <w:color w:val="000000"/>
          <w:sz w:val="22"/>
          <w:szCs w:val="22"/>
          <w:lang w:eastAsia="es-MX"/>
        </w:rPr>
        <w:t xml:space="preserve"> a la </w:t>
      </w:r>
      <w:r w:rsidR="00D1152A" w:rsidRPr="005D1E74">
        <w:rPr>
          <w:rFonts w:ascii="ITC Avant Garde" w:hAnsi="ITC Avant Garde"/>
          <w:bCs/>
          <w:color w:val="000000"/>
          <w:sz w:val="22"/>
          <w:szCs w:val="22"/>
          <w:lang w:eastAsia="es-MX"/>
        </w:rPr>
        <w:t>POG 109.2° O</w:t>
      </w:r>
      <w:r w:rsidR="00CC3B37" w:rsidRPr="005D1E74">
        <w:rPr>
          <w:rFonts w:ascii="ITC Avant Garde" w:hAnsi="ITC Avant Garde"/>
          <w:bCs/>
          <w:color w:val="000000"/>
          <w:sz w:val="22"/>
          <w:szCs w:val="22"/>
          <w:lang w:eastAsia="es-MX"/>
        </w:rPr>
        <w:t xml:space="preserve">, </w:t>
      </w:r>
      <w:r w:rsidR="00D1152A" w:rsidRPr="005D1E74">
        <w:rPr>
          <w:rFonts w:ascii="ITC Avant Garde" w:hAnsi="ITC Avant Garde"/>
          <w:bCs/>
          <w:color w:val="000000"/>
          <w:sz w:val="22"/>
          <w:szCs w:val="22"/>
          <w:lang w:eastAsia="es-MX"/>
        </w:rPr>
        <w:t>en el sentido</w:t>
      </w:r>
      <w:r w:rsidR="00CC3B37" w:rsidRPr="005D1E74">
        <w:rPr>
          <w:rFonts w:ascii="ITC Avant Garde" w:hAnsi="ITC Avant Garde"/>
          <w:bCs/>
          <w:color w:val="000000"/>
          <w:sz w:val="22"/>
          <w:szCs w:val="22"/>
          <w:lang w:eastAsia="es-MX"/>
        </w:rPr>
        <w:t xml:space="preserve"> de que toda referencia respecto </w:t>
      </w:r>
      <w:r w:rsidR="00D1152A" w:rsidRPr="005D1E74">
        <w:rPr>
          <w:rFonts w:ascii="ITC Avant Garde" w:hAnsi="ITC Avant Garde"/>
          <w:bCs/>
          <w:color w:val="000000"/>
          <w:sz w:val="22"/>
          <w:szCs w:val="22"/>
          <w:lang w:eastAsia="es-MX"/>
        </w:rPr>
        <w:t>a</w:t>
      </w:r>
      <w:r w:rsidR="00CC3B37" w:rsidRPr="005D1E74">
        <w:rPr>
          <w:rFonts w:ascii="ITC Avant Garde" w:hAnsi="ITC Avant Garde"/>
          <w:bCs/>
          <w:color w:val="000000"/>
          <w:sz w:val="22"/>
          <w:szCs w:val="22"/>
          <w:lang w:eastAsia="es-MX"/>
        </w:rPr>
        <w:t xml:space="preserve"> </w:t>
      </w:r>
      <w:r w:rsidR="00D1152A" w:rsidRPr="005D1E74">
        <w:rPr>
          <w:rFonts w:ascii="ITC Avant Garde" w:hAnsi="ITC Avant Garde"/>
          <w:bCs/>
          <w:color w:val="000000"/>
          <w:sz w:val="22"/>
          <w:szCs w:val="22"/>
          <w:lang w:eastAsia="es-MX"/>
        </w:rPr>
        <w:t>dicha POG</w:t>
      </w:r>
      <w:r w:rsidR="00CC3B37" w:rsidRPr="005D1E74">
        <w:rPr>
          <w:rFonts w:ascii="ITC Avant Garde" w:hAnsi="ITC Avant Garde"/>
          <w:bCs/>
          <w:color w:val="000000"/>
          <w:sz w:val="22"/>
          <w:szCs w:val="22"/>
          <w:lang w:eastAsia="es-MX"/>
        </w:rPr>
        <w:t xml:space="preserve">, </w:t>
      </w:r>
      <w:r w:rsidR="00D1152A" w:rsidRPr="005D1E74">
        <w:rPr>
          <w:rFonts w:ascii="ITC Avant Garde" w:hAnsi="ITC Avant Garde"/>
          <w:bCs/>
          <w:color w:val="000000"/>
          <w:sz w:val="22"/>
          <w:szCs w:val="22"/>
          <w:lang w:eastAsia="es-MX"/>
        </w:rPr>
        <w:t>se debería entender</w:t>
      </w:r>
      <w:r w:rsidR="00CC3B37" w:rsidRPr="005D1E74">
        <w:rPr>
          <w:rFonts w:ascii="ITC Avant Garde" w:hAnsi="ITC Avant Garde"/>
          <w:bCs/>
          <w:color w:val="000000"/>
          <w:sz w:val="22"/>
          <w:szCs w:val="22"/>
          <w:lang w:eastAsia="es-MX"/>
        </w:rPr>
        <w:t xml:space="preserve"> como </w:t>
      </w:r>
      <w:r w:rsidR="00D1152A" w:rsidRPr="005D1E74">
        <w:rPr>
          <w:rFonts w:ascii="ITC Avant Garde" w:hAnsi="ITC Avant Garde"/>
          <w:bCs/>
          <w:color w:val="000000"/>
          <w:sz w:val="22"/>
          <w:szCs w:val="22"/>
          <w:lang w:eastAsia="es-MX"/>
        </w:rPr>
        <w:t xml:space="preserve">a </w:t>
      </w:r>
      <w:r w:rsidR="00CC3B37" w:rsidRPr="005D1E74">
        <w:rPr>
          <w:rFonts w:ascii="ITC Avant Garde" w:hAnsi="ITC Avant Garde"/>
          <w:bCs/>
          <w:color w:val="000000"/>
          <w:sz w:val="22"/>
          <w:szCs w:val="22"/>
          <w:lang w:eastAsia="es-MX"/>
        </w:rPr>
        <w:t xml:space="preserve">la </w:t>
      </w:r>
      <w:r w:rsidR="00D1152A" w:rsidRPr="005D1E74">
        <w:rPr>
          <w:rFonts w:ascii="ITC Avant Garde" w:hAnsi="ITC Avant Garde"/>
          <w:bCs/>
          <w:color w:val="000000"/>
          <w:sz w:val="22"/>
          <w:szCs w:val="22"/>
          <w:lang w:eastAsia="es-MX"/>
        </w:rPr>
        <w:t>POG</w:t>
      </w:r>
      <w:r w:rsidR="00CC3B37" w:rsidRPr="005D1E74">
        <w:rPr>
          <w:rFonts w:ascii="ITC Avant Garde" w:hAnsi="ITC Avant Garde"/>
          <w:bCs/>
          <w:color w:val="000000"/>
          <w:sz w:val="22"/>
          <w:szCs w:val="22"/>
          <w:lang w:eastAsia="es-MX"/>
        </w:rPr>
        <w:t xml:space="preserve"> 114.9° </w:t>
      </w:r>
      <w:r w:rsidR="00D1152A" w:rsidRPr="005D1E74">
        <w:rPr>
          <w:rFonts w:ascii="ITC Avant Garde" w:hAnsi="ITC Avant Garde"/>
          <w:bCs/>
          <w:color w:val="000000"/>
          <w:sz w:val="22"/>
          <w:szCs w:val="22"/>
          <w:lang w:val="es-MX" w:eastAsia="es-MX"/>
        </w:rPr>
        <w:t>O.</w:t>
      </w:r>
      <w:r w:rsidR="00CC3B37" w:rsidRPr="005D1E74">
        <w:rPr>
          <w:rFonts w:ascii="ITC Avant Garde" w:hAnsi="ITC Avant Garde"/>
          <w:bCs/>
          <w:color w:val="000000"/>
          <w:sz w:val="22"/>
          <w:szCs w:val="22"/>
          <w:lang w:val="es-MX" w:eastAsia="es-MX"/>
        </w:rPr>
        <w:t xml:space="preserve"> </w:t>
      </w:r>
      <w:r w:rsidR="00D1152A" w:rsidRPr="005D1E74">
        <w:rPr>
          <w:rFonts w:ascii="ITC Avant Garde" w:hAnsi="ITC Avant Garde"/>
          <w:bCs/>
          <w:color w:val="000000"/>
          <w:sz w:val="22"/>
          <w:szCs w:val="22"/>
          <w:lang w:val="es-MX" w:eastAsia="es-MX"/>
        </w:rPr>
        <w:t>A</w:t>
      </w:r>
      <w:r w:rsidR="00CC3B37" w:rsidRPr="005D1E74">
        <w:rPr>
          <w:rFonts w:ascii="ITC Avant Garde" w:hAnsi="ITC Avant Garde"/>
          <w:bCs/>
          <w:color w:val="000000"/>
          <w:sz w:val="22"/>
          <w:szCs w:val="22"/>
          <w:lang w:val="es-MX" w:eastAsia="es-MX"/>
        </w:rPr>
        <w:t>simismo</w:t>
      </w:r>
      <w:r w:rsidR="00D1152A" w:rsidRPr="005D1E74">
        <w:rPr>
          <w:rFonts w:ascii="ITC Avant Garde" w:hAnsi="ITC Avant Garde"/>
          <w:bCs/>
          <w:color w:val="000000"/>
          <w:sz w:val="22"/>
          <w:szCs w:val="22"/>
          <w:lang w:val="es-MX" w:eastAsia="es-MX"/>
        </w:rPr>
        <w:t xml:space="preserve">, </w:t>
      </w:r>
      <w:r w:rsidR="00CC3B37" w:rsidRPr="005D1E74">
        <w:rPr>
          <w:rFonts w:ascii="ITC Avant Garde" w:hAnsi="ITC Avant Garde"/>
          <w:bCs/>
          <w:color w:val="000000"/>
          <w:sz w:val="22"/>
          <w:szCs w:val="22"/>
          <w:lang w:val="es-MX" w:eastAsia="es-MX"/>
        </w:rPr>
        <w:t>se</w:t>
      </w:r>
      <w:r w:rsidR="00CC3B37" w:rsidRPr="005D1E74">
        <w:rPr>
          <w:rFonts w:ascii="ITC Avant Garde" w:hAnsi="ITC Avant Garde"/>
          <w:bCs/>
          <w:color w:val="000000"/>
          <w:sz w:val="22"/>
          <w:szCs w:val="22"/>
          <w:lang w:eastAsia="es-MX"/>
        </w:rPr>
        <w:t xml:space="preserve"> </w:t>
      </w:r>
      <w:r w:rsidR="00D1152A" w:rsidRPr="005D1E74">
        <w:rPr>
          <w:rFonts w:ascii="ITC Avant Garde" w:hAnsi="ITC Avant Garde"/>
          <w:bCs/>
          <w:color w:val="000000"/>
          <w:sz w:val="22"/>
          <w:szCs w:val="22"/>
          <w:lang w:eastAsia="es-MX"/>
        </w:rPr>
        <w:t xml:space="preserve">sustituyeron los Apéndices </w:t>
      </w:r>
      <w:r w:rsidR="00CC3B37" w:rsidRPr="005D1E74">
        <w:rPr>
          <w:rFonts w:ascii="ITC Avant Garde" w:hAnsi="ITC Avant Garde"/>
          <w:bCs/>
          <w:color w:val="000000"/>
          <w:sz w:val="22"/>
          <w:szCs w:val="22"/>
          <w:lang w:eastAsia="es-MX"/>
        </w:rPr>
        <w:t>I</w:t>
      </w:r>
      <w:r w:rsidR="00D1152A" w:rsidRPr="005D1E74">
        <w:rPr>
          <w:rFonts w:ascii="ITC Avant Garde" w:hAnsi="ITC Avant Garde"/>
          <w:bCs/>
          <w:color w:val="000000"/>
          <w:sz w:val="22"/>
          <w:szCs w:val="22"/>
          <w:lang w:eastAsia="es-MX"/>
        </w:rPr>
        <w:t xml:space="preserve"> y II de la referida concesión, a efecto de incluir</w:t>
      </w:r>
      <w:r w:rsidR="00CC3B37" w:rsidRPr="005D1E74">
        <w:rPr>
          <w:rFonts w:ascii="ITC Avant Garde" w:hAnsi="ITC Avant Garde"/>
          <w:bCs/>
          <w:color w:val="000000"/>
          <w:sz w:val="22"/>
          <w:szCs w:val="22"/>
          <w:lang w:eastAsia="es-MX"/>
        </w:rPr>
        <w:t xml:space="preserve"> las especificaciones técnicas, características de operación y área de cobertura del satélite que ocuparía la POG 114.9° </w:t>
      </w:r>
      <w:r w:rsidR="00CC3B37" w:rsidRPr="005D1E74">
        <w:rPr>
          <w:rFonts w:ascii="ITC Avant Garde" w:hAnsi="ITC Avant Garde"/>
          <w:bCs/>
          <w:color w:val="000000"/>
          <w:sz w:val="22"/>
          <w:szCs w:val="22"/>
          <w:lang w:val="es-MX" w:eastAsia="es-MX"/>
        </w:rPr>
        <w:t>O</w:t>
      </w:r>
      <w:r w:rsidR="00CC3B37" w:rsidRPr="005D1E74">
        <w:rPr>
          <w:rFonts w:ascii="ITC Avant Garde" w:hAnsi="ITC Avant Garde"/>
          <w:bCs/>
          <w:color w:val="000000"/>
          <w:sz w:val="22"/>
          <w:szCs w:val="22"/>
          <w:lang w:eastAsia="es-MX"/>
        </w:rPr>
        <w:t>.</w:t>
      </w:r>
    </w:p>
    <w:p w14:paraId="64B51C32" w14:textId="683B693F" w:rsidR="005D1E74" w:rsidRPr="005D1E74" w:rsidRDefault="0093390D" w:rsidP="005D1E74">
      <w:pPr>
        <w:pStyle w:val="Prrafodelista"/>
        <w:numPr>
          <w:ilvl w:val="0"/>
          <w:numId w:val="5"/>
        </w:numPr>
        <w:tabs>
          <w:tab w:val="left" w:pos="567"/>
        </w:tabs>
        <w:spacing w:before="240" w:after="240"/>
        <w:ind w:left="567" w:right="45" w:hanging="567"/>
        <w:jc w:val="both"/>
        <w:rPr>
          <w:rFonts w:ascii="ITC Avant Garde" w:hAnsi="ITC Avant Garde"/>
          <w:bCs/>
          <w:color w:val="000000"/>
          <w:sz w:val="22"/>
          <w:szCs w:val="22"/>
          <w:lang w:eastAsia="es-MX"/>
        </w:rPr>
      </w:pPr>
      <w:r w:rsidRPr="005D1E74">
        <w:rPr>
          <w:rFonts w:ascii="ITC Avant Garde" w:hAnsi="ITC Avant Garde"/>
          <w:b/>
          <w:bCs/>
          <w:color w:val="000000"/>
          <w:sz w:val="22"/>
          <w:szCs w:val="22"/>
          <w:lang w:eastAsia="es-MX"/>
        </w:rPr>
        <w:t xml:space="preserve">Tercera Modificación. </w:t>
      </w:r>
      <w:r w:rsidRPr="005D1E74">
        <w:rPr>
          <w:rFonts w:ascii="ITC Avant Garde" w:hAnsi="ITC Avant Garde"/>
          <w:bCs/>
          <w:color w:val="000000"/>
          <w:sz w:val="22"/>
          <w:lang w:eastAsia="es-MX"/>
        </w:rPr>
        <w:t xml:space="preserve">Con </w:t>
      </w:r>
      <w:r w:rsidRPr="005D1E74">
        <w:rPr>
          <w:rFonts w:ascii="ITC Avant Garde" w:hAnsi="ITC Avant Garde"/>
          <w:bCs/>
          <w:color w:val="000000"/>
          <w:sz w:val="22"/>
          <w:szCs w:val="22"/>
          <w:lang w:eastAsia="es-MX"/>
        </w:rPr>
        <w:t xml:space="preserve">fecha 15 de diciembre de 2010, la Secretaría </w:t>
      </w:r>
      <w:r w:rsidRPr="005D1E74">
        <w:rPr>
          <w:rFonts w:ascii="ITC Avant Garde" w:hAnsi="ITC Avant Garde"/>
          <w:bCs/>
          <w:color w:val="000000"/>
          <w:sz w:val="22"/>
          <w:szCs w:val="22"/>
          <w:lang w:val="es-MX" w:eastAsia="es-MX"/>
        </w:rPr>
        <w:t>autorizó</w:t>
      </w:r>
      <w:r w:rsidR="00A1685F" w:rsidRPr="005D1E74">
        <w:rPr>
          <w:rFonts w:ascii="ITC Avant Garde" w:hAnsi="ITC Avant Garde"/>
          <w:bCs/>
          <w:color w:val="000000"/>
          <w:sz w:val="22"/>
          <w:szCs w:val="22"/>
          <w:lang w:val="es-MX" w:eastAsia="es-MX"/>
        </w:rPr>
        <w:t xml:space="preserve"> a Satmex</w:t>
      </w:r>
      <w:r w:rsidRPr="005D1E74">
        <w:rPr>
          <w:rFonts w:ascii="ITC Avant Garde" w:hAnsi="ITC Avant Garde"/>
          <w:bCs/>
          <w:color w:val="000000"/>
          <w:sz w:val="22"/>
          <w:szCs w:val="22"/>
          <w:lang w:val="es-MX" w:eastAsia="es-MX"/>
        </w:rPr>
        <w:t xml:space="preserve"> la modificación de</w:t>
      </w:r>
      <w:r w:rsidRPr="005D1E74">
        <w:rPr>
          <w:rFonts w:ascii="Helvetica" w:hAnsi="Helvetica" w:cs="Helvetica"/>
          <w:sz w:val="22"/>
          <w:szCs w:val="22"/>
          <w:lang w:eastAsia="es-MX"/>
        </w:rPr>
        <w:t xml:space="preserve"> </w:t>
      </w:r>
      <w:r w:rsidRPr="005D1E74">
        <w:rPr>
          <w:rFonts w:ascii="ITC Avant Garde" w:hAnsi="ITC Avant Garde"/>
          <w:bCs/>
          <w:color w:val="000000"/>
          <w:sz w:val="22"/>
          <w:szCs w:val="22"/>
          <w:lang w:eastAsia="es-MX"/>
        </w:rPr>
        <w:t>los parámetros técnicos contenidos en los Apéndices I y II</w:t>
      </w:r>
      <w:r w:rsidR="00A1685F" w:rsidRPr="005D1E74">
        <w:rPr>
          <w:rFonts w:ascii="ITC Avant Garde" w:hAnsi="ITC Avant Garde"/>
          <w:bCs/>
          <w:color w:val="000000"/>
          <w:sz w:val="22"/>
          <w:szCs w:val="22"/>
          <w:lang w:eastAsia="es-MX"/>
        </w:rPr>
        <w:t xml:space="preserve"> de la c</w:t>
      </w:r>
      <w:r w:rsidRPr="005D1E74">
        <w:rPr>
          <w:rFonts w:ascii="ITC Avant Garde" w:hAnsi="ITC Avant Garde"/>
          <w:bCs/>
          <w:color w:val="000000"/>
          <w:sz w:val="22"/>
          <w:szCs w:val="22"/>
          <w:lang w:eastAsia="es-MX"/>
        </w:rPr>
        <w:t xml:space="preserve">oncesión </w:t>
      </w:r>
      <w:r w:rsidR="007E6859" w:rsidRPr="005D1E74">
        <w:rPr>
          <w:rFonts w:ascii="ITC Avant Garde" w:hAnsi="ITC Avant Garde"/>
          <w:bCs/>
          <w:color w:val="000000"/>
          <w:sz w:val="22"/>
          <w:szCs w:val="22"/>
          <w:lang w:eastAsia="es-MX"/>
        </w:rPr>
        <w:t xml:space="preserve">correspondiente a la </w:t>
      </w:r>
      <w:r w:rsidR="00A1685F" w:rsidRPr="005D1E74">
        <w:rPr>
          <w:rFonts w:ascii="ITC Avant Garde" w:hAnsi="ITC Avant Garde"/>
          <w:bCs/>
          <w:color w:val="000000"/>
          <w:sz w:val="22"/>
          <w:szCs w:val="22"/>
          <w:lang w:eastAsia="es-MX"/>
        </w:rPr>
        <w:t>POG 116.8° O</w:t>
      </w:r>
      <w:r w:rsidRPr="005D1E74">
        <w:rPr>
          <w:rFonts w:ascii="ITC Avant Garde" w:hAnsi="ITC Avant Garde"/>
          <w:bCs/>
          <w:color w:val="000000"/>
          <w:sz w:val="22"/>
          <w:szCs w:val="22"/>
          <w:lang w:eastAsia="es-MX"/>
        </w:rPr>
        <w:t xml:space="preserve">, a efecto sustituir el satélite Satmex 5 </w:t>
      </w:r>
      <w:r w:rsidR="00A1685F" w:rsidRPr="005D1E74">
        <w:rPr>
          <w:rFonts w:ascii="ITC Avant Garde" w:hAnsi="ITC Avant Garde"/>
          <w:bCs/>
          <w:color w:val="000000"/>
          <w:sz w:val="22"/>
          <w:szCs w:val="22"/>
          <w:lang w:eastAsia="es-MX"/>
        </w:rPr>
        <w:t>por</w:t>
      </w:r>
      <w:r w:rsidRPr="005D1E74">
        <w:rPr>
          <w:rFonts w:ascii="ITC Avant Garde" w:hAnsi="ITC Avant Garde"/>
          <w:bCs/>
          <w:color w:val="000000"/>
          <w:sz w:val="22"/>
          <w:szCs w:val="22"/>
          <w:lang w:eastAsia="es-MX"/>
        </w:rPr>
        <w:t xml:space="preserve"> el satélite Satmex 8.</w:t>
      </w:r>
      <w:r w:rsidRPr="005D1E74">
        <w:rPr>
          <w:rFonts w:ascii="ITC Avant Garde" w:hAnsi="ITC Avant Garde"/>
          <w:bCs/>
          <w:color w:val="000000"/>
          <w:sz w:val="22"/>
          <w:szCs w:val="22"/>
          <w:lang w:val="es-MX" w:eastAsia="es-MX"/>
        </w:rPr>
        <w:t xml:space="preserve"> </w:t>
      </w:r>
    </w:p>
    <w:p w14:paraId="074A48AF" w14:textId="77777777" w:rsidR="005D1E74" w:rsidRPr="005D1E74" w:rsidRDefault="00CC3B37" w:rsidP="005D1E74">
      <w:pPr>
        <w:pStyle w:val="Prrafodelista"/>
        <w:numPr>
          <w:ilvl w:val="0"/>
          <w:numId w:val="5"/>
        </w:numPr>
        <w:tabs>
          <w:tab w:val="left" w:pos="567"/>
        </w:tabs>
        <w:spacing w:before="240" w:after="240"/>
        <w:ind w:left="567" w:right="45" w:hanging="567"/>
        <w:jc w:val="both"/>
        <w:rPr>
          <w:rFonts w:ascii="ITC Avant Garde" w:hAnsi="ITC Avant Garde"/>
          <w:bCs/>
          <w:color w:val="000000"/>
          <w:sz w:val="22"/>
          <w:szCs w:val="22"/>
          <w:lang w:eastAsia="es-MX"/>
        </w:rPr>
      </w:pPr>
      <w:r w:rsidRPr="005D1E74">
        <w:rPr>
          <w:rFonts w:ascii="ITC Avant Garde" w:hAnsi="ITC Avant Garde"/>
          <w:b/>
          <w:bCs/>
          <w:color w:val="000000"/>
          <w:sz w:val="22"/>
          <w:szCs w:val="22"/>
          <w:lang w:val="es-MX" w:eastAsia="es-MX"/>
        </w:rPr>
        <w:t>Prórroga de la</w:t>
      </w:r>
      <w:r w:rsidR="00F03A32" w:rsidRPr="005D1E74">
        <w:rPr>
          <w:rFonts w:ascii="ITC Avant Garde" w:hAnsi="ITC Avant Garde"/>
          <w:b/>
          <w:bCs/>
          <w:color w:val="000000"/>
          <w:sz w:val="22"/>
          <w:szCs w:val="22"/>
          <w:lang w:val="es-MX" w:eastAsia="es-MX"/>
        </w:rPr>
        <w:t>s</w:t>
      </w:r>
      <w:r w:rsidRPr="005D1E74">
        <w:rPr>
          <w:rFonts w:ascii="ITC Avant Garde" w:hAnsi="ITC Avant Garde"/>
          <w:b/>
          <w:bCs/>
          <w:color w:val="000000"/>
          <w:sz w:val="22"/>
          <w:szCs w:val="22"/>
          <w:lang w:val="es-MX" w:eastAsia="es-MX"/>
        </w:rPr>
        <w:t xml:space="preserve"> </w:t>
      </w:r>
      <w:r w:rsidR="00F03A32" w:rsidRPr="005D1E74">
        <w:rPr>
          <w:rFonts w:ascii="ITC Avant Garde" w:hAnsi="ITC Avant Garde"/>
          <w:b/>
          <w:bCs/>
          <w:color w:val="000000"/>
          <w:sz w:val="22"/>
          <w:szCs w:val="22"/>
          <w:lang w:val="es-MX" w:eastAsia="es-MX"/>
        </w:rPr>
        <w:t>Concesiones</w:t>
      </w:r>
      <w:r w:rsidRPr="005D1E74">
        <w:rPr>
          <w:rFonts w:ascii="ITC Avant Garde" w:hAnsi="ITC Avant Garde"/>
          <w:b/>
          <w:bCs/>
          <w:color w:val="000000"/>
          <w:sz w:val="22"/>
          <w:szCs w:val="22"/>
          <w:lang w:val="es-MX" w:eastAsia="es-MX"/>
        </w:rPr>
        <w:t>.</w:t>
      </w:r>
      <w:r w:rsidRPr="005D1E74">
        <w:rPr>
          <w:rFonts w:ascii="ITC Avant Garde" w:hAnsi="ITC Avant Garde"/>
          <w:bCs/>
          <w:color w:val="000000"/>
          <w:sz w:val="22"/>
          <w:szCs w:val="22"/>
          <w:lang w:val="es-MX" w:eastAsia="es-MX"/>
        </w:rPr>
        <w:t xml:space="preserve"> Con fecha 26 de mayo de 2011, la Secretaría otorgó </w:t>
      </w:r>
      <w:r w:rsidR="00A1685F" w:rsidRPr="005D1E74">
        <w:rPr>
          <w:rFonts w:ascii="ITC Avant Garde" w:hAnsi="ITC Avant Garde"/>
          <w:bCs/>
          <w:color w:val="000000"/>
          <w:sz w:val="22"/>
          <w:szCs w:val="22"/>
          <w:lang w:val="es-MX" w:eastAsia="es-MX"/>
        </w:rPr>
        <w:t xml:space="preserve">a </w:t>
      </w:r>
      <w:r w:rsidR="00F03A32" w:rsidRPr="005D1E74">
        <w:rPr>
          <w:rFonts w:ascii="ITC Avant Garde" w:hAnsi="ITC Avant Garde"/>
          <w:bCs/>
          <w:color w:val="000000"/>
          <w:sz w:val="22"/>
          <w:szCs w:val="22"/>
          <w:lang w:val="es-MX" w:eastAsia="es-MX"/>
        </w:rPr>
        <w:t>Satmex</w:t>
      </w:r>
      <w:r w:rsidRPr="005D1E74">
        <w:rPr>
          <w:rFonts w:ascii="ITC Avant Garde" w:hAnsi="ITC Avant Garde"/>
          <w:bCs/>
          <w:color w:val="000000"/>
          <w:sz w:val="22"/>
          <w:szCs w:val="22"/>
          <w:lang w:val="es-MX" w:eastAsia="es-MX"/>
        </w:rPr>
        <w:t xml:space="preserve"> prórroga de la</w:t>
      </w:r>
      <w:r w:rsidR="00F03A32" w:rsidRPr="005D1E74">
        <w:rPr>
          <w:rFonts w:ascii="ITC Avant Garde" w:hAnsi="ITC Avant Garde"/>
          <w:bCs/>
          <w:color w:val="000000"/>
          <w:sz w:val="22"/>
          <w:szCs w:val="22"/>
          <w:lang w:val="es-MX" w:eastAsia="es-MX"/>
        </w:rPr>
        <w:t>s Concesiones</w:t>
      </w:r>
      <w:r w:rsidR="00A1685F" w:rsidRPr="005D1E74">
        <w:rPr>
          <w:rFonts w:ascii="ITC Avant Garde" w:hAnsi="ITC Avant Garde"/>
          <w:bCs/>
          <w:color w:val="000000"/>
          <w:sz w:val="22"/>
          <w:szCs w:val="22"/>
          <w:lang w:val="es-MX" w:eastAsia="es-MX"/>
        </w:rPr>
        <w:t>,</w:t>
      </w:r>
      <w:r w:rsidRPr="005D1E74">
        <w:rPr>
          <w:rFonts w:ascii="ITC Avant Garde" w:hAnsi="ITC Avant Garde"/>
          <w:bCs/>
          <w:color w:val="000000"/>
          <w:sz w:val="22"/>
          <w:szCs w:val="22"/>
          <w:lang w:val="es-MX" w:eastAsia="es-MX"/>
        </w:rPr>
        <w:t xml:space="preserve"> con una vigencia de 20 años contados a partir del 24 de octubre de 2017, (la</w:t>
      </w:r>
      <w:r w:rsidR="007E6859" w:rsidRPr="005D1E74">
        <w:rPr>
          <w:rFonts w:ascii="ITC Avant Garde" w:hAnsi="ITC Avant Garde"/>
          <w:bCs/>
          <w:color w:val="000000"/>
          <w:sz w:val="22"/>
          <w:szCs w:val="22"/>
          <w:lang w:val="es-MX" w:eastAsia="es-MX"/>
        </w:rPr>
        <w:t>s</w:t>
      </w:r>
      <w:r w:rsidRPr="005D1E74">
        <w:rPr>
          <w:rFonts w:ascii="ITC Avant Garde" w:hAnsi="ITC Avant Garde"/>
          <w:bCs/>
          <w:color w:val="000000"/>
          <w:sz w:val="22"/>
          <w:szCs w:val="22"/>
          <w:lang w:val="es-MX" w:eastAsia="es-MX"/>
        </w:rPr>
        <w:t xml:space="preserve"> “Prórroga</w:t>
      </w:r>
      <w:r w:rsidR="007E6859" w:rsidRPr="005D1E74">
        <w:rPr>
          <w:rFonts w:ascii="ITC Avant Garde" w:hAnsi="ITC Avant Garde"/>
          <w:bCs/>
          <w:color w:val="000000"/>
          <w:sz w:val="22"/>
          <w:szCs w:val="22"/>
          <w:lang w:val="es-MX" w:eastAsia="es-MX"/>
        </w:rPr>
        <w:t>s de la</w:t>
      </w:r>
      <w:r w:rsidR="00A1685F" w:rsidRPr="005D1E74">
        <w:rPr>
          <w:rFonts w:ascii="ITC Avant Garde" w:hAnsi="ITC Avant Garde"/>
          <w:bCs/>
          <w:color w:val="000000"/>
          <w:sz w:val="22"/>
          <w:szCs w:val="22"/>
          <w:lang w:val="es-MX" w:eastAsia="es-MX"/>
        </w:rPr>
        <w:t>s</w:t>
      </w:r>
      <w:r w:rsidR="007E6859" w:rsidRPr="005D1E74">
        <w:rPr>
          <w:rFonts w:ascii="ITC Avant Garde" w:hAnsi="ITC Avant Garde"/>
          <w:bCs/>
          <w:color w:val="000000"/>
          <w:sz w:val="22"/>
          <w:szCs w:val="22"/>
          <w:lang w:val="es-MX" w:eastAsia="es-MX"/>
        </w:rPr>
        <w:t xml:space="preserve"> Concesiones</w:t>
      </w:r>
      <w:r w:rsidRPr="005D1E74">
        <w:rPr>
          <w:rFonts w:ascii="ITC Avant Garde" w:hAnsi="ITC Avant Garde"/>
          <w:bCs/>
          <w:color w:val="000000"/>
          <w:sz w:val="22"/>
          <w:szCs w:val="22"/>
          <w:lang w:val="es-MX" w:eastAsia="es-MX"/>
        </w:rPr>
        <w:t>”).</w:t>
      </w:r>
    </w:p>
    <w:p w14:paraId="075FCAF6" w14:textId="77777777" w:rsidR="005D1E74" w:rsidRPr="005D1E74" w:rsidRDefault="00F03A32" w:rsidP="005D1E74">
      <w:pPr>
        <w:pStyle w:val="Prrafodelista"/>
        <w:numPr>
          <w:ilvl w:val="0"/>
          <w:numId w:val="5"/>
        </w:numPr>
        <w:tabs>
          <w:tab w:val="left" w:pos="567"/>
        </w:tabs>
        <w:spacing w:before="240" w:after="240"/>
        <w:ind w:left="567" w:right="45" w:hanging="567"/>
        <w:jc w:val="both"/>
        <w:rPr>
          <w:rFonts w:ascii="ITC Avant Garde" w:hAnsi="ITC Avant Garde"/>
          <w:bCs/>
          <w:color w:val="000000"/>
          <w:lang w:eastAsia="es-MX"/>
        </w:rPr>
      </w:pPr>
      <w:r w:rsidRPr="005D1E74">
        <w:rPr>
          <w:rFonts w:ascii="ITC Avant Garde" w:hAnsi="ITC Avant Garde"/>
          <w:b/>
          <w:bCs/>
          <w:color w:val="000000"/>
          <w:sz w:val="22"/>
          <w:szCs w:val="22"/>
          <w:lang w:eastAsia="es-MX"/>
        </w:rPr>
        <w:t>Cuarta</w:t>
      </w:r>
      <w:r w:rsidR="00754F2D" w:rsidRPr="005D1E74">
        <w:rPr>
          <w:rFonts w:ascii="ITC Avant Garde" w:hAnsi="ITC Avant Garde"/>
          <w:b/>
          <w:bCs/>
          <w:color w:val="000000"/>
          <w:sz w:val="22"/>
          <w:szCs w:val="22"/>
          <w:lang w:eastAsia="es-MX"/>
        </w:rPr>
        <w:t xml:space="preserve"> Modificación.</w:t>
      </w:r>
      <w:r w:rsidR="00754F2D" w:rsidRPr="005D1E74">
        <w:rPr>
          <w:rFonts w:ascii="ITC Avant Garde" w:hAnsi="ITC Avant Garde"/>
          <w:bCs/>
          <w:color w:val="000000"/>
          <w:sz w:val="22"/>
          <w:szCs w:val="22"/>
          <w:lang w:eastAsia="es-MX"/>
        </w:rPr>
        <w:t xml:space="preserve"> Con fecha 15 de noviembre de 2012, la Secretaría autorizó </w:t>
      </w:r>
      <w:r w:rsidR="00A1685F" w:rsidRPr="005D1E74">
        <w:rPr>
          <w:rFonts w:ascii="ITC Avant Garde" w:hAnsi="ITC Avant Garde"/>
          <w:bCs/>
          <w:color w:val="000000"/>
          <w:sz w:val="22"/>
          <w:szCs w:val="22"/>
          <w:lang w:eastAsia="es-MX"/>
        </w:rPr>
        <w:t xml:space="preserve">a Satmex </w:t>
      </w:r>
      <w:r w:rsidR="00754F2D" w:rsidRPr="005D1E74">
        <w:rPr>
          <w:rFonts w:ascii="ITC Avant Garde" w:hAnsi="ITC Avant Garde"/>
          <w:bCs/>
          <w:color w:val="000000"/>
          <w:sz w:val="22"/>
          <w:szCs w:val="22"/>
          <w:lang w:eastAsia="es-MX"/>
        </w:rPr>
        <w:t>la modificación de la condición 1.2 y del Apéndice III de la</w:t>
      </w:r>
      <w:r w:rsidR="00A1685F" w:rsidRPr="005D1E74">
        <w:rPr>
          <w:rFonts w:ascii="ITC Avant Garde" w:hAnsi="ITC Avant Garde"/>
          <w:bCs/>
          <w:color w:val="000000"/>
          <w:sz w:val="22"/>
          <w:szCs w:val="22"/>
          <w:lang w:eastAsia="es-MX"/>
        </w:rPr>
        <w:t xml:space="preserve"> c</w:t>
      </w:r>
      <w:r w:rsidR="00754F2D" w:rsidRPr="005D1E74">
        <w:rPr>
          <w:rFonts w:ascii="ITC Avant Garde" w:hAnsi="ITC Avant Garde"/>
          <w:bCs/>
          <w:color w:val="000000"/>
          <w:sz w:val="22"/>
          <w:szCs w:val="22"/>
          <w:lang w:eastAsia="es-MX"/>
        </w:rPr>
        <w:t xml:space="preserve">oncesión </w:t>
      </w:r>
      <w:r w:rsidR="007E6859" w:rsidRPr="005D1E74">
        <w:rPr>
          <w:rFonts w:ascii="ITC Avant Garde" w:hAnsi="ITC Avant Garde"/>
          <w:bCs/>
          <w:color w:val="000000"/>
          <w:sz w:val="22"/>
          <w:szCs w:val="22"/>
          <w:lang w:eastAsia="es-MX"/>
        </w:rPr>
        <w:t xml:space="preserve">correspondiente a la </w:t>
      </w:r>
      <w:r w:rsidR="00A1685F" w:rsidRPr="005D1E74">
        <w:rPr>
          <w:rFonts w:ascii="ITC Avant Garde" w:hAnsi="ITC Avant Garde"/>
          <w:bCs/>
          <w:color w:val="000000"/>
          <w:sz w:val="22"/>
          <w:szCs w:val="22"/>
          <w:lang w:eastAsia="es-MX"/>
        </w:rPr>
        <w:t>POG 116.8° O</w:t>
      </w:r>
      <w:r w:rsidR="007E6859" w:rsidRPr="005D1E74">
        <w:rPr>
          <w:rFonts w:ascii="ITC Avant Garde" w:hAnsi="ITC Avant Garde"/>
          <w:bCs/>
          <w:color w:val="000000"/>
          <w:sz w:val="22"/>
          <w:szCs w:val="22"/>
          <w:lang w:eastAsia="es-MX"/>
        </w:rPr>
        <w:t xml:space="preserve"> </w:t>
      </w:r>
      <w:r w:rsidR="00754F2D" w:rsidRPr="005D1E74">
        <w:rPr>
          <w:rFonts w:ascii="ITC Avant Garde" w:hAnsi="ITC Avant Garde"/>
          <w:bCs/>
          <w:color w:val="000000"/>
          <w:sz w:val="22"/>
          <w:szCs w:val="22"/>
          <w:lang w:eastAsia="es-MX"/>
        </w:rPr>
        <w:t xml:space="preserve">y </w:t>
      </w:r>
      <w:r w:rsidR="00A1685F" w:rsidRPr="005D1E74">
        <w:rPr>
          <w:rFonts w:ascii="ITC Avant Garde" w:hAnsi="ITC Avant Garde"/>
          <w:bCs/>
          <w:color w:val="000000"/>
          <w:sz w:val="22"/>
          <w:szCs w:val="22"/>
          <w:lang w:eastAsia="es-MX"/>
        </w:rPr>
        <w:t>a</w:t>
      </w:r>
      <w:r w:rsidR="00754F2D" w:rsidRPr="005D1E74">
        <w:rPr>
          <w:rFonts w:ascii="ITC Avant Garde" w:hAnsi="ITC Avant Garde"/>
          <w:bCs/>
          <w:color w:val="000000"/>
          <w:sz w:val="22"/>
          <w:szCs w:val="22"/>
          <w:lang w:eastAsia="es-MX"/>
        </w:rPr>
        <w:t xml:space="preserve"> </w:t>
      </w:r>
      <w:r w:rsidR="007E6859" w:rsidRPr="005D1E74">
        <w:rPr>
          <w:rFonts w:ascii="ITC Avant Garde" w:hAnsi="ITC Avant Garde"/>
          <w:bCs/>
          <w:color w:val="000000"/>
          <w:sz w:val="22"/>
          <w:szCs w:val="22"/>
          <w:lang w:eastAsia="es-MX"/>
        </w:rPr>
        <w:t>su respectiva prórroga</w:t>
      </w:r>
      <w:r w:rsidR="00754F2D" w:rsidRPr="005D1E74">
        <w:rPr>
          <w:rFonts w:ascii="ITC Avant Garde" w:hAnsi="ITC Avant Garde"/>
          <w:bCs/>
          <w:color w:val="000000"/>
          <w:sz w:val="22"/>
          <w:szCs w:val="22"/>
          <w:lang w:eastAsia="es-MX"/>
        </w:rPr>
        <w:t xml:space="preserve">, con el </w:t>
      </w:r>
      <w:r w:rsidR="00511443" w:rsidRPr="005D1E74">
        <w:rPr>
          <w:rFonts w:ascii="ITC Avant Garde" w:hAnsi="ITC Avant Garde"/>
          <w:bCs/>
          <w:color w:val="000000"/>
          <w:sz w:val="22"/>
          <w:szCs w:val="22"/>
          <w:lang w:eastAsia="es-MX"/>
        </w:rPr>
        <w:t>fin</w:t>
      </w:r>
      <w:r w:rsidR="00754F2D" w:rsidRPr="005D1E74">
        <w:rPr>
          <w:rFonts w:ascii="ITC Avant Garde" w:hAnsi="ITC Avant Garde"/>
          <w:bCs/>
          <w:color w:val="000000"/>
          <w:sz w:val="22"/>
          <w:szCs w:val="22"/>
          <w:lang w:eastAsia="es-MX"/>
        </w:rPr>
        <w:t xml:space="preserve"> de </w:t>
      </w:r>
      <w:r w:rsidR="00511443" w:rsidRPr="005D1E74">
        <w:rPr>
          <w:rFonts w:ascii="ITC Avant Garde" w:hAnsi="ITC Avant Garde"/>
          <w:bCs/>
          <w:color w:val="000000"/>
          <w:sz w:val="22"/>
          <w:szCs w:val="22"/>
          <w:lang w:eastAsia="es-MX"/>
        </w:rPr>
        <w:t>adicionar al objeto de la concesión</w:t>
      </w:r>
      <w:r w:rsidR="00754F2D" w:rsidRPr="005D1E74">
        <w:rPr>
          <w:rFonts w:ascii="ITC Avant Garde" w:hAnsi="ITC Avant Garde"/>
          <w:bCs/>
          <w:color w:val="000000"/>
          <w:sz w:val="22"/>
          <w:szCs w:val="22"/>
          <w:lang w:eastAsia="es-MX"/>
        </w:rPr>
        <w:t xml:space="preserve"> la</w:t>
      </w:r>
      <w:r w:rsidR="00511443" w:rsidRPr="005D1E74">
        <w:rPr>
          <w:rFonts w:ascii="ITC Avant Garde" w:hAnsi="ITC Avant Garde"/>
          <w:bCs/>
          <w:color w:val="000000"/>
          <w:sz w:val="22"/>
          <w:szCs w:val="22"/>
          <w:lang w:eastAsia="es-MX"/>
        </w:rPr>
        <w:t>s bandas de frecuencias 19.7-20.2 GHz y 29.5-30 GHz</w:t>
      </w:r>
      <w:r w:rsidR="00754F2D" w:rsidRPr="005D1E74">
        <w:rPr>
          <w:rFonts w:ascii="ITC Avant Garde" w:hAnsi="ITC Avant Garde"/>
          <w:bCs/>
          <w:color w:val="000000"/>
          <w:sz w:val="22"/>
          <w:szCs w:val="22"/>
          <w:lang w:eastAsia="es-MX"/>
        </w:rPr>
        <w:t xml:space="preserve"> </w:t>
      </w:r>
      <w:r w:rsidR="00511443" w:rsidRPr="005D1E74">
        <w:rPr>
          <w:rFonts w:ascii="ITC Avant Garde" w:hAnsi="ITC Avant Garde"/>
          <w:bCs/>
          <w:color w:val="000000"/>
          <w:sz w:val="22"/>
          <w:szCs w:val="22"/>
          <w:lang w:eastAsia="es-MX"/>
        </w:rPr>
        <w:t>(B</w:t>
      </w:r>
      <w:r w:rsidR="00754F2D" w:rsidRPr="005D1E74">
        <w:rPr>
          <w:rFonts w:ascii="ITC Avant Garde" w:hAnsi="ITC Avant Garde"/>
          <w:bCs/>
          <w:color w:val="000000"/>
          <w:sz w:val="22"/>
          <w:szCs w:val="22"/>
          <w:lang w:eastAsia="es-MX"/>
        </w:rPr>
        <w:t xml:space="preserve">anda </w:t>
      </w:r>
      <w:proofErr w:type="spellStart"/>
      <w:r w:rsidR="00754F2D" w:rsidRPr="005D1E74">
        <w:rPr>
          <w:rFonts w:ascii="ITC Avant Garde" w:hAnsi="ITC Avant Garde"/>
          <w:bCs/>
          <w:color w:val="000000"/>
          <w:sz w:val="22"/>
          <w:szCs w:val="22"/>
          <w:lang w:eastAsia="es-MX"/>
        </w:rPr>
        <w:t>Ka</w:t>
      </w:r>
      <w:proofErr w:type="spellEnd"/>
      <w:r w:rsidR="00511443" w:rsidRPr="005D1E74">
        <w:rPr>
          <w:rFonts w:ascii="ITC Avant Garde" w:hAnsi="ITC Avant Garde"/>
          <w:bCs/>
          <w:color w:val="000000"/>
          <w:sz w:val="22"/>
          <w:szCs w:val="22"/>
          <w:lang w:eastAsia="es-MX"/>
        </w:rPr>
        <w:t>)</w:t>
      </w:r>
      <w:r w:rsidR="00754F2D" w:rsidRPr="005D1E74">
        <w:rPr>
          <w:rFonts w:ascii="ITC Avant Garde" w:hAnsi="ITC Avant Garde"/>
          <w:bCs/>
          <w:color w:val="000000"/>
          <w:sz w:val="22"/>
          <w:szCs w:val="22"/>
          <w:lang w:eastAsia="es-MX"/>
        </w:rPr>
        <w:t>.</w:t>
      </w:r>
    </w:p>
    <w:p w14:paraId="0DA45423" w14:textId="77777777" w:rsidR="005D1E74" w:rsidRPr="005D1E74" w:rsidRDefault="00F03A32" w:rsidP="005D1E74">
      <w:pPr>
        <w:pStyle w:val="Prrafodelista"/>
        <w:numPr>
          <w:ilvl w:val="0"/>
          <w:numId w:val="5"/>
        </w:numPr>
        <w:tabs>
          <w:tab w:val="left" w:pos="567"/>
        </w:tabs>
        <w:spacing w:before="240" w:after="240"/>
        <w:ind w:left="567" w:right="45" w:hanging="567"/>
        <w:jc w:val="both"/>
        <w:rPr>
          <w:rFonts w:ascii="ITC Avant Garde" w:hAnsi="ITC Avant Garde"/>
          <w:bCs/>
          <w:color w:val="000000"/>
          <w:lang w:eastAsia="es-MX"/>
        </w:rPr>
      </w:pPr>
      <w:r w:rsidRPr="005D1E74">
        <w:rPr>
          <w:rFonts w:ascii="ITC Avant Garde" w:hAnsi="ITC Avant Garde"/>
          <w:b/>
          <w:bCs/>
          <w:color w:val="000000"/>
          <w:sz w:val="22"/>
          <w:szCs w:val="22"/>
          <w:lang w:eastAsia="es-MX"/>
        </w:rPr>
        <w:lastRenderedPageBreak/>
        <w:t>Quinta</w:t>
      </w:r>
      <w:r w:rsidR="00CC3B37" w:rsidRPr="005D1E74">
        <w:rPr>
          <w:rFonts w:ascii="ITC Avant Garde" w:hAnsi="ITC Avant Garde"/>
          <w:b/>
          <w:bCs/>
          <w:color w:val="000000"/>
          <w:sz w:val="22"/>
          <w:szCs w:val="22"/>
          <w:lang w:eastAsia="es-MX"/>
        </w:rPr>
        <w:t xml:space="preserve"> Modificación.</w:t>
      </w:r>
      <w:r w:rsidR="00CC3B37" w:rsidRPr="005D1E74">
        <w:rPr>
          <w:rFonts w:ascii="ITC Avant Garde" w:hAnsi="ITC Avant Garde"/>
          <w:bCs/>
          <w:color w:val="000000"/>
          <w:sz w:val="22"/>
          <w:szCs w:val="22"/>
          <w:lang w:eastAsia="es-MX"/>
        </w:rPr>
        <w:t xml:space="preserve"> Con fecha 23 de noviembre de 2012, la Secretaría autorizó </w:t>
      </w:r>
      <w:r w:rsidR="00F54519" w:rsidRPr="005D1E74">
        <w:rPr>
          <w:rFonts w:ascii="ITC Avant Garde" w:hAnsi="ITC Avant Garde"/>
          <w:bCs/>
          <w:color w:val="000000"/>
          <w:sz w:val="22"/>
          <w:szCs w:val="22"/>
          <w:lang w:eastAsia="es-MX"/>
        </w:rPr>
        <w:t xml:space="preserve">a Satmex la modificación de la condición 1.2 y del Apéndice III de la concesión correspondiente a la POG 114.9° O y a su respectiva prórroga, con el fin de adicionar al objeto de la concesión las bandas de frecuencias 19.7-20.2 GHz y 29.5-30 GHz (Banda </w:t>
      </w:r>
      <w:proofErr w:type="spellStart"/>
      <w:r w:rsidR="00F54519" w:rsidRPr="005D1E74">
        <w:rPr>
          <w:rFonts w:ascii="ITC Avant Garde" w:hAnsi="ITC Avant Garde"/>
          <w:bCs/>
          <w:color w:val="000000"/>
          <w:sz w:val="22"/>
          <w:szCs w:val="22"/>
          <w:lang w:eastAsia="es-MX"/>
        </w:rPr>
        <w:t>Ka</w:t>
      </w:r>
      <w:proofErr w:type="spellEnd"/>
      <w:r w:rsidR="00F54519" w:rsidRPr="005D1E74">
        <w:rPr>
          <w:rFonts w:ascii="ITC Avant Garde" w:hAnsi="ITC Avant Garde"/>
          <w:bCs/>
          <w:color w:val="000000"/>
          <w:sz w:val="22"/>
          <w:szCs w:val="22"/>
          <w:lang w:eastAsia="es-MX"/>
        </w:rPr>
        <w:t>).</w:t>
      </w:r>
    </w:p>
    <w:p w14:paraId="51E4CC90" w14:textId="77777777" w:rsidR="005D1E74" w:rsidRPr="005D1E74" w:rsidRDefault="00F03A32" w:rsidP="005D1E74">
      <w:pPr>
        <w:pStyle w:val="Prrafodelista"/>
        <w:numPr>
          <w:ilvl w:val="0"/>
          <w:numId w:val="5"/>
        </w:numPr>
        <w:tabs>
          <w:tab w:val="left" w:pos="567"/>
        </w:tabs>
        <w:spacing w:before="240" w:after="240"/>
        <w:ind w:left="567" w:right="45" w:hanging="567"/>
        <w:jc w:val="both"/>
        <w:rPr>
          <w:rFonts w:ascii="ITC Avant Garde" w:hAnsi="ITC Avant Garde"/>
          <w:bCs/>
          <w:color w:val="000000"/>
          <w:lang w:eastAsia="es-MX"/>
        </w:rPr>
      </w:pPr>
      <w:r w:rsidRPr="005D1E74">
        <w:rPr>
          <w:rFonts w:ascii="ITC Avant Garde" w:hAnsi="ITC Avant Garde"/>
          <w:b/>
          <w:bCs/>
          <w:color w:val="000000"/>
          <w:sz w:val="22"/>
          <w:szCs w:val="22"/>
          <w:lang w:eastAsia="es-MX"/>
        </w:rPr>
        <w:t>Sexta</w:t>
      </w:r>
      <w:r w:rsidR="0081130C" w:rsidRPr="005D1E74">
        <w:rPr>
          <w:rFonts w:ascii="ITC Avant Garde" w:hAnsi="ITC Avant Garde"/>
          <w:b/>
          <w:bCs/>
          <w:color w:val="000000"/>
          <w:sz w:val="22"/>
          <w:szCs w:val="22"/>
          <w:lang w:eastAsia="es-MX"/>
        </w:rPr>
        <w:t xml:space="preserve"> Modificación. </w:t>
      </w:r>
      <w:r w:rsidR="0081130C" w:rsidRPr="005D1E74">
        <w:rPr>
          <w:rFonts w:ascii="ITC Avant Garde" w:hAnsi="ITC Avant Garde"/>
          <w:bCs/>
          <w:color w:val="000000"/>
          <w:sz w:val="22"/>
          <w:lang w:eastAsia="es-MX"/>
        </w:rPr>
        <w:t xml:space="preserve">Con </w:t>
      </w:r>
      <w:r w:rsidR="0081130C" w:rsidRPr="005D1E74">
        <w:rPr>
          <w:rFonts w:ascii="ITC Avant Garde" w:hAnsi="ITC Avant Garde"/>
          <w:bCs/>
          <w:color w:val="000000"/>
          <w:sz w:val="22"/>
          <w:szCs w:val="22"/>
          <w:lang w:eastAsia="es-MX"/>
        </w:rPr>
        <w:t>fecha 26 de noviembre de 2012,</w:t>
      </w:r>
      <w:r w:rsidR="006C7563" w:rsidRPr="005D1E74">
        <w:rPr>
          <w:rFonts w:ascii="ITC Avant Garde" w:hAnsi="ITC Avant Garde"/>
          <w:bCs/>
          <w:color w:val="000000"/>
          <w:sz w:val="22"/>
          <w:szCs w:val="22"/>
          <w:lang w:eastAsia="es-MX"/>
        </w:rPr>
        <w:t xml:space="preserve"> la Secretaría</w:t>
      </w:r>
      <w:r w:rsidR="0081130C" w:rsidRPr="005D1E74">
        <w:rPr>
          <w:rFonts w:ascii="ITC Avant Garde" w:hAnsi="ITC Avant Garde"/>
          <w:bCs/>
          <w:color w:val="000000"/>
          <w:sz w:val="22"/>
          <w:szCs w:val="22"/>
          <w:lang w:eastAsia="es-MX"/>
        </w:rPr>
        <w:t xml:space="preserve"> </w:t>
      </w:r>
      <w:r w:rsidR="006C7563" w:rsidRPr="005D1E74">
        <w:rPr>
          <w:rFonts w:ascii="ITC Avant Garde" w:hAnsi="ITC Avant Garde"/>
          <w:bCs/>
          <w:color w:val="000000"/>
          <w:sz w:val="22"/>
          <w:szCs w:val="22"/>
          <w:lang w:eastAsia="es-MX"/>
        </w:rPr>
        <w:t xml:space="preserve">autorizó </w:t>
      </w:r>
      <w:r w:rsidR="004078AD" w:rsidRPr="005D1E74">
        <w:rPr>
          <w:rFonts w:ascii="ITC Avant Garde" w:hAnsi="ITC Avant Garde"/>
          <w:bCs/>
          <w:color w:val="000000"/>
          <w:sz w:val="22"/>
          <w:szCs w:val="22"/>
          <w:lang w:eastAsia="es-MX"/>
        </w:rPr>
        <w:t>a Satmex la modificación de la condición 1.2 y del Apéndice III de la concesión correspondiente a la POG 1</w:t>
      </w:r>
      <w:r w:rsidR="00B02504" w:rsidRPr="005D1E74">
        <w:rPr>
          <w:rFonts w:ascii="ITC Avant Garde" w:hAnsi="ITC Avant Garde"/>
          <w:bCs/>
          <w:color w:val="000000"/>
          <w:sz w:val="22"/>
          <w:szCs w:val="22"/>
          <w:lang w:eastAsia="es-MX"/>
        </w:rPr>
        <w:t>13</w:t>
      </w:r>
      <w:r w:rsidR="004078AD" w:rsidRPr="005D1E74">
        <w:rPr>
          <w:rFonts w:ascii="ITC Avant Garde" w:hAnsi="ITC Avant Garde"/>
          <w:bCs/>
          <w:color w:val="000000"/>
          <w:sz w:val="22"/>
          <w:szCs w:val="22"/>
          <w:lang w:eastAsia="es-MX"/>
        </w:rPr>
        <w:t>.</w:t>
      </w:r>
      <w:r w:rsidR="00B02504" w:rsidRPr="005D1E74">
        <w:rPr>
          <w:rFonts w:ascii="ITC Avant Garde" w:hAnsi="ITC Avant Garde"/>
          <w:bCs/>
          <w:color w:val="000000"/>
          <w:sz w:val="22"/>
          <w:szCs w:val="22"/>
          <w:lang w:eastAsia="es-MX"/>
        </w:rPr>
        <w:t>0</w:t>
      </w:r>
      <w:r w:rsidR="004078AD" w:rsidRPr="005D1E74">
        <w:rPr>
          <w:rFonts w:ascii="ITC Avant Garde" w:hAnsi="ITC Avant Garde"/>
          <w:bCs/>
          <w:color w:val="000000"/>
          <w:sz w:val="22"/>
          <w:szCs w:val="22"/>
          <w:lang w:eastAsia="es-MX"/>
        </w:rPr>
        <w:t xml:space="preserve">° O y a su respectiva prórroga, con el fin de adicionar al objeto de la concesión las bandas de frecuencias 19.7-20.2 GHz y 29.5-30 GHz (Banda </w:t>
      </w:r>
      <w:proofErr w:type="spellStart"/>
      <w:r w:rsidR="004078AD" w:rsidRPr="005D1E74">
        <w:rPr>
          <w:rFonts w:ascii="ITC Avant Garde" w:hAnsi="ITC Avant Garde"/>
          <w:bCs/>
          <w:color w:val="000000"/>
          <w:sz w:val="22"/>
          <w:szCs w:val="22"/>
          <w:lang w:eastAsia="es-MX"/>
        </w:rPr>
        <w:t>Ka</w:t>
      </w:r>
      <w:proofErr w:type="spellEnd"/>
      <w:r w:rsidR="004078AD" w:rsidRPr="005D1E74">
        <w:rPr>
          <w:rFonts w:ascii="ITC Avant Garde" w:hAnsi="ITC Avant Garde"/>
          <w:bCs/>
          <w:color w:val="000000"/>
          <w:sz w:val="22"/>
          <w:szCs w:val="22"/>
          <w:lang w:eastAsia="es-MX"/>
        </w:rPr>
        <w:t>).</w:t>
      </w:r>
    </w:p>
    <w:p w14:paraId="00DAACCE" w14:textId="77777777" w:rsidR="005D1E74" w:rsidRPr="005D1E74" w:rsidRDefault="00F03A32" w:rsidP="005D1E74">
      <w:pPr>
        <w:pStyle w:val="Prrafodelista"/>
        <w:numPr>
          <w:ilvl w:val="0"/>
          <w:numId w:val="5"/>
        </w:numPr>
        <w:tabs>
          <w:tab w:val="left" w:pos="567"/>
        </w:tabs>
        <w:spacing w:before="240" w:after="240"/>
        <w:ind w:left="567" w:right="45" w:hanging="567"/>
        <w:jc w:val="both"/>
        <w:rPr>
          <w:rFonts w:ascii="ITC Avant Garde" w:hAnsi="ITC Avant Garde"/>
          <w:bCs/>
          <w:color w:val="000000"/>
          <w:sz w:val="22"/>
          <w:szCs w:val="22"/>
          <w:lang w:eastAsia="es-MX"/>
        </w:rPr>
      </w:pPr>
      <w:r w:rsidRPr="005D1E74">
        <w:rPr>
          <w:rFonts w:ascii="ITC Avant Garde" w:hAnsi="ITC Avant Garde"/>
          <w:b/>
          <w:bCs/>
          <w:color w:val="000000"/>
          <w:sz w:val="22"/>
          <w:szCs w:val="22"/>
          <w:lang w:eastAsia="es-MX"/>
        </w:rPr>
        <w:t>Séptima</w:t>
      </w:r>
      <w:r w:rsidR="00CC3B37" w:rsidRPr="005D1E74">
        <w:rPr>
          <w:rFonts w:ascii="ITC Avant Garde" w:hAnsi="ITC Avant Garde"/>
          <w:b/>
          <w:bCs/>
          <w:color w:val="000000"/>
          <w:sz w:val="22"/>
          <w:szCs w:val="22"/>
          <w:lang w:eastAsia="es-MX"/>
        </w:rPr>
        <w:t xml:space="preserve"> Modificación. </w:t>
      </w:r>
      <w:r w:rsidR="00CC3B37" w:rsidRPr="005D1E74">
        <w:rPr>
          <w:rFonts w:ascii="ITC Avant Garde" w:hAnsi="ITC Avant Garde"/>
          <w:bCs/>
          <w:color w:val="000000"/>
          <w:sz w:val="22"/>
          <w:lang w:eastAsia="es-MX"/>
        </w:rPr>
        <w:t xml:space="preserve">Con </w:t>
      </w:r>
      <w:r w:rsidR="00CC3B37" w:rsidRPr="005D1E74">
        <w:rPr>
          <w:rFonts w:ascii="ITC Avant Garde" w:hAnsi="ITC Avant Garde"/>
          <w:bCs/>
          <w:color w:val="000000"/>
          <w:sz w:val="22"/>
          <w:szCs w:val="22"/>
          <w:lang w:eastAsia="es-MX"/>
        </w:rPr>
        <w:t xml:space="preserve">fecha 27 de noviembre de 2012, la Secretaría </w:t>
      </w:r>
      <w:r w:rsidR="00CC3B37" w:rsidRPr="005D1E74">
        <w:rPr>
          <w:rFonts w:ascii="ITC Avant Garde" w:hAnsi="ITC Avant Garde"/>
          <w:bCs/>
          <w:color w:val="000000"/>
          <w:sz w:val="22"/>
          <w:szCs w:val="22"/>
          <w:lang w:val="es-MX" w:eastAsia="es-MX"/>
        </w:rPr>
        <w:t xml:space="preserve">autorizó </w:t>
      </w:r>
      <w:r w:rsidR="005B0036" w:rsidRPr="005D1E74">
        <w:rPr>
          <w:rFonts w:ascii="ITC Avant Garde" w:hAnsi="ITC Avant Garde"/>
          <w:bCs/>
          <w:color w:val="000000"/>
          <w:sz w:val="22"/>
          <w:szCs w:val="22"/>
          <w:lang w:val="es-MX" w:eastAsia="es-MX"/>
        </w:rPr>
        <w:t xml:space="preserve">a Satmex </w:t>
      </w:r>
      <w:r w:rsidR="00CC3B37" w:rsidRPr="005D1E74">
        <w:rPr>
          <w:rFonts w:ascii="ITC Avant Garde" w:hAnsi="ITC Avant Garde"/>
          <w:bCs/>
          <w:color w:val="000000"/>
          <w:sz w:val="22"/>
          <w:szCs w:val="22"/>
          <w:lang w:val="es-MX" w:eastAsia="es-MX"/>
        </w:rPr>
        <w:t>la modificación de</w:t>
      </w:r>
      <w:r w:rsidR="00CC3B37" w:rsidRPr="005D1E74">
        <w:rPr>
          <w:rFonts w:ascii="Helvetica" w:hAnsi="Helvetica" w:cs="Helvetica"/>
          <w:sz w:val="22"/>
          <w:szCs w:val="22"/>
          <w:lang w:eastAsia="es-MX"/>
        </w:rPr>
        <w:t xml:space="preserve"> </w:t>
      </w:r>
      <w:r w:rsidR="00CC3B37" w:rsidRPr="005D1E74">
        <w:rPr>
          <w:rFonts w:ascii="ITC Avant Garde" w:hAnsi="ITC Avant Garde"/>
          <w:bCs/>
          <w:color w:val="000000"/>
          <w:sz w:val="22"/>
          <w:szCs w:val="22"/>
          <w:lang w:eastAsia="es-MX"/>
        </w:rPr>
        <w:t>los parámetros técnicos contenidos en los Apéndices I y II</w:t>
      </w:r>
      <w:r w:rsidR="005B0036" w:rsidRPr="005D1E74">
        <w:rPr>
          <w:rFonts w:ascii="ITC Avant Garde" w:hAnsi="ITC Avant Garde"/>
          <w:bCs/>
          <w:color w:val="000000"/>
          <w:sz w:val="22"/>
          <w:szCs w:val="22"/>
          <w:lang w:eastAsia="es-MX"/>
        </w:rPr>
        <w:t xml:space="preserve"> de la c</w:t>
      </w:r>
      <w:r w:rsidR="00CC3B37" w:rsidRPr="005D1E74">
        <w:rPr>
          <w:rFonts w:ascii="ITC Avant Garde" w:hAnsi="ITC Avant Garde"/>
          <w:bCs/>
          <w:color w:val="000000"/>
          <w:sz w:val="22"/>
          <w:szCs w:val="22"/>
          <w:lang w:eastAsia="es-MX"/>
        </w:rPr>
        <w:t xml:space="preserve">oncesión </w:t>
      </w:r>
      <w:r w:rsidR="007E6859" w:rsidRPr="005D1E74">
        <w:rPr>
          <w:rFonts w:ascii="ITC Avant Garde" w:hAnsi="ITC Avant Garde"/>
          <w:bCs/>
          <w:color w:val="000000"/>
          <w:sz w:val="22"/>
          <w:szCs w:val="22"/>
          <w:lang w:eastAsia="es-MX"/>
        </w:rPr>
        <w:t xml:space="preserve">correspondiente a la </w:t>
      </w:r>
      <w:r w:rsidR="005B0036" w:rsidRPr="005D1E74">
        <w:rPr>
          <w:rFonts w:ascii="ITC Avant Garde" w:hAnsi="ITC Avant Garde"/>
          <w:bCs/>
          <w:color w:val="000000"/>
          <w:sz w:val="22"/>
          <w:szCs w:val="22"/>
          <w:lang w:eastAsia="es-MX"/>
        </w:rPr>
        <w:t>POG 114.9° O</w:t>
      </w:r>
      <w:r w:rsidR="007E6859" w:rsidRPr="005D1E74">
        <w:rPr>
          <w:rFonts w:ascii="ITC Avant Garde" w:hAnsi="ITC Avant Garde"/>
          <w:bCs/>
          <w:color w:val="000000"/>
          <w:sz w:val="22"/>
          <w:szCs w:val="22"/>
          <w:lang w:eastAsia="es-MX"/>
        </w:rPr>
        <w:t xml:space="preserve"> y de su respectiva prórroga</w:t>
      </w:r>
      <w:r w:rsidR="00CC3B37" w:rsidRPr="005D1E74">
        <w:rPr>
          <w:rFonts w:ascii="ITC Avant Garde" w:hAnsi="ITC Avant Garde"/>
          <w:bCs/>
          <w:color w:val="000000"/>
          <w:sz w:val="22"/>
          <w:szCs w:val="22"/>
          <w:lang w:eastAsia="es-MX"/>
        </w:rPr>
        <w:t xml:space="preserve">, a efecto de adicionar las características técnicas del satélite E115WB (antes Satmex 7), como </w:t>
      </w:r>
      <w:r w:rsidR="00CC3B37" w:rsidRPr="005D1E74">
        <w:rPr>
          <w:rFonts w:ascii="ITC Avant Garde" w:hAnsi="ITC Avant Garde"/>
          <w:bCs/>
          <w:color w:val="000000"/>
          <w:sz w:val="22"/>
          <w:szCs w:val="22"/>
          <w:lang w:val="es-MX" w:eastAsia="es-MX"/>
        </w:rPr>
        <w:t xml:space="preserve">reemplazo del satélite Solidaridad 2. </w:t>
      </w:r>
    </w:p>
    <w:p w14:paraId="63769706" w14:textId="77777777" w:rsidR="005D1E74" w:rsidRPr="005D1E74" w:rsidRDefault="0099684E" w:rsidP="005D1E74">
      <w:pPr>
        <w:pStyle w:val="Prrafodelista"/>
        <w:numPr>
          <w:ilvl w:val="0"/>
          <w:numId w:val="5"/>
        </w:numPr>
        <w:tabs>
          <w:tab w:val="left" w:pos="567"/>
        </w:tabs>
        <w:spacing w:before="240" w:after="240"/>
        <w:ind w:left="567" w:right="45" w:hanging="567"/>
        <w:jc w:val="both"/>
        <w:rPr>
          <w:rFonts w:ascii="ITC Avant Garde" w:hAnsi="ITC Avant Garde"/>
          <w:bCs/>
          <w:color w:val="000000"/>
          <w:lang w:eastAsia="es-MX"/>
        </w:rPr>
      </w:pPr>
      <w:r w:rsidRPr="005D1E74">
        <w:rPr>
          <w:rFonts w:ascii="ITC Avant Garde" w:hAnsi="ITC Avant Garde"/>
          <w:b/>
          <w:bCs/>
          <w:color w:val="000000"/>
          <w:sz w:val="22"/>
          <w:szCs w:val="22"/>
          <w:lang w:eastAsia="es-MX"/>
        </w:rPr>
        <w:t xml:space="preserve">Decreto de Reforma Constitucional. </w:t>
      </w:r>
      <w:r w:rsidRPr="005D1E74">
        <w:rPr>
          <w:rFonts w:ascii="ITC Avant Garde" w:hAnsi="ITC Avant Garde"/>
          <w:bCs/>
          <w:color w:val="000000"/>
          <w:sz w:val="22"/>
          <w:szCs w:val="22"/>
          <w:lang w:eastAsia="es-MX"/>
        </w:rPr>
        <w:t>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mediante el cual se creó el Instituto Federal de Telecomunicaciones (el “Instituto”) como un órgano autónomo que tiene por objeto el desarrollo eficiente de la radiodifusión y las telecomunicaciones.</w:t>
      </w:r>
    </w:p>
    <w:p w14:paraId="4D5104DE" w14:textId="77777777" w:rsidR="005D1E74" w:rsidRPr="005D1E74" w:rsidRDefault="00F03A32" w:rsidP="005D1E74">
      <w:pPr>
        <w:pStyle w:val="Prrafodelista"/>
        <w:numPr>
          <w:ilvl w:val="0"/>
          <w:numId w:val="5"/>
        </w:numPr>
        <w:tabs>
          <w:tab w:val="left" w:pos="567"/>
        </w:tabs>
        <w:spacing w:before="240" w:after="240"/>
        <w:ind w:left="567" w:right="45" w:hanging="567"/>
        <w:jc w:val="both"/>
        <w:rPr>
          <w:rFonts w:ascii="ITC Avant Garde" w:hAnsi="ITC Avant Garde"/>
          <w:b/>
          <w:bCs/>
          <w:color w:val="000000"/>
          <w:sz w:val="22"/>
          <w:szCs w:val="22"/>
          <w:lang w:eastAsia="es-MX"/>
        </w:rPr>
      </w:pPr>
      <w:r w:rsidRPr="005D1E74">
        <w:rPr>
          <w:rFonts w:ascii="ITC Avant Garde" w:hAnsi="ITC Avant Garde"/>
          <w:b/>
          <w:bCs/>
          <w:color w:val="000000"/>
          <w:sz w:val="22"/>
          <w:szCs w:val="22"/>
          <w:lang w:eastAsia="es-MX"/>
        </w:rPr>
        <w:t>Octava</w:t>
      </w:r>
      <w:r w:rsidR="00187090" w:rsidRPr="005D1E74">
        <w:rPr>
          <w:rFonts w:ascii="ITC Avant Garde" w:hAnsi="ITC Avant Garde"/>
          <w:b/>
          <w:bCs/>
          <w:color w:val="000000"/>
          <w:sz w:val="22"/>
          <w:szCs w:val="22"/>
          <w:lang w:eastAsia="es-MX"/>
        </w:rPr>
        <w:t xml:space="preserve"> Modificación.</w:t>
      </w:r>
      <w:r w:rsidR="00187090" w:rsidRPr="005D1E74">
        <w:rPr>
          <w:rFonts w:ascii="ITC Avant Garde" w:hAnsi="ITC Avant Garde"/>
          <w:bCs/>
          <w:color w:val="000000"/>
          <w:sz w:val="22"/>
          <w:szCs w:val="22"/>
          <w:lang w:eastAsia="es-MX"/>
        </w:rPr>
        <w:t xml:space="preserve"> Mediante oficio I</w:t>
      </w:r>
      <w:r w:rsidR="00187090" w:rsidRPr="005D1E74">
        <w:rPr>
          <w:rFonts w:ascii="ITC Avant Garde" w:hAnsi="ITC Avant Garde"/>
          <w:bCs/>
          <w:color w:val="000000"/>
          <w:sz w:val="22"/>
          <w:szCs w:val="22"/>
          <w:lang w:val="es-MX" w:eastAsia="es-MX"/>
        </w:rPr>
        <w:t>FT/D03/USI/091/2014 de</w:t>
      </w:r>
      <w:r w:rsidR="00187090" w:rsidRPr="005D1E74">
        <w:rPr>
          <w:rFonts w:ascii="ITC Avant Garde" w:hAnsi="ITC Avant Garde"/>
          <w:bCs/>
          <w:color w:val="000000"/>
          <w:sz w:val="22"/>
          <w:szCs w:val="22"/>
          <w:lang w:eastAsia="es-MX"/>
        </w:rPr>
        <w:t xml:space="preserve"> fecha 12 de febrero de 2014, el Instituto autorizó la modificación</w:t>
      </w:r>
      <w:r w:rsidR="00531635" w:rsidRPr="005D1E74">
        <w:rPr>
          <w:rFonts w:ascii="ITC Avant Garde" w:hAnsi="ITC Avant Garde"/>
          <w:bCs/>
          <w:color w:val="000000"/>
          <w:sz w:val="22"/>
          <w:szCs w:val="22"/>
          <w:lang w:eastAsia="es-MX"/>
        </w:rPr>
        <w:t xml:space="preserve"> de los Apéndices I y II de la c</w:t>
      </w:r>
      <w:r w:rsidR="00187090" w:rsidRPr="005D1E74">
        <w:rPr>
          <w:rFonts w:ascii="ITC Avant Garde" w:hAnsi="ITC Avant Garde"/>
          <w:bCs/>
          <w:color w:val="000000"/>
          <w:sz w:val="22"/>
          <w:szCs w:val="22"/>
          <w:lang w:eastAsia="es-MX"/>
        </w:rPr>
        <w:t>oncesión</w:t>
      </w:r>
      <w:r w:rsidR="007E6859" w:rsidRPr="005D1E74">
        <w:rPr>
          <w:rFonts w:ascii="ITC Avant Garde" w:hAnsi="ITC Avant Garde"/>
          <w:bCs/>
          <w:color w:val="000000"/>
          <w:sz w:val="22"/>
          <w:szCs w:val="22"/>
          <w:lang w:eastAsia="es-MX"/>
        </w:rPr>
        <w:t xml:space="preserve"> correspondiente a la </w:t>
      </w:r>
      <w:r w:rsidR="00531635" w:rsidRPr="005D1E74">
        <w:rPr>
          <w:rFonts w:ascii="ITC Avant Garde" w:hAnsi="ITC Avant Garde"/>
          <w:bCs/>
          <w:color w:val="000000"/>
          <w:sz w:val="22"/>
          <w:szCs w:val="22"/>
          <w:lang w:eastAsia="es-MX"/>
        </w:rPr>
        <w:t>POG 114.9° O y</w:t>
      </w:r>
      <w:r w:rsidR="007E6859" w:rsidRPr="005D1E74">
        <w:rPr>
          <w:rFonts w:ascii="ITC Avant Garde" w:hAnsi="ITC Avant Garde"/>
          <w:bCs/>
          <w:color w:val="000000"/>
          <w:sz w:val="22"/>
          <w:szCs w:val="22"/>
          <w:lang w:eastAsia="es-MX"/>
        </w:rPr>
        <w:t xml:space="preserve"> de su respectiva prórroga</w:t>
      </w:r>
      <w:r w:rsidR="00187090" w:rsidRPr="005D1E74">
        <w:rPr>
          <w:rFonts w:ascii="ITC Avant Garde" w:hAnsi="ITC Avant Garde"/>
          <w:bCs/>
          <w:color w:val="000000"/>
          <w:sz w:val="22"/>
          <w:szCs w:val="22"/>
          <w:lang w:eastAsia="es-MX"/>
        </w:rPr>
        <w:t xml:space="preserve">, con el objeto de reubicar el satélite E115WA (antes Satmex 5) a </w:t>
      </w:r>
      <w:r w:rsidR="00531635" w:rsidRPr="005D1E74">
        <w:rPr>
          <w:rFonts w:ascii="ITC Avant Garde" w:hAnsi="ITC Avant Garde"/>
          <w:bCs/>
          <w:color w:val="000000"/>
          <w:sz w:val="22"/>
          <w:szCs w:val="22"/>
          <w:lang w:eastAsia="es-MX"/>
        </w:rPr>
        <w:t>dicha POG</w:t>
      </w:r>
      <w:r w:rsidR="00187090" w:rsidRPr="005D1E74">
        <w:rPr>
          <w:rFonts w:ascii="ITC Avant Garde" w:hAnsi="ITC Avant Garde"/>
          <w:bCs/>
          <w:color w:val="000000"/>
          <w:sz w:val="22"/>
          <w:szCs w:val="22"/>
          <w:lang w:eastAsia="es-MX"/>
        </w:rPr>
        <w:t xml:space="preserve">, </w:t>
      </w:r>
      <w:r w:rsidR="00531635" w:rsidRPr="005D1E74">
        <w:rPr>
          <w:rFonts w:ascii="ITC Avant Garde" w:hAnsi="ITC Avant Garde"/>
          <w:bCs/>
          <w:color w:val="000000"/>
          <w:sz w:val="22"/>
          <w:szCs w:val="22"/>
          <w:lang w:val="es-MX" w:eastAsia="es-MX"/>
        </w:rPr>
        <w:t xml:space="preserve">debido a </w:t>
      </w:r>
      <w:r w:rsidR="00187090" w:rsidRPr="005D1E74">
        <w:rPr>
          <w:rFonts w:ascii="ITC Avant Garde" w:hAnsi="ITC Avant Garde"/>
          <w:bCs/>
          <w:color w:val="000000"/>
          <w:sz w:val="22"/>
          <w:szCs w:val="22"/>
          <w:lang w:val="es-MX" w:eastAsia="es-MX"/>
        </w:rPr>
        <w:t xml:space="preserve">que los servicios que se cursaban a través de dicho satélite en la POG 116,8° </w:t>
      </w:r>
      <w:r w:rsidR="00531635" w:rsidRPr="005D1E74">
        <w:rPr>
          <w:rFonts w:ascii="ITC Avant Garde" w:hAnsi="ITC Avant Garde"/>
          <w:bCs/>
          <w:color w:val="000000"/>
          <w:sz w:val="22"/>
          <w:szCs w:val="22"/>
          <w:lang w:val="es-MX" w:eastAsia="es-MX"/>
        </w:rPr>
        <w:t>O</w:t>
      </w:r>
      <w:r w:rsidR="00187090" w:rsidRPr="005D1E74">
        <w:rPr>
          <w:rFonts w:ascii="ITC Avant Garde" w:hAnsi="ITC Avant Garde"/>
          <w:bCs/>
          <w:color w:val="000000"/>
          <w:sz w:val="22"/>
          <w:szCs w:val="22"/>
          <w:lang w:val="es-MX" w:eastAsia="es-MX"/>
        </w:rPr>
        <w:t xml:space="preserve"> fueron transferidos al satélite E117WA (</w:t>
      </w:r>
      <w:proofErr w:type="spellStart"/>
      <w:r w:rsidR="00187090" w:rsidRPr="005D1E74">
        <w:rPr>
          <w:rFonts w:ascii="ITC Avant Garde" w:hAnsi="ITC Avant Garde"/>
          <w:bCs/>
          <w:color w:val="000000"/>
          <w:sz w:val="22"/>
          <w:szCs w:val="22"/>
          <w:lang w:val="es-MX" w:eastAsia="es-MX"/>
        </w:rPr>
        <w:t>Satmex</w:t>
      </w:r>
      <w:proofErr w:type="spellEnd"/>
      <w:r w:rsidR="00187090" w:rsidRPr="005D1E74">
        <w:rPr>
          <w:rFonts w:ascii="ITC Avant Garde" w:hAnsi="ITC Avant Garde"/>
          <w:bCs/>
          <w:color w:val="000000"/>
          <w:sz w:val="22"/>
          <w:szCs w:val="22"/>
          <w:lang w:val="es-MX" w:eastAsia="es-MX"/>
        </w:rPr>
        <w:t xml:space="preserve"> 8).</w:t>
      </w:r>
    </w:p>
    <w:p w14:paraId="5693982C" w14:textId="77777777" w:rsidR="005D1E74" w:rsidRPr="005D1E74" w:rsidRDefault="0070596E" w:rsidP="005D1E74">
      <w:pPr>
        <w:pStyle w:val="Prrafodelista"/>
        <w:numPr>
          <w:ilvl w:val="0"/>
          <w:numId w:val="5"/>
        </w:numPr>
        <w:spacing w:before="240" w:after="240"/>
        <w:ind w:left="567" w:hanging="567"/>
        <w:jc w:val="both"/>
        <w:rPr>
          <w:rFonts w:ascii="ITC Avant Garde" w:hAnsi="ITC Avant Garde"/>
          <w:bCs/>
          <w:color w:val="000000"/>
          <w:sz w:val="22"/>
          <w:szCs w:val="22"/>
          <w:lang w:val="es-MX" w:eastAsia="es-MX"/>
        </w:rPr>
      </w:pPr>
      <w:r w:rsidRPr="005D1E74">
        <w:rPr>
          <w:rFonts w:ascii="ITC Avant Garde" w:hAnsi="ITC Avant Garde"/>
          <w:b/>
          <w:bCs/>
          <w:color w:val="000000"/>
          <w:sz w:val="22"/>
          <w:szCs w:val="22"/>
          <w:lang w:val="es-MX" w:eastAsia="es-MX"/>
        </w:rPr>
        <w:t xml:space="preserve">Decreto de Ley. </w:t>
      </w:r>
      <w:r w:rsidRPr="005D1E74">
        <w:rPr>
          <w:rFonts w:ascii="ITC Avant Garde" w:hAnsi="ITC Avant Garde"/>
          <w:bCs/>
          <w:color w:val="000000"/>
          <w:sz w:val="22"/>
          <w:szCs w:val="22"/>
          <w:lang w:val="es-MX" w:eastAsia="es-MX"/>
        </w:rPr>
        <w:t>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14:paraId="2EEBA081" w14:textId="77777777" w:rsidR="005D1E74" w:rsidRPr="005D1E74" w:rsidRDefault="0070596E" w:rsidP="005D1E74">
      <w:pPr>
        <w:numPr>
          <w:ilvl w:val="0"/>
          <w:numId w:val="5"/>
        </w:numPr>
        <w:spacing w:before="240" w:after="240"/>
        <w:ind w:left="567" w:hanging="578"/>
        <w:jc w:val="both"/>
        <w:rPr>
          <w:rFonts w:ascii="ITC Avant Garde" w:hAnsi="ITC Avant Garde"/>
          <w:bCs/>
          <w:color w:val="000000"/>
          <w:sz w:val="22"/>
          <w:szCs w:val="22"/>
          <w:lang w:val="es-MX" w:eastAsia="es-MX"/>
        </w:rPr>
      </w:pPr>
      <w:r w:rsidRPr="005D1E74">
        <w:rPr>
          <w:rFonts w:ascii="ITC Avant Garde" w:hAnsi="ITC Avant Garde"/>
          <w:b/>
          <w:bCs/>
          <w:color w:val="000000"/>
          <w:sz w:val="22"/>
          <w:szCs w:val="22"/>
          <w:lang w:val="es-MX" w:eastAsia="es-MX"/>
        </w:rPr>
        <w:t>Estatuto Orgánico.</w:t>
      </w:r>
      <w:r w:rsidRPr="005D1E74">
        <w:rPr>
          <w:rFonts w:ascii="ITC Avant Garde" w:hAnsi="ITC Avant Garde"/>
          <w:bCs/>
          <w:color w:val="000000"/>
          <w:sz w:val="22"/>
          <w:szCs w:val="22"/>
          <w:lang w:val="es-MX" w:eastAsia="es-MX"/>
        </w:rPr>
        <w:t xml:space="preserve"> El 4 de septiembre de 2014, se publicó en el Diario Oficial de la Federación el “Estatuto Orgánico del Instituto Federal de Telecomunicaciones” (el “Estatuto Orgánico”), mismo que entró en vigor el 26 de septiembre de </w:t>
      </w:r>
      <w:r w:rsidR="00A73157" w:rsidRPr="005D1E74">
        <w:rPr>
          <w:rFonts w:ascii="ITC Avant Garde" w:hAnsi="ITC Avant Garde"/>
          <w:bCs/>
          <w:color w:val="000000"/>
          <w:sz w:val="22"/>
          <w:szCs w:val="22"/>
          <w:lang w:val="es-MX" w:eastAsia="es-MX"/>
        </w:rPr>
        <w:t xml:space="preserve">2014 y fue modificado por última vez el </w:t>
      </w:r>
      <w:r w:rsidR="00531635" w:rsidRPr="005D1E74">
        <w:rPr>
          <w:rFonts w:ascii="ITC Avant Garde" w:hAnsi="ITC Avant Garde"/>
          <w:bCs/>
          <w:color w:val="000000"/>
          <w:sz w:val="22"/>
          <w:szCs w:val="22"/>
          <w:lang w:val="es-MX" w:eastAsia="es-MX"/>
        </w:rPr>
        <w:t>20 de julio de 2017</w:t>
      </w:r>
      <w:r w:rsidR="00A73157" w:rsidRPr="005D1E74">
        <w:rPr>
          <w:rFonts w:ascii="ITC Avant Garde" w:hAnsi="ITC Avant Garde"/>
          <w:bCs/>
          <w:color w:val="000000"/>
          <w:sz w:val="22"/>
          <w:szCs w:val="22"/>
          <w:lang w:val="es-MX" w:eastAsia="es-MX"/>
        </w:rPr>
        <w:t>.</w:t>
      </w:r>
    </w:p>
    <w:p w14:paraId="08A12703" w14:textId="7741B5E2" w:rsidR="005D1E74" w:rsidRPr="005D1E74" w:rsidRDefault="00F03A32" w:rsidP="005D1E74">
      <w:pPr>
        <w:numPr>
          <w:ilvl w:val="0"/>
          <w:numId w:val="5"/>
        </w:numPr>
        <w:spacing w:before="240" w:after="240"/>
        <w:ind w:left="567" w:hanging="578"/>
        <w:jc w:val="both"/>
        <w:rPr>
          <w:rFonts w:ascii="ITC Avant Garde" w:hAnsi="ITC Avant Garde"/>
          <w:bCs/>
          <w:color w:val="000000"/>
          <w:sz w:val="22"/>
          <w:szCs w:val="22"/>
          <w:lang w:val="es-MX" w:eastAsia="es-MX"/>
        </w:rPr>
      </w:pPr>
      <w:r w:rsidRPr="005D1E74">
        <w:rPr>
          <w:rFonts w:ascii="ITC Avant Garde" w:hAnsi="ITC Avant Garde"/>
          <w:b/>
          <w:bCs/>
          <w:color w:val="000000"/>
          <w:sz w:val="22"/>
          <w:szCs w:val="22"/>
          <w:lang w:val="es-MX" w:eastAsia="es-MX"/>
        </w:rPr>
        <w:t>Novena</w:t>
      </w:r>
      <w:r w:rsidR="0070596E" w:rsidRPr="005D1E74">
        <w:rPr>
          <w:rFonts w:ascii="ITC Avant Garde" w:hAnsi="ITC Avant Garde"/>
          <w:b/>
          <w:bCs/>
          <w:color w:val="000000"/>
          <w:sz w:val="22"/>
          <w:szCs w:val="22"/>
          <w:lang w:val="es-MX" w:eastAsia="es-MX"/>
        </w:rPr>
        <w:t xml:space="preserve"> </w:t>
      </w:r>
      <w:r w:rsidR="00960B3E" w:rsidRPr="005D1E74">
        <w:rPr>
          <w:rFonts w:ascii="ITC Avant Garde" w:hAnsi="ITC Avant Garde"/>
          <w:b/>
          <w:bCs/>
          <w:color w:val="000000"/>
          <w:sz w:val="22"/>
          <w:szCs w:val="22"/>
          <w:lang w:val="es-MX" w:eastAsia="es-MX"/>
        </w:rPr>
        <w:t>Modificación</w:t>
      </w:r>
      <w:r w:rsidR="00A819BB" w:rsidRPr="005D1E74">
        <w:rPr>
          <w:rFonts w:ascii="ITC Avant Garde" w:hAnsi="ITC Avant Garde"/>
          <w:b/>
          <w:bCs/>
          <w:color w:val="000000"/>
          <w:sz w:val="22"/>
          <w:szCs w:val="22"/>
          <w:lang w:val="es-MX" w:eastAsia="es-MX"/>
        </w:rPr>
        <w:t>.</w:t>
      </w:r>
      <w:r w:rsidR="0070596E" w:rsidRPr="005D1E74">
        <w:rPr>
          <w:rFonts w:ascii="ITC Avant Garde" w:hAnsi="ITC Avant Garde"/>
          <w:bCs/>
          <w:color w:val="000000"/>
          <w:sz w:val="22"/>
          <w:szCs w:val="22"/>
          <w:lang w:val="es-MX" w:eastAsia="es-MX"/>
        </w:rPr>
        <w:t xml:space="preserve"> El </w:t>
      </w:r>
      <w:r w:rsidR="00960B3E" w:rsidRPr="005D1E74">
        <w:rPr>
          <w:rFonts w:ascii="ITC Avant Garde" w:hAnsi="ITC Avant Garde"/>
          <w:bCs/>
          <w:color w:val="000000"/>
          <w:sz w:val="22"/>
          <w:szCs w:val="22"/>
          <w:lang w:val="es-MX" w:eastAsia="es-MX"/>
        </w:rPr>
        <w:t>28</w:t>
      </w:r>
      <w:r w:rsidR="0070596E" w:rsidRPr="005D1E74">
        <w:rPr>
          <w:rFonts w:ascii="ITC Avant Garde" w:hAnsi="ITC Avant Garde"/>
          <w:bCs/>
          <w:color w:val="000000"/>
          <w:sz w:val="22"/>
          <w:szCs w:val="22"/>
          <w:lang w:val="es-MX" w:eastAsia="es-MX"/>
        </w:rPr>
        <w:t xml:space="preserve"> de </w:t>
      </w:r>
      <w:r w:rsidR="00960B3E" w:rsidRPr="005D1E74">
        <w:rPr>
          <w:rFonts w:ascii="ITC Avant Garde" w:hAnsi="ITC Avant Garde"/>
          <w:bCs/>
          <w:color w:val="000000"/>
          <w:sz w:val="22"/>
          <w:szCs w:val="22"/>
          <w:lang w:val="es-MX" w:eastAsia="es-MX"/>
        </w:rPr>
        <w:t>enero</w:t>
      </w:r>
      <w:r w:rsidR="0070596E" w:rsidRPr="005D1E74">
        <w:rPr>
          <w:rFonts w:ascii="ITC Avant Garde" w:hAnsi="ITC Avant Garde"/>
          <w:bCs/>
          <w:color w:val="000000"/>
          <w:sz w:val="22"/>
          <w:szCs w:val="22"/>
          <w:lang w:val="es-MX" w:eastAsia="es-MX"/>
        </w:rPr>
        <w:t xml:space="preserve"> de 2015, </w:t>
      </w:r>
      <w:r w:rsidR="00960B3E" w:rsidRPr="005D1E74">
        <w:rPr>
          <w:rFonts w:ascii="ITC Avant Garde" w:hAnsi="ITC Avant Garde"/>
          <w:bCs/>
          <w:color w:val="000000"/>
          <w:sz w:val="22"/>
          <w:szCs w:val="22"/>
          <w:lang w:val="es-MX" w:eastAsia="es-MX"/>
        </w:rPr>
        <w:t>el Pleno del Instituto autorizó</w:t>
      </w:r>
      <w:r w:rsidR="00C755A9" w:rsidRPr="005D1E74">
        <w:rPr>
          <w:rFonts w:ascii="ITC Avant Garde" w:hAnsi="ITC Avant Garde"/>
          <w:bCs/>
          <w:color w:val="000000"/>
          <w:sz w:val="22"/>
          <w:szCs w:val="22"/>
          <w:lang w:val="es-MX" w:eastAsia="es-MX"/>
        </w:rPr>
        <w:t xml:space="preserve"> a Satmex</w:t>
      </w:r>
      <w:r w:rsidR="00960B3E" w:rsidRPr="005D1E74">
        <w:rPr>
          <w:rFonts w:ascii="ITC Avant Garde" w:hAnsi="ITC Avant Garde"/>
          <w:bCs/>
          <w:color w:val="000000"/>
          <w:sz w:val="22"/>
          <w:szCs w:val="22"/>
          <w:lang w:val="es-MX" w:eastAsia="es-MX"/>
        </w:rPr>
        <w:t xml:space="preserve"> la modif</w:t>
      </w:r>
      <w:r w:rsidR="00C755A9" w:rsidRPr="005D1E74">
        <w:rPr>
          <w:rFonts w:ascii="ITC Avant Garde" w:hAnsi="ITC Avant Garde"/>
          <w:bCs/>
          <w:color w:val="000000"/>
          <w:sz w:val="22"/>
          <w:szCs w:val="22"/>
          <w:lang w:val="es-MX" w:eastAsia="es-MX"/>
        </w:rPr>
        <w:t>icación del Apéndice III de la c</w:t>
      </w:r>
      <w:r w:rsidR="00960B3E" w:rsidRPr="005D1E74">
        <w:rPr>
          <w:rFonts w:ascii="ITC Avant Garde" w:hAnsi="ITC Avant Garde"/>
          <w:bCs/>
          <w:color w:val="000000"/>
          <w:sz w:val="22"/>
          <w:szCs w:val="22"/>
          <w:lang w:val="es-MX" w:eastAsia="es-MX"/>
        </w:rPr>
        <w:t xml:space="preserve">oncesión </w:t>
      </w:r>
      <w:r w:rsidR="007E6859" w:rsidRPr="005D1E74">
        <w:rPr>
          <w:rFonts w:ascii="ITC Avant Garde" w:hAnsi="ITC Avant Garde"/>
          <w:bCs/>
          <w:color w:val="000000"/>
          <w:sz w:val="22"/>
          <w:szCs w:val="22"/>
          <w:lang w:eastAsia="es-MX"/>
        </w:rPr>
        <w:t xml:space="preserve">correspondiente a la </w:t>
      </w:r>
      <w:r w:rsidR="00C755A9" w:rsidRPr="005D1E74">
        <w:rPr>
          <w:rFonts w:ascii="ITC Avant Garde" w:hAnsi="ITC Avant Garde"/>
          <w:bCs/>
          <w:color w:val="000000"/>
          <w:sz w:val="22"/>
          <w:szCs w:val="22"/>
          <w:lang w:eastAsia="es-MX"/>
        </w:rPr>
        <w:t>POG 113.0° O</w:t>
      </w:r>
      <w:r w:rsidR="007E6859" w:rsidRPr="005D1E74">
        <w:rPr>
          <w:rFonts w:ascii="ITC Avant Garde" w:hAnsi="ITC Avant Garde"/>
          <w:bCs/>
          <w:color w:val="000000"/>
          <w:sz w:val="22"/>
          <w:szCs w:val="22"/>
          <w:lang w:eastAsia="es-MX"/>
        </w:rPr>
        <w:t xml:space="preserve"> y de su respectiva prórroga</w:t>
      </w:r>
      <w:r w:rsidR="00960B3E" w:rsidRPr="005D1E74">
        <w:rPr>
          <w:rFonts w:ascii="ITC Avant Garde" w:hAnsi="ITC Avant Garde"/>
          <w:bCs/>
          <w:color w:val="000000"/>
          <w:sz w:val="22"/>
          <w:szCs w:val="22"/>
          <w:lang w:val="es-MX" w:eastAsia="es-MX"/>
        </w:rPr>
        <w:t xml:space="preserve">, con el objeto de agregar las </w:t>
      </w:r>
      <w:r w:rsidR="00C755A9" w:rsidRPr="005D1E74">
        <w:rPr>
          <w:rFonts w:ascii="ITC Avant Garde" w:hAnsi="ITC Avant Garde"/>
          <w:bCs/>
          <w:color w:val="000000"/>
          <w:sz w:val="22"/>
          <w:szCs w:val="22"/>
          <w:lang w:val="es-MX" w:eastAsia="es-MX"/>
        </w:rPr>
        <w:t xml:space="preserve">siguientes </w:t>
      </w:r>
      <w:r w:rsidR="00960B3E" w:rsidRPr="005D1E74">
        <w:rPr>
          <w:rFonts w:ascii="ITC Avant Garde" w:hAnsi="ITC Avant Garde"/>
          <w:bCs/>
          <w:color w:val="000000"/>
          <w:sz w:val="22"/>
          <w:szCs w:val="22"/>
          <w:lang w:val="es-MX" w:eastAsia="es-MX"/>
        </w:rPr>
        <w:t xml:space="preserve">bandas de frecuencias </w:t>
      </w:r>
      <w:r w:rsidR="00960B3E" w:rsidRPr="005D1E74">
        <w:rPr>
          <w:rFonts w:ascii="ITC Avant Garde" w:hAnsi="ITC Avant Garde"/>
          <w:bCs/>
          <w:color w:val="000000"/>
          <w:sz w:val="22"/>
          <w:szCs w:val="22"/>
          <w:lang w:val="es-MX" w:eastAsia="es-MX"/>
        </w:rPr>
        <w:lastRenderedPageBreak/>
        <w:t>correspondientes a la banda Ka</w:t>
      </w:r>
      <w:r w:rsidR="00C755A9" w:rsidRPr="005D1E74">
        <w:rPr>
          <w:rFonts w:ascii="ITC Avant Garde" w:hAnsi="ITC Avant Garde"/>
          <w:bCs/>
          <w:color w:val="000000"/>
          <w:sz w:val="22"/>
          <w:szCs w:val="22"/>
          <w:lang w:val="es-MX" w:eastAsia="es-MX"/>
        </w:rPr>
        <w:t>:</w:t>
      </w:r>
      <w:r w:rsidR="0099684E" w:rsidRPr="005D1E74">
        <w:rPr>
          <w:rFonts w:ascii="ITC Avant Garde" w:hAnsi="ITC Avant Garde"/>
          <w:bCs/>
          <w:color w:val="000000"/>
          <w:sz w:val="22"/>
          <w:szCs w:val="22"/>
          <w:lang w:val="es-MX" w:eastAsia="es-MX"/>
        </w:rPr>
        <w:t xml:space="preserve"> </w:t>
      </w:r>
      <w:r w:rsidR="00007978" w:rsidRPr="005D1E74">
        <w:rPr>
          <w:rFonts w:ascii="ITC Avant Garde" w:hAnsi="ITC Avant Garde"/>
          <w:bCs/>
          <w:color w:val="000000"/>
          <w:sz w:val="22"/>
          <w:szCs w:val="22"/>
          <w:lang w:val="es-MX" w:eastAsia="es-MX"/>
        </w:rPr>
        <w:t>18.30 – 18.80 GHz (espacio-Tierra)</w:t>
      </w:r>
      <w:r w:rsidR="0099684E" w:rsidRPr="005D1E74">
        <w:rPr>
          <w:rFonts w:ascii="ITC Avant Garde" w:hAnsi="ITC Avant Garde"/>
          <w:bCs/>
          <w:color w:val="000000"/>
          <w:sz w:val="22"/>
          <w:szCs w:val="22"/>
          <w:lang w:val="es-MX" w:eastAsia="es-MX"/>
        </w:rPr>
        <w:t>; 28.35 – 28.60 GHz (espacio-Tierra), y 29.25 – 29.50 GHz (Tierra-espacio).</w:t>
      </w:r>
    </w:p>
    <w:p w14:paraId="670CB53C" w14:textId="77777777" w:rsidR="005D1E74" w:rsidRPr="005D1E74" w:rsidRDefault="00C755A9" w:rsidP="005D1E74">
      <w:pPr>
        <w:spacing w:before="240" w:after="240"/>
        <w:ind w:left="567"/>
        <w:jc w:val="both"/>
        <w:rPr>
          <w:rFonts w:ascii="ITC Avant Garde" w:hAnsi="ITC Avant Garde"/>
          <w:bCs/>
          <w:color w:val="000000"/>
          <w:sz w:val="22"/>
          <w:szCs w:val="22"/>
          <w:lang w:val="es-MX" w:eastAsia="es-MX"/>
        </w:rPr>
      </w:pPr>
      <w:r w:rsidRPr="005D1E74">
        <w:rPr>
          <w:rFonts w:ascii="ITC Avant Garde" w:hAnsi="ITC Avant Garde"/>
          <w:bCs/>
          <w:color w:val="000000"/>
          <w:sz w:val="22"/>
          <w:szCs w:val="22"/>
          <w:lang w:val="es-MX" w:eastAsia="es-MX"/>
        </w:rPr>
        <w:t>Asi</w:t>
      </w:r>
      <w:r w:rsidR="0093390D" w:rsidRPr="005D1E74">
        <w:rPr>
          <w:rFonts w:ascii="ITC Avant Garde" w:hAnsi="ITC Avant Garde"/>
          <w:bCs/>
          <w:color w:val="000000"/>
          <w:sz w:val="22"/>
          <w:szCs w:val="22"/>
          <w:lang w:val="es-MX" w:eastAsia="es-MX"/>
        </w:rPr>
        <w:t xml:space="preserve">mismo, </w:t>
      </w:r>
      <w:r w:rsidRPr="005D1E74">
        <w:rPr>
          <w:rFonts w:ascii="ITC Avant Garde" w:hAnsi="ITC Avant Garde"/>
          <w:bCs/>
          <w:color w:val="000000"/>
          <w:sz w:val="22"/>
          <w:szCs w:val="22"/>
          <w:lang w:val="es-MX" w:eastAsia="es-MX"/>
        </w:rPr>
        <w:t>el Pleno del Instituto</w:t>
      </w:r>
      <w:r w:rsidR="0093390D" w:rsidRPr="005D1E74">
        <w:rPr>
          <w:rFonts w:ascii="ITC Avant Garde" w:hAnsi="ITC Avant Garde"/>
          <w:bCs/>
          <w:color w:val="000000"/>
          <w:sz w:val="22"/>
          <w:szCs w:val="22"/>
          <w:lang w:val="es-MX" w:eastAsia="es-MX"/>
        </w:rPr>
        <w:t xml:space="preserve"> </w:t>
      </w:r>
      <w:r w:rsidR="0093390D" w:rsidRPr="005D1E74">
        <w:rPr>
          <w:rFonts w:ascii="ITC Avant Garde" w:hAnsi="ITC Avant Garde"/>
          <w:bCs/>
          <w:color w:val="000000"/>
          <w:sz w:val="22"/>
          <w:szCs w:val="22"/>
          <w:lang w:eastAsia="es-MX"/>
        </w:rPr>
        <w:t>autorizó</w:t>
      </w:r>
      <w:r w:rsidRPr="005D1E74">
        <w:rPr>
          <w:rFonts w:ascii="ITC Avant Garde" w:hAnsi="ITC Avant Garde"/>
          <w:bCs/>
          <w:color w:val="000000"/>
          <w:sz w:val="22"/>
          <w:szCs w:val="22"/>
          <w:lang w:eastAsia="es-MX"/>
        </w:rPr>
        <w:t xml:space="preserve"> a Satmex</w:t>
      </w:r>
      <w:r w:rsidR="0093390D" w:rsidRPr="005D1E74">
        <w:rPr>
          <w:rFonts w:ascii="ITC Avant Garde" w:hAnsi="ITC Avant Garde"/>
          <w:bCs/>
          <w:color w:val="000000"/>
          <w:sz w:val="22"/>
          <w:szCs w:val="22"/>
          <w:lang w:eastAsia="es-MX"/>
        </w:rPr>
        <w:t xml:space="preserve"> la modificación de la condición 1.2 de la</w:t>
      </w:r>
      <w:r w:rsidRPr="005D1E74">
        <w:rPr>
          <w:rFonts w:ascii="ITC Avant Garde" w:hAnsi="ITC Avant Garde"/>
          <w:bCs/>
          <w:color w:val="000000"/>
          <w:sz w:val="22"/>
          <w:szCs w:val="22"/>
          <w:lang w:eastAsia="es-MX"/>
        </w:rPr>
        <w:t xml:space="preserve"> c</w:t>
      </w:r>
      <w:r w:rsidR="0093390D" w:rsidRPr="005D1E74">
        <w:rPr>
          <w:rFonts w:ascii="ITC Avant Garde" w:hAnsi="ITC Avant Garde"/>
          <w:bCs/>
          <w:color w:val="000000"/>
          <w:sz w:val="22"/>
          <w:szCs w:val="22"/>
          <w:lang w:eastAsia="es-MX"/>
        </w:rPr>
        <w:t>oncesión</w:t>
      </w:r>
      <w:r w:rsidR="007E6859" w:rsidRPr="005D1E74">
        <w:rPr>
          <w:rFonts w:ascii="ITC Avant Garde" w:hAnsi="ITC Avant Garde"/>
          <w:bCs/>
          <w:color w:val="000000"/>
          <w:sz w:val="22"/>
          <w:szCs w:val="22"/>
          <w:lang w:eastAsia="es-MX"/>
        </w:rPr>
        <w:t xml:space="preserve"> correspondiente a la </w:t>
      </w:r>
      <w:r w:rsidRPr="005D1E74">
        <w:rPr>
          <w:rFonts w:ascii="ITC Avant Garde" w:hAnsi="ITC Avant Garde"/>
          <w:bCs/>
          <w:color w:val="000000"/>
          <w:sz w:val="22"/>
          <w:szCs w:val="22"/>
          <w:lang w:eastAsia="es-MX"/>
        </w:rPr>
        <w:t>POG 116.8° O</w:t>
      </w:r>
      <w:r w:rsidR="007E6859" w:rsidRPr="005D1E74">
        <w:rPr>
          <w:rFonts w:ascii="ITC Avant Garde" w:hAnsi="ITC Avant Garde"/>
          <w:bCs/>
          <w:color w:val="000000"/>
          <w:sz w:val="22"/>
          <w:szCs w:val="22"/>
          <w:lang w:eastAsia="es-MX"/>
        </w:rPr>
        <w:t xml:space="preserve"> y de su respectiva prórroga</w:t>
      </w:r>
      <w:r w:rsidRPr="005D1E74">
        <w:rPr>
          <w:rFonts w:ascii="ITC Avant Garde" w:hAnsi="ITC Avant Garde"/>
          <w:bCs/>
          <w:color w:val="000000"/>
          <w:sz w:val="22"/>
          <w:szCs w:val="22"/>
          <w:lang w:eastAsia="es-MX"/>
        </w:rPr>
        <w:t>, así como la eliminación del A</w:t>
      </w:r>
      <w:r w:rsidR="0093390D" w:rsidRPr="005D1E74">
        <w:rPr>
          <w:rFonts w:ascii="ITC Avant Garde" w:hAnsi="ITC Avant Garde"/>
          <w:bCs/>
          <w:color w:val="000000"/>
          <w:sz w:val="22"/>
          <w:szCs w:val="22"/>
          <w:lang w:eastAsia="es-MX"/>
        </w:rPr>
        <w:t xml:space="preserve">péndice III de la misma y de </w:t>
      </w:r>
      <w:r w:rsidRPr="005D1E74">
        <w:rPr>
          <w:rFonts w:ascii="ITC Avant Garde" w:hAnsi="ITC Avant Garde"/>
          <w:bCs/>
          <w:color w:val="000000"/>
          <w:sz w:val="22"/>
          <w:szCs w:val="22"/>
          <w:lang w:eastAsia="es-MX"/>
        </w:rPr>
        <w:t>su respectiva prórroga.</w:t>
      </w:r>
    </w:p>
    <w:p w14:paraId="09E3857D" w14:textId="77777777" w:rsidR="005D1E74" w:rsidRPr="005D1E74" w:rsidRDefault="00A819BB" w:rsidP="005D1E74">
      <w:pPr>
        <w:numPr>
          <w:ilvl w:val="0"/>
          <w:numId w:val="5"/>
        </w:numPr>
        <w:spacing w:before="240" w:after="240"/>
        <w:ind w:left="567" w:hanging="578"/>
        <w:jc w:val="both"/>
        <w:rPr>
          <w:rFonts w:ascii="ITC Avant Garde" w:hAnsi="ITC Avant Garde"/>
          <w:bCs/>
          <w:color w:val="000000"/>
          <w:sz w:val="22"/>
          <w:szCs w:val="22"/>
          <w:lang w:val="es-MX" w:eastAsia="es-MX"/>
        </w:rPr>
      </w:pPr>
      <w:r w:rsidRPr="005D1E74">
        <w:rPr>
          <w:rFonts w:ascii="ITC Avant Garde" w:hAnsi="ITC Avant Garde"/>
          <w:b/>
          <w:bCs/>
          <w:color w:val="000000"/>
          <w:sz w:val="22"/>
          <w:szCs w:val="22"/>
          <w:lang w:val="es-MX" w:eastAsia="es-MX"/>
        </w:rPr>
        <w:t>Solicitud de Modificación</w:t>
      </w:r>
      <w:r w:rsidRPr="005D1E74">
        <w:rPr>
          <w:rFonts w:ascii="ITC Avant Garde" w:hAnsi="ITC Avant Garde"/>
          <w:bCs/>
          <w:color w:val="000000"/>
          <w:sz w:val="22"/>
          <w:szCs w:val="22"/>
          <w:lang w:val="es-MX" w:eastAsia="es-MX"/>
        </w:rPr>
        <w:t>. Con escrito presentado ante el Instituto el 10 de julio de 2017, el representante legal de Satmex solicitó autorización para llevar a cabo la modificación de la Condición 1.21. de las Concesiones</w:t>
      </w:r>
      <w:r w:rsidR="00007978" w:rsidRPr="005D1E74">
        <w:rPr>
          <w:rFonts w:ascii="ITC Avant Garde" w:hAnsi="ITC Avant Garde"/>
          <w:bCs/>
          <w:color w:val="000000"/>
          <w:sz w:val="22"/>
          <w:szCs w:val="22"/>
          <w:lang w:val="es-MX" w:eastAsia="es-MX"/>
        </w:rPr>
        <w:t xml:space="preserve"> y de la Condición 1.23 de las Prórrogas de las Concesiones (la “Solicitud de Modificación”)</w:t>
      </w:r>
      <w:r w:rsidRPr="005D1E74">
        <w:rPr>
          <w:rFonts w:ascii="ITC Avant Garde" w:hAnsi="ITC Avant Garde"/>
          <w:bCs/>
          <w:color w:val="000000"/>
          <w:sz w:val="22"/>
          <w:szCs w:val="22"/>
          <w:lang w:val="es-MX" w:eastAsia="es-MX"/>
        </w:rPr>
        <w:t xml:space="preserve">, </w:t>
      </w:r>
      <w:r w:rsidRPr="005D1E74">
        <w:rPr>
          <w:rFonts w:ascii="ITC Avant Garde" w:hAnsi="ITC Avant Garde"/>
          <w:bCs/>
          <w:color w:val="000000"/>
          <w:sz w:val="22"/>
          <w:szCs w:val="22"/>
          <w:lang w:eastAsia="es-MX"/>
        </w:rPr>
        <w:t>a fin de que dicha</w:t>
      </w:r>
      <w:r w:rsidR="00007978" w:rsidRPr="005D1E74">
        <w:rPr>
          <w:rFonts w:ascii="ITC Avant Garde" w:hAnsi="ITC Avant Garde"/>
          <w:bCs/>
          <w:color w:val="000000"/>
          <w:sz w:val="22"/>
          <w:szCs w:val="22"/>
          <w:lang w:eastAsia="es-MX"/>
        </w:rPr>
        <w:t>s condiciones</w:t>
      </w:r>
      <w:r w:rsidRPr="005D1E74">
        <w:rPr>
          <w:rFonts w:ascii="ITC Avant Garde" w:hAnsi="ITC Avant Garde"/>
          <w:bCs/>
          <w:color w:val="000000"/>
          <w:sz w:val="22"/>
          <w:szCs w:val="22"/>
          <w:lang w:eastAsia="es-MX"/>
        </w:rPr>
        <w:t xml:space="preserve"> </w:t>
      </w:r>
      <w:r w:rsidR="00007978" w:rsidRPr="005D1E74">
        <w:rPr>
          <w:rFonts w:ascii="ITC Avant Garde" w:hAnsi="ITC Avant Garde"/>
          <w:bCs/>
          <w:color w:val="000000"/>
          <w:sz w:val="22"/>
          <w:szCs w:val="22"/>
          <w:lang w:eastAsia="es-MX"/>
        </w:rPr>
        <w:t>sean acordes</w:t>
      </w:r>
      <w:r w:rsidRPr="005D1E74">
        <w:rPr>
          <w:rFonts w:ascii="ITC Avant Garde" w:hAnsi="ITC Avant Garde"/>
          <w:bCs/>
          <w:color w:val="000000"/>
          <w:sz w:val="22"/>
          <w:szCs w:val="22"/>
          <w:lang w:eastAsia="es-MX"/>
        </w:rPr>
        <w:t xml:space="preserve"> al artículo 152 de la Ley Federal de Telecomunicaciones y Radiodifusión (la “Ley”).</w:t>
      </w:r>
    </w:p>
    <w:p w14:paraId="177D3C3E" w14:textId="77777777" w:rsidR="005D1E74" w:rsidRPr="005D1E74" w:rsidRDefault="00794057" w:rsidP="005D1E74">
      <w:pPr>
        <w:pStyle w:val="Prrafodelista"/>
        <w:numPr>
          <w:ilvl w:val="0"/>
          <w:numId w:val="5"/>
        </w:numPr>
        <w:tabs>
          <w:tab w:val="left" w:pos="567"/>
        </w:tabs>
        <w:spacing w:before="240" w:after="240"/>
        <w:ind w:left="567" w:right="45" w:hanging="567"/>
        <w:jc w:val="both"/>
        <w:rPr>
          <w:rFonts w:ascii="ITC Avant Garde" w:hAnsi="ITC Avant Garde"/>
          <w:bCs/>
          <w:color w:val="000000"/>
          <w:sz w:val="22"/>
          <w:szCs w:val="22"/>
          <w:lang w:eastAsia="es-MX"/>
        </w:rPr>
      </w:pPr>
      <w:r w:rsidRPr="005D1E74">
        <w:rPr>
          <w:rFonts w:ascii="ITC Avant Garde" w:hAnsi="ITC Avant Garde"/>
          <w:b/>
          <w:bCs/>
          <w:color w:val="000000"/>
          <w:sz w:val="22"/>
          <w:szCs w:val="22"/>
          <w:lang w:eastAsia="es-MX"/>
        </w:rPr>
        <w:t>Solicitud de Opinión a la Unidad de Espectro Radioeléctrico.</w:t>
      </w:r>
      <w:r w:rsidRPr="005D1E74">
        <w:rPr>
          <w:rFonts w:ascii="ITC Avant Garde" w:hAnsi="ITC Avant Garde"/>
          <w:bCs/>
          <w:color w:val="000000"/>
          <w:sz w:val="22"/>
          <w:szCs w:val="22"/>
          <w:lang w:eastAsia="es-MX"/>
        </w:rPr>
        <w:t xml:space="preserve"> Mediante oficio IFT/223/UCS/DG-CTEL/1504</w:t>
      </w:r>
      <w:r w:rsidR="004B14C8" w:rsidRPr="005D1E74">
        <w:rPr>
          <w:rFonts w:ascii="ITC Avant Garde" w:hAnsi="ITC Avant Garde"/>
          <w:bCs/>
          <w:color w:val="000000"/>
          <w:sz w:val="22"/>
          <w:szCs w:val="22"/>
          <w:lang w:eastAsia="es-MX"/>
        </w:rPr>
        <w:t>/2017 de fecha 12 de julio de 2017,</w:t>
      </w:r>
      <w:r w:rsidRPr="005D1E74">
        <w:rPr>
          <w:rFonts w:ascii="ITC Avant Garde" w:hAnsi="ITC Avant Garde"/>
          <w:bCs/>
          <w:color w:val="000000"/>
          <w:sz w:val="22"/>
          <w:szCs w:val="22"/>
          <w:lang w:eastAsia="es-MX"/>
        </w:rPr>
        <w:t xml:space="preserve"> la Dirección General de Concesiones de Telecomunicaciones, adscrita a la Unidad de Concesiones y Servicios, solicitó a la Unidad de Espectro Radioeléctrico opinión respecto a la Solicitud de Modificación.</w:t>
      </w:r>
    </w:p>
    <w:p w14:paraId="63A58DE8" w14:textId="77777777" w:rsidR="005D1E74" w:rsidRPr="005D1E74" w:rsidRDefault="00794057" w:rsidP="005D1E74">
      <w:pPr>
        <w:pStyle w:val="Prrafodelista"/>
        <w:numPr>
          <w:ilvl w:val="0"/>
          <w:numId w:val="5"/>
        </w:numPr>
        <w:tabs>
          <w:tab w:val="left" w:pos="567"/>
        </w:tabs>
        <w:spacing w:before="240" w:after="240"/>
        <w:ind w:left="567" w:right="45" w:hanging="567"/>
        <w:jc w:val="both"/>
        <w:rPr>
          <w:rFonts w:ascii="ITC Avant Garde" w:hAnsi="ITC Avant Garde"/>
          <w:bCs/>
          <w:color w:val="000000"/>
          <w:sz w:val="22"/>
          <w:szCs w:val="22"/>
          <w:lang w:eastAsia="es-MX"/>
        </w:rPr>
      </w:pPr>
      <w:r w:rsidRPr="005D1E74">
        <w:rPr>
          <w:rFonts w:ascii="ITC Avant Garde" w:hAnsi="ITC Avant Garde"/>
          <w:b/>
          <w:bCs/>
          <w:color w:val="000000"/>
          <w:sz w:val="22"/>
          <w:szCs w:val="22"/>
          <w:lang w:eastAsia="es-MX"/>
        </w:rPr>
        <w:t xml:space="preserve">Opinión de la Unidad de Espectro Radioeléctrico. </w:t>
      </w:r>
      <w:r w:rsidRPr="005D1E74">
        <w:rPr>
          <w:rFonts w:ascii="ITC Avant Garde" w:hAnsi="ITC Avant Garde"/>
          <w:bCs/>
          <w:color w:val="000000"/>
          <w:sz w:val="22"/>
          <w:szCs w:val="22"/>
          <w:lang w:eastAsia="es-MX"/>
        </w:rPr>
        <w:t xml:space="preserve">Mediante el oficio </w:t>
      </w:r>
      <w:r w:rsidR="00152C14" w:rsidRPr="005D1E74">
        <w:rPr>
          <w:rFonts w:ascii="ITC Avant Garde" w:hAnsi="ITC Avant Garde"/>
          <w:bCs/>
          <w:color w:val="000000"/>
          <w:sz w:val="22"/>
          <w:szCs w:val="22"/>
          <w:lang w:eastAsia="es-MX"/>
        </w:rPr>
        <w:t>IFT/222/UER/DG-RERO/182/2017</w:t>
      </w:r>
      <w:r w:rsidRPr="005D1E74">
        <w:rPr>
          <w:rFonts w:ascii="ITC Avant Garde" w:hAnsi="ITC Avant Garde"/>
          <w:bCs/>
          <w:color w:val="000000"/>
          <w:sz w:val="22"/>
          <w:szCs w:val="22"/>
          <w:lang w:eastAsia="es-MX"/>
        </w:rPr>
        <w:t xml:space="preserve"> de fecha </w:t>
      </w:r>
      <w:r w:rsidR="00152C14" w:rsidRPr="005D1E74">
        <w:rPr>
          <w:rFonts w:ascii="ITC Avant Garde" w:hAnsi="ITC Avant Garde"/>
          <w:bCs/>
          <w:color w:val="000000"/>
          <w:sz w:val="22"/>
          <w:szCs w:val="22"/>
          <w:lang w:eastAsia="es-MX"/>
        </w:rPr>
        <w:t>6 de septiembre de 2017</w:t>
      </w:r>
      <w:r w:rsidRPr="005D1E74">
        <w:rPr>
          <w:rFonts w:ascii="ITC Avant Garde" w:hAnsi="ITC Avant Garde"/>
          <w:bCs/>
          <w:color w:val="000000"/>
          <w:sz w:val="22"/>
          <w:szCs w:val="22"/>
          <w:lang w:eastAsia="es-MX"/>
        </w:rPr>
        <w:t xml:space="preserve">, la Dirección General de </w:t>
      </w:r>
      <w:r w:rsidR="00152C14" w:rsidRPr="005D1E74">
        <w:rPr>
          <w:rFonts w:ascii="ITC Avant Garde" w:hAnsi="ITC Avant Garde"/>
          <w:bCs/>
          <w:color w:val="000000"/>
          <w:sz w:val="22"/>
          <w:szCs w:val="22"/>
          <w:lang w:eastAsia="es-MX"/>
        </w:rPr>
        <w:t>Regulación del Espectro y Recursos Orbitales</w:t>
      </w:r>
      <w:r w:rsidRPr="005D1E74">
        <w:rPr>
          <w:rFonts w:ascii="ITC Avant Garde" w:hAnsi="ITC Avant Garde"/>
          <w:bCs/>
          <w:color w:val="000000"/>
          <w:sz w:val="22"/>
          <w:szCs w:val="22"/>
          <w:lang w:eastAsia="es-MX"/>
        </w:rPr>
        <w:t xml:space="preserve"> de la Unidad de Espectro Radioeléctrico, emitió opinión</w:t>
      </w:r>
      <w:r w:rsidR="00152C14" w:rsidRPr="005D1E74">
        <w:rPr>
          <w:rFonts w:ascii="ITC Avant Garde" w:hAnsi="ITC Avant Garde"/>
          <w:bCs/>
          <w:color w:val="000000"/>
          <w:sz w:val="22"/>
          <w:szCs w:val="22"/>
          <w:lang w:eastAsia="es-MX"/>
        </w:rPr>
        <w:t xml:space="preserve"> </w:t>
      </w:r>
      <w:r w:rsidRPr="005D1E74">
        <w:rPr>
          <w:rFonts w:ascii="ITC Avant Garde" w:hAnsi="ITC Avant Garde"/>
          <w:bCs/>
          <w:color w:val="000000"/>
          <w:sz w:val="22"/>
          <w:szCs w:val="22"/>
          <w:lang w:eastAsia="es-MX"/>
        </w:rPr>
        <w:t>respecto a la Solicitud de Modificación.</w:t>
      </w:r>
    </w:p>
    <w:p w14:paraId="3978A8CF" w14:textId="77777777" w:rsidR="005D1E74" w:rsidRPr="005D1E74" w:rsidRDefault="0070596E" w:rsidP="005D1E74">
      <w:pPr>
        <w:spacing w:before="240" w:after="240"/>
        <w:jc w:val="both"/>
        <w:rPr>
          <w:rFonts w:ascii="ITC Avant Garde" w:hAnsi="ITC Avant Garde"/>
          <w:bCs/>
          <w:color w:val="000000"/>
          <w:sz w:val="22"/>
          <w:szCs w:val="22"/>
          <w:lang w:val="es-MX" w:eastAsia="es-MX"/>
        </w:rPr>
      </w:pPr>
      <w:r w:rsidRPr="005D1E74">
        <w:rPr>
          <w:rFonts w:ascii="ITC Avant Garde" w:hAnsi="ITC Avant Garde"/>
          <w:bCs/>
          <w:color w:val="000000"/>
          <w:sz w:val="22"/>
          <w:szCs w:val="22"/>
          <w:lang w:val="es-MX" w:eastAsia="es-MX"/>
        </w:rPr>
        <w:t>En virtud de los Antecedentes referidos, y</w:t>
      </w:r>
    </w:p>
    <w:p w14:paraId="07DF47B0" w14:textId="77777777" w:rsidR="005D1E74" w:rsidRPr="00CA039C" w:rsidRDefault="0070596E" w:rsidP="00CA039C">
      <w:pPr>
        <w:pStyle w:val="Ttulo2"/>
        <w:spacing w:after="240"/>
        <w:jc w:val="center"/>
        <w:rPr>
          <w:rFonts w:ascii="ITC Avant Garde" w:hAnsi="ITC Avant Garde"/>
          <w:b/>
          <w:color w:val="000000" w:themeColor="text1"/>
          <w:sz w:val="22"/>
          <w:szCs w:val="22"/>
        </w:rPr>
      </w:pPr>
      <w:r w:rsidRPr="00CA039C">
        <w:rPr>
          <w:rFonts w:ascii="ITC Avant Garde" w:hAnsi="ITC Avant Garde"/>
          <w:b/>
          <w:color w:val="000000" w:themeColor="text1"/>
          <w:sz w:val="22"/>
          <w:szCs w:val="22"/>
        </w:rPr>
        <w:t>CONSIDERANDO</w:t>
      </w:r>
    </w:p>
    <w:p w14:paraId="5760D65F" w14:textId="64F0E071" w:rsidR="005D1E74" w:rsidRPr="005D1E74" w:rsidRDefault="0070596E"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
          <w:bCs/>
          <w:sz w:val="22"/>
          <w:szCs w:val="22"/>
        </w:rPr>
        <w:t>Primero.-</w:t>
      </w:r>
      <w:r w:rsidRPr="005D1E74">
        <w:rPr>
          <w:rFonts w:ascii="ITC Avant Garde" w:hAnsi="ITC Avant Garde"/>
          <w:bCs/>
          <w:sz w:val="22"/>
          <w:szCs w:val="22"/>
        </w:rPr>
        <w:t xml:space="preserve"> </w:t>
      </w:r>
      <w:r w:rsidRPr="005D1E74">
        <w:rPr>
          <w:rFonts w:ascii="ITC Avant Garde" w:hAnsi="ITC Avant Garde"/>
          <w:b/>
          <w:bCs/>
          <w:sz w:val="22"/>
          <w:szCs w:val="22"/>
        </w:rPr>
        <w:t>Competencia.</w:t>
      </w:r>
      <w:r w:rsidRPr="005D1E74">
        <w:rPr>
          <w:rFonts w:ascii="ITC Avant Garde" w:hAnsi="ITC Avant Garde"/>
          <w:bCs/>
          <w:sz w:val="22"/>
          <w:szCs w:val="22"/>
        </w:rPr>
        <w:t xml:space="preserve"> 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3F8B4C37" w14:textId="77777777" w:rsidR="005D1E74" w:rsidRPr="005D1E74" w:rsidRDefault="0070596E"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04721D2E" w14:textId="77777777" w:rsidR="005D1E74" w:rsidRPr="005D1E74" w:rsidRDefault="0070596E"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Cs/>
          <w:sz w:val="22"/>
          <w:szCs w:val="22"/>
        </w:rPr>
        <w:lastRenderedPageBreak/>
        <w:t>Ahora bien, corresponde al Pleno del Instituto conforme a lo establecido en los artículos 15 fracción IV y 17 fracción I de la Ley Federal de Telecomunicaciones y Radiodifusión</w:t>
      </w:r>
      <w:r w:rsidR="00564463" w:rsidRPr="005D1E74">
        <w:rPr>
          <w:rFonts w:ascii="ITC Avant Garde" w:hAnsi="ITC Avant Garde"/>
          <w:bCs/>
          <w:sz w:val="22"/>
          <w:szCs w:val="22"/>
        </w:rPr>
        <w:t xml:space="preserve"> (la “Ley”)</w:t>
      </w:r>
      <w:r w:rsidRPr="005D1E74">
        <w:rPr>
          <w:rFonts w:ascii="ITC Avant Garde" w:hAnsi="ITC Avant Garde"/>
          <w:bCs/>
          <w:sz w:val="22"/>
          <w:szCs w:val="22"/>
        </w:rPr>
        <w:t xml:space="preserve"> el otorgamiento de concesiones, así como resolver respecto de las prórrogas, modificación o terminación de las mismas.</w:t>
      </w:r>
    </w:p>
    <w:p w14:paraId="6EF355A3" w14:textId="77777777" w:rsidR="005D1E74" w:rsidRPr="005D1E74" w:rsidRDefault="0070596E"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6E9F0F62" w14:textId="092F1989" w:rsidR="005D1E74" w:rsidRPr="005D1E74" w:rsidRDefault="0099684E" w:rsidP="005D1E74">
      <w:pPr>
        <w:autoSpaceDE w:val="0"/>
        <w:autoSpaceDN w:val="0"/>
        <w:adjustRightInd w:val="0"/>
        <w:spacing w:before="240" w:after="240"/>
        <w:ind w:right="48"/>
        <w:jc w:val="both"/>
        <w:rPr>
          <w:rFonts w:ascii="ITC Avant Garde" w:hAnsi="ITC Avant Garde"/>
          <w:bCs/>
          <w:sz w:val="22"/>
          <w:szCs w:val="22"/>
        </w:rPr>
      </w:pPr>
      <w:r w:rsidRPr="005D1E74">
        <w:rPr>
          <w:rFonts w:ascii="ITC Avant Garde" w:hAnsi="ITC Avant Garde"/>
          <w:bCs/>
          <w:sz w:val="22"/>
          <w:szCs w:val="22"/>
        </w:rPr>
        <w:t xml:space="preserve">Por otro lado, conforme a los artículos 32 y 33 </w:t>
      </w:r>
      <w:proofErr w:type="gramStart"/>
      <w:r w:rsidRPr="005D1E74">
        <w:rPr>
          <w:rFonts w:ascii="ITC Avant Garde" w:hAnsi="ITC Avant Garde"/>
          <w:bCs/>
          <w:sz w:val="22"/>
          <w:szCs w:val="22"/>
        </w:rPr>
        <w:t>fracción</w:t>
      </w:r>
      <w:proofErr w:type="gramEnd"/>
      <w:r w:rsidRPr="005D1E74">
        <w:rPr>
          <w:rFonts w:ascii="ITC Avant Garde" w:hAnsi="ITC Avant Garde"/>
          <w:bCs/>
          <w:sz w:val="22"/>
          <w:szCs w:val="22"/>
        </w:rPr>
        <w:t xml:space="preserve"> II del Estatuto Orgánico, corresponde a la Unidad de Concesiones y Servicios, a través de la Dirección General de Concesiones de Telecomunicaciones, tramitar y evaluar las solicitudes de cesión, modificación o prórroga de las concesiones en materia de telecomunicaciones, para someterlas a consideración del Pleno.</w:t>
      </w:r>
    </w:p>
    <w:p w14:paraId="69B2317E" w14:textId="77777777" w:rsidR="005D1E74" w:rsidRPr="005D1E74" w:rsidRDefault="0099684E" w:rsidP="005D1E74">
      <w:pPr>
        <w:autoSpaceDE w:val="0"/>
        <w:autoSpaceDN w:val="0"/>
        <w:adjustRightInd w:val="0"/>
        <w:spacing w:before="240" w:after="240"/>
        <w:ind w:right="48"/>
        <w:jc w:val="both"/>
        <w:rPr>
          <w:rFonts w:ascii="ITC Avant Garde" w:hAnsi="ITC Avant Garde"/>
          <w:bCs/>
          <w:sz w:val="22"/>
          <w:szCs w:val="22"/>
        </w:rPr>
      </w:pPr>
      <w:r w:rsidRPr="005D1E74">
        <w:rPr>
          <w:rFonts w:ascii="ITC Avant Garde" w:hAnsi="ITC Avant Garde"/>
          <w:bCs/>
          <w:sz w:val="22"/>
          <w:szCs w:val="22"/>
        </w:rPr>
        <w:t>En este orden de ideas, y considerando que el Instituto tiene a su cargo la regulación, promoción y supervisión de las telecomunicaciones, así como la facultad de otorgar concesiones y resolver sobre la prórroga, modificación o terminación de las mismas, el Pleno, como órgano máximo de gobierno y decisión del Instituto, se encuentra plenamente facultado para resolver la Solicitud de Modificación.</w:t>
      </w:r>
    </w:p>
    <w:p w14:paraId="4592FDCD" w14:textId="04EBEB65" w:rsidR="005D1E74" w:rsidRPr="005D1E74" w:rsidRDefault="0070596E"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
          <w:bCs/>
          <w:sz w:val="22"/>
          <w:szCs w:val="22"/>
        </w:rPr>
        <w:t>Segundo.-</w:t>
      </w:r>
      <w:r w:rsidRPr="005D1E74">
        <w:rPr>
          <w:rFonts w:ascii="ITC Avant Garde" w:hAnsi="ITC Avant Garde"/>
          <w:bCs/>
          <w:sz w:val="22"/>
          <w:szCs w:val="22"/>
        </w:rPr>
        <w:t xml:space="preserve"> </w:t>
      </w:r>
      <w:r w:rsidRPr="005D1E74">
        <w:rPr>
          <w:rFonts w:ascii="ITC Avant Garde" w:hAnsi="ITC Avant Garde"/>
          <w:b/>
          <w:bCs/>
          <w:sz w:val="22"/>
          <w:szCs w:val="22"/>
        </w:rPr>
        <w:t xml:space="preserve">Marco legal aplicable a la Solicitud de </w:t>
      </w:r>
      <w:r w:rsidR="00A71904" w:rsidRPr="005D1E74">
        <w:rPr>
          <w:rFonts w:ascii="ITC Avant Garde" w:hAnsi="ITC Avant Garde"/>
          <w:b/>
          <w:bCs/>
          <w:sz w:val="22"/>
          <w:szCs w:val="22"/>
        </w:rPr>
        <w:t>Modificación</w:t>
      </w:r>
      <w:r w:rsidR="00493B79" w:rsidRPr="005D1E74">
        <w:rPr>
          <w:rFonts w:ascii="ITC Avant Garde" w:hAnsi="ITC Avant Garde"/>
          <w:b/>
          <w:bCs/>
          <w:sz w:val="22"/>
          <w:szCs w:val="22"/>
        </w:rPr>
        <w:t>.</w:t>
      </w:r>
      <w:r w:rsidR="00720602" w:rsidRPr="005D1E74">
        <w:rPr>
          <w:rFonts w:ascii="ITC Avant Garde" w:hAnsi="ITC Avant Garde"/>
          <w:bCs/>
          <w:sz w:val="22"/>
          <w:szCs w:val="22"/>
        </w:rPr>
        <w:t xml:space="preserve"> L</w:t>
      </w:r>
      <w:r w:rsidR="00720602" w:rsidRPr="005D1E74">
        <w:rPr>
          <w:rFonts w:ascii="ITC Avant Garde" w:hAnsi="ITC Avant Garde"/>
          <w:bCs/>
          <w:color w:val="000000"/>
          <w:sz w:val="22"/>
          <w:szCs w:val="22"/>
          <w:lang w:eastAsia="es-MX"/>
        </w:rPr>
        <w:t>a normatividad aplicable</w:t>
      </w:r>
      <w:r w:rsidR="00720602" w:rsidRPr="005D1E74">
        <w:rPr>
          <w:rFonts w:ascii="ITC Avant Garde" w:hAnsi="ITC Avant Garde"/>
          <w:bCs/>
          <w:sz w:val="22"/>
          <w:szCs w:val="22"/>
        </w:rPr>
        <w:t xml:space="preserve"> </w:t>
      </w:r>
      <w:r w:rsidR="00FB1BC0" w:rsidRPr="005D1E74">
        <w:rPr>
          <w:rFonts w:ascii="ITC Avant Garde" w:hAnsi="ITC Avant Garde"/>
          <w:bCs/>
          <w:sz w:val="22"/>
          <w:szCs w:val="22"/>
        </w:rPr>
        <w:t xml:space="preserve">que </w:t>
      </w:r>
      <w:r w:rsidR="00720602" w:rsidRPr="005D1E74">
        <w:rPr>
          <w:rFonts w:ascii="ITC Avant Garde" w:hAnsi="ITC Avant Garde"/>
          <w:bCs/>
          <w:sz w:val="22"/>
          <w:szCs w:val="22"/>
        </w:rPr>
        <w:t xml:space="preserve">establece los requisitos de procedencia para solicitar y, en su caso, obtener la autorización para modificar títulos de concesión para ocupar recursos orbitales, se encuentra contenida en la Ley y </w:t>
      </w:r>
      <w:r w:rsidR="00C439A7" w:rsidRPr="005D1E74">
        <w:rPr>
          <w:rFonts w:ascii="ITC Avant Garde" w:hAnsi="ITC Avant Garde"/>
          <w:bCs/>
          <w:sz w:val="22"/>
          <w:szCs w:val="22"/>
        </w:rPr>
        <w:t xml:space="preserve">en </w:t>
      </w:r>
      <w:r w:rsidR="00720602" w:rsidRPr="005D1E74">
        <w:rPr>
          <w:rFonts w:ascii="ITC Avant Garde" w:hAnsi="ITC Avant Garde"/>
          <w:bCs/>
          <w:sz w:val="22"/>
          <w:szCs w:val="22"/>
        </w:rPr>
        <w:t>lo establecido en los propios títulos de concesión.</w:t>
      </w:r>
    </w:p>
    <w:p w14:paraId="5829B07C" w14:textId="77777777" w:rsidR="005D1E74" w:rsidRPr="005D1E74" w:rsidRDefault="00720602" w:rsidP="005D1E74">
      <w:pPr>
        <w:autoSpaceDE w:val="0"/>
        <w:autoSpaceDN w:val="0"/>
        <w:adjustRightInd w:val="0"/>
        <w:spacing w:before="240" w:after="240"/>
        <w:jc w:val="both"/>
        <w:rPr>
          <w:rFonts w:ascii="ITC Avant Garde" w:hAnsi="ITC Avant Garde"/>
          <w:bCs/>
          <w:color w:val="000000" w:themeColor="text1"/>
          <w:sz w:val="22"/>
          <w:szCs w:val="22"/>
          <w:lang w:eastAsia="es-MX"/>
        </w:rPr>
      </w:pPr>
      <w:r w:rsidRPr="005D1E74">
        <w:rPr>
          <w:rFonts w:ascii="ITC Avant Garde" w:hAnsi="ITC Avant Garde"/>
          <w:bCs/>
          <w:color w:val="000000" w:themeColor="text1"/>
          <w:sz w:val="22"/>
          <w:szCs w:val="22"/>
          <w:lang w:eastAsia="es-MX"/>
        </w:rPr>
        <w:t>En ese sentido, es importante señalar que cada título de concesión establece de manera particular las condiciones de operación de los</w:t>
      </w:r>
      <w:r w:rsidRPr="005D1E74">
        <w:rPr>
          <w:rFonts w:ascii="ITC Avant Garde" w:hAnsi="ITC Avant Garde"/>
          <w:bCs/>
          <w:sz w:val="22"/>
          <w:szCs w:val="22"/>
        </w:rPr>
        <w:t xml:space="preserve"> recursos orbitales</w:t>
      </w:r>
      <w:r w:rsidRPr="005D1E74">
        <w:rPr>
          <w:rFonts w:ascii="ITC Avant Garde" w:hAnsi="ITC Avant Garde"/>
          <w:bCs/>
          <w:color w:val="000000" w:themeColor="text1"/>
          <w:sz w:val="22"/>
          <w:szCs w:val="22"/>
          <w:lang w:eastAsia="es-MX"/>
        </w:rPr>
        <w:t>, por lo que las modificaciones que en su caso, se pretendan llevar a cabo, tendrán que apegarse a lo establecido en el respectivo título de concesión.</w:t>
      </w:r>
    </w:p>
    <w:p w14:paraId="72D7B6C2" w14:textId="77777777" w:rsidR="005D1E74" w:rsidRPr="005D1E74" w:rsidRDefault="00720602" w:rsidP="005D1E74">
      <w:pPr>
        <w:autoSpaceDE w:val="0"/>
        <w:autoSpaceDN w:val="0"/>
        <w:adjustRightInd w:val="0"/>
        <w:spacing w:before="240" w:after="240"/>
        <w:jc w:val="both"/>
        <w:rPr>
          <w:rFonts w:ascii="ITC Avant Garde" w:hAnsi="ITC Avant Garde"/>
          <w:bCs/>
          <w:color w:val="000000" w:themeColor="text1"/>
          <w:sz w:val="22"/>
          <w:szCs w:val="22"/>
          <w:lang w:eastAsia="es-MX"/>
        </w:rPr>
      </w:pPr>
      <w:r w:rsidRPr="005D1E74">
        <w:rPr>
          <w:rFonts w:ascii="ITC Avant Garde" w:hAnsi="ITC Avant Garde"/>
          <w:bCs/>
          <w:color w:val="000000" w:themeColor="text1"/>
          <w:sz w:val="22"/>
          <w:szCs w:val="22"/>
          <w:lang w:eastAsia="es-MX"/>
        </w:rPr>
        <w:t>Al respecto, la Condición 1.9. “Legislación, aplicable” de las Concesiones</w:t>
      </w:r>
      <w:r w:rsidR="00756045" w:rsidRPr="005D1E74">
        <w:rPr>
          <w:rFonts w:ascii="ITC Avant Garde" w:hAnsi="ITC Avant Garde"/>
          <w:bCs/>
          <w:color w:val="000000" w:themeColor="text1"/>
          <w:sz w:val="22"/>
          <w:szCs w:val="22"/>
          <w:lang w:eastAsia="es-MX"/>
        </w:rPr>
        <w:t>, así</w:t>
      </w:r>
      <w:r w:rsidRPr="005D1E74">
        <w:rPr>
          <w:rFonts w:ascii="ITC Avant Garde" w:hAnsi="ITC Avant Garde"/>
          <w:bCs/>
          <w:color w:val="000000" w:themeColor="text1"/>
          <w:sz w:val="22"/>
          <w:szCs w:val="22"/>
          <w:lang w:eastAsia="es-MX"/>
        </w:rPr>
        <w:t xml:space="preserve"> </w:t>
      </w:r>
      <w:r w:rsidR="00756045" w:rsidRPr="005D1E74">
        <w:rPr>
          <w:rFonts w:ascii="ITC Avant Garde" w:hAnsi="ITC Avant Garde"/>
          <w:bCs/>
          <w:color w:val="000000" w:themeColor="text1"/>
          <w:sz w:val="22"/>
          <w:szCs w:val="22"/>
          <w:lang w:eastAsia="es-MX"/>
        </w:rPr>
        <w:t xml:space="preserve">como de las Prórrogas de las Concesiones, </w:t>
      </w:r>
      <w:r w:rsidRPr="005D1E74">
        <w:rPr>
          <w:rFonts w:ascii="ITC Avant Garde" w:hAnsi="ITC Avant Garde"/>
          <w:bCs/>
          <w:color w:val="000000" w:themeColor="text1"/>
          <w:sz w:val="22"/>
          <w:szCs w:val="22"/>
          <w:lang w:eastAsia="es-MX"/>
        </w:rPr>
        <w:t xml:space="preserve">objeto de la Solicitud de Modificación señala, entre otros aspectos, que la operación y explotación del sistema satelital objeto de dicha concesión, deberá sujetase a </w:t>
      </w:r>
      <w:r w:rsidR="00756045" w:rsidRPr="005D1E74">
        <w:rPr>
          <w:rFonts w:ascii="ITC Avant Garde" w:hAnsi="ITC Avant Garde"/>
          <w:bCs/>
          <w:color w:val="000000" w:themeColor="text1"/>
          <w:sz w:val="22"/>
          <w:szCs w:val="22"/>
          <w:lang w:eastAsia="es-MX"/>
        </w:rPr>
        <w:t>la abrogada Ley Federal de Telecomunicaciones, la Ley de Vías Generales de Comunicación</w:t>
      </w:r>
      <w:r w:rsidRPr="005D1E74">
        <w:rPr>
          <w:rFonts w:ascii="ITC Avant Garde" w:hAnsi="ITC Avant Garde"/>
          <w:bCs/>
          <w:color w:val="000000" w:themeColor="text1"/>
          <w:sz w:val="22"/>
          <w:szCs w:val="22"/>
          <w:lang w:eastAsia="es-MX"/>
        </w:rPr>
        <w:t xml:space="preserve">, el Reglamento de Comunicación Vía Satélite, así como a los tratados internacionales, leyes, reglamentos, decretos, </w:t>
      </w:r>
      <w:r w:rsidR="00BB527F" w:rsidRPr="005D1E74">
        <w:rPr>
          <w:rFonts w:ascii="ITC Avant Garde" w:hAnsi="ITC Avant Garde"/>
          <w:bCs/>
          <w:color w:val="000000" w:themeColor="text1"/>
          <w:sz w:val="22"/>
          <w:szCs w:val="22"/>
          <w:lang w:eastAsia="es-MX"/>
        </w:rPr>
        <w:t>normas oficiales mexicanas</w:t>
      </w:r>
      <w:r w:rsidRPr="005D1E74">
        <w:rPr>
          <w:rFonts w:ascii="ITC Avant Garde" w:hAnsi="ITC Avant Garde"/>
          <w:bCs/>
          <w:color w:val="000000" w:themeColor="text1"/>
          <w:sz w:val="22"/>
          <w:szCs w:val="22"/>
          <w:lang w:eastAsia="es-MX"/>
        </w:rPr>
        <w:t>, acuerdos, circulares y demás disposiciones administrativas que al efecto se expidan, así como a las condiciones establecidas en la</w:t>
      </w:r>
      <w:r w:rsidR="00BB527F" w:rsidRPr="005D1E74">
        <w:rPr>
          <w:rFonts w:ascii="ITC Avant Garde" w:hAnsi="ITC Avant Garde"/>
          <w:bCs/>
          <w:color w:val="000000" w:themeColor="text1"/>
          <w:sz w:val="22"/>
          <w:szCs w:val="22"/>
          <w:lang w:eastAsia="es-MX"/>
        </w:rPr>
        <w:t>s</w:t>
      </w:r>
      <w:r w:rsidRPr="005D1E74">
        <w:rPr>
          <w:rFonts w:ascii="ITC Avant Garde" w:hAnsi="ITC Avant Garde"/>
          <w:bCs/>
          <w:color w:val="000000" w:themeColor="text1"/>
          <w:sz w:val="22"/>
          <w:szCs w:val="22"/>
          <w:lang w:eastAsia="es-MX"/>
        </w:rPr>
        <w:t xml:space="preserve"> </w:t>
      </w:r>
      <w:r w:rsidR="00221752" w:rsidRPr="005D1E74">
        <w:rPr>
          <w:rFonts w:ascii="ITC Avant Garde" w:hAnsi="ITC Avant Garde"/>
          <w:bCs/>
          <w:color w:val="000000" w:themeColor="text1"/>
          <w:sz w:val="22"/>
          <w:szCs w:val="22"/>
          <w:lang w:eastAsia="es-MX"/>
        </w:rPr>
        <w:t>concesiones</w:t>
      </w:r>
      <w:r w:rsidRPr="005D1E74">
        <w:rPr>
          <w:rFonts w:ascii="ITC Avant Garde" w:hAnsi="ITC Avant Garde"/>
          <w:bCs/>
          <w:color w:val="000000" w:themeColor="text1"/>
          <w:sz w:val="22"/>
          <w:szCs w:val="22"/>
          <w:lang w:eastAsia="es-MX"/>
        </w:rPr>
        <w:t xml:space="preserve"> de referencia y en los anexos técnicos.</w:t>
      </w:r>
    </w:p>
    <w:p w14:paraId="6E83F8C8" w14:textId="77777777" w:rsidR="005D1E74" w:rsidRPr="005D1E74" w:rsidRDefault="00720602" w:rsidP="005D1E74">
      <w:pPr>
        <w:autoSpaceDE w:val="0"/>
        <w:autoSpaceDN w:val="0"/>
        <w:adjustRightInd w:val="0"/>
        <w:spacing w:before="240" w:after="240"/>
        <w:jc w:val="both"/>
        <w:rPr>
          <w:rFonts w:ascii="ITC Avant Garde" w:hAnsi="ITC Avant Garde"/>
          <w:bCs/>
          <w:color w:val="000000" w:themeColor="text1"/>
          <w:sz w:val="22"/>
          <w:szCs w:val="22"/>
          <w:lang w:eastAsia="es-MX"/>
        </w:rPr>
      </w:pPr>
      <w:r w:rsidRPr="005D1E74">
        <w:rPr>
          <w:rFonts w:ascii="ITC Avant Garde" w:hAnsi="ITC Avant Garde"/>
          <w:bCs/>
          <w:color w:val="000000" w:themeColor="text1"/>
          <w:sz w:val="22"/>
          <w:szCs w:val="22"/>
          <w:lang w:eastAsia="es-MX"/>
        </w:rPr>
        <w:t>De igual forma, señala que el concesionario acepta que si las disposiciones legales, reglamentarias y administrativas a que se refiere el párrafo anterior, fueran derogadas, modificadas o adicionadas, el concesionario quedará sujeto a la nueva legislación y disposiciones administrativas aplicables, a partir de su entrada en vigor.</w:t>
      </w:r>
    </w:p>
    <w:p w14:paraId="133EDD0D" w14:textId="77777777" w:rsidR="005D1E74" w:rsidRPr="005D1E74" w:rsidRDefault="00BB527F"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Cs/>
          <w:sz w:val="22"/>
          <w:szCs w:val="22"/>
        </w:rPr>
        <w:lastRenderedPageBreak/>
        <w:t>Adicionalmente, la</w:t>
      </w:r>
      <w:r w:rsidR="00943C21" w:rsidRPr="005D1E74">
        <w:rPr>
          <w:rFonts w:ascii="ITC Avant Garde" w:hAnsi="ITC Avant Garde"/>
          <w:bCs/>
          <w:sz w:val="22"/>
          <w:szCs w:val="22"/>
        </w:rPr>
        <w:t>s</w:t>
      </w:r>
      <w:r w:rsidRPr="005D1E74">
        <w:rPr>
          <w:rFonts w:ascii="ITC Avant Garde" w:hAnsi="ITC Avant Garde"/>
          <w:bCs/>
          <w:sz w:val="22"/>
          <w:szCs w:val="22"/>
        </w:rPr>
        <w:t xml:space="preserve"> </w:t>
      </w:r>
      <w:r w:rsidR="00943C21" w:rsidRPr="005D1E74">
        <w:rPr>
          <w:rFonts w:ascii="ITC Avant Garde" w:hAnsi="ITC Avant Garde"/>
          <w:bCs/>
          <w:sz w:val="22"/>
          <w:szCs w:val="22"/>
        </w:rPr>
        <w:t>Condiciones</w:t>
      </w:r>
      <w:r w:rsidRPr="005D1E74">
        <w:rPr>
          <w:rFonts w:ascii="ITC Avant Garde" w:hAnsi="ITC Avant Garde"/>
          <w:bCs/>
          <w:sz w:val="22"/>
          <w:szCs w:val="22"/>
        </w:rPr>
        <w:t xml:space="preserve"> </w:t>
      </w:r>
      <w:r w:rsidR="00221752" w:rsidRPr="005D1E74">
        <w:rPr>
          <w:rFonts w:ascii="ITC Avant Garde" w:hAnsi="ITC Avant Garde"/>
          <w:bCs/>
          <w:sz w:val="22"/>
          <w:szCs w:val="22"/>
        </w:rPr>
        <w:t xml:space="preserve">1.21. </w:t>
      </w:r>
      <w:proofErr w:type="gramStart"/>
      <w:r w:rsidR="00221752" w:rsidRPr="005D1E74">
        <w:rPr>
          <w:rFonts w:ascii="ITC Avant Garde" w:hAnsi="ITC Avant Garde"/>
          <w:bCs/>
          <w:sz w:val="22"/>
          <w:szCs w:val="22"/>
        </w:rPr>
        <w:t>y</w:t>
      </w:r>
      <w:proofErr w:type="gramEnd"/>
      <w:r w:rsidR="00221752" w:rsidRPr="005D1E74">
        <w:rPr>
          <w:rFonts w:ascii="ITC Avant Garde" w:hAnsi="ITC Avant Garde"/>
          <w:bCs/>
          <w:sz w:val="22"/>
          <w:szCs w:val="22"/>
        </w:rPr>
        <w:t xml:space="preserve"> 1.2</w:t>
      </w:r>
      <w:r w:rsidR="00807563" w:rsidRPr="005D1E74">
        <w:rPr>
          <w:rFonts w:ascii="ITC Avant Garde" w:hAnsi="ITC Avant Garde"/>
          <w:bCs/>
          <w:sz w:val="22"/>
          <w:szCs w:val="22"/>
        </w:rPr>
        <w:t>3</w:t>
      </w:r>
      <w:r w:rsidRPr="005D1E74">
        <w:rPr>
          <w:rFonts w:ascii="ITC Avant Garde" w:hAnsi="ITC Avant Garde"/>
          <w:bCs/>
          <w:sz w:val="22"/>
          <w:szCs w:val="22"/>
        </w:rPr>
        <w:t>. “</w:t>
      </w:r>
      <w:r w:rsidR="00943C21" w:rsidRPr="005D1E74">
        <w:rPr>
          <w:rFonts w:ascii="ITC Avant Garde" w:hAnsi="ITC Avant Garde"/>
          <w:bCs/>
          <w:color w:val="000000"/>
          <w:sz w:val="22"/>
          <w:szCs w:val="22"/>
          <w:lang w:eastAsia="es-MX"/>
        </w:rPr>
        <w:t>Operación de los centros de control</w:t>
      </w:r>
      <w:r w:rsidRPr="005D1E74">
        <w:rPr>
          <w:rFonts w:ascii="ITC Avant Garde" w:hAnsi="ITC Avant Garde"/>
          <w:bCs/>
          <w:color w:val="000000"/>
          <w:sz w:val="22"/>
          <w:szCs w:val="22"/>
          <w:lang w:eastAsia="es-MX"/>
        </w:rPr>
        <w:t>” de las Concesiones, así como de las Prórrogas de las Concesiones,</w:t>
      </w:r>
      <w:r w:rsidR="00943C21" w:rsidRPr="005D1E74">
        <w:rPr>
          <w:rFonts w:ascii="ITC Avant Garde" w:hAnsi="ITC Avant Garde"/>
          <w:bCs/>
          <w:color w:val="000000"/>
          <w:sz w:val="22"/>
          <w:szCs w:val="22"/>
          <w:lang w:eastAsia="es-MX"/>
        </w:rPr>
        <w:t xml:space="preserve"> respectivamente, </w:t>
      </w:r>
      <w:r w:rsidRPr="005D1E74">
        <w:rPr>
          <w:rFonts w:ascii="ITC Avant Garde" w:hAnsi="ITC Avant Garde"/>
          <w:bCs/>
          <w:sz w:val="22"/>
          <w:szCs w:val="22"/>
        </w:rPr>
        <w:t>señala</w:t>
      </w:r>
      <w:r w:rsidR="0069017D" w:rsidRPr="005D1E74">
        <w:rPr>
          <w:rFonts w:ascii="ITC Avant Garde" w:hAnsi="ITC Avant Garde"/>
          <w:bCs/>
          <w:sz w:val="22"/>
          <w:szCs w:val="22"/>
        </w:rPr>
        <w:t>n</w:t>
      </w:r>
      <w:r w:rsidR="00247AD2" w:rsidRPr="005D1E74">
        <w:rPr>
          <w:rFonts w:ascii="ITC Avant Garde" w:hAnsi="ITC Avant Garde"/>
          <w:bCs/>
          <w:sz w:val="22"/>
          <w:szCs w:val="22"/>
        </w:rPr>
        <w:t xml:space="preserve"> a la letra que: </w:t>
      </w:r>
    </w:p>
    <w:p w14:paraId="0874BC54" w14:textId="77777777" w:rsidR="005D1E74" w:rsidRPr="005D1E74" w:rsidRDefault="005D0C1D" w:rsidP="005D1E74">
      <w:pPr>
        <w:autoSpaceDE w:val="0"/>
        <w:autoSpaceDN w:val="0"/>
        <w:adjustRightInd w:val="0"/>
        <w:spacing w:before="240" w:after="240"/>
        <w:ind w:left="708" w:right="899"/>
        <w:jc w:val="both"/>
        <w:rPr>
          <w:rFonts w:ascii="ITC Avant Garde" w:hAnsi="ITC Avant Garde"/>
          <w:bCs/>
          <w:sz w:val="18"/>
          <w:szCs w:val="18"/>
        </w:rPr>
      </w:pPr>
      <w:r w:rsidRPr="005D1E74">
        <w:rPr>
          <w:rFonts w:ascii="ITC Avant Garde" w:hAnsi="ITC Avant Garde"/>
          <w:bCs/>
          <w:sz w:val="18"/>
          <w:szCs w:val="18"/>
        </w:rPr>
        <w:t>“</w:t>
      </w:r>
      <w:r w:rsidRPr="005D1E74">
        <w:rPr>
          <w:rFonts w:ascii="ITC Avant Garde" w:hAnsi="ITC Avant Garde"/>
          <w:b/>
          <w:bCs/>
          <w:sz w:val="18"/>
          <w:szCs w:val="18"/>
        </w:rPr>
        <w:t xml:space="preserve">1.21. Operación de los centros de control. </w:t>
      </w:r>
      <w:r w:rsidR="001B18AF" w:rsidRPr="005D1E74">
        <w:rPr>
          <w:rFonts w:ascii="ITC Avant Garde" w:hAnsi="ITC Avant Garde"/>
          <w:bCs/>
          <w:sz w:val="18"/>
          <w:szCs w:val="18"/>
        </w:rPr>
        <w:t>El C</w:t>
      </w:r>
      <w:r w:rsidRPr="005D1E74">
        <w:rPr>
          <w:rFonts w:ascii="ITC Avant Garde" w:hAnsi="ITC Avant Garde"/>
          <w:bCs/>
          <w:sz w:val="18"/>
          <w:szCs w:val="18"/>
        </w:rPr>
        <w:t xml:space="preserve">oncesionario deberá establecer y conservar los centros de control y operación del sistema satelital, principal y alterno, dentro del territorio nacional. </w:t>
      </w:r>
    </w:p>
    <w:p w14:paraId="490855D4" w14:textId="77777777" w:rsidR="005D1E74" w:rsidRPr="005D1E74" w:rsidRDefault="001B18AF" w:rsidP="005D1E74">
      <w:pPr>
        <w:autoSpaceDE w:val="0"/>
        <w:autoSpaceDN w:val="0"/>
        <w:adjustRightInd w:val="0"/>
        <w:spacing w:before="240" w:after="240"/>
        <w:ind w:left="708" w:right="899"/>
        <w:jc w:val="both"/>
        <w:rPr>
          <w:rFonts w:ascii="ITC Avant Garde" w:hAnsi="ITC Avant Garde"/>
          <w:bCs/>
          <w:sz w:val="18"/>
          <w:szCs w:val="18"/>
        </w:rPr>
      </w:pPr>
      <w:r w:rsidRPr="005D1E74">
        <w:rPr>
          <w:rFonts w:ascii="ITC Avant Garde" w:hAnsi="ITC Avant Garde"/>
          <w:bCs/>
          <w:sz w:val="18"/>
          <w:szCs w:val="18"/>
        </w:rPr>
        <w:t>El C</w:t>
      </w:r>
      <w:r w:rsidR="005D0C1D" w:rsidRPr="005D1E74">
        <w:rPr>
          <w:rFonts w:ascii="ITC Avant Garde" w:hAnsi="ITC Avant Garde"/>
          <w:bCs/>
          <w:sz w:val="18"/>
          <w:szCs w:val="18"/>
        </w:rPr>
        <w:t>oncesionario se obliga a que la operación de los citados centros de control se llevará a cabo, preferentemente, por mexicanos.”</w:t>
      </w:r>
    </w:p>
    <w:p w14:paraId="013FE76D" w14:textId="77777777" w:rsidR="005D1E74" w:rsidRPr="005D1E74" w:rsidRDefault="00247AD2" w:rsidP="005D1E74">
      <w:pPr>
        <w:autoSpaceDE w:val="0"/>
        <w:autoSpaceDN w:val="0"/>
        <w:adjustRightInd w:val="0"/>
        <w:spacing w:before="240" w:after="240"/>
        <w:ind w:left="708" w:right="899"/>
        <w:jc w:val="both"/>
        <w:rPr>
          <w:rFonts w:ascii="ITC Avant Garde" w:hAnsi="ITC Avant Garde"/>
          <w:bCs/>
          <w:sz w:val="18"/>
          <w:szCs w:val="18"/>
        </w:rPr>
      </w:pPr>
      <w:r w:rsidRPr="005D1E74">
        <w:rPr>
          <w:rFonts w:ascii="ITC Avant Garde" w:hAnsi="ITC Avant Garde"/>
          <w:bCs/>
          <w:sz w:val="18"/>
          <w:szCs w:val="18"/>
        </w:rPr>
        <w:t>“</w:t>
      </w:r>
      <w:r w:rsidRPr="005D1E74">
        <w:rPr>
          <w:rFonts w:ascii="ITC Avant Garde" w:hAnsi="ITC Avant Garde"/>
          <w:b/>
          <w:bCs/>
          <w:sz w:val="18"/>
          <w:szCs w:val="18"/>
        </w:rPr>
        <w:t xml:space="preserve">1.23. Operación de los centros de control. </w:t>
      </w:r>
      <w:r w:rsidRPr="005D1E74">
        <w:rPr>
          <w:rFonts w:ascii="ITC Avant Garde" w:hAnsi="ITC Avant Garde"/>
          <w:bCs/>
          <w:sz w:val="18"/>
          <w:szCs w:val="18"/>
        </w:rPr>
        <w:t xml:space="preserve">El </w:t>
      </w:r>
      <w:r w:rsidR="001B18AF" w:rsidRPr="005D1E74">
        <w:rPr>
          <w:rFonts w:ascii="ITC Avant Garde" w:hAnsi="ITC Avant Garde"/>
          <w:bCs/>
          <w:sz w:val="18"/>
          <w:szCs w:val="18"/>
        </w:rPr>
        <w:t>C</w:t>
      </w:r>
      <w:r w:rsidRPr="005D1E74">
        <w:rPr>
          <w:rFonts w:ascii="ITC Avant Garde" w:hAnsi="ITC Avant Garde"/>
          <w:bCs/>
          <w:sz w:val="18"/>
          <w:szCs w:val="18"/>
        </w:rPr>
        <w:t xml:space="preserve">oncesionario deberá establecer y conservar los centros de control y operación del sistema satelital, principal y alterno, dentro del territorio nacional. </w:t>
      </w:r>
    </w:p>
    <w:p w14:paraId="44A97A16" w14:textId="77777777" w:rsidR="005D1E74" w:rsidRPr="005D1E74" w:rsidRDefault="001B18AF" w:rsidP="005D1E74">
      <w:pPr>
        <w:autoSpaceDE w:val="0"/>
        <w:autoSpaceDN w:val="0"/>
        <w:adjustRightInd w:val="0"/>
        <w:spacing w:before="240" w:after="240"/>
        <w:ind w:left="708" w:right="899"/>
        <w:jc w:val="both"/>
        <w:rPr>
          <w:rFonts w:ascii="ITC Avant Garde" w:hAnsi="ITC Avant Garde"/>
          <w:bCs/>
          <w:sz w:val="18"/>
          <w:szCs w:val="18"/>
        </w:rPr>
      </w:pPr>
      <w:r w:rsidRPr="005D1E74">
        <w:rPr>
          <w:rFonts w:ascii="ITC Avant Garde" w:hAnsi="ITC Avant Garde"/>
          <w:bCs/>
          <w:sz w:val="18"/>
          <w:szCs w:val="18"/>
        </w:rPr>
        <w:t>El C</w:t>
      </w:r>
      <w:r w:rsidR="00247AD2" w:rsidRPr="005D1E74">
        <w:rPr>
          <w:rFonts w:ascii="ITC Avant Garde" w:hAnsi="ITC Avant Garde"/>
          <w:bCs/>
          <w:sz w:val="18"/>
          <w:szCs w:val="18"/>
        </w:rPr>
        <w:t>oncesionario se obliga a que la operación de los citados centros de control se llevará a cabo, preferentemente, por mexicanos.”</w:t>
      </w:r>
    </w:p>
    <w:p w14:paraId="62CC3209" w14:textId="77777777" w:rsidR="005D1E74" w:rsidRPr="005D1E74" w:rsidRDefault="00BB527F"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Cs/>
          <w:sz w:val="22"/>
          <w:szCs w:val="22"/>
        </w:rPr>
        <w:t>Por su parte, la Ley establece en su artículo 152 lo siguiente:</w:t>
      </w:r>
    </w:p>
    <w:p w14:paraId="2D507E1A" w14:textId="77777777" w:rsidR="005D1E74" w:rsidRPr="005D1E74" w:rsidRDefault="00BB527F" w:rsidP="005D1E74">
      <w:pPr>
        <w:autoSpaceDE w:val="0"/>
        <w:autoSpaceDN w:val="0"/>
        <w:adjustRightInd w:val="0"/>
        <w:spacing w:before="240" w:after="240"/>
        <w:ind w:left="708" w:right="899"/>
        <w:jc w:val="both"/>
        <w:rPr>
          <w:rFonts w:ascii="ITC Avant Garde" w:hAnsi="ITC Avant Garde"/>
          <w:bCs/>
          <w:sz w:val="18"/>
          <w:szCs w:val="18"/>
        </w:rPr>
      </w:pPr>
      <w:r w:rsidRPr="005D1E74">
        <w:rPr>
          <w:rFonts w:ascii="ITC Avant Garde" w:hAnsi="ITC Avant Garde"/>
          <w:b/>
          <w:bCs/>
          <w:sz w:val="18"/>
          <w:szCs w:val="18"/>
        </w:rPr>
        <w:t>“Artículo 152.</w:t>
      </w:r>
      <w:r w:rsidRPr="005D1E74">
        <w:rPr>
          <w:rFonts w:ascii="ITC Avant Garde" w:hAnsi="ITC Avant Garde"/>
          <w:bCs/>
          <w:sz w:val="18"/>
          <w:szCs w:val="18"/>
        </w:rPr>
        <w:t xml:space="preserve"> Los concesionarios de recursos orbitales que tengan cobertura sobre el país, deberán establecer </w:t>
      </w:r>
      <w:r w:rsidRPr="005D1E74">
        <w:rPr>
          <w:rFonts w:ascii="ITC Avant Garde" w:hAnsi="ITC Avant Garde"/>
          <w:b/>
          <w:bCs/>
          <w:sz w:val="18"/>
          <w:szCs w:val="18"/>
        </w:rPr>
        <w:t>al menos un centro de control y operación</w:t>
      </w:r>
      <w:r w:rsidRPr="005D1E74">
        <w:rPr>
          <w:rFonts w:ascii="ITC Avant Garde" w:hAnsi="ITC Avant Garde"/>
          <w:bCs/>
          <w:sz w:val="18"/>
          <w:szCs w:val="18"/>
        </w:rPr>
        <w:t xml:space="preserve"> de los satélites respectivos en territorio nacional.</w:t>
      </w:r>
    </w:p>
    <w:p w14:paraId="6E44A443" w14:textId="77777777" w:rsidR="005D1E74" w:rsidRPr="005D1E74" w:rsidRDefault="00BB527F" w:rsidP="005D1E74">
      <w:pPr>
        <w:autoSpaceDE w:val="0"/>
        <w:autoSpaceDN w:val="0"/>
        <w:adjustRightInd w:val="0"/>
        <w:spacing w:before="240" w:after="240"/>
        <w:ind w:left="708" w:right="899"/>
        <w:jc w:val="both"/>
        <w:rPr>
          <w:rFonts w:ascii="ITC Avant Garde" w:hAnsi="ITC Avant Garde"/>
          <w:bCs/>
          <w:sz w:val="18"/>
          <w:szCs w:val="18"/>
        </w:rPr>
      </w:pPr>
      <w:r w:rsidRPr="005D1E74">
        <w:rPr>
          <w:rFonts w:ascii="ITC Avant Garde" w:hAnsi="ITC Avant Garde"/>
          <w:bCs/>
          <w:sz w:val="18"/>
          <w:szCs w:val="18"/>
        </w:rPr>
        <w:t>Tratándose de centros de control establecidos en el país, en caso fortuito o de fuerza mayor, el Instituto podrá autorizar el empleo temporal de un centro de control y operación ubicado en el extranjero, mientras subsista la causa.” [Énfasis añadido]</w:t>
      </w:r>
    </w:p>
    <w:p w14:paraId="762C8355" w14:textId="77777777" w:rsidR="005D1E74" w:rsidRPr="005D1E74" w:rsidRDefault="00BB527F"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Cs/>
          <w:sz w:val="22"/>
          <w:szCs w:val="22"/>
        </w:rPr>
        <w:t>De esta manera, las Concesion</w:t>
      </w:r>
      <w:r w:rsidR="00943C21" w:rsidRPr="005D1E74">
        <w:rPr>
          <w:rFonts w:ascii="ITC Avant Garde" w:hAnsi="ITC Avant Garde"/>
          <w:bCs/>
          <w:sz w:val="22"/>
          <w:szCs w:val="22"/>
        </w:rPr>
        <w:t xml:space="preserve">es </w:t>
      </w:r>
      <w:r w:rsidR="001E0051" w:rsidRPr="005D1E74">
        <w:rPr>
          <w:rFonts w:ascii="ITC Avant Garde" w:hAnsi="ITC Avant Garde"/>
          <w:bCs/>
          <w:sz w:val="22"/>
          <w:szCs w:val="22"/>
        </w:rPr>
        <w:t>y las Prórrogas de las Concesiones señalan</w:t>
      </w:r>
      <w:r w:rsidRPr="005D1E74">
        <w:rPr>
          <w:rFonts w:ascii="ITC Avant Garde" w:hAnsi="ITC Avant Garde"/>
          <w:bCs/>
          <w:sz w:val="22"/>
          <w:szCs w:val="22"/>
        </w:rPr>
        <w:t xml:space="preserve"> que </w:t>
      </w:r>
      <w:r w:rsidR="00943C21" w:rsidRPr="005D1E74">
        <w:rPr>
          <w:rFonts w:ascii="ITC Avant Garde" w:hAnsi="ITC Avant Garde"/>
          <w:bCs/>
          <w:sz w:val="22"/>
          <w:szCs w:val="22"/>
        </w:rPr>
        <w:t>Satmex</w:t>
      </w:r>
      <w:r w:rsidRPr="005D1E74">
        <w:rPr>
          <w:rFonts w:ascii="ITC Avant Garde" w:hAnsi="ITC Avant Garde"/>
          <w:bCs/>
          <w:sz w:val="22"/>
          <w:szCs w:val="22"/>
        </w:rPr>
        <w:t xml:space="preserve"> debe establecer y conservar los centros de control y operación, principal y alterno, de su sistema satelital dentro del territorio nacional.</w:t>
      </w:r>
    </w:p>
    <w:p w14:paraId="4A9BC5FE" w14:textId="77777777" w:rsidR="005D1E74" w:rsidRPr="005D1E74" w:rsidRDefault="00BB527F"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Cs/>
          <w:sz w:val="22"/>
          <w:szCs w:val="22"/>
        </w:rPr>
        <w:t>No obstante lo anterior, la Condición 1.</w:t>
      </w:r>
      <w:r w:rsidR="001E0051" w:rsidRPr="005D1E74">
        <w:rPr>
          <w:rFonts w:ascii="ITC Avant Garde" w:hAnsi="ITC Avant Garde"/>
          <w:bCs/>
          <w:sz w:val="22"/>
          <w:szCs w:val="22"/>
        </w:rPr>
        <w:t>9</w:t>
      </w:r>
      <w:r w:rsidRPr="005D1E74">
        <w:rPr>
          <w:rFonts w:ascii="ITC Avant Garde" w:hAnsi="ITC Avant Garde"/>
          <w:bCs/>
          <w:sz w:val="22"/>
          <w:szCs w:val="22"/>
        </w:rPr>
        <w:t xml:space="preserve"> de la</w:t>
      </w:r>
      <w:r w:rsidR="00BE414E" w:rsidRPr="005D1E74">
        <w:rPr>
          <w:rFonts w:ascii="ITC Avant Garde" w:hAnsi="ITC Avant Garde"/>
          <w:bCs/>
          <w:sz w:val="22"/>
          <w:szCs w:val="22"/>
        </w:rPr>
        <w:t>s Concesiones</w:t>
      </w:r>
      <w:r w:rsidR="000C3A7C" w:rsidRPr="005D1E74">
        <w:rPr>
          <w:rFonts w:ascii="ITC Avant Garde" w:hAnsi="ITC Avant Garde"/>
          <w:bCs/>
          <w:sz w:val="22"/>
          <w:szCs w:val="22"/>
        </w:rPr>
        <w:t xml:space="preserve"> y de las Prórrogas de las Concesiones</w:t>
      </w:r>
      <w:r w:rsidRPr="005D1E74">
        <w:rPr>
          <w:rFonts w:ascii="ITC Avant Garde" w:hAnsi="ITC Avant Garde"/>
          <w:bCs/>
          <w:sz w:val="22"/>
          <w:szCs w:val="22"/>
        </w:rPr>
        <w:t xml:space="preserve"> </w:t>
      </w:r>
      <w:r w:rsidRPr="005D1E74">
        <w:rPr>
          <w:rFonts w:ascii="ITC Avant Garde" w:hAnsi="ITC Avant Garde"/>
          <w:bCs/>
          <w:color w:val="000000" w:themeColor="text1"/>
          <w:sz w:val="22"/>
          <w:szCs w:val="22"/>
          <w:lang w:eastAsia="es-MX"/>
        </w:rPr>
        <w:t>señala que la</w:t>
      </w:r>
      <w:r w:rsidR="000C3A7C" w:rsidRPr="005D1E74">
        <w:rPr>
          <w:rFonts w:ascii="ITC Avant Garde" w:hAnsi="ITC Avant Garde"/>
          <w:bCs/>
          <w:color w:val="000000" w:themeColor="text1"/>
          <w:sz w:val="22"/>
          <w:szCs w:val="22"/>
          <w:lang w:eastAsia="es-MX"/>
        </w:rPr>
        <w:t>s</w:t>
      </w:r>
      <w:r w:rsidRPr="005D1E74">
        <w:rPr>
          <w:rFonts w:ascii="ITC Avant Garde" w:hAnsi="ITC Avant Garde"/>
          <w:bCs/>
          <w:color w:val="000000" w:themeColor="text1"/>
          <w:sz w:val="22"/>
          <w:szCs w:val="22"/>
          <w:lang w:eastAsia="es-MX"/>
        </w:rPr>
        <w:t xml:space="preserve"> misma</w:t>
      </w:r>
      <w:r w:rsidR="000C3A7C" w:rsidRPr="005D1E74">
        <w:rPr>
          <w:rFonts w:ascii="ITC Avant Garde" w:hAnsi="ITC Avant Garde"/>
          <w:bCs/>
          <w:color w:val="000000" w:themeColor="text1"/>
          <w:sz w:val="22"/>
          <w:szCs w:val="22"/>
          <w:lang w:eastAsia="es-MX"/>
        </w:rPr>
        <w:t>s</w:t>
      </w:r>
      <w:r w:rsidRPr="005D1E74">
        <w:rPr>
          <w:rFonts w:ascii="ITC Avant Garde" w:hAnsi="ITC Avant Garde"/>
          <w:bCs/>
          <w:color w:val="000000" w:themeColor="text1"/>
          <w:sz w:val="22"/>
          <w:szCs w:val="22"/>
          <w:lang w:eastAsia="es-MX"/>
        </w:rPr>
        <w:t xml:space="preserve"> deberá</w:t>
      </w:r>
      <w:r w:rsidR="000C3A7C" w:rsidRPr="005D1E74">
        <w:rPr>
          <w:rFonts w:ascii="ITC Avant Garde" w:hAnsi="ITC Avant Garde"/>
          <w:bCs/>
          <w:color w:val="000000" w:themeColor="text1"/>
          <w:sz w:val="22"/>
          <w:szCs w:val="22"/>
          <w:lang w:eastAsia="es-MX"/>
        </w:rPr>
        <w:t>n</w:t>
      </w:r>
      <w:r w:rsidRPr="005D1E74">
        <w:rPr>
          <w:rFonts w:ascii="ITC Avant Garde" w:hAnsi="ITC Avant Garde"/>
          <w:bCs/>
          <w:color w:val="000000" w:themeColor="text1"/>
          <w:sz w:val="22"/>
          <w:szCs w:val="22"/>
          <w:lang w:eastAsia="es-MX"/>
        </w:rPr>
        <w:t xml:space="preserve"> sujetase a las leyes y demás disposiciones legales, reglamentarias y administrativas que al efecto se expidan, por lo que </w:t>
      </w:r>
      <w:r w:rsidRPr="005D1E74">
        <w:rPr>
          <w:rFonts w:ascii="ITC Avant Garde" w:hAnsi="ITC Avant Garde"/>
          <w:bCs/>
          <w:sz w:val="22"/>
          <w:szCs w:val="22"/>
        </w:rPr>
        <w:t>al resolver la Solicitud de Modificación, el Instituto no sólo debe considerar en su análisis lo previsto en la</w:t>
      </w:r>
      <w:r w:rsidR="00943C21" w:rsidRPr="005D1E74">
        <w:rPr>
          <w:rFonts w:ascii="ITC Avant Garde" w:hAnsi="ITC Avant Garde"/>
          <w:bCs/>
          <w:sz w:val="22"/>
          <w:szCs w:val="22"/>
        </w:rPr>
        <w:t>s propia</w:t>
      </w:r>
      <w:r w:rsidR="001E0051" w:rsidRPr="005D1E74">
        <w:rPr>
          <w:rFonts w:ascii="ITC Avant Garde" w:hAnsi="ITC Avant Garde"/>
          <w:bCs/>
          <w:sz w:val="22"/>
          <w:szCs w:val="22"/>
        </w:rPr>
        <w:t>s</w:t>
      </w:r>
      <w:r w:rsidR="00943C21" w:rsidRPr="005D1E74">
        <w:rPr>
          <w:rFonts w:ascii="ITC Avant Garde" w:hAnsi="ITC Avant Garde"/>
          <w:bCs/>
          <w:sz w:val="22"/>
          <w:szCs w:val="22"/>
        </w:rPr>
        <w:t xml:space="preserve"> Concesiones y sus respectivas prórrogas</w:t>
      </w:r>
      <w:r w:rsidRPr="005D1E74">
        <w:rPr>
          <w:rFonts w:ascii="ITC Avant Garde" w:hAnsi="ITC Avant Garde"/>
          <w:bCs/>
          <w:sz w:val="22"/>
          <w:szCs w:val="22"/>
        </w:rPr>
        <w:t>, sino además, lo establecido por el nuevo régimen legal en el artículo 152 de la Ley, con respecto a los concesionarios de recursos orbitales que tengan cobertura sobre el país.</w:t>
      </w:r>
    </w:p>
    <w:p w14:paraId="1D5250EA" w14:textId="7421AAA1" w:rsidR="005D1E74" w:rsidRPr="005D1E74" w:rsidRDefault="0070596E" w:rsidP="005D1E74">
      <w:pPr>
        <w:autoSpaceDE w:val="0"/>
        <w:autoSpaceDN w:val="0"/>
        <w:adjustRightInd w:val="0"/>
        <w:spacing w:before="240" w:after="240"/>
        <w:jc w:val="both"/>
        <w:rPr>
          <w:rFonts w:ascii="ITC Avant Garde" w:hAnsi="ITC Avant Garde"/>
          <w:bCs/>
          <w:sz w:val="22"/>
          <w:szCs w:val="22"/>
        </w:rPr>
      </w:pPr>
      <w:r w:rsidRPr="005D1E74">
        <w:rPr>
          <w:rFonts w:ascii="ITC Avant Garde" w:hAnsi="ITC Avant Garde"/>
          <w:b/>
          <w:bCs/>
          <w:color w:val="000000"/>
          <w:sz w:val="22"/>
          <w:szCs w:val="22"/>
          <w:lang w:val="es-MX" w:eastAsia="es-MX"/>
        </w:rPr>
        <w:t xml:space="preserve">Tercero.- Análisis de la Solicitud de </w:t>
      </w:r>
      <w:r w:rsidR="00943C21" w:rsidRPr="005D1E74">
        <w:rPr>
          <w:rFonts w:ascii="ITC Avant Garde" w:hAnsi="ITC Avant Garde"/>
          <w:b/>
          <w:bCs/>
          <w:color w:val="000000"/>
          <w:sz w:val="22"/>
          <w:szCs w:val="22"/>
          <w:lang w:val="es-MX" w:eastAsia="es-MX"/>
        </w:rPr>
        <w:t>Modificación</w:t>
      </w:r>
      <w:r w:rsidRPr="005D1E74">
        <w:rPr>
          <w:rFonts w:ascii="ITC Avant Garde" w:hAnsi="ITC Avant Garde"/>
          <w:b/>
          <w:bCs/>
          <w:color w:val="000000"/>
          <w:sz w:val="22"/>
          <w:szCs w:val="22"/>
          <w:lang w:val="es-MX" w:eastAsia="es-MX"/>
        </w:rPr>
        <w:t xml:space="preserve">. </w:t>
      </w:r>
      <w:r w:rsidR="00943C21" w:rsidRPr="005D1E74">
        <w:rPr>
          <w:rFonts w:ascii="ITC Avant Garde" w:eastAsia="Calibri" w:hAnsi="ITC Avant Garde"/>
          <w:bCs/>
          <w:sz w:val="22"/>
          <w:szCs w:val="22"/>
        </w:rPr>
        <w:t>Como ya se señaló en el considerando Segundo anterior, la</w:t>
      </w:r>
      <w:r w:rsidR="0069017D" w:rsidRPr="005D1E74">
        <w:rPr>
          <w:rFonts w:ascii="ITC Avant Garde" w:eastAsia="Calibri" w:hAnsi="ITC Avant Garde"/>
          <w:bCs/>
          <w:sz w:val="22"/>
          <w:szCs w:val="22"/>
        </w:rPr>
        <w:t>s Condiciones</w:t>
      </w:r>
      <w:r w:rsidR="00943C21" w:rsidRPr="005D1E74">
        <w:rPr>
          <w:rFonts w:ascii="ITC Avant Garde" w:eastAsia="Calibri" w:hAnsi="ITC Avant Garde"/>
          <w:bCs/>
          <w:sz w:val="22"/>
          <w:szCs w:val="22"/>
        </w:rPr>
        <w:t xml:space="preserve"> 1.21. </w:t>
      </w:r>
      <w:proofErr w:type="gramStart"/>
      <w:r w:rsidR="00943C21" w:rsidRPr="005D1E74">
        <w:rPr>
          <w:rFonts w:ascii="ITC Avant Garde" w:eastAsia="Calibri" w:hAnsi="ITC Avant Garde"/>
          <w:bCs/>
          <w:sz w:val="22"/>
          <w:szCs w:val="22"/>
        </w:rPr>
        <w:t>y</w:t>
      </w:r>
      <w:proofErr w:type="gramEnd"/>
      <w:r w:rsidR="00943C21" w:rsidRPr="005D1E74">
        <w:rPr>
          <w:rFonts w:ascii="ITC Avant Garde" w:eastAsia="Calibri" w:hAnsi="ITC Avant Garde"/>
          <w:bCs/>
          <w:sz w:val="22"/>
          <w:szCs w:val="22"/>
        </w:rPr>
        <w:t xml:space="preserve"> 1.2</w:t>
      </w:r>
      <w:r w:rsidR="00807563" w:rsidRPr="005D1E74">
        <w:rPr>
          <w:rFonts w:ascii="ITC Avant Garde" w:eastAsia="Calibri" w:hAnsi="ITC Avant Garde"/>
          <w:bCs/>
          <w:sz w:val="22"/>
          <w:szCs w:val="22"/>
        </w:rPr>
        <w:t>3</w:t>
      </w:r>
      <w:r w:rsidR="00943C21" w:rsidRPr="005D1E74">
        <w:rPr>
          <w:rFonts w:ascii="ITC Avant Garde" w:eastAsia="Calibri" w:hAnsi="ITC Avant Garde"/>
          <w:bCs/>
          <w:sz w:val="22"/>
          <w:szCs w:val="22"/>
        </w:rPr>
        <w:t xml:space="preserve">. </w:t>
      </w:r>
      <w:proofErr w:type="gramStart"/>
      <w:r w:rsidR="00943C21" w:rsidRPr="005D1E74">
        <w:rPr>
          <w:rFonts w:ascii="ITC Avant Garde" w:eastAsia="Calibri" w:hAnsi="ITC Avant Garde"/>
          <w:bCs/>
          <w:sz w:val="22"/>
          <w:szCs w:val="22"/>
        </w:rPr>
        <w:t>de</w:t>
      </w:r>
      <w:proofErr w:type="gramEnd"/>
      <w:r w:rsidR="00943C21" w:rsidRPr="005D1E74">
        <w:rPr>
          <w:rFonts w:ascii="ITC Avant Garde" w:eastAsia="Calibri" w:hAnsi="ITC Avant Garde"/>
          <w:bCs/>
          <w:sz w:val="22"/>
          <w:szCs w:val="22"/>
        </w:rPr>
        <w:t xml:space="preserve"> las Concesiones, así como de las Prórrogas de las Concesiones</w:t>
      </w:r>
      <w:r w:rsidR="0069017D" w:rsidRPr="005D1E74">
        <w:rPr>
          <w:rFonts w:ascii="ITC Avant Garde" w:eastAsia="Calibri" w:hAnsi="ITC Avant Garde"/>
          <w:bCs/>
          <w:sz w:val="22"/>
          <w:szCs w:val="22"/>
        </w:rPr>
        <w:t>, respectivamente</w:t>
      </w:r>
      <w:r w:rsidR="00943C21" w:rsidRPr="005D1E74">
        <w:rPr>
          <w:rFonts w:ascii="ITC Avant Garde" w:eastAsia="Calibri" w:hAnsi="ITC Avant Garde"/>
          <w:bCs/>
          <w:sz w:val="22"/>
          <w:szCs w:val="22"/>
        </w:rPr>
        <w:t>, señala</w:t>
      </w:r>
      <w:r w:rsidR="0069017D" w:rsidRPr="005D1E74">
        <w:rPr>
          <w:rFonts w:ascii="ITC Avant Garde" w:eastAsia="Calibri" w:hAnsi="ITC Avant Garde"/>
          <w:bCs/>
          <w:sz w:val="22"/>
          <w:szCs w:val="22"/>
        </w:rPr>
        <w:t>n</w:t>
      </w:r>
      <w:r w:rsidR="00943C21" w:rsidRPr="005D1E74">
        <w:rPr>
          <w:rFonts w:ascii="ITC Avant Garde" w:eastAsia="Calibri" w:hAnsi="ITC Avant Garde"/>
          <w:bCs/>
          <w:sz w:val="22"/>
          <w:szCs w:val="22"/>
        </w:rPr>
        <w:t xml:space="preserve"> que </w:t>
      </w:r>
      <w:r w:rsidR="0069017D" w:rsidRPr="005D1E74">
        <w:rPr>
          <w:rFonts w:ascii="ITC Avant Garde" w:eastAsia="Calibri" w:hAnsi="ITC Avant Garde"/>
          <w:bCs/>
          <w:sz w:val="22"/>
          <w:szCs w:val="22"/>
        </w:rPr>
        <w:t>Satmex</w:t>
      </w:r>
      <w:r w:rsidR="00943C21" w:rsidRPr="005D1E74">
        <w:rPr>
          <w:rFonts w:ascii="ITC Avant Garde" w:eastAsia="Calibri" w:hAnsi="ITC Avant Garde"/>
          <w:bCs/>
          <w:sz w:val="22"/>
          <w:szCs w:val="22"/>
        </w:rPr>
        <w:t xml:space="preserve"> deberá establecer y conservar los centros de control y operación del </w:t>
      </w:r>
      <w:r w:rsidR="00807563" w:rsidRPr="005D1E74">
        <w:rPr>
          <w:rFonts w:ascii="ITC Avant Garde" w:eastAsia="Calibri" w:hAnsi="ITC Avant Garde"/>
          <w:bCs/>
          <w:sz w:val="22"/>
          <w:szCs w:val="22"/>
        </w:rPr>
        <w:t>sistema s</w:t>
      </w:r>
      <w:r w:rsidR="00943C21" w:rsidRPr="005D1E74">
        <w:rPr>
          <w:rFonts w:ascii="ITC Avant Garde" w:eastAsia="Calibri" w:hAnsi="ITC Avant Garde"/>
          <w:bCs/>
          <w:sz w:val="22"/>
          <w:szCs w:val="22"/>
        </w:rPr>
        <w:t xml:space="preserve">atelital, principal y alterno, dentro del territorio nacional. </w:t>
      </w:r>
    </w:p>
    <w:p w14:paraId="32EBD99E" w14:textId="77777777" w:rsidR="005D1E74" w:rsidRPr="005D1E74" w:rsidRDefault="00943C21" w:rsidP="005D1E74">
      <w:pPr>
        <w:spacing w:before="240" w:after="240"/>
        <w:jc w:val="both"/>
        <w:rPr>
          <w:rFonts w:ascii="ITC Avant Garde" w:hAnsi="ITC Avant Garde" w:cs="Arial"/>
          <w:bCs/>
          <w:color w:val="000000"/>
          <w:sz w:val="22"/>
          <w:szCs w:val="22"/>
          <w:shd w:val="clear" w:color="auto" w:fill="FFFFFF"/>
        </w:rPr>
      </w:pPr>
      <w:r w:rsidRPr="005D1E74">
        <w:rPr>
          <w:rFonts w:ascii="ITC Avant Garde" w:hAnsi="ITC Avant Garde" w:cs="Arial"/>
          <w:bCs/>
          <w:color w:val="000000"/>
          <w:sz w:val="22"/>
          <w:szCs w:val="22"/>
          <w:shd w:val="clear" w:color="auto" w:fill="FFFFFF"/>
        </w:rPr>
        <w:t xml:space="preserve">No obstante lo anterior, el artículo 152 de la Ley señala que los concesionarios de recursos orbitales que tengan cobertura sobre el país, como es el caso de </w:t>
      </w:r>
      <w:r w:rsidR="00C72A05" w:rsidRPr="005D1E74">
        <w:rPr>
          <w:rFonts w:ascii="ITC Avant Garde" w:hAnsi="ITC Avant Garde" w:cs="Arial"/>
          <w:bCs/>
          <w:color w:val="000000"/>
          <w:sz w:val="22"/>
          <w:szCs w:val="22"/>
          <w:shd w:val="clear" w:color="auto" w:fill="FFFFFF"/>
        </w:rPr>
        <w:t>Satmex</w:t>
      </w:r>
      <w:r w:rsidRPr="005D1E74">
        <w:rPr>
          <w:rFonts w:ascii="ITC Avant Garde" w:hAnsi="ITC Avant Garde" w:cs="Arial"/>
          <w:bCs/>
          <w:color w:val="000000"/>
          <w:sz w:val="22"/>
          <w:szCs w:val="22"/>
          <w:shd w:val="clear" w:color="auto" w:fill="FFFFFF"/>
        </w:rPr>
        <w:t xml:space="preserve">, deberán establecer </w:t>
      </w:r>
      <w:r w:rsidRPr="005D1E74">
        <w:rPr>
          <w:rFonts w:ascii="ITC Avant Garde" w:hAnsi="ITC Avant Garde" w:cs="Arial"/>
          <w:bCs/>
          <w:color w:val="000000"/>
          <w:sz w:val="22"/>
          <w:szCs w:val="22"/>
          <w:shd w:val="clear" w:color="auto" w:fill="FFFFFF"/>
        </w:rPr>
        <w:lastRenderedPageBreak/>
        <w:t xml:space="preserve">al menos un centro de control y operación de los satélites respectivos en territorio nacional, por lo que resultaría viable que los centros de control alternos se ubiquen fuera del país. </w:t>
      </w:r>
    </w:p>
    <w:p w14:paraId="14285C9A" w14:textId="08294940" w:rsidR="005D1E74" w:rsidRPr="005D1E74" w:rsidRDefault="00943C21" w:rsidP="005D1E74">
      <w:pPr>
        <w:spacing w:before="240" w:after="240"/>
        <w:jc w:val="both"/>
        <w:rPr>
          <w:rFonts w:ascii="ITC Avant Garde" w:hAnsi="ITC Avant Garde"/>
          <w:bCs/>
          <w:color w:val="000000"/>
          <w:sz w:val="22"/>
          <w:szCs w:val="22"/>
          <w:lang w:eastAsia="es-MX"/>
        </w:rPr>
      </w:pPr>
      <w:r w:rsidRPr="005D1E74">
        <w:rPr>
          <w:rFonts w:ascii="ITC Avant Garde" w:hAnsi="ITC Avant Garde" w:cs="Arial"/>
          <w:bCs/>
          <w:color w:val="000000"/>
          <w:sz w:val="22"/>
          <w:szCs w:val="22"/>
          <w:shd w:val="clear" w:color="auto" w:fill="FFFFFF"/>
        </w:rPr>
        <w:t>En ese sentido, con la finalidad de contar con mayores elementos para determinar la procedencia de la Solicitud de Modificación, la Unidad de Concesiones y Servicios, a través de la Dirección General de Concesiones de Telecomunicaciones, mediante oficio IFT/223/UCS/DG-CTEL/</w:t>
      </w:r>
      <w:r w:rsidR="0069017D" w:rsidRPr="005D1E74">
        <w:rPr>
          <w:rFonts w:ascii="ITC Avant Garde" w:hAnsi="ITC Avant Garde" w:cs="Arial"/>
          <w:bCs/>
          <w:color w:val="000000"/>
          <w:sz w:val="22"/>
          <w:szCs w:val="22"/>
          <w:shd w:val="clear" w:color="auto" w:fill="FFFFFF"/>
        </w:rPr>
        <w:t>1504/2017</w:t>
      </w:r>
      <w:r w:rsidRPr="005D1E74">
        <w:rPr>
          <w:rFonts w:ascii="ITC Avant Garde" w:hAnsi="ITC Avant Garde" w:cs="Arial"/>
          <w:bCs/>
          <w:color w:val="000000"/>
          <w:sz w:val="22"/>
          <w:szCs w:val="22"/>
          <w:shd w:val="clear" w:color="auto" w:fill="FFFFFF"/>
        </w:rPr>
        <w:t xml:space="preserve"> de fecha </w:t>
      </w:r>
      <w:r w:rsidR="0069017D" w:rsidRPr="005D1E74">
        <w:rPr>
          <w:rFonts w:ascii="ITC Avant Garde" w:hAnsi="ITC Avant Garde" w:cs="Arial"/>
          <w:bCs/>
          <w:color w:val="000000"/>
          <w:sz w:val="22"/>
          <w:szCs w:val="22"/>
          <w:shd w:val="clear" w:color="auto" w:fill="FFFFFF"/>
        </w:rPr>
        <w:t>12</w:t>
      </w:r>
      <w:r w:rsidRPr="005D1E74">
        <w:rPr>
          <w:rFonts w:ascii="ITC Avant Garde" w:hAnsi="ITC Avant Garde" w:cs="Arial"/>
          <w:bCs/>
          <w:color w:val="000000"/>
          <w:sz w:val="22"/>
          <w:szCs w:val="22"/>
          <w:shd w:val="clear" w:color="auto" w:fill="FFFFFF"/>
        </w:rPr>
        <w:t xml:space="preserve"> de </w:t>
      </w:r>
      <w:r w:rsidR="0069017D" w:rsidRPr="005D1E74">
        <w:rPr>
          <w:rFonts w:ascii="ITC Avant Garde" w:hAnsi="ITC Avant Garde" w:cs="Arial"/>
          <w:bCs/>
          <w:color w:val="000000"/>
          <w:sz w:val="22"/>
          <w:szCs w:val="22"/>
          <w:shd w:val="clear" w:color="auto" w:fill="FFFFFF"/>
        </w:rPr>
        <w:t>julio de 2017</w:t>
      </w:r>
      <w:r w:rsidRPr="005D1E74">
        <w:rPr>
          <w:rFonts w:ascii="ITC Avant Garde" w:hAnsi="ITC Avant Garde" w:cs="Arial"/>
          <w:bCs/>
          <w:color w:val="000000"/>
          <w:sz w:val="22"/>
          <w:szCs w:val="22"/>
          <w:shd w:val="clear" w:color="auto" w:fill="FFFFFF"/>
        </w:rPr>
        <w:t xml:space="preserve">, requirió opinión técnica a </w:t>
      </w:r>
      <w:r w:rsidRPr="005D1E74">
        <w:rPr>
          <w:rFonts w:ascii="ITC Avant Garde" w:hAnsi="ITC Avant Garde"/>
          <w:bCs/>
          <w:color w:val="000000"/>
          <w:sz w:val="22"/>
          <w:szCs w:val="22"/>
          <w:lang w:eastAsia="es-MX"/>
        </w:rPr>
        <w:t>la Unidad de Espectro Radioeléctrico de este Instituto, respecto de dicha solicitud.</w:t>
      </w:r>
    </w:p>
    <w:p w14:paraId="1DCB61E1" w14:textId="77777777" w:rsidR="005D1E74" w:rsidRPr="005D1E74" w:rsidRDefault="00943C21" w:rsidP="005D1E74">
      <w:pPr>
        <w:spacing w:before="240" w:after="240"/>
        <w:jc w:val="both"/>
        <w:rPr>
          <w:rFonts w:ascii="ITC Avant Garde" w:hAnsi="ITC Avant Garde" w:cs="Arial"/>
          <w:bCs/>
          <w:color w:val="000000"/>
          <w:sz w:val="22"/>
          <w:szCs w:val="22"/>
          <w:shd w:val="clear" w:color="auto" w:fill="FFFFFF"/>
        </w:rPr>
      </w:pPr>
      <w:r w:rsidRPr="005D1E74">
        <w:rPr>
          <w:rFonts w:ascii="ITC Avant Garde" w:hAnsi="ITC Avant Garde" w:cs="Arial"/>
          <w:bCs/>
          <w:color w:val="000000"/>
          <w:sz w:val="22"/>
          <w:szCs w:val="22"/>
          <w:shd w:val="clear" w:color="auto" w:fill="FFFFFF"/>
        </w:rPr>
        <w:t>En atención a lo anterior, la Dirección General de Regulación del Espectro y Recursos Orbitales, adscrita a la Unidad de Espectro Radioeléctrico, remitió el oficio IFT/222/UER/DG-RERO/</w:t>
      </w:r>
      <w:r w:rsidR="00C42245" w:rsidRPr="005D1E74">
        <w:rPr>
          <w:rFonts w:ascii="ITC Avant Garde" w:hAnsi="ITC Avant Garde" w:cs="Arial"/>
          <w:bCs/>
          <w:color w:val="000000"/>
          <w:sz w:val="22"/>
          <w:szCs w:val="22"/>
          <w:shd w:val="clear" w:color="auto" w:fill="FFFFFF"/>
        </w:rPr>
        <w:t>182</w:t>
      </w:r>
      <w:r w:rsidR="0069017D" w:rsidRPr="005D1E74">
        <w:rPr>
          <w:rFonts w:ascii="ITC Avant Garde" w:hAnsi="ITC Avant Garde" w:cs="Arial"/>
          <w:bCs/>
          <w:color w:val="000000"/>
          <w:sz w:val="22"/>
          <w:szCs w:val="22"/>
          <w:shd w:val="clear" w:color="auto" w:fill="FFFFFF"/>
        </w:rPr>
        <w:t>/2017</w:t>
      </w:r>
      <w:r w:rsidRPr="005D1E74">
        <w:rPr>
          <w:rFonts w:ascii="ITC Avant Garde" w:hAnsi="ITC Avant Garde" w:cs="Arial"/>
          <w:bCs/>
          <w:color w:val="000000"/>
          <w:sz w:val="22"/>
          <w:szCs w:val="22"/>
          <w:shd w:val="clear" w:color="auto" w:fill="FFFFFF"/>
        </w:rPr>
        <w:t xml:space="preserve"> de fecha </w:t>
      </w:r>
      <w:r w:rsidR="00C42245" w:rsidRPr="005D1E74">
        <w:rPr>
          <w:rFonts w:ascii="ITC Avant Garde" w:hAnsi="ITC Avant Garde" w:cs="Arial"/>
          <w:bCs/>
          <w:color w:val="000000"/>
          <w:sz w:val="22"/>
          <w:szCs w:val="22"/>
          <w:shd w:val="clear" w:color="auto" w:fill="FFFFFF"/>
        </w:rPr>
        <w:t>6</w:t>
      </w:r>
      <w:r w:rsidRPr="005D1E74">
        <w:rPr>
          <w:rFonts w:ascii="ITC Avant Garde" w:hAnsi="ITC Avant Garde" w:cs="Arial"/>
          <w:bCs/>
          <w:color w:val="000000"/>
          <w:sz w:val="22"/>
          <w:szCs w:val="22"/>
          <w:shd w:val="clear" w:color="auto" w:fill="FFFFFF"/>
        </w:rPr>
        <w:t xml:space="preserve"> de </w:t>
      </w:r>
      <w:r w:rsidR="00C42245" w:rsidRPr="005D1E74">
        <w:rPr>
          <w:rFonts w:ascii="ITC Avant Garde" w:hAnsi="ITC Avant Garde" w:cs="Arial"/>
          <w:bCs/>
          <w:color w:val="000000"/>
          <w:sz w:val="22"/>
          <w:szCs w:val="22"/>
          <w:shd w:val="clear" w:color="auto" w:fill="FFFFFF"/>
        </w:rPr>
        <w:t>septiembre</w:t>
      </w:r>
      <w:r w:rsidR="0069017D" w:rsidRPr="005D1E74">
        <w:rPr>
          <w:rFonts w:ascii="ITC Avant Garde" w:hAnsi="ITC Avant Garde" w:cs="Arial"/>
          <w:bCs/>
          <w:color w:val="000000"/>
          <w:sz w:val="22"/>
          <w:szCs w:val="22"/>
          <w:shd w:val="clear" w:color="auto" w:fill="FFFFFF"/>
        </w:rPr>
        <w:t xml:space="preserve"> de 2017</w:t>
      </w:r>
      <w:r w:rsidRPr="005D1E74">
        <w:rPr>
          <w:rFonts w:ascii="ITC Avant Garde" w:hAnsi="ITC Avant Garde" w:cs="Arial"/>
          <w:bCs/>
          <w:color w:val="000000"/>
          <w:sz w:val="22"/>
          <w:szCs w:val="22"/>
          <w:shd w:val="clear" w:color="auto" w:fill="FFFFFF"/>
        </w:rPr>
        <w:t>, en el que señaló lo siguiente:</w:t>
      </w:r>
    </w:p>
    <w:p w14:paraId="78E354E4" w14:textId="4909F366" w:rsidR="005D1E74" w:rsidRPr="005D1E74" w:rsidRDefault="00943C21" w:rsidP="005D1E74">
      <w:pPr>
        <w:autoSpaceDE w:val="0"/>
        <w:autoSpaceDN w:val="0"/>
        <w:adjustRightInd w:val="0"/>
        <w:spacing w:before="240" w:after="240"/>
        <w:ind w:left="708" w:right="899"/>
        <w:jc w:val="both"/>
        <w:rPr>
          <w:rFonts w:ascii="ITC Avant Garde" w:hAnsi="ITC Avant Garde"/>
          <w:bCs/>
          <w:sz w:val="18"/>
          <w:szCs w:val="18"/>
        </w:rPr>
      </w:pPr>
      <w:r w:rsidRPr="005D1E74">
        <w:rPr>
          <w:rFonts w:ascii="ITC Avant Garde" w:hAnsi="ITC Avant Garde"/>
          <w:bCs/>
          <w:sz w:val="18"/>
          <w:szCs w:val="18"/>
        </w:rPr>
        <w:t>“[…]</w:t>
      </w:r>
    </w:p>
    <w:p w14:paraId="65B4E76E" w14:textId="77777777" w:rsidR="005D1E74" w:rsidRPr="005D1E74" w:rsidRDefault="00943C21" w:rsidP="005D1E74">
      <w:pPr>
        <w:autoSpaceDE w:val="0"/>
        <w:autoSpaceDN w:val="0"/>
        <w:adjustRightInd w:val="0"/>
        <w:spacing w:before="240" w:after="240"/>
        <w:ind w:left="993" w:right="899" w:hanging="283"/>
        <w:jc w:val="both"/>
        <w:rPr>
          <w:rFonts w:ascii="ITC Avant Garde" w:hAnsi="ITC Avant Garde"/>
          <w:bCs/>
          <w:sz w:val="18"/>
          <w:szCs w:val="18"/>
        </w:rPr>
      </w:pPr>
      <w:r w:rsidRPr="005D1E74">
        <w:rPr>
          <w:rFonts w:ascii="ITC Avant Garde" w:hAnsi="ITC Avant Garde"/>
          <w:b/>
          <w:bCs/>
          <w:sz w:val="18"/>
          <w:szCs w:val="18"/>
        </w:rPr>
        <w:t>5.  Ley Federal de Telecomunicaciones y Radiodifusión (LFTyR).</w:t>
      </w:r>
      <w:r w:rsidRPr="005D1E74">
        <w:rPr>
          <w:rFonts w:ascii="ITC Avant Garde" w:hAnsi="ITC Avant Garde"/>
          <w:bCs/>
          <w:sz w:val="18"/>
          <w:szCs w:val="18"/>
        </w:rPr>
        <w:t xml:space="preserve"> La LFTyR en </w:t>
      </w:r>
      <w:proofErr w:type="gramStart"/>
      <w:r w:rsidRPr="005D1E74">
        <w:rPr>
          <w:rFonts w:ascii="ITC Avant Garde" w:hAnsi="ITC Avant Garde"/>
          <w:bCs/>
          <w:sz w:val="18"/>
          <w:szCs w:val="18"/>
        </w:rPr>
        <w:t>su</w:t>
      </w:r>
      <w:proofErr w:type="gramEnd"/>
      <w:r w:rsidRPr="005D1E74">
        <w:rPr>
          <w:rFonts w:ascii="ITC Avant Garde" w:hAnsi="ITC Avant Garde"/>
          <w:bCs/>
          <w:sz w:val="18"/>
          <w:szCs w:val="18"/>
        </w:rPr>
        <w:t xml:space="preserve"> artículos 152 y 154 establece lo siguiente:</w:t>
      </w:r>
    </w:p>
    <w:p w14:paraId="139B17EA" w14:textId="77777777" w:rsidR="005D1E74" w:rsidRPr="005D1E74" w:rsidRDefault="00943C21" w:rsidP="005D1E74">
      <w:pPr>
        <w:autoSpaceDE w:val="0"/>
        <w:autoSpaceDN w:val="0"/>
        <w:adjustRightInd w:val="0"/>
        <w:spacing w:before="240" w:after="240"/>
        <w:ind w:left="1560" w:right="1466" w:firstLine="2"/>
        <w:jc w:val="both"/>
        <w:rPr>
          <w:rFonts w:ascii="ITC Avant Garde" w:hAnsi="ITC Avant Garde"/>
          <w:bCs/>
          <w:sz w:val="18"/>
          <w:szCs w:val="18"/>
        </w:rPr>
      </w:pPr>
      <w:r w:rsidRPr="005D1E74">
        <w:rPr>
          <w:rFonts w:ascii="ITC Avant Garde" w:hAnsi="ITC Avant Garde"/>
          <w:b/>
          <w:bCs/>
          <w:sz w:val="18"/>
          <w:szCs w:val="18"/>
        </w:rPr>
        <w:t>‘Artículo 152.</w:t>
      </w:r>
      <w:r w:rsidRPr="005D1E74">
        <w:rPr>
          <w:rFonts w:ascii="ITC Avant Garde" w:hAnsi="ITC Avant Garde"/>
          <w:bCs/>
          <w:sz w:val="18"/>
          <w:szCs w:val="18"/>
        </w:rPr>
        <w:t xml:space="preserve"> Los concesionarios de recursos orbitales que tengan cobertura sobre el país, deberán establecer al menos un centro de control y operación de los satélites respectivos en territorio nacional.</w:t>
      </w:r>
    </w:p>
    <w:p w14:paraId="1F68D432" w14:textId="77777777" w:rsidR="005D1E74" w:rsidRPr="005D1E74" w:rsidRDefault="00943C21" w:rsidP="005D1E74">
      <w:pPr>
        <w:autoSpaceDE w:val="0"/>
        <w:autoSpaceDN w:val="0"/>
        <w:adjustRightInd w:val="0"/>
        <w:spacing w:before="240" w:after="240"/>
        <w:ind w:left="1560" w:right="1466" w:firstLine="2"/>
        <w:jc w:val="both"/>
        <w:rPr>
          <w:rFonts w:ascii="ITC Avant Garde" w:hAnsi="ITC Avant Garde"/>
          <w:bCs/>
          <w:sz w:val="18"/>
          <w:szCs w:val="18"/>
        </w:rPr>
      </w:pPr>
      <w:r w:rsidRPr="005D1E74">
        <w:rPr>
          <w:rFonts w:ascii="ITC Avant Garde" w:hAnsi="ITC Avant Garde"/>
          <w:bCs/>
          <w:sz w:val="18"/>
          <w:szCs w:val="18"/>
        </w:rPr>
        <w:t>Tratándose de centros de control establecidos en el país, en caso fortuito o de fuerza mayor, el Instituto podrá autorizar el empleo temporal de un centro de control y operación ubicado en el extranjero, mientras subsista la causa.</w:t>
      </w:r>
      <w:r w:rsidR="000A2EB7" w:rsidRPr="005D1E74">
        <w:rPr>
          <w:rFonts w:ascii="ITC Avant Garde" w:hAnsi="ITC Avant Garde"/>
          <w:bCs/>
          <w:sz w:val="18"/>
          <w:szCs w:val="18"/>
        </w:rPr>
        <w:t>’</w:t>
      </w:r>
    </w:p>
    <w:p w14:paraId="2E8A5899" w14:textId="77777777" w:rsidR="005D1E74" w:rsidRPr="005D1E74" w:rsidRDefault="00C42245" w:rsidP="005D1E74">
      <w:pPr>
        <w:autoSpaceDE w:val="0"/>
        <w:autoSpaceDN w:val="0"/>
        <w:adjustRightInd w:val="0"/>
        <w:spacing w:before="240" w:after="240"/>
        <w:ind w:left="993" w:right="900"/>
        <w:jc w:val="both"/>
        <w:rPr>
          <w:rFonts w:ascii="ITC Avant Garde" w:hAnsi="ITC Avant Garde"/>
          <w:bCs/>
          <w:sz w:val="18"/>
          <w:szCs w:val="18"/>
        </w:rPr>
      </w:pPr>
      <w:r w:rsidRPr="005D1E74">
        <w:rPr>
          <w:rFonts w:ascii="ITC Avant Garde" w:hAnsi="ITC Avant Garde"/>
          <w:bCs/>
          <w:sz w:val="18"/>
          <w:szCs w:val="18"/>
        </w:rPr>
        <w:t>De lo anterior, se observa que la LFTyR contempla al menos un centro de control dentro del territorio nacional.</w:t>
      </w:r>
    </w:p>
    <w:p w14:paraId="1CA1FF62" w14:textId="77777777" w:rsidR="005D1E74" w:rsidRPr="005D1E74" w:rsidRDefault="00943C21" w:rsidP="005D1E74">
      <w:pPr>
        <w:autoSpaceDE w:val="0"/>
        <w:autoSpaceDN w:val="0"/>
        <w:adjustRightInd w:val="0"/>
        <w:spacing w:before="240" w:after="240"/>
        <w:ind w:left="993" w:right="899" w:hanging="283"/>
        <w:jc w:val="both"/>
        <w:rPr>
          <w:rFonts w:ascii="ITC Avant Garde" w:hAnsi="ITC Avant Garde"/>
          <w:bCs/>
          <w:sz w:val="18"/>
          <w:szCs w:val="18"/>
          <w:highlight w:val="yellow"/>
        </w:rPr>
      </w:pPr>
      <w:r w:rsidRPr="005D1E74">
        <w:rPr>
          <w:rFonts w:ascii="ITC Avant Garde" w:hAnsi="ITC Avant Garde"/>
          <w:b/>
          <w:bCs/>
          <w:sz w:val="18"/>
          <w:szCs w:val="18"/>
        </w:rPr>
        <w:t>6.  Opinión respecto la solicitud.</w:t>
      </w:r>
      <w:r w:rsidRPr="005D1E74">
        <w:rPr>
          <w:rFonts w:ascii="ITC Avant Garde" w:hAnsi="ITC Avant Garde"/>
          <w:bCs/>
          <w:sz w:val="18"/>
          <w:szCs w:val="18"/>
        </w:rPr>
        <w:t xml:space="preserve"> Derivado de los puntos antes expuestos, en opinión de esta Dirección General, resulta técnicamente procedente la solicitud que presenta </w:t>
      </w:r>
      <w:r w:rsidR="00C42245" w:rsidRPr="005D1E74">
        <w:rPr>
          <w:rFonts w:ascii="ITC Avant Garde" w:hAnsi="ITC Avant Garde"/>
          <w:bCs/>
          <w:sz w:val="18"/>
          <w:szCs w:val="18"/>
        </w:rPr>
        <w:t>Satmex</w:t>
      </w:r>
      <w:r w:rsidRPr="005D1E74">
        <w:rPr>
          <w:rFonts w:ascii="ITC Avant Garde" w:hAnsi="ITC Avant Garde"/>
          <w:bCs/>
          <w:sz w:val="18"/>
          <w:szCs w:val="18"/>
        </w:rPr>
        <w:t xml:space="preserve"> a efecto de modificar </w:t>
      </w:r>
      <w:r w:rsidR="00C42245" w:rsidRPr="005D1E74">
        <w:rPr>
          <w:rFonts w:ascii="ITC Avant Garde" w:hAnsi="ITC Avant Garde"/>
          <w:bCs/>
          <w:sz w:val="18"/>
          <w:szCs w:val="18"/>
        </w:rPr>
        <w:t>la con</w:t>
      </w:r>
      <w:r w:rsidR="00F02B88" w:rsidRPr="005D1E74">
        <w:rPr>
          <w:rFonts w:ascii="ITC Avant Garde" w:hAnsi="ITC Avant Garde"/>
          <w:bCs/>
          <w:sz w:val="18"/>
          <w:szCs w:val="18"/>
        </w:rPr>
        <w:t xml:space="preserve">dición 1.21 de las Concesiones </w:t>
      </w:r>
      <w:r w:rsidR="00C42245" w:rsidRPr="005D1E74">
        <w:rPr>
          <w:rFonts w:ascii="ITC Avant Garde" w:hAnsi="ITC Avant Garde"/>
          <w:bCs/>
          <w:sz w:val="18"/>
          <w:szCs w:val="18"/>
        </w:rPr>
        <w:t xml:space="preserve">y la condición 1.23 de las respectivas prórrogas, a efecto de conservar por lo menos un </w:t>
      </w:r>
      <w:r w:rsidR="00152C14" w:rsidRPr="005D1E74">
        <w:rPr>
          <w:rFonts w:ascii="ITC Avant Garde" w:hAnsi="ITC Avant Garde"/>
          <w:bCs/>
          <w:sz w:val="18"/>
          <w:szCs w:val="18"/>
        </w:rPr>
        <w:t xml:space="preserve">centro de control de operación del sistema satelital dentro </w:t>
      </w:r>
      <w:r w:rsidR="00F02B88" w:rsidRPr="005D1E74">
        <w:rPr>
          <w:rFonts w:ascii="ITC Avant Garde" w:hAnsi="ITC Avant Garde"/>
          <w:bCs/>
          <w:sz w:val="18"/>
          <w:szCs w:val="18"/>
        </w:rPr>
        <w:t>del territorio nacional conforme</w:t>
      </w:r>
      <w:r w:rsidR="00152C14" w:rsidRPr="005D1E74">
        <w:rPr>
          <w:rFonts w:ascii="ITC Avant Garde" w:hAnsi="ITC Avant Garde"/>
          <w:bCs/>
          <w:sz w:val="18"/>
          <w:szCs w:val="18"/>
        </w:rPr>
        <w:t xml:space="preserve"> al artículo 152 de la LFTyR, en el entendido que no se afecta la prestación del servicio ni implica que se dejen de cumplir las condiciones establecidas en las Concesiones y en las prórrogas. </w:t>
      </w:r>
    </w:p>
    <w:p w14:paraId="5B794FCE" w14:textId="77777777" w:rsidR="005D1E74" w:rsidRPr="005D1E74" w:rsidRDefault="00943C21" w:rsidP="005D1E74">
      <w:pPr>
        <w:autoSpaceDE w:val="0"/>
        <w:autoSpaceDN w:val="0"/>
        <w:adjustRightInd w:val="0"/>
        <w:spacing w:before="240" w:after="240"/>
        <w:ind w:left="993" w:right="899" w:hanging="283"/>
        <w:jc w:val="both"/>
        <w:rPr>
          <w:rFonts w:ascii="ITC Avant Garde" w:hAnsi="ITC Avant Garde"/>
          <w:bCs/>
          <w:color w:val="000000"/>
          <w:sz w:val="18"/>
          <w:szCs w:val="18"/>
        </w:rPr>
      </w:pPr>
      <w:r w:rsidRPr="005D1E74">
        <w:rPr>
          <w:rFonts w:ascii="ITC Avant Garde" w:hAnsi="ITC Avant Garde"/>
          <w:bCs/>
          <w:color w:val="000000"/>
          <w:sz w:val="18"/>
          <w:szCs w:val="18"/>
        </w:rPr>
        <w:t>[…]” [Sic] [Énfasis añadido]</w:t>
      </w:r>
    </w:p>
    <w:p w14:paraId="4C54A1B7" w14:textId="77777777" w:rsidR="005D1E74" w:rsidRPr="005D1E74" w:rsidRDefault="00943C21" w:rsidP="005D1E74">
      <w:pPr>
        <w:autoSpaceDE w:val="0"/>
        <w:autoSpaceDN w:val="0"/>
        <w:adjustRightInd w:val="0"/>
        <w:spacing w:before="240" w:after="240"/>
        <w:jc w:val="both"/>
        <w:rPr>
          <w:rFonts w:ascii="ITC Avant Garde" w:hAnsi="ITC Avant Garde"/>
          <w:bCs/>
          <w:color w:val="000000"/>
          <w:sz w:val="22"/>
          <w:szCs w:val="22"/>
        </w:rPr>
      </w:pPr>
      <w:r w:rsidRPr="005D1E74">
        <w:rPr>
          <w:rFonts w:ascii="ITC Avant Garde" w:hAnsi="ITC Avant Garde"/>
          <w:bCs/>
          <w:color w:val="000000"/>
          <w:sz w:val="22"/>
          <w:szCs w:val="22"/>
        </w:rPr>
        <w:t xml:space="preserve">En virtud de lo anterior, y con base en lo establecido en el artículo 152 de Ley, resulta procedente la Solicitud de Modificación presentada por </w:t>
      </w:r>
      <w:r w:rsidR="0069017D" w:rsidRPr="005D1E74">
        <w:rPr>
          <w:rFonts w:ascii="ITC Avant Garde" w:hAnsi="ITC Avant Garde"/>
          <w:bCs/>
          <w:color w:val="000000"/>
          <w:sz w:val="22"/>
          <w:szCs w:val="22"/>
        </w:rPr>
        <w:t>Satmex</w:t>
      </w:r>
      <w:r w:rsidRPr="005D1E74">
        <w:rPr>
          <w:rFonts w:ascii="ITC Avant Garde" w:hAnsi="ITC Avant Garde"/>
          <w:bCs/>
          <w:color w:val="000000"/>
          <w:sz w:val="22"/>
          <w:szCs w:val="22"/>
        </w:rPr>
        <w:t xml:space="preserve">, </w:t>
      </w:r>
      <w:r w:rsidR="000A2EB7" w:rsidRPr="005D1E74">
        <w:rPr>
          <w:rFonts w:ascii="ITC Avant Garde" w:hAnsi="ITC Avant Garde"/>
          <w:bCs/>
          <w:color w:val="000000"/>
          <w:sz w:val="22"/>
          <w:szCs w:val="22"/>
        </w:rPr>
        <w:t>toda vez</w:t>
      </w:r>
      <w:r w:rsidRPr="005D1E74">
        <w:rPr>
          <w:rFonts w:ascii="ITC Avant Garde" w:hAnsi="ITC Avant Garde"/>
          <w:bCs/>
          <w:color w:val="000000"/>
          <w:sz w:val="22"/>
          <w:szCs w:val="22"/>
        </w:rPr>
        <w:t xml:space="preserve"> que </w:t>
      </w:r>
      <w:r w:rsidR="0088065F" w:rsidRPr="005D1E74">
        <w:rPr>
          <w:rFonts w:ascii="ITC Avant Garde" w:hAnsi="ITC Avant Garde"/>
          <w:bCs/>
          <w:color w:val="000000"/>
          <w:sz w:val="22"/>
          <w:szCs w:val="22"/>
        </w:rPr>
        <w:t>el concesionario tendría al menos un centro de control y operación en territorio nacional.</w:t>
      </w:r>
    </w:p>
    <w:p w14:paraId="4B258060" w14:textId="77777777" w:rsidR="005D1E74" w:rsidRPr="005D1E74" w:rsidRDefault="00943C21" w:rsidP="005D1E74">
      <w:pPr>
        <w:spacing w:before="240" w:after="240"/>
        <w:jc w:val="both"/>
        <w:rPr>
          <w:rFonts w:ascii="ITC Avant Garde" w:hAnsi="ITC Avant Garde"/>
          <w:bCs/>
          <w:sz w:val="22"/>
          <w:szCs w:val="22"/>
        </w:rPr>
      </w:pPr>
      <w:r w:rsidRPr="005D1E74">
        <w:rPr>
          <w:rFonts w:ascii="ITC Avant Garde" w:hAnsi="ITC Avant Garde"/>
          <w:bCs/>
          <w:sz w:val="22"/>
          <w:szCs w:val="22"/>
        </w:rPr>
        <w:t xml:space="preserve">Por lo anteriormente señalado, y con fundamento en los artículos 28 párrafo décimo quinto, décimo sexto y décimo séptimo de la Constitución Política de los Estados Unidos Mexicanos; 15 fracción IV, 17 fracción I y 152 de la Ley Federal de Telecomunicaciones y Radiodifusión; 35 fracción I, 36, 38, 39 </w:t>
      </w:r>
      <w:r w:rsidRPr="005D1E74">
        <w:rPr>
          <w:rFonts w:ascii="ITC Avant Garde" w:hAnsi="ITC Avant Garde"/>
          <w:bCs/>
          <w:color w:val="000000"/>
          <w:sz w:val="22"/>
          <w:szCs w:val="22"/>
          <w:lang w:eastAsia="es-MX"/>
        </w:rPr>
        <w:t>y 57 fracción I</w:t>
      </w:r>
      <w:r w:rsidRPr="005D1E74">
        <w:rPr>
          <w:rFonts w:ascii="ITC Avant Garde" w:hAnsi="ITC Avant Garde"/>
          <w:bCs/>
          <w:sz w:val="22"/>
          <w:szCs w:val="22"/>
        </w:rPr>
        <w:t xml:space="preserve"> de la Ley Federal de Procedimiento Administrativo; I, 6 fracción I, 32, 33 fracción II y 36 del Estatuto Orgánico del Instituto Federal de Telecomunicaciones, este órgano autónomo emite los siguientes:</w:t>
      </w:r>
    </w:p>
    <w:p w14:paraId="2CE6E12C" w14:textId="77777777" w:rsidR="005D1E74" w:rsidRPr="00CA039C" w:rsidRDefault="0070596E" w:rsidP="00CA039C">
      <w:pPr>
        <w:pStyle w:val="Ttulo2"/>
        <w:spacing w:after="240"/>
        <w:jc w:val="center"/>
        <w:rPr>
          <w:rFonts w:ascii="ITC Avant Garde" w:hAnsi="ITC Avant Garde"/>
          <w:b/>
          <w:color w:val="000000" w:themeColor="text1"/>
          <w:sz w:val="22"/>
          <w:szCs w:val="22"/>
        </w:rPr>
      </w:pPr>
      <w:r w:rsidRPr="00CA039C">
        <w:rPr>
          <w:rFonts w:ascii="ITC Avant Garde" w:hAnsi="ITC Avant Garde"/>
          <w:b/>
          <w:color w:val="000000" w:themeColor="text1"/>
          <w:sz w:val="22"/>
          <w:szCs w:val="22"/>
        </w:rPr>
        <w:lastRenderedPageBreak/>
        <w:t>RESOLUTIVOS</w:t>
      </w:r>
    </w:p>
    <w:p w14:paraId="69071F14" w14:textId="77777777" w:rsidR="005D1E74" w:rsidRPr="005D1E74" w:rsidRDefault="0070596E" w:rsidP="005D1E74">
      <w:pPr>
        <w:spacing w:before="240" w:after="240"/>
        <w:jc w:val="both"/>
        <w:rPr>
          <w:rFonts w:ascii="ITC Avant Garde" w:hAnsi="ITC Avant Garde"/>
          <w:bCs/>
          <w:sz w:val="22"/>
          <w:szCs w:val="22"/>
        </w:rPr>
      </w:pPr>
      <w:r w:rsidRPr="005D1E74">
        <w:rPr>
          <w:rFonts w:ascii="ITC Avant Garde" w:hAnsi="ITC Avant Garde"/>
          <w:b/>
          <w:bCs/>
          <w:color w:val="000000"/>
          <w:sz w:val="22"/>
          <w:szCs w:val="22"/>
          <w:lang w:val="es-MX" w:eastAsia="es-MX"/>
        </w:rPr>
        <w:t xml:space="preserve">PRIMERO.- </w:t>
      </w:r>
      <w:r w:rsidR="0069017D" w:rsidRPr="005D1E74">
        <w:rPr>
          <w:rFonts w:ascii="ITC Avant Garde" w:hAnsi="ITC Avant Garde"/>
          <w:bCs/>
          <w:sz w:val="22"/>
          <w:szCs w:val="22"/>
        </w:rPr>
        <w:t xml:space="preserve">Se autoriza a </w:t>
      </w:r>
      <w:r w:rsidR="0069017D" w:rsidRPr="005D1E74">
        <w:rPr>
          <w:rFonts w:ascii="ITC Avant Garde" w:hAnsi="ITC Avant Garde"/>
          <w:bCs/>
          <w:color w:val="000000"/>
          <w:sz w:val="22"/>
          <w:szCs w:val="22"/>
          <w:lang w:eastAsia="es-MX"/>
        </w:rPr>
        <w:t>Satélites Mexicanos, S.A. de C.V.</w:t>
      </w:r>
      <w:r w:rsidR="0069017D" w:rsidRPr="005D1E74">
        <w:rPr>
          <w:rFonts w:ascii="ITC Avant Garde" w:hAnsi="ITC Avant Garde"/>
          <w:bCs/>
          <w:sz w:val="22"/>
          <w:szCs w:val="22"/>
        </w:rPr>
        <w:t xml:space="preserve">, la modificación de la Condición </w:t>
      </w:r>
      <w:r w:rsidR="008E60E4" w:rsidRPr="005D1E74">
        <w:rPr>
          <w:rFonts w:ascii="ITC Avant Garde" w:hAnsi="ITC Avant Garde"/>
          <w:bCs/>
          <w:sz w:val="22"/>
          <w:szCs w:val="22"/>
        </w:rPr>
        <w:t>1.2</w:t>
      </w:r>
      <w:r w:rsidR="00B841AB" w:rsidRPr="005D1E74">
        <w:rPr>
          <w:rFonts w:ascii="ITC Avant Garde" w:hAnsi="ITC Avant Garde"/>
          <w:bCs/>
          <w:sz w:val="22"/>
          <w:szCs w:val="22"/>
        </w:rPr>
        <w:t>1</w:t>
      </w:r>
      <w:r w:rsidR="008E60E4" w:rsidRPr="005D1E74">
        <w:rPr>
          <w:rFonts w:ascii="ITC Avant Garde" w:hAnsi="ITC Avant Garde"/>
          <w:bCs/>
          <w:sz w:val="22"/>
          <w:szCs w:val="22"/>
        </w:rPr>
        <w:t>.</w:t>
      </w:r>
      <w:r w:rsidR="0069017D" w:rsidRPr="005D1E74">
        <w:rPr>
          <w:rFonts w:ascii="ITC Avant Garde" w:hAnsi="ITC Avant Garde"/>
          <w:bCs/>
          <w:sz w:val="22"/>
          <w:szCs w:val="22"/>
        </w:rPr>
        <w:t xml:space="preserve"> </w:t>
      </w:r>
      <w:r w:rsidR="008E60E4" w:rsidRPr="005D1E74">
        <w:rPr>
          <w:rFonts w:ascii="ITC Avant Garde" w:hAnsi="ITC Avant Garde"/>
          <w:bCs/>
          <w:sz w:val="22"/>
          <w:szCs w:val="22"/>
        </w:rPr>
        <w:t>de</w:t>
      </w:r>
      <w:r w:rsidR="0069017D" w:rsidRPr="005D1E74">
        <w:rPr>
          <w:rFonts w:ascii="ITC Avant Garde" w:hAnsi="ITC Avant Garde"/>
          <w:bCs/>
          <w:sz w:val="22"/>
          <w:szCs w:val="22"/>
        </w:rPr>
        <w:t xml:space="preserve"> </w:t>
      </w:r>
      <w:r w:rsidR="00E71C3B" w:rsidRPr="005D1E74">
        <w:rPr>
          <w:rFonts w:ascii="ITC Avant Garde" w:hAnsi="ITC Avant Garde"/>
          <w:bCs/>
          <w:sz w:val="22"/>
          <w:szCs w:val="22"/>
        </w:rPr>
        <w:t>los títulos de concesión para ocupar las posiciones orbitales geoestacionarias 113.0° O, 114.9° O y 116.8° O, asignadas al país, para la explotación exclusiva de las bandas de frecuencias asociadas 3.7-4.2 GHz y 5.925–6.425 GHz (banda C), 11.7–12.2 GHz y 14–14.5 GHz (banda Ku); así como los derechos de emisión y recepción de señales</w:t>
      </w:r>
      <w:r w:rsidR="008E60E4" w:rsidRPr="005D1E74">
        <w:rPr>
          <w:rFonts w:ascii="ITC Avant Garde" w:hAnsi="ITC Avant Garde"/>
          <w:bCs/>
          <w:sz w:val="22"/>
          <w:szCs w:val="22"/>
        </w:rPr>
        <w:t xml:space="preserve">, otorgados el 23 de octubre de 1997, </w:t>
      </w:r>
      <w:r w:rsidR="005D416E" w:rsidRPr="005D1E74">
        <w:rPr>
          <w:rFonts w:ascii="ITC Avant Garde" w:hAnsi="ITC Avant Garde"/>
          <w:bCs/>
          <w:sz w:val="22"/>
          <w:szCs w:val="22"/>
        </w:rPr>
        <w:t xml:space="preserve">con una vigencia de 20 (veinte) años </w:t>
      </w:r>
      <w:r w:rsidR="008E60E4" w:rsidRPr="005D1E74">
        <w:rPr>
          <w:rFonts w:ascii="ITC Avant Garde" w:hAnsi="ITC Avant Garde"/>
          <w:bCs/>
          <w:sz w:val="22"/>
          <w:szCs w:val="22"/>
        </w:rPr>
        <w:t xml:space="preserve">para quedar de la siguiente manera: </w:t>
      </w:r>
    </w:p>
    <w:p w14:paraId="57D6FC39" w14:textId="30593305" w:rsidR="005D1E74" w:rsidRPr="005D1E74" w:rsidRDefault="008E60E4" w:rsidP="005D1E74">
      <w:pPr>
        <w:autoSpaceDE w:val="0"/>
        <w:autoSpaceDN w:val="0"/>
        <w:adjustRightInd w:val="0"/>
        <w:spacing w:before="240" w:after="240"/>
        <w:ind w:left="1416" w:right="899"/>
        <w:jc w:val="both"/>
        <w:rPr>
          <w:rFonts w:ascii="ITC Avant Garde" w:hAnsi="ITC Avant Garde"/>
          <w:bCs/>
          <w:sz w:val="18"/>
        </w:rPr>
      </w:pPr>
      <w:r w:rsidRPr="005D1E74">
        <w:rPr>
          <w:rFonts w:ascii="ITC Avant Garde" w:hAnsi="ITC Avant Garde"/>
          <w:b/>
          <w:bCs/>
          <w:sz w:val="18"/>
        </w:rPr>
        <w:t xml:space="preserve">“1.21. Operación de los centros de control. </w:t>
      </w:r>
      <w:r w:rsidR="00B841AB" w:rsidRPr="005D1E74">
        <w:rPr>
          <w:rFonts w:ascii="ITC Avant Garde" w:hAnsi="ITC Avant Garde"/>
          <w:bCs/>
          <w:sz w:val="18"/>
        </w:rPr>
        <w:t xml:space="preserve"> </w:t>
      </w:r>
      <w:r w:rsidRPr="005D1E74">
        <w:rPr>
          <w:rFonts w:ascii="ITC Avant Garde" w:hAnsi="ITC Avant Garde"/>
          <w:bCs/>
          <w:sz w:val="18"/>
        </w:rPr>
        <w:t xml:space="preserve">El concesionario </w:t>
      </w:r>
      <w:bookmarkStart w:id="0" w:name="_GoBack"/>
      <w:bookmarkEnd w:id="0"/>
      <w:r w:rsidRPr="005D1E74">
        <w:rPr>
          <w:rFonts w:ascii="ITC Avant Garde" w:hAnsi="ITC Avant Garde"/>
          <w:bCs/>
          <w:sz w:val="18"/>
        </w:rPr>
        <w:t xml:space="preserve">deberá establecer y conservar por lo menos un centro de control </w:t>
      </w:r>
      <w:r w:rsidR="004063CD" w:rsidRPr="005D1E74">
        <w:rPr>
          <w:rFonts w:ascii="ITC Avant Garde" w:hAnsi="ITC Avant Garde"/>
          <w:bCs/>
          <w:sz w:val="18"/>
        </w:rPr>
        <w:t xml:space="preserve">y </w:t>
      </w:r>
      <w:r w:rsidRPr="005D1E74">
        <w:rPr>
          <w:rFonts w:ascii="ITC Avant Garde" w:hAnsi="ITC Avant Garde"/>
          <w:bCs/>
          <w:sz w:val="18"/>
        </w:rPr>
        <w:t xml:space="preserve">operación del </w:t>
      </w:r>
      <w:r w:rsidR="005D416E" w:rsidRPr="005D1E74">
        <w:rPr>
          <w:rFonts w:ascii="ITC Avant Garde" w:hAnsi="ITC Avant Garde"/>
          <w:bCs/>
          <w:sz w:val="18"/>
        </w:rPr>
        <w:t>S</w:t>
      </w:r>
      <w:r w:rsidRPr="005D1E74">
        <w:rPr>
          <w:rFonts w:ascii="ITC Avant Garde" w:hAnsi="ITC Avant Garde"/>
          <w:bCs/>
          <w:sz w:val="18"/>
        </w:rPr>
        <w:t xml:space="preserve">istema </w:t>
      </w:r>
      <w:r w:rsidR="005D416E" w:rsidRPr="005D1E74">
        <w:rPr>
          <w:rFonts w:ascii="ITC Avant Garde" w:hAnsi="ITC Avant Garde"/>
          <w:bCs/>
          <w:sz w:val="18"/>
        </w:rPr>
        <w:t>S</w:t>
      </w:r>
      <w:r w:rsidRPr="005D1E74">
        <w:rPr>
          <w:rFonts w:ascii="ITC Avant Garde" w:hAnsi="ITC Avant Garde"/>
          <w:bCs/>
          <w:sz w:val="18"/>
        </w:rPr>
        <w:t>atelital dentro del territorio nacional, conforme al artículo 152 de la Ley Federal de Telecomunicaciones y Radiodifusión.</w:t>
      </w:r>
    </w:p>
    <w:p w14:paraId="291A8914" w14:textId="77777777" w:rsidR="005D1E74" w:rsidRPr="005D1E74" w:rsidRDefault="008E60E4" w:rsidP="005D1E74">
      <w:pPr>
        <w:autoSpaceDE w:val="0"/>
        <w:autoSpaceDN w:val="0"/>
        <w:adjustRightInd w:val="0"/>
        <w:spacing w:before="240" w:after="240"/>
        <w:ind w:left="1416" w:right="899"/>
        <w:jc w:val="both"/>
        <w:rPr>
          <w:rFonts w:ascii="ITC Avant Garde" w:hAnsi="ITC Avant Garde"/>
          <w:bCs/>
          <w:sz w:val="18"/>
        </w:rPr>
      </w:pPr>
      <w:r w:rsidRPr="005D1E74">
        <w:rPr>
          <w:rFonts w:ascii="ITC Avant Garde" w:hAnsi="ITC Avant Garde"/>
          <w:bCs/>
          <w:sz w:val="18"/>
        </w:rPr>
        <w:t xml:space="preserve">[…]” </w:t>
      </w:r>
    </w:p>
    <w:p w14:paraId="5B17E51B" w14:textId="77777777" w:rsidR="005D1E74" w:rsidRPr="005D1E74" w:rsidRDefault="00E77B70" w:rsidP="005D1E74">
      <w:pPr>
        <w:spacing w:before="240" w:after="240"/>
        <w:jc w:val="both"/>
        <w:rPr>
          <w:rFonts w:ascii="ITC Avant Garde" w:hAnsi="ITC Avant Garde"/>
          <w:bCs/>
          <w:sz w:val="22"/>
          <w:szCs w:val="22"/>
        </w:rPr>
      </w:pPr>
      <w:r w:rsidRPr="005D1E74">
        <w:rPr>
          <w:rFonts w:ascii="ITC Avant Garde" w:hAnsi="ITC Avant Garde"/>
          <w:b/>
          <w:bCs/>
          <w:color w:val="000000"/>
          <w:sz w:val="22"/>
          <w:szCs w:val="22"/>
          <w:lang w:val="es-MX" w:eastAsia="es-MX"/>
        </w:rPr>
        <w:t xml:space="preserve">SEGUNDO.- </w:t>
      </w:r>
      <w:r w:rsidR="008E60E4" w:rsidRPr="005D1E74">
        <w:rPr>
          <w:rFonts w:ascii="ITC Avant Garde" w:hAnsi="ITC Avant Garde"/>
          <w:bCs/>
          <w:sz w:val="22"/>
          <w:szCs w:val="22"/>
        </w:rPr>
        <w:t xml:space="preserve">Se autoriza a </w:t>
      </w:r>
      <w:r w:rsidR="008E60E4" w:rsidRPr="005D1E74">
        <w:rPr>
          <w:rFonts w:ascii="ITC Avant Garde" w:hAnsi="ITC Avant Garde"/>
          <w:bCs/>
          <w:color w:val="000000"/>
          <w:sz w:val="22"/>
          <w:szCs w:val="22"/>
          <w:lang w:eastAsia="es-MX"/>
        </w:rPr>
        <w:t>Satélites Mexicanos, S.A. de C.V.</w:t>
      </w:r>
      <w:r w:rsidR="008E60E4" w:rsidRPr="005D1E74">
        <w:rPr>
          <w:rFonts w:ascii="ITC Avant Garde" w:hAnsi="ITC Avant Garde"/>
          <w:bCs/>
          <w:sz w:val="22"/>
          <w:szCs w:val="22"/>
        </w:rPr>
        <w:t>, la modificación de la Condición</w:t>
      </w:r>
      <w:r w:rsidR="00B841AB" w:rsidRPr="005D1E74">
        <w:rPr>
          <w:rFonts w:ascii="ITC Avant Garde" w:hAnsi="ITC Avant Garde"/>
          <w:bCs/>
          <w:sz w:val="22"/>
          <w:szCs w:val="22"/>
        </w:rPr>
        <w:t xml:space="preserve"> 1.23</w:t>
      </w:r>
      <w:r w:rsidR="008E60E4" w:rsidRPr="005D1E74">
        <w:rPr>
          <w:rFonts w:ascii="ITC Avant Garde" w:hAnsi="ITC Avant Garde"/>
          <w:bCs/>
          <w:sz w:val="22"/>
          <w:szCs w:val="22"/>
        </w:rPr>
        <w:t xml:space="preserve">. de las prórrogas  de los </w:t>
      </w:r>
      <w:r w:rsidR="00E71C3B" w:rsidRPr="005D1E74">
        <w:rPr>
          <w:rFonts w:ascii="ITC Avant Garde" w:hAnsi="ITC Avant Garde"/>
          <w:bCs/>
          <w:sz w:val="22"/>
          <w:szCs w:val="22"/>
        </w:rPr>
        <w:t>títulos de concesión para ocupar las posiciones orbitales geoestacionarias 113.0° O, 114.9° O y 116.8° O, asignadas al país, para la explotación exclusiva de las bandas de frecuencias asociadas 3.7-4.2 GHz y 5.925–6.425 GHz (banda C), 11.7–12.2 GHz y 14–14.5 GHz (banda Ku); así como los derechos de emisión y recepción de señales</w:t>
      </w:r>
      <w:r w:rsidR="00B841AB" w:rsidRPr="005D1E74">
        <w:rPr>
          <w:rFonts w:ascii="ITC Avant Garde" w:hAnsi="ITC Avant Garde"/>
          <w:bCs/>
          <w:sz w:val="22"/>
          <w:szCs w:val="22"/>
        </w:rPr>
        <w:t>, otorgada</w:t>
      </w:r>
      <w:r w:rsidR="008E60E4" w:rsidRPr="005D1E74">
        <w:rPr>
          <w:rFonts w:ascii="ITC Avant Garde" w:hAnsi="ITC Avant Garde"/>
          <w:bCs/>
          <w:sz w:val="22"/>
          <w:szCs w:val="22"/>
        </w:rPr>
        <w:t>s el 26 de mayo de 2011, con una vigencia de 20</w:t>
      </w:r>
      <w:r w:rsidR="005D416E" w:rsidRPr="005D1E74">
        <w:rPr>
          <w:rFonts w:ascii="ITC Avant Garde" w:hAnsi="ITC Avant Garde"/>
          <w:bCs/>
          <w:sz w:val="22"/>
          <w:szCs w:val="22"/>
        </w:rPr>
        <w:t xml:space="preserve"> (veinte)</w:t>
      </w:r>
      <w:r w:rsidR="008E60E4" w:rsidRPr="005D1E74">
        <w:rPr>
          <w:rFonts w:ascii="ITC Avant Garde" w:hAnsi="ITC Avant Garde"/>
          <w:bCs/>
          <w:sz w:val="22"/>
          <w:szCs w:val="22"/>
        </w:rPr>
        <w:t xml:space="preserve"> años contados a p</w:t>
      </w:r>
      <w:r w:rsidR="00B841AB" w:rsidRPr="005D1E74">
        <w:rPr>
          <w:rFonts w:ascii="ITC Avant Garde" w:hAnsi="ITC Avant Garde"/>
          <w:bCs/>
          <w:sz w:val="22"/>
          <w:szCs w:val="22"/>
        </w:rPr>
        <w:t>artir del 24 de octubre de 2017</w:t>
      </w:r>
      <w:r w:rsidR="008E60E4" w:rsidRPr="005D1E74">
        <w:rPr>
          <w:rFonts w:ascii="ITC Avant Garde" w:hAnsi="ITC Avant Garde"/>
          <w:bCs/>
          <w:sz w:val="22"/>
          <w:szCs w:val="22"/>
        </w:rPr>
        <w:t xml:space="preserve"> , para quedar de la siguiente manera: </w:t>
      </w:r>
    </w:p>
    <w:p w14:paraId="36B030C0" w14:textId="7A098A9F" w:rsidR="008E60E4" w:rsidRPr="005D1E74" w:rsidRDefault="008E60E4" w:rsidP="005D1E74">
      <w:pPr>
        <w:autoSpaceDE w:val="0"/>
        <w:autoSpaceDN w:val="0"/>
        <w:adjustRightInd w:val="0"/>
        <w:spacing w:before="240" w:after="240"/>
        <w:ind w:left="1416" w:right="899"/>
        <w:jc w:val="both"/>
        <w:rPr>
          <w:rFonts w:ascii="ITC Avant Garde" w:hAnsi="ITC Avant Garde"/>
          <w:bCs/>
          <w:sz w:val="18"/>
        </w:rPr>
      </w:pPr>
      <w:r w:rsidRPr="005D1E74">
        <w:rPr>
          <w:rFonts w:ascii="ITC Avant Garde" w:hAnsi="ITC Avant Garde"/>
          <w:b/>
          <w:bCs/>
          <w:sz w:val="18"/>
        </w:rPr>
        <w:t>“1.2</w:t>
      </w:r>
      <w:r w:rsidR="00B841AB" w:rsidRPr="005D1E74">
        <w:rPr>
          <w:rFonts w:ascii="ITC Avant Garde" w:hAnsi="ITC Avant Garde"/>
          <w:b/>
          <w:bCs/>
          <w:sz w:val="18"/>
        </w:rPr>
        <w:t>3</w:t>
      </w:r>
      <w:r w:rsidRPr="005D1E74">
        <w:rPr>
          <w:rFonts w:ascii="ITC Avant Garde" w:hAnsi="ITC Avant Garde"/>
          <w:b/>
          <w:bCs/>
          <w:sz w:val="18"/>
        </w:rPr>
        <w:t xml:space="preserve">. Operación de los centros de control. </w:t>
      </w:r>
      <w:r w:rsidR="006602B9" w:rsidRPr="005D1E74">
        <w:rPr>
          <w:rFonts w:ascii="ITC Avant Garde" w:hAnsi="ITC Avant Garde"/>
          <w:bCs/>
          <w:sz w:val="18"/>
        </w:rPr>
        <w:t xml:space="preserve"> </w:t>
      </w:r>
      <w:r w:rsidRPr="005D1E74">
        <w:rPr>
          <w:rFonts w:ascii="ITC Avant Garde" w:hAnsi="ITC Avant Garde"/>
          <w:bCs/>
          <w:sz w:val="18"/>
        </w:rPr>
        <w:t>El concesionario deberá establecer y conservar por lo menos un cent</w:t>
      </w:r>
      <w:r w:rsidR="005D416E" w:rsidRPr="005D1E74">
        <w:rPr>
          <w:rFonts w:ascii="ITC Avant Garde" w:hAnsi="ITC Avant Garde"/>
          <w:bCs/>
          <w:sz w:val="18"/>
        </w:rPr>
        <w:t xml:space="preserve">ro de control </w:t>
      </w:r>
      <w:r w:rsidR="004063CD" w:rsidRPr="005D1E74">
        <w:rPr>
          <w:rFonts w:ascii="ITC Avant Garde" w:hAnsi="ITC Avant Garde"/>
          <w:bCs/>
          <w:sz w:val="18"/>
        </w:rPr>
        <w:t xml:space="preserve">y </w:t>
      </w:r>
      <w:r w:rsidR="005D416E" w:rsidRPr="005D1E74">
        <w:rPr>
          <w:rFonts w:ascii="ITC Avant Garde" w:hAnsi="ITC Avant Garde"/>
          <w:bCs/>
          <w:sz w:val="18"/>
        </w:rPr>
        <w:t>operación del S</w:t>
      </w:r>
      <w:r w:rsidRPr="005D1E74">
        <w:rPr>
          <w:rFonts w:ascii="ITC Avant Garde" w:hAnsi="ITC Avant Garde"/>
          <w:bCs/>
          <w:sz w:val="18"/>
        </w:rPr>
        <w:t xml:space="preserve">istema </w:t>
      </w:r>
      <w:r w:rsidR="005D416E" w:rsidRPr="005D1E74">
        <w:rPr>
          <w:rFonts w:ascii="ITC Avant Garde" w:hAnsi="ITC Avant Garde"/>
          <w:bCs/>
          <w:sz w:val="18"/>
        </w:rPr>
        <w:t>S</w:t>
      </w:r>
      <w:r w:rsidRPr="005D1E74">
        <w:rPr>
          <w:rFonts w:ascii="ITC Avant Garde" w:hAnsi="ITC Avant Garde"/>
          <w:bCs/>
          <w:sz w:val="18"/>
        </w:rPr>
        <w:t>atelital dentro del territorio nacional, conforme al artículo 152 de la Ley Federal de Telecomunicaciones y Radiodifusión.</w:t>
      </w:r>
    </w:p>
    <w:p w14:paraId="76A7B526" w14:textId="77777777" w:rsidR="005D1E74" w:rsidRPr="005D1E74" w:rsidRDefault="008E60E4" w:rsidP="005D1E74">
      <w:pPr>
        <w:autoSpaceDE w:val="0"/>
        <w:autoSpaceDN w:val="0"/>
        <w:adjustRightInd w:val="0"/>
        <w:spacing w:before="240" w:after="240"/>
        <w:ind w:left="1416" w:right="899"/>
        <w:jc w:val="both"/>
        <w:rPr>
          <w:rFonts w:ascii="ITC Avant Garde" w:hAnsi="ITC Avant Garde"/>
          <w:bCs/>
          <w:sz w:val="18"/>
        </w:rPr>
      </w:pPr>
      <w:r w:rsidRPr="005D1E74">
        <w:rPr>
          <w:rFonts w:ascii="ITC Avant Garde" w:hAnsi="ITC Avant Garde"/>
          <w:bCs/>
          <w:sz w:val="18"/>
        </w:rPr>
        <w:t xml:space="preserve">[…]” </w:t>
      </w:r>
    </w:p>
    <w:p w14:paraId="3875D4CF" w14:textId="77777777" w:rsidR="005D1E74" w:rsidRPr="005D1E74" w:rsidRDefault="008E60E4" w:rsidP="005D1E74">
      <w:pPr>
        <w:autoSpaceDE w:val="0"/>
        <w:autoSpaceDN w:val="0"/>
        <w:adjustRightInd w:val="0"/>
        <w:spacing w:before="240" w:after="240"/>
        <w:jc w:val="both"/>
        <w:rPr>
          <w:rFonts w:ascii="ITC Avant Garde" w:hAnsi="ITC Avant Garde"/>
          <w:bCs/>
          <w:sz w:val="22"/>
          <w:szCs w:val="22"/>
          <w:lang w:val="es-MX" w:eastAsia="en-US"/>
        </w:rPr>
      </w:pPr>
      <w:r w:rsidRPr="005D1E74">
        <w:rPr>
          <w:rFonts w:ascii="ITC Avant Garde" w:hAnsi="ITC Avant Garde"/>
          <w:b/>
          <w:bCs/>
          <w:sz w:val="22"/>
          <w:szCs w:val="22"/>
        </w:rPr>
        <w:t>TERCERO</w:t>
      </w:r>
      <w:r w:rsidRPr="005D1E74">
        <w:rPr>
          <w:rFonts w:ascii="ITC Avant Garde" w:hAnsi="ITC Avant Garde"/>
          <w:bCs/>
          <w:sz w:val="22"/>
          <w:szCs w:val="22"/>
        </w:rPr>
        <w:t>.- La presente modificación forma parte integrant</w:t>
      </w:r>
      <w:r w:rsidR="00C72A05" w:rsidRPr="005D1E74">
        <w:rPr>
          <w:rFonts w:ascii="ITC Avant Garde" w:hAnsi="ITC Avant Garde"/>
          <w:bCs/>
          <w:sz w:val="22"/>
          <w:szCs w:val="22"/>
        </w:rPr>
        <w:t>e de los</w:t>
      </w:r>
      <w:r w:rsidRPr="005D1E74">
        <w:rPr>
          <w:rFonts w:ascii="ITC Avant Garde" w:hAnsi="ITC Avant Garde"/>
          <w:bCs/>
          <w:sz w:val="22"/>
          <w:szCs w:val="22"/>
        </w:rPr>
        <w:t xml:space="preserve"> título</w:t>
      </w:r>
      <w:r w:rsidR="00C72A05" w:rsidRPr="005D1E74">
        <w:rPr>
          <w:rFonts w:ascii="ITC Avant Garde" w:hAnsi="ITC Avant Garde"/>
          <w:bCs/>
          <w:sz w:val="22"/>
          <w:szCs w:val="22"/>
        </w:rPr>
        <w:t>s</w:t>
      </w:r>
      <w:r w:rsidRPr="005D1E74">
        <w:rPr>
          <w:rFonts w:ascii="ITC Avant Garde" w:hAnsi="ITC Avant Garde"/>
          <w:bCs/>
          <w:sz w:val="22"/>
          <w:szCs w:val="22"/>
        </w:rPr>
        <w:t xml:space="preserve"> de concesión referido</w:t>
      </w:r>
      <w:r w:rsidR="00C72A05" w:rsidRPr="005D1E74">
        <w:rPr>
          <w:rFonts w:ascii="ITC Avant Garde" w:hAnsi="ITC Avant Garde"/>
          <w:bCs/>
          <w:sz w:val="22"/>
          <w:szCs w:val="22"/>
        </w:rPr>
        <w:t>s</w:t>
      </w:r>
      <w:r w:rsidRPr="005D1E74">
        <w:rPr>
          <w:rFonts w:ascii="ITC Avant Garde" w:hAnsi="ITC Avant Garde"/>
          <w:bCs/>
          <w:sz w:val="22"/>
          <w:szCs w:val="22"/>
        </w:rPr>
        <w:t xml:space="preserve"> en el Antecede</w:t>
      </w:r>
      <w:r w:rsidR="00B841AB" w:rsidRPr="005D1E74">
        <w:rPr>
          <w:rFonts w:ascii="ITC Avant Garde" w:hAnsi="ITC Avant Garde"/>
          <w:bCs/>
          <w:sz w:val="22"/>
          <w:szCs w:val="22"/>
        </w:rPr>
        <w:t xml:space="preserve">nte I de la presente Resolución, así como de sus respectivas </w:t>
      </w:r>
      <w:r w:rsidR="00C72A05" w:rsidRPr="005D1E74">
        <w:rPr>
          <w:rFonts w:ascii="ITC Avant Garde" w:hAnsi="ITC Avant Garde"/>
          <w:bCs/>
          <w:sz w:val="22"/>
          <w:szCs w:val="22"/>
        </w:rPr>
        <w:t>p</w:t>
      </w:r>
      <w:r w:rsidR="00B841AB" w:rsidRPr="005D1E74">
        <w:rPr>
          <w:rFonts w:ascii="ITC Avant Garde" w:hAnsi="ITC Avant Garde"/>
          <w:bCs/>
          <w:sz w:val="22"/>
          <w:szCs w:val="22"/>
        </w:rPr>
        <w:t>rórrogas, referida</w:t>
      </w:r>
      <w:r w:rsidR="00C72A05" w:rsidRPr="005D1E74">
        <w:rPr>
          <w:rFonts w:ascii="ITC Avant Garde" w:hAnsi="ITC Avant Garde"/>
          <w:bCs/>
          <w:sz w:val="22"/>
          <w:szCs w:val="22"/>
        </w:rPr>
        <w:t>s en el Antecedente V de la presente Resolución.</w:t>
      </w:r>
    </w:p>
    <w:p w14:paraId="636B917B" w14:textId="77777777" w:rsidR="005D1E74" w:rsidRPr="005D1E74" w:rsidRDefault="00A87ACB" w:rsidP="005D1E74">
      <w:pPr>
        <w:autoSpaceDE w:val="0"/>
        <w:autoSpaceDN w:val="0"/>
        <w:adjustRightInd w:val="0"/>
        <w:spacing w:before="240" w:after="240"/>
        <w:jc w:val="both"/>
        <w:rPr>
          <w:rFonts w:ascii="ITC Avant Garde" w:hAnsi="ITC Avant Garde"/>
          <w:bCs/>
          <w:sz w:val="22"/>
          <w:szCs w:val="22"/>
          <w:lang w:eastAsia="en-US"/>
        </w:rPr>
      </w:pPr>
      <w:r w:rsidRPr="005D1E74">
        <w:rPr>
          <w:rFonts w:ascii="ITC Avant Garde" w:hAnsi="ITC Avant Garde"/>
          <w:b/>
          <w:bCs/>
          <w:sz w:val="22"/>
          <w:szCs w:val="22"/>
        </w:rPr>
        <w:t>CUART</w:t>
      </w:r>
      <w:r w:rsidR="008E60E4" w:rsidRPr="005D1E74">
        <w:rPr>
          <w:rFonts w:ascii="ITC Avant Garde" w:hAnsi="ITC Avant Garde"/>
          <w:b/>
          <w:bCs/>
          <w:sz w:val="22"/>
          <w:szCs w:val="22"/>
        </w:rPr>
        <w:t>O.-</w:t>
      </w:r>
      <w:r w:rsidR="008E60E4" w:rsidRPr="005D1E74">
        <w:rPr>
          <w:rFonts w:ascii="ITC Avant Garde" w:hAnsi="ITC Avant Garde"/>
          <w:sz w:val="22"/>
          <w:szCs w:val="22"/>
        </w:rPr>
        <w:t xml:space="preserve"> </w:t>
      </w:r>
      <w:r w:rsidR="00C72A05" w:rsidRPr="005D1E74">
        <w:rPr>
          <w:rFonts w:ascii="ITC Avant Garde" w:hAnsi="ITC Avant Garde"/>
          <w:bCs/>
          <w:sz w:val="22"/>
          <w:szCs w:val="22"/>
        </w:rPr>
        <w:t xml:space="preserve">Las demás obligaciones establecidas en </w:t>
      </w:r>
      <w:r w:rsidRPr="005D1E74">
        <w:rPr>
          <w:rFonts w:ascii="ITC Avant Garde" w:hAnsi="ITC Avant Garde"/>
          <w:bCs/>
          <w:sz w:val="22"/>
          <w:szCs w:val="22"/>
        </w:rPr>
        <w:t>los</w:t>
      </w:r>
      <w:r w:rsidR="00C72A05" w:rsidRPr="005D1E74">
        <w:rPr>
          <w:rFonts w:ascii="ITC Avant Garde" w:hAnsi="ITC Avant Garde"/>
          <w:bCs/>
          <w:sz w:val="22"/>
          <w:szCs w:val="22"/>
        </w:rPr>
        <w:t xml:space="preserve"> título</w:t>
      </w:r>
      <w:r w:rsidRPr="005D1E74">
        <w:rPr>
          <w:rFonts w:ascii="ITC Avant Garde" w:hAnsi="ITC Avant Garde"/>
          <w:bCs/>
          <w:sz w:val="22"/>
          <w:szCs w:val="22"/>
        </w:rPr>
        <w:t>s</w:t>
      </w:r>
      <w:r w:rsidR="00C72A05" w:rsidRPr="005D1E74">
        <w:rPr>
          <w:rFonts w:ascii="ITC Avant Garde" w:hAnsi="ITC Avant Garde"/>
          <w:bCs/>
          <w:sz w:val="22"/>
          <w:szCs w:val="22"/>
        </w:rPr>
        <w:t xml:space="preserve"> de concesión señalado</w:t>
      </w:r>
      <w:r w:rsidRPr="005D1E74">
        <w:rPr>
          <w:rFonts w:ascii="ITC Avant Garde" w:hAnsi="ITC Avant Garde"/>
          <w:bCs/>
          <w:sz w:val="22"/>
          <w:szCs w:val="22"/>
        </w:rPr>
        <w:t>s</w:t>
      </w:r>
      <w:r w:rsidR="00C72A05" w:rsidRPr="005D1E74">
        <w:rPr>
          <w:rFonts w:ascii="ITC Avant Garde" w:hAnsi="ITC Avant Garde"/>
          <w:bCs/>
          <w:sz w:val="22"/>
          <w:szCs w:val="22"/>
        </w:rPr>
        <w:t xml:space="preserve"> y su</w:t>
      </w:r>
      <w:r w:rsidRPr="005D1E74">
        <w:rPr>
          <w:rFonts w:ascii="ITC Avant Garde" w:hAnsi="ITC Avant Garde"/>
          <w:bCs/>
          <w:sz w:val="22"/>
          <w:szCs w:val="22"/>
        </w:rPr>
        <w:t>s respectivas prórrogas</w:t>
      </w:r>
      <w:r w:rsidR="00C72A05" w:rsidRPr="005D1E74">
        <w:rPr>
          <w:rFonts w:ascii="ITC Avant Garde" w:hAnsi="ITC Avant Garde"/>
          <w:bCs/>
          <w:sz w:val="22"/>
          <w:szCs w:val="22"/>
        </w:rPr>
        <w:t>, subsisten en todos sus términos.</w:t>
      </w:r>
    </w:p>
    <w:p w14:paraId="0E9E159F" w14:textId="1D08532C" w:rsidR="005D1E74" w:rsidRPr="005D1E74" w:rsidRDefault="00A87ACB" w:rsidP="005D1E74">
      <w:pPr>
        <w:spacing w:before="240" w:after="240"/>
        <w:jc w:val="both"/>
        <w:rPr>
          <w:rFonts w:ascii="ITC Avant Garde" w:hAnsi="ITC Avant Garde"/>
          <w:bCs/>
          <w:color w:val="000000"/>
          <w:sz w:val="22"/>
          <w:szCs w:val="22"/>
          <w:lang w:eastAsia="es-MX"/>
        </w:rPr>
      </w:pPr>
      <w:r w:rsidRPr="005D1E74">
        <w:rPr>
          <w:rFonts w:ascii="ITC Avant Garde" w:hAnsi="ITC Avant Garde"/>
          <w:b/>
          <w:bCs/>
          <w:sz w:val="22"/>
          <w:szCs w:val="22"/>
        </w:rPr>
        <w:t>QUINT</w:t>
      </w:r>
      <w:r w:rsidR="008E60E4" w:rsidRPr="005D1E74">
        <w:rPr>
          <w:rFonts w:ascii="ITC Avant Garde" w:hAnsi="ITC Avant Garde"/>
          <w:b/>
          <w:bCs/>
          <w:sz w:val="22"/>
          <w:szCs w:val="22"/>
        </w:rPr>
        <w:t xml:space="preserve">O.- </w:t>
      </w:r>
      <w:r w:rsidR="00C72A05" w:rsidRPr="005D1E74">
        <w:rPr>
          <w:rFonts w:ascii="ITC Avant Garde" w:hAnsi="ITC Avant Garde"/>
          <w:bCs/>
          <w:sz w:val="22"/>
          <w:szCs w:val="22"/>
          <w:lang w:val="es-ES_tradnl"/>
        </w:rPr>
        <w:t xml:space="preserve">Se instruye a la Unidad de Concesiones y Servicios a notificar a </w:t>
      </w:r>
      <w:r w:rsidR="00C72A05" w:rsidRPr="005D1E74">
        <w:rPr>
          <w:rFonts w:ascii="ITC Avant Garde" w:hAnsi="ITC Avant Garde"/>
          <w:bCs/>
          <w:color w:val="000000"/>
          <w:sz w:val="22"/>
          <w:szCs w:val="22"/>
          <w:lang w:eastAsia="es-MX"/>
        </w:rPr>
        <w:t>Satélites Mexicanos, S.A. de C.V.</w:t>
      </w:r>
      <w:r w:rsidR="00C72A05" w:rsidRPr="005D1E74">
        <w:rPr>
          <w:rFonts w:ascii="ITC Avant Garde" w:hAnsi="ITC Avant Garde"/>
          <w:bCs/>
          <w:sz w:val="22"/>
          <w:szCs w:val="22"/>
          <w:lang w:val="es-ES_tradnl"/>
        </w:rPr>
        <w:t>, el contenido de la presente Resolución</w:t>
      </w:r>
      <w:r w:rsidR="00C72A05" w:rsidRPr="005D1E74">
        <w:rPr>
          <w:rFonts w:ascii="ITC Avant Garde" w:hAnsi="ITC Avant Garde"/>
          <w:bCs/>
          <w:color w:val="000000"/>
          <w:sz w:val="22"/>
          <w:szCs w:val="22"/>
          <w:lang w:eastAsia="es-MX"/>
        </w:rPr>
        <w:t>.</w:t>
      </w:r>
    </w:p>
    <w:p w14:paraId="429BC842" w14:textId="77777777" w:rsidR="005D1E74" w:rsidRPr="005D1E74" w:rsidRDefault="00A87ACB" w:rsidP="005D1E74">
      <w:pPr>
        <w:spacing w:before="240" w:after="240"/>
        <w:jc w:val="both"/>
        <w:rPr>
          <w:rFonts w:ascii="ITC Avant Garde" w:eastAsia="Calibri" w:hAnsi="ITC Avant Garde"/>
          <w:bCs/>
          <w:sz w:val="22"/>
          <w:szCs w:val="22"/>
          <w:lang w:val="es-MX" w:eastAsia="en-US"/>
        </w:rPr>
      </w:pPr>
      <w:r w:rsidRPr="005D1E74">
        <w:rPr>
          <w:rFonts w:ascii="ITC Avant Garde" w:hAnsi="ITC Avant Garde"/>
          <w:b/>
          <w:bCs/>
          <w:sz w:val="22"/>
          <w:szCs w:val="22"/>
        </w:rPr>
        <w:t>SEXT</w:t>
      </w:r>
      <w:r w:rsidR="00C72A05" w:rsidRPr="005D1E74">
        <w:rPr>
          <w:rFonts w:ascii="ITC Avant Garde" w:hAnsi="ITC Avant Garde"/>
          <w:b/>
          <w:bCs/>
          <w:sz w:val="22"/>
          <w:szCs w:val="22"/>
        </w:rPr>
        <w:t>O.-</w:t>
      </w:r>
      <w:r w:rsidR="00C72A05" w:rsidRPr="005D1E74">
        <w:rPr>
          <w:rFonts w:ascii="ITC Avant Garde" w:hAnsi="ITC Avant Garde"/>
          <w:bCs/>
          <w:sz w:val="22"/>
          <w:szCs w:val="22"/>
        </w:rPr>
        <w:t xml:space="preserve"> </w:t>
      </w:r>
      <w:r w:rsidR="008E60E4" w:rsidRPr="005D1E74">
        <w:rPr>
          <w:rFonts w:ascii="ITC Avant Garde" w:hAnsi="ITC Avant Garde"/>
          <w:bCs/>
          <w:sz w:val="22"/>
          <w:szCs w:val="22"/>
        </w:rPr>
        <w:t>Inscríbanse en el Registro Público de Concesiones las modificaciones a que se refiere la presente Resolución.</w:t>
      </w:r>
    </w:p>
    <w:p w14:paraId="7CDAE556" w14:textId="30B8F500" w:rsidR="005D1E74" w:rsidRPr="005D1E74" w:rsidRDefault="00B405AC" w:rsidP="005D1E74">
      <w:pPr>
        <w:jc w:val="both"/>
        <w:rPr>
          <w:rFonts w:ascii="ITC Avant Garde" w:hAnsi="ITC Avant Garde"/>
          <w:sz w:val="13"/>
          <w:szCs w:val="13"/>
        </w:rPr>
      </w:pPr>
      <w:r w:rsidRPr="005D1E74">
        <w:rPr>
          <w:rFonts w:ascii="ITC Avant Garde" w:hAnsi="ITC Avant Garde"/>
          <w:sz w:val="13"/>
          <w:szCs w:val="13"/>
        </w:rPr>
        <w:t xml:space="preserve">La presente Resolución fue aprobada por el Pleno del Instituto Federal de Telecomunicaciones en su XL Sesión Ordinaria celebrada el 4 de octubre de 2017, por </w:t>
      </w:r>
      <w:r w:rsidRPr="005D1E74">
        <w:rPr>
          <w:rFonts w:ascii="ITC Avant Garde" w:hAnsi="ITC Avant Garde"/>
          <w:bCs/>
          <w:sz w:val="13"/>
          <w:szCs w:val="13"/>
        </w:rPr>
        <w:t>unanimidad</w:t>
      </w:r>
      <w:r w:rsidRPr="005D1E74">
        <w:rPr>
          <w:rFonts w:ascii="ITC Avant Garde" w:hAnsi="ITC Avant Garde"/>
          <w:sz w:val="13"/>
          <w:szCs w:val="13"/>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P/IFT/041017/601.</w:t>
      </w:r>
    </w:p>
    <w:p w14:paraId="203F2B1F" w14:textId="3A0F6359" w:rsidR="00B405AC" w:rsidRPr="005D1E74" w:rsidRDefault="00B405AC" w:rsidP="005D1E74">
      <w:pPr>
        <w:pStyle w:val="N1IFT"/>
        <w:spacing w:after="0" w:line="240" w:lineRule="auto"/>
        <w:rPr>
          <w:b w:val="0"/>
          <w:bCs w:val="0"/>
          <w:sz w:val="13"/>
          <w:szCs w:val="13"/>
          <w:lang w:val="es-ES"/>
        </w:rPr>
      </w:pPr>
      <w:r w:rsidRPr="005D1E74">
        <w:rPr>
          <w:b w:val="0"/>
          <w:bCs w:val="0"/>
          <w:sz w:val="13"/>
          <w:szCs w:val="13"/>
          <w:lang w:val="es-ES"/>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B405AC" w:rsidRPr="005D1E74" w:rsidSect="00BB4FCB">
      <w:footerReference w:type="even" r:id="rId8"/>
      <w:footerReference w:type="default" r:id="rId9"/>
      <w:headerReference w:type="first" r:id="rId10"/>
      <w:footerReference w:type="first" r:id="rId11"/>
      <w:pgSz w:w="12240" w:h="15840" w:code="1"/>
      <w:pgMar w:top="2269" w:right="1134" w:bottom="1134" w:left="1134" w:header="992" w:footer="4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9682D" w14:textId="77777777" w:rsidR="00822F05" w:rsidRDefault="00822F05">
      <w:r>
        <w:separator/>
      </w:r>
    </w:p>
  </w:endnote>
  <w:endnote w:type="continuationSeparator" w:id="0">
    <w:p w14:paraId="6E44B9B9" w14:textId="77777777" w:rsidR="00822F05" w:rsidRDefault="0082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 Avant Garde Std Bk">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36DF6" w14:textId="77777777" w:rsidR="005D1E74" w:rsidRDefault="00184B9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BD665E1" w14:textId="0875EFF6" w:rsidR="00184B9A" w:rsidRDefault="00184B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7C817" w14:textId="08399D9E" w:rsidR="00BB4FCB" w:rsidRPr="004465B5" w:rsidRDefault="00184B9A" w:rsidP="005D1E74">
    <w:pPr>
      <w:jc w:val="right"/>
      <w:rPr>
        <w:rFonts w:ascii="ITC Avant Garde" w:hAnsi="ITC Avant Garde"/>
        <w:sz w:val="18"/>
        <w:szCs w:val="18"/>
      </w:rPr>
    </w:pPr>
    <w:r w:rsidRPr="004465B5">
      <w:rPr>
        <w:rFonts w:ascii="ITC Avant Garde" w:hAnsi="ITC Avant Garde"/>
        <w:sz w:val="18"/>
        <w:szCs w:val="18"/>
      </w:rPr>
      <w:fldChar w:fldCharType="begin"/>
    </w:r>
    <w:r w:rsidRPr="004465B5">
      <w:rPr>
        <w:rFonts w:ascii="ITC Avant Garde" w:hAnsi="ITC Avant Garde"/>
        <w:sz w:val="18"/>
        <w:szCs w:val="18"/>
      </w:rPr>
      <w:instrText xml:space="preserve"> PAGE </w:instrText>
    </w:r>
    <w:r w:rsidRPr="004465B5">
      <w:rPr>
        <w:rFonts w:ascii="ITC Avant Garde" w:hAnsi="ITC Avant Garde"/>
        <w:sz w:val="18"/>
        <w:szCs w:val="18"/>
      </w:rPr>
      <w:fldChar w:fldCharType="separate"/>
    </w:r>
    <w:r w:rsidR="00CA039C">
      <w:rPr>
        <w:rFonts w:ascii="ITC Avant Garde" w:hAnsi="ITC Avant Garde"/>
        <w:noProof/>
        <w:sz w:val="18"/>
        <w:szCs w:val="18"/>
      </w:rPr>
      <w:t>7</w:t>
    </w:r>
    <w:r w:rsidRPr="004465B5">
      <w:rPr>
        <w:rFonts w:ascii="ITC Avant Garde" w:hAnsi="ITC Avant Garde"/>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90884" w14:textId="77777777" w:rsidR="00184B9A" w:rsidRPr="004C7979" w:rsidRDefault="00822F05" w:rsidP="009D2651">
    <w:pPr>
      <w:pStyle w:val="Piedepgina"/>
      <w:jc w:val="right"/>
      <w:rPr>
        <w:sz w:val="18"/>
        <w:szCs w:val="18"/>
      </w:rPr>
    </w:pPr>
    <w:r>
      <w:rPr>
        <w:rFonts w:ascii="ITC Avant Garde" w:hAnsi="ITC Avant Garde"/>
        <w:noProof/>
        <w:sz w:val="16"/>
        <w:szCs w:val="16"/>
        <w:lang w:val="es-MX" w:eastAsia="es-MX"/>
      </w:rPr>
      <w:pict w14:anchorId="7B64A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49" type="#_x0000_t75" style="position:absolute;left:0;text-align:left;margin-left:-56.7pt;margin-top:434.15pt;width:184.4pt;height:225.5pt;z-index:-251658240;mso-position-horizontal-relative:margin;mso-position-vertical-relative:margin" o:allowincell="f">
          <v:imagedata r:id="rId1" o:title="hoja membretada s dir-01" croptop="46876f" cropright="45790f"/>
          <w10:wrap anchorx="margin" anchory="margin"/>
        </v:shape>
      </w:pict>
    </w:r>
    <w:r w:rsidR="00184B9A" w:rsidRPr="004C7979">
      <w:rPr>
        <w:rFonts w:ascii="ITC Avant Garde" w:hAnsi="ITC Avant Garde" w:cs="Calibri"/>
        <w:sz w:val="18"/>
        <w:szCs w:val="18"/>
      </w:rPr>
      <w:fldChar w:fldCharType="begin"/>
    </w:r>
    <w:r w:rsidR="00184B9A" w:rsidRPr="004C7979">
      <w:rPr>
        <w:rFonts w:ascii="ITC Avant Garde" w:hAnsi="ITC Avant Garde" w:cs="Calibri"/>
        <w:sz w:val="18"/>
        <w:szCs w:val="18"/>
      </w:rPr>
      <w:instrText>PAGE</w:instrText>
    </w:r>
    <w:r w:rsidR="00184B9A" w:rsidRPr="004C7979">
      <w:rPr>
        <w:rFonts w:ascii="ITC Avant Garde" w:hAnsi="ITC Avant Garde" w:cs="Calibri"/>
        <w:sz w:val="18"/>
        <w:szCs w:val="18"/>
      </w:rPr>
      <w:fldChar w:fldCharType="separate"/>
    </w:r>
    <w:r w:rsidR="00BB4FCB">
      <w:rPr>
        <w:rFonts w:ascii="ITC Avant Garde" w:hAnsi="ITC Avant Garde" w:cs="Calibri"/>
        <w:noProof/>
        <w:sz w:val="18"/>
        <w:szCs w:val="18"/>
      </w:rPr>
      <w:t>1</w:t>
    </w:r>
    <w:r w:rsidR="00184B9A" w:rsidRPr="004C7979">
      <w:rPr>
        <w:rFonts w:ascii="ITC Avant Garde" w:hAnsi="ITC Avant Garde" w:cs="Calibri"/>
        <w:sz w:val="18"/>
        <w:szCs w:val="18"/>
      </w:rPr>
      <w:fldChar w:fldCharType="end"/>
    </w:r>
    <w:r w:rsidR="00184B9A" w:rsidRPr="004C7979">
      <w:rPr>
        <w:rFonts w:ascii="ITC Avant Garde" w:hAnsi="ITC Avant Garde" w:cs="Calibri"/>
        <w:sz w:val="18"/>
        <w:szCs w:val="18"/>
      </w:rPr>
      <w:t xml:space="preserve"> de </w:t>
    </w:r>
    <w:r w:rsidR="00184B9A" w:rsidRPr="004C7979">
      <w:rPr>
        <w:rFonts w:ascii="ITC Avant Garde" w:hAnsi="ITC Avant Garde" w:cs="Calibri"/>
        <w:sz w:val="18"/>
        <w:szCs w:val="18"/>
      </w:rPr>
      <w:fldChar w:fldCharType="begin"/>
    </w:r>
    <w:r w:rsidR="00184B9A" w:rsidRPr="004C7979">
      <w:rPr>
        <w:rFonts w:ascii="ITC Avant Garde" w:hAnsi="ITC Avant Garde" w:cs="Calibri"/>
        <w:sz w:val="18"/>
        <w:szCs w:val="18"/>
      </w:rPr>
      <w:instrText>NUMPAGES</w:instrText>
    </w:r>
    <w:r w:rsidR="00184B9A" w:rsidRPr="004C7979">
      <w:rPr>
        <w:rFonts w:ascii="ITC Avant Garde" w:hAnsi="ITC Avant Garde" w:cs="Calibri"/>
        <w:sz w:val="18"/>
        <w:szCs w:val="18"/>
      </w:rPr>
      <w:fldChar w:fldCharType="separate"/>
    </w:r>
    <w:r w:rsidR="00BB4FCB">
      <w:rPr>
        <w:rFonts w:ascii="ITC Avant Garde" w:hAnsi="ITC Avant Garde" w:cs="Calibri"/>
        <w:noProof/>
        <w:sz w:val="18"/>
        <w:szCs w:val="18"/>
      </w:rPr>
      <w:t>9</w:t>
    </w:r>
    <w:r w:rsidR="00184B9A"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7E0E1" w14:textId="77777777" w:rsidR="00822F05" w:rsidRDefault="00822F05">
      <w:r>
        <w:separator/>
      </w:r>
    </w:p>
  </w:footnote>
  <w:footnote w:type="continuationSeparator" w:id="0">
    <w:p w14:paraId="030D78FE" w14:textId="77777777" w:rsidR="00822F05" w:rsidRDefault="00822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64CDB" w14:textId="204468D2" w:rsidR="005D1E74" w:rsidRDefault="005D1E74" w:rsidP="009D2651">
    <w:pPr>
      <w:tabs>
        <w:tab w:val="left" w:pos="9498"/>
      </w:tabs>
      <w:ind w:left="5670" w:right="278"/>
      <w:jc w:val="both"/>
      <w:rPr>
        <w:rFonts w:ascii="ITC Avant Garde" w:hAnsi="ITC Avant Garde" w:cs="Calibri"/>
        <w:b/>
        <w:sz w:val="22"/>
        <w:szCs w:val="22"/>
      </w:rPr>
    </w:pPr>
  </w:p>
  <w:p w14:paraId="5842BF96" w14:textId="12053A32" w:rsidR="00184B9A" w:rsidRDefault="00184B9A" w:rsidP="009D2651">
    <w:pPr>
      <w:tabs>
        <w:tab w:val="left" w:pos="9498"/>
      </w:tabs>
      <w:ind w:left="5670"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9DC"/>
    <w:multiLevelType w:val="hybridMultilevel"/>
    <w:tmpl w:val="86F012D4"/>
    <w:lvl w:ilvl="0" w:tplc="D10E8372">
      <w:start w:val="1"/>
      <w:numFmt w:val="upperRoman"/>
      <w:lvlText w:val="%1."/>
      <w:lvlJc w:val="left"/>
      <w:pPr>
        <w:ind w:left="1080" w:hanging="720"/>
      </w:pPr>
      <w:rPr>
        <w:rFonts w:ascii="ITC Avant Garde Std Bk" w:eastAsia="Calibri" w:hAnsi="ITC Avant Garde Std Bk" w:cs="Times New Roman"/>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D4C5391"/>
    <w:multiLevelType w:val="hybridMultilevel"/>
    <w:tmpl w:val="5D5646C8"/>
    <w:lvl w:ilvl="0" w:tplc="3A9E2F4E">
      <w:start w:val="5"/>
      <w:numFmt w:val="upperRoman"/>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7B291E"/>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974FE5"/>
    <w:multiLevelType w:val="hybridMultilevel"/>
    <w:tmpl w:val="D08ACD8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5" w15:restartNumberingAfterBreak="0">
    <w:nsid w:val="1DE47586"/>
    <w:multiLevelType w:val="hybridMultilevel"/>
    <w:tmpl w:val="CBC016EC"/>
    <w:lvl w:ilvl="0" w:tplc="885CB556">
      <w:start w:val="5"/>
      <w:numFmt w:val="upperRoman"/>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9C6032"/>
    <w:multiLevelType w:val="hybridMultilevel"/>
    <w:tmpl w:val="16008646"/>
    <w:lvl w:ilvl="0" w:tplc="0BC2662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494432"/>
    <w:multiLevelType w:val="hybridMultilevel"/>
    <w:tmpl w:val="F6E8DFC6"/>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B13923"/>
    <w:multiLevelType w:val="hybridMultilevel"/>
    <w:tmpl w:val="6C243896"/>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29624441"/>
    <w:multiLevelType w:val="hybridMultilevel"/>
    <w:tmpl w:val="12CC7396"/>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8932BB"/>
    <w:multiLevelType w:val="hybridMultilevel"/>
    <w:tmpl w:val="EC7E32FC"/>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595ACF"/>
    <w:multiLevelType w:val="hybridMultilevel"/>
    <w:tmpl w:val="C4A478BC"/>
    <w:lvl w:ilvl="0" w:tplc="A8F66016">
      <w:start w:val="1"/>
      <w:numFmt w:val="lowerLetter"/>
      <w:lvlText w:val="%1)"/>
      <w:lvlJc w:val="left"/>
      <w:pPr>
        <w:ind w:left="720" w:hanging="360"/>
      </w:pPr>
      <w:rPr>
        <w:u w:val="singl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D6C4DFA"/>
    <w:multiLevelType w:val="hybridMultilevel"/>
    <w:tmpl w:val="851C0284"/>
    <w:lvl w:ilvl="0" w:tplc="4186306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A27BC6"/>
    <w:multiLevelType w:val="hybridMultilevel"/>
    <w:tmpl w:val="6D9C7CAE"/>
    <w:lvl w:ilvl="0" w:tplc="9758B9B2">
      <w:start w:val="4"/>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204559"/>
    <w:multiLevelType w:val="hybridMultilevel"/>
    <w:tmpl w:val="4CF2793A"/>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5" w15:restartNumberingAfterBreak="0">
    <w:nsid w:val="45853675"/>
    <w:multiLevelType w:val="hybridMultilevel"/>
    <w:tmpl w:val="B0E27910"/>
    <w:lvl w:ilvl="0" w:tplc="EFB20064">
      <w:start w:val="1"/>
      <w:numFmt w:val="low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EE7362"/>
    <w:multiLevelType w:val="hybridMultilevel"/>
    <w:tmpl w:val="2BD2856A"/>
    <w:lvl w:ilvl="0" w:tplc="CD98B988">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02745E"/>
    <w:multiLevelType w:val="hybridMultilevel"/>
    <w:tmpl w:val="96CA6BF2"/>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E2123"/>
    <w:multiLevelType w:val="hybridMultilevel"/>
    <w:tmpl w:val="4E0A3DD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02617E"/>
    <w:multiLevelType w:val="hybridMultilevel"/>
    <w:tmpl w:val="8B9442FA"/>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AC847B6"/>
    <w:multiLevelType w:val="hybridMultilevel"/>
    <w:tmpl w:val="8EAA914C"/>
    <w:lvl w:ilvl="0" w:tplc="63CE40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1332C7"/>
    <w:multiLevelType w:val="hybridMultilevel"/>
    <w:tmpl w:val="44BEBE70"/>
    <w:lvl w:ilvl="0" w:tplc="C778D8F8">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2"/>
  </w:num>
  <w:num w:numId="3">
    <w:abstractNumId w:val="1"/>
  </w:num>
  <w:num w:numId="4">
    <w:abstractNumId w:val="20"/>
  </w:num>
  <w:num w:numId="5">
    <w:abstractNumId w:val="16"/>
  </w:num>
  <w:num w:numId="6">
    <w:abstractNumId w:val="3"/>
  </w:num>
  <w:num w:numId="7">
    <w:abstractNumId w:val="9"/>
  </w:num>
  <w:num w:numId="8">
    <w:abstractNumId w:val="18"/>
  </w:num>
  <w:num w:numId="9">
    <w:abstractNumId w:val="23"/>
  </w:num>
  <w:num w:numId="10">
    <w:abstractNumId w:val="15"/>
  </w:num>
  <w:num w:numId="11">
    <w:abstractNumId w:val="12"/>
  </w:num>
  <w:num w:numId="12">
    <w:abstractNumId w:val="17"/>
  </w:num>
  <w:num w:numId="13">
    <w:abstractNumId w:val="10"/>
  </w:num>
  <w:num w:numId="14">
    <w:abstractNumId w:val="13"/>
  </w:num>
  <w:num w:numId="15">
    <w:abstractNumId w:val="5"/>
  </w:num>
  <w:num w:numId="16">
    <w:abstractNumId w:val="2"/>
  </w:num>
  <w:num w:numId="17">
    <w:abstractNumId w:val="6"/>
  </w:num>
  <w:num w:numId="18">
    <w:abstractNumId w:val="14"/>
  </w:num>
  <w:num w:numId="19">
    <w:abstractNumId w:val="19"/>
  </w:num>
  <w:num w:numId="20">
    <w:abstractNumId w:val="21"/>
  </w:num>
  <w:num w:numId="21">
    <w:abstractNumId w:val="4"/>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6E"/>
    <w:rsid w:val="00004338"/>
    <w:rsid w:val="00005326"/>
    <w:rsid w:val="00007978"/>
    <w:rsid w:val="0002015B"/>
    <w:rsid w:val="00022587"/>
    <w:rsid w:val="00030044"/>
    <w:rsid w:val="00044AF9"/>
    <w:rsid w:val="00050986"/>
    <w:rsid w:val="00050C10"/>
    <w:rsid w:val="000629AA"/>
    <w:rsid w:val="00070B66"/>
    <w:rsid w:val="00075C30"/>
    <w:rsid w:val="000776A9"/>
    <w:rsid w:val="00080553"/>
    <w:rsid w:val="00094EAC"/>
    <w:rsid w:val="000A2EB7"/>
    <w:rsid w:val="000B5D21"/>
    <w:rsid w:val="000C3A7C"/>
    <w:rsid w:val="000C64AD"/>
    <w:rsid w:val="000C6670"/>
    <w:rsid w:val="000D536B"/>
    <w:rsid w:val="000E0AD4"/>
    <w:rsid w:val="000E4A70"/>
    <w:rsid w:val="000F0AEE"/>
    <w:rsid w:val="000F2440"/>
    <w:rsid w:val="00103F94"/>
    <w:rsid w:val="00112FAB"/>
    <w:rsid w:val="0011587C"/>
    <w:rsid w:val="00124A30"/>
    <w:rsid w:val="00125AE7"/>
    <w:rsid w:val="00131004"/>
    <w:rsid w:val="00131B31"/>
    <w:rsid w:val="00140529"/>
    <w:rsid w:val="00140949"/>
    <w:rsid w:val="001425DC"/>
    <w:rsid w:val="00144A92"/>
    <w:rsid w:val="001505A0"/>
    <w:rsid w:val="00151AD6"/>
    <w:rsid w:val="00152C14"/>
    <w:rsid w:val="0017556F"/>
    <w:rsid w:val="00180853"/>
    <w:rsid w:val="0018286A"/>
    <w:rsid w:val="00184B9A"/>
    <w:rsid w:val="001865B7"/>
    <w:rsid w:val="00187090"/>
    <w:rsid w:val="001A5921"/>
    <w:rsid w:val="001B05C9"/>
    <w:rsid w:val="001B18AF"/>
    <w:rsid w:val="001B5088"/>
    <w:rsid w:val="001B571C"/>
    <w:rsid w:val="001B6C09"/>
    <w:rsid w:val="001C6C2E"/>
    <w:rsid w:val="001D5DA1"/>
    <w:rsid w:val="001E0051"/>
    <w:rsid w:val="001E3742"/>
    <w:rsid w:val="001E4C06"/>
    <w:rsid w:val="0020500B"/>
    <w:rsid w:val="002059A7"/>
    <w:rsid w:val="00205A2C"/>
    <w:rsid w:val="00205B0D"/>
    <w:rsid w:val="0020686D"/>
    <w:rsid w:val="00211051"/>
    <w:rsid w:val="002173A5"/>
    <w:rsid w:val="00221752"/>
    <w:rsid w:val="00247AD2"/>
    <w:rsid w:val="002506D6"/>
    <w:rsid w:val="00260462"/>
    <w:rsid w:val="002622C4"/>
    <w:rsid w:val="002629FC"/>
    <w:rsid w:val="00263594"/>
    <w:rsid w:val="0026626B"/>
    <w:rsid w:val="002726E5"/>
    <w:rsid w:val="00272F4C"/>
    <w:rsid w:val="002738FE"/>
    <w:rsid w:val="00276A2D"/>
    <w:rsid w:val="0028478C"/>
    <w:rsid w:val="00285BE3"/>
    <w:rsid w:val="00290339"/>
    <w:rsid w:val="0029297A"/>
    <w:rsid w:val="00294BAF"/>
    <w:rsid w:val="00296BBD"/>
    <w:rsid w:val="0029799B"/>
    <w:rsid w:val="002A147A"/>
    <w:rsid w:val="002B082C"/>
    <w:rsid w:val="002B21DB"/>
    <w:rsid w:val="002B73A0"/>
    <w:rsid w:val="002C0249"/>
    <w:rsid w:val="002C7398"/>
    <w:rsid w:val="002E0C42"/>
    <w:rsid w:val="002E1423"/>
    <w:rsid w:val="002E3C81"/>
    <w:rsid w:val="002F02EE"/>
    <w:rsid w:val="002F196F"/>
    <w:rsid w:val="002F341A"/>
    <w:rsid w:val="003024ED"/>
    <w:rsid w:val="00313905"/>
    <w:rsid w:val="00314DE4"/>
    <w:rsid w:val="00316C12"/>
    <w:rsid w:val="003260A0"/>
    <w:rsid w:val="003267B0"/>
    <w:rsid w:val="003409EE"/>
    <w:rsid w:val="00355DC3"/>
    <w:rsid w:val="0036463E"/>
    <w:rsid w:val="0038517F"/>
    <w:rsid w:val="0039029D"/>
    <w:rsid w:val="00393335"/>
    <w:rsid w:val="00394F12"/>
    <w:rsid w:val="00396158"/>
    <w:rsid w:val="003A0A66"/>
    <w:rsid w:val="003A229B"/>
    <w:rsid w:val="003A7740"/>
    <w:rsid w:val="003A7841"/>
    <w:rsid w:val="003B12E3"/>
    <w:rsid w:val="003B174D"/>
    <w:rsid w:val="003B4609"/>
    <w:rsid w:val="003C1AD9"/>
    <w:rsid w:val="003C23E0"/>
    <w:rsid w:val="003C2D01"/>
    <w:rsid w:val="003C2F7D"/>
    <w:rsid w:val="003D1B6B"/>
    <w:rsid w:val="003D1FDA"/>
    <w:rsid w:val="003D72E3"/>
    <w:rsid w:val="003E6A99"/>
    <w:rsid w:val="003F0799"/>
    <w:rsid w:val="003F1D64"/>
    <w:rsid w:val="003F7025"/>
    <w:rsid w:val="00400C9D"/>
    <w:rsid w:val="00401531"/>
    <w:rsid w:val="004027EE"/>
    <w:rsid w:val="004045B9"/>
    <w:rsid w:val="00404C4A"/>
    <w:rsid w:val="00405708"/>
    <w:rsid w:val="004063CD"/>
    <w:rsid w:val="004078AD"/>
    <w:rsid w:val="00414040"/>
    <w:rsid w:val="004154B0"/>
    <w:rsid w:val="00415F89"/>
    <w:rsid w:val="0042286B"/>
    <w:rsid w:val="00426F9F"/>
    <w:rsid w:val="00432AEB"/>
    <w:rsid w:val="00436E2B"/>
    <w:rsid w:val="0043715B"/>
    <w:rsid w:val="004517B1"/>
    <w:rsid w:val="004607BC"/>
    <w:rsid w:val="00462962"/>
    <w:rsid w:val="004661FA"/>
    <w:rsid w:val="00470291"/>
    <w:rsid w:val="004826CB"/>
    <w:rsid w:val="00483020"/>
    <w:rsid w:val="004838BE"/>
    <w:rsid w:val="00487411"/>
    <w:rsid w:val="00493B79"/>
    <w:rsid w:val="0049494B"/>
    <w:rsid w:val="0049778E"/>
    <w:rsid w:val="004A3B8F"/>
    <w:rsid w:val="004A4001"/>
    <w:rsid w:val="004A6DE5"/>
    <w:rsid w:val="004A76B2"/>
    <w:rsid w:val="004B14C8"/>
    <w:rsid w:val="004B1BC0"/>
    <w:rsid w:val="004B201F"/>
    <w:rsid w:val="004B7732"/>
    <w:rsid w:val="004C723E"/>
    <w:rsid w:val="004D0ED3"/>
    <w:rsid w:val="004E3B44"/>
    <w:rsid w:val="004F1AFA"/>
    <w:rsid w:val="00500CD4"/>
    <w:rsid w:val="00500E63"/>
    <w:rsid w:val="005010ED"/>
    <w:rsid w:val="00501643"/>
    <w:rsid w:val="00510D93"/>
    <w:rsid w:val="00511443"/>
    <w:rsid w:val="00513834"/>
    <w:rsid w:val="00515BBA"/>
    <w:rsid w:val="005172E2"/>
    <w:rsid w:val="00520BBD"/>
    <w:rsid w:val="00523909"/>
    <w:rsid w:val="00531635"/>
    <w:rsid w:val="0053431B"/>
    <w:rsid w:val="0053766F"/>
    <w:rsid w:val="005539C3"/>
    <w:rsid w:val="00554892"/>
    <w:rsid w:val="0055581D"/>
    <w:rsid w:val="00557E03"/>
    <w:rsid w:val="00564463"/>
    <w:rsid w:val="005675FB"/>
    <w:rsid w:val="00574E41"/>
    <w:rsid w:val="00580944"/>
    <w:rsid w:val="00582540"/>
    <w:rsid w:val="00582EF1"/>
    <w:rsid w:val="00584EB9"/>
    <w:rsid w:val="00587EFB"/>
    <w:rsid w:val="00590B5F"/>
    <w:rsid w:val="00594076"/>
    <w:rsid w:val="0059582C"/>
    <w:rsid w:val="005962BC"/>
    <w:rsid w:val="005A3AA8"/>
    <w:rsid w:val="005A5B72"/>
    <w:rsid w:val="005A714E"/>
    <w:rsid w:val="005A7516"/>
    <w:rsid w:val="005B0036"/>
    <w:rsid w:val="005B279F"/>
    <w:rsid w:val="005B4E60"/>
    <w:rsid w:val="005B7895"/>
    <w:rsid w:val="005C0DF6"/>
    <w:rsid w:val="005C613A"/>
    <w:rsid w:val="005C6697"/>
    <w:rsid w:val="005C7998"/>
    <w:rsid w:val="005D09BC"/>
    <w:rsid w:val="005D0C1D"/>
    <w:rsid w:val="005D1E74"/>
    <w:rsid w:val="005D3D0B"/>
    <w:rsid w:val="005D416E"/>
    <w:rsid w:val="005D4A22"/>
    <w:rsid w:val="005D7757"/>
    <w:rsid w:val="005E1198"/>
    <w:rsid w:val="005E4420"/>
    <w:rsid w:val="005F0A71"/>
    <w:rsid w:val="005F5B72"/>
    <w:rsid w:val="005F663C"/>
    <w:rsid w:val="006060F0"/>
    <w:rsid w:val="006069A1"/>
    <w:rsid w:val="0061012E"/>
    <w:rsid w:val="0061448E"/>
    <w:rsid w:val="006176DF"/>
    <w:rsid w:val="00624649"/>
    <w:rsid w:val="00630BC3"/>
    <w:rsid w:val="00637587"/>
    <w:rsid w:val="0064787F"/>
    <w:rsid w:val="00647CA7"/>
    <w:rsid w:val="0065213B"/>
    <w:rsid w:val="00654313"/>
    <w:rsid w:val="006602B9"/>
    <w:rsid w:val="00662CB7"/>
    <w:rsid w:val="00663D8F"/>
    <w:rsid w:val="00665C64"/>
    <w:rsid w:val="00670C56"/>
    <w:rsid w:val="006755F7"/>
    <w:rsid w:val="00676990"/>
    <w:rsid w:val="00685D25"/>
    <w:rsid w:val="006879A6"/>
    <w:rsid w:val="0069017D"/>
    <w:rsid w:val="0069604F"/>
    <w:rsid w:val="006A02EC"/>
    <w:rsid w:val="006A7170"/>
    <w:rsid w:val="006B2803"/>
    <w:rsid w:val="006B2C42"/>
    <w:rsid w:val="006B3B86"/>
    <w:rsid w:val="006B417D"/>
    <w:rsid w:val="006B5785"/>
    <w:rsid w:val="006C0551"/>
    <w:rsid w:val="006C0CC9"/>
    <w:rsid w:val="006C274A"/>
    <w:rsid w:val="006C37B8"/>
    <w:rsid w:val="006C7563"/>
    <w:rsid w:val="006E635A"/>
    <w:rsid w:val="006F0997"/>
    <w:rsid w:val="006F16C0"/>
    <w:rsid w:val="00704ECB"/>
    <w:rsid w:val="0070596E"/>
    <w:rsid w:val="0071258C"/>
    <w:rsid w:val="0071391A"/>
    <w:rsid w:val="00714A8F"/>
    <w:rsid w:val="007163D2"/>
    <w:rsid w:val="00720602"/>
    <w:rsid w:val="0072761B"/>
    <w:rsid w:val="00727AD8"/>
    <w:rsid w:val="007455C8"/>
    <w:rsid w:val="0075250E"/>
    <w:rsid w:val="00753148"/>
    <w:rsid w:val="007539AD"/>
    <w:rsid w:val="00754F2D"/>
    <w:rsid w:val="00756045"/>
    <w:rsid w:val="007633F2"/>
    <w:rsid w:val="007739C4"/>
    <w:rsid w:val="0078066B"/>
    <w:rsid w:val="00786611"/>
    <w:rsid w:val="00787192"/>
    <w:rsid w:val="00790F5F"/>
    <w:rsid w:val="00791514"/>
    <w:rsid w:val="00794057"/>
    <w:rsid w:val="0079590E"/>
    <w:rsid w:val="0079799F"/>
    <w:rsid w:val="007A29A9"/>
    <w:rsid w:val="007A5BB4"/>
    <w:rsid w:val="007B09D0"/>
    <w:rsid w:val="007B238C"/>
    <w:rsid w:val="007B2EFD"/>
    <w:rsid w:val="007B3536"/>
    <w:rsid w:val="007B6273"/>
    <w:rsid w:val="007C25B5"/>
    <w:rsid w:val="007C2A98"/>
    <w:rsid w:val="007C6961"/>
    <w:rsid w:val="007D0558"/>
    <w:rsid w:val="007D242D"/>
    <w:rsid w:val="007D2965"/>
    <w:rsid w:val="007D2AC7"/>
    <w:rsid w:val="007D6FBC"/>
    <w:rsid w:val="007E06DE"/>
    <w:rsid w:val="007E2417"/>
    <w:rsid w:val="007E6859"/>
    <w:rsid w:val="007E7DD0"/>
    <w:rsid w:val="007F16F2"/>
    <w:rsid w:val="007F5A46"/>
    <w:rsid w:val="00805107"/>
    <w:rsid w:val="00807364"/>
    <w:rsid w:val="00807563"/>
    <w:rsid w:val="00810187"/>
    <w:rsid w:val="00810742"/>
    <w:rsid w:val="0081130C"/>
    <w:rsid w:val="0082108E"/>
    <w:rsid w:val="00822F05"/>
    <w:rsid w:val="00831A3B"/>
    <w:rsid w:val="008409A8"/>
    <w:rsid w:val="00843208"/>
    <w:rsid w:val="0084606D"/>
    <w:rsid w:val="00860103"/>
    <w:rsid w:val="0086049D"/>
    <w:rsid w:val="00865199"/>
    <w:rsid w:val="00876295"/>
    <w:rsid w:val="0088065F"/>
    <w:rsid w:val="0088514E"/>
    <w:rsid w:val="008A1CF4"/>
    <w:rsid w:val="008A201B"/>
    <w:rsid w:val="008A5D84"/>
    <w:rsid w:val="008B154E"/>
    <w:rsid w:val="008C031F"/>
    <w:rsid w:val="008C2B7F"/>
    <w:rsid w:val="008D032F"/>
    <w:rsid w:val="008D2A48"/>
    <w:rsid w:val="008D658D"/>
    <w:rsid w:val="008E23D3"/>
    <w:rsid w:val="008E3549"/>
    <w:rsid w:val="008E5015"/>
    <w:rsid w:val="008E60E4"/>
    <w:rsid w:val="008F2F85"/>
    <w:rsid w:val="00900C38"/>
    <w:rsid w:val="00904CA9"/>
    <w:rsid w:val="0091107E"/>
    <w:rsid w:val="00917871"/>
    <w:rsid w:val="00921A82"/>
    <w:rsid w:val="00921CD4"/>
    <w:rsid w:val="0092423B"/>
    <w:rsid w:val="00931267"/>
    <w:rsid w:val="0093390D"/>
    <w:rsid w:val="00943C21"/>
    <w:rsid w:val="00943EFA"/>
    <w:rsid w:val="00946721"/>
    <w:rsid w:val="00946A32"/>
    <w:rsid w:val="00960B3E"/>
    <w:rsid w:val="00961C22"/>
    <w:rsid w:val="00963EB7"/>
    <w:rsid w:val="009663C5"/>
    <w:rsid w:val="00967E95"/>
    <w:rsid w:val="00973615"/>
    <w:rsid w:val="00976A96"/>
    <w:rsid w:val="009871F0"/>
    <w:rsid w:val="0098764C"/>
    <w:rsid w:val="009927AD"/>
    <w:rsid w:val="0099379D"/>
    <w:rsid w:val="0099684E"/>
    <w:rsid w:val="00996B68"/>
    <w:rsid w:val="0099740B"/>
    <w:rsid w:val="00997659"/>
    <w:rsid w:val="009A462A"/>
    <w:rsid w:val="009B3E85"/>
    <w:rsid w:val="009B4910"/>
    <w:rsid w:val="009B666A"/>
    <w:rsid w:val="009C0A30"/>
    <w:rsid w:val="009C0D3F"/>
    <w:rsid w:val="009C2467"/>
    <w:rsid w:val="009C70EA"/>
    <w:rsid w:val="009D1D2C"/>
    <w:rsid w:val="009D23CA"/>
    <w:rsid w:val="009D2651"/>
    <w:rsid w:val="009D2C73"/>
    <w:rsid w:val="009D5F52"/>
    <w:rsid w:val="009D6249"/>
    <w:rsid w:val="009F32CB"/>
    <w:rsid w:val="009F7B0E"/>
    <w:rsid w:val="00A007BD"/>
    <w:rsid w:val="00A05C64"/>
    <w:rsid w:val="00A11B89"/>
    <w:rsid w:val="00A12C49"/>
    <w:rsid w:val="00A1685F"/>
    <w:rsid w:val="00A21719"/>
    <w:rsid w:val="00A2309F"/>
    <w:rsid w:val="00A26A65"/>
    <w:rsid w:val="00A32C1D"/>
    <w:rsid w:val="00A35418"/>
    <w:rsid w:val="00A44F59"/>
    <w:rsid w:val="00A455AF"/>
    <w:rsid w:val="00A50AFC"/>
    <w:rsid w:val="00A55322"/>
    <w:rsid w:val="00A6123E"/>
    <w:rsid w:val="00A71904"/>
    <w:rsid w:val="00A73157"/>
    <w:rsid w:val="00A74BA6"/>
    <w:rsid w:val="00A77E2D"/>
    <w:rsid w:val="00A819BB"/>
    <w:rsid w:val="00A82A65"/>
    <w:rsid w:val="00A87ACB"/>
    <w:rsid w:val="00A94A28"/>
    <w:rsid w:val="00AA0FED"/>
    <w:rsid w:val="00AA62FF"/>
    <w:rsid w:val="00AA77E9"/>
    <w:rsid w:val="00AD3C89"/>
    <w:rsid w:val="00AE3B97"/>
    <w:rsid w:val="00AE6FEC"/>
    <w:rsid w:val="00AE7254"/>
    <w:rsid w:val="00AF170E"/>
    <w:rsid w:val="00AF739E"/>
    <w:rsid w:val="00B012DA"/>
    <w:rsid w:val="00B02504"/>
    <w:rsid w:val="00B16FA7"/>
    <w:rsid w:val="00B24F00"/>
    <w:rsid w:val="00B25AA3"/>
    <w:rsid w:val="00B322CA"/>
    <w:rsid w:val="00B33EF0"/>
    <w:rsid w:val="00B347EF"/>
    <w:rsid w:val="00B4022C"/>
    <w:rsid w:val="00B405AC"/>
    <w:rsid w:val="00B41FBD"/>
    <w:rsid w:val="00B42A4F"/>
    <w:rsid w:val="00B45534"/>
    <w:rsid w:val="00B464B2"/>
    <w:rsid w:val="00B466DE"/>
    <w:rsid w:val="00B47723"/>
    <w:rsid w:val="00B53F51"/>
    <w:rsid w:val="00B569E0"/>
    <w:rsid w:val="00B638BE"/>
    <w:rsid w:val="00B71E5E"/>
    <w:rsid w:val="00B841AB"/>
    <w:rsid w:val="00B849C4"/>
    <w:rsid w:val="00B92D14"/>
    <w:rsid w:val="00BB2E79"/>
    <w:rsid w:val="00BB2F94"/>
    <w:rsid w:val="00BB2FEC"/>
    <w:rsid w:val="00BB4061"/>
    <w:rsid w:val="00BB4E06"/>
    <w:rsid w:val="00BB4FCB"/>
    <w:rsid w:val="00BB505D"/>
    <w:rsid w:val="00BB527F"/>
    <w:rsid w:val="00BC4592"/>
    <w:rsid w:val="00BD09D2"/>
    <w:rsid w:val="00BE04FE"/>
    <w:rsid w:val="00BE414E"/>
    <w:rsid w:val="00BF1869"/>
    <w:rsid w:val="00BF680A"/>
    <w:rsid w:val="00C00BA8"/>
    <w:rsid w:val="00C01DC2"/>
    <w:rsid w:val="00C03829"/>
    <w:rsid w:val="00C07C81"/>
    <w:rsid w:val="00C07EC9"/>
    <w:rsid w:val="00C11675"/>
    <w:rsid w:val="00C148A7"/>
    <w:rsid w:val="00C16B5E"/>
    <w:rsid w:val="00C17B20"/>
    <w:rsid w:val="00C31E02"/>
    <w:rsid w:val="00C42245"/>
    <w:rsid w:val="00C439A7"/>
    <w:rsid w:val="00C46474"/>
    <w:rsid w:val="00C52C2A"/>
    <w:rsid w:val="00C56E68"/>
    <w:rsid w:val="00C72A05"/>
    <w:rsid w:val="00C755A9"/>
    <w:rsid w:val="00C7577D"/>
    <w:rsid w:val="00C77ACB"/>
    <w:rsid w:val="00C80A37"/>
    <w:rsid w:val="00C80CEA"/>
    <w:rsid w:val="00C82419"/>
    <w:rsid w:val="00C8586E"/>
    <w:rsid w:val="00C908C0"/>
    <w:rsid w:val="00C9225D"/>
    <w:rsid w:val="00C93F9F"/>
    <w:rsid w:val="00C94FE7"/>
    <w:rsid w:val="00CA039C"/>
    <w:rsid w:val="00CA58F6"/>
    <w:rsid w:val="00CB10D4"/>
    <w:rsid w:val="00CC0468"/>
    <w:rsid w:val="00CC3B37"/>
    <w:rsid w:val="00CC4A0A"/>
    <w:rsid w:val="00CC71B3"/>
    <w:rsid w:val="00CD0FC6"/>
    <w:rsid w:val="00CD1C1F"/>
    <w:rsid w:val="00CD2F30"/>
    <w:rsid w:val="00CE7F25"/>
    <w:rsid w:val="00CF356F"/>
    <w:rsid w:val="00D03C38"/>
    <w:rsid w:val="00D1152A"/>
    <w:rsid w:val="00D15649"/>
    <w:rsid w:val="00D157EB"/>
    <w:rsid w:val="00D17B1D"/>
    <w:rsid w:val="00D21140"/>
    <w:rsid w:val="00D27F67"/>
    <w:rsid w:val="00D32F72"/>
    <w:rsid w:val="00D36B33"/>
    <w:rsid w:val="00D438F0"/>
    <w:rsid w:val="00D51DF9"/>
    <w:rsid w:val="00D53708"/>
    <w:rsid w:val="00D54491"/>
    <w:rsid w:val="00D55667"/>
    <w:rsid w:val="00D561DB"/>
    <w:rsid w:val="00D6152F"/>
    <w:rsid w:val="00D6677F"/>
    <w:rsid w:val="00D72129"/>
    <w:rsid w:val="00D75D57"/>
    <w:rsid w:val="00D77A64"/>
    <w:rsid w:val="00D9224D"/>
    <w:rsid w:val="00D94560"/>
    <w:rsid w:val="00D96EA2"/>
    <w:rsid w:val="00DA32A0"/>
    <w:rsid w:val="00DA5795"/>
    <w:rsid w:val="00DB25B1"/>
    <w:rsid w:val="00DC1EE0"/>
    <w:rsid w:val="00DC3AA6"/>
    <w:rsid w:val="00DC6191"/>
    <w:rsid w:val="00DC6A6E"/>
    <w:rsid w:val="00DC7361"/>
    <w:rsid w:val="00DC73A3"/>
    <w:rsid w:val="00DD7FCE"/>
    <w:rsid w:val="00DE36E3"/>
    <w:rsid w:val="00DE6317"/>
    <w:rsid w:val="00DF3AF9"/>
    <w:rsid w:val="00E138EF"/>
    <w:rsid w:val="00E2489A"/>
    <w:rsid w:val="00E258A8"/>
    <w:rsid w:val="00E26863"/>
    <w:rsid w:val="00E27163"/>
    <w:rsid w:val="00E32719"/>
    <w:rsid w:val="00E37351"/>
    <w:rsid w:val="00E40BEB"/>
    <w:rsid w:val="00E4587E"/>
    <w:rsid w:val="00E47768"/>
    <w:rsid w:val="00E64DA1"/>
    <w:rsid w:val="00E70E63"/>
    <w:rsid w:val="00E71C3B"/>
    <w:rsid w:val="00E72E25"/>
    <w:rsid w:val="00E77B70"/>
    <w:rsid w:val="00E808FD"/>
    <w:rsid w:val="00E90933"/>
    <w:rsid w:val="00E92EB6"/>
    <w:rsid w:val="00E936C8"/>
    <w:rsid w:val="00E949AE"/>
    <w:rsid w:val="00EA1042"/>
    <w:rsid w:val="00EA3783"/>
    <w:rsid w:val="00EA6F1B"/>
    <w:rsid w:val="00EC2C48"/>
    <w:rsid w:val="00EC39E2"/>
    <w:rsid w:val="00ED7435"/>
    <w:rsid w:val="00EE14EA"/>
    <w:rsid w:val="00EE4B37"/>
    <w:rsid w:val="00EE773F"/>
    <w:rsid w:val="00EF694F"/>
    <w:rsid w:val="00EF78CB"/>
    <w:rsid w:val="00F01D93"/>
    <w:rsid w:val="00F02B88"/>
    <w:rsid w:val="00F03A32"/>
    <w:rsid w:val="00F146D1"/>
    <w:rsid w:val="00F16968"/>
    <w:rsid w:val="00F22EC0"/>
    <w:rsid w:val="00F24A91"/>
    <w:rsid w:val="00F31031"/>
    <w:rsid w:val="00F36AA4"/>
    <w:rsid w:val="00F40C8E"/>
    <w:rsid w:val="00F44C80"/>
    <w:rsid w:val="00F45394"/>
    <w:rsid w:val="00F54519"/>
    <w:rsid w:val="00F55D05"/>
    <w:rsid w:val="00F570E0"/>
    <w:rsid w:val="00F60B60"/>
    <w:rsid w:val="00F60BD7"/>
    <w:rsid w:val="00F61955"/>
    <w:rsid w:val="00F659BC"/>
    <w:rsid w:val="00F72341"/>
    <w:rsid w:val="00F90680"/>
    <w:rsid w:val="00F90728"/>
    <w:rsid w:val="00F973B7"/>
    <w:rsid w:val="00F97B1C"/>
    <w:rsid w:val="00FA4CD9"/>
    <w:rsid w:val="00FB0448"/>
    <w:rsid w:val="00FB1BC0"/>
    <w:rsid w:val="00FB2B57"/>
    <w:rsid w:val="00FB3D22"/>
    <w:rsid w:val="00FB4944"/>
    <w:rsid w:val="00FD2370"/>
    <w:rsid w:val="00FD69D8"/>
    <w:rsid w:val="00FE1334"/>
    <w:rsid w:val="00FE3F60"/>
    <w:rsid w:val="00FE4FB5"/>
    <w:rsid w:val="00FE7A10"/>
    <w:rsid w:val="00FF1FE5"/>
    <w:rsid w:val="00FF40B4"/>
    <w:rsid w:val="00FF41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D97D4E"/>
  <w15:chartTrackingRefBased/>
  <w15:docId w15:val="{750F20D2-E324-4752-B100-76EAF3C0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6E"/>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CA039C"/>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CA039C"/>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0596E"/>
    <w:pPr>
      <w:tabs>
        <w:tab w:val="center" w:pos="4419"/>
        <w:tab w:val="right" w:pos="8838"/>
      </w:tabs>
    </w:pPr>
  </w:style>
  <w:style w:type="character" w:customStyle="1" w:styleId="EncabezadoCar">
    <w:name w:val="Encabezado Car"/>
    <w:basedOn w:val="Fuentedeprrafopredeter"/>
    <w:link w:val="Encabezado"/>
    <w:rsid w:val="0070596E"/>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70596E"/>
    <w:pPr>
      <w:tabs>
        <w:tab w:val="center" w:pos="4419"/>
        <w:tab w:val="right" w:pos="8838"/>
      </w:tabs>
    </w:pPr>
  </w:style>
  <w:style w:type="character" w:customStyle="1" w:styleId="PiedepginaCar">
    <w:name w:val="Pie de página Car"/>
    <w:basedOn w:val="Fuentedeprrafopredeter"/>
    <w:link w:val="Piedepgina"/>
    <w:uiPriority w:val="99"/>
    <w:rsid w:val="0070596E"/>
    <w:rPr>
      <w:rFonts w:ascii="Arial" w:eastAsia="Times New Roman" w:hAnsi="Arial" w:cs="Times New Roman"/>
      <w:sz w:val="24"/>
      <w:szCs w:val="20"/>
      <w:lang w:val="es-ES" w:eastAsia="es-ES"/>
    </w:rPr>
  </w:style>
  <w:style w:type="character" w:styleId="Nmerodepgina">
    <w:name w:val="page number"/>
    <w:basedOn w:val="Fuentedeprrafopredeter"/>
    <w:rsid w:val="0070596E"/>
  </w:style>
  <w:style w:type="paragraph" w:styleId="Prrafodelista">
    <w:name w:val="List Paragraph"/>
    <w:basedOn w:val="Normal"/>
    <w:link w:val="PrrafodelistaCar"/>
    <w:uiPriority w:val="34"/>
    <w:qFormat/>
    <w:rsid w:val="0070596E"/>
    <w:pPr>
      <w:ind w:left="708"/>
    </w:pPr>
  </w:style>
  <w:style w:type="character" w:customStyle="1" w:styleId="PrrafodelistaCar">
    <w:name w:val="Párrafo de lista Car"/>
    <w:link w:val="Prrafodelista"/>
    <w:uiPriority w:val="34"/>
    <w:rsid w:val="0070596E"/>
    <w:rPr>
      <w:rFonts w:ascii="Arial" w:eastAsia="Times New Roman" w:hAnsi="Arial" w:cs="Times New Roman"/>
      <w:sz w:val="24"/>
      <w:szCs w:val="20"/>
      <w:lang w:val="es-ES" w:eastAsia="es-ES"/>
    </w:rPr>
  </w:style>
  <w:style w:type="paragraph" w:customStyle="1" w:styleId="estilo30">
    <w:name w:val="estilo30"/>
    <w:basedOn w:val="Normal"/>
    <w:rsid w:val="009D2651"/>
    <w:pPr>
      <w:spacing w:before="100" w:beforeAutospacing="1" w:after="100" w:afterAutospacing="1"/>
    </w:pPr>
    <w:rPr>
      <w:rFonts w:ascii="Times New Roman" w:hAnsi="Times New Roman"/>
      <w:szCs w:val="24"/>
      <w:lang w:val="es-MX" w:eastAsia="es-MX"/>
    </w:rPr>
  </w:style>
  <w:style w:type="paragraph" w:styleId="Textodeglobo">
    <w:name w:val="Balloon Text"/>
    <w:basedOn w:val="Normal"/>
    <w:link w:val="TextodegloboCar"/>
    <w:uiPriority w:val="99"/>
    <w:semiHidden/>
    <w:unhideWhenUsed/>
    <w:rsid w:val="006478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787F"/>
    <w:rPr>
      <w:rFonts w:ascii="Segoe UI" w:eastAsia="Times New Roman" w:hAnsi="Segoe UI" w:cs="Segoe UI"/>
      <w:sz w:val="18"/>
      <w:szCs w:val="18"/>
      <w:lang w:val="es-ES" w:eastAsia="es-ES"/>
    </w:rPr>
  </w:style>
  <w:style w:type="paragraph" w:styleId="Textoindependiente">
    <w:name w:val="Body Text"/>
    <w:basedOn w:val="Normal"/>
    <w:link w:val="TextoindependienteCar"/>
    <w:rsid w:val="00807364"/>
    <w:pPr>
      <w:jc w:val="both"/>
    </w:pPr>
    <w:rPr>
      <w:lang w:val="x-none"/>
    </w:rPr>
  </w:style>
  <w:style w:type="character" w:customStyle="1" w:styleId="TextoindependienteCar">
    <w:name w:val="Texto independiente Car"/>
    <w:basedOn w:val="Fuentedeprrafopredeter"/>
    <w:link w:val="Textoindependiente"/>
    <w:rsid w:val="00807364"/>
    <w:rPr>
      <w:rFonts w:ascii="Arial" w:eastAsia="Times New Roman" w:hAnsi="Arial" w:cs="Times New Roman"/>
      <w:sz w:val="24"/>
      <w:szCs w:val="20"/>
      <w:lang w:val="x-none" w:eastAsia="es-ES"/>
    </w:rPr>
  </w:style>
  <w:style w:type="character" w:styleId="Hipervnculo">
    <w:name w:val="Hyperlink"/>
    <w:basedOn w:val="Fuentedeprrafopredeter"/>
    <w:uiPriority w:val="99"/>
    <w:semiHidden/>
    <w:unhideWhenUsed/>
    <w:rsid w:val="00AD3C89"/>
    <w:rPr>
      <w:color w:val="0563C1"/>
      <w:u w:val="single"/>
    </w:rPr>
  </w:style>
  <w:style w:type="character" w:styleId="Hipervnculovisitado">
    <w:name w:val="FollowedHyperlink"/>
    <w:basedOn w:val="Fuentedeprrafopredeter"/>
    <w:uiPriority w:val="99"/>
    <w:semiHidden/>
    <w:unhideWhenUsed/>
    <w:rsid w:val="00AD3C89"/>
    <w:rPr>
      <w:color w:val="954F72"/>
      <w:u w:val="single"/>
    </w:rPr>
  </w:style>
  <w:style w:type="paragraph" w:customStyle="1" w:styleId="xl63">
    <w:name w:val="xl63"/>
    <w:basedOn w:val="Normal"/>
    <w:rsid w:val="00AD3C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TC Avant Garde" w:hAnsi="ITC Avant Garde"/>
      <w:b/>
      <w:bCs/>
      <w:sz w:val="20"/>
      <w:lang w:val="es-MX" w:eastAsia="es-MX"/>
    </w:rPr>
  </w:style>
  <w:style w:type="paragraph" w:customStyle="1" w:styleId="xl64">
    <w:name w:val="xl64"/>
    <w:basedOn w:val="Normal"/>
    <w:rsid w:val="00AD3C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ITC Avant Garde" w:hAnsi="ITC Avant Garde"/>
      <w:b/>
      <w:bCs/>
      <w:sz w:val="20"/>
      <w:lang w:val="es-MX" w:eastAsia="es-MX"/>
    </w:rPr>
  </w:style>
  <w:style w:type="paragraph" w:customStyle="1" w:styleId="xl65">
    <w:name w:val="xl65"/>
    <w:basedOn w:val="Normal"/>
    <w:rsid w:val="00AD3C89"/>
    <w:pPr>
      <w:pBdr>
        <w:top w:val="single" w:sz="4" w:space="0" w:color="auto"/>
        <w:left w:val="single" w:sz="4" w:space="0" w:color="auto"/>
        <w:bottom w:val="single" w:sz="4" w:space="0" w:color="auto"/>
        <w:right w:val="single" w:sz="4" w:space="0" w:color="auto"/>
      </w:pBdr>
      <w:spacing w:before="100" w:beforeAutospacing="1" w:after="100" w:afterAutospacing="1"/>
    </w:pPr>
    <w:rPr>
      <w:rFonts w:ascii="ITC Avant Garde" w:hAnsi="ITC Avant Garde"/>
      <w:sz w:val="20"/>
      <w:lang w:val="es-MX" w:eastAsia="es-MX"/>
    </w:rPr>
  </w:style>
  <w:style w:type="paragraph" w:customStyle="1" w:styleId="xl66">
    <w:name w:val="xl66"/>
    <w:basedOn w:val="Normal"/>
    <w:rsid w:val="00AD3C89"/>
    <w:pPr>
      <w:pBdr>
        <w:top w:val="single" w:sz="4" w:space="0" w:color="auto"/>
        <w:left w:val="single" w:sz="4" w:space="0" w:color="auto"/>
        <w:bottom w:val="single" w:sz="4" w:space="0" w:color="auto"/>
        <w:right w:val="single" w:sz="4" w:space="0" w:color="auto"/>
      </w:pBdr>
      <w:spacing w:before="100" w:beforeAutospacing="1" w:after="100" w:afterAutospacing="1"/>
    </w:pPr>
    <w:rPr>
      <w:rFonts w:ascii="ITC Avant Garde" w:hAnsi="ITC Avant Garde"/>
      <w:sz w:val="20"/>
      <w:lang w:val="es-MX" w:eastAsia="es-MX"/>
    </w:rPr>
  </w:style>
  <w:style w:type="paragraph" w:customStyle="1" w:styleId="xl67">
    <w:name w:val="xl67"/>
    <w:basedOn w:val="Normal"/>
    <w:rsid w:val="00AD3C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s-MX" w:eastAsia="es-MX"/>
    </w:rPr>
  </w:style>
  <w:style w:type="paragraph" w:customStyle="1" w:styleId="xl68">
    <w:name w:val="xl68"/>
    <w:basedOn w:val="Normal"/>
    <w:rsid w:val="008A1CF4"/>
    <w:pPr>
      <w:pBdr>
        <w:top w:val="single" w:sz="4" w:space="0" w:color="auto"/>
        <w:left w:val="single" w:sz="4" w:space="0" w:color="auto"/>
        <w:bottom w:val="single" w:sz="4" w:space="0" w:color="auto"/>
        <w:right w:val="single" w:sz="4" w:space="0" w:color="auto"/>
      </w:pBdr>
      <w:spacing w:before="100" w:beforeAutospacing="1" w:after="100" w:afterAutospacing="1"/>
    </w:pPr>
    <w:rPr>
      <w:rFonts w:ascii="ITC Avant Garde" w:hAnsi="ITC Avant Garde"/>
      <w:sz w:val="20"/>
      <w:lang w:val="es-MX" w:eastAsia="es-MX"/>
    </w:rPr>
  </w:style>
  <w:style w:type="paragraph" w:customStyle="1" w:styleId="xl69">
    <w:name w:val="xl69"/>
    <w:basedOn w:val="Normal"/>
    <w:rsid w:val="008A1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val="es-MX" w:eastAsia="es-MX"/>
    </w:rPr>
  </w:style>
  <w:style w:type="character" w:styleId="Refdecomentario">
    <w:name w:val="annotation reference"/>
    <w:basedOn w:val="Fuentedeprrafopredeter"/>
    <w:uiPriority w:val="99"/>
    <w:semiHidden/>
    <w:unhideWhenUsed/>
    <w:rsid w:val="004154B0"/>
    <w:rPr>
      <w:sz w:val="16"/>
      <w:szCs w:val="16"/>
    </w:rPr>
  </w:style>
  <w:style w:type="paragraph" w:styleId="Textocomentario">
    <w:name w:val="annotation text"/>
    <w:basedOn w:val="Normal"/>
    <w:link w:val="TextocomentarioCar"/>
    <w:uiPriority w:val="99"/>
    <w:semiHidden/>
    <w:unhideWhenUsed/>
    <w:rsid w:val="004154B0"/>
    <w:rPr>
      <w:sz w:val="20"/>
    </w:rPr>
  </w:style>
  <w:style w:type="character" w:customStyle="1" w:styleId="TextocomentarioCar">
    <w:name w:val="Texto comentario Car"/>
    <w:basedOn w:val="Fuentedeprrafopredeter"/>
    <w:link w:val="Textocomentario"/>
    <w:uiPriority w:val="99"/>
    <w:semiHidden/>
    <w:rsid w:val="004154B0"/>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54B0"/>
    <w:rPr>
      <w:b/>
      <w:bCs/>
    </w:rPr>
  </w:style>
  <w:style w:type="character" w:customStyle="1" w:styleId="AsuntodelcomentarioCar">
    <w:name w:val="Asunto del comentario Car"/>
    <w:basedOn w:val="TextocomentarioCar"/>
    <w:link w:val="Asuntodelcomentario"/>
    <w:uiPriority w:val="99"/>
    <w:semiHidden/>
    <w:rsid w:val="004154B0"/>
    <w:rPr>
      <w:rFonts w:ascii="Arial" w:eastAsia="Times New Roman" w:hAnsi="Arial" w:cs="Times New Roman"/>
      <w:b/>
      <w:bCs/>
      <w:sz w:val="20"/>
      <w:szCs w:val="20"/>
      <w:lang w:val="es-ES" w:eastAsia="es-ES"/>
    </w:rPr>
  </w:style>
  <w:style w:type="table" w:styleId="Tablaconcuadrcula">
    <w:name w:val="Table Grid"/>
    <w:basedOn w:val="Tablanormal"/>
    <w:uiPriority w:val="39"/>
    <w:rsid w:val="00B01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587C"/>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IFTCar">
    <w:name w:val="N1 IFT Car"/>
    <w:basedOn w:val="Fuentedeprrafopredeter"/>
    <w:link w:val="N1IFT"/>
    <w:locked/>
    <w:rsid w:val="00B405AC"/>
    <w:rPr>
      <w:rFonts w:ascii="ITC Avant Garde" w:hAnsi="ITC Avant Garde"/>
      <w:b/>
      <w:bCs/>
      <w:color w:val="000000"/>
      <w:lang w:eastAsia="es-ES"/>
    </w:rPr>
  </w:style>
  <w:style w:type="paragraph" w:customStyle="1" w:styleId="N1IFT">
    <w:name w:val="N1 IFT"/>
    <w:basedOn w:val="Normal"/>
    <w:link w:val="N1IFTCar"/>
    <w:rsid w:val="00B405AC"/>
    <w:pPr>
      <w:spacing w:after="200" w:line="276" w:lineRule="auto"/>
      <w:jc w:val="both"/>
    </w:pPr>
    <w:rPr>
      <w:rFonts w:ascii="ITC Avant Garde" w:eastAsiaTheme="minorHAnsi" w:hAnsi="ITC Avant Garde" w:cstheme="minorBidi"/>
      <w:b/>
      <w:bCs/>
      <w:color w:val="000000"/>
      <w:sz w:val="22"/>
      <w:szCs w:val="22"/>
      <w:lang w:val="es-MX"/>
    </w:rPr>
  </w:style>
  <w:style w:type="character" w:customStyle="1" w:styleId="Ttulo1Car">
    <w:name w:val="Título 1 Car"/>
    <w:basedOn w:val="Fuentedeprrafopredeter"/>
    <w:link w:val="Ttulo1"/>
    <w:uiPriority w:val="9"/>
    <w:rsid w:val="00CA039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A03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42373">
      <w:bodyDiv w:val="1"/>
      <w:marLeft w:val="0"/>
      <w:marRight w:val="0"/>
      <w:marTop w:val="0"/>
      <w:marBottom w:val="0"/>
      <w:divBdr>
        <w:top w:val="none" w:sz="0" w:space="0" w:color="auto"/>
        <w:left w:val="none" w:sz="0" w:space="0" w:color="auto"/>
        <w:bottom w:val="none" w:sz="0" w:space="0" w:color="auto"/>
        <w:right w:val="none" w:sz="0" w:space="0" w:color="auto"/>
      </w:divBdr>
    </w:div>
    <w:div w:id="498078559">
      <w:bodyDiv w:val="1"/>
      <w:marLeft w:val="0"/>
      <w:marRight w:val="0"/>
      <w:marTop w:val="0"/>
      <w:marBottom w:val="0"/>
      <w:divBdr>
        <w:top w:val="none" w:sz="0" w:space="0" w:color="auto"/>
        <w:left w:val="none" w:sz="0" w:space="0" w:color="auto"/>
        <w:bottom w:val="none" w:sz="0" w:space="0" w:color="auto"/>
        <w:right w:val="none" w:sz="0" w:space="0" w:color="auto"/>
      </w:divBdr>
    </w:div>
    <w:div w:id="688068049">
      <w:bodyDiv w:val="1"/>
      <w:marLeft w:val="0"/>
      <w:marRight w:val="0"/>
      <w:marTop w:val="0"/>
      <w:marBottom w:val="0"/>
      <w:divBdr>
        <w:top w:val="none" w:sz="0" w:space="0" w:color="auto"/>
        <w:left w:val="none" w:sz="0" w:space="0" w:color="auto"/>
        <w:bottom w:val="none" w:sz="0" w:space="0" w:color="auto"/>
        <w:right w:val="none" w:sz="0" w:space="0" w:color="auto"/>
      </w:divBdr>
    </w:div>
    <w:div w:id="988242462">
      <w:bodyDiv w:val="1"/>
      <w:marLeft w:val="0"/>
      <w:marRight w:val="0"/>
      <w:marTop w:val="0"/>
      <w:marBottom w:val="0"/>
      <w:divBdr>
        <w:top w:val="none" w:sz="0" w:space="0" w:color="auto"/>
        <w:left w:val="none" w:sz="0" w:space="0" w:color="auto"/>
        <w:bottom w:val="none" w:sz="0" w:space="0" w:color="auto"/>
        <w:right w:val="none" w:sz="0" w:space="0" w:color="auto"/>
      </w:divBdr>
    </w:div>
    <w:div w:id="1207793768">
      <w:bodyDiv w:val="1"/>
      <w:marLeft w:val="0"/>
      <w:marRight w:val="0"/>
      <w:marTop w:val="0"/>
      <w:marBottom w:val="0"/>
      <w:divBdr>
        <w:top w:val="none" w:sz="0" w:space="0" w:color="auto"/>
        <w:left w:val="none" w:sz="0" w:space="0" w:color="auto"/>
        <w:bottom w:val="none" w:sz="0" w:space="0" w:color="auto"/>
        <w:right w:val="none" w:sz="0" w:space="0" w:color="auto"/>
      </w:divBdr>
    </w:div>
    <w:div w:id="1298803645">
      <w:bodyDiv w:val="1"/>
      <w:marLeft w:val="0"/>
      <w:marRight w:val="0"/>
      <w:marTop w:val="0"/>
      <w:marBottom w:val="0"/>
      <w:divBdr>
        <w:top w:val="none" w:sz="0" w:space="0" w:color="auto"/>
        <w:left w:val="none" w:sz="0" w:space="0" w:color="auto"/>
        <w:bottom w:val="none" w:sz="0" w:space="0" w:color="auto"/>
        <w:right w:val="none" w:sz="0" w:space="0" w:color="auto"/>
      </w:divBdr>
    </w:div>
    <w:div w:id="1624195924">
      <w:bodyDiv w:val="1"/>
      <w:marLeft w:val="0"/>
      <w:marRight w:val="0"/>
      <w:marTop w:val="0"/>
      <w:marBottom w:val="0"/>
      <w:divBdr>
        <w:top w:val="none" w:sz="0" w:space="0" w:color="auto"/>
        <w:left w:val="none" w:sz="0" w:space="0" w:color="auto"/>
        <w:bottom w:val="none" w:sz="0" w:space="0" w:color="auto"/>
        <w:right w:val="none" w:sz="0" w:space="0" w:color="auto"/>
      </w:divBdr>
      <w:divsChild>
        <w:div w:id="967316053">
          <w:marLeft w:val="0"/>
          <w:marRight w:val="0"/>
          <w:marTop w:val="0"/>
          <w:marBottom w:val="0"/>
          <w:divBdr>
            <w:top w:val="none" w:sz="0" w:space="0" w:color="auto"/>
            <w:left w:val="none" w:sz="0" w:space="0" w:color="auto"/>
            <w:bottom w:val="none" w:sz="0" w:space="0" w:color="auto"/>
            <w:right w:val="none" w:sz="0" w:space="0" w:color="auto"/>
          </w:divBdr>
          <w:divsChild>
            <w:div w:id="486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48743">
      <w:bodyDiv w:val="1"/>
      <w:marLeft w:val="0"/>
      <w:marRight w:val="0"/>
      <w:marTop w:val="0"/>
      <w:marBottom w:val="0"/>
      <w:divBdr>
        <w:top w:val="none" w:sz="0" w:space="0" w:color="auto"/>
        <w:left w:val="none" w:sz="0" w:space="0" w:color="auto"/>
        <w:bottom w:val="none" w:sz="0" w:space="0" w:color="auto"/>
        <w:right w:val="none" w:sz="0" w:space="0" w:color="auto"/>
      </w:divBdr>
    </w:div>
    <w:div w:id="1872378094">
      <w:bodyDiv w:val="1"/>
      <w:marLeft w:val="0"/>
      <w:marRight w:val="0"/>
      <w:marTop w:val="0"/>
      <w:marBottom w:val="0"/>
      <w:divBdr>
        <w:top w:val="none" w:sz="0" w:space="0" w:color="auto"/>
        <w:left w:val="none" w:sz="0" w:space="0" w:color="auto"/>
        <w:bottom w:val="none" w:sz="0" w:space="0" w:color="auto"/>
        <w:right w:val="none" w:sz="0" w:space="0" w:color="auto"/>
      </w:divBdr>
      <w:divsChild>
        <w:div w:id="995568646">
          <w:marLeft w:val="0"/>
          <w:marRight w:val="0"/>
          <w:marTop w:val="0"/>
          <w:marBottom w:val="0"/>
          <w:divBdr>
            <w:top w:val="none" w:sz="0" w:space="0" w:color="auto"/>
            <w:left w:val="none" w:sz="0" w:space="0" w:color="auto"/>
            <w:bottom w:val="none" w:sz="0" w:space="0" w:color="auto"/>
            <w:right w:val="none" w:sz="0" w:space="0" w:color="auto"/>
          </w:divBdr>
          <w:divsChild>
            <w:div w:id="20071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6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1D3F2-590C-47D6-825C-ED291174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3244</Words>
  <Characters>17847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Endoqui Sanchez</dc:creator>
  <cp:keywords/>
  <dc:description/>
  <cp:lastModifiedBy>Maria del Consuelo Gonzalez Moreno</cp:lastModifiedBy>
  <cp:revision>11</cp:revision>
  <cp:lastPrinted>2016-06-09T00:00:00Z</cp:lastPrinted>
  <dcterms:created xsi:type="dcterms:W3CDTF">2017-10-04T13:18:00Z</dcterms:created>
  <dcterms:modified xsi:type="dcterms:W3CDTF">2017-11-21T19:32:00Z</dcterms:modified>
</cp:coreProperties>
</file>