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32E" w:rsidRPr="00A84011" w:rsidRDefault="0064432E" w:rsidP="00A84011">
      <w:pPr>
        <w:pStyle w:val="Ttulo1"/>
        <w:jc w:val="center"/>
        <w:rPr>
          <w:rFonts w:ascii="ITC Avant Garde" w:hAnsi="ITC Avant Garde"/>
          <w:sz w:val="22"/>
          <w:szCs w:val="22"/>
        </w:rPr>
      </w:pPr>
      <w:r w:rsidRPr="00A84011">
        <w:rPr>
          <w:rFonts w:ascii="ITC Avant Garde" w:hAnsi="ITC Avant Garde"/>
          <w:sz w:val="22"/>
          <w:szCs w:val="22"/>
        </w:rPr>
        <w:t>VERSIÓN PÚBLICA DEL ACUERDO P/IFT/010716/368</w:t>
      </w:r>
    </w:p>
    <w:p w:rsidR="0064432E" w:rsidRDefault="0064432E" w:rsidP="00A84011">
      <w:pPr>
        <w:pStyle w:val="Textoindependiente"/>
        <w:spacing w:after="0" w:line="360" w:lineRule="auto"/>
        <w:jc w:val="center"/>
        <w:rPr>
          <w:rFonts w:ascii="ITC Avant Garde" w:eastAsia="Times New Roman" w:hAnsi="ITC Avant Garde"/>
          <w:b/>
          <w:bCs/>
          <w:color w:val="000000"/>
          <w:sz w:val="20"/>
          <w:szCs w:val="20"/>
          <w:lang w:eastAsia="es-MX"/>
        </w:rPr>
      </w:pPr>
      <w:r w:rsidRPr="00014DCC">
        <w:rPr>
          <w:rFonts w:ascii="ITC Avant Garde" w:eastAsia="Times New Roman" w:hAnsi="ITC Avant Garde"/>
          <w:b/>
          <w:bCs/>
          <w:color w:val="000000"/>
          <w:sz w:val="20"/>
          <w:szCs w:val="20"/>
          <w:lang w:eastAsia="es-MX"/>
        </w:rPr>
        <w:t>DE LA SESIÓN DEL PLENO DEL INSTITUTO FEDERAL DE TELECOMUNICACIONES EN SU XX SESIÓN ORDINARIA DEL 2016, CELEBRADA EL 1 DE JULIO DE 2016.</w:t>
      </w:r>
    </w:p>
    <w:p w:rsidR="0064432E" w:rsidRPr="00A02715" w:rsidRDefault="0064432E" w:rsidP="0064432E">
      <w:pPr>
        <w:pStyle w:val="Textoindependiente"/>
        <w:spacing w:after="0" w:line="360" w:lineRule="auto"/>
        <w:jc w:val="center"/>
        <w:rPr>
          <w:rFonts w:ascii="ITC Avant Garde" w:eastAsia="Times New Roman" w:hAnsi="ITC Avant Garde"/>
          <w:b/>
          <w:bCs/>
          <w:color w:val="000000"/>
          <w:sz w:val="20"/>
          <w:szCs w:val="20"/>
          <w:lang w:eastAsia="es-MX"/>
        </w:rPr>
      </w:pPr>
      <w:r w:rsidRPr="00A02715">
        <w:rPr>
          <w:rFonts w:ascii="ITC Avant Garde" w:eastAsia="Times New Roman" w:hAnsi="ITC Avant Garde"/>
          <w:b/>
          <w:bCs/>
          <w:color w:val="000000"/>
          <w:sz w:val="20"/>
          <w:szCs w:val="20"/>
          <w:lang w:eastAsia="es-MX"/>
        </w:rPr>
        <w:t>LEYENDA DE LA CLASIFICACIÓN</w:t>
      </w:r>
    </w:p>
    <w:p w:rsidR="0064432E" w:rsidRPr="00A02715" w:rsidRDefault="0064432E" w:rsidP="0064432E">
      <w:pPr>
        <w:pStyle w:val="Textoindependiente"/>
        <w:spacing w:after="0" w:line="360" w:lineRule="auto"/>
        <w:jc w:val="both"/>
        <w:rPr>
          <w:rFonts w:ascii="ITC Avant Garde" w:eastAsia="Times New Roman" w:hAnsi="ITC Avant Garde"/>
          <w:bCs/>
          <w:color w:val="000000"/>
          <w:sz w:val="20"/>
          <w:szCs w:val="20"/>
          <w:lang w:eastAsia="es-MX"/>
        </w:rPr>
      </w:pPr>
    </w:p>
    <w:p w:rsidR="0064432E" w:rsidRPr="00A02715" w:rsidRDefault="0064432E" w:rsidP="0064432E">
      <w:pPr>
        <w:pStyle w:val="Textoindependiente"/>
        <w:spacing w:after="0" w:line="360" w:lineRule="auto"/>
        <w:jc w:val="both"/>
        <w:rPr>
          <w:rFonts w:ascii="ITC Avant Garde" w:eastAsia="Times New Roman" w:hAnsi="ITC Avant Garde"/>
          <w:bCs/>
          <w:color w:val="000000"/>
          <w:sz w:val="20"/>
          <w:szCs w:val="20"/>
          <w:lang w:eastAsia="es-MX"/>
        </w:rPr>
      </w:pPr>
      <w:r w:rsidRPr="00A02715">
        <w:rPr>
          <w:rFonts w:ascii="ITC Avant Garde" w:eastAsia="Times New Roman" w:hAnsi="ITC Avant Garde"/>
          <w:b/>
          <w:bCs/>
          <w:color w:val="000000"/>
          <w:sz w:val="20"/>
          <w:szCs w:val="20"/>
          <w:lang w:eastAsia="es-MX"/>
        </w:rPr>
        <w:t>Fecha de Clasificación:</w:t>
      </w:r>
      <w:r>
        <w:rPr>
          <w:rFonts w:ascii="ITC Avant Garde" w:eastAsia="Times New Roman" w:hAnsi="ITC Avant Garde"/>
          <w:bCs/>
          <w:color w:val="000000"/>
          <w:sz w:val="20"/>
          <w:szCs w:val="20"/>
          <w:lang w:eastAsia="es-MX"/>
        </w:rPr>
        <w:t xml:space="preserve"> </w:t>
      </w:r>
      <w:r w:rsidRPr="00F6354B">
        <w:rPr>
          <w:rFonts w:ascii="ITC Avant Garde" w:eastAsia="Times New Roman" w:hAnsi="ITC Avant Garde"/>
          <w:bCs/>
          <w:color w:val="000000"/>
          <w:sz w:val="20"/>
          <w:szCs w:val="20"/>
          <w:lang w:eastAsia="es-MX"/>
        </w:rPr>
        <w:t>1 de julio de 2016.</w:t>
      </w:r>
    </w:p>
    <w:p w:rsidR="0064432E" w:rsidRDefault="0064432E" w:rsidP="0064432E">
      <w:pPr>
        <w:pStyle w:val="Textoindependiente"/>
        <w:spacing w:after="0" w:line="360" w:lineRule="auto"/>
        <w:jc w:val="both"/>
        <w:rPr>
          <w:rFonts w:ascii="ITC Avant Garde" w:eastAsia="Times New Roman" w:hAnsi="ITC Avant Garde"/>
          <w:bCs/>
          <w:color w:val="000000"/>
          <w:sz w:val="20"/>
          <w:szCs w:val="20"/>
          <w:lang w:eastAsia="es-MX"/>
        </w:rPr>
      </w:pPr>
      <w:r w:rsidRPr="00A02715">
        <w:rPr>
          <w:rFonts w:ascii="ITC Avant Garde" w:eastAsia="Times New Roman" w:hAnsi="ITC Avant Garde"/>
          <w:b/>
          <w:bCs/>
          <w:color w:val="000000"/>
          <w:sz w:val="20"/>
          <w:szCs w:val="20"/>
          <w:lang w:eastAsia="es-MX"/>
        </w:rPr>
        <w:t>Unidad Administrativa:</w:t>
      </w:r>
      <w:r>
        <w:rPr>
          <w:rFonts w:ascii="ITC Avant Garde" w:eastAsia="Times New Roman" w:hAnsi="ITC Avant Garde"/>
          <w:bCs/>
          <w:color w:val="000000"/>
          <w:sz w:val="20"/>
          <w:szCs w:val="20"/>
          <w:lang w:eastAsia="es-MX"/>
        </w:rPr>
        <w:t xml:space="preserve"> </w:t>
      </w:r>
      <w:r w:rsidRPr="00014DCC">
        <w:rPr>
          <w:rFonts w:ascii="ITC Avant Garde" w:eastAsia="Times New Roman" w:hAnsi="ITC Avant Garde"/>
          <w:bCs/>
          <w:color w:val="000000"/>
          <w:sz w:val="20"/>
          <w:szCs w:val="20"/>
          <w:lang w:eastAsia="es-MX"/>
        </w:rPr>
        <w:t>Secretaría Técnica del Pleno, por contener información Confidencial, de acuerdo con los artículos 68, 108, 118 de la Ley Federal de Transparencia y Acceso a la Información Pública, así como 106, 107 y 111 de la Ley General de Transparencia y Acceso a la Información Pública y el artículo Noveno del Acuerdo del Consejo Nacional del Sistema de Datos Personales, por el que se aprueban los Lineamientos Generales en materia de Clasificación y Desclasificación de la Información, así como para la Elaboración de Versiones Públicas, y conforme a la versión pública elaborada por la Dirección General de Sanciones y remitida por correo electrónico el 11 de julio de 2016.</w:t>
      </w:r>
    </w:p>
    <w:p w:rsidR="0064432E" w:rsidRPr="00A02715" w:rsidRDefault="0064432E" w:rsidP="0064432E">
      <w:pPr>
        <w:pStyle w:val="Textoindependiente"/>
        <w:spacing w:after="0" w:line="360" w:lineRule="auto"/>
        <w:jc w:val="both"/>
        <w:rPr>
          <w:rFonts w:ascii="ITC Avant Garde" w:eastAsia="Times New Roman" w:hAnsi="ITC Avant Garde"/>
          <w:bCs/>
          <w:color w:val="000000"/>
          <w:sz w:val="20"/>
          <w:szCs w:val="20"/>
          <w:lang w:eastAsia="es-MX"/>
        </w:rPr>
      </w:pPr>
      <w:r w:rsidRPr="00A02715">
        <w:rPr>
          <w:rFonts w:ascii="ITC Avant Garde" w:eastAsia="Times New Roman" w:hAnsi="ITC Avant Garde"/>
          <w:b/>
          <w:bCs/>
          <w:color w:val="000000"/>
          <w:sz w:val="20"/>
          <w:szCs w:val="20"/>
          <w:lang w:eastAsia="es-MX"/>
        </w:rPr>
        <w:t>Núm. de Resolución:</w:t>
      </w:r>
      <w:r>
        <w:rPr>
          <w:rFonts w:ascii="ITC Avant Garde" w:eastAsia="Times New Roman" w:hAnsi="ITC Avant Garde"/>
          <w:bCs/>
          <w:color w:val="000000"/>
          <w:sz w:val="20"/>
          <w:szCs w:val="20"/>
          <w:lang w:eastAsia="es-MX"/>
        </w:rPr>
        <w:t xml:space="preserve"> </w:t>
      </w:r>
      <w:r>
        <w:rPr>
          <w:rFonts w:ascii="ITC Avant Garde" w:hAnsi="ITC Avant Garde"/>
          <w:sz w:val="20"/>
          <w:szCs w:val="20"/>
        </w:rPr>
        <w:t>P/IFT/010716/368.</w:t>
      </w:r>
    </w:p>
    <w:p w:rsidR="0064432E" w:rsidRDefault="0064432E" w:rsidP="0064432E">
      <w:pPr>
        <w:pStyle w:val="Textoindependiente"/>
        <w:spacing w:after="0" w:line="360" w:lineRule="auto"/>
        <w:jc w:val="both"/>
        <w:rPr>
          <w:rFonts w:ascii="ITC Avant Garde" w:hAnsi="ITC Avant Garde"/>
          <w:sz w:val="19"/>
          <w:szCs w:val="19"/>
        </w:rPr>
      </w:pPr>
      <w:bookmarkStart w:id="0" w:name="_GoBack"/>
      <w:r w:rsidRPr="00A02715">
        <w:rPr>
          <w:rFonts w:ascii="ITC Avant Garde" w:eastAsia="Times New Roman" w:hAnsi="ITC Avant Garde"/>
          <w:b/>
          <w:bCs/>
          <w:color w:val="000000"/>
          <w:sz w:val="20"/>
          <w:szCs w:val="20"/>
          <w:lang w:eastAsia="es-MX"/>
        </w:rPr>
        <w:t>Descripción del asunto:</w:t>
      </w:r>
      <w:r w:rsidRPr="00A02715">
        <w:rPr>
          <w:rFonts w:ascii="ITC Avant Garde" w:eastAsia="Times New Roman" w:hAnsi="ITC Avant Garde"/>
          <w:bCs/>
          <w:color w:val="000000"/>
          <w:sz w:val="20"/>
          <w:szCs w:val="20"/>
          <w:lang w:eastAsia="es-MX"/>
        </w:rPr>
        <w:t xml:space="preserve"> </w:t>
      </w:r>
      <w:r w:rsidRPr="00014DCC">
        <w:rPr>
          <w:rFonts w:ascii="ITC Avant Garde" w:hAnsi="ITC Avant Garde"/>
          <w:sz w:val="19"/>
          <w:szCs w:val="19"/>
        </w:rPr>
        <w:t xml:space="preserve">Resolución mediante la cual el Pleno del Instituto Federal de </w:t>
      </w:r>
      <w:bookmarkEnd w:id="0"/>
      <w:r w:rsidRPr="00014DCC">
        <w:rPr>
          <w:rFonts w:ascii="ITC Avant Garde" w:hAnsi="ITC Avant Garde"/>
          <w:sz w:val="19"/>
          <w:szCs w:val="19"/>
        </w:rPr>
        <w:t>Telecomunicaciones declara la pérdida de bienes en beneficio de la Nación, derivado del procedimiento administrativo iniciado en contra del propietario y/o poseedor, y/o responsable, y/o encargado de las instalaciones y equipos de radiodifusión operando la frecuencia 105.3 MHz, en el Municipio de Ecatepec de Morelos, Estado de México, sin contar con la respectiva concesión, permiso o autorización.</w:t>
      </w:r>
    </w:p>
    <w:p w:rsidR="0064432E" w:rsidRDefault="0064432E" w:rsidP="0064432E">
      <w:pPr>
        <w:pStyle w:val="Textoindependiente"/>
        <w:spacing w:after="0" w:line="360" w:lineRule="auto"/>
        <w:jc w:val="both"/>
        <w:rPr>
          <w:rFonts w:ascii="ITC Avant Garde" w:hAnsi="ITC Avant Garde"/>
          <w:sz w:val="18"/>
          <w:szCs w:val="18"/>
        </w:rPr>
      </w:pPr>
      <w:r w:rsidRPr="00A02715">
        <w:rPr>
          <w:rFonts w:ascii="ITC Avant Garde" w:eastAsia="Times New Roman" w:hAnsi="ITC Avant Garde"/>
          <w:b/>
          <w:bCs/>
          <w:color w:val="000000"/>
          <w:sz w:val="20"/>
          <w:szCs w:val="20"/>
          <w:lang w:eastAsia="es-MX"/>
        </w:rPr>
        <w:t>Fundamento legal:</w:t>
      </w:r>
      <w:r w:rsidRPr="00A02715">
        <w:rPr>
          <w:rFonts w:ascii="ITC Avant Garde" w:eastAsia="Times New Roman" w:hAnsi="ITC Avant Garde"/>
          <w:bCs/>
          <w:color w:val="000000"/>
          <w:sz w:val="20"/>
          <w:szCs w:val="20"/>
          <w:lang w:eastAsia="es-MX"/>
        </w:rPr>
        <w:t xml:space="preserve"> </w:t>
      </w:r>
      <w:r w:rsidRPr="00014DCC">
        <w:rPr>
          <w:rFonts w:ascii="ITC Avant Garde" w:hAnsi="ITC Avant Garde"/>
          <w:sz w:val="18"/>
          <w:szCs w:val="18"/>
        </w:rPr>
        <w:t>Confidencial con fundamento en el artículo 113, fracción I de la “Ley Federal de Transparencia y Acceso a la Información Pública” publicada en el Diario Oficial de la Federación (DOF) el 9 de mayo de 2016; el artículo 116 de la “Ley General de Transparencia y Acceso a la Información Pública”, publicada en el DOF el 4 de mayo de 2015; así como el Trigésimo Octavo, fracción I de los Lineamientos Generales en materia de Clasificación y Desclasificación de la Información, así como para la Elaboración de Versiones Públicas, publicado en el DOF el 15 de abril de 2016.</w:t>
      </w:r>
    </w:p>
    <w:p w:rsidR="0064432E" w:rsidRPr="00A02715" w:rsidRDefault="0064432E" w:rsidP="0064432E">
      <w:pPr>
        <w:pStyle w:val="Textoindependiente"/>
        <w:spacing w:after="0" w:line="360" w:lineRule="auto"/>
        <w:jc w:val="both"/>
        <w:rPr>
          <w:rFonts w:ascii="ITC Avant Garde" w:eastAsia="Times New Roman" w:hAnsi="ITC Avant Garde"/>
          <w:bCs/>
          <w:color w:val="000000"/>
          <w:sz w:val="20"/>
          <w:szCs w:val="20"/>
          <w:lang w:eastAsia="es-MX"/>
        </w:rPr>
      </w:pPr>
      <w:r w:rsidRPr="00A02715">
        <w:rPr>
          <w:rFonts w:ascii="ITC Avant Garde" w:eastAsia="Times New Roman" w:hAnsi="ITC Avant Garde"/>
          <w:b/>
          <w:bCs/>
          <w:color w:val="000000"/>
          <w:sz w:val="20"/>
          <w:szCs w:val="20"/>
          <w:lang w:eastAsia="es-MX"/>
        </w:rPr>
        <w:t>Motivación:</w:t>
      </w:r>
      <w:r w:rsidRPr="00A02715">
        <w:rPr>
          <w:rFonts w:ascii="ITC Avant Garde" w:eastAsia="Times New Roman" w:hAnsi="ITC Avant Garde"/>
          <w:bCs/>
          <w:color w:val="000000"/>
          <w:sz w:val="20"/>
          <w:szCs w:val="20"/>
          <w:lang w:eastAsia="es-MX"/>
        </w:rPr>
        <w:t xml:space="preserve"> </w:t>
      </w:r>
      <w:r w:rsidRPr="00014DCC">
        <w:rPr>
          <w:rFonts w:ascii="ITC Avant Garde" w:hAnsi="ITC Avant Garde"/>
          <w:sz w:val="20"/>
          <w:szCs w:val="20"/>
        </w:rPr>
        <w:t>Contiene datos personales concernientes a una persona identificada o identificable.</w:t>
      </w:r>
    </w:p>
    <w:p w:rsidR="0064432E" w:rsidRDefault="0064432E" w:rsidP="0065681F">
      <w:pPr>
        <w:pStyle w:val="Textoindependiente"/>
        <w:spacing w:after="0" w:line="360" w:lineRule="auto"/>
        <w:jc w:val="both"/>
        <w:rPr>
          <w:rFonts w:ascii="ITC Avant Garde" w:eastAsia="Times New Roman" w:hAnsi="ITC Avant Garde"/>
          <w:bCs/>
          <w:color w:val="000000"/>
          <w:sz w:val="20"/>
          <w:szCs w:val="20"/>
          <w:lang w:eastAsia="es-MX"/>
        </w:rPr>
        <w:sectPr w:rsidR="0064432E" w:rsidSect="0035313C">
          <w:headerReference w:type="even" r:id="rId11"/>
          <w:footerReference w:type="default" r:id="rId12"/>
          <w:pgSz w:w="12240" w:h="15840"/>
          <w:pgMar w:top="2127" w:right="1701" w:bottom="1276" w:left="1701" w:header="709" w:footer="992" w:gutter="0"/>
          <w:cols w:space="708"/>
          <w:titlePg/>
          <w:docGrid w:linePitch="360"/>
        </w:sectPr>
      </w:pPr>
      <w:r w:rsidRPr="00A02715">
        <w:rPr>
          <w:rFonts w:ascii="ITC Avant Garde" w:eastAsia="Times New Roman" w:hAnsi="ITC Avant Garde"/>
          <w:b/>
          <w:bCs/>
          <w:color w:val="000000"/>
          <w:sz w:val="20"/>
          <w:szCs w:val="20"/>
          <w:lang w:eastAsia="es-MX"/>
        </w:rPr>
        <w:t>Secciones Confidenciales:</w:t>
      </w:r>
      <w:r w:rsidRPr="00A02715">
        <w:rPr>
          <w:rFonts w:ascii="ITC Avant Garde" w:eastAsia="Times New Roman" w:hAnsi="ITC Avant Garde"/>
          <w:bCs/>
          <w:color w:val="000000"/>
          <w:sz w:val="20"/>
          <w:szCs w:val="20"/>
          <w:lang w:eastAsia="es-MX"/>
        </w:rPr>
        <w:t xml:space="preserve"> </w:t>
      </w:r>
      <w:r w:rsidR="0065681F">
        <w:rPr>
          <w:rFonts w:ascii="ITC Avant Garde" w:eastAsia="Times New Roman" w:hAnsi="ITC Avant Garde"/>
          <w:bCs/>
          <w:color w:val="000000"/>
          <w:sz w:val="20"/>
          <w:szCs w:val="20"/>
          <w:lang w:eastAsia="es-MX"/>
        </w:rPr>
        <w:t>Las secciones marcadas en color azul con la inscripción que dice “</w:t>
      </w:r>
      <w:r w:rsidR="0065681F" w:rsidRPr="00A02715">
        <w:rPr>
          <w:rFonts w:ascii="ITC Avant Garde" w:eastAsia="Times New Roman" w:hAnsi="ITC Avant Garde"/>
          <w:b/>
          <w:bCs/>
          <w:color w:val="0000CC"/>
          <w:sz w:val="20"/>
          <w:szCs w:val="20"/>
          <w:lang w:eastAsia="es-MX"/>
        </w:rPr>
        <w:t>RESERVADO POR LEY</w:t>
      </w:r>
      <w:r w:rsidR="0065681F">
        <w:rPr>
          <w:rFonts w:ascii="ITC Avant Garde" w:eastAsia="Times New Roman" w:hAnsi="ITC Avant Garde"/>
          <w:b/>
          <w:bCs/>
          <w:color w:val="0000CC"/>
          <w:sz w:val="20"/>
          <w:szCs w:val="20"/>
          <w:lang w:eastAsia="es-MX"/>
        </w:rPr>
        <w:t>”</w:t>
      </w:r>
      <w:r w:rsidR="0065681F" w:rsidRPr="00A02715">
        <w:rPr>
          <w:rFonts w:ascii="ITC Avant Garde" w:eastAsia="Times New Roman" w:hAnsi="ITC Avant Garde"/>
          <w:bCs/>
          <w:color w:val="000000"/>
          <w:sz w:val="20"/>
          <w:szCs w:val="20"/>
          <w:lang w:eastAsia="es-MX"/>
        </w:rPr>
        <w:t>.</w:t>
      </w:r>
    </w:p>
    <w:p w:rsidR="0064432E" w:rsidRPr="00A02715" w:rsidRDefault="0064432E" w:rsidP="0064432E">
      <w:pPr>
        <w:pStyle w:val="Textoindependiente"/>
        <w:spacing w:after="0" w:line="360" w:lineRule="auto"/>
        <w:jc w:val="both"/>
        <w:rPr>
          <w:rFonts w:ascii="ITC Avant Garde" w:eastAsia="Times New Roman" w:hAnsi="ITC Avant Garde"/>
          <w:bCs/>
          <w:color w:val="000000"/>
          <w:sz w:val="20"/>
          <w:szCs w:val="20"/>
          <w:lang w:eastAsia="es-MX"/>
        </w:rPr>
      </w:pPr>
    </w:p>
    <w:p w:rsidR="00D2747F" w:rsidRPr="00A84011" w:rsidRDefault="006941F6" w:rsidP="00A84011">
      <w:pPr>
        <w:pStyle w:val="Ttulo1"/>
        <w:ind w:right="3168"/>
        <w:jc w:val="both"/>
        <w:rPr>
          <w:rFonts w:ascii="ITC Avant Garde" w:hAnsi="ITC Avant Garde"/>
          <w:sz w:val="22"/>
          <w:szCs w:val="22"/>
        </w:rPr>
      </w:pPr>
      <w:r w:rsidRPr="00A84011">
        <w:rPr>
          <w:rFonts w:ascii="ITC Avant Garde" w:hAnsi="ITC Avant Garde"/>
          <w:sz w:val="22"/>
          <w:szCs w:val="22"/>
        </w:rPr>
        <w:t>PROPIETARIO</w:t>
      </w:r>
      <w:r w:rsidR="005024EC" w:rsidRPr="00A84011">
        <w:rPr>
          <w:rFonts w:ascii="ITC Avant Garde" w:hAnsi="ITC Avant Garde"/>
          <w:sz w:val="22"/>
          <w:szCs w:val="22"/>
        </w:rPr>
        <w:t xml:space="preserve"> </w:t>
      </w:r>
      <w:r w:rsidR="001A18E4" w:rsidRPr="00A84011">
        <w:rPr>
          <w:rFonts w:ascii="ITC Avant Garde" w:hAnsi="ITC Avant Garde"/>
          <w:sz w:val="22"/>
          <w:szCs w:val="22"/>
        </w:rPr>
        <w:t xml:space="preserve">Y/O POSEEDOR, Y/O </w:t>
      </w:r>
      <w:r w:rsidR="005024EC" w:rsidRPr="00A84011">
        <w:rPr>
          <w:rFonts w:ascii="ITC Avant Garde" w:hAnsi="ITC Avant Garde"/>
          <w:sz w:val="22"/>
          <w:szCs w:val="22"/>
        </w:rPr>
        <w:t>RESPONSABLE</w:t>
      </w:r>
      <w:r w:rsidR="005F75D7" w:rsidRPr="00A84011">
        <w:rPr>
          <w:rFonts w:ascii="ITC Avant Garde" w:hAnsi="ITC Avant Garde"/>
          <w:sz w:val="22"/>
          <w:szCs w:val="22"/>
        </w:rPr>
        <w:t>,</w:t>
      </w:r>
      <w:r w:rsidRPr="00A84011">
        <w:rPr>
          <w:rFonts w:ascii="ITC Avant Garde" w:hAnsi="ITC Avant Garde"/>
          <w:sz w:val="22"/>
          <w:szCs w:val="22"/>
        </w:rPr>
        <w:t xml:space="preserve"> </w:t>
      </w:r>
      <w:r w:rsidR="001A18E4" w:rsidRPr="00A84011">
        <w:rPr>
          <w:rFonts w:ascii="ITC Avant Garde" w:hAnsi="ITC Avant Garde"/>
          <w:sz w:val="22"/>
          <w:szCs w:val="22"/>
        </w:rPr>
        <w:t xml:space="preserve">Y/O ENCARGADO DE LAS INSTALACIONES Y EQUIPOS DE RADIODIFUSIÓN </w:t>
      </w:r>
      <w:r w:rsidR="00D2747F" w:rsidRPr="00A84011">
        <w:rPr>
          <w:rFonts w:ascii="ITC Avant Garde" w:hAnsi="ITC Avant Garde"/>
          <w:bCs w:val="0"/>
          <w:color w:val="000000"/>
          <w:sz w:val="22"/>
          <w:szCs w:val="22"/>
        </w:rPr>
        <w:t>OPERANDO LA FRECUENCIA 10</w:t>
      </w:r>
      <w:r w:rsidR="006B746C" w:rsidRPr="00A84011">
        <w:rPr>
          <w:rFonts w:ascii="ITC Avant Garde" w:hAnsi="ITC Avant Garde"/>
          <w:bCs w:val="0"/>
          <w:color w:val="000000"/>
          <w:sz w:val="22"/>
          <w:szCs w:val="22"/>
        </w:rPr>
        <w:t>5</w:t>
      </w:r>
      <w:r w:rsidR="00D2747F" w:rsidRPr="00A84011">
        <w:rPr>
          <w:rFonts w:ascii="ITC Avant Garde" w:hAnsi="ITC Avant Garde"/>
          <w:bCs w:val="0"/>
          <w:color w:val="000000"/>
          <w:sz w:val="22"/>
          <w:szCs w:val="22"/>
        </w:rPr>
        <w:t>.</w:t>
      </w:r>
      <w:r w:rsidR="006B746C" w:rsidRPr="00A84011">
        <w:rPr>
          <w:rFonts w:ascii="ITC Avant Garde" w:hAnsi="ITC Avant Garde"/>
          <w:bCs w:val="0"/>
          <w:color w:val="000000"/>
          <w:sz w:val="22"/>
          <w:szCs w:val="22"/>
        </w:rPr>
        <w:t>3</w:t>
      </w:r>
      <w:r w:rsidR="00D2747F" w:rsidRPr="00A84011">
        <w:rPr>
          <w:rFonts w:ascii="ITC Avant Garde" w:hAnsi="ITC Avant Garde"/>
          <w:bCs w:val="0"/>
          <w:color w:val="000000"/>
          <w:sz w:val="22"/>
          <w:szCs w:val="22"/>
        </w:rPr>
        <w:t xml:space="preserve"> MHZ.</w:t>
      </w:r>
      <w:r w:rsidR="001A18E4" w:rsidRPr="00A84011">
        <w:rPr>
          <w:rFonts w:ascii="ITC Avant Garde" w:hAnsi="ITC Avant Garde"/>
          <w:sz w:val="22"/>
          <w:szCs w:val="22"/>
        </w:rPr>
        <w:t xml:space="preserve"> </w:t>
      </w:r>
    </w:p>
    <w:p w:rsidR="00240989" w:rsidRPr="00787FA1" w:rsidRDefault="00415768" w:rsidP="005F75D7">
      <w:pPr>
        <w:pStyle w:val="Textoindependiente"/>
        <w:spacing w:after="0" w:line="240" w:lineRule="auto"/>
        <w:ind w:right="2884"/>
        <w:jc w:val="both"/>
        <w:rPr>
          <w:rFonts w:ascii="ITC Avant Garde" w:eastAsia="Times New Roman" w:hAnsi="ITC Avant Garde"/>
          <w:b/>
          <w:bCs/>
          <w:color w:val="000000"/>
          <w:lang w:eastAsia="es-MX"/>
        </w:rPr>
      </w:pPr>
      <w:r w:rsidRPr="00415768">
        <w:rPr>
          <w:rFonts w:ascii="ITC Avant Garde" w:eastAsia="Times New Roman" w:hAnsi="ITC Avant Garde"/>
          <w:b/>
          <w:bCs/>
          <w:color w:val="0000CC"/>
          <w:lang w:eastAsia="es-MX"/>
        </w:rPr>
        <w:t>RESERVADO POR LEY</w:t>
      </w:r>
      <w:r w:rsidR="006B746C" w:rsidRPr="00415768">
        <w:rPr>
          <w:rFonts w:ascii="ITC Avant Garde" w:hAnsi="ITC Avant Garde"/>
        </w:rPr>
        <w:t>,</w:t>
      </w:r>
      <w:r w:rsidR="006B746C" w:rsidRPr="00787FA1">
        <w:rPr>
          <w:rFonts w:ascii="ITC Avant Garde" w:hAnsi="ITC Avant Garde"/>
        </w:rPr>
        <w:t xml:space="preserve"> Municipio de Ecatepec, Estado de México.</w:t>
      </w:r>
    </w:p>
    <w:p w:rsidR="001D3021" w:rsidRPr="00787FA1" w:rsidRDefault="001D3021" w:rsidP="00787FA1">
      <w:pPr>
        <w:pStyle w:val="Textoindependiente"/>
        <w:spacing w:after="0" w:line="360" w:lineRule="auto"/>
        <w:jc w:val="both"/>
        <w:rPr>
          <w:rFonts w:ascii="ITC Avant Garde" w:eastAsia="Times New Roman" w:hAnsi="ITC Avant Garde"/>
          <w:b/>
          <w:bCs/>
          <w:color w:val="000000"/>
          <w:lang w:eastAsia="es-MX"/>
        </w:rPr>
      </w:pPr>
    </w:p>
    <w:p w:rsidR="00D479CF" w:rsidRPr="00787FA1" w:rsidRDefault="00DB4A9B" w:rsidP="00787FA1">
      <w:pPr>
        <w:pStyle w:val="Textoindependiente"/>
        <w:spacing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
          <w:bCs/>
          <w:color w:val="000000"/>
          <w:lang w:eastAsia="es-MX"/>
        </w:rPr>
        <w:t>Ciudad de México</w:t>
      </w:r>
      <w:r w:rsidR="005D2906" w:rsidRPr="00787FA1">
        <w:rPr>
          <w:rFonts w:ascii="ITC Avant Garde" w:eastAsia="Times New Roman" w:hAnsi="ITC Avant Garde"/>
          <w:b/>
          <w:bCs/>
          <w:color w:val="000000"/>
          <w:lang w:eastAsia="es-MX"/>
        </w:rPr>
        <w:t xml:space="preserve">, </w:t>
      </w:r>
      <w:r w:rsidR="008B63C8" w:rsidRPr="00787FA1">
        <w:rPr>
          <w:rFonts w:ascii="ITC Avant Garde" w:eastAsia="Times New Roman" w:hAnsi="ITC Avant Garde"/>
          <w:b/>
          <w:bCs/>
          <w:color w:val="000000"/>
          <w:lang w:eastAsia="es-MX"/>
        </w:rPr>
        <w:t xml:space="preserve">a </w:t>
      </w:r>
      <w:r w:rsidR="00632982">
        <w:rPr>
          <w:rFonts w:ascii="ITC Avant Garde" w:eastAsia="Times New Roman" w:hAnsi="ITC Avant Garde"/>
          <w:b/>
          <w:bCs/>
          <w:color w:val="000000"/>
          <w:lang w:eastAsia="es-MX"/>
        </w:rPr>
        <w:t>primero</w:t>
      </w:r>
      <w:r w:rsidR="005F75D7">
        <w:rPr>
          <w:rFonts w:ascii="ITC Avant Garde" w:eastAsia="Times New Roman" w:hAnsi="ITC Avant Garde"/>
          <w:b/>
          <w:bCs/>
          <w:color w:val="000000"/>
          <w:lang w:eastAsia="es-MX"/>
        </w:rPr>
        <w:t xml:space="preserve"> </w:t>
      </w:r>
      <w:r w:rsidR="001A18E4" w:rsidRPr="00787FA1">
        <w:rPr>
          <w:rFonts w:ascii="ITC Avant Garde" w:eastAsia="Times New Roman" w:hAnsi="ITC Avant Garde"/>
          <w:b/>
          <w:bCs/>
          <w:color w:val="000000"/>
          <w:lang w:eastAsia="es-MX"/>
        </w:rPr>
        <w:t xml:space="preserve">de </w:t>
      </w:r>
      <w:r w:rsidR="006B746C" w:rsidRPr="00787FA1">
        <w:rPr>
          <w:rFonts w:ascii="ITC Avant Garde" w:eastAsia="Times New Roman" w:hAnsi="ITC Avant Garde"/>
          <w:b/>
          <w:bCs/>
          <w:color w:val="000000"/>
          <w:lang w:eastAsia="es-MX"/>
        </w:rPr>
        <w:t>ju</w:t>
      </w:r>
      <w:r w:rsidR="00632982">
        <w:rPr>
          <w:rFonts w:ascii="ITC Avant Garde" w:eastAsia="Times New Roman" w:hAnsi="ITC Avant Garde"/>
          <w:b/>
          <w:bCs/>
          <w:color w:val="000000"/>
          <w:lang w:eastAsia="es-MX"/>
        </w:rPr>
        <w:t>l</w:t>
      </w:r>
      <w:r w:rsidR="006B746C" w:rsidRPr="00787FA1">
        <w:rPr>
          <w:rFonts w:ascii="ITC Avant Garde" w:eastAsia="Times New Roman" w:hAnsi="ITC Avant Garde"/>
          <w:b/>
          <w:bCs/>
          <w:color w:val="000000"/>
          <w:lang w:eastAsia="es-MX"/>
        </w:rPr>
        <w:t xml:space="preserve">io </w:t>
      </w:r>
      <w:r w:rsidR="001A18E4" w:rsidRPr="00787FA1">
        <w:rPr>
          <w:rFonts w:ascii="ITC Avant Garde" w:eastAsia="Times New Roman" w:hAnsi="ITC Avant Garde"/>
          <w:b/>
          <w:bCs/>
          <w:color w:val="000000"/>
          <w:lang w:eastAsia="es-MX"/>
        </w:rPr>
        <w:t>de dos mil dieciséis</w:t>
      </w:r>
      <w:r w:rsidR="007B2D6E" w:rsidRPr="00787FA1">
        <w:rPr>
          <w:rFonts w:ascii="ITC Avant Garde" w:eastAsia="Times New Roman" w:hAnsi="ITC Avant Garde"/>
          <w:b/>
          <w:bCs/>
          <w:color w:val="000000"/>
          <w:lang w:eastAsia="es-MX"/>
        </w:rPr>
        <w:t>.-</w:t>
      </w:r>
      <w:r w:rsidR="006578F7" w:rsidRPr="00787FA1">
        <w:rPr>
          <w:rFonts w:ascii="ITC Avant Garde" w:eastAsia="Times New Roman" w:hAnsi="ITC Avant Garde"/>
          <w:bCs/>
          <w:color w:val="000000"/>
          <w:lang w:eastAsia="es-MX"/>
        </w:rPr>
        <w:t xml:space="preserve"> Visto para resolver el expediente </w:t>
      </w:r>
      <w:r w:rsidR="00C779FB" w:rsidRPr="00787FA1">
        <w:rPr>
          <w:rFonts w:ascii="ITC Avant Garde" w:hAnsi="ITC Avant Garde"/>
          <w:b/>
        </w:rPr>
        <w:t>E-IFT.UC.DG-</w:t>
      </w:r>
      <w:r w:rsidR="00836929" w:rsidRPr="00787FA1">
        <w:rPr>
          <w:rFonts w:ascii="ITC Avant Garde" w:hAnsi="ITC Avant Garde"/>
          <w:b/>
        </w:rPr>
        <w:t>SAN.</w:t>
      </w:r>
      <w:r w:rsidR="00C779FB" w:rsidRPr="00787FA1">
        <w:rPr>
          <w:rFonts w:ascii="ITC Avant Garde" w:hAnsi="ITC Avant Garde"/>
          <w:b/>
        </w:rPr>
        <w:t>I</w:t>
      </w:r>
      <w:r w:rsidR="00913E08" w:rsidRPr="00787FA1">
        <w:rPr>
          <w:rFonts w:ascii="ITC Avant Garde" w:hAnsi="ITC Avant Garde"/>
          <w:b/>
        </w:rPr>
        <w:t>.</w:t>
      </w:r>
      <w:r w:rsidR="00C779FB" w:rsidRPr="00787FA1">
        <w:rPr>
          <w:rFonts w:ascii="ITC Avant Garde" w:hAnsi="ITC Avant Garde"/>
          <w:b/>
        </w:rPr>
        <w:t>0</w:t>
      </w:r>
      <w:r w:rsidR="006B746C" w:rsidRPr="00787FA1">
        <w:rPr>
          <w:rFonts w:ascii="ITC Avant Garde" w:hAnsi="ITC Avant Garde"/>
          <w:b/>
        </w:rPr>
        <w:t>016</w:t>
      </w:r>
      <w:r w:rsidR="00802C4F" w:rsidRPr="00787FA1">
        <w:rPr>
          <w:rFonts w:ascii="ITC Avant Garde" w:hAnsi="ITC Avant Garde"/>
          <w:b/>
        </w:rPr>
        <w:t>/</w:t>
      </w:r>
      <w:r w:rsidR="00C779FB" w:rsidRPr="00787FA1">
        <w:rPr>
          <w:rFonts w:ascii="ITC Avant Garde" w:hAnsi="ITC Avant Garde"/>
          <w:b/>
        </w:rPr>
        <w:t>201</w:t>
      </w:r>
      <w:r w:rsidR="006B746C" w:rsidRPr="00787FA1">
        <w:rPr>
          <w:rFonts w:ascii="ITC Avant Garde" w:hAnsi="ITC Avant Garde"/>
          <w:b/>
        </w:rPr>
        <w:t>6</w:t>
      </w:r>
      <w:r w:rsidR="0025557E" w:rsidRPr="00787FA1">
        <w:rPr>
          <w:rFonts w:ascii="ITC Avant Garde" w:eastAsia="Times New Roman" w:hAnsi="ITC Avant Garde"/>
          <w:bCs/>
          <w:color w:val="000000"/>
          <w:lang w:eastAsia="es-MX"/>
        </w:rPr>
        <w:t xml:space="preserve">, </w:t>
      </w:r>
      <w:r w:rsidR="006578F7" w:rsidRPr="00787FA1">
        <w:rPr>
          <w:rFonts w:ascii="ITC Avant Garde" w:eastAsia="Times New Roman" w:hAnsi="ITC Avant Garde"/>
          <w:bCs/>
          <w:color w:val="000000"/>
          <w:lang w:eastAsia="es-MX"/>
        </w:rPr>
        <w:t>formado con motivo del procedimiento administrativo de imposición de sanci</w:t>
      </w:r>
      <w:r w:rsidR="006941F6" w:rsidRPr="00787FA1">
        <w:rPr>
          <w:rFonts w:ascii="ITC Avant Garde" w:eastAsia="Times New Roman" w:hAnsi="ITC Avant Garde"/>
          <w:bCs/>
          <w:color w:val="000000"/>
          <w:lang w:eastAsia="es-MX"/>
        </w:rPr>
        <w:t>ones</w:t>
      </w:r>
      <w:r w:rsidR="007C47AC" w:rsidRPr="00787FA1">
        <w:rPr>
          <w:rFonts w:ascii="ITC Avant Garde" w:eastAsia="Times New Roman" w:hAnsi="ITC Avant Garde"/>
          <w:bCs/>
          <w:color w:val="000000"/>
          <w:lang w:eastAsia="es-MX"/>
        </w:rPr>
        <w:t xml:space="preserve"> y declaratoria de pérdida de bienes</w:t>
      </w:r>
      <w:r w:rsidR="00375899" w:rsidRPr="00787FA1">
        <w:rPr>
          <w:rFonts w:ascii="ITC Avant Garde" w:eastAsia="Times New Roman" w:hAnsi="ITC Avant Garde"/>
          <w:bCs/>
          <w:color w:val="000000"/>
          <w:lang w:eastAsia="es-MX"/>
        </w:rPr>
        <w:t xml:space="preserve">, instalaciones y equipos </w:t>
      </w:r>
      <w:r w:rsidR="007C47AC" w:rsidRPr="00787FA1">
        <w:rPr>
          <w:rFonts w:ascii="ITC Avant Garde" w:eastAsia="Times New Roman" w:hAnsi="ITC Avant Garde"/>
          <w:bCs/>
          <w:color w:val="000000"/>
          <w:lang w:eastAsia="es-MX"/>
        </w:rPr>
        <w:t>en beneficio de la Nación</w:t>
      </w:r>
      <w:r w:rsidR="008147ED" w:rsidRPr="00787FA1">
        <w:rPr>
          <w:rFonts w:ascii="ITC Avant Garde" w:eastAsia="Times New Roman" w:hAnsi="ITC Avant Garde"/>
          <w:bCs/>
          <w:color w:val="000000"/>
          <w:lang w:eastAsia="es-MX"/>
        </w:rPr>
        <w:t>,</w:t>
      </w:r>
      <w:r w:rsidR="006578F7" w:rsidRPr="00787FA1">
        <w:rPr>
          <w:rFonts w:ascii="ITC Avant Garde" w:eastAsia="Times New Roman" w:hAnsi="ITC Avant Garde"/>
          <w:bCs/>
          <w:color w:val="000000"/>
          <w:lang w:eastAsia="es-MX"/>
        </w:rPr>
        <w:t xml:space="preserve"> iniciado </w:t>
      </w:r>
      <w:r w:rsidR="00E63148" w:rsidRPr="00787FA1">
        <w:rPr>
          <w:rFonts w:ascii="ITC Avant Garde" w:eastAsia="Times New Roman" w:hAnsi="ITC Avant Garde"/>
          <w:bCs/>
          <w:color w:val="000000"/>
          <w:lang w:eastAsia="es-MX"/>
        </w:rPr>
        <w:t>mediante acuerdo de</w:t>
      </w:r>
      <w:r w:rsidR="000002CD" w:rsidRPr="00787FA1">
        <w:rPr>
          <w:rFonts w:ascii="ITC Avant Garde" w:eastAsia="Times New Roman" w:hAnsi="ITC Avant Garde"/>
          <w:bCs/>
          <w:color w:val="000000"/>
          <w:lang w:eastAsia="es-MX"/>
        </w:rPr>
        <w:t xml:space="preserve"> </w:t>
      </w:r>
      <w:r w:rsidR="006B746C" w:rsidRPr="00787FA1">
        <w:rPr>
          <w:rFonts w:ascii="ITC Avant Garde" w:eastAsia="Times New Roman" w:hAnsi="ITC Avant Garde"/>
          <w:bCs/>
          <w:color w:val="000000"/>
          <w:lang w:eastAsia="es-MX"/>
        </w:rPr>
        <w:t xml:space="preserve">dieciocho </w:t>
      </w:r>
      <w:r w:rsidR="001A18E4" w:rsidRPr="00787FA1">
        <w:rPr>
          <w:rFonts w:ascii="ITC Avant Garde" w:eastAsia="Times New Roman" w:hAnsi="ITC Avant Garde"/>
          <w:bCs/>
          <w:color w:val="000000"/>
          <w:lang w:eastAsia="es-MX"/>
        </w:rPr>
        <w:t xml:space="preserve">de </w:t>
      </w:r>
      <w:r w:rsidR="006B746C" w:rsidRPr="00787FA1">
        <w:rPr>
          <w:rFonts w:ascii="ITC Avant Garde" w:eastAsia="Times New Roman" w:hAnsi="ITC Avant Garde"/>
          <w:bCs/>
          <w:color w:val="000000"/>
          <w:lang w:eastAsia="es-MX"/>
        </w:rPr>
        <w:t xml:space="preserve">marzo de </w:t>
      </w:r>
      <w:r w:rsidR="001A18E4" w:rsidRPr="00787FA1">
        <w:rPr>
          <w:rFonts w:ascii="ITC Avant Garde" w:eastAsia="Times New Roman" w:hAnsi="ITC Avant Garde"/>
          <w:bCs/>
          <w:color w:val="000000"/>
          <w:lang w:eastAsia="es-MX"/>
        </w:rPr>
        <w:t>dos mil dieciséis</w:t>
      </w:r>
      <w:r w:rsidR="00E63148" w:rsidRPr="00787FA1">
        <w:rPr>
          <w:rFonts w:ascii="ITC Avant Garde" w:eastAsia="Times New Roman" w:hAnsi="ITC Avant Garde"/>
          <w:bCs/>
          <w:color w:val="000000"/>
          <w:lang w:eastAsia="es-MX"/>
        </w:rPr>
        <w:t xml:space="preserve"> y notificado el </w:t>
      </w:r>
      <w:r w:rsidR="001A18E4" w:rsidRPr="00787FA1">
        <w:rPr>
          <w:rFonts w:ascii="ITC Avant Garde" w:eastAsia="Times New Roman" w:hAnsi="ITC Avant Garde"/>
          <w:bCs/>
          <w:color w:val="000000"/>
          <w:lang w:eastAsia="es-MX"/>
        </w:rPr>
        <w:t>veint</w:t>
      </w:r>
      <w:r w:rsidR="006B746C" w:rsidRPr="00787FA1">
        <w:rPr>
          <w:rFonts w:ascii="ITC Avant Garde" w:eastAsia="Times New Roman" w:hAnsi="ITC Avant Garde"/>
          <w:bCs/>
          <w:color w:val="000000"/>
          <w:lang w:eastAsia="es-MX"/>
        </w:rPr>
        <w:t xml:space="preserve">inueve </w:t>
      </w:r>
      <w:r w:rsidR="001A18E4" w:rsidRPr="00787FA1">
        <w:rPr>
          <w:rFonts w:ascii="ITC Avant Garde" w:eastAsia="Times New Roman" w:hAnsi="ITC Avant Garde"/>
          <w:bCs/>
          <w:color w:val="000000"/>
          <w:lang w:eastAsia="es-MX"/>
        </w:rPr>
        <w:t xml:space="preserve">de </w:t>
      </w:r>
      <w:r w:rsidR="006B746C" w:rsidRPr="00787FA1">
        <w:rPr>
          <w:rFonts w:ascii="ITC Avant Garde" w:eastAsia="Times New Roman" w:hAnsi="ITC Avant Garde"/>
          <w:bCs/>
          <w:color w:val="000000"/>
          <w:lang w:eastAsia="es-MX"/>
        </w:rPr>
        <w:t xml:space="preserve">marzo </w:t>
      </w:r>
      <w:r w:rsidR="001A18E4" w:rsidRPr="00787FA1">
        <w:rPr>
          <w:rFonts w:ascii="ITC Avant Garde" w:eastAsia="Times New Roman" w:hAnsi="ITC Avant Garde"/>
          <w:bCs/>
          <w:color w:val="000000"/>
          <w:lang w:eastAsia="es-MX"/>
        </w:rPr>
        <w:t>d</w:t>
      </w:r>
      <w:r w:rsidR="00E63148" w:rsidRPr="00787FA1">
        <w:rPr>
          <w:rFonts w:ascii="ITC Avant Garde" w:eastAsia="Times New Roman" w:hAnsi="ITC Avant Garde"/>
          <w:bCs/>
          <w:color w:val="000000"/>
          <w:lang w:eastAsia="es-MX"/>
        </w:rPr>
        <w:t>el mismo</w:t>
      </w:r>
      <w:r w:rsidR="000002CD" w:rsidRPr="00787FA1">
        <w:rPr>
          <w:rFonts w:ascii="ITC Avant Garde" w:eastAsia="Times New Roman" w:hAnsi="ITC Avant Garde"/>
          <w:bCs/>
          <w:color w:val="000000"/>
          <w:lang w:eastAsia="es-MX"/>
        </w:rPr>
        <w:t xml:space="preserve"> año</w:t>
      </w:r>
      <w:r w:rsidR="00802C4F" w:rsidRPr="00787FA1">
        <w:rPr>
          <w:rFonts w:ascii="ITC Avant Garde" w:eastAsia="Times New Roman" w:hAnsi="ITC Avant Garde"/>
          <w:bCs/>
          <w:color w:val="000000"/>
          <w:lang w:eastAsia="es-MX"/>
        </w:rPr>
        <w:t xml:space="preserve"> </w:t>
      </w:r>
      <w:r w:rsidRPr="00787FA1">
        <w:rPr>
          <w:rFonts w:ascii="ITC Avant Garde" w:eastAsia="Times New Roman" w:hAnsi="ITC Avant Garde"/>
          <w:bCs/>
          <w:color w:val="000000"/>
          <w:lang w:eastAsia="es-MX"/>
        </w:rPr>
        <w:t xml:space="preserve">por conducto de la Unidad de Cumplimiento del </w:t>
      </w:r>
      <w:r w:rsidR="006941F6" w:rsidRPr="00787FA1">
        <w:rPr>
          <w:rFonts w:ascii="ITC Avant Garde" w:eastAsia="Times New Roman" w:hAnsi="ITC Avant Garde"/>
          <w:bCs/>
          <w:color w:val="000000"/>
          <w:lang w:eastAsia="es-MX"/>
        </w:rPr>
        <w:t>Instituto Federal de Telecomunicaciones (</w:t>
      </w:r>
      <w:r w:rsidR="006B746C" w:rsidRPr="00787FA1">
        <w:rPr>
          <w:rFonts w:ascii="ITC Avant Garde" w:eastAsia="Times New Roman" w:hAnsi="ITC Avant Garde"/>
          <w:bCs/>
          <w:color w:val="000000"/>
          <w:lang w:eastAsia="es-MX"/>
        </w:rPr>
        <w:t xml:space="preserve">en adelante </w:t>
      </w:r>
      <w:r w:rsidRPr="00787FA1">
        <w:rPr>
          <w:rFonts w:ascii="ITC Avant Garde" w:eastAsia="Times New Roman" w:hAnsi="ITC Avant Garde"/>
          <w:bCs/>
          <w:color w:val="000000"/>
          <w:lang w:eastAsia="es-MX"/>
        </w:rPr>
        <w:t xml:space="preserve">el </w:t>
      </w:r>
      <w:r w:rsidR="006941F6" w:rsidRPr="00787FA1">
        <w:rPr>
          <w:rFonts w:ascii="ITC Avant Garde" w:eastAsia="Times New Roman" w:hAnsi="ITC Avant Garde"/>
          <w:bCs/>
          <w:color w:val="000000"/>
          <w:lang w:eastAsia="es-MX"/>
        </w:rPr>
        <w:t>“</w:t>
      </w:r>
      <w:r w:rsidR="006941F6" w:rsidRPr="00787FA1">
        <w:rPr>
          <w:rFonts w:ascii="ITC Avant Garde" w:eastAsia="Times New Roman" w:hAnsi="ITC Avant Garde"/>
          <w:b/>
          <w:bCs/>
          <w:color w:val="000000"/>
          <w:lang w:eastAsia="es-MX"/>
        </w:rPr>
        <w:t xml:space="preserve">IFT </w:t>
      </w:r>
      <w:r w:rsidR="006941F6" w:rsidRPr="00787FA1">
        <w:rPr>
          <w:rFonts w:ascii="ITC Avant Garde" w:eastAsia="Times New Roman" w:hAnsi="ITC Avant Garde"/>
          <w:bCs/>
          <w:color w:val="000000"/>
          <w:lang w:eastAsia="es-MX"/>
        </w:rPr>
        <w:t>o</w:t>
      </w:r>
      <w:r w:rsidR="006941F6" w:rsidRPr="00787FA1">
        <w:rPr>
          <w:rFonts w:ascii="ITC Avant Garde" w:eastAsia="Times New Roman" w:hAnsi="ITC Avant Garde"/>
          <w:b/>
          <w:bCs/>
          <w:color w:val="000000"/>
          <w:lang w:eastAsia="es-MX"/>
        </w:rPr>
        <w:t xml:space="preserve"> Instituto”</w:t>
      </w:r>
      <w:r w:rsidR="006941F6" w:rsidRPr="00787FA1">
        <w:rPr>
          <w:rFonts w:ascii="ITC Avant Garde" w:eastAsia="Times New Roman" w:hAnsi="ITC Avant Garde"/>
          <w:bCs/>
          <w:color w:val="000000"/>
          <w:lang w:eastAsia="es-MX"/>
        </w:rPr>
        <w:t xml:space="preserve">), en contra del </w:t>
      </w:r>
      <w:r w:rsidR="001A18E4" w:rsidRPr="00787FA1">
        <w:rPr>
          <w:rFonts w:ascii="ITC Avant Garde" w:hAnsi="ITC Avant Garde"/>
          <w:b/>
        </w:rPr>
        <w:t>propietario y/o poseedor, y/o responsable</w:t>
      </w:r>
      <w:r w:rsidR="005F75D7">
        <w:rPr>
          <w:rFonts w:ascii="ITC Avant Garde" w:hAnsi="ITC Avant Garde"/>
          <w:b/>
        </w:rPr>
        <w:t>,</w:t>
      </w:r>
      <w:r w:rsidR="001A18E4" w:rsidRPr="00787FA1">
        <w:rPr>
          <w:rFonts w:ascii="ITC Avant Garde" w:hAnsi="ITC Avant Garde"/>
          <w:b/>
        </w:rPr>
        <w:t xml:space="preserve"> y/o encargado de las instalaciones y equipos de radiodifusión </w:t>
      </w:r>
      <w:r w:rsidR="005F75D7">
        <w:rPr>
          <w:rFonts w:ascii="ITC Avant Garde" w:hAnsi="ITC Avant Garde"/>
          <w:b/>
        </w:rPr>
        <w:t>operando</w:t>
      </w:r>
      <w:r w:rsidRPr="00787FA1">
        <w:rPr>
          <w:rFonts w:ascii="ITC Avant Garde" w:hAnsi="ITC Avant Garde"/>
          <w:b/>
        </w:rPr>
        <w:t xml:space="preserve"> en la frecuencia 105</w:t>
      </w:r>
      <w:r w:rsidR="006B746C" w:rsidRPr="00787FA1">
        <w:rPr>
          <w:rFonts w:ascii="ITC Avant Garde" w:hAnsi="ITC Avant Garde"/>
          <w:b/>
        </w:rPr>
        <w:t>.3</w:t>
      </w:r>
      <w:r w:rsidRPr="00787FA1">
        <w:rPr>
          <w:rFonts w:ascii="ITC Avant Garde" w:hAnsi="ITC Avant Garde"/>
          <w:b/>
        </w:rPr>
        <w:t xml:space="preserve"> MHz </w:t>
      </w:r>
      <w:r w:rsidRPr="00787FA1">
        <w:rPr>
          <w:rFonts w:ascii="ITC Avant Garde" w:hAnsi="ITC Avant Garde"/>
        </w:rPr>
        <w:t>en lo sucesivo el</w:t>
      </w:r>
      <w:r w:rsidRPr="00787FA1">
        <w:rPr>
          <w:rFonts w:ascii="ITC Avant Garde" w:hAnsi="ITC Avant Garde"/>
          <w:b/>
        </w:rPr>
        <w:t xml:space="preserve"> “PRESUNTO </w:t>
      </w:r>
      <w:r w:rsidR="00A37BF8">
        <w:rPr>
          <w:rFonts w:ascii="ITC Avant Garde" w:hAnsi="ITC Avant Garde"/>
          <w:b/>
        </w:rPr>
        <w:t>RESPONSABLE</w:t>
      </w:r>
      <w:r w:rsidRPr="00787FA1">
        <w:rPr>
          <w:rFonts w:ascii="ITC Avant Garde" w:hAnsi="ITC Avant Garde"/>
          <w:b/>
        </w:rPr>
        <w:t xml:space="preserve">”, </w:t>
      </w:r>
      <w:r w:rsidR="006B746C" w:rsidRPr="00787FA1">
        <w:rPr>
          <w:rFonts w:ascii="ITC Avant Garde" w:hAnsi="ITC Avant Garde"/>
        </w:rPr>
        <w:t xml:space="preserve">en el domicilio </w:t>
      </w:r>
      <w:r w:rsidRPr="00787FA1">
        <w:rPr>
          <w:rFonts w:ascii="ITC Avant Garde" w:hAnsi="ITC Avant Garde"/>
        </w:rPr>
        <w:t>ubicad</w:t>
      </w:r>
      <w:r w:rsidR="006B746C" w:rsidRPr="00787FA1">
        <w:rPr>
          <w:rFonts w:ascii="ITC Avant Garde" w:hAnsi="ITC Avant Garde"/>
        </w:rPr>
        <w:t>o</w:t>
      </w:r>
      <w:r w:rsidRPr="00787FA1">
        <w:rPr>
          <w:rFonts w:ascii="ITC Avant Garde" w:hAnsi="ITC Avant Garde"/>
        </w:rPr>
        <w:t xml:space="preserve"> en </w:t>
      </w:r>
      <w:r w:rsidR="00415768" w:rsidRPr="00415768">
        <w:rPr>
          <w:rFonts w:ascii="ITC Avant Garde" w:eastAsia="Times New Roman" w:hAnsi="ITC Avant Garde"/>
          <w:b/>
          <w:bCs/>
          <w:color w:val="0000CC"/>
          <w:lang w:eastAsia="es-MX"/>
        </w:rPr>
        <w:t>RESERVADO POR LEY</w:t>
      </w:r>
      <w:r w:rsidR="006B746C" w:rsidRPr="00787FA1">
        <w:rPr>
          <w:rFonts w:ascii="ITC Avant Garde" w:hAnsi="ITC Avant Garde"/>
        </w:rPr>
        <w:t>, Municipio de Ecatepec, Estado de México</w:t>
      </w:r>
      <w:r w:rsidR="006941F6" w:rsidRPr="00787FA1">
        <w:rPr>
          <w:rFonts w:ascii="ITC Avant Garde" w:hAnsi="ITC Avant Garde"/>
        </w:rPr>
        <w:t xml:space="preserve">, por la </w:t>
      </w:r>
      <w:r w:rsidR="000D4A2D" w:rsidRPr="00787FA1">
        <w:rPr>
          <w:rFonts w:ascii="ITC Avant Garde" w:hAnsi="ITC Avant Garde"/>
        </w:rPr>
        <w:t xml:space="preserve">probable </w:t>
      </w:r>
      <w:r w:rsidR="006941F6" w:rsidRPr="008E3C33">
        <w:rPr>
          <w:rFonts w:ascii="ITC Avant Garde" w:hAnsi="ITC Avant Garde"/>
        </w:rPr>
        <w:t>infracción</w:t>
      </w:r>
      <w:r w:rsidR="006941F6" w:rsidRPr="00787FA1">
        <w:rPr>
          <w:rFonts w:ascii="ITC Avant Garde" w:hAnsi="ITC Avant Garde"/>
        </w:rPr>
        <w:t xml:space="preserve"> al artículo 66 </w:t>
      </w:r>
      <w:r w:rsidR="00494328" w:rsidRPr="00787FA1">
        <w:rPr>
          <w:rFonts w:ascii="ITC Avant Garde" w:hAnsi="ITC Avant Garde"/>
        </w:rPr>
        <w:t xml:space="preserve">en relación con el artículo 75 </w:t>
      </w:r>
      <w:r w:rsidR="006941F6" w:rsidRPr="00787FA1">
        <w:rPr>
          <w:rFonts w:ascii="ITC Avant Garde" w:hAnsi="ITC Avant Garde"/>
        </w:rPr>
        <w:t>y la probable actualización de la hipótesis normativa prevista en el artículo 305</w:t>
      </w:r>
      <w:r w:rsidR="000D4A2D" w:rsidRPr="00787FA1">
        <w:rPr>
          <w:rFonts w:ascii="ITC Avant Garde" w:hAnsi="ITC Avant Garde"/>
        </w:rPr>
        <w:t xml:space="preserve">, todos </w:t>
      </w:r>
      <w:r w:rsidR="006941F6" w:rsidRPr="00787FA1">
        <w:rPr>
          <w:rFonts w:ascii="ITC Avant Garde" w:hAnsi="ITC Avant Garde"/>
        </w:rPr>
        <w:t>de la Ley Federal de Telecomunicaciones y Radiodifusión</w:t>
      </w:r>
      <w:r w:rsidR="000D4A2D" w:rsidRPr="00787FA1">
        <w:rPr>
          <w:rFonts w:ascii="ITC Avant Garde" w:hAnsi="ITC Avant Garde"/>
        </w:rPr>
        <w:t xml:space="preserve"> (</w:t>
      </w:r>
      <w:r w:rsidR="006B746C" w:rsidRPr="00787FA1">
        <w:rPr>
          <w:rFonts w:ascii="ITC Avant Garde" w:hAnsi="ITC Avant Garde"/>
        </w:rPr>
        <w:t xml:space="preserve">en lo subsecuente </w:t>
      </w:r>
      <w:r w:rsidR="000D4A2D" w:rsidRPr="00787FA1">
        <w:rPr>
          <w:rFonts w:ascii="ITC Avant Garde" w:hAnsi="ITC Avant Garde"/>
        </w:rPr>
        <w:t>la “</w:t>
      </w:r>
      <w:proofErr w:type="spellStart"/>
      <w:r w:rsidR="000D4A2D" w:rsidRPr="00787FA1">
        <w:rPr>
          <w:rFonts w:ascii="ITC Avant Garde" w:hAnsi="ITC Avant Garde"/>
          <w:b/>
        </w:rPr>
        <w:t>LFTyR</w:t>
      </w:r>
      <w:proofErr w:type="spellEnd"/>
      <w:r w:rsidR="000D4A2D" w:rsidRPr="00787FA1">
        <w:rPr>
          <w:rFonts w:ascii="ITC Avant Garde" w:hAnsi="ITC Avant Garde"/>
          <w:b/>
        </w:rPr>
        <w:t>”</w:t>
      </w:r>
      <w:r w:rsidR="000D4A2D" w:rsidRPr="00787FA1">
        <w:rPr>
          <w:rFonts w:ascii="ITC Avant Garde" w:hAnsi="ITC Avant Garde"/>
        </w:rPr>
        <w:t>).</w:t>
      </w:r>
      <w:r w:rsidR="006941F6" w:rsidRPr="00787FA1">
        <w:rPr>
          <w:rFonts w:ascii="ITC Avant Garde" w:eastAsia="Times New Roman" w:hAnsi="ITC Avant Garde"/>
          <w:bCs/>
          <w:color w:val="000000"/>
          <w:lang w:eastAsia="es-MX"/>
        </w:rPr>
        <w:t xml:space="preserve"> Al respecto, se emite la presente resolución de conformidad con lo siguiente, y</w:t>
      </w:r>
    </w:p>
    <w:p w:rsidR="006B746C" w:rsidRPr="004500F6" w:rsidRDefault="006B746C" w:rsidP="00787FA1">
      <w:pPr>
        <w:pStyle w:val="Textoindependiente"/>
        <w:spacing w:after="0" w:line="360" w:lineRule="auto"/>
        <w:jc w:val="center"/>
        <w:rPr>
          <w:rFonts w:ascii="ITC Avant Garde" w:eastAsia="Times New Roman" w:hAnsi="ITC Avant Garde"/>
          <w:b/>
          <w:bCs/>
          <w:color w:val="000000"/>
          <w:sz w:val="20"/>
          <w:lang w:eastAsia="es-MX"/>
        </w:rPr>
      </w:pPr>
    </w:p>
    <w:p w:rsidR="009D411D" w:rsidRPr="00A84011" w:rsidRDefault="009D411D" w:rsidP="00A84011">
      <w:pPr>
        <w:pStyle w:val="Ttulo2"/>
        <w:jc w:val="center"/>
        <w:rPr>
          <w:rFonts w:ascii="ITC Avant Garde" w:hAnsi="ITC Avant Garde"/>
          <w:b/>
          <w:bCs/>
          <w:color w:val="000000"/>
          <w:sz w:val="22"/>
          <w:szCs w:val="22"/>
          <w:lang w:eastAsia="es-MX"/>
        </w:rPr>
      </w:pPr>
      <w:r w:rsidRPr="00A84011">
        <w:rPr>
          <w:rFonts w:ascii="ITC Avant Garde" w:hAnsi="ITC Avant Garde"/>
          <w:b/>
          <w:bCs/>
          <w:color w:val="000000"/>
          <w:sz w:val="22"/>
          <w:szCs w:val="22"/>
          <w:lang w:eastAsia="es-MX"/>
        </w:rPr>
        <w:t>RESULTANDO</w:t>
      </w:r>
    </w:p>
    <w:p w:rsidR="000C0471" w:rsidRPr="00787FA1" w:rsidRDefault="0067034C" w:rsidP="00A84011">
      <w:pPr>
        <w:spacing w:before="240" w:after="0" w:line="360" w:lineRule="auto"/>
        <w:jc w:val="both"/>
        <w:rPr>
          <w:rFonts w:ascii="ITC Avant Garde" w:hAnsi="ITC Avant Garde"/>
        </w:rPr>
      </w:pPr>
      <w:r w:rsidRPr="00787FA1">
        <w:rPr>
          <w:rFonts w:ascii="ITC Avant Garde" w:eastAsia="Times New Roman" w:hAnsi="ITC Avant Garde"/>
          <w:b/>
          <w:bCs/>
          <w:color w:val="000000"/>
          <w:lang w:eastAsia="es-MX"/>
        </w:rPr>
        <w:t>PRIMERO.</w:t>
      </w:r>
      <w:r w:rsidRPr="00787FA1">
        <w:rPr>
          <w:rFonts w:ascii="ITC Avant Garde" w:eastAsia="Times New Roman" w:hAnsi="ITC Avant Garde"/>
          <w:bCs/>
          <w:color w:val="000000"/>
          <w:lang w:eastAsia="es-MX"/>
        </w:rPr>
        <w:t xml:space="preserve"> </w:t>
      </w:r>
      <w:r w:rsidR="005F75D7">
        <w:rPr>
          <w:rFonts w:ascii="ITC Avant Garde" w:eastAsia="Times New Roman" w:hAnsi="ITC Avant Garde"/>
          <w:bCs/>
          <w:color w:val="000000"/>
          <w:lang w:eastAsia="es-MX"/>
        </w:rPr>
        <w:t xml:space="preserve">Mediante </w:t>
      </w:r>
      <w:r w:rsidR="006B746C" w:rsidRPr="00787FA1">
        <w:rPr>
          <w:rFonts w:ascii="ITC Avant Garde" w:hAnsi="ITC Avant Garde"/>
        </w:rPr>
        <w:t xml:space="preserve">oficio </w:t>
      </w:r>
      <w:r w:rsidR="006B746C" w:rsidRPr="00787FA1">
        <w:rPr>
          <w:rFonts w:ascii="ITC Avant Garde" w:hAnsi="ITC Avant Garde"/>
          <w:b/>
        </w:rPr>
        <w:t>IFT/225/UC/DGA-VESRE/145/2014</w:t>
      </w:r>
      <w:r w:rsidR="006B746C" w:rsidRPr="00787FA1">
        <w:rPr>
          <w:rFonts w:ascii="ITC Avant Garde" w:hAnsi="ITC Avant Garde"/>
        </w:rPr>
        <w:t xml:space="preserve"> de veintiocho de noviembre de dos mil catorce</w:t>
      </w:r>
      <w:r w:rsidR="005F75D7">
        <w:rPr>
          <w:rFonts w:ascii="ITC Avant Garde" w:hAnsi="ITC Avant Garde"/>
        </w:rPr>
        <w:t>,</w:t>
      </w:r>
      <w:r w:rsidR="006B746C" w:rsidRPr="00787FA1">
        <w:rPr>
          <w:rFonts w:ascii="ITC Avant Garde" w:hAnsi="ITC Avant Garde"/>
        </w:rPr>
        <w:t xml:space="preserve"> la Dirección General Adjunta de Vigilancia del Espectro Radioeléctrico (en adelante “</w:t>
      </w:r>
      <w:r w:rsidR="006B746C" w:rsidRPr="00787FA1">
        <w:rPr>
          <w:rFonts w:ascii="ITC Avant Garde" w:hAnsi="ITC Avant Garde"/>
          <w:b/>
        </w:rPr>
        <w:t>DGA-VESRE</w:t>
      </w:r>
      <w:r w:rsidR="006B746C" w:rsidRPr="00787FA1">
        <w:rPr>
          <w:rFonts w:ascii="ITC Avant Garde" w:hAnsi="ITC Avant Garde"/>
        </w:rPr>
        <w:t xml:space="preserve">”) informó a la Dirección General de Verificación (en lo sucesivo </w:t>
      </w:r>
      <w:r w:rsidR="006B746C" w:rsidRPr="00787FA1">
        <w:rPr>
          <w:rFonts w:ascii="ITC Avant Garde" w:hAnsi="ITC Avant Garde"/>
          <w:b/>
        </w:rPr>
        <w:t>“DGV”</w:t>
      </w:r>
      <w:r w:rsidR="006B746C" w:rsidRPr="00787FA1">
        <w:rPr>
          <w:rFonts w:ascii="ITC Avant Garde" w:hAnsi="ITC Avant Garde"/>
        </w:rPr>
        <w:t xml:space="preserve">) </w:t>
      </w:r>
      <w:r w:rsidR="005F75D7" w:rsidRPr="00E1402E">
        <w:rPr>
          <w:rFonts w:ascii="ITC Avant Garde" w:eastAsia="Times New Roman" w:hAnsi="ITC Avant Garde"/>
          <w:bCs/>
          <w:color w:val="000000"/>
          <w:lang w:eastAsia="es-MX"/>
        </w:rPr>
        <w:t xml:space="preserve">dependiente de la Unidad de Cumplimiento del </w:t>
      </w:r>
      <w:r w:rsidR="005F75D7" w:rsidRPr="00E1402E">
        <w:rPr>
          <w:rFonts w:ascii="ITC Avant Garde" w:eastAsia="Times New Roman" w:hAnsi="ITC Avant Garde"/>
          <w:b/>
          <w:bCs/>
          <w:color w:val="000000"/>
          <w:lang w:eastAsia="es-MX"/>
        </w:rPr>
        <w:t>IFT</w:t>
      </w:r>
      <w:r w:rsidR="005F75D7">
        <w:rPr>
          <w:rFonts w:ascii="ITC Avant Garde" w:hAnsi="ITC Avant Garde"/>
        </w:rPr>
        <w:t xml:space="preserve">, </w:t>
      </w:r>
      <w:r w:rsidR="006B746C" w:rsidRPr="00787FA1">
        <w:rPr>
          <w:rFonts w:ascii="ITC Avant Garde" w:hAnsi="ITC Avant Garde"/>
        </w:rPr>
        <w:t xml:space="preserve">que </w:t>
      </w:r>
      <w:r w:rsidR="000C0471" w:rsidRPr="00787FA1">
        <w:rPr>
          <w:rFonts w:ascii="ITC Avant Garde" w:hAnsi="ITC Avant Garde"/>
        </w:rPr>
        <w:t xml:space="preserve">en cumplimiento al programa anual de </w:t>
      </w:r>
      <w:r w:rsidR="001F38D4">
        <w:rPr>
          <w:rFonts w:ascii="ITC Avant Garde" w:hAnsi="ITC Avant Garde"/>
        </w:rPr>
        <w:t xml:space="preserve">radiomonitoreo, personal </w:t>
      </w:r>
      <w:r w:rsidR="001F38D4">
        <w:rPr>
          <w:rFonts w:ascii="ITC Avant Garde" w:hAnsi="ITC Avant Garde"/>
        </w:rPr>
        <w:lastRenderedPageBreak/>
        <w:t xml:space="preserve">adscrito a la </w:t>
      </w:r>
      <w:r w:rsidR="001F38D4" w:rsidRPr="00787FA1">
        <w:rPr>
          <w:rFonts w:ascii="ITC Avant Garde" w:hAnsi="ITC Avant Garde"/>
        </w:rPr>
        <w:t>“</w:t>
      </w:r>
      <w:r w:rsidR="001F38D4" w:rsidRPr="00787FA1">
        <w:rPr>
          <w:rFonts w:ascii="ITC Avant Garde" w:hAnsi="ITC Avant Garde"/>
          <w:b/>
        </w:rPr>
        <w:t>DGA-VESRE</w:t>
      </w:r>
      <w:r w:rsidR="001F38D4" w:rsidRPr="00787FA1">
        <w:rPr>
          <w:rFonts w:ascii="ITC Avant Garde" w:hAnsi="ITC Avant Garde"/>
        </w:rPr>
        <w:t>”</w:t>
      </w:r>
      <w:r w:rsidR="000C0471" w:rsidRPr="00787FA1">
        <w:rPr>
          <w:rFonts w:ascii="ITC Avant Garde" w:hAnsi="ITC Avant Garde"/>
        </w:rPr>
        <w:t xml:space="preserve"> realizaron trabajos de </w:t>
      </w:r>
      <w:r w:rsidR="00787FA1">
        <w:rPr>
          <w:rFonts w:ascii="ITC Avant Garde" w:hAnsi="ITC Avant Garde"/>
        </w:rPr>
        <w:t>r</w:t>
      </w:r>
      <w:r w:rsidR="000C0471" w:rsidRPr="00787FA1">
        <w:rPr>
          <w:rFonts w:ascii="ITC Avant Garde" w:hAnsi="ITC Avant Garde"/>
        </w:rPr>
        <w:t xml:space="preserve">adiomonitoreo y medición de parámetros técnicos al servicio de radiodifusión en frecuencia modulada (en lo siguiente </w:t>
      </w:r>
      <w:r w:rsidR="000C0471" w:rsidRPr="00787FA1">
        <w:rPr>
          <w:rFonts w:ascii="ITC Avant Garde" w:hAnsi="ITC Avant Garde"/>
          <w:b/>
        </w:rPr>
        <w:t>“FM”</w:t>
      </w:r>
      <w:r w:rsidR="000C0471" w:rsidRPr="00787FA1">
        <w:rPr>
          <w:rFonts w:ascii="ITC Avant Garde" w:hAnsi="ITC Avant Garde"/>
        </w:rPr>
        <w:t>) que comprend</w:t>
      </w:r>
      <w:r w:rsidR="001F38D4">
        <w:rPr>
          <w:rFonts w:ascii="ITC Avant Garde" w:hAnsi="ITC Avant Garde"/>
        </w:rPr>
        <w:t>ió</w:t>
      </w:r>
      <w:r w:rsidR="000C0471" w:rsidRPr="00787FA1">
        <w:rPr>
          <w:rFonts w:ascii="ITC Avant Garde" w:hAnsi="ITC Avant Garde"/>
        </w:rPr>
        <w:t xml:space="preserve"> el rango de frecuencias de </w:t>
      </w:r>
      <w:r w:rsidR="000C0471" w:rsidRPr="00787FA1">
        <w:rPr>
          <w:rFonts w:ascii="ITC Avant Garde" w:hAnsi="ITC Avant Garde"/>
          <w:b/>
        </w:rPr>
        <w:t>88 a 108</w:t>
      </w:r>
      <w:r w:rsidR="000C0471" w:rsidRPr="00787FA1">
        <w:rPr>
          <w:rFonts w:ascii="ITC Avant Garde" w:hAnsi="ITC Avant Garde"/>
        </w:rPr>
        <w:t xml:space="preserve"> </w:t>
      </w:r>
      <w:r w:rsidR="000C0471" w:rsidRPr="00787FA1">
        <w:rPr>
          <w:rFonts w:ascii="ITC Avant Garde" w:hAnsi="ITC Avant Garde"/>
          <w:b/>
        </w:rPr>
        <w:t>MHz</w:t>
      </w:r>
      <w:r w:rsidR="000C0471" w:rsidRPr="00787FA1">
        <w:rPr>
          <w:rFonts w:ascii="ITC Avant Garde" w:hAnsi="ITC Avant Garde"/>
        </w:rPr>
        <w:t xml:space="preserve">, en el Distrito Federal y </w:t>
      </w:r>
      <w:r w:rsidR="001F38D4">
        <w:rPr>
          <w:rFonts w:ascii="ITC Avant Garde" w:hAnsi="ITC Avant Garde"/>
        </w:rPr>
        <w:t xml:space="preserve">en el </w:t>
      </w:r>
      <w:r w:rsidR="000C0471" w:rsidRPr="00787FA1">
        <w:rPr>
          <w:rFonts w:ascii="ITC Avant Garde" w:hAnsi="ITC Avant Garde"/>
        </w:rPr>
        <w:t xml:space="preserve">Estado de México, detectándose en operación la frecuencia </w:t>
      </w:r>
      <w:r w:rsidR="000C0471" w:rsidRPr="00787FA1">
        <w:rPr>
          <w:rFonts w:ascii="ITC Avant Garde" w:hAnsi="ITC Avant Garde"/>
          <w:b/>
        </w:rPr>
        <w:t>105.3 MHz</w:t>
      </w:r>
      <w:r w:rsidR="000C0471" w:rsidRPr="00787FA1">
        <w:rPr>
          <w:rFonts w:ascii="ITC Avant Garde" w:hAnsi="ITC Avant Garde"/>
        </w:rPr>
        <w:t xml:space="preserve">, la cual es operada para la transmisión de música y contenido esotérico en el domicilio </w:t>
      </w:r>
      <w:r w:rsidR="006B746C" w:rsidRPr="00787FA1">
        <w:rPr>
          <w:rFonts w:ascii="ITC Avant Garde" w:eastAsia="Times New Roman" w:hAnsi="ITC Avant Garde"/>
          <w:bCs/>
          <w:color w:val="000000"/>
          <w:lang w:eastAsia="es-MX"/>
        </w:rPr>
        <w:t xml:space="preserve">ubicado en </w:t>
      </w:r>
      <w:r w:rsidR="00415768" w:rsidRPr="00415768">
        <w:rPr>
          <w:rFonts w:ascii="ITC Avant Garde" w:eastAsia="Times New Roman" w:hAnsi="ITC Avant Garde"/>
          <w:b/>
          <w:bCs/>
          <w:color w:val="0000CC"/>
          <w:lang w:eastAsia="es-MX"/>
        </w:rPr>
        <w:t>RESERVADO POR LEY</w:t>
      </w:r>
      <w:r w:rsidR="000C0471" w:rsidRPr="00787FA1">
        <w:rPr>
          <w:rFonts w:ascii="ITC Avant Garde" w:hAnsi="ITC Avant Garde"/>
          <w:b/>
        </w:rPr>
        <w:t>, Municipio de Ecatepec, Estado de México</w:t>
      </w:r>
      <w:r w:rsidR="00235D0A" w:rsidRPr="00787FA1">
        <w:rPr>
          <w:rFonts w:ascii="ITC Avant Garde" w:hAnsi="ITC Avant Garde"/>
        </w:rPr>
        <w:t>.</w:t>
      </w:r>
    </w:p>
    <w:p w:rsidR="00EB54E9" w:rsidRDefault="001F38D4" w:rsidP="00A84011">
      <w:pPr>
        <w:spacing w:before="240" w:after="0" w:line="360" w:lineRule="auto"/>
        <w:jc w:val="both"/>
        <w:rPr>
          <w:rFonts w:ascii="ITC Avant Garde" w:hAnsi="ITC Avant Garde"/>
        </w:rPr>
      </w:pPr>
      <w:r>
        <w:rPr>
          <w:rFonts w:ascii="ITC Avant Garde" w:hAnsi="ITC Avant Garde"/>
        </w:rPr>
        <w:t xml:space="preserve">En atención a lo anterior, la </w:t>
      </w:r>
      <w:r w:rsidR="00EB54E9" w:rsidRPr="00787FA1">
        <w:rPr>
          <w:rFonts w:ascii="ITC Avant Garde" w:hAnsi="ITC Avant Garde"/>
          <w:b/>
        </w:rPr>
        <w:t xml:space="preserve">“DGV” </w:t>
      </w:r>
      <w:r w:rsidR="00EB54E9" w:rsidRPr="00787FA1">
        <w:rPr>
          <w:rFonts w:ascii="ITC Avant Garde" w:hAnsi="ITC Avant Garde"/>
        </w:rPr>
        <w:t xml:space="preserve">realizó una búsqueda en la infraestructura de estaciones de </w:t>
      </w:r>
      <w:r w:rsidR="00EB54E9" w:rsidRPr="00787FA1">
        <w:rPr>
          <w:rFonts w:ascii="ITC Avant Garde" w:hAnsi="ITC Avant Garde"/>
          <w:b/>
        </w:rPr>
        <w:t xml:space="preserve">FM </w:t>
      </w:r>
      <w:r w:rsidR="00EB54E9" w:rsidRPr="00787FA1">
        <w:rPr>
          <w:rFonts w:ascii="ITC Avant Garde" w:hAnsi="ITC Avant Garde"/>
        </w:rPr>
        <w:t>de la página de internet</w:t>
      </w:r>
      <w:r w:rsidR="00EB54E9" w:rsidRPr="00787FA1">
        <w:rPr>
          <w:rStyle w:val="Refdenotaalpie"/>
          <w:rFonts w:ascii="ITC Avant Garde" w:hAnsi="ITC Avant Garde"/>
        </w:rPr>
        <w:footnoteReference w:id="2"/>
      </w:r>
      <w:r w:rsidR="00EB54E9" w:rsidRPr="00787FA1">
        <w:rPr>
          <w:rFonts w:ascii="ITC Avant Garde" w:hAnsi="ITC Avant Garde"/>
        </w:rPr>
        <w:t xml:space="preserve"> del </w:t>
      </w:r>
      <w:r w:rsidR="00EB54E9" w:rsidRPr="00787FA1">
        <w:rPr>
          <w:rFonts w:ascii="ITC Avant Garde" w:hAnsi="ITC Avant Garde"/>
          <w:b/>
        </w:rPr>
        <w:t>“IFT”</w:t>
      </w:r>
      <w:r w:rsidR="00EB54E9" w:rsidRPr="00787FA1">
        <w:rPr>
          <w:rFonts w:ascii="ITC Avant Garde" w:hAnsi="ITC Avant Garde"/>
        </w:rPr>
        <w:t xml:space="preserve"> con el objeto de constatar si la frecuencia </w:t>
      </w:r>
      <w:r w:rsidR="00EB54E9" w:rsidRPr="00787FA1">
        <w:rPr>
          <w:rFonts w:ascii="ITC Avant Garde" w:hAnsi="ITC Avant Garde"/>
          <w:b/>
        </w:rPr>
        <w:t>105.3 MHz</w:t>
      </w:r>
      <w:r w:rsidR="00EB54E9" w:rsidRPr="00787FA1">
        <w:rPr>
          <w:rFonts w:ascii="ITC Avant Garde" w:hAnsi="ITC Avant Garde"/>
        </w:rPr>
        <w:t xml:space="preserve"> en el Municipio de Ecatepec, Estado de México, se encontraba registrada. Sin embargo no se obtuvo registro alguno. </w:t>
      </w:r>
    </w:p>
    <w:p w:rsidR="00CA216E" w:rsidRPr="003C1516" w:rsidRDefault="00CA216E" w:rsidP="00A84011">
      <w:pPr>
        <w:spacing w:before="240" w:after="0" w:line="360" w:lineRule="auto"/>
        <w:jc w:val="both"/>
        <w:rPr>
          <w:rFonts w:ascii="ITC Avant Garde" w:hAnsi="ITC Avant Garde"/>
        </w:rPr>
      </w:pPr>
      <w:r w:rsidRPr="00DC20BA">
        <w:rPr>
          <w:rFonts w:ascii="ITC Avant Garde" w:hAnsi="ITC Avant Garde"/>
        </w:rPr>
        <w:t xml:space="preserve">Asimismo, con el apoyo de la tecnología cartográfica contenida en la herramienta de software denominada </w:t>
      </w:r>
      <w:r w:rsidRPr="00DC20BA">
        <w:rPr>
          <w:rFonts w:ascii="ITC Avant Garde" w:hAnsi="ITC Avant Garde"/>
          <w:i/>
        </w:rPr>
        <w:t xml:space="preserve">“Google </w:t>
      </w:r>
      <w:proofErr w:type="spellStart"/>
      <w:r w:rsidRPr="00DC20BA">
        <w:rPr>
          <w:rFonts w:ascii="ITC Avant Garde" w:hAnsi="ITC Avant Garde"/>
          <w:i/>
        </w:rPr>
        <w:t>Earth</w:t>
      </w:r>
      <w:proofErr w:type="spellEnd"/>
      <w:r w:rsidRPr="00DC20BA">
        <w:rPr>
          <w:rFonts w:ascii="ITC Avant Garde" w:hAnsi="ITC Avant Garde"/>
        </w:rPr>
        <w:t>”, se logró identificar la ubicación del inmueble donde presuntamente se encontraba instalada</w:t>
      </w:r>
      <w:r>
        <w:rPr>
          <w:rFonts w:ascii="ITC Avant Garde" w:hAnsi="ITC Avant Garde"/>
        </w:rPr>
        <w:t xml:space="preserve"> la estación de radiodifusión operando en la frecuencia </w:t>
      </w:r>
      <w:r w:rsidRPr="006B4350">
        <w:rPr>
          <w:rFonts w:ascii="ITC Avant Garde" w:hAnsi="ITC Avant Garde"/>
          <w:b/>
        </w:rPr>
        <w:t>10</w:t>
      </w:r>
      <w:r w:rsidR="009D411D">
        <w:rPr>
          <w:rFonts w:ascii="ITC Avant Garde" w:hAnsi="ITC Avant Garde"/>
          <w:b/>
        </w:rPr>
        <w:t>5</w:t>
      </w:r>
      <w:r w:rsidR="009D411D">
        <w:rPr>
          <w:rFonts w:ascii="ITC Avant Garde" w:hAnsi="ITC Avant Garde"/>
          <w:b/>
        </w:rPr>
        <w:tab/>
      </w:r>
      <w:r w:rsidRPr="006B4350">
        <w:rPr>
          <w:rFonts w:ascii="ITC Avant Garde" w:hAnsi="ITC Avant Garde"/>
          <w:b/>
        </w:rPr>
        <w:t>.3 MHz</w:t>
      </w:r>
      <w:r>
        <w:rPr>
          <w:rFonts w:ascii="ITC Avant Garde" w:hAnsi="ITC Avant Garde"/>
        </w:rPr>
        <w:t>.</w:t>
      </w:r>
    </w:p>
    <w:p w:rsidR="00C56DF0" w:rsidRPr="00787FA1" w:rsidRDefault="00235D0A" w:rsidP="00A84011">
      <w:pPr>
        <w:pStyle w:val="Textoindependiente"/>
        <w:spacing w:before="240" w:after="0" w:line="360" w:lineRule="auto"/>
        <w:jc w:val="both"/>
        <w:rPr>
          <w:rFonts w:ascii="ITC Avant Garde" w:hAnsi="ITC Avant Garde"/>
        </w:rPr>
      </w:pPr>
      <w:r w:rsidRPr="00787FA1">
        <w:rPr>
          <w:rFonts w:ascii="ITC Avant Garde" w:hAnsi="ITC Avant Garde"/>
          <w:b/>
        </w:rPr>
        <w:t xml:space="preserve">SEGUNDO. </w:t>
      </w:r>
      <w:r w:rsidR="001F38D4">
        <w:rPr>
          <w:rFonts w:ascii="ITC Avant Garde" w:hAnsi="ITC Avant Garde"/>
          <w:color w:val="000000"/>
        </w:rPr>
        <w:t>Al respecto</w:t>
      </w:r>
      <w:r w:rsidRPr="00787FA1">
        <w:rPr>
          <w:rFonts w:ascii="ITC Avant Garde" w:hAnsi="ITC Avant Garde"/>
          <w:color w:val="000000"/>
        </w:rPr>
        <w:t>, m</w:t>
      </w:r>
      <w:r w:rsidRPr="00787FA1">
        <w:rPr>
          <w:rFonts w:ascii="ITC Avant Garde" w:hAnsi="ITC Avant Garde"/>
        </w:rPr>
        <w:t xml:space="preserve">ediante oficio </w:t>
      </w:r>
      <w:r w:rsidRPr="00787FA1">
        <w:rPr>
          <w:rFonts w:ascii="ITC Avant Garde" w:hAnsi="ITC Avant Garde"/>
          <w:b/>
        </w:rPr>
        <w:t>IFT/225/UC/DG-VER/4395/2015</w:t>
      </w:r>
      <w:r w:rsidRPr="00787FA1">
        <w:rPr>
          <w:rFonts w:ascii="ITC Avant Garde" w:hAnsi="ITC Avant Garde"/>
        </w:rPr>
        <w:t xml:space="preserve"> de veintiséis de octubre de dos mil quince, </w:t>
      </w:r>
      <w:r w:rsidRPr="00787FA1">
        <w:rPr>
          <w:rFonts w:ascii="ITC Avant Garde" w:hAnsi="ITC Avant Garde" w:cs="Tahoma"/>
        </w:rPr>
        <w:t xml:space="preserve">la </w:t>
      </w:r>
      <w:r w:rsidRPr="00787FA1">
        <w:rPr>
          <w:rFonts w:ascii="ITC Avant Garde" w:hAnsi="ITC Avant Garde" w:cs="Tahoma"/>
          <w:b/>
        </w:rPr>
        <w:t>“DGV”</w:t>
      </w:r>
      <w:r w:rsidRPr="00787FA1">
        <w:rPr>
          <w:rFonts w:ascii="ITC Avant Garde" w:hAnsi="ITC Avant Garde" w:cs="Tahoma"/>
        </w:rPr>
        <w:t xml:space="preserve"> ordenó la visita de inspección-verificación </w:t>
      </w:r>
      <w:r w:rsidRPr="00787FA1">
        <w:rPr>
          <w:rFonts w:ascii="ITC Avant Garde" w:hAnsi="ITC Avant Garde" w:cs="Tahoma"/>
          <w:b/>
        </w:rPr>
        <w:t>IFT/DF/DGV/1095/2015</w:t>
      </w:r>
      <w:r w:rsidRPr="00787FA1">
        <w:rPr>
          <w:rFonts w:ascii="ITC Avant Garde" w:hAnsi="ITC Avant Garde" w:cs="Tahoma"/>
        </w:rPr>
        <w:t xml:space="preserve"> </w:t>
      </w:r>
      <w:r w:rsidR="001F38D4" w:rsidRPr="00E1402E">
        <w:rPr>
          <w:rFonts w:ascii="ITC Avant Garde" w:eastAsia="Times New Roman" w:hAnsi="ITC Avant Garde"/>
          <w:bCs/>
          <w:color w:val="000000"/>
          <w:lang w:val="x-none" w:eastAsia="es-MX"/>
        </w:rPr>
        <w:t xml:space="preserve">al </w:t>
      </w:r>
      <w:r w:rsidR="001F38D4" w:rsidRPr="00E1402E">
        <w:rPr>
          <w:rFonts w:ascii="ITC Avant Garde" w:eastAsia="Times New Roman" w:hAnsi="ITC Avant Garde"/>
          <w:bCs/>
          <w:color w:val="000000"/>
          <w:lang w:eastAsia="es-MX"/>
        </w:rPr>
        <w:t>propietario, y/o poseedor y/o responsable, y/o encargado del inmueble</w:t>
      </w:r>
      <w:r w:rsidR="001F38D4">
        <w:rPr>
          <w:rFonts w:ascii="ITC Avant Garde" w:eastAsia="Times New Roman" w:hAnsi="ITC Avant Garde"/>
          <w:bCs/>
          <w:color w:val="000000"/>
          <w:lang w:eastAsia="es-MX"/>
        </w:rPr>
        <w:t xml:space="preserve"> ubicado en </w:t>
      </w:r>
      <w:r w:rsidR="00415768" w:rsidRPr="00415768">
        <w:rPr>
          <w:rFonts w:ascii="ITC Avant Garde" w:eastAsia="Times New Roman" w:hAnsi="ITC Avant Garde"/>
          <w:b/>
          <w:bCs/>
          <w:color w:val="0000CC"/>
          <w:lang w:eastAsia="es-MX"/>
        </w:rPr>
        <w:t>RESERVADO POR LEY</w:t>
      </w:r>
      <w:r w:rsidR="001F38D4" w:rsidRPr="00415768">
        <w:rPr>
          <w:rFonts w:ascii="ITC Avant Garde" w:hAnsi="ITC Avant Garde"/>
          <w:b/>
        </w:rPr>
        <w:t>,</w:t>
      </w:r>
      <w:r w:rsidR="001F38D4" w:rsidRPr="00787FA1">
        <w:rPr>
          <w:rFonts w:ascii="ITC Avant Garde" w:hAnsi="ITC Avant Garde"/>
          <w:b/>
        </w:rPr>
        <w:t xml:space="preserve"> Municipio de Ecatepec, Estado de México</w:t>
      </w:r>
      <w:r w:rsidRPr="00787FA1">
        <w:rPr>
          <w:rFonts w:ascii="ITC Avant Garde" w:hAnsi="ITC Avant Garde"/>
        </w:rPr>
        <w:t xml:space="preserve">, así como </w:t>
      </w:r>
      <w:r w:rsidR="001F38D4">
        <w:rPr>
          <w:rFonts w:ascii="ITC Avant Garde" w:hAnsi="ITC Avant Garde"/>
        </w:rPr>
        <w:t>de</w:t>
      </w:r>
      <w:r w:rsidRPr="00787FA1">
        <w:rPr>
          <w:rFonts w:ascii="ITC Avant Garde" w:hAnsi="ITC Avant Garde"/>
        </w:rPr>
        <w:t xml:space="preserve"> las instalaciones y equipos de </w:t>
      </w:r>
      <w:r w:rsidR="001F38D4">
        <w:rPr>
          <w:rFonts w:ascii="ITC Avant Garde" w:hAnsi="ITC Avant Garde"/>
        </w:rPr>
        <w:t>radiodifusión</w:t>
      </w:r>
      <w:r w:rsidRPr="00787FA1">
        <w:rPr>
          <w:rFonts w:ascii="ITC Avant Garde" w:hAnsi="ITC Avant Garde"/>
        </w:rPr>
        <w:t xml:space="preserve"> localizados en el mismo</w:t>
      </w:r>
      <w:r w:rsidR="001F38D4">
        <w:rPr>
          <w:rFonts w:ascii="ITC Avant Garde" w:hAnsi="ITC Avant Garde"/>
        </w:rPr>
        <w:t xml:space="preserve">, con el </w:t>
      </w:r>
      <w:r w:rsidRPr="00787FA1">
        <w:rPr>
          <w:rFonts w:ascii="ITC Avant Garde" w:hAnsi="ITC Avant Garde" w:cs="Tahoma"/>
        </w:rPr>
        <w:t>objeto de</w:t>
      </w:r>
      <w:r w:rsidRPr="00787FA1">
        <w:rPr>
          <w:rFonts w:ascii="ITC Avant Garde" w:hAnsi="ITC Avant Garde" w:cs="Calibri"/>
        </w:rPr>
        <w:t xml:space="preserve"> </w:t>
      </w:r>
      <w:r w:rsidRPr="00787FA1">
        <w:rPr>
          <w:rFonts w:ascii="ITC Avant Garde" w:hAnsi="ITC Avant Garde" w:cs="Calibri"/>
          <w:i/>
        </w:rPr>
        <w:t xml:space="preserve">“… </w:t>
      </w:r>
      <w:r w:rsidRPr="00787FA1">
        <w:rPr>
          <w:rFonts w:ascii="ITC Avant Garde" w:hAnsi="ITC Avant Garde" w:cs="Calibri"/>
          <w:b/>
          <w:i/>
        </w:rPr>
        <w:t>constatar y verificar si los equipos y/o sistemas de radiodifusión y/o servicios de radiodifusión de LA VISITADA operan en la frecuencia 105.3 MHz, y en su caso si cuenta con instrumento legal vigente emitido por la Secretaría de Comunicaciones y Transportes, la entonces Comisión Federal de Telecomunicaciones o el Instituto Federal de Telecomunicaciones, que justifique su uso legal</w:t>
      </w:r>
      <w:r w:rsidR="001F38D4">
        <w:rPr>
          <w:rFonts w:ascii="ITC Avant Garde" w:hAnsi="ITC Avant Garde" w:cs="Calibri"/>
          <w:b/>
          <w:i/>
        </w:rPr>
        <w:t>..</w:t>
      </w:r>
      <w:r w:rsidRPr="00787FA1">
        <w:rPr>
          <w:rFonts w:ascii="ITC Avant Garde" w:hAnsi="ITC Avant Garde" w:cs="Calibri"/>
          <w:b/>
          <w:i/>
        </w:rPr>
        <w:t>.</w:t>
      </w:r>
      <w:r w:rsidR="001F38D4">
        <w:rPr>
          <w:rFonts w:ascii="ITC Avant Garde" w:hAnsi="ITC Avant Garde" w:cs="Calibri"/>
          <w:b/>
          <w:i/>
        </w:rPr>
        <w:t>”</w:t>
      </w:r>
      <w:r w:rsidR="00EB54E9" w:rsidRPr="00787FA1">
        <w:rPr>
          <w:rFonts w:ascii="ITC Avant Garde" w:hAnsi="ITC Avant Garde" w:cs="Calibri"/>
          <w:b/>
          <w:i/>
        </w:rPr>
        <w:t xml:space="preserve"> </w:t>
      </w:r>
      <w:r w:rsidR="00EB54E9" w:rsidRPr="00787FA1">
        <w:rPr>
          <w:rFonts w:ascii="ITC Avant Garde" w:hAnsi="ITC Avant Garde" w:cs="Calibri"/>
        </w:rPr>
        <w:t>(</w:t>
      </w:r>
      <w:proofErr w:type="gramStart"/>
      <w:r w:rsidR="00EB54E9" w:rsidRPr="00787FA1">
        <w:rPr>
          <w:rFonts w:ascii="ITC Avant Garde" w:hAnsi="ITC Avant Garde" w:cs="Calibri"/>
        </w:rPr>
        <w:t>sic</w:t>
      </w:r>
      <w:proofErr w:type="gramEnd"/>
      <w:r w:rsidR="00EB54E9" w:rsidRPr="00787FA1">
        <w:rPr>
          <w:rFonts w:ascii="ITC Avant Garde" w:hAnsi="ITC Avant Garde" w:cs="Calibri"/>
        </w:rPr>
        <w:t>)</w:t>
      </w:r>
    </w:p>
    <w:p w:rsidR="00202425" w:rsidRPr="00202425" w:rsidRDefault="00EB54E9" w:rsidP="00A84011">
      <w:pPr>
        <w:spacing w:before="240" w:after="0" w:line="360" w:lineRule="auto"/>
        <w:jc w:val="both"/>
        <w:rPr>
          <w:rFonts w:ascii="ITC Avant Garde" w:eastAsia="Times New Roman" w:hAnsi="ITC Avant Garde"/>
          <w:b/>
          <w:bCs/>
          <w:color w:val="000000"/>
          <w:lang w:eastAsia="es-MX"/>
        </w:rPr>
      </w:pPr>
      <w:r w:rsidRPr="00787FA1">
        <w:rPr>
          <w:rFonts w:ascii="ITC Avant Garde" w:hAnsi="ITC Avant Garde" w:cs="Tahoma"/>
          <w:b/>
        </w:rPr>
        <w:lastRenderedPageBreak/>
        <w:t>TERCERO</w:t>
      </w:r>
      <w:r w:rsidR="00D83FBE" w:rsidRPr="00787FA1">
        <w:rPr>
          <w:rFonts w:ascii="ITC Avant Garde" w:hAnsi="ITC Avant Garde" w:cs="Tahoma"/>
          <w:b/>
        </w:rPr>
        <w:t>.</w:t>
      </w:r>
      <w:r w:rsidR="00D83FBE" w:rsidRPr="00787FA1">
        <w:rPr>
          <w:rFonts w:ascii="ITC Avant Garde" w:hAnsi="ITC Avant Garde" w:cs="Tahoma"/>
        </w:rPr>
        <w:t xml:space="preserve"> </w:t>
      </w:r>
      <w:r w:rsidR="001F38D4">
        <w:rPr>
          <w:rFonts w:ascii="ITC Avant Garde" w:eastAsia="Times New Roman" w:hAnsi="ITC Avant Garde"/>
          <w:bCs/>
          <w:color w:val="000000"/>
          <w:lang w:eastAsia="es-MX"/>
        </w:rPr>
        <w:t xml:space="preserve">Con la finalidad de dar cumplimiento a la orden de visita señalada en el resultando inmediato anterior, </w:t>
      </w:r>
      <w:r w:rsidR="00202425">
        <w:rPr>
          <w:rFonts w:ascii="ITC Avant Garde" w:eastAsia="Times New Roman" w:hAnsi="ITC Avant Garde"/>
          <w:bCs/>
          <w:color w:val="000000"/>
          <w:lang w:eastAsia="es-MX"/>
        </w:rPr>
        <w:t xml:space="preserve">el veintiséis de octubre de dos mil quince, </w:t>
      </w:r>
      <w:r w:rsidR="001F38D4">
        <w:rPr>
          <w:rFonts w:ascii="ITC Avant Garde" w:eastAsia="Times New Roman" w:hAnsi="ITC Avant Garde"/>
          <w:bCs/>
          <w:color w:val="000000"/>
          <w:lang w:eastAsia="es-MX"/>
        </w:rPr>
        <w:t>los inspectores verificadores de telecomunicaciones y radiodifusión comisionados</w:t>
      </w:r>
      <w:r w:rsidR="00C56DF0" w:rsidRPr="00787FA1">
        <w:rPr>
          <w:rFonts w:ascii="ITC Avant Garde" w:eastAsia="Times New Roman" w:hAnsi="ITC Avant Garde"/>
          <w:bCs/>
          <w:color w:val="000000"/>
          <w:lang w:eastAsia="es-MX"/>
        </w:rPr>
        <w:t xml:space="preserve"> </w:t>
      </w:r>
      <w:r w:rsidR="00202425">
        <w:rPr>
          <w:rFonts w:ascii="ITC Avant Garde" w:eastAsia="Times New Roman" w:hAnsi="ITC Avant Garde"/>
          <w:bCs/>
          <w:color w:val="000000"/>
          <w:lang w:eastAsia="es-MX"/>
        </w:rPr>
        <w:t xml:space="preserve">(en lo sucesivo </w:t>
      </w:r>
      <w:r w:rsidR="001662B9" w:rsidRPr="00787FA1">
        <w:rPr>
          <w:rFonts w:ascii="ITC Avant Garde" w:eastAsia="Times New Roman" w:hAnsi="ITC Avant Garde"/>
          <w:b/>
          <w:bCs/>
          <w:color w:val="000000"/>
          <w:lang w:eastAsia="es-MX"/>
        </w:rPr>
        <w:t>“</w:t>
      </w:r>
      <w:r w:rsidR="005E6D71" w:rsidRPr="00787FA1">
        <w:rPr>
          <w:rFonts w:ascii="ITC Avant Garde" w:eastAsia="Times New Roman" w:hAnsi="ITC Avant Garde"/>
          <w:b/>
          <w:bCs/>
          <w:color w:val="000000"/>
          <w:lang w:eastAsia="es-MX"/>
        </w:rPr>
        <w:t>LOS VERIFICADORES</w:t>
      </w:r>
      <w:r w:rsidR="001662B9" w:rsidRPr="00787FA1">
        <w:rPr>
          <w:rFonts w:ascii="ITC Avant Garde" w:eastAsia="Times New Roman" w:hAnsi="ITC Avant Garde"/>
          <w:b/>
          <w:bCs/>
          <w:color w:val="000000"/>
          <w:lang w:eastAsia="es-MX"/>
        </w:rPr>
        <w:t>”</w:t>
      </w:r>
      <w:r w:rsidR="00202425">
        <w:rPr>
          <w:rFonts w:ascii="ITC Avant Garde" w:eastAsia="Times New Roman" w:hAnsi="ITC Avant Garde"/>
          <w:b/>
          <w:bCs/>
          <w:color w:val="000000"/>
          <w:lang w:eastAsia="es-MX"/>
        </w:rPr>
        <w:t>)</w:t>
      </w:r>
      <w:r w:rsidR="00C56DF0" w:rsidRPr="00787FA1">
        <w:rPr>
          <w:rFonts w:ascii="ITC Avant Garde" w:eastAsia="Times New Roman" w:hAnsi="ITC Avant Garde"/>
          <w:bCs/>
          <w:color w:val="000000"/>
          <w:lang w:eastAsia="es-MX"/>
        </w:rPr>
        <w:t xml:space="preserve"> se constituy</w:t>
      </w:r>
      <w:r w:rsidR="005E6D71" w:rsidRPr="00787FA1">
        <w:rPr>
          <w:rFonts w:ascii="ITC Avant Garde" w:eastAsia="Times New Roman" w:hAnsi="ITC Avant Garde"/>
          <w:bCs/>
          <w:color w:val="000000"/>
          <w:lang w:eastAsia="es-MX"/>
        </w:rPr>
        <w:t>eron</w:t>
      </w:r>
      <w:r w:rsidR="00C56DF0" w:rsidRPr="00787FA1">
        <w:rPr>
          <w:rFonts w:ascii="ITC Avant Garde" w:eastAsia="Times New Roman" w:hAnsi="ITC Avant Garde"/>
          <w:bCs/>
          <w:color w:val="000000"/>
          <w:lang w:eastAsia="es-MX"/>
        </w:rPr>
        <w:t xml:space="preserve"> </w:t>
      </w:r>
      <w:r w:rsidR="00202425">
        <w:rPr>
          <w:rFonts w:ascii="ITC Avant Garde" w:eastAsia="Times New Roman" w:hAnsi="ITC Avant Garde"/>
          <w:bCs/>
          <w:color w:val="000000"/>
          <w:lang w:eastAsia="es-MX"/>
        </w:rPr>
        <w:t xml:space="preserve">en las inmediaciones de la calle </w:t>
      </w:r>
      <w:r w:rsidR="00415768" w:rsidRPr="00415768">
        <w:rPr>
          <w:rFonts w:ascii="ITC Avant Garde" w:eastAsia="Times New Roman" w:hAnsi="ITC Avant Garde"/>
          <w:b/>
          <w:bCs/>
          <w:color w:val="0000CC"/>
          <w:lang w:eastAsia="es-MX"/>
        </w:rPr>
        <w:t>RESERVADO POR LEY</w:t>
      </w:r>
      <w:r w:rsidR="00202425">
        <w:rPr>
          <w:rFonts w:ascii="ITC Avant Garde" w:eastAsia="Times New Roman" w:hAnsi="ITC Avant Garde"/>
          <w:bCs/>
          <w:color w:val="000000"/>
          <w:lang w:eastAsia="es-MX"/>
        </w:rPr>
        <w:t xml:space="preserve">, Municipio de Ecatepec, Estado de México, dónde practicaron el monitoreo correspondiente a efecto de constatar la ubicación del domicilio donde presuntamente se transmitía la frecuencia </w:t>
      </w:r>
      <w:r w:rsidR="00202425">
        <w:rPr>
          <w:rFonts w:ascii="ITC Avant Garde" w:eastAsia="Times New Roman" w:hAnsi="ITC Avant Garde"/>
          <w:b/>
          <w:bCs/>
          <w:color w:val="000000"/>
          <w:lang w:eastAsia="es-MX"/>
        </w:rPr>
        <w:t>105.3 MHz.</w:t>
      </w:r>
    </w:p>
    <w:p w:rsidR="006333E5" w:rsidRPr="00787FA1" w:rsidRDefault="00202425" w:rsidP="00A84011">
      <w:pPr>
        <w:spacing w:before="240"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Una vez realizado lo anterior, </w:t>
      </w:r>
      <w:r w:rsidRPr="00787FA1">
        <w:rPr>
          <w:rFonts w:ascii="ITC Avant Garde" w:eastAsia="Times New Roman" w:hAnsi="ITC Avant Garde"/>
          <w:b/>
          <w:bCs/>
          <w:color w:val="000000"/>
          <w:lang w:eastAsia="es-MX"/>
        </w:rPr>
        <w:t>“LOS VERIFICADORES”</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se constituyeron </w:t>
      </w:r>
      <w:r w:rsidR="00BB7595" w:rsidRPr="00787FA1">
        <w:rPr>
          <w:rFonts w:ascii="ITC Avant Garde" w:eastAsia="Times New Roman" w:hAnsi="ITC Avant Garde"/>
          <w:bCs/>
          <w:color w:val="000000"/>
          <w:lang w:eastAsia="es-MX"/>
        </w:rPr>
        <w:t xml:space="preserve">el domicilio ubicado en </w:t>
      </w:r>
      <w:r w:rsidR="00415768" w:rsidRPr="00415768">
        <w:rPr>
          <w:rFonts w:ascii="ITC Avant Garde" w:eastAsia="Times New Roman" w:hAnsi="ITC Avant Garde"/>
          <w:b/>
          <w:bCs/>
          <w:color w:val="0000CC"/>
          <w:lang w:eastAsia="es-MX"/>
        </w:rPr>
        <w:t>RESERVADO POR LEY</w:t>
      </w:r>
      <w:r w:rsidR="00BB7595" w:rsidRPr="00787FA1">
        <w:rPr>
          <w:rFonts w:ascii="ITC Avant Garde" w:hAnsi="ITC Avant Garde"/>
        </w:rPr>
        <w:t>, Municipio de Ecatepec, Estado de México</w:t>
      </w:r>
      <w:r w:rsidR="00C56DF0" w:rsidRPr="00787FA1">
        <w:rPr>
          <w:rFonts w:ascii="ITC Avant Garde" w:eastAsia="Times New Roman" w:hAnsi="ITC Avant Garde"/>
          <w:bCs/>
          <w:color w:val="000000"/>
          <w:lang w:eastAsia="es-MX"/>
        </w:rPr>
        <w:t xml:space="preserve">, levantándose el acta </w:t>
      </w:r>
      <w:r w:rsidR="009C5F23" w:rsidRPr="00787FA1">
        <w:rPr>
          <w:rFonts w:ascii="ITC Avant Garde" w:hAnsi="ITC Avant Garde" w:cs="Tahoma"/>
        </w:rPr>
        <w:t>de verificación ordinaria</w:t>
      </w:r>
      <w:r w:rsidR="009C5F23" w:rsidRPr="00787FA1">
        <w:rPr>
          <w:rFonts w:ascii="ITC Avant Garde" w:eastAsia="Times New Roman" w:hAnsi="ITC Avant Garde"/>
          <w:bCs/>
          <w:color w:val="000000"/>
          <w:lang w:eastAsia="es-MX"/>
        </w:rPr>
        <w:t xml:space="preserve"> </w:t>
      </w:r>
      <w:r w:rsidR="009C5F23" w:rsidRPr="00787FA1">
        <w:rPr>
          <w:rFonts w:ascii="ITC Avant Garde" w:eastAsia="Times New Roman" w:hAnsi="ITC Avant Garde"/>
          <w:b/>
          <w:bCs/>
          <w:color w:val="000000"/>
          <w:lang w:eastAsia="es-MX"/>
        </w:rPr>
        <w:t>IFT/DF/DGV/</w:t>
      </w:r>
      <w:r w:rsidR="00BB7595" w:rsidRPr="00787FA1">
        <w:rPr>
          <w:rFonts w:ascii="ITC Avant Garde" w:eastAsia="Times New Roman" w:hAnsi="ITC Avant Garde"/>
          <w:b/>
          <w:bCs/>
          <w:color w:val="000000"/>
          <w:lang w:eastAsia="es-MX"/>
        </w:rPr>
        <w:t>1095</w:t>
      </w:r>
      <w:r w:rsidR="009C5F23" w:rsidRPr="00787FA1">
        <w:rPr>
          <w:rFonts w:ascii="ITC Avant Garde" w:eastAsia="Times New Roman" w:hAnsi="ITC Avant Garde"/>
          <w:b/>
          <w:bCs/>
          <w:color w:val="000000"/>
          <w:lang w:eastAsia="es-MX"/>
        </w:rPr>
        <w:t>/2015</w:t>
      </w:r>
      <w:r w:rsidR="00C56DF0" w:rsidRPr="00787FA1">
        <w:rPr>
          <w:rFonts w:ascii="ITC Avant Garde" w:eastAsia="Times New Roman" w:hAnsi="ITC Avant Garde"/>
          <w:bCs/>
          <w:color w:val="000000"/>
          <w:lang w:eastAsia="es-MX"/>
        </w:rPr>
        <w:t xml:space="preserve"> </w:t>
      </w:r>
      <w:r w:rsidR="00A37BF8" w:rsidRPr="002D2A65">
        <w:rPr>
          <w:rFonts w:ascii="ITC Avant Garde" w:eastAsia="Times New Roman" w:hAnsi="ITC Avant Garde"/>
          <w:bCs/>
          <w:color w:val="000000"/>
          <w:lang w:eastAsia="es-MX"/>
        </w:rPr>
        <w:t>en lo sucesivo el</w:t>
      </w:r>
      <w:r w:rsidR="00A37BF8">
        <w:rPr>
          <w:rFonts w:ascii="ITC Avant Garde" w:eastAsia="Times New Roman" w:hAnsi="ITC Avant Garde"/>
          <w:b/>
          <w:bCs/>
          <w:color w:val="000000"/>
          <w:lang w:eastAsia="es-MX"/>
        </w:rPr>
        <w:t xml:space="preserve"> “ACTA DE VERIFICACIÓN ORDINARIA”, </w:t>
      </w:r>
      <w:r w:rsidR="00A37BF8" w:rsidRPr="00466734">
        <w:rPr>
          <w:rFonts w:ascii="ITC Avant Garde" w:eastAsia="Times New Roman" w:hAnsi="ITC Avant Garde"/>
          <w:bCs/>
          <w:color w:val="000000"/>
          <w:lang w:eastAsia="es-MX"/>
        </w:rPr>
        <w:t xml:space="preserve">en la cual se </w:t>
      </w:r>
      <w:r w:rsidR="00A37BF8" w:rsidRPr="00D86182">
        <w:rPr>
          <w:rFonts w:ascii="ITC Avant Garde" w:eastAsia="Times New Roman" w:hAnsi="ITC Avant Garde"/>
          <w:bCs/>
          <w:color w:val="000000"/>
          <w:lang w:eastAsia="es-MX"/>
        </w:rPr>
        <w:t xml:space="preserve">hizo constar que en el </w:t>
      </w:r>
      <w:r w:rsidR="00A37BF8">
        <w:rPr>
          <w:rFonts w:ascii="ITC Avant Garde" w:eastAsia="Times New Roman" w:hAnsi="ITC Avant Garde"/>
          <w:bCs/>
          <w:color w:val="000000"/>
          <w:lang w:eastAsia="es-MX"/>
        </w:rPr>
        <w:t xml:space="preserve">citado domicilio </w:t>
      </w:r>
      <w:r w:rsidR="00A37BF8" w:rsidRPr="00D86182">
        <w:rPr>
          <w:rFonts w:ascii="ITC Avant Garde" w:eastAsia="Times New Roman" w:hAnsi="ITC Avant Garde"/>
          <w:bCs/>
          <w:color w:val="000000"/>
          <w:lang w:eastAsia="es-MX"/>
        </w:rPr>
        <w:t xml:space="preserve">se detectaron equipos de radiodifusión operando </w:t>
      </w:r>
      <w:r w:rsidR="00A37BF8">
        <w:rPr>
          <w:rFonts w:ascii="ITC Avant Garde" w:eastAsia="Times New Roman" w:hAnsi="ITC Avant Garde"/>
          <w:bCs/>
          <w:color w:val="000000"/>
          <w:lang w:eastAsia="es-MX"/>
        </w:rPr>
        <w:t xml:space="preserve">en </w:t>
      </w:r>
      <w:r w:rsidR="00A37BF8" w:rsidRPr="00D86182">
        <w:rPr>
          <w:rFonts w:ascii="ITC Avant Garde" w:eastAsia="Times New Roman" w:hAnsi="ITC Avant Garde"/>
          <w:bCs/>
          <w:color w:val="000000"/>
          <w:lang w:eastAsia="es-MX"/>
        </w:rPr>
        <w:t xml:space="preserve">la frecuencia </w:t>
      </w:r>
      <w:r w:rsidR="00A37BF8">
        <w:rPr>
          <w:rFonts w:ascii="ITC Avant Garde" w:hAnsi="ITC Avant Garde"/>
          <w:b/>
        </w:rPr>
        <w:t>105.3</w:t>
      </w:r>
      <w:r w:rsidR="00A37BF8">
        <w:rPr>
          <w:rFonts w:ascii="ITC Avant Garde" w:eastAsia="Times New Roman" w:hAnsi="ITC Avant Garde"/>
          <w:b/>
          <w:bCs/>
          <w:color w:val="000000"/>
          <w:lang w:eastAsia="es-MX"/>
        </w:rPr>
        <w:t xml:space="preserve"> MHz </w:t>
      </w:r>
      <w:r w:rsidR="00A37BF8" w:rsidRPr="005A70CB">
        <w:rPr>
          <w:rFonts w:ascii="ITC Avant Garde" w:eastAsia="Times New Roman" w:hAnsi="ITC Avant Garde"/>
          <w:bCs/>
          <w:color w:val="000000"/>
          <w:lang w:eastAsia="es-MX"/>
        </w:rPr>
        <w:t>sin contar con la concesión, permiso o autorización correspondiente</w:t>
      </w:r>
      <w:r w:rsidR="00A37BF8" w:rsidRPr="00D86182">
        <w:rPr>
          <w:rFonts w:ascii="ITC Avant Garde" w:eastAsia="Times New Roman" w:hAnsi="ITC Avant Garde"/>
          <w:bCs/>
          <w:color w:val="000000"/>
          <w:lang w:eastAsia="es-MX"/>
        </w:rPr>
        <w:t>.</w:t>
      </w:r>
    </w:p>
    <w:p w:rsidR="000D4A2D" w:rsidRPr="00787FA1" w:rsidRDefault="000D4A2D" w:rsidP="00A84011">
      <w:pPr>
        <w:pStyle w:val="Textoindependiente"/>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
          <w:bCs/>
          <w:color w:val="000000"/>
          <w:lang w:eastAsia="es-MX"/>
        </w:rPr>
        <w:t xml:space="preserve">CUARTO. </w:t>
      </w:r>
      <w:r w:rsidRPr="00787FA1">
        <w:rPr>
          <w:rFonts w:ascii="ITC Avant Garde" w:eastAsia="Times New Roman" w:hAnsi="ITC Avant Garde"/>
          <w:bCs/>
          <w:color w:val="000000"/>
          <w:lang w:eastAsia="es-MX"/>
        </w:rPr>
        <w:t xml:space="preserve">Del </w:t>
      </w:r>
      <w:r w:rsidRPr="00DC20BA">
        <w:rPr>
          <w:rFonts w:ascii="ITC Avant Garde" w:eastAsia="Times New Roman" w:hAnsi="ITC Avant Garde"/>
          <w:bCs/>
          <w:color w:val="000000"/>
          <w:lang w:eastAsia="es-MX"/>
        </w:rPr>
        <w:t xml:space="preserve">contenido del </w:t>
      </w:r>
      <w:r w:rsidR="00A37BF8" w:rsidRPr="00DC20BA">
        <w:rPr>
          <w:rFonts w:ascii="ITC Avant Garde" w:eastAsia="Times New Roman" w:hAnsi="ITC Avant Garde"/>
          <w:b/>
          <w:bCs/>
          <w:color w:val="000000"/>
          <w:lang w:eastAsia="es-MX"/>
        </w:rPr>
        <w:t>“ACTA DE VERIFICACIÓN ORDINARIA”</w:t>
      </w:r>
      <w:r w:rsidRPr="00DC20BA">
        <w:rPr>
          <w:rFonts w:ascii="ITC Avant Garde" w:eastAsia="Times New Roman" w:hAnsi="ITC Avant Garde"/>
          <w:b/>
          <w:bCs/>
          <w:color w:val="000000"/>
          <w:lang w:eastAsia="es-MX"/>
        </w:rPr>
        <w:t xml:space="preserve">, </w:t>
      </w:r>
      <w:r w:rsidR="00A37BF8" w:rsidRPr="00DC20BA">
        <w:rPr>
          <w:rFonts w:ascii="ITC Avant Garde" w:eastAsia="Times New Roman" w:hAnsi="ITC Avant Garde"/>
          <w:bCs/>
          <w:color w:val="000000"/>
          <w:lang w:eastAsia="es-MX"/>
        </w:rPr>
        <w:t>precisada en el numeral anterior,</w:t>
      </w:r>
      <w:r w:rsidR="00A37BF8" w:rsidRPr="00DC20BA">
        <w:rPr>
          <w:rFonts w:ascii="ITC Avant Garde" w:eastAsia="Times New Roman" w:hAnsi="ITC Avant Garde"/>
          <w:b/>
          <w:bCs/>
          <w:color w:val="000000"/>
          <w:lang w:eastAsia="es-MX"/>
        </w:rPr>
        <w:t xml:space="preserve"> </w:t>
      </w:r>
      <w:r w:rsidRPr="00DC20BA">
        <w:rPr>
          <w:rFonts w:ascii="ITC Avant Garde" w:eastAsia="Times New Roman" w:hAnsi="ITC Avant Garde"/>
          <w:bCs/>
          <w:color w:val="000000"/>
          <w:lang w:eastAsia="es-MX"/>
        </w:rPr>
        <w:t>se desprend</w:t>
      </w:r>
      <w:r w:rsidR="00A37BF8" w:rsidRPr="00DC20BA">
        <w:rPr>
          <w:rFonts w:ascii="ITC Avant Garde" w:eastAsia="Times New Roman" w:hAnsi="ITC Avant Garde"/>
          <w:bCs/>
          <w:color w:val="000000"/>
          <w:lang w:eastAsia="es-MX"/>
        </w:rPr>
        <w:t>ió</w:t>
      </w:r>
      <w:r w:rsidRPr="00DC20BA">
        <w:rPr>
          <w:rFonts w:ascii="ITC Avant Garde" w:eastAsia="Times New Roman" w:hAnsi="ITC Avant Garde"/>
          <w:bCs/>
          <w:color w:val="000000"/>
          <w:lang w:eastAsia="es-MX"/>
        </w:rPr>
        <w:t xml:space="preserve"> que la persona que atendió la visita dijo llamarse </w:t>
      </w:r>
      <w:r w:rsidR="00415768" w:rsidRPr="00415768">
        <w:rPr>
          <w:rFonts w:ascii="ITC Avant Garde" w:eastAsia="Times New Roman" w:hAnsi="ITC Avant Garde"/>
          <w:b/>
          <w:bCs/>
          <w:color w:val="0000CC"/>
          <w:lang w:eastAsia="es-MX"/>
        </w:rPr>
        <w:t>RESERVADO POR LEY</w:t>
      </w:r>
      <w:r w:rsidRPr="00DC20BA">
        <w:rPr>
          <w:rFonts w:ascii="ITC Avant Garde" w:eastAsia="Times New Roman" w:hAnsi="ITC Avant Garde"/>
          <w:bCs/>
          <w:color w:val="000000"/>
          <w:lang w:eastAsia="es-MX"/>
        </w:rPr>
        <w:t xml:space="preserve">, </w:t>
      </w:r>
      <w:r w:rsidR="00BB7595" w:rsidRPr="00DC20BA">
        <w:rPr>
          <w:rFonts w:ascii="ITC Avant Garde" w:eastAsia="Times New Roman" w:hAnsi="ITC Avant Garde"/>
          <w:bCs/>
          <w:color w:val="000000"/>
          <w:lang w:eastAsia="es-MX"/>
        </w:rPr>
        <w:t>quien no exhibió identificación alguna y señaló bajo protesta de decir verdad “</w:t>
      </w:r>
      <w:r w:rsidR="009D411D" w:rsidRPr="00787FA1">
        <w:rPr>
          <w:rFonts w:ascii="ITC Avant Garde" w:eastAsia="Times New Roman" w:hAnsi="ITC Avant Garde"/>
          <w:bCs/>
          <w:i/>
          <w:color w:val="000000"/>
          <w:lang w:eastAsia="es-MX"/>
        </w:rPr>
        <w:t>que es encargado de la casa</w:t>
      </w:r>
      <w:r w:rsidR="00BB7595" w:rsidRPr="00DC20BA">
        <w:rPr>
          <w:rFonts w:ascii="ITC Avant Garde" w:eastAsia="Times New Roman" w:hAnsi="ITC Avant Garde"/>
          <w:bCs/>
          <w:color w:val="000000"/>
          <w:lang w:eastAsia="es-MX"/>
        </w:rPr>
        <w:t>” y que</w:t>
      </w:r>
      <w:r w:rsidR="00BB7595" w:rsidRPr="00787FA1">
        <w:rPr>
          <w:rFonts w:ascii="ITC Avant Garde" w:eastAsia="Times New Roman" w:hAnsi="ITC Avant Garde"/>
          <w:bCs/>
          <w:color w:val="000000"/>
          <w:lang w:eastAsia="es-MX"/>
        </w:rPr>
        <w:t xml:space="preserve"> </w:t>
      </w:r>
      <w:r w:rsidR="00BB7595" w:rsidRPr="00787FA1">
        <w:rPr>
          <w:rFonts w:ascii="ITC Avant Garde" w:eastAsia="Times New Roman" w:hAnsi="ITC Avant Garde"/>
          <w:bCs/>
          <w:i/>
          <w:color w:val="000000"/>
          <w:lang w:eastAsia="es-MX"/>
        </w:rPr>
        <w:t>“no tiene ninguna identificación”</w:t>
      </w:r>
      <w:r w:rsidRPr="00787FA1">
        <w:rPr>
          <w:rFonts w:ascii="ITC Avant Garde" w:eastAsia="Times New Roman" w:hAnsi="ITC Avant Garde"/>
          <w:bCs/>
          <w:color w:val="000000"/>
          <w:lang w:eastAsia="es-MX"/>
        </w:rPr>
        <w:t xml:space="preserve">.  </w:t>
      </w:r>
    </w:p>
    <w:p w:rsidR="006941F6" w:rsidRPr="00787FA1" w:rsidRDefault="000D4A2D" w:rsidP="00A84011">
      <w:pPr>
        <w:pStyle w:val="Textoindependiente"/>
        <w:spacing w:before="240" w:after="0" w:line="360" w:lineRule="auto"/>
        <w:jc w:val="both"/>
        <w:rPr>
          <w:rFonts w:ascii="ITC Avant Garde" w:eastAsia="Times New Roman" w:hAnsi="ITC Avant Garde"/>
          <w:b/>
          <w:bCs/>
          <w:i/>
          <w:color w:val="000000"/>
          <w:lang w:eastAsia="es-MX"/>
        </w:rPr>
      </w:pPr>
      <w:r w:rsidRPr="00787FA1">
        <w:rPr>
          <w:rFonts w:ascii="ITC Avant Garde" w:eastAsia="Times New Roman" w:hAnsi="ITC Avant Garde"/>
          <w:b/>
          <w:bCs/>
          <w:color w:val="000000"/>
          <w:lang w:eastAsia="es-MX"/>
        </w:rPr>
        <w:t>QUINTO</w:t>
      </w:r>
      <w:r w:rsidR="00435BA3" w:rsidRPr="00787FA1">
        <w:rPr>
          <w:rFonts w:ascii="ITC Avant Garde" w:eastAsia="Times New Roman" w:hAnsi="ITC Avant Garde"/>
          <w:b/>
          <w:bCs/>
          <w:color w:val="000000"/>
          <w:lang w:eastAsia="es-MX"/>
        </w:rPr>
        <w:t xml:space="preserve">. </w:t>
      </w:r>
      <w:r w:rsidR="00C56DF0" w:rsidRPr="00787FA1">
        <w:rPr>
          <w:rFonts w:ascii="ITC Avant Garde" w:eastAsia="Times New Roman" w:hAnsi="ITC Avant Garde"/>
          <w:bCs/>
          <w:color w:val="000000"/>
          <w:lang w:eastAsia="es-MX"/>
        </w:rPr>
        <w:t xml:space="preserve">Mediante oficio </w:t>
      </w:r>
      <w:r w:rsidR="00C56DF0" w:rsidRPr="00787FA1">
        <w:rPr>
          <w:rFonts w:ascii="ITC Avant Garde" w:hAnsi="ITC Avant Garde"/>
          <w:b/>
        </w:rPr>
        <w:t>IFT/225/UC/DG-VER/</w:t>
      </w:r>
      <w:r w:rsidR="00BB7595" w:rsidRPr="00787FA1">
        <w:rPr>
          <w:rFonts w:ascii="ITC Avant Garde" w:hAnsi="ITC Avant Garde"/>
          <w:b/>
        </w:rPr>
        <w:t>324</w:t>
      </w:r>
      <w:r w:rsidR="00C56DF0" w:rsidRPr="00787FA1">
        <w:rPr>
          <w:rFonts w:ascii="ITC Avant Garde" w:hAnsi="ITC Avant Garde"/>
          <w:b/>
        </w:rPr>
        <w:t>/201</w:t>
      </w:r>
      <w:r w:rsidR="00BB7595" w:rsidRPr="00787FA1">
        <w:rPr>
          <w:rFonts w:ascii="ITC Avant Garde" w:hAnsi="ITC Avant Garde"/>
          <w:b/>
        </w:rPr>
        <w:t>6</w:t>
      </w:r>
      <w:r w:rsidR="00C56DF0" w:rsidRPr="00787FA1">
        <w:rPr>
          <w:rFonts w:ascii="ITC Avant Garde" w:hAnsi="ITC Avant Garde"/>
        </w:rPr>
        <w:t xml:space="preserve"> de </w:t>
      </w:r>
      <w:r w:rsidR="00BB7595" w:rsidRPr="00787FA1">
        <w:rPr>
          <w:rFonts w:ascii="ITC Avant Garde" w:hAnsi="ITC Avant Garde"/>
        </w:rPr>
        <w:t xml:space="preserve">once </w:t>
      </w:r>
      <w:r w:rsidR="005E6D71" w:rsidRPr="00787FA1">
        <w:rPr>
          <w:rFonts w:ascii="ITC Avant Garde" w:hAnsi="ITC Avant Garde"/>
        </w:rPr>
        <w:t xml:space="preserve">de </w:t>
      </w:r>
      <w:r w:rsidR="00BB7595" w:rsidRPr="00787FA1">
        <w:rPr>
          <w:rFonts w:ascii="ITC Avant Garde" w:hAnsi="ITC Avant Garde"/>
        </w:rPr>
        <w:t xml:space="preserve">febrero </w:t>
      </w:r>
      <w:r w:rsidR="00C56DF0" w:rsidRPr="00787FA1">
        <w:rPr>
          <w:rFonts w:ascii="ITC Avant Garde" w:hAnsi="ITC Avant Garde"/>
        </w:rPr>
        <w:t>de dos mil</w:t>
      </w:r>
      <w:r w:rsidR="00BB7595" w:rsidRPr="00787FA1">
        <w:rPr>
          <w:rFonts w:ascii="ITC Avant Garde" w:hAnsi="ITC Avant Garde"/>
        </w:rPr>
        <w:t xml:space="preserve"> dieciséis</w:t>
      </w:r>
      <w:r w:rsidR="00C56DF0" w:rsidRPr="00787FA1">
        <w:rPr>
          <w:rFonts w:ascii="ITC Avant Garde" w:eastAsia="Times New Roman" w:hAnsi="ITC Avant Garde"/>
          <w:bCs/>
          <w:color w:val="000000"/>
          <w:lang w:eastAsia="es-MX"/>
        </w:rPr>
        <w:t xml:space="preserve">, </w:t>
      </w:r>
      <w:r w:rsidR="00C56DF0" w:rsidRPr="00787FA1">
        <w:rPr>
          <w:rFonts w:ascii="ITC Avant Garde" w:hAnsi="ITC Avant Garde"/>
        </w:rPr>
        <w:t xml:space="preserve">la </w:t>
      </w:r>
      <w:r w:rsidR="00BB7595" w:rsidRPr="00787FA1">
        <w:rPr>
          <w:rFonts w:ascii="ITC Avant Garde" w:hAnsi="ITC Avant Garde"/>
          <w:b/>
        </w:rPr>
        <w:t>“</w:t>
      </w:r>
      <w:r w:rsidR="00C56DF0" w:rsidRPr="00787FA1">
        <w:rPr>
          <w:rFonts w:ascii="ITC Avant Garde" w:hAnsi="ITC Avant Garde"/>
          <w:b/>
        </w:rPr>
        <w:t>DGV</w:t>
      </w:r>
      <w:r w:rsidR="00BB7595" w:rsidRPr="00787FA1">
        <w:rPr>
          <w:rFonts w:ascii="ITC Avant Garde" w:hAnsi="ITC Avant Garde"/>
          <w:b/>
        </w:rPr>
        <w:t>”</w:t>
      </w:r>
      <w:r w:rsidR="00C56DF0" w:rsidRPr="00787FA1">
        <w:rPr>
          <w:rFonts w:ascii="ITC Avant Garde" w:hAnsi="ITC Avant Garde"/>
        </w:rPr>
        <w:t xml:space="preserve"> remitió al </w:t>
      </w:r>
      <w:r w:rsidR="00776A1D">
        <w:rPr>
          <w:rFonts w:ascii="ITC Avant Garde" w:hAnsi="ITC Avant Garde"/>
        </w:rPr>
        <w:t>T</w:t>
      </w:r>
      <w:r w:rsidR="00C56DF0" w:rsidRPr="00787FA1">
        <w:rPr>
          <w:rFonts w:ascii="ITC Avant Garde" w:hAnsi="ITC Avant Garde"/>
        </w:rPr>
        <w:t>itular de la Unidad de Cumplimiento</w:t>
      </w:r>
      <w:r w:rsidR="00A37BF8">
        <w:rPr>
          <w:rFonts w:ascii="ITC Avant Garde" w:hAnsi="ITC Avant Garde"/>
        </w:rPr>
        <w:t xml:space="preserve"> </w:t>
      </w:r>
      <w:r w:rsidRPr="00787FA1">
        <w:rPr>
          <w:rFonts w:ascii="ITC Avant Garde" w:hAnsi="ITC Avant Garde"/>
        </w:rPr>
        <w:t xml:space="preserve">un </w:t>
      </w:r>
      <w:r w:rsidR="00C56DF0" w:rsidRPr="00787FA1">
        <w:rPr>
          <w:rFonts w:ascii="ITC Avant Garde" w:eastAsia="Times New Roman" w:hAnsi="ITC Avant Garde"/>
          <w:bCs/>
          <w:i/>
          <w:color w:val="000000"/>
          <w:lang w:eastAsia="es-MX"/>
        </w:rPr>
        <w:t xml:space="preserve">“Dictamen </w:t>
      </w:r>
      <w:r w:rsidR="00C56DF0" w:rsidRPr="00787FA1">
        <w:rPr>
          <w:rFonts w:ascii="ITC Avant Garde" w:hAnsi="ITC Avant Garde"/>
          <w:i/>
        </w:rPr>
        <w:t xml:space="preserve">por el cual se propone el inicio de </w:t>
      </w:r>
      <w:r w:rsidR="00C56DF0" w:rsidRPr="00787FA1">
        <w:rPr>
          <w:rFonts w:ascii="ITC Avant Garde" w:hAnsi="ITC Avant Garde"/>
          <w:b/>
          <w:i/>
        </w:rPr>
        <w:t xml:space="preserve">PROCEDIMIENTO ADMINISTRATIVO DE IMPOSICIÓN DE SANCIONES </w:t>
      </w:r>
      <w:r w:rsidR="00C56DF0" w:rsidRPr="00787FA1">
        <w:rPr>
          <w:rFonts w:ascii="ITC Avant Garde" w:hAnsi="ITC Avant Garde"/>
          <w:i/>
        </w:rPr>
        <w:t>y la</w:t>
      </w:r>
      <w:r w:rsidR="00C56DF0" w:rsidRPr="00787FA1">
        <w:rPr>
          <w:rFonts w:ascii="ITC Avant Garde" w:hAnsi="ITC Avant Garde"/>
          <w:b/>
          <w:i/>
        </w:rPr>
        <w:t xml:space="preserve"> DECLARATORIA DE PÉRDIDA DE BIENES, INSTALACIONES Y EQUIPOS EN BENEFICIO DE LA NACIÓN</w:t>
      </w:r>
      <w:r w:rsidR="00C56DF0" w:rsidRPr="00787FA1">
        <w:rPr>
          <w:rFonts w:ascii="ITC Avant Garde" w:hAnsi="ITC Avant Garde"/>
          <w:i/>
        </w:rPr>
        <w:t xml:space="preserve">, en contra del </w:t>
      </w:r>
      <w:r w:rsidR="005E6D71" w:rsidRPr="00787FA1">
        <w:rPr>
          <w:rFonts w:ascii="ITC Avant Garde" w:hAnsi="ITC Avant Garde"/>
          <w:b/>
          <w:i/>
        </w:rPr>
        <w:t xml:space="preserve">PROPIETARIO, Y/O POSEEDOR, Y/O RESPONSABLE Y/O ENCARGADO DE LAS INSTALACIONES Y EQUIPOS DE RADIODIFUSIÓN </w:t>
      </w:r>
      <w:r w:rsidR="005E6D71" w:rsidRPr="00787FA1">
        <w:rPr>
          <w:rFonts w:ascii="ITC Avant Garde" w:hAnsi="ITC Avant Garde"/>
          <w:i/>
        </w:rPr>
        <w:t>localizados en el inmueble ubicado en</w:t>
      </w:r>
      <w:r w:rsidR="00BB7595" w:rsidRPr="00787FA1">
        <w:rPr>
          <w:rFonts w:ascii="ITC Avant Garde" w:hAnsi="ITC Avant Garde"/>
          <w:i/>
        </w:rPr>
        <w:t xml:space="preserve"> </w:t>
      </w:r>
      <w:r w:rsidR="00415768" w:rsidRPr="00415768">
        <w:rPr>
          <w:rFonts w:ascii="ITC Avant Garde" w:eastAsia="Times New Roman" w:hAnsi="ITC Avant Garde"/>
          <w:b/>
          <w:bCs/>
          <w:color w:val="0000CC"/>
          <w:lang w:eastAsia="es-MX"/>
        </w:rPr>
        <w:t>RESERVADO POR LEY</w:t>
      </w:r>
      <w:r w:rsidR="00BB7595" w:rsidRPr="00415768">
        <w:rPr>
          <w:rFonts w:ascii="ITC Avant Garde" w:hAnsi="ITC Avant Garde"/>
          <w:i/>
        </w:rPr>
        <w:t>,</w:t>
      </w:r>
      <w:r w:rsidR="00BB7595" w:rsidRPr="00787FA1">
        <w:rPr>
          <w:rFonts w:ascii="ITC Avant Garde" w:hAnsi="ITC Avant Garde"/>
          <w:i/>
        </w:rPr>
        <w:t xml:space="preserve"> Municipio de Ecatepec de Morelos, Estado de México</w:t>
      </w:r>
      <w:r w:rsidR="00CD4AB3" w:rsidRPr="00787FA1">
        <w:rPr>
          <w:rFonts w:ascii="ITC Avant Garde" w:hAnsi="ITC Avant Garde"/>
          <w:i/>
        </w:rPr>
        <w:t xml:space="preserve"> (donde se detectaron las instalaciones de la estación de radiodifusión, operando la frecuencia de </w:t>
      </w:r>
      <w:r w:rsidR="00CD4AB3" w:rsidRPr="00787FA1">
        <w:rPr>
          <w:rFonts w:ascii="ITC Avant Garde" w:hAnsi="ITC Avant Garde"/>
          <w:b/>
          <w:i/>
        </w:rPr>
        <w:t>10</w:t>
      </w:r>
      <w:r w:rsidR="00BB7595" w:rsidRPr="00787FA1">
        <w:rPr>
          <w:rFonts w:ascii="ITC Avant Garde" w:hAnsi="ITC Avant Garde"/>
          <w:b/>
          <w:i/>
        </w:rPr>
        <w:t>5.3</w:t>
      </w:r>
      <w:r w:rsidR="00CD4AB3" w:rsidRPr="00787FA1">
        <w:rPr>
          <w:rFonts w:ascii="ITC Avant Garde" w:hAnsi="ITC Avant Garde"/>
          <w:b/>
          <w:i/>
        </w:rPr>
        <w:t xml:space="preserve"> MHz</w:t>
      </w:r>
      <w:r w:rsidR="00CD4AB3" w:rsidRPr="00787FA1">
        <w:rPr>
          <w:rFonts w:ascii="ITC Avant Garde" w:hAnsi="ITC Avant Garde"/>
          <w:i/>
        </w:rPr>
        <w:t xml:space="preserve">), </w:t>
      </w:r>
      <w:r w:rsidR="00C56DF0" w:rsidRPr="00787FA1">
        <w:rPr>
          <w:rFonts w:ascii="ITC Avant Garde" w:hAnsi="ITC Avant Garde"/>
          <w:i/>
        </w:rPr>
        <w:t xml:space="preserve">por la presunta infracción del </w:t>
      </w:r>
      <w:r w:rsidR="00C56DF0" w:rsidRPr="00787FA1">
        <w:rPr>
          <w:rFonts w:ascii="ITC Avant Garde" w:hAnsi="ITC Avant Garde"/>
          <w:b/>
          <w:i/>
        </w:rPr>
        <w:t>artículo 66,</w:t>
      </w:r>
      <w:r w:rsidR="005E6D71" w:rsidRPr="00787FA1">
        <w:rPr>
          <w:rFonts w:ascii="ITC Avant Garde" w:hAnsi="ITC Avant Garde"/>
          <w:i/>
        </w:rPr>
        <w:t xml:space="preserve"> en relación </w:t>
      </w:r>
      <w:r w:rsidR="005E6D71" w:rsidRPr="00787FA1">
        <w:rPr>
          <w:rFonts w:ascii="ITC Avant Garde" w:hAnsi="ITC Avant Garde"/>
          <w:i/>
        </w:rPr>
        <w:lastRenderedPageBreak/>
        <w:t xml:space="preserve">con el artículo 75, </w:t>
      </w:r>
      <w:r w:rsidR="00C56DF0" w:rsidRPr="00787FA1">
        <w:rPr>
          <w:rFonts w:ascii="ITC Avant Garde" w:hAnsi="ITC Avant Garde"/>
          <w:i/>
        </w:rPr>
        <w:t xml:space="preserve">y la probable actualización de la hipótesis normativa prevista en el </w:t>
      </w:r>
      <w:r w:rsidR="00C56DF0" w:rsidRPr="00787FA1">
        <w:rPr>
          <w:rFonts w:ascii="ITC Avant Garde" w:hAnsi="ITC Avant Garde"/>
          <w:b/>
          <w:i/>
        </w:rPr>
        <w:t xml:space="preserve">artículo 305, </w:t>
      </w:r>
      <w:r w:rsidR="00E43609" w:rsidRPr="00787FA1">
        <w:rPr>
          <w:rFonts w:ascii="ITC Avant Garde" w:hAnsi="ITC Avant Garde"/>
          <w:b/>
          <w:i/>
        </w:rPr>
        <w:t xml:space="preserve">todos </w:t>
      </w:r>
      <w:r w:rsidR="00C56DF0" w:rsidRPr="00787FA1">
        <w:rPr>
          <w:rFonts w:ascii="ITC Avant Garde" w:hAnsi="ITC Avant Garde"/>
          <w:b/>
          <w:i/>
        </w:rPr>
        <w:t>de la Ley Federal de Telecomunicaciones y Radiodifusión</w:t>
      </w:r>
      <w:r w:rsidR="00C56DF0" w:rsidRPr="00787FA1">
        <w:rPr>
          <w:rFonts w:ascii="ITC Avant Garde" w:hAnsi="ITC Avant Garde"/>
          <w:i/>
        </w:rPr>
        <w:t xml:space="preserve">, derivado de la visita de inspección y verificación que consta en el </w:t>
      </w:r>
      <w:r w:rsidR="00C56DF0" w:rsidRPr="00787FA1">
        <w:rPr>
          <w:rFonts w:ascii="ITC Avant Garde" w:hAnsi="ITC Avant Garde"/>
          <w:b/>
          <w:i/>
        </w:rPr>
        <w:t xml:space="preserve">Acta de </w:t>
      </w:r>
      <w:r w:rsidR="00E43609" w:rsidRPr="00787FA1">
        <w:rPr>
          <w:rFonts w:ascii="ITC Avant Garde" w:hAnsi="ITC Avant Garde"/>
          <w:b/>
          <w:i/>
        </w:rPr>
        <w:t>Verificación n</w:t>
      </w:r>
      <w:r w:rsidR="00C56DF0" w:rsidRPr="00787FA1">
        <w:rPr>
          <w:rFonts w:ascii="ITC Avant Garde" w:hAnsi="ITC Avant Garde"/>
          <w:b/>
          <w:i/>
        </w:rPr>
        <w:t xml:space="preserve">úmero </w:t>
      </w:r>
      <w:r w:rsidR="00CD4AB3" w:rsidRPr="00787FA1">
        <w:rPr>
          <w:rFonts w:ascii="ITC Avant Garde" w:hAnsi="ITC Avant Garde"/>
          <w:b/>
          <w:i/>
        </w:rPr>
        <w:t>IFT/DF/DGV/</w:t>
      </w:r>
      <w:r w:rsidR="00BB7595" w:rsidRPr="00787FA1">
        <w:rPr>
          <w:rFonts w:ascii="ITC Avant Garde" w:hAnsi="ITC Avant Garde"/>
          <w:b/>
          <w:i/>
        </w:rPr>
        <w:t>1095</w:t>
      </w:r>
      <w:r w:rsidR="00CD4AB3" w:rsidRPr="00787FA1">
        <w:rPr>
          <w:rFonts w:ascii="ITC Avant Garde" w:hAnsi="ITC Avant Garde"/>
          <w:b/>
          <w:i/>
        </w:rPr>
        <w:t>/2015</w:t>
      </w:r>
      <w:r w:rsidR="00C56DF0" w:rsidRPr="00787FA1">
        <w:rPr>
          <w:rFonts w:ascii="ITC Avant Garde" w:hAnsi="ITC Avant Garde"/>
          <w:b/>
          <w:i/>
        </w:rPr>
        <w:t>.”</w:t>
      </w:r>
    </w:p>
    <w:p w:rsidR="000D4A2D" w:rsidRPr="00787FA1" w:rsidRDefault="000D4A2D" w:rsidP="00A84011">
      <w:pPr>
        <w:pStyle w:val="Textoindependiente"/>
        <w:spacing w:before="240" w:after="0" w:line="360" w:lineRule="auto"/>
        <w:jc w:val="both"/>
        <w:rPr>
          <w:rFonts w:ascii="ITC Avant Garde" w:eastAsia="Times New Roman" w:hAnsi="ITC Avant Garde"/>
          <w:b/>
          <w:bCs/>
          <w:color w:val="000000"/>
          <w:lang w:eastAsia="es-MX"/>
        </w:rPr>
      </w:pPr>
      <w:r w:rsidRPr="00787FA1">
        <w:rPr>
          <w:rFonts w:ascii="ITC Avant Garde" w:hAnsi="ITC Avant Garde" w:cs="Tahoma"/>
          <w:b/>
        </w:rPr>
        <w:t>SEXTO</w:t>
      </w:r>
      <w:r w:rsidR="00D83D49" w:rsidRPr="00787FA1">
        <w:rPr>
          <w:rFonts w:ascii="ITC Avant Garde" w:hAnsi="ITC Avant Garde" w:cs="Tahoma"/>
          <w:b/>
        </w:rPr>
        <w:t>.</w:t>
      </w:r>
      <w:r w:rsidR="00D83D49" w:rsidRPr="00787FA1">
        <w:rPr>
          <w:rFonts w:ascii="ITC Avant Garde" w:hAnsi="ITC Avant Garde" w:cs="Tahoma"/>
        </w:rPr>
        <w:t xml:space="preserve"> </w:t>
      </w:r>
      <w:r w:rsidRPr="00787FA1">
        <w:rPr>
          <w:rFonts w:ascii="ITC Avant Garde" w:hAnsi="ITC Avant Garde" w:cs="Tahoma"/>
        </w:rPr>
        <w:t>En virtud de lo anterior, p</w:t>
      </w:r>
      <w:r w:rsidR="00C56DF0" w:rsidRPr="00787FA1">
        <w:rPr>
          <w:rFonts w:ascii="ITC Avant Garde" w:eastAsia="Times New Roman" w:hAnsi="ITC Avant Garde"/>
          <w:bCs/>
          <w:color w:val="000000"/>
          <w:lang w:eastAsia="es-MX"/>
        </w:rPr>
        <w:t>or acuerdo</w:t>
      </w:r>
      <w:r w:rsidR="00C56DF0" w:rsidRPr="00787FA1">
        <w:rPr>
          <w:rFonts w:ascii="ITC Avant Garde" w:eastAsia="Times New Roman" w:hAnsi="ITC Avant Garde"/>
          <w:b/>
          <w:bCs/>
          <w:color w:val="000000"/>
          <w:lang w:eastAsia="es-MX"/>
        </w:rPr>
        <w:t xml:space="preserve"> </w:t>
      </w:r>
      <w:r w:rsidR="00C56DF0" w:rsidRPr="00787FA1">
        <w:rPr>
          <w:rFonts w:ascii="ITC Avant Garde" w:eastAsia="Times New Roman" w:hAnsi="ITC Avant Garde"/>
          <w:bCs/>
          <w:color w:val="000000"/>
          <w:lang w:eastAsia="es-MX"/>
        </w:rPr>
        <w:t xml:space="preserve">de </w:t>
      </w:r>
      <w:r w:rsidR="00BB7595" w:rsidRPr="00787FA1">
        <w:rPr>
          <w:rFonts w:ascii="ITC Avant Garde" w:eastAsia="Times New Roman" w:hAnsi="ITC Avant Garde"/>
          <w:bCs/>
          <w:color w:val="000000"/>
          <w:lang w:eastAsia="es-MX"/>
        </w:rPr>
        <w:t xml:space="preserve">dieciocho de marzo </w:t>
      </w:r>
      <w:r w:rsidR="00CD4AB3" w:rsidRPr="00787FA1">
        <w:rPr>
          <w:rFonts w:ascii="ITC Avant Garde" w:eastAsia="Times New Roman" w:hAnsi="ITC Avant Garde"/>
          <w:bCs/>
          <w:color w:val="000000"/>
          <w:lang w:eastAsia="es-MX"/>
        </w:rPr>
        <w:t>de dos mil dieciséis</w:t>
      </w:r>
      <w:r w:rsidR="00C56DF0" w:rsidRPr="00787FA1">
        <w:rPr>
          <w:rFonts w:ascii="ITC Avant Garde" w:eastAsia="Times New Roman" w:hAnsi="ITC Avant Garde"/>
          <w:bCs/>
          <w:color w:val="000000"/>
          <w:lang w:eastAsia="es-MX"/>
        </w:rPr>
        <w:t xml:space="preserve">, </w:t>
      </w:r>
      <w:r w:rsidR="00804AFF" w:rsidRPr="00787FA1">
        <w:rPr>
          <w:rFonts w:ascii="ITC Avant Garde" w:eastAsia="Times New Roman" w:hAnsi="ITC Avant Garde"/>
          <w:bCs/>
          <w:color w:val="000000"/>
          <w:lang w:eastAsia="es-MX"/>
        </w:rPr>
        <w:t xml:space="preserve">el </w:t>
      </w:r>
      <w:r w:rsidR="00BB7595" w:rsidRPr="00787FA1">
        <w:rPr>
          <w:rFonts w:ascii="ITC Avant Garde" w:eastAsia="Times New Roman" w:hAnsi="ITC Avant Garde"/>
          <w:b/>
          <w:bCs/>
          <w:color w:val="000000"/>
          <w:lang w:eastAsia="es-MX"/>
        </w:rPr>
        <w:t>“</w:t>
      </w:r>
      <w:r w:rsidR="00804AFF" w:rsidRPr="00787FA1">
        <w:rPr>
          <w:rFonts w:ascii="ITC Avant Garde" w:eastAsia="Times New Roman" w:hAnsi="ITC Avant Garde"/>
          <w:b/>
          <w:bCs/>
          <w:color w:val="000000"/>
          <w:lang w:eastAsia="es-MX"/>
        </w:rPr>
        <w:t>Instituto</w:t>
      </w:r>
      <w:r w:rsidR="00BB7595" w:rsidRPr="00787FA1">
        <w:rPr>
          <w:rFonts w:ascii="ITC Avant Garde" w:eastAsia="Times New Roman" w:hAnsi="ITC Avant Garde"/>
          <w:b/>
          <w:bCs/>
          <w:color w:val="000000"/>
          <w:lang w:eastAsia="es-MX"/>
        </w:rPr>
        <w:t>”</w:t>
      </w:r>
      <w:r w:rsidR="00C56DF0" w:rsidRPr="00787FA1">
        <w:rPr>
          <w:rFonts w:ascii="ITC Avant Garde" w:eastAsia="Times New Roman" w:hAnsi="ITC Avant Garde"/>
          <w:bCs/>
          <w:color w:val="000000"/>
          <w:lang w:eastAsia="es-MX"/>
        </w:rPr>
        <w:t xml:space="preserve"> por conducto del Titular de la Unidad de Cumplimiento inició el procedimiento administrativo de imposición de sanción y declaratoria de la pérdida de bienes, instalaciones y equipos en beneficio de la Nación, en contra</w:t>
      </w:r>
      <w:r w:rsidR="00C56DF0" w:rsidRPr="00787FA1">
        <w:rPr>
          <w:rFonts w:ascii="ITC Avant Garde" w:hAnsi="ITC Avant Garde"/>
        </w:rPr>
        <w:t xml:space="preserve"> de</w:t>
      </w:r>
      <w:r w:rsidR="005024EC" w:rsidRPr="00787FA1">
        <w:rPr>
          <w:rFonts w:ascii="ITC Avant Garde" w:hAnsi="ITC Avant Garde"/>
        </w:rPr>
        <w:t>l</w:t>
      </w:r>
      <w:r w:rsidR="00C56DF0" w:rsidRPr="00787FA1">
        <w:rPr>
          <w:rFonts w:ascii="ITC Avant Garde" w:hAnsi="ITC Avant Garde"/>
        </w:rPr>
        <w:t xml:space="preserve"> </w:t>
      </w:r>
      <w:r w:rsidR="00A37BF8" w:rsidRPr="00787FA1">
        <w:rPr>
          <w:rFonts w:ascii="ITC Avant Garde" w:hAnsi="ITC Avant Garde"/>
          <w:b/>
        </w:rPr>
        <w:t xml:space="preserve">“PRESUNTO </w:t>
      </w:r>
      <w:r w:rsidR="00A37BF8">
        <w:rPr>
          <w:rFonts w:ascii="ITC Avant Garde" w:hAnsi="ITC Avant Garde"/>
          <w:b/>
        </w:rPr>
        <w:t>RESPONSABLE</w:t>
      </w:r>
      <w:r w:rsidR="00A37BF8" w:rsidRPr="00787FA1">
        <w:rPr>
          <w:rFonts w:ascii="ITC Avant Garde" w:hAnsi="ITC Avant Garde"/>
          <w:b/>
        </w:rPr>
        <w:t>”</w:t>
      </w:r>
      <w:r w:rsidR="00C56DF0" w:rsidRPr="00787FA1">
        <w:rPr>
          <w:rFonts w:ascii="ITC Avant Garde" w:eastAsia="Times New Roman" w:hAnsi="ITC Avant Garde"/>
          <w:b/>
          <w:bCs/>
          <w:color w:val="000000"/>
          <w:lang w:eastAsia="es-MX"/>
        </w:rPr>
        <w:t xml:space="preserve"> </w:t>
      </w:r>
      <w:r w:rsidRPr="00787FA1">
        <w:rPr>
          <w:rFonts w:ascii="ITC Avant Garde" w:eastAsia="Times New Roman" w:hAnsi="ITC Avant Garde"/>
          <w:bCs/>
          <w:color w:val="000000"/>
          <w:lang w:eastAsia="es-MX"/>
        </w:rPr>
        <w:t xml:space="preserve">por presumirse la infracción al artículo 66 </w:t>
      </w:r>
      <w:r w:rsidRPr="00787FA1">
        <w:rPr>
          <w:rFonts w:ascii="ITC Avant Garde" w:hAnsi="ITC Avant Garde"/>
        </w:rPr>
        <w:t>en relación con el 75,</w:t>
      </w:r>
      <w:r w:rsidRPr="00787FA1">
        <w:rPr>
          <w:rFonts w:ascii="ITC Avant Garde" w:eastAsia="Times New Roman" w:hAnsi="ITC Avant Garde"/>
          <w:bCs/>
          <w:color w:val="000000"/>
          <w:lang w:eastAsia="es-MX"/>
        </w:rPr>
        <w:t xml:space="preserve"> y la actualización de la hipótesis normativa prevista en el artículo 305, todos de la </w:t>
      </w:r>
      <w:r w:rsidR="00451B09"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451B0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ya que de la propuesta de la </w:t>
      </w:r>
      <w:r w:rsidR="00451B09" w:rsidRPr="00787FA1">
        <w:rPr>
          <w:rFonts w:ascii="ITC Avant Garde" w:eastAsia="Times New Roman" w:hAnsi="ITC Avant Garde"/>
          <w:b/>
          <w:bCs/>
          <w:color w:val="000000"/>
          <w:lang w:eastAsia="es-MX"/>
        </w:rPr>
        <w:t>“</w:t>
      </w:r>
      <w:r w:rsidRPr="00787FA1">
        <w:rPr>
          <w:rFonts w:ascii="ITC Avant Garde" w:hAnsi="ITC Avant Garde"/>
          <w:b/>
        </w:rPr>
        <w:t>DGV</w:t>
      </w:r>
      <w:r w:rsidR="00451B09" w:rsidRPr="00787FA1">
        <w:rPr>
          <w:rFonts w:ascii="ITC Avant Garde" w:hAnsi="ITC Avant Garde"/>
          <w:b/>
        </w:rPr>
        <w:t>”</w:t>
      </w:r>
      <w:r w:rsidRPr="00787FA1">
        <w:rPr>
          <w:rFonts w:ascii="ITC Avant Garde" w:hAnsi="ITC Avant Garde"/>
          <w:color w:val="000000"/>
        </w:rPr>
        <w:t>,</w:t>
      </w:r>
      <w:r w:rsidRPr="00787FA1">
        <w:rPr>
          <w:rFonts w:ascii="ITC Avant Garde" w:eastAsia="Times New Roman" w:hAnsi="ITC Avant Garde"/>
          <w:bCs/>
          <w:color w:val="000000"/>
          <w:lang w:eastAsia="es-MX"/>
        </w:rPr>
        <w:t xml:space="preserve"> se cuentan con elementos suficientes para acreditar la prestación del servicio de radiodifusión a través de la operación, uso y explotación de una vía general de comunicación (espectro radioeléctrico) consistente en la </w:t>
      </w:r>
      <w:r w:rsidRPr="00787FA1">
        <w:rPr>
          <w:rFonts w:ascii="ITC Avant Garde" w:hAnsi="ITC Avant Garde"/>
        </w:rPr>
        <w:t>frecuencia</w:t>
      </w:r>
      <w:r w:rsidRPr="00787FA1">
        <w:rPr>
          <w:rFonts w:ascii="ITC Avant Garde" w:hAnsi="ITC Avant Garde"/>
          <w:b/>
        </w:rPr>
        <w:t xml:space="preserve"> </w:t>
      </w:r>
      <w:r w:rsidR="009245AD" w:rsidRPr="00787FA1">
        <w:rPr>
          <w:rFonts w:ascii="ITC Avant Garde" w:hAnsi="ITC Avant Garde"/>
          <w:b/>
        </w:rPr>
        <w:t>10</w:t>
      </w:r>
      <w:r w:rsidR="00451B09" w:rsidRPr="00787FA1">
        <w:rPr>
          <w:rFonts w:ascii="ITC Avant Garde" w:hAnsi="ITC Avant Garde"/>
          <w:b/>
        </w:rPr>
        <w:t>5.3</w:t>
      </w:r>
      <w:r w:rsidR="00C56DF0" w:rsidRPr="00787FA1">
        <w:rPr>
          <w:rFonts w:ascii="ITC Avant Garde" w:hAnsi="ITC Avant Garde"/>
          <w:b/>
        </w:rPr>
        <w:t xml:space="preserve"> MHz</w:t>
      </w:r>
      <w:r w:rsidR="00C56DF0" w:rsidRPr="00787FA1">
        <w:rPr>
          <w:rFonts w:ascii="ITC Avant Garde" w:hAnsi="ITC Avant Garde"/>
        </w:rPr>
        <w:t xml:space="preserve">, </w:t>
      </w:r>
      <w:r w:rsidRPr="00787FA1">
        <w:rPr>
          <w:rFonts w:ascii="ITC Avant Garde" w:eastAsia="Times New Roman" w:hAnsi="ITC Avant Garde"/>
          <w:bCs/>
          <w:color w:val="000000"/>
          <w:lang w:eastAsia="es-MX"/>
        </w:rPr>
        <w:t xml:space="preserve">por parte del </w:t>
      </w:r>
      <w:r w:rsidR="00A37BF8" w:rsidRPr="00787FA1">
        <w:rPr>
          <w:rFonts w:ascii="ITC Avant Garde" w:hAnsi="ITC Avant Garde"/>
          <w:b/>
        </w:rPr>
        <w:t xml:space="preserve">“PRESUNTO </w:t>
      </w:r>
      <w:r w:rsidR="00A37BF8">
        <w:rPr>
          <w:rFonts w:ascii="ITC Avant Garde" w:hAnsi="ITC Avant Garde"/>
          <w:b/>
        </w:rPr>
        <w:t>RESPONSABLE</w:t>
      </w:r>
      <w:r w:rsidR="00A37BF8" w:rsidRPr="00787FA1">
        <w:rPr>
          <w:rFonts w:ascii="ITC Avant Garde" w:hAnsi="ITC Avant Garde"/>
          <w:b/>
        </w:rPr>
        <w:t>”</w:t>
      </w:r>
      <w:r w:rsidR="00A37BF8">
        <w:rPr>
          <w:rFonts w:ascii="ITC Avant Garde" w:hAnsi="ITC Avant Garde"/>
          <w:b/>
        </w:rPr>
        <w:t xml:space="preserve"> </w:t>
      </w:r>
      <w:r w:rsidRPr="00787FA1">
        <w:rPr>
          <w:rFonts w:ascii="ITC Avant Garde" w:eastAsia="Times New Roman" w:hAnsi="ITC Avant Garde"/>
          <w:bCs/>
          <w:color w:val="000000"/>
          <w:lang w:eastAsia="es-MX"/>
        </w:rPr>
        <w:t xml:space="preserve">sin contar con la concesión, permiso o autorización correspondiente, de conformidad con lo establecido en la </w:t>
      </w:r>
      <w:r w:rsidR="00451B09"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451B0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w:t>
      </w:r>
    </w:p>
    <w:p w:rsidR="00B13C06" w:rsidRPr="00787FA1" w:rsidRDefault="00B13C06" w:rsidP="00A84011">
      <w:pPr>
        <w:pStyle w:val="Textoindependiente"/>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
          <w:bCs/>
          <w:color w:val="000000"/>
          <w:lang w:eastAsia="es-MX"/>
        </w:rPr>
        <w:t>SÉPTIMO</w:t>
      </w:r>
      <w:r w:rsidR="00E11D76" w:rsidRPr="00787FA1">
        <w:rPr>
          <w:rFonts w:ascii="ITC Avant Garde" w:eastAsia="Times New Roman" w:hAnsi="ITC Avant Garde"/>
          <w:bCs/>
          <w:color w:val="000000"/>
          <w:lang w:eastAsia="es-MX"/>
        </w:rPr>
        <w:t xml:space="preserve">. </w:t>
      </w:r>
      <w:r w:rsidR="00C56DF0" w:rsidRPr="00787FA1">
        <w:rPr>
          <w:rFonts w:ascii="ITC Avant Garde" w:hAnsi="ITC Avant Garde"/>
        </w:rPr>
        <w:t xml:space="preserve">Previo citatorio que fue dejado el día </w:t>
      </w:r>
      <w:r w:rsidR="00451B09" w:rsidRPr="00787FA1">
        <w:rPr>
          <w:rFonts w:ascii="ITC Avant Garde" w:hAnsi="ITC Avant Garde"/>
        </w:rPr>
        <w:t xml:space="preserve">veintiocho </w:t>
      </w:r>
      <w:r w:rsidR="009245AD" w:rsidRPr="00787FA1">
        <w:rPr>
          <w:rFonts w:ascii="ITC Avant Garde" w:hAnsi="ITC Avant Garde"/>
        </w:rPr>
        <w:t xml:space="preserve">de </w:t>
      </w:r>
      <w:r w:rsidR="00451B09" w:rsidRPr="00787FA1">
        <w:rPr>
          <w:rFonts w:ascii="ITC Avant Garde" w:hAnsi="ITC Avant Garde"/>
        </w:rPr>
        <w:t xml:space="preserve">marzo </w:t>
      </w:r>
      <w:r w:rsidR="009245AD" w:rsidRPr="00787FA1">
        <w:rPr>
          <w:rFonts w:ascii="ITC Avant Garde" w:hAnsi="ITC Avant Garde"/>
        </w:rPr>
        <w:t>de dos mil dieciséis</w:t>
      </w:r>
      <w:r w:rsidR="00C56DF0" w:rsidRPr="00787FA1">
        <w:rPr>
          <w:rFonts w:ascii="ITC Avant Garde" w:eastAsia="Times New Roman" w:hAnsi="ITC Avant Garde"/>
          <w:bCs/>
          <w:color w:val="000000"/>
          <w:lang w:eastAsia="es-MX"/>
        </w:rPr>
        <w:t xml:space="preserve">, el </w:t>
      </w:r>
      <w:r w:rsidR="009245AD" w:rsidRPr="00787FA1">
        <w:rPr>
          <w:rFonts w:ascii="ITC Avant Garde" w:eastAsia="Times New Roman" w:hAnsi="ITC Avant Garde"/>
          <w:bCs/>
          <w:color w:val="000000"/>
          <w:lang w:eastAsia="es-MX"/>
        </w:rPr>
        <w:t xml:space="preserve">día </w:t>
      </w:r>
      <w:r w:rsidR="00451B09" w:rsidRPr="00787FA1">
        <w:rPr>
          <w:rFonts w:ascii="ITC Avant Garde" w:eastAsia="Times New Roman" w:hAnsi="ITC Avant Garde"/>
          <w:bCs/>
          <w:color w:val="000000"/>
          <w:lang w:eastAsia="es-MX"/>
        </w:rPr>
        <w:t xml:space="preserve">veintinueve </w:t>
      </w:r>
      <w:r w:rsidR="009245AD" w:rsidRPr="00787FA1">
        <w:rPr>
          <w:rFonts w:ascii="ITC Avant Garde" w:eastAsia="Times New Roman" w:hAnsi="ITC Avant Garde"/>
          <w:bCs/>
          <w:color w:val="000000"/>
          <w:lang w:eastAsia="es-MX"/>
        </w:rPr>
        <w:t>del mismo mes y año</w:t>
      </w:r>
      <w:r w:rsidR="00C56DF0" w:rsidRPr="00787FA1">
        <w:rPr>
          <w:rFonts w:ascii="ITC Avant Garde" w:eastAsia="Times New Roman" w:hAnsi="ITC Avant Garde"/>
          <w:bCs/>
          <w:color w:val="000000"/>
          <w:lang w:eastAsia="es-MX"/>
        </w:rPr>
        <w:t xml:space="preserve"> se notificó </w:t>
      </w:r>
      <w:r w:rsidR="00616338" w:rsidRPr="00787FA1">
        <w:rPr>
          <w:rFonts w:ascii="ITC Avant Garde" w:hAnsi="ITC Avant Garde"/>
        </w:rPr>
        <w:t>por instructivo</w:t>
      </w:r>
      <w:r w:rsidR="00616338" w:rsidRPr="00787FA1">
        <w:rPr>
          <w:rFonts w:ascii="ITC Avant Garde" w:eastAsia="Times New Roman" w:hAnsi="ITC Avant Garde"/>
          <w:bCs/>
          <w:color w:val="000000"/>
          <w:lang w:eastAsia="es-MX"/>
        </w:rPr>
        <w:t xml:space="preserve"> al</w:t>
      </w:r>
      <w:r w:rsidR="00C56DF0" w:rsidRPr="00787FA1">
        <w:rPr>
          <w:rFonts w:ascii="ITC Avant Garde" w:eastAsia="Times New Roman" w:hAnsi="ITC Avant Garde"/>
          <w:bCs/>
          <w:color w:val="000000"/>
          <w:lang w:eastAsia="es-MX"/>
        </w:rPr>
        <w:t xml:space="preserve"> </w:t>
      </w:r>
      <w:r w:rsidR="00A37BF8" w:rsidRPr="00787FA1">
        <w:rPr>
          <w:rFonts w:ascii="ITC Avant Garde" w:hAnsi="ITC Avant Garde"/>
          <w:b/>
        </w:rPr>
        <w:t xml:space="preserve">“PRESUNTO </w:t>
      </w:r>
      <w:r w:rsidR="00A37BF8">
        <w:rPr>
          <w:rFonts w:ascii="ITC Avant Garde" w:hAnsi="ITC Avant Garde"/>
          <w:b/>
        </w:rPr>
        <w:t>RESPONSABLE</w:t>
      </w:r>
      <w:r w:rsidR="00A37BF8" w:rsidRPr="00787FA1">
        <w:rPr>
          <w:rFonts w:ascii="ITC Avant Garde" w:hAnsi="ITC Avant Garde"/>
          <w:b/>
        </w:rPr>
        <w:t>”</w:t>
      </w:r>
      <w:r w:rsidR="00C56DF0" w:rsidRPr="00787FA1">
        <w:rPr>
          <w:rFonts w:ascii="ITC Avant Garde" w:hAnsi="ITC Avant Garde"/>
        </w:rPr>
        <w:t xml:space="preserve">, </w:t>
      </w:r>
      <w:r w:rsidRPr="00787FA1">
        <w:rPr>
          <w:rFonts w:ascii="ITC Avant Garde" w:eastAsia="Times New Roman" w:hAnsi="ITC Avant Garde"/>
          <w:bCs/>
          <w:color w:val="000000"/>
          <w:lang w:eastAsia="es-MX"/>
        </w:rPr>
        <w:t>el acuerdo de inicio del procedimiento administrativo de imposición de sanción, concediéndole un plazo de quince días, para que en uso del beneficio de la garantía de audiencia consagrada en los artículos 14 y 16 de la Constitución Política de los Estados Unidos Mexicanos (</w:t>
      </w:r>
      <w:r w:rsidRPr="00787FA1">
        <w:rPr>
          <w:rFonts w:ascii="ITC Avant Garde" w:eastAsia="Times New Roman" w:hAnsi="ITC Avant Garde"/>
          <w:b/>
          <w:bCs/>
          <w:color w:val="000000"/>
          <w:lang w:eastAsia="es-MX"/>
        </w:rPr>
        <w:t>“CPEUM”</w:t>
      </w:r>
      <w:r w:rsidRPr="00787FA1">
        <w:rPr>
          <w:rFonts w:ascii="ITC Avant Garde" w:eastAsia="Times New Roman" w:hAnsi="ITC Avant Garde"/>
          <w:bCs/>
          <w:color w:val="000000"/>
          <w:lang w:eastAsia="es-MX"/>
        </w:rPr>
        <w:t>)</w:t>
      </w:r>
      <w:r w:rsidRPr="00787FA1">
        <w:rPr>
          <w:rFonts w:ascii="ITC Avant Garde" w:eastAsia="Times New Roman" w:hAnsi="ITC Avant Garde"/>
          <w:b/>
          <w:bCs/>
          <w:color w:val="000000"/>
          <w:lang w:eastAsia="es-MX"/>
        </w:rPr>
        <w:t xml:space="preserve"> </w:t>
      </w:r>
      <w:r w:rsidRPr="00787FA1">
        <w:rPr>
          <w:rFonts w:ascii="ITC Avant Garde" w:eastAsia="Times New Roman" w:hAnsi="ITC Avant Garde"/>
          <w:bCs/>
          <w:color w:val="000000"/>
          <w:lang w:eastAsia="es-MX"/>
        </w:rPr>
        <w:t>y 72 de la Ley Federal de Procedimiento Administrativo (“</w:t>
      </w:r>
      <w:r w:rsidRPr="00787FA1">
        <w:rPr>
          <w:rFonts w:ascii="ITC Avant Garde" w:eastAsia="Times New Roman" w:hAnsi="ITC Avant Garde"/>
          <w:b/>
          <w:bCs/>
          <w:color w:val="000000"/>
          <w:lang w:eastAsia="es-MX"/>
        </w:rPr>
        <w:t>LFPA”</w:t>
      </w:r>
      <w:r w:rsidRPr="00787FA1">
        <w:rPr>
          <w:rFonts w:ascii="ITC Avant Garde" w:eastAsia="Times New Roman" w:hAnsi="ITC Avant Garde"/>
          <w:bCs/>
          <w:color w:val="000000"/>
          <w:lang w:eastAsia="es-MX"/>
        </w:rPr>
        <w:t xml:space="preserve">) de aplicación supletoria en términos del artículo 6, fracción IV, de la </w:t>
      </w:r>
      <w:r w:rsidR="00451B09"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451B0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expusiera lo que a su derecho conviniera y, en su caso aportara las pruebas con que contara. </w:t>
      </w:r>
    </w:p>
    <w:p w:rsidR="00C56DF0" w:rsidRPr="00DC20BA" w:rsidRDefault="00C56DF0"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El término concedido al </w:t>
      </w:r>
      <w:r w:rsidR="00A37BF8" w:rsidRPr="00787FA1">
        <w:rPr>
          <w:rFonts w:ascii="ITC Avant Garde" w:hAnsi="ITC Avant Garde"/>
          <w:b/>
        </w:rPr>
        <w:t xml:space="preserve">“PRESUNTO </w:t>
      </w:r>
      <w:r w:rsidR="00A37BF8">
        <w:rPr>
          <w:rFonts w:ascii="ITC Avant Garde" w:hAnsi="ITC Avant Garde"/>
          <w:b/>
        </w:rPr>
        <w:t>RESPONSABLE</w:t>
      </w:r>
      <w:r w:rsidR="00A37BF8" w:rsidRPr="00787FA1">
        <w:rPr>
          <w:rFonts w:ascii="ITC Avant Garde" w:hAnsi="ITC Avant Garde"/>
          <w:b/>
        </w:rPr>
        <w:t>”</w:t>
      </w:r>
      <w:r w:rsidR="00A37BF8">
        <w:rPr>
          <w:rFonts w:ascii="ITC Avant Garde" w:hAnsi="ITC Avant Garde"/>
          <w:b/>
        </w:rPr>
        <w:t xml:space="preserve"> </w:t>
      </w:r>
      <w:r w:rsidRPr="00787FA1">
        <w:rPr>
          <w:rFonts w:ascii="ITC Avant Garde" w:eastAsia="Times New Roman" w:hAnsi="ITC Avant Garde"/>
          <w:bCs/>
          <w:color w:val="000000"/>
          <w:lang w:eastAsia="es-MX"/>
        </w:rPr>
        <w:t xml:space="preserve">para presentar sus manifestaciones y pruebas, </w:t>
      </w:r>
      <w:r w:rsidR="00616338" w:rsidRPr="00787FA1">
        <w:rPr>
          <w:rFonts w:ascii="ITC Avant Garde" w:eastAsia="Times New Roman" w:hAnsi="ITC Avant Garde"/>
          <w:bCs/>
          <w:color w:val="000000"/>
          <w:lang w:eastAsia="es-MX"/>
        </w:rPr>
        <w:t xml:space="preserve">transcurrió </w:t>
      </w:r>
      <w:r w:rsidRPr="00787FA1">
        <w:rPr>
          <w:rFonts w:ascii="ITC Avant Garde" w:eastAsia="Times New Roman" w:hAnsi="ITC Avant Garde"/>
          <w:bCs/>
          <w:color w:val="000000"/>
          <w:lang w:eastAsia="es-MX"/>
        </w:rPr>
        <w:t xml:space="preserve">del </w:t>
      </w:r>
      <w:r w:rsidR="00451B09" w:rsidRPr="00787FA1">
        <w:rPr>
          <w:rFonts w:ascii="ITC Avant Garde" w:eastAsia="Times New Roman" w:hAnsi="ITC Avant Garde"/>
          <w:bCs/>
          <w:color w:val="000000"/>
          <w:lang w:eastAsia="es-MX"/>
        </w:rPr>
        <w:t xml:space="preserve">treinta de marzo </w:t>
      </w:r>
      <w:r w:rsidR="009245AD" w:rsidRPr="00787FA1">
        <w:rPr>
          <w:rFonts w:ascii="ITC Avant Garde" w:eastAsia="Times New Roman" w:hAnsi="ITC Avant Garde"/>
          <w:bCs/>
          <w:color w:val="000000"/>
          <w:lang w:eastAsia="es-MX"/>
        </w:rPr>
        <w:t xml:space="preserve">al </w:t>
      </w:r>
      <w:r w:rsidR="00451B09" w:rsidRPr="00787FA1">
        <w:rPr>
          <w:rFonts w:ascii="ITC Avant Garde" w:eastAsia="Times New Roman" w:hAnsi="ITC Avant Garde"/>
          <w:bCs/>
          <w:color w:val="000000"/>
          <w:lang w:eastAsia="es-MX"/>
        </w:rPr>
        <w:t xml:space="preserve">diecinueve de abril </w:t>
      </w:r>
      <w:r w:rsidR="009245AD" w:rsidRPr="00787FA1">
        <w:rPr>
          <w:rFonts w:ascii="ITC Avant Garde" w:eastAsia="Times New Roman" w:hAnsi="ITC Avant Garde"/>
          <w:bCs/>
          <w:color w:val="000000"/>
          <w:lang w:eastAsia="es-MX"/>
        </w:rPr>
        <w:t>de dos mil dieciséis</w:t>
      </w:r>
      <w:r w:rsidR="00616338" w:rsidRPr="00787FA1">
        <w:rPr>
          <w:rFonts w:ascii="ITC Avant Garde" w:eastAsia="Times New Roman" w:hAnsi="ITC Avant Garde"/>
          <w:bCs/>
          <w:color w:val="000000"/>
          <w:lang w:eastAsia="es-MX"/>
        </w:rPr>
        <w:t xml:space="preserve">, sin contar los días </w:t>
      </w:r>
      <w:r w:rsidR="00451B09" w:rsidRPr="00787FA1">
        <w:rPr>
          <w:rFonts w:ascii="ITC Avant Garde" w:eastAsia="Times New Roman" w:hAnsi="ITC Avant Garde"/>
          <w:bCs/>
          <w:color w:val="000000"/>
          <w:lang w:eastAsia="es-MX"/>
        </w:rPr>
        <w:t xml:space="preserve">dos, tres, nueve, diez, dieciséis y diecisiete de </w:t>
      </w:r>
      <w:r w:rsidR="00451B09" w:rsidRPr="00787FA1">
        <w:rPr>
          <w:rFonts w:ascii="ITC Avant Garde" w:eastAsia="Times New Roman" w:hAnsi="ITC Avant Garde"/>
          <w:bCs/>
          <w:color w:val="000000"/>
          <w:lang w:eastAsia="es-MX"/>
        </w:rPr>
        <w:lastRenderedPageBreak/>
        <w:t xml:space="preserve">abril </w:t>
      </w:r>
      <w:r w:rsidR="00616338" w:rsidRPr="00787FA1">
        <w:rPr>
          <w:rFonts w:ascii="ITC Avant Garde" w:eastAsia="Times New Roman" w:hAnsi="ITC Avant Garde"/>
          <w:bCs/>
          <w:color w:val="000000"/>
          <w:lang w:eastAsia="es-MX"/>
        </w:rPr>
        <w:t>de dos mil diecisé</w:t>
      </w:r>
      <w:r w:rsidR="00616338" w:rsidRPr="00DC20BA">
        <w:rPr>
          <w:rFonts w:ascii="ITC Avant Garde" w:eastAsia="Times New Roman" w:hAnsi="ITC Avant Garde"/>
          <w:bCs/>
          <w:color w:val="000000"/>
          <w:lang w:eastAsia="es-MX"/>
        </w:rPr>
        <w:t>is por ser sábados y domingos respectivamente</w:t>
      </w:r>
      <w:r w:rsidR="00D91E8F" w:rsidRPr="00DC20BA">
        <w:rPr>
          <w:rFonts w:ascii="ITC Avant Garde" w:eastAsia="Times New Roman" w:hAnsi="ITC Avant Garde"/>
          <w:bCs/>
          <w:color w:val="000000"/>
          <w:lang w:eastAsia="es-MX"/>
        </w:rPr>
        <w:t xml:space="preserve">, </w:t>
      </w:r>
      <w:r w:rsidR="00616338" w:rsidRPr="00DC20BA">
        <w:rPr>
          <w:rFonts w:ascii="ITC Avant Garde" w:eastAsia="Times New Roman" w:hAnsi="ITC Avant Garde"/>
          <w:bCs/>
          <w:color w:val="000000"/>
          <w:lang w:eastAsia="es-MX"/>
        </w:rPr>
        <w:t xml:space="preserve">en términos del artículo 28 de la </w:t>
      </w:r>
      <w:r w:rsidR="00451B09" w:rsidRPr="00DC20BA">
        <w:rPr>
          <w:rFonts w:ascii="ITC Avant Garde" w:eastAsia="Times New Roman" w:hAnsi="ITC Avant Garde"/>
          <w:b/>
          <w:bCs/>
          <w:color w:val="000000"/>
          <w:lang w:eastAsia="es-MX"/>
        </w:rPr>
        <w:t>“</w:t>
      </w:r>
      <w:r w:rsidR="00616338" w:rsidRPr="00DC20BA">
        <w:rPr>
          <w:rFonts w:ascii="ITC Avant Garde" w:eastAsia="Times New Roman" w:hAnsi="ITC Avant Garde"/>
          <w:b/>
          <w:bCs/>
          <w:color w:val="000000"/>
          <w:lang w:eastAsia="es-MX"/>
        </w:rPr>
        <w:t>LFPA</w:t>
      </w:r>
      <w:r w:rsidR="00451B09" w:rsidRPr="00DC20BA">
        <w:rPr>
          <w:rFonts w:ascii="ITC Avant Garde" w:eastAsia="Times New Roman" w:hAnsi="ITC Avant Garde"/>
          <w:b/>
          <w:bCs/>
          <w:color w:val="000000"/>
          <w:lang w:eastAsia="es-MX"/>
        </w:rPr>
        <w:t>”.</w:t>
      </w:r>
    </w:p>
    <w:p w:rsidR="00C62CDD" w:rsidRPr="00787FA1" w:rsidRDefault="00B13C06" w:rsidP="00A84011">
      <w:pPr>
        <w:spacing w:before="240" w:after="0" w:line="360" w:lineRule="auto"/>
        <w:jc w:val="both"/>
        <w:rPr>
          <w:rFonts w:ascii="ITC Avant Garde" w:eastAsia="Times New Roman" w:hAnsi="ITC Avant Garde"/>
          <w:bCs/>
          <w:color w:val="000000"/>
          <w:lang w:eastAsia="es-MX"/>
        </w:rPr>
      </w:pPr>
      <w:r w:rsidRPr="00DC20BA">
        <w:rPr>
          <w:rFonts w:ascii="ITC Avant Garde" w:eastAsia="Times New Roman" w:hAnsi="ITC Avant Garde"/>
          <w:b/>
          <w:bCs/>
          <w:color w:val="000000"/>
          <w:lang w:eastAsia="es-MX"/>
        </w:rPr>
        <w:t>OCTAVO</w:t>
      </w:r>
      <w:r w:rsidR="00E11D76" w:rsidRPr="00DC20BA">
        <w:rPr>
          <w:rFonts w:ascii="ITC Avant Garde" w:eastAsia="Times New Roman" w:hAnsi="ITC Avant Garde"/>
          <w:b/>
          <w:bCs/>
          <w:color w:val="000000"/>
          <w:lang w:eastAsia="es-MX"/>
        </w:rPr>
        <w:t xml:space="preserve">. </w:t>
      </w:r>
      <w:r w:rsidR="00C56DF0" w:rsidRPr="00DC20BA">
        <w:rPr>
          <w:rFonts w:ascii="ITC Avant Garde" w:eastAsia="Times New Roman" w:hAnsi="ITC Avant Garde"/>
          <w:bCs/>
          <w:color w:val="000000"/>
          <w:lang w:eastAsia="es-MX"/>
        </w:rPr>
        <w:t xml:space="preserve">De las constancias que forman el presente expediente se observó que el </w:t>
      </w:r>
      <w:r w:rsidR="00A37BF8" w:rsidRPr="00DC20BA">
        <w:rPr>
          <w:rFonts w:ascii="ITC Avant Garde" w:hAnsi="ITC Avant Garde"/>
          <w:b/>
        </w:rPr>
        <w:t xml:space="preserve">“PRESUNTO RESPONSABLE” </w:t>
      </w:r>
      <w:r w:rsidR="00C56DF0" w:rsidRPr="00DC20BA">
        <w:rPr>
          <w:rFonts w:ascii="ITC Avant Garde" w:hAnsi="ITC Avant Garde"/>
        </w:rPr>
        <w:t xml:space="preserve">no </w:t>
      </w:r>
      <w:r w:rsidR="00C56DF0" w:rsidRPr="00DC20BA">
        <w:rPr>
          <w:rFonts w:ascii="ITC Avant Garde" w:eastAsia="Times New Roman" w:hAnsi="ITC Avant Garde"/>
          <w:bCs/>
          <w:color w:val="000000"/>
          <w:lang w:eastAsia="es-MX"/>
        </w:rPr>
        <w:t xml:space="preserve">presentó escrito de manifestaciones y pruebas, por lo que mediante acuerdo de </w:t>
      </w:r>
      <w:r w:rsidR="00451B09" w:rsidRPr="00DC20BA">
        <w:rPr>
          <w:rFonts w:ascii="ITC Avant Garde" w:eastAsia="Times New Roman" w:hAnsi="ITC Avant Garde"/>
          <w:bCs/>
          <w:color w:val="000000"/>
          <w:lang w:eastAsia="es-MX"/>
        </w:rPr>
        <w:t xml:space="preserve">veintisiete de abril </w:t>
      </w:r>
      <w:r w:rsidR="009245AD" w:rsidRPr="00DC20BA">
        <w:rPr>
          <w:rFonts w:ascii="ITC Avant Garde" w:eastAsia="Times New Roman" w:hAnsi="ITC Avant Garde"/>
          <w:bCs/>
          <w:color w:val="000000"/>
          <w:lang w:eastAsia="es-MX"/>
        </w:rPr>
        <w:t>de dos mil dieciséis</w:t>
      </w:r>
      <w:r w:rsidR="00C56DF0" w:rsidRPr="00DC20BA">
        <w:rPr>
          <w:rFonts w:ascii="ITC Avant Garde" w:eastAsia="Times New Roman" w:hAnsi="ITC Avant Garde"/>
          <w:bCs/>
          <w:color w:val="000000"/>
          <w:lang w:eastAsia="es-MX"/>
        </w:rPr>
        <w:t xml:space="preserve">, notificado por lista el </w:t>
      </w:r>
      <w:r w:rsidR="00451B09" w:rsidRPr="00DC20BA">
        <w:rPr>
          <w:rFonts w:ascii="ITC Avant Garde" w:eastAsia="Times New Roman" w:hAnsi="ITC Avant Garde"/>
          <w:bCs/>
          <w:color w:val="000000"/>
          <w:lang w:eastAsia="es-MX"/>
        </w:rPr>
        <w:t xml:space="preserve">veintiocho de </w:t>
      </w:r>
      <w:r w:rsidR="00813F89" w:rsidRPr="00DC20BA">
        <w:rPr>
          <w:rFonts w:ascii="ITC Avant Garde" w:eastAsia="Times New Roman" w:hAnsi="ITC Avant Garde"/>
          <w:bCs/>
          <w:color w:val="000000"/>
          <w:lang w:eastAsia="es-MX"/>
        </w:rPr>
        <w:t xml:space="preserve">abril </w:t>
      </w:r>
      <w:r w:rsidR="009245AD" w:rsidRPr="00DC20BA">
        <w:rPr>
          <w:rFonts w:ascii="ITC Avant Garde" w:eastAsia="Times New Roman" w:hAnsi="ITC Avant Garde"/>
          <w:bCs/>
          <w:color w:val="000000"/>
          <w:lang w:eastAsia="es-MX"/>
        </w:rPr>
        <w:t>del mismo año</w:t>
      </w:r>
      <w:r w:rsidR="00C56DF0" w:rsidRPr="00DC20BA">
        <w:rPr>
          <w:rFonts w:ascii="ITC Avant Garde" w:eastAsia="Times New Roman" w:hAnsi="ITC Avant Garde"/>
          <w:bCs/>
          <w:color w:val="000000"/>
          <w:lang w:eastAsia="es-MX"/>
        </w:rPr>
        <w:t>, se hizo efectivo el apercibimiento decretado en el acuerdo de inicio del</w:t>
      </w:r>
      <w:r w:rsidR="00C56DF0" w:rsidRPr="00787FA1">
        <w:rPr>
          <w:rFonts w:ascii="ITC Avant Garde" w:eastAsia="Times New Roman" w:hAnsi="ITC Avant Garde"/>
          <w:bCs/>
          <w:color w:val="000000"/>
          <w:lang w:eastAsia="es-MX"/>
        </w:rPr>
        <w:t xml:space="preserve"> procedimiento administrativo en que se actúa y se tuvo por perdido su derecho para manifestar lo que </w:t>
      </w:r>
      <w:r w:rsidRPr="00787FA1">
        <w:rPr>
          <w:rFonts w:ascii="ITC Avant Garde" w:eastAsia="Times New Roman" w:hAnsi="ITC Avant Garde"/>
          <w:bCs/>
          <w:color w:val="000000"/>
          <w:lang w:eastAsia="es-MX"/>
        </w:rPr>
        <w:t xml:space="preserve">a </w:t>
      </w:r>
      <w:r w:rsidR="00C56DF0" w:rsidRPr="00787FA1">
        <w:rPr>
          <w:rFonts w:ascii="ITC Avant Garde" w:eastAsia="Times New Roman" w:hAnsi="ITC Avant Garde"/>
          <w:bCs/>
          <w:color w:val="000000"/>
          <w:lang w:eastAsia="es-MX"/>
        </w:rPr>
        <w:t>su derecho conviniera y ofrecer pruebas</w:t>
      </w:r>
      <w:r w:rsidR="00C62CDD" w:rsidRPr="00787FA1">
        <w:rPr>
          <w:rFonts w:ascii="ITC Avant Garde" w:eastAsia="Times New Roman" w:hAnsi="ITC Avant Garde"/>
          <w:bCs/>
          <w:color w:val="000000"/>
          <w:lang w:eastAsia="es-MX"/>
        </w:rPr>
        <w:t xml:space="preserve">. </w:t>
      </w:r>
    </w:p>
    <w:p w:rsidR="00C56DF0" w:rsidRPr="00787FA1" w:rsidRDefault="00B13C06"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En consecuencia, p</w:t>
      </w:r>
      <w:r w:rsidR="00C62CDD" w:rsidRPr="00787FA1">
        <w:rPr>
          <w:rFonts w:ascii="ITC Avant Garde" w:eastAsia="Times New Roman" w:hAnsi="ITC Avant Garde"/>
          <w:bCs/>
          <w:color w:val="000000"/>
          <w:lang w:eastAsia="es-MX"/>
        </w:rPr>
        <w:t>o</w:t>
      </w:r>
      <w:r w:rsidR="00C56DF0" w:rsidRPr="00787FA1">
        <w:rPr>
          <w:rFonts w:ascii="ITC Avant Garde" w:eastAsia="Times New Roman" w:hAnsi="ITC Avant Garde"/>
          <w:bCs/>
          <w:color w:val="000000"/>
          <w:lang w:eastAsia="es-MX"/>
        </w:rPr>
        <w:t xml:space="preserve">r así corresponder al estado procesal que guardaba el presente asunto, con fundamento en el artículo 56 de la </w:t>
      </w:r>
      <w:r w:rsidR="00813F89" w:rsidRPr="00787FA1">
        <w:rPr>
          <w:rFonts w:ascii="ITC Avant Garde" w:eastAsia="Times New Roman" w:hAnsi="ITC Avant Garde"/>
          <w:b/>
          <w:bCs/>
          <w:color w:val="000000"/>
          <w:lang w:eastAsia="es-MX"/>
        </w:rPr>
        <w:t>“</w:t>
      </w:r>
      <w:r w:rsidR="00C56DF0" w:rsidRPr="00787FA1">
        <w:rPr>
          <w:rFonts w:ascii="ITC Avant Garde" w:eastAsia="Times New Roman" w:hAnsi="ITC Avant Garde"/>
          <w:b/>
          <w:bCs/>
          <w:color w:val="000000"/>
          <w:lang w:eastAsia="es-MX"/>
        </w:rPr>
        <w:t>LFPA</w:t>
      </w:r>
      <w:r w:rsidR="00813F89" w:rsidRPr="00787FA1">
        <w:rPr>
          <w:rFonts w:ascii="ITC Avant Garde" w:eastAsia="Times New Roman" w:hAnsi="ITC Avant Garde"/>
          <w:b/>
          <w:bCs/>
          <w:color w:val="000000"/>
          <w:lang w:eastAsia="es-MX"/>
        </w:rPr>
        <w:t>”</w:t>
      </w:r>
      <w:r w:rsidR="00C56DF0" w:rsidRPr="00787FA1">
        <w:rPr>
          <w:rFonts w:ascii="ITC Avant Garde" w:eastAsia="Times New Roman" w:hAnsi="ITC Avant Garde"/>
          <w:bCs/>
          <w:color w:val="000000"/>
          <w:lang w:eastAsia="es-MX"/>
        </w:rPr>
        <w:t>, se pusieron a su disposición los autos del presente expediente para que dentro de un término de diez días hábiles formulara los alegatos que a su derecho convinieran, en el entendido que transcurrido dicho plazo, con alegatos o sin ellos, se emitiría la Resolución que conforme a derecho correspondiera.</w:t>
      </w:r>
    </w:p>
    <w:p w:rsidR="00B13C06" w:rsidRPr="00787FA1" w:rsidRDefault="00B13C06" w:rsidP="00A84011">
      <w:pPr>
        <w:pStyle w:val="Textoindependiente"/>
        <w:spacing w:before="240" w:after="0" w:line="360" w:lineRule="auto"/>
        <w:jc w:val="both"/>
        <w:rPr>
          <w:rFonts w:ascii="ITC Avant Garde" w:eastAsia="Times New Roman" w:hAnsi="ITC Avant Garde"/>
          <w:bCs/>
          <w:color w:val="000000"/>
          <w:lang w:eastAsia="es-MX"/>
        </w:rPr>
      </w:pPr>
      <w:r w:rsidRPr="00787FA1">
        <w:rPr>
          <w:rFonts w:ascii="ITC Avant Garde" w:hAnsi="ITC Avant Garde"/>
          <w:b/>
          <w:color w:val="000000"/>
        </w:rPr>
        <w:t xml:space="preserve">NOVENO. </w:t>
      </w:r>
      <w:r w:rsidR="00C56DF0" w:rsidRPr="00787FA1">
        <w:rPr>
          <w:rFonts w:ascii="ITC Avant Garde" w:hAnsi="ITC Avant Garde"/>
          <w:color w:val="000000"/>
        </w:rPr>
        <w:t xml:space="preserve">El término concedido al </w:t>
      </w:r>
      <w:r w:rsidR="00A37BF8" w:rsidRPr="00787FA1">
        <w:rPr>
          <w:rFonts w:ascii="ITC Avant Garde" w:hAnsi="ITC Avant Garde"/>
          <w:b/>
        </w:rPr>
        <w:t xml:space="preserve">“PRESUNTO </w:t>
      </w:r>
      <w:r w:rsidR="00A37BF8">
        <w:rPr>
          <w:rFonts w:ascii="ITC Avant Garde" w:hAnsi="ITC Avant Garde"/>
          <w:b/>
        </w:rPr>
        <w:t>RESPONSABLE</w:t>
      </w:r>
      <w:r w:rsidR="00A37BF8" w:rsidRPr="00787FA1">
        <w:rPr>
          <w:rFonts w:ascii="ITC Avant Garde" w:hAnsi="ITC Avant Garde"/>
          <w:b/>
        </w:rPr>
        <w:t>”</w:t>
      </w:r>
      <w:r w:rsidR="00A37BF8">
        <w:rPr>
          <w:rFonts w:ascii="ITC Avant Garde" w:hAnsi="ITC Avant Garde"/>
          <w:b/>
        </w:rPr>
        <w:t xml:space="preserve"> </w:t>
      </w:r>
      <w:r w:rsidR="00C56DF0" w:rsidRPr="00787FA1">
        <w:rPr>
          <w:rFonts w:ascii="ITC Avant Garde" w:hAnsi="ITC Avant Garde"/>
          <w:color w:val="000000"/>
        </w:rPr>
        <w:t xml:space="preserve">para presentar sus alegatos </w:t>
      </w:r>
      <w:r w:rsidR="00C62CDD" w:rsidRPr="00787FA1">
        <w:rPr>
          <w:rFonts w:ascii="ITC Avant Garde" w:hAnsi="ITC Avant Garde"/>
          <w:color w:val="000000"/>
        </w:rPr>
        <w:t xml:space="preserve">transcurrió </w:t>
      </w:r>
      <w:r w:rsidR="00C56DF0" w:rsidRPr="00787FA1">
        <w:rPr>
          <w:rFonts w:ascii="ITC Avant Garde" w:hAnsi="ITC Avant Garde"/>
          <w:color w:val="000000"/>
        </w:rPr>
        <w:t xml:space="preserve">del </w:t>
      </w:r>
      <w:r w:rsidR="00813F89" w:rsidRPr="00787FA1">
        <w:rPr>
          <w:rFonts w:ascii="ITC Avant Garde" w:hAnsi="ITC Avant Garde"/>
          <w:color w:val="000000"/>
        </w:rPr>
        <w:t xml:space="preserve">veintinueve de abril al trece de mayo </w:t>
      </w:r>
      <w:r w:rsidR="009245AD" w:rsidRPr="00787FA1">
        <w:rPr>
          <w:rFonts w:ascii="ITC Avant Garde" w:eastAsia="Times New Roman" w:hAnsi="ITC Avant Garde"/>
          <w:bCs/>
          <w:color w:val="000000"/>
          <w:lang w:eastAsia="es-MX"/>
        </w:rPr>
        <w:t>de dos mil dieciséis</w:t>
      </w:r>
      <w:r w:rsidRPr="00787FA1">
        <w:rPr>
          <w:rFonts w:ascii="ITC Avant Garde" w:eastAsia="Times New Roman" w:hAnsi="ITC Avant Garde"/>
          <w:bCs/>
        </w:rPr>
        <w:t xml:space="preserve">, </w:t>
      </w:r>
      <w:r w:rsidR="00813F89" w:rsidRPr="00787FA1">
        <w:rPr>
          <w:rFonts w:ascii="ITC Avant Garde" w:eastAsia="Times New Roman" w:hAnsi="ITC Avant Garde"/>
          <w:bCs/>
          <w:color w:val="000000"/>
          <w:lang w:eastAsia="es-MX"/>
        </w:rPr>
        <w:t xml:space="preserve">lo anterior </w:t>
      </w:r>
      <w:r w:rsidRPr="00787FA1">
        <w:rPr>
          <w:rFonts w:ascii="ITC Avant Garde" w:eastAsia="Times New Roman" w:hAnsi="ITC Avant Garde"/>
          <w:bCs/>
          <w:color w:val="000000"/>
          <w:lang w:eastAsia="es-MX"/>
        </w:rPr>
        <w:t xml:space="preserve">sin considerar los días </w:t>
      </w:r>
      <w:r w:rsidR="00813F89" w:rsidRPr="00787FA1">
        <w:rPr>
          <w:rFonts w:ascii="ITC Avant Garde" w:eastAsia="Times New Roman" w:hAnsi="ITC Avant Garde"/>
          <w:bCs/>
          <w:color w:val="000000"/>
          <w:lang w:eastAsia="es-MX"/>
        </w:rPr>
        <w:t xml:space="preserve">treinta de abril y uno, siete y ocho de mayo </w:t>
      </w:r>
      <w:r w:rsidRPr="00787FA1">
        <w:rPr>
          <w:rFonts w:ascii="ITC Avant Garde" w:eastAsia="Times New Roman" w:hAnsi="ITC Avant Garde"/>
          <w:bCs/>
          <w:color w:val="000000"/>
          <w:lang w:eastAsia="es-MX"/>
        </w:rPr>
        <w:t xml:space="preserve">por ser sábados, domingos en términos del artículo 28 de la </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LFPA</w:t>
      </w:r>
      <w:r w:rsidR="00813F89" w:rsidRPr="00787FA1">
        <w:rPr>
          <w:rFonts w:ascii="ITC Avant Garde" w:eastAsia="Times New Roman" w:hAnsi="ITC Avant Garde"/>
          <w:b/>
          <w:bCs/>
          <w:color w:val="000000"/>
          <w:lang w:eastAsia="es-MX"/>
        </w:rPr>
        <w:t>”</w:t>
      </w:r>
      <w:r w:rsidR="00813F89" w:rsidRPr="00787FA1">
        <w:rPr>
          <w:rFonts w:ascii="ITC Avant Garde" w:eastAsia="Times New Roman" w:hAnsi="ITC Avant Garde"/>
          <w:bCs/>
          <w:color w:val="000000"/>
          <w:lang w:eastAsia="es-MX"/>
        </w:rPr>
        <w:t xml:space="preserve"> y el cinco de mayo por haber sido declarado inhábil</w:t>
      </w:r>
      <w:r w:rsidRPr="00787FA1">
        <w:rPr>
          <w:rFonts w:ascii="ITC Avant Garde" w:eastAsia="Times New Roman" w:hAnsi="ITC Avant Garde"/>
          <w:bCs/>
          <w:color w:val="000000"/>
          <w:lang w:eastAsia="es-MX"/>
        </w:rPr>
        <w:t>.</w:t>
      </w:r>
      <w:r w:rsidR="00813F89" w:rsidRPr="00787FA1">
        <w:rPr>
          <w:rStyle w:val="Refdenotaalpie"/>
          <w:rFonts w:ascii="ITC Avant Garde" w:eastAsia="Times New Roman" w:hAnsi="ITC Avant Garde"/>
          <w:bCs/>
          <w:color w:val="000000"/>
          <w:lang w:eastAsia="es-MX"/>
        </w:rPr>
        <w:footnoteReference w:id="3"/>
      </w:r>
      <w:r w:rsidRPr="00787FA1">
        <w:rPr>
          <w:rFonts w:ascii="ITC Avant Garde" w:eastAsia="Times New Roman" w:hAnsi="ITC Avant Garde"/>
          <w:bCs/>
          <w:color w:val="000000"/>
          <w:lang w:eastAsia="es-MX"/>
        </w:rPr>
        <w:t xml:space="preserve"> </w:t>
      </w:r>
    </w:p>
    <w:p w:rsidR="00B13C06" w:rsidRPr="00787FA1" w:rsidRDefault="00813F89" w:rsidP="00A84011">
      <w:pPr>
        <w:pStyle w:val="Textoindependiente"/>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
          <w:bCs/>
        </w:rPr>
        <w:t xml:space="preserve">DÉCIMO. </w:t>
      </w:r>
      <w:r w:rsidRPr="00787FA1">
        <w:rPr>
          <w:rFonts w:ascii="ITC Avant Garde" w:eastAsia="Times New Roman" w:hAnsi="ITC Avant Garde"/>
          <w:bCs/>
        </w:rPr>
        <w:t>D</w:t>
      </w:r>
      <w:r w:rsidR="00C56DF0" w:rsidRPr="00787FA1">
        <w:rPr>
          <w:rFonts w:ascii="ITC Avant Garde" w:eastAsia="Times New Roman" w:hAnsi="ITC Avant Garde"/>
          <w:bCs/>
          <w:color w:val="000000"/>
          <w:lang w:eastAsia="es-MX"/>
        </w:rPr>
        <w:t xml:space="preserve">e las </w:t>
      </w:r>
      <w:r w:rsidR="00C56DF0" w:rsidRPr="00DC20BA">
        <w:rPr>
          <w:rFonts w:ascii="ITC Avant Garde" w:eastAsia="Times New Roman" w:hAnsi="ITC Avant Garde"/>
          <w:bCs/>
          <w:color w:val="000000"/>
          <w:lang w:eastAsia="es-MX"/>
        </w:rPr>
        <w:t xml:space="preserve">constancias que forman el presente expediente se </w:t>
      </w:r>
      <w:r w:rsidR="00C62CDD" w:rsidRPr="00DC20BA">
        <w:rPr>
          <w:rFonts w:ascii="ITC Avant Garde" w:eastAsia="Times New Roman" w:hAnsi="ITC Avant Garde"/>
          <w:bCs/>
          <w:color w:val="000000"/>
          <w:lang w:eastAsia="es-MX"/>
        </w:rPr>
        <w:t xml:space="preserve">advierte </w:t>
      </w:r>
      <w:r w:rsidR="00C56DF0" w:rsidRPr="00DC20BA">
        <w:rPr>
          <w:rFonts w:ascii="ITC Avant Garde" w:eastAsia="Times New Roman" w:hAnsi="ITC Avant Garde"/>
          <w:bCs/>
          <w:color w:val="000000"/>
          <w:lang w:eastAsia="es-MX"/>
        </w:rPr>
        <w:t>que</w:t>
      </w:r>
      <w:r w:rsidR="00C56DF0" w:rsidRPr="00DC20BA">
        <w:rPr>
          <w:rFonts w:ascii="ITC Avant Garde" w:hAnsi="ITC Avant Garde"/>
        </w:rPr>
        <w:t xml:space="preserve"> </w:t>
      </w:r>
      <w:r w:rsidRPr="00DC20BA">
        <w:rPr>
          <w:rFonts w:ascii="ITC Avant Garde" w:hAnsi="ITC Avant Garde"/>
        </w:rPr>
        <w:t xml:space="preserve">el </w:t>
      </w:r>
      <w:r w:rsidR="00A37BF8" w:rsidRPr="00DC20BA">
        <w:rPr>
          <w:rFonts w:ascii="ITC Avant Garde" w:hAnsi="ITC Avant Garde"/>
          <w:b/>
        </w:rPr>
        <w:t xml:space="preserve">“PRESUNTO RESPONSABLE” </w:t>
      </w:r>
      <w:r w:rsidR="00C56DF0" w:rsidRPr="00DC20BA">
        <w:rPr>
          <w:rFonts w:ascii="ITC Avant Garde" w:hAnsi="ITC Avant Garde"/>
        </w:rPr>
        <w:t>no</w:t>
      </w:r>
      <w:r w:rsidR="00C56DF0" w:rsidRPr="00DC20BA">
        <w:rPr>
          <w:rFonts w:ascii="ITC Avant Garde" w:hAnsi="ITC Avant Garde"/>
          <w:b/>
        </w:rPr>
        <w:t xml:space="preserve"> </w:t>
      </w:r>
      <w:r w:rsidR="00C56DF0" w:rsidRPr="00DC20BA">
        <w:rPr>
          <w:rFonts w:ascii="ITC Avant Garde" w:eastAsia="Times New Roman" w:hAnsi="ITC Avant Garde"/>
          <w:bCs/>
          <w:color w:val="000000"/>
          <w:lang w:eastAsia="es-MX"/>
        </w:rPr>
        <w:t xml:space="preserve">presentó sus alegatos, por lo que mediante acuerdo de </w:t>
      </w:r>
      <w:r w:rsidRPr="00DC20BA">
        <w:rPr>
          <w:rFonts w:ascii="ITC Avant Garde" w:eastAsia="Times New Roman" w:hAnsi="ITC Avant Garde"/>
          <w:bCs/>
          <w:color w:val="000000"/>
          <w:lang w:eastAsia="es-MX"/>
        </w:rPr>
        <w:t xml:space="preserve">dieciséis </w:t>
      </w:r>
      <w:r w:rsidR="009245AD" w:rsidRPr="00DC20BA">
        <w:rPr>
          <w:rFonts w:ascii="ITC Avant Garde" w:eastAsia="Times New Roman" w:hAnsi="ITC Avant Garde"/>
          <w:bCs/>
          <w:color w:val="000000"/>
          <w:lang w:eastAsia="es-MX"/>
        </w:rPr>
        <w:t xml:space="preserve">de </w:t>
      </w:r>
      <w:r w:rsidRPr="00DC20BA">
        <w:rPr>
          <w:rFonts w:ascii="ITC Avant Garde" w:eastAsia="Times New Roman" w:hAnsi="ITC Avant Garde"/>
          <w:bCs/>
          <w:color w:val="000000"/>
          <w:lang w:eastAsia="es-MX"/>
        </w:rPr>
        <w:t xml:space="preserve">mayo </w:t>
      </w:r>
      <w:r w:rsidR="009245AD" w:rsidRPr="00DC20BA">
        <w:rPr>
          <w:rFonts w:ascii="ITC Avant Garde" w:eastAsia="Times New Roman" w:hAnsi="ITC Avant Garde"/>
          <w:bCs/>
          <w:color w:val="000000"/>
          <w:lang w:eastAsia="es-MX"/>
        </w:rPr>
        <w:t>de dos mil dieciséis</w:t>
      </w:r>
      <w:r w:rsidR="00C56DF0" w:rsidRPr="00DC20BA">
        <w:rPr>
          <w:rFonts w:ascii="ITC Avant Garde" w:eastAsia="Times New Roman" w:hAnsi="ITC Avant Garde"/>
          <w:bCs/>
          <w:color w:val="000000"/>
          <w:lang w:eastAsia="es-MX"/>
        </w:rPr>
        <w:t xml:space="preserve">, </w:t>
      </w:r>
      <w:r w:rsidR="00B13C06" w:rsidRPr="00DC20BA">
        <w:rPr>
          <w:rFonts w:ascii="ITC Avant Garde" w:eastAsia="Times New Roman" w:hAnsi="ITC Avant Garde"/>
          <w:bCs/>
          <w:color w:val="000000"/>
          <w:lang w:eastAsia="es-MX"/>
        </w:rPr>
        <w:t xml:space="preserve">publicado en la lista diaria de notificaciones en la página del </w:t>
      </w:r>
      <w:r w:rsidRPr="00DC20BA">
        <w:rPr>
          <w:rFonts w:ascii="ITC Avant Garde" w:eastAsia="Times New Roman" w:hAnsi="ITC Avant Garde"/>
          <w:bCs/>
          <w:color w:val="000000"/>
          <w:lang w:eastAsia="es-MX"/>
        </w:rPr>
        <w:t>“</w:t>
      </w:r>
      <w:r w:rsidR="00B13C06" w:rsidRPr="00DC20BA">
        <w:rPr>
          <w:rFonts w:ascii="ITC Avant Garde" w:eastAsia="Times New Roman" w:hAnsi="ITC Avant Garde"/>
          <w:b/>
          <w:bCs/>
          <w:color w:val="000000"/>
          <w:lang w:eastAsia="es-MX"/>
        </w:rPr>
        <w:t>Instituto</w:t>
      </w:r>
      <w:r w:rsidRPr="00DC20BA">
        <w:rPr>
          <w:rFonts w:ascii="ITC Avant Garde" w:eastAsia="Times New Roman" w:hAnsi="ITC Avant Garde"/>
          <w:b/>
          <w:bCs/>
          <w:color w:val="000000"/>
          <w:lang w:eastAsia="es-MX"/>
        </w:rPr>
        <w:t>”</w:t>
      </w:r>
      <w:r w:rsidR="00B13C06" w:rsidRPr="00DC20BA">
        <w:rPr>
          <w:rFonts w:ascii="ITC Avant Garde" w:eastAsia="Times New Roman" w:hAnsi="ITC Avant Garde"/>
          <w:bCs/>
          <w:color w:val="000000"/>
          <w:lang w:eastAsia="es-MX"/>
        </w:rPr>
        <w:t xml:space="preserve"> </w:t>
      </w:r>
      <w:r w:rsidR="00C62CDD" w:rsidRPr="00DC20BA">
        <w:rPr>
          <w:rFonts w:ascii="ITC Avant Garde" w:eastAsia="Times New Roman" w:hAnsi="ITC Avant Garde"/>
          <w:bCs/>
          <w:color w:val="000000"/>
          <w:lang w:eastAsia="es-MX"/>
        </w:rPr>
        <w:t xml:space="preserve">el </w:t>
      </w:r>
      <w:r w:rsidRPr="00DC20BA">
        <w:rPr>
          <w:rFonts w:ascii="ITC Avant Garde" w:eastAsia="Times New Roman" w:hAnsi="ITC Avant Garde"/>
          <w:bCs/>
          <w:color w:val="000000"/>
          <w:lang w:eastAsia="es-MX"/>
        </w:rPr>
        <w:t>mismo día de su emisión</w:t>
      </w:r>
      <w:r w:rsidR="00C62CDD" w:rsidRPr="00DC20BA">
        <w:rPr>
          <w:rFonts w:ascii="ITC Avant Garde" w:eastAsia="Times New Roman" w:hAnsi="ITC Avant Garde"/>
          <w:bCs/>
          <w:color w:val="000000"/>
          <w:lang w:eastAsia="es-MX"/>
        </w:rPr>
        <w:t>,</w:t>
      </w:r>
      <w:r w:rsidR="00C56DF0" w:rsidRPr="00DC20BA">
        <w:rPr>
          <w:rFonts w:ascii="ITC Avant Garde" w:eastAsia="Times New Roman" w:hAnsi="ITC Avant Garde"/>
          <w:bCs/>
          <w:color w:val="000000"/>
          <w:lang w:eastAsia="es-MX"/>
        </w:rPr>
        <w:t xml:space="preserve"> se tuvo por </w:t>
      </w:r>
      <w:r w:rsidR="00C56DF0" w:rsidRPr="00DC20BA">
        <w:rPr>
          <w:rFonts w:ascii="ITC Avant Garde" w:eastAsia="Times New Roman" w:hAnsi="ITC Avant Garde"/>
          <w:bCs/>
          <w:color w:val="000000"/>
          <w:lang w:eastAsia="es-MX"/>
        </w:rPr>
        <w:lastRenderedPageBreak/>
        <w:t>perdido su derecho para ello</w:t>
      </w:r>
      <w:r w:rsidR="00B13C06" w:rsidRPr="00DC20BA">
        <w:rPr>
          <w:rFonts w:ascii="ITC Avant Garde" w:eastAsia="Times New Roman" w:hAnsi="ITC Avant Garde"/>
          <w:bCs/>
          <w:color w:val="000000"/>
        </w:rPr>
        <w:t xml:space="preserve"> </w:t>
      </w:r>
      <w:r w:rsidR="00B13C06" w:rsidRPr="00DC20BA">
        <w:rPr>
          <w:rFonts w:ascii="ITC Avant Garde" w:eastAsia="Times New Roman" w:hAnsi="ITC Avant Garde"/>
          <w:bCs/>
          <w:color w:val="000000"/>
          <w:lang w:eastAsia="es-MX"/>
        </w:rPr>
        <w:t>y por lo tanto fue remitido</w:t>
      </w:r>
      <w:r w:rsidR="00B13C06" w:rsidRPr="00787FA1">
        <w:rPr>
          <w:rFonts w:ascii="ITC Avant Garde" w:eastAsia="Times New Roman" w:hAnsi="ITC Avant Garde"/>
          <w:bCs/>
          <w:color w:val="000000"/>
          <w:lang w:eastAsia="es-MX"/>
        </w:rPr>
        <w:t xml:space="preserve"> el presente expediente a este órgano colegiado para la emisión de la Resolución que conforme a derecho resulte procedente.</w:t>
      </w:r>
    </w:p>
    <w:p w:rsidR="003C1516" w:rsidRPr="00787FA1" w:rsidRDefault="003C1516" w:rsidP="00787FA1">
      <w:pPr>
        <w:spacing w:after="0" w:line="360" w:lineRule="auto"/>
        <w:jc w:val="both"/>
        <w:rPr>
          <w:rFonts w:ascii="ITC Avant Garde" w:eastAsia="Times New Roman" w:hAnsi="ITC Avant Garde"/>
          <w:b/>
          <w:bCs/>
          <w:color w:val="000000"/>
          <w:lang w:eastAsia="es-MX"/>
        </w:rPr>
      </w:pPr>
    </w:p>
    <w:p w:rsidR="00E27391" w:rsidRPr="00A84011" w:rsidRDefault="00E27391" w:rsidP="00A84011">
      <w:pPr>
        <w:pStyle w:val="Ttulo2"/>
        <w:jc w:val="center"/>
        <w:rPr>
          <w:rFonts w:ascii="ITC Avant Garde" w:hAnsi="ITC Avant Garde"/>
          <w:b/>
          <w:bCs/>
          <w:color w:val="000000"/>
          <w:sz w:val="22"/>
          <w:szCs w:val="22"/>
          <w:lang w:eastAsia="es-MX"/>
        </w:rPr>
      </w:pPr>
      <w:r w:rsidRPr="00A84011">
        <w:rPr>
          <w:rFonts w:ascii="ITC Avant Garde" w:hAnsi="ITC Avant Garde"/>
          <w:b/>
          <w:bCs/>
          <w:color w:val="000000"/>
          <w:sz w:val="22"/>
          <w:szCs w:val="22"/>
          <w:lang w:eastAsia="es-MX"/>
        </w:rPr>
        <w:t>CONSIDERANDO</w:t>
      </w:r>
    </w:p>
    <w:p w:rsidR="0011578D" w:rsidRPr="00787FA1" w:rsidRDefault="00E27391" w:rsidP="00A84011">
      <w:pPr>
        <w:pStyle w:val="Textoindependiente"/>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
          <w:bCs/>
          <w:color w:val="000000"/>
          <w:lang w:eastAsia="es-MX"/>
        </w:rPr>
        <w:t xml:space="preserve">PRIMERO. </w:t>
      </w:r>
      <w:r w:rsidRPr="00787FA1">
        <w:rPr>
          <w:rFonts w:ascii="ITC Avant Garde" w:eastAsia="Times New Roman" w:hAnsi="ITC Avant Garde"/>
          <w:b/>
          <w:bCs/>
          <w:smallCaps/>
          <w:color w:val="000000"/>
          <w:lang w:eastAsia="es-MX"/>
        </w:rPr>
        <w:t>Competencia</w:t>
      </w:r>
      <w:r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w:t>
      </w:r>
    </w:p>
    <w:p w:rsidR="00B13C06" w:rsidRDefault="00B13C06" w:rsidP="00A84011">
      <w:pPr>
        <w:pStyle w:val="Textoindependiente"/>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El Pleno del Instituto es competente para conocer y resolver el presente procedimiento administrativo de imposición de sanción y declarar la pérdida de bienes, instalaciones y equipos en beneficio de la Nación, con fundamento en los artículos 14,  16 y 28, párrafos, décimo quinto, décimo sexto y vigésimo, fracción I de la </w:t>
      </w:r>
      <w:r w:rsidRPr="00787FA1">
        <w:rPr>
          <w:rFonts w:ascii="ITC Avant Garde" w:eastAsia="Times New Roman" w:hAnsi="ITC Avant Garde"/>
          <w:b/>
          <w:bCs/>
          <w:color w:val="000000"/>
          <w:lang w:eastAsia="es-MX"/>
        </w:rPr>
        <w:t>“CPEUM”</w:t>
      </w:r>
      <w:r w:rsidRPr="00787FA1">
        <w:rPr>
          <w:rFonts w:ascii="ITC Avant Garde" w:eastAsia="Times New Roman" w:hAnsi="ITC Avant Garde"/>
          <w:bCs/>
          <w:color w:val="000000"/>
          <w:lang w:eastAsia="es-MX"/>
        </w:rPr>
        <w:t>;</w:t>
      </w:r>
      <w:r w:rsidRPr="00787FA1">
        <w:rPr>
          <w:rFonts w:ascii="ITC Avant Garde" w:eastAsia="Times New Roman" w:hAnsi="ITC Avant Garde"/>
          <w:b/>
          <w:bCs/>
          <w:color w:val="000000"/>
          <w:lang w:eastAsia="es-MX"/>
        </w:rPr>
        <w:t xml:space="preserve"> </w:t>
      </w:r>
      <w:r w:rsidRPr="00787FA1">
        <w:rPr>
          <w:rFonts w:ascii="ITC Avant Garde" w:eastAsia="Times New Roman" w:hAnsi="ITC Avant Garde"/>
          <w:bCs/>
          <w:color w:val="000000"/>
          <w:lang w:eastAsia="es-MX"/>
        </w:rPr>
        <w:t>1, 2, 6, fracciones II, IV y VII, 7, 15, fracción XXX, 17, penúltimo y último párrafos</w:t>
      </w:r>
      <w:r w:rsidR="00813F89" w:rsidRPr="00787FA1">
        <w:rPr>
          <w:rFonts w:ascii="ITC Avant Garde" w:eastAsia="Times New Roman" w:hAnsi="ITC Avant Garde"/>
          <w:bCs/>
          <w:color w:val="000000"/>
          <w:lang w:eastAsia="es-MX"/>
        </w:rPr>
        <w:t xml:space="preserve">, 66, 75, 297, primer párrafo, </w:t>
      </w:r>
      <w:r w:rsidRPr="00787FA1">
        <w:rPr>
          <w:rFonts w:ascii="ITC Avant Garde" w:eastAsia="Times New Roman" w:hAnsi="ITC Avant Garde"/>
          <w:bCs/>
          <w:color w:val="000000"/>
          <w:lang w:eastAsia="es-MX"/>
        </w:rPr>
        <w:t xml:space="preserve">298, inciso E), fracción I, y 305 de la </w:t>
      </w:r>
      <w:r w:rsidR="00813F89"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523 y 524 de la Ley de Vías Generales de Comunicación (</w:t>
      </w:r>
      <w:r w:rsidRPr="00787FA1">
        <w:rPr>
          <w:rFonts w:ascii="ITC Avant Garde" w:eastAsia="Times New Roman" w:hAnsi="ITC Avant Garde"/>
          <w:b/>
          <w:bCs/>
          <w:color w:val="000000"/>
          <w:lang w:eastAsia="es-MX"/>
        </w:rPr>
        <w:t>“LVGC”</w:t>
      </w:r>
      <w:r w:rsidRPr="00787FA1">
        <w:rPr>
          <w:rFonts w:ascii="ITC Avant Garde" w:eastAsia="Times New Roman" w:hAnsi="ITC Avant Garde"/>
          <w:bCs/>
          <w:color w:val="000000"/>
          <w:lang w:eastAsia="es-MX"/>
        </w:rPr>
        <w:t>)</w:t>
      </w:r>
      <w:r w:rsidR="00804AFF" w:rsidRPr="00787FA1">
        <w:rPr>
          <w:rFonts w:ascii="ITC Avant Garde" w:eastAsia="Times New Roman" w:hAnsi="ITC Avant Garde"/>
          <w:bCs/>
          <w:color w:val="000000"/>
          <w:lang w:eastAsia="es-MX"/>
        </w:rPr>
        <w:t>;</w:t>
      </w:r>
      <w:r w:rsidRPr="00787FA1">
        <w:rPr>
          <w:rFonts w:ascii="ITC Avant Garde" w:eastAsia="Times New Roman" w:hAnsi="ITC Avant Garde"/>
          <w:bCs/>
          <w:color w:val="000000"/>
          <w:lang w:eastAsia="es-MX"/>
        </w:rPr>
        <w:t xml:space="preserve"> 3, 8, 9, 12, 13, 14, 16 fracción X,  28, 49, 50, 59, 70, fracciones II y VI, 72, 73, 74 y 75 de la </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LFPA</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y 1, 4, fracción I y 6, fracción XVII, del Estatuto Orgánico del Instituto Federal de Telecomunicaciones (</w:t>
      </w:r>
      <w:r w:rsidRPr="00787FA1">
        <w:rPr>
          <w:rFonts w:ascii="ITC Avant Garde" w:eastAsia="Times New Roman" w:hAnsi="ITC Avant Garde"/>
          <w:b/>
          <w:bCs/>
          <w:color w:val="000000"/>
          <w:lang w:eastAsia="es-MX"/>
        </w:rPr>
        <w:t>“ESTATUTO”</w:t>
      </w:r>
      <w:r w:rsidRPr="00787FA1">
        <w:rPr>
          <w:rFonts w:ascii="ITC Avant Garde" w:eastAsia="Times New Roman" w:hAnsi="ITC Avant Garde"/>
          <w:bCs/>
          <w:color w:val="000000"/>
          <w:lang w:eastAsia="es-MX"/>
        </w:rPr>
        <w:t>).</w:t>
      </w:r>
    </w:p>
    <w:p w:rsidR="008D6615" w:rsidRPr="00787FA1" w:rsidRDefault="008D6615" w:rsidP="00A84011">
      <w:pPr>
        <w:pStyle w:val="Textoindependiente"/>
        <w:spacing w:before="240" w:after="0" w:line="360" w:lineRule="auto"/>
        <w:jc w:val="both"/>
        <w:rPr>
          <w:rFonts w:ascii="ITC Avant Garde" w:eastAsia="Times New Roman" w:hAnsi="ITC Avant Garde"/>
          <w:b/>
          <w:bCs/>
          <w:smallCaps/>
          <w:color w:val="000000"/>
          <w:lang w:eastAsia="es-MX"/>
        </w:rPr>
      </w:pPr>
      <w:r w:rsidRPr="00787FA1">
        <w:rPr>
          <w:rFonts w:ascii="ITC Avant Garde" w:eastAsia="Times New Roman" w:hAnsi="ITC Avant Garde"/>
          <w:b/>
          <w:bCs/>
          <w:color w:val="000000"/>
          <w:lang w:eastAsia="es-MX"/>
        </w:rPr>
        <w:t xml:space="preserve">SEGUNDO. </w:t>
      </w:r>
      <w:r w:rsidR="00AB2612" w:rsidRPr="00787FA1">
        <w:rPr>
          <w:rFonts w:ascii="ITC Avant Garde" w:eastAsia="Times New Roman" w:hAnsi="ITC Avant Garde"/>
          <w:b/>
          <w:bCs/>
          <w:smallCaps/>
          <w:color w:val="000000"/>
          <w:lang w:eastAsia="es-MX"/>
        </w:rPr>
        <w:t>Consideración previa</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La Soberanía del Estado sobre el </w:t>
      </w:r>
      <w:r w:rsidRPr="00787FA1">
        <w:rPr>
          <w:rFonts w:ascii="ITC Avant Garde" w:hAnsi="ITC Avant Garde"/>
        </w:rPr>
        <w:t>espacio aéreo situado sobre el territorio nacional, que es el medio en que se propagan las señales de audio o de audio y video asociados mediante la instalación, funcionamiento y operación de estaciones de radio y televisión,</w:t>
      </w:r>
      <w:r w:rsidRPr="00787FA1">
        <w:rPr>
          <w:rFonts w:ascii="ITC Avant Garde" w:eastAsia="Times New Roman" w:hAnsi="ITC Avant Garde"/>
          <w:bCs/>
          <w:color w:val="000000"/>
          <w:lang w:eastAsia="es-MX"/>
        </w:rPr>
        <w:t xml:space="preserve"> se ejerce observando lo dispuesto en los artículos 27 párrafos cuarto y sexto y 28 de la </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CPEUM</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los cuales prevén que el dominio de la Nación sobre el espectro radioeléctrico es inalienable e imprescriptible y que la explotación, uso o aprovechamiento de dicho recurso por los particulares o por sociedades debidamente constituidas conforme a las leyes mexicanas, sólo puede realizarse mediante títulos de concesión otorgados por el </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IFT</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de acuerdo con las reglas y condiciones que establezca la normatividad aplicable en la materia.</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lastRenderedPageBreak/>
        <w:t xml:space="preserve">Asimismo, de conformidad con lo establecido en el artículo 28, párrafos décimo quinto y décimo sexto de la </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CPEUM</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el </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IFT</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rsidR="002047A2" w:rsidRPr="00787FA1" w:rsidRDefault="00F30303"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Conforme a</w:t>
      </w:r>
      <w:r w:rsidR="002047A2" w:rsidRPr="00787FA1">
        <w:rPr>
          <w:rFonts w:ascii="ITC Avant Garde" w:eastAsia="Times New Roman" w:hAnsi="ITC Avant Garde"/>
          <w:bCs/>
          <w:color w:val="000000"/>
          <w:lang w:eastAsia="es-MX"/>
        </w:rPr>
        <w:t xml:space="preserve"> lo anterior, el </w:t>
      </w:r>
      <w:r w:rsidR="00813F89" w:rsidRPr="00787FA1">
        <w:rPr>
          <w:rFonts w:ascii="ITC Avant Garde" w:eastAsia="Times New Roman" w:hAnsi="ITC Avant Garde"/>
          <w:b/>
          <w:bCs/>
          <w:color w:val="000000"/>
          <w:lang w:eastAsia="es-MX"/>
        </w:rPr>
        <w:t>“</w:t>
      </w:r>
      <w:r w:rsidR="002047A2" w:rsidRPr="00787FA1">
        <w:rPr>
          <w:rFonts w:ascii="ITC Avant Garde" w:eastAsia="Times New Roman" w:hAnsi="ITC Avant Garde"/>
          <w:b/>
          <w:bCs/>
          <w:color w:val="000000"/>
          <w:lang w:eastAsia="es-MX"/>
        </w:rPr>
        <w:t>IFT</w:t>
      </w:r>
      <w:r w:rsidR="00813F89" w:rsidRPr="00787FA1">
        <w:rPr>
          <w:rFonts w:ascii="ITC Avant Garde" w:eastAsia="Times New Roman" w:hAnsi="ITC Avant Garde"/>
          <w:b/>
          <w:bCs/>
          <w:color w:val="000000"/>
          <w:lang w:eastAsia="es-MX"/>
        </w:rPr>
        <w:t>”</w:t>
      </w:r>
      <w:r w:rsidR="002047A2" w:rsidRPr="00787FA1">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w:t>
      </w:r>
      <w:r w:rsidR="002047A2" w:rsidRPr="00787FA1">
        <w:rPr>
          <w:rFonts w:ascii="ITC Avant Garde" w:hAnsi="ITC Avant Garde"/>
        </w:rPr>
        <w:t xml:space="preserve"> </w:t>
      </w:r>
      <w:r w:rsidR="002047A2" w:rsidRPr="00787FA1">
        <w:rPr>
          <w:rFonts w:ascii="ITC Avant Garde" w:eastAsia="Times New Roman" w:hAnsi="ITC Avant Garde"/>
          <w:bCs/>
          <w:color w:val="000000"/>
          <w:lang w:eastAsia="es-MX"/>
        </w:rPr>
        <w:t>dedicadas al servicio público de radiodifusión como vehículo de información y de expresión, a fin de asegurar que se realice de conformidad con las disposiciones jurídicas aplicables.</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Bajo esas consideraciones, el ejercicio de las facultades de supervisión y verificación por parte del </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IFT</w:t>
      </w:r>
      <w:r w:rsidR="00813F8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rsidR="00B13C06" w:rsidRPr="00787FA1" w:rsidRDefault="002047A2" w:rsidP="00A84011">
      <w:pPr>
        <w:pStyle w:val="Textoindependiente"/>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En ese sentido, la Unidad de Cumplimiento, previo procedimiento administrativo seguido al efecto, propuso a este Pleno </w:t>
      </w:r>
      <w:r w:rsidR="00B13C06" w:rsidRPr="00787FA1">
        <w:rPr>
          <w:rFonts w:ascii="ITC Avant Garde" w:eastAsia="Times New Roman" w:hAnsi="ITC Avant Garde"/>
          <w:bCs/>
          <w:color w:val="000000"/>
          <w:lang w:eastAsia="es-MX"/>
        </w:rPr>
        <w:t xml:space="preserve">resolver sobre la </w:t>
      </w:r>
      <w:r w:rsidRPr="00787FA1">
        <w:rPr>
          <w:rFonts w:ascii="ITC Avant Garde" w:eastAsia="Times New Roman" w:hAnsi="ITC Avant Garde"/>
          <w:bCs/>
          <w:color w:val="000000"/>
          <w:lang w:eastAsia="es-MX"/>
        </w:rPr>
        <w:t>declaratoria de pérdida de bienes en beneficio de la Nación, en contra</w:t>
      </w:r>
      <w:r w:rsidRPr="00787FA1">
        <w:rPr>
          <w:rFonts w:ascii="ITC Avant Garde" w:hAnsi="ITC Avant Garde" w:cs="Arial"/>
        </w:rPr>
        <w:t xml:space="preserve"> de</w:t>
      </w:r>
      <w:r w:rsidRPr="00787FA1">
        <w:rPr>
          <w:rFonts w:ascii="ITC Avant Garde" w:eastAsia="Times New Roman" w:hAnsi="ITC Avant Garde"/>
          <w:bCs/>
          <w:lang w:eastAsia="es-MX"/>
        </w:rPr>
        <w:t xml:space="preserve">l </w:t>
      </w:r>
      <w:r w:rsidR="006D5E5D" w:rsidRPr="00787FA1">
        <w:rPr>
          <w:rFonts w:ascii="ITC Avant Garde" w:eastAsia="Times New Roman" w:hAnsi="ITC Avant Garde"/>
          <w:b/>
          <w:bCs/>
          <w:lang w:eastAsia="es-MX"/>
        </w:rPr>
        <w:t>“</w:t>
      </w:r>
      <w:r w:rsidR="00B13C06" w:rsidRPr="00787FA1">
        <w:rPr>
          <w:rFonts w:ascii="ITC Avant Garde" w:hAnsi="ITC Avant Garde"/>
          <w:b/>
        </w:rPr>
        <w:t xml:space="preserve">PRESUNTO </w:t>
      </w:r>
      <w:r w:rsidR="00581601">
        <w:rPr>
          <w:rFonts w:ascii="ITC Avant Garde" w:hAnsi="ITC Avant Garde"/>
          <w:b/>
        </w:rPr>
        <w:t>RESPONSABLE</w:t>
      </w:r>
      <w:r w:rsidR="006D5E5D" w:rsidRPr="00787FA1">
        <w:rPr>
          <w:rFonts w:ascii="ITC Avant Garde" w:hAnsi="ITC Avant Garde"/>
          <w:b/>
        </w:rPr>
        <w:t>”</w:t>
      </w:r>
      <w:r w:rsidR="00B13C06" w:rsidRPr="00787FA1">
        <w:rPr>
          <w:rFonts w:ascii="ITC Avant Garde" w:eastAsia="Times New Roman" w:hAnsi="ITC Avant Garde" w:cs="Arial"/>
          <w:i/>
          <w:lang w:eastAsia="es-MX"/>
        </w:rPr>
        <w:t>,</w:t>
      </w:r>
      <w:r w:rsidR="00B13C06" w:rsidRPr="00787FA1">
        <w:rPr>
          <w:rFonts w:ascii="ITC Avant Garde" w:eastAsia="Times New Roman" w:hAnsi="ITC Avant Garde"/>
          <w:bCs/>
          <w:kern w:val="32"/>
          <w:lang w:eastAsia="es-MX"/>
        </w:rPr>
        <w:t xml:space="preserve"> al considerar que </w:t>
      </w:r>
      <w:r w:rsidR="00B13C06" w:rsidRPr="00787FA1">
        <w:rPr>
          <w:rFonts w:ascii="ITC Avant Garde" w:eastAsia="Times New Roman" w:hAnsi="ITC Avant Garde"/>
          <w:bCs/>
          <w:color w:val="000000"/>
          <w:lang w:eastAsia="es-MX"/>
        </w:rPr>
        <w:t xml:space="preserve">se actualizó la hipótesis normativa prevista en el artículo 305 de la </w:t>
      </w:r>
      <w:r w:rsidR="006D5E5D" w:rsidRPr="00787FA1">
        <w:rPr>
          <w:rFonts w:ascii="ITC Avant Garde" w:eastAsia="Times New Roman" w:hAnsi="ITC Avant Garde"/>
          <w:bCs/>
          <w:color w:val="000000"/>
          <w:lang w:eastAsia="es-MX"/>
        </w:rPr>
        <w:t>“</w:t>
      </w:r>
      <w:proofErr w:type="spellStart"/>
      <w:r w:rsidR="00B13C06"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00B13C06" w:rsidRPr="00787FA1">
        <w:rPr>
          <w:rFonts w:ascii="ITC Avant Garde" w:eastAsia="Times New Roman" w:hAnsi="ITC Avant Garde"/>
          <w:bCs/>
          <w:color w:val="000000"/>
          <w:lang w:eastAsia="es-MX"/>
        </w:rPr>
        <w:t>.</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Ahora bien, para determinar la procedencia en la imposición de una sanción, la </w:t>
      </w:r>
      <w:r w:rsidR="006D5E5D"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aplicable en el caso en concreto, no sólo establece obligaciones para los </w:t>
      </w:r>
      <w:r w:rsidRPr="00787FA1">
        <w:rPr>
          <w:rFonts w:ascii="ITC Avant Garde" w:eastAsia="Times New Roman" w:hAnsi="ITC Avant Garde"/>
          <w:bCs/>
          <w:color w:val="000000"/>
          <w:lang w:eastAsia="es-MX"/>
        </w:rPr>
        <w:lastRenderedPageBreak/>
        <w:t>concesionarios y permisionarios y en general para cualquier persona, sino también señala supuestos de incumplimiento específicos y las consecuencias jurídicas a las que se harán acreedores en casos de infringir la normatividad en la materia.</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Es decir, al pretender imponer una sanción, esta autoridad debe analizar, minuciosamente, la conducta que se le imputa al </w:t>
      </w:r>
      <w:r w:rsidR="006D5E5D" w:rsidRPr="00787FA1">
        <w:rPr>
          <w:rFonts w:ascii="ITC Avant Garde" w:eastAsia="Times New Roman" w:hAnsi="ITC Avant Garde"/>
          <w:b/>
          <w:bCs/>
          <w:color w:val="000000"/>
          <w:lang w:eastAsia="es-MX"/>
        </w:rPr>
        <w:t>“</w:t>
      </w:r>
      <w:r w:rsidR="00B13C06" w:rsidRPr="00787FA1">
        <w:rPr>
          <w:rFonts w:ascii="ITC Avant Garde" w:eastAsia="Times New Roman" w:hAnsi="ITC Avant Garde"/>
          <w:b/>
          <w:bCs/>
          <w:color w:val="000000"/>
          <w:lang w:eastAsia="es-MX"/>
        </w:rPr>
        <w:t xml:space="preserve">PRESUNTO </w:t>
      </w:r>
      <w:r w:rsidR="00581601">
        <w:rPr>
          <w:rFonts w:ascii="ITC Avant Garde" w:hAnsi="ITC Avant Garde"/>
          <w:b/>
        </w:rPr>
        <w:t>RESPONSABLE</w:t>
      </w:r>
      <w:r w:rsidR="006D5E5D" w:rsidRPr="00787FA1">
        <w:rPr>
          <w:rFonts w:ascii="ITC Avant Garde" w:eastAsia="Times New Roman" w:hAnsi="ITC Avant Garde"/>
          <w:b/>
          <w:bCs/>
          <w:color w:val="000000"/>
          <w:lang w:eastAsia="es-MX"/>
        </w:rPr>
        <w:t>”</w:t>
      </w:r>
      <w:r w:rsidR="00B13C06" w:rsidRPr="00787FA1">
        <w:rPr>
          <w:rFonts w:ascii="ITC Avant Garde" w:eastAsia="Times New Roman" w:hAnsi="ITC Avant Garde"/>
          <w:bCs/>
          <w:color w:val="000000"/>
          <w:lang w:eastAsia="es-MX"/>
        </w:rPr>
        <w:t xml:space="preserve"> </w:t>
      </w:r>
      <w:r w:rsidRPr="00787FA1">
        <w:rPr>
          <w:rFonts w:ascii="ITC Avant Garde" w:eastAsia="Times New Roman" w:hAnsi="ITC Avant Garde"/>
          <w:bCs/>
          <w:color w:val="000000"/>
          <w:lang w:eastAsia="es-MX"/>
        </w:rPr>
        <w:t>y determinar si la misma es susceptible de ser sancionada en términos del precepto legal o normativo que se considera violado.</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787FA1">
        <w:rPr>
          <w:rFonts w:ascii="ITC Avant Garde" w:eastAsia="Times New Roman" w:hAnsi="ITC Avant Garde"/>
          <w:bCs/>
          <w:i/>
          <w:color w:val="000000"/>
          <w:lang w:eastAsia="es-MX"/>
        </w:rPr>
        <w:t>ius</w:t>
      </w:r>
      <w:proofErr w:type="spellEnd"/>
      <w:r w:rsidRPr="00787FA1">
        <w:rPr>
          <w:rFonts w:ascii="ITC Avant Garde" w:eastAsia="Times New Roman" w:hAnsi="ITC Avant Garde"/>
          <w:bCs/>
          <w:i/>
          <w:color w:val="000000"/>
          <w:lang w:eastAsia="es-MX"/>
        </w:rPr>
        <w:t xml:space="preserve"> </w:t>
      </w:r>
      <w:proofErr w:type="spellStart"/>
      <w:r w:rsidRPr="00787FA1">
        <w:rPr>
          <w:rFonts w:ascii="ITC Avant Garde" w:eastAsia="Times New Roman" w:hAnsi="ITC Avant Garde"/>
          <w:bCs/>
          <w:i/>
          <w:color w:val="000000"/>
          <w:lang w:eastAsia="es-MX"/>
        </w:rPr>
        <w:t>puniendi</w:t>
      </w:r>
      <w:proofErr w:type="spellEnd"/>
      <w:r w:rsidRPr="00787FA1">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rsidR="00F30303" w:rsidRPr="00787FA1" w:rsidRDefault="00F30303"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En ese sentido, el derecho administrativo sancionador y el derecho penal al ser manifestaciones de la potestad punitiva del Estado y dada la unidad de éstos,  debe </w:t>
      </w:r>
      <w:r w:rsidR="00632982">
        <w:rPr>
          <w:rFonts w:ascii="ITC Avant Garde" w:eastAsia="Times New Roman" w:hAnsi="ITC Avant Garde"/>
          <w:bCs/>
          <w:color w:val="000000"/>
          <w:lang w:eastAsia="es-MX"/>
        </w:rPr>
        <w:t>acudirse</w:t>
      </w:r>
      <w:r w:rsidRPr="00787FA1">
        <w:rPr>
          <w:rFonts w:ascii="ITC Avant Garde" w:eastAsia="Times New Roman" w:hAnsi="ITC Avant Garde"/>
          <w:bCs/>
          <w:color w:val="000000"/>
          <w:lang w:eastAsia="es-MX"/>
        </w:rPr>
        <w:t xml:space="preserve"> en la interpretación constitucional de los principios del derecho administrativo sancionador, la correcta observancia del 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por el poder legislativo, sin que sea lícito ampliar ésta por analogía o por mayoría de razón.</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Así, en la especie se considera que la conducta desplegada por el presunto infractor vulnera el contenido del artículo 66 de la </w:t>
      </w:r>
      <w:r w:rsidR="006D5E5D" w:rsidRPr="00787FA1">
        <w:rPr>
          <w:rFonts w:ascii="ITC Avant Garde" w:eastAsia="Times New Roman" w:hAnsi="ITC Avant Garde"/>
          <w:b/>
          <w:bCs/>
          <w:color w:val="000000"/>
          <w:lang w:eastAsia="es-MX"/>
        </w:rPr>
        <w:t>“</w:t>
      </w:r>
      <w:proofErr w:type="spellStart"/>
      <w:r w:rsidR="00494328"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que al efecto establece que se requiere </w:t>
      </w:r>
      <w:r w:rsidRPr="00787FA1">
        <w:rPr>
          <w:rFonts w:ascii="ITC Avant Garde" w:hAnsi="ITC Avant Garde"/>
        </w:rPr>
        <w:t xml:space="preserve">de concesión única </w:t>
      </w:r>
      <w:r w:rsidRPr="00787FA1">
        <w:rPr>
          <w:rFonts w:ascii="ITC Avant Garde" w:eastAsia="Times New Roman" w:hAnsi="ITC Avant Garde"/>
          <w:bCs/>
          <w:color w:val="000000"/>
          <w:lang w:eastAsia="es-MX"/>
        </w:rPr>
        <w:t xml:space="preserve">otorgada por el </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IFT</w:t>
      </w:r>
      <w:r w:rsidR="006D5E5D" w:rsidRPr="00787FA1">
        <w:rPr>
          <w:rFonts w:ascii="ITC Avant Garde" w:eastAsia="Times New Roman" w:hAnsi="ITC Avant Garde"/>
          <w:b/>
          <w:bCs/>
          <w:color w:val="000000"/>
          <w:lang w:eastAsia="es-MX"/>
        </w:rPr>
        <w:t>”</w:t>
      </w:r>
      <w:r w:rsidRPr="00787FA1">
        <w:rPr>
          <w:rFonts w:ascii="ITC Avant Garde" w:hAnsi="ITC Avant Garde"/>
        </w:rPr>
        <w:t xml:space="preserve"> para prestar todo tipo de servicios públicos de telecomunicaciones y radiodifusión.</w:t>
      </w:r>
      <w:r w:rsidRPr="00787FA1">
        <w:rPr>
          <w:rFonts w:ascii="ITC Avant Garde" w:eastAsia="Times New Roman" w:hAnsi="ITC Avant Garde"/>
          <w:bCs/>
          <w:color w:val="000000"/>
          <w:lang w:eastAsia="es-MX"/>
        </w:rPr>
        <w:t xml:space="preserve"> </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lastRenderedPageBreak/>
        <w:t>Desde luego, el mencionado precepto dispone lo siguiente:</w:t>
      </w:r>
    </w:p>
    <w:p w:rsidR="001E26D5" w:rsidRPr="00787FA1" w:rsidRDefault="001E26D5" w:rsidP="00A84011">
      <w:pPr>
        <w:pStyle w:val="Textoindependiente"/>
        <w:spacing w:before="240" w:after="0" w:line="240" w:lineRule="auto"/>
        <w:ind w:left="567" w:right="567"/>
        <w:jc w:val="both"/>
        <w:rPr>
          <w:rFonts w:ascii="ITC Avant Garde" w:eastAsia="Times New Roman" w:hAnsi="ITC Avant Garde"/>
          <w:bCs/>
          <w:i/>
          <w:color w:val="000000"/>
          <w:lang w:eastAsia="es-MX"/>
        </w:rPr>
      </w:pPr>
      <w:r w:rsidRPr="00787FA1">
        <w:rPr>
          <w:rFonts w:ascii="ITC Avant Garde" w:eastAsia="Times New Roman" w:hAnsi="ITC Avant Garde"/>
          <w:bCs/>
          <w:i/>
          <w:color w:val="000000"/>
          <w:lang w:eastAsia="es-MX"/>
        </w:rPr>
        <w:t>“</w:t>
      </w:r>
      <w:r w:rsidRPr="00787FA1">
        <w:rPr>
          <w:rFonts w:ascii="ITC Avant Garde" w:eastAsia="Times New Roman" w:hAnsi="ITC Avant Garde"/>
          <w:b/>
          <w:bCs/>
          <w:i/>
          <w:color w:val="000000"/>
          <w:lang w:eastAsia="es-MX"/>
        </w:rPr>
        <w:t>Artículo 66.</w:t>
      </w:r>
      <w:r w:rsidRPr="00787FA1">
        <w:rPr>
          <w:rFonts w:ascii="ITC Avant Garde" w:eastAsia="Times New Roman" w:hAnsi="ITC Avant Garde"/>
          <w:bCs/>
          <w:i/>
          <w:color w:val="000000"/>
          <w:lang w:eastAsia="es-MX"/>
        </w:rPr>
        <w:t xml:space="preserve"> Se requerirá concesión única para prestar todo tipo de servicios públicos de telecomunicaciones y radiodifusión.”</w:t>
      </w:r>
    </w:p>
    <w:p w:rsidR="00B13C06" w:rsidRPr="00787FA1" w:rsidRDefault="00B13C06" w:rsidP="00A84011">
      <w:pPr>
        <w:pStyle w:val="Textoindependiente"/>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Lo anterior, en relación con el artículo 75, de la </w:t>
      </w:r>
      <w:r w:rsidR="006D5E5D"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el cual dispone que corresponde al Instituto el otorgamiento de concesión para usar, aprovechar y explotar bandas de frecuencia del espectro radioeléctrico.</w:t>
      </w:r>
    </w:p>
    <w:p w:rsidR="002E7D4B" w:rsidRPr="00787FA1" w:rsidRDefault="002E7D4B"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Ahora bien, para efectos de cumplir con el citado principio de tipicidad, resulta importante hacer notar que la conducta antes referida, misma que resulta contraria a la ley, es susceptible de ser sancionada en términos de la fracción I del inciso E) del artículo 298 de la </w:t>
      </w:r>
      <w:r w:rsidR="006D5E5D"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mismo que establece que la sanción que en su caso procede imponer </w:t>
      </w:r>
      <w:r w:rsidR="00C62CDD" w:rsidRPr="00787FA1">
        <w:rPr>
          <w:rFonts w:ascii="ITC Avant Garde" w:eastAsia="Times New Roman" w:hAnsi="ITC Avant Garde"/>
          <w:bCs/>
          <w:color w:val="000000"/>
          <w:lang w:eastAsia="es-MX"/>
        </w:rPr>
        <w:t xml:space="preserve">a quien preste servicios de telecomunicaciones o radiodifusión sin contar con concesión o autorización, </w:t>
      </w:r>
      <w:r w:rsidRPr="00787FA1">
        <w:rPr>
          <w:rFonts w:ascii="ITC Avant Garde" w:eastAsia="Times New Roman" w:hAnsi="ITC Avant Garde"/>
          <w:bCs/>
          <w:color w:val="000000"/>
          <w:lang w:eastAsia="es-MX"/>
        </w:rPr>
        <w:t xml:space="preserve">corresponde a una multa por el equivalente del 6.01% hasta el 10% de los ingresos acumulables de la persona infractora. </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En efecto, el artículo 298, inciso E), fracción I de la </w:t>
      </w:r>
      <w:r w:rsidR="006D5E5D"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establece expresamente lo siguiente:</w:t>
      </w:r>
    </w:p>
    <w:p w:rsidR="002047A2" w:rsidRPr="00787FA1" w:rsidRDefault="002047A2" w:rsidP="00A84011">
      <w:pPr>
        <w:spacing w:before="240" w:after="0" w:line="240" w:lineRule="auto"/>
        <w:ind w:left="567" w:right="567"/>
        <w:jc w:val="both"/>
        <w:rPr>
          <w:rFonts w:ascii="ITC Avant Garde" w:eastAsia="Times New Roman" w:hAnsi="ITC Avant Garde"/>
          <w:i/>
          <w:lang w:eastAsia="es-ES"/>
        </w:rPr>
      </w:pPr>
      <w:r w:rsidRPr="00787FA1">
        <w:rPr>
          <w:rFonts w:ascii="ITC Avant Garde" w:hAnsi="ITC Avant Garde"/>
          <w:i/>
          <w:color w:val="000000"/>
        </w:rPr>
        <w:t>“</w:t>
      </w:r>
      <w:r w:rsidRPr="00787FA1">
        <w:rPr>
          <w:rFonts w:ascii="ITC Avant Garde" w:hAnsi="ITC Avant Garde"/>
          <w:b/>
          <w:i/>
          <w:color w:val="000000"/>
        </w:rPr>
        <w:t>Artículo 298.</w:t>
      </w:r>
      <w:r w:rsidRPr="00787FA1">
        <w:rPr>
          <w:rFonts w:ascii="ITC Avant Garde" w:hAnsi="ITC Avant Garde"/>
          <w:i/>
          <w:color w:val="000000"/>
        </w:rPr>
        <w:t xml:space="preserve"> Las infracciones a lo dispuesto en esta Ley y a las disposiciones que deriven de ella, se sancionarán por el Instituto de conformidad con lo siguiente</w:t>
      </w:r>
      <w:proofErr w:type="gramStart"/>
      <w:r w:rsidRPr="00787FA1">
        <w:rPr>
          <w:rFonts w:ascii="ITC Avant Garde" w:hAnsi="ITC Avant Garde"/>
          <w:i/>
          <w:color w:val="000000"/>
        </w:rPr>
        <w:t xml:space="preserve">: </w:t>
      </w:r>
      <w:r w:rsidRPr="00787FA1">
        <w:rPr>
          <w:rFonts w:ascii="ITC Avant Garde" w:hAnsi="ITC Avant Garde"/>
          <w:i/>
          <w:color w:val="000000"/>
        </w:rPr>
        <w:cr/>
      </w:r>
      <w:r w:rsidRPr="00787FA1">
        <w:rPr>
          <w:rFonts w:ascii="ITC Avant Garde" w:eastAsia="Times New Roman" w:hAnsi="ITC Avant Garde"/>
          <w:i/>
          <w:lang w:eastAsia="es-ES"/>
        </w:rPr>
        <w:t>[</w:t>
      </w:r>
      <w:proofErr w:type="gramEnd"/>
      <w:r w:rsidRPr="00787FA1">
        <w:rPr>
          <w:rFonts w:ascii="ITC Avant Garde" w:eastAsia="Times New Roman" w:hAnsi="ITC Avant Garde"/>
          <w:i/>
          <w:lang w:eastAsia="es-ES"/>
        </w:rPr>
        <w:t>…]</w:t>
      </w:r>
    </w:p>
    <w:p w:rsidR="002047A2" w:rsidRPr="00787FA1" w:rsidRDefault="002047A2" w:rsidP="00A84011">
      <w:pPr>
        <w:spacing w:before="240" w:after="0" w:line="240" w:lineRule="auto"/>
        <w:ind w:left="567" w:right="567"/>
        <w:jc w:val="both"/>
        <w:rPr>
          <w:rFonts w:ascii="ITC Avant Garde" w:hAnsi="ITC Avant Garde"/>
          <w:i/>
          <w:color w:val="000000"/>
        </w:rPr>
      </w:pPr>
      <w:r w:rsidRPr="00787FA1">
        <w:rPr>
          <w:rFonts w:ascii="ITC Avant Garde" w:hAnsi="ITC Avant Garde"/>
          <w:i/>
          <w:color w:val="000000"/>
        </w:rPr>
        <w:t>E). Con multa por el equivalente de 6.01% hasta 10% de los ingresos de la persona infractora que:</w:t>
      </w:r>
    </w:p>
    <w:p w:rsidR="002047A2" w:rsidRPr="00787FA1" w:rsidRDefault="002047A2" w:rsidP="00A84011">
      <w:pPr>
        <w:spacing w:before="240" w:after="0" w:line="240" w:lineRule="auto"/>
        <w:ind w:left="567" w:right="567"/>
        <w:jc w:val="both"/>
        <w:rPr>
          <w:rFonts w:ascii="ITC Avant Garde" w:eastAsia="Times New Roman" w:hAnsi="ITC Avant Garde"/>
          <w:bCs/>
          <w:i/>
          <w:color w:val="000000"/>
          <w:lang w:eastAsia="es-MX"/>
        </w:rPr>
      </w:pPr>
      <w:r w:rsidRPr="00787FA1">
        <w:rPr>
          <w:rFonts w:ascii="ITC Avant Garde" w:hAnsi="ITC Avant Garde"/>
          <w:i/>
          <w:color w:val="000000"/>
        </w:rPr>
        <w:t>I. Preste servicios de telecomunicaciones o radiodifusión sin contar con concesión o autorización…</w:t>
      </w:r>
      <w:r w:rsidR="00776A1D">
        <w:rPr>
          <w:rFonts w:ascii="ITC Avant Garde" w:eastAsia="Times New Roman" w:hAnsi="ITC Avant Garde"/>
          <w:bCs/>
          <w:i/>
          <w:color w:val="000000"/>
          <w:lang w:eastAsia="es-MX"/>
        </w:rPr>
        <w:t>”</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Asimismo, la comisión de la conducta en análisis, actualiza la primera de las hipótesis normativas previstas en el artículo 305 de la </w:t>
      </w:r>
      <w:r w:rsidR="006D5E5D"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misma que establece como consecuencia</w:t>
      </w:r>
      <w:r w:rsidR="00C62CDD" w:rsidRPr="00787FA1">
        <w:rPr>
          <w:rFonts w:ascii="ITC Avant Garde" w:eastAsia="Times New Roman" w:hAnsi="ITC Avant Garde"/>
          <w:bCs/>
          <w:color w:val="000000"/>
          <w:lang w:eastAsia="es-MX"/>
        </w:rPr>
        <w:t>,</w:t>
      </w:r>
      <w:r w:rsidRPr="00787FA1">
        <w:rPr>
          <w:rFonts w:ascii="ITC Avant Garde" w:eastAsia="Times New Roman" w:hAnsi="ITC Avant Garde"/>
          <w:bCs/>
          <w:color w:val="000000"/>
          <w:lang w:eastAsia="es-MX"/>
        </w:rPr>
        <w:t xml:space="preserve"> la pérdida </w:t>
      </w:r>
      <w:r w:rsidR="00C62CDD" w:rsidRPr="00787FA1">
        <w:rPr>
          <w:rFonts w:ascii="ITC Avant Garde" w:eastAsia="Times New Roman" w:hAnsi="ITC Avant Garde"/>
          <w:bCs/>
          <w:color w:val="000000"/>
          <w:lang w:eastAsia="es-MX"/>
        </w:rPr>
        <w:t xml:space="preserve">en beneficio de la Nación, </w:t>
      </w:r>
      <w:r w:rsidRPr="00787FA1">
        <w:rPr>
          <w:rFonts w:ascii="ITC Avant Garde" w:eastAsia="Times New Roman" w:hAnsi="ITC Avant Garde"/>
          <w:bCs/>
          <w:color w:val="000000"/>
          <w:lang w:eastAsia="es-MX"/>
        </w:rPr>
        <w:t>de los bienes</w:t>
      </w:r>
      <w:r w:rsidR="00C62CDD" w:rsidRPr="00787FA1">
        <w:rPr>
          <w:rFonts w:ascii="ITC Avant Garde" w:eastAsia="Times New Roman" w:hAnsi="ITC Avant Garde"/>
          <w:bCs/>
          <w:color w:val="000000"/>
          <w:lang w:eastAsia="es-MX"/>
        </w:rPr>
        <w:t xml:space="preserve">, </w:t>
      </w:r>
      <w:r w:rsidR="00C62CDD" w:rsidRPr="00787FA1">
        <w:rPr>
          <w:rFonts w:ascii="ITC Avant Garde" w:eastAsia="Times New Roman" w:hAnsi="ITC Avant Garde"/>
          <w:bCs/>
          <w:color w:val="000000"/>
          <w:lang w:eastAsia="es-MX"/>
        </w:rPr>
        <w:lastRenderedPageBreak/>
        <w:t>instalaciones y equipos empleados en la comisión de dichas infracciones</w:t>
      </w:r>
      <w:r w:rsidRPr="00787FA1">
        <w:rPr>
          <w:rFonts w:ascii="ITC Avant Garde" w:eastAsia="Times New Roman" w:hAnsi="ITC Avant Garde"/>
          <w:bCs/>
          <w:color w:val="000000"/>
          <w:lang w:eastAsia="es-MX"/>
        </w:rPr>
        <w:t>. En efecto dicho precepto legal expresamente establece:</w:t>
      </w:r>
    </w:p>
    <w:p w:rsidR="002047A2" w:rsidRPr="00787FA1" w:rsidRDefault="002047A2" w:rsidP="00A84011">
      <w:pPr>
        <w:spacing w:before="240" w:after="0" w:line="240" w:lineRule="auto"/>
        <w:ind w:left="567" w:right="567"/>
        <w:jc w:val="both"/>
        <w:rPr>
          <w:rFonts w:ascii="ITC Avant Garde" w:eastAsia="Times New Roman" w:hAnsi="ITC Avant Garde"/>
          <w:bCs/>
          <w:i/>
          <w:color w:val="000000"/>
          <w:lang w:eastAsia="es-MX"/>
        </w:rPr>
      </w:pPr>
      <w:r w:rsidRPr="00787FA1">
        <w:rPr>
          <w:rFonts w:ascii="ITC Avant Garde" w:eastAsia="Times New Roman" w:hAnsi="ITC Avant Garde"/>
          <w:bCs/>
          <w:i/>
          <w:color w:val="000000"/>
          <w:lang w:eastAsia="es-MX"/>
        </w:rPr>
        <w:t>“</w:t>
      </w:r>
      <w:r w:rsidRPr="00787FA1">
        <w:rPr>
          <w:rFonts w:ascii="ITC Avant Garde" w:eastAsia="Times New Roman" w:hAnsi="ITC Avant Garde"/>
          <w:b/>
          <w:bCs/>
          <w:i/>
          <w:color w:val="000000"/>
          <w:lang w:eastAsia="es-MX"/>
        </w:rPr>
        <w:t>Artículo 305.</w:t>
      </w:r>
      <w:r w:rsidRPr="00787FA1">
        <w:rPr>
          <w:rFonts w:ascii="ITC Avant Garde" w:eastAsia="Times New Roman" w:hAnsi="ITC Avant Garde"/>
          <w:bCs/>
          <w:i/>
          <w:color w:val="000000"/>
          <w:lang w:eastAsia="es-MX"/>
        </w:rPr>
        <w:t xml:space="preserve"> </w:t>
      </w:r>
      <w:r w:rsidRPr="00787FA1">
        <w:rPr>
          <w:rFonts w:ascii="ITC Avant Garde" w:eastAsia="Times New Roman" w:hAnsi="ITC Avant Garde"/>
          <w:b/>
          <w:bCs/>
          <w:i/>
          <w:color w:val="000000"/>
          <w:u w:val="single"/>
          <w:lang w:eastAsia="es-MX"/>
        </w:rPr>
        <w:t>Las personas que presten servicios</w:t>
      </w:r>
      <w:r w:rsidRPr="00787FA1">
        <w:rPr>
          <w:rFonts w:ascii="ITC Avant Garde" w:eastAsia="Times New Roman" w:hAnsi="ITC Avant Garde"/>
          <w:bCs/>
          <w:i/>
          <w:color w:val="000000"/>
          <w:lang w:eastAsia="es-MX"/>
        </w:rPr>
        <w:t xml:space="preserve"> de telecomunicaciones o </w:t>
      </w:r>
      <w:r w:rsidRPr="00787FA1">
        <w:rPr>
          <w:rFonts w:ascii="ITC Avant Garde" w:eastAsia="Times New Roman" w:hAnsi="ITC Avant Garde"/>
          <w:b/>
          <w:bCs/>
          <w:i/>
          <w:color w:val="000000"/>
          <w:u w:val="single"/>
          <w:lang w:eastAsia="es-MX"/>
        </w:rPr>
        <w:t>de radiodifusión, sin contar con concesión o autorización,</w:t>
      </w:r>
      <w:r w:rsidRPr="00787FA1">
        <w:rPr>
          <w:rFonts w:ascii="ITC Avant Garde" w:eastAsia="Times New Roman" w:hAnsi="ITC Avant Garde"/>
          <w:bCs/>
          <w:i/>
          <w:color w:val="000000"/>
          <w:lang w:eastAsia="es-MX"/>
        </w:rPr>
        <w:t xml:space="preserve"> o que por cualquier otro medio invadan u obstruyan las vías generales de comunicación, </w:t>
      </w:r>
      <w:r w:rsidRPr="00787FA1">
        <w:rPr>
          <w:rFonts w:ascii="ITC Avant Garde" w:eastAsia="Times New Roman" w:hAnsi="ITC Avant Garde"/>
          <w:b/>
          <w:bCs/>
          <w:i/>
          <w:color w:val="000000"/>
          <w:u w:val="single"/>
          <w:lang w:eastAsia="es-MX"/>
        </w:rPr>
        <w:t>perderán en beneficio de la Nación los bienes, instalaciones y equipos empleados en la comisión de dichas infracciones.</w:t>
      </w:r>
      <w:r w:rsidRPr="00787FA1">
        <w:rPr>
          <w:rFonts w:ascii="ITC Avant Garde" w:eastAsia="Times New Roman" w:hAnsi="ITC Avant Garde"/>
          <w:bCs/>
          <w:i/>
          <w:color w:val="000000"/>
          <w:lang w:eastAsia="es-MX"/>
        </w:rPr>
        <w:t>”</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rsidR="002047A2" w:rsidRPr="00787FA1" w:rsidRDefault="002047A2" w:rsidP="00A84011">
      <w:pPr>
        <w:spacing w:before="240" w:after="0" w:line="360" w:lineRule="auto"/>
        <w:jc w:val="both"/>
        <w:rPr>
          <w:rFonts w:ascii="ITC Avant Garde" w:hAnsi="ITC Avant Garde"/>
          <w:i/>
          <w:color w:val="000000"/>
        </w:rPr>
      </w:pPr>
      <w:r w:rsidRPr="00787FA1">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radiodifusión, el artículo 297 primer párrafo de la </w:t>
      </w:r>
      <w:r w:rsidR="006D5E5D"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LFPA</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la cual prevé dentro de su Título Cuarto, Capítulo Único, el procedimiento para la imposición de sanciones.</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En efecto, los artículos 70 y 72 de </w:t>
      </w:r>
      <w:r w:rsidR="00F30303" w:rsidRPr="00787FA1">
        <w:rPr>
          <w:rFonts w:ascii="ITC Avant Garde" w:eastAsia="Times New Roman" w:hAnsi="ITC Avant Garde"/>
          <w:bCs/>
          <w:color w:val="000000"/>
          <w:lang w:eastAsia="es-MX"/>
        </w:rPr>
        <w:t xml:space="preserve">la </w:t>
      </w:r>
      <w:r w:rsidR="006D5E5D" w:rsidRPr="00787FA1">
        <w:rPr>
          <w:rFonts w:ascii="ITC Avant Garde" w:eastAsia="Times New Roman" w:hAnsi="ITC Avant Garde"/>
          <w:b/>
          <w:bCs/>
          <w:color w:val="000000"/>
          <w:lang w:eastAsia="es-MX"/>
        </w:rPr>
        <w:t>“</w:t>
      </w:r>
      <w:r w:rsidR="00F30303" w:rsidRPr="00787FA1">
        <w:rPr>
          <w:rFonts w:ascii="ITC Avant Garde" w:eastAsia="Times New Roman" w:hAnsi="ITC Avant Garde"/>
          <w:b/>
          <w:bCs/>
          <w:color w:val="000000"/>
          <w:lang w:eastAsia="es-MX"/>
        </w:rPr>
        <w:t>LFPA</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establecen que para la imposición de una sanción, se deben cubrir dos premisas: i) que la sanción se encuentre prevista en la ley y ii) que previ</w:t>
      </w:r>
      <w:r w:rsidR="00B5233C" w:rsidRPr="00787FA1">
        <w:rPr>
          <w:rFonts w:ascii="ITC Avant Garde" w:eastAsia="Times New Roman" w:hAnsi="ITC Avant Garde"/>
          <w:bCs/>
          <w:color w:val="000000"/>
          <w:lang w:eastAsia="es-MX"/>
        </w:rPr>
        <w:t>amente</w:t>
      </w:r>
      <w:r w:rsidRPr="00787FA1">
        <w:rPr>
          <w:rFonts w:ascii="ITC Avant Garde" w:eastAsia="Times New Roman" w:hAnsi="ITC Avant Garde"/>
          <w:bCs/>
          <w:color w:val="000000"/>
          <w:lang w:eastAsia="es-MX"/>
        </w:rPr>
        <w:t xml:space="preserve"> a la imposición de la misma, la autoridad competente notifique al presunto infractor el inicio del procedimiento respectivo, otorgando al efecto un plazo de quince días para que el presunto infractor exponga lo que a su derecho convenga, y en su caso aporte las pruebas con que cuente.</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Así las cosas, al iniciarse el procedimiento administrativo de imposición de sanción en contra de</w:t>
      </w:r>
      <w:r w:rsidRPr="00787FA1">
        <w:rPr>
          <w:rFonts w:ascii="ITC Avant Garde" w:eastAsia="Times New Roman" w:hAnsi="ITC Avant Garde"/>
          <w:bCs/>
          <w:lang w:eastAsia="es-MX"/>
        </w:rPr>
        <w:t xml:space="preserve">l </w:t>
      </w:r>
      <w:r w:rsidR="006D5E5D" w:rsidRPr="00787FA1">
        <w:rPr>
          <w:rFonts w:ascii="ITC Avant Garde" w:eastAsia="Times New Roman" w:hAnsi="ITC Avant Garde"/>
          <w:b/>
          <w:bCs/>
          <w:lang w:eastAsia="es-MX"/>
        </w:rPr>
        <w:t>“</w:t>
      </w:r>
      <w:r w:rsidR="00C62CDD" w:rsidRPr="00787FA1">
        <w:rPr>
          <w:rFonts w:ascii="ITC Avant Garde" w:hAnsi="ITC Avant Garde"/>
          <w:b/>
        </w:rPr>
        <w:t xml:space="preserve">PRESUNTO </w:t>
      </w:r>
      <w:r w:rsidR="00581601">
        <w:rPr>
          <w:rFonts w:ascii="ITC Avant Garde" w:hAnsi="ITC Avant Garde"/>
          <w:b/>
        </w:rPr>
        <w:t>RESPONSABLE</w:t>
      </w:r>
      <w:r w:rsidR="006D5E5D" w:rsidRPr="00787FA1">
        <w:rPr>
          <w:rFonts w:ascii="ITC Avant Garde" w:hAnsi="ITC Avant Garde"/>
          <w:b/>
        </w:rPr>
        <w:t>”</w:t>
      </w:r>
      <w:r w:rsidRPr="00787FA1">
        <w:rPr>
          <w:rFonts w:ascii="ITC Avant Garde" w:hAnsi="ITC Avant Garde"/>
          <w:b/>
        </w:rPr>
        <w:t>,</w:t>
      </w:r>
      <w:r w:rsidRPr="00787FA1">
        <w:rPr>
          <w:rFonts w:ascii="ITC Avant Garde" w:eastAsia="Times New Roman" w:hAnsi="ITC Avant Garde"/>
          <w:bCs/>
          <w:lang w:eastAsia="es-MX"/>
        </w:rPr>
        <w:t xml:space="preserve"> </w:t>
      </w:r>
      <w:r w:rsidRPr="00787FA1">
        <w:rPr>
          <w:rFonts w:ascii="ITC Avant Garde" w:eastAsia="Times New Roman" w:hAnsi="ITC Avant Garde"/>
          <w:bCs/>
          <w:color w:val="000000"/>
          <w:lang w:eastAsia="es-MX"/>
        </w:rPr>
        <w:t xml:space="preserve">se presumió el incumplimiento de lo establecido en el artículo 66 </w:t>
      </w:r>
      <w:r w:rsidR="00ED43AE" w:rsidRPr="00787FA1">
        <w:rPr>
          <w:rFonts w:ascii="ITC Avant Garde" w:hAnsi="ITC Avant Garde"/>
          <w:bCs/>
        </w:rPr>
        <w:t>en relación con el 75</w:t>
      </w:r>
      <w:r w:rsidR="00ED43AE" w:rsidRPr="00787FA1">
        <w:rPr>
          <w:rFonts w:ascii="ITC Avant Garde" w:eastAsia="Times New Roman" w:hAnsi="ITC Avant Garde"/>
          <w:bCs/>
          <w:color w:val="000000"/>
          <w:lang w:eastAsia="es-MX"/>
        </w:rPr>
        <w:t xml:space="preserve"> </w:t>
      </w:r>
      <w:r w:rsidRPr="00787FA1">
        <w:rPr>
          <w:rFonts w:ascii="ITC Avant Garde" w:eastAsia="Times New Roman" w:hAnsi="ITC Avant Garde"/>
          <w:bCs/>
          <w:color w:val="000000"/>
          <w:lang w:eastAsia="es-MX"/>
        </w:rPr>
        <w:t xml:space="preserve">de la </w:t>
      </w:r>
      <w:r w:rsidR="006D5E5D"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ya que no contaba </w:t>
      </w:r>
      <w:r w:rsidRPr="00787FA1">
        <w:rPr>
          <w:rFonts w:ascii="ITC Avant Garde" w:eastAsia="Times New Roman" w:hAnsi="ITC Avant Garde"/>
          <w:bCs/>
          <w:color w:val="000000"/>
          <w:lang w:eastAsia="es-MX"/>
        </w:rPr>
        <w:lastRenderedPageBreak/>
        <w:t xml:space="preserve">con la concesión correspondiente para la prestación del servicio público de radiodifusión, en concreto para </w:t>
      </w:r>
      <w:r w:rsidRPr="00787FA1">
        <w:rPr>
          <w:rFonts w:ascii="ITC Avant Garde" w:hAnsi="ITC Avant Garde"/>
        </w:rPr>
        <w:t xml:space="preserve">operar la </w:t>
      </w:r>
      <w:r w:rsidRPr="00787FA1">
        <w:rPr>
          <w:rFonts w:ascii="ITC Avant Garde" w:eastAsia="Times New Roman" w:hAnsi="ITC Avant Garde"/>
          <w:bCs/>
          <w:color w:val="000000"/>
          <w:lang w:eastAsia="es-MX"/>
        </w:rPr>
        <w:t xml:space="preserve">frecuencia </w:t>
      </w:r>
      <w:r w:rsidR="009245AD" w:rsidRPr="00787FA1">
        <w:rPr>
          <w:rFonts w:ascii="ITC Avant Garde" w:hAnsi="ITC Avant Garde"/>
          <w:b/>
        </w:rPr>
        <w:t>10</w:t>
      </w:r>
      <w:r w:rsidR="006D5E5D" w:rsidRPr="00787FA1">
        <w:rPr>
          <w:rFonts w:ascii="ITC Avant Garde" w:hAnsi="ITC Avant Garde"/>
          <w:b/>
        </w:rPr>
        <w:t>5.3</w:t>
      </w:r>
      <w:r w:rsidRPr="00787FA1">
        <w:rPr>
          <w:rFonts w:ascii="ITC Avant Garde" w:hAnsi="ITC Avant Garde"/>
          <w:b/>
        </w:rPr>
        <w:t xml:space="preserve"> </w:t>
      </w:r>
      <w:r w:rsidRPr="00787FA1">
        <w:rPr>
          <w:rFonts w:ascii="ITC Avant Garde" w:eastAsia="Times New Roman" w:hAnsi="ITC Avant Garde"/>
          <w:b/>
          <w:bCs/>
          <w:color w:val="000000"/>
          <w:lang w:eastAsia="es-MX"/>
        </w:rPr>
        <w:t>MHz</w:t>
      </w:r>
      <w:r w:rsidRPr="00787FA1">
        <w:rPr>
          <w:rFonts w:ascii="ITC Avant Garde" w:eastAsia="Times New Roman" w:hAnsi="ITC Avant Garde"/>
          <w:bCs/>
          <w:color w:val="000000"/>
          <w:lang w:eastAsia="es-MX"/>
        </w:rPr>
        <w:t>.</w:t>
      </w:r>
    </w:p>
    <w:p w:rsidR="005024EC" w:rsidRPr="00787FA1" w:rsidRDefault="00F30303"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En este sentido, a través de la notificación del acuerdo de inicio de procedimiento, la Unidad de Cumplimiento dio a conocer al </w:t>
      </w:r>
      <w:r w:rsidR="006D5E5D" w:rsidRPr="00787FA1">
        <w:rPr>
          <w:rFonts w:ascii="ITC Avant Garde" w:eastAsia="Times New Roman" w:hAnsi="ITC Avant Garde"/>
          <w:b/>
          <w:bCs/>
          <w:color w:val="000000"/>
          <w:lang w:eastAsia="es-MX"/>
        </w:rPr>
        <w:t>“</w:t>
      </w:r>
      <w:r w:rsidR="00ED43AE" w:rsidRPr="00787FA1">
        <w:rPr>
          <w:rFonts w:ascii="ITC Avant Garde" w:eastAsia="Times New Roman" w:hAnsi="ITC Avant Garde"/>
          <w:b/>
          <w:bCs/>
          <w:color w:val="000000"/>
          <w:lang w:eastAsia="es-MX"/>
        </w:rPr>
        <w:t xml:space="preserve">PRESUNTO </w:t>
      </w:r>
      <w:r w:rsidR="00581601">
        <w:rPr>
          <w:rFonts w:ascii="ITC Avant Garde" w:hAnsi="ITC Avant Garde"/>
          <w:b/>
        </w:rPr>
        <w:t>RESPONSABLE</w:t>
      </w:r>
      <w:r w:rsidR="006D5E5D" w:rsidRPr="00787FA1">
        <w:rPr>
          <w:rFonts w:ascii="ITC Avant Garde" w:eastAsia="Times New Roman" w:hAnsi="ITC Avant Garde"/>
          <w:b/>
          <w:bCs/>
          <w:color w:val="000000"/>
          <w:lang w:eastAsia="es-MX"/>
        </w:rPr>
        <w:t>”</w:t>
      </w:r>
      <w:r w:rsidR="00ED43AE" w:rsidRPr="00787FA1">
        <w:rPr>
          <w:rFonts w:ascii="ITC Avant Garde" w:eastAsia="Times New Roman" w:hAnsi="ITC Avant Garde"/>
          <w:bCs/>
          <w:color w:val="000000"/>
          <w:lang w:eastAsia="es-MX"/>
        </w:rPr>
        <w:t xml:space="preserve"> </w:t>
      </w:r>
      <w:r w:rsidRPr="00787FA1">
        <w:rPr>
          <w:rFonts w:ascii="ITC Avant Garde" w:eastAsia="Times New Roman" w:hAnsi="ITC Avant Garde"/>
          <w:bCs/>
          <w:color w:val="000000"/>
          <w:lang w:eastAsia="es-MX"/>
        </w:rPr>
        <w:t>la conducta que, supuestamente, viola</w:t>
      </w:r>
      <w:r w:rsidR="00ED43AE" w:rsidRPr="00787FA1">
        <w:rPr>
          <w:rFonts w:ascii="ITC Avant Garde" w:eastAsia="Times New Roman" w:hAnsi="ITC Avant Garde"/>
          <w:bCs/>
          <w:color w:val="000000"/>
          <w:lang w:eastAsia="es-MX"/>
        </w:rPr>
        <w:t xml:space="preserve"> el</w:t>
      </w:r>
      <w:r w:rsidRPr="00787FA1">
        <w:rPr>
          <w:rFonts w:ascii="ITC Avant Garde" w:eastAsia="Times New Roman" w:hAnsi="ITC Avant Garde"/>
          <w:bCs/>
          <w:color w:val="000000"/>
          <w:lang w:eastAsia="es-MX"/>
        </w:rPr>
        <w:t xml:space="preserve"> </w:t>
      </w:r>
      <w:r w:rsidR="00ED43AE" w:rsidRPr="00787FA1">
        <w:rPr>
          <w:rFonts w:ascii="ITC Avant Garde" w:eastAsia="Times New Roman" w:hAnsi="ITC Avant Garde"/>
          <w:bCs/>
          <w:color w:val="000000"/>
          <w:lang w:eastAsia="es-MX"/>
        </w:rPr>
        <w:t xml:space="preserve">artículo 66 </w:t>
      </w:r>
      <w:r w:rsidR="00ED43AE" w:rsidRPr="00787FA1">
        <w:rPr>
          <w:rFonts w:ascii="ITC Avant Garde" w:hAnsi="ITC Avant Garde"/>
          <w:bCs/>
        </w:rPr>
        <w:t>en relación con el 75</w:t>
      </w:r>
      <w:r w:rsidR="00ED43AE" w:rsidRPr="00787FA1">
        <w:rPr>
          <w:rFonts w:ascii="ITC Avant Garde" w:eastAsia="Times New Roman" w:hAnsi="ITC Avant Garde"/>
          <w:bCs/>
          <w:color w:val="000000"/>
          <w:lang w:eastAsia="es-MX"/>
        </w:rPr>
        <w:t xml:space="preserve"> de la </w:t>
      </w:r>
      <w:r w:rsidR="006D5E5D" w:rsidRPr="00787FA1">
        <w:rPr>
          <w:rFonts w:ascii="ITC Avant Garde" w:eastAsia="Times New Roman" w:hAnsi="ITC Avant Garde"/>
          <w:b/>
          <w:bCs/>
          <w:color w:val="000000"/>
          <w:lang w:eastAsia="es-MX"/>
        </w:rPr>
        <w:t>“</w:t>
      </w:r>
      <w:proofErr w:type="spellStart"/>
      <w:r w:rsidR="00ED43AE" w:rsidRPr="00787FA1">
        <w:rPr>
          <w:rFonts w:ascii="ITC Avant Garde" w:eastAsia="Times New Roman" w:hAnsi="ITC Avant Garde"/>
          <w:b/>
          <w:bCs/>
          <w:color w:val="000000"/>
          <w:lang w:eastAsia="es-MX"/>
        </w:rPr>
        <w:t>LFTyR</w:t>
      </w:r>
      <w:proofErr w:type="spellEnd"/>
      <w:r w:rsidR="006D5E5D" w:rsidRPr="00787FA1">
        <w:rPr>
          <w:rFonts w:ascii="ITC Avant Garde" w:eastAsia="Times New Roman" w:hAnsi="ITC Avant Garde"/>
          <w:b/>
          <w:bCs/>
          <w:color w:val="000000"/>
          <w:lang w:eastAsia="es-MX"/>
        </w:rPr>
        <w:t>”</w:t>
      </w:r>
      <w:r w:rsidR="00ED43AE" w:rsidRPr="00787FA1">
        <w:rPr>
          <w:rFonts w:ascii="ITC Avant Garde" w:eastAsia="Times New Roman" w:hAnsi="ITC Avant Garde"/>
          <w:bCs/>
          <w:color w:val="000000"/>
          <w:lang w:eastAsia="es-MX"/>
        </w:rPr>
        <w:t>, así como la sanción prevista en el artículo 298, inciso E), fracción I de dicha ley por la comisión de la misma.</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Por ello, se le otorgó un término de quince días hábiles para que en uso de su garantía de audiencia rindiera las pruebas y manifestara por escrito lo que a su derecho conviniera, de conformidad con el artículo 14 de la </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CPEUM</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en relación con el artículo 72 de la </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LFPA</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Concluido el periodo de pruebas, de acuerdo con lo que dispone el artículo 56 de la </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LFPA</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la Unidad de Cumplimiento puso las actuaciones a disposición del interesado, para que formulara sus alegatos.</w:t>
      </w:r>
    </w:p>
    <w:p w:rsidR="002047A2" w:rsidRPr="00787FA1" w:rsidRDefault="002047A2"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Una vez desahogado el periodo probatorio y vencido el plazo para formular alegatos, la Unidad de Cumplimiento remitió </w:t>
      </w:r>
      <w:r w:rsidRPr="00787FA1">
        <w:rPr>
          <w:rFonts w:ascii="ITC Avant Garde" w:eastAsia="Times New Roman" w:hAnsi="ITC Avant Garde"/>
          <w:bCs/>
          <w:lang w:eastAsia="es-MX"/>
        </w:rPr>
        <w:t xml:space="preserve">el expediente de mérito </w:t>
      </w:r>
      <w:r w:rsidRPr="00787FA1">
        <w:rPr>
          <w:rFonts w:ascii="ITC Avant Garde" w:eastAsia="Times New Roman" w:hAnsi="ITC Avant Garde"/>
          <w:bCs/>
          <w:color w:val="000000"/>
          <w:lang w:eastAsia="es-MX"/>
        </w:rPr>
        <w:t xml:space="preserve">en estado de resolución al Pleno de este </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IFT</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 xml:space="preserve">, </w:t>
      </w:r>
      <w:r w:rsidRPr="00787FA1">
        <w:rPr>
          <w:rFonts w:ascii="ITC Avant Garde" w:eastAsia="Times New Roman" w:hAnsi="ITC Avant Garde"/>
          <w:bCs/>
          <w:color w:val="000000"/>
          <w:lang w:eastAsia="es-MX"/>
        </w:rPr>
        <w:t>quien se encuentra facultado para dictar la resolución que en derecho corresponda.</w:t>
      </w:r>
    </w:p>
    <w:p w:rsidR="00F30303" w:rsidRPr="00787FA1" w:rsidRDefault="00F30303"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Bajo ese contexto, el procedimiento administrativo de imposición de sanciones que se sustancia, se realizó conforme a los términos y principios procesales que establece la </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LFPA</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 xml:space="preserve"> </w:t>
      </w:r>
      <w:r w:rsidRPr="00787FA1">
        <w:rPr>
          <w:rFonts w:ascii="ITC Avant Garde" w:eastAsia="Times New Roman" w:hAnsi="ITC Avant Garde"/>
          <w:bCs/>
          <w:color w:val="000000"/>
          <w:lang w:eastAsia="es-MX"/>
        </w:rPr>
        <w:t>y los artículos 14 y 16 de la</w:t>
      </w:r>
      <w:r w:rsidRPr="00787FA1">
        <w:rPr>
          <w:rFonts w:ascii="ITC Avant Garde" w:eastAsia="Times New Roman" w:hAnsi="ITC Avant Garde"/>
          <w:b/>
          <w:bCs/>
          <w:color w:val="000000"/>
          <w:lang w:eastAsia="es-MX"/>
        </w:rPr>
        <w:t xml:space="preserve"> </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CPEUM</w:t>
      </w:r>
      <w:r w:rsidR="006D5E5D"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 xml:space="preserve"> </w:t>
      </w:r>
      <w:r w:rsidRPr="00787FA1">
        <w:rPr>
          <w:rFonts w:ascii="ITC Avant Garde" w:eastAsia="Times New Roman" w:hAnsi="ITC Avant Garde"/>
          <w:bCs/>
          <w:color w:val="000000"/>
          <w:lang w:eastAsia="es-MX"/>
        </w:rPr>
        <w:t>consistentes en: i) otorgar garantía de audiencia al presunto infractor; ii) desahogar pruebas; iii) recibir alegatos, y iv) emitir la resolución que en derecho corresponda.</w:t>
      </w:r>
      <w:r w:rsidR="006B4B46" w:rsidRPr="00787FA1">
        <w:rPr>
          <w:rFonts w:ascii="ITC Avant Garde" w:eastAsia="Times New Roman" w:hAnsi="ITC Avant Garde"/>
          <w:bCs/>
          <w:color w:val="000000"/>
          <w:lang w:eastAsia="es-MX"/>
        </w:rPr>
        <w:t xml:space="preserve"> Lo anterior, con independencia de que el </w:t>
      </w:r>
      <w:r w:rsidR="006D5E5D" w:rsidRPr="00787FA1">
        <w:rPr>
          <w:rFonts w:ascii="ITC Avant Garde" w:eastAsia="Times New Roman" w:hAnsi="ITC Avant Garde"/>
          <w:b/>
          <w:bCs/>
          <w:color w:val="000000"/>
          <w:lang w:eastAsia="es-MX"/>
        </w:rPr>
        <w:t>“</w:t>
      </w:r>
      <w:r w:rsidR="00C62CDD" w:rsidRPr="00787FA1">
        <w:rPr>
          <w:rFonts w:ascii="ITC Avant Garde" w:eastAsia="Times New Roman" w:hAnsi="ITC Avant Garde"/>
          <w:b/>
          <w:bCs/>
          <w:color w:val="000000"/>
          <w:lang w:eastAsia="es-MX"/>
        </w:rPr>
        <w:t xml:space="preserve">PRESUNTO </w:t>
      </w:r>
      <w:r w:rsidR="00581601">
        <w:rPr>
          <w:rFonts w:ascii="ITC Avant Garde" w:hAnsi="ITC Avant Garde"/>
          <w:b/>
        </w:rPr>
        <w:t>RESPONSABLE</w:t>
      </w:r>
      <w:r w:rsidR="006D5E5D" w:rsidRPr="00787FA1">
        <w:rPr>
          <w:rFonts w:ascii="ITC Avant Garde" w:eastAsia="Times New Roman" w:hAnsi="ITC Avant Garde"/>
          <w:b/>
          <w:bCs/>
          <w:color w:val="000000"/>
          <w:lang w:eastAsia="es-MX"/>
        </w:rPr>
        <w:t>”</w:t>
      </w:r>
      <w:r w:rsidR="00C62CDD" w:rsidRPr="00787FA1">
        <w:rPr>
          <w:rFonts w:ascii="ITC Avant Garde" w:eastAsia="Times New Roman" w:hAnsi="ITC Avant Garde"/>
          <w:bCs/>
          <w:color w:val="000000"/>
          <w:lang w:eastAsia="es-MX"/>
        </w:rPr>
        <w:t xml:space="preserve"> </w:t>
      </w:r>
      <w:r w:rsidR="006B4B46" w:rsidRPr="00787FA1">
        <w:rPr>
          <w:rFonts w:ascii="ITC Avant Garde" w:eastAsia="Times New Roman" w:hAnsi="ITC Avant Garde"/>
          <w:bCs/>
          <w:color w:val="000000"/>
          <w:lang w:eastAsia="es-MX"/>
        </w:rPr>
        <w:t xml:space="preserve">no ofreció pruebas ni presentó alegatos a su favor. </w:t>
      </w:r>
    </w:p>
    <w:p w:rsidR="00F30303" w:rsidRPr="00787FA1" w:rsidRDefault="00C6162C" w:rsidP="00A84011">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lastRenderedPageBreak/>
        <w:t xml:space="preserve">En las relatadas condiciones, </w:t>
      </w:r>
      <w:r w:rsidR="00F30303" w:rsidRPr="00787FA1">
        <w:rPr>
          <w:rFonts w:ascii="ITC Avant Garde" w:eastAsia="Times New Roman" w:hAnsi="ITC Avant Garde"/>
          <w:bCs/>
          <w:color w:val="000000"/>
          <w:lang w:eastAsia="es-MX"/>
        </w:rPr>
        <w:t xml:space="preserve">al tramitarse el procedimiento administrativo de imposición de sanción bajo las anteriores premisas, debe tenerse por satisfecho el cumplimiento de lo dispuesto en la </w:t>
      </w:r>
      <w:r w:rsidR="00A31EB0" w:rsidRPr="00787FA1">
        <w:rPr>
          <w:rFonts w:ascii="ITC Avant Garde" w:eastAsia="Times New Roman" w:hAnsi="ITC Avant Garde"/>
          <w:b/>
          <w:bCs/>
          <w:color w:val="000000"/>
          <w:lang w:eastAsia="es-MX"/>
        </w:rPr>
        <w:t>“</w:t>
      </w:r>
      <w:r w:rsidR="00F30303" w:rsidRPr="00787FA1">
        <w:rPr>
          <w:rFonts w:ascii="ITC Avant Garde" w:eastAsia="Times New Roman" w:hAnsi="ITC Avant Garde"/>
          <w:b/>
          <w:bCs/>
          <w:color w:val="000000"/>
          <w:lang w:eastAsia="es-MX"/>
        </w:rPr>
        <w:t>CPEUM</w:t>
      </w:r>
      <w:r w:rsidR="00A31EB0" w:rsidRPr="00787FA1">
        <w:rPr>
          <w:rFonts w:ascii="ITC Avant Garde" w:eastAsia="Times New Roman" w:hAnsi="ITC Avant Garde"/>
          <w:b/>
          <w:bCs/>
          <w:color w:val="000000"/>
          <w:lang w:eastAsia="es-MX"/>
        </w:rPr>
        <w:t>”</w:t>
      </w:r>
      <w:r w:rsidR="00F30303" w:rsidRPr="00787FA1">
        <w:rPr>
          <w:rFonts w:ascii="ITC Avant Garde" w:eastAsia="Times New Roman" w:hAnsi="ITC Avant Garde"/>
          <w:bCs/>
          <w:color w:val="000000"/>
          <w:lang w:eastAsia="es-MX"/>
        </w:rPr>
        <w:t>, las leyes ordinarias y los criterios judiciales que informan cual debe ser el actuar de la autoridad para resolver el presente caso.</w:t>
      </w:r>
    </w:p>
    <w:p w:rsidR="00B34C88" w:rsidRDefault="00B34C88" w:rsidP="00A84011">
      <w:pPr>
        <w:pStyle w:val="Textoindependiente"/>
        <w:tabs>
          <w:tab w:val="left" w:pos="851"/>
        </w:tabs>
        <w:spacing w:before="240" w:after="0" w:line="360" w:lineRule="auto"/>
        <w:jc w:val="both"/>
        <w:rPr>
          <w:rFonts w:ascii="ITC Avant Garde" w:eastAsia="Times New Roman" w:hAnsi="ITC Avant Garde"/>
          <w:b/>
          <w:bCs/>
          <w:color w:val="000000"/>
          <w:lang w:eastAsia="es-MX"/>
        </w:rPr>
      </w:pPr>
    </w:p>
    <w:p w:rsidR="00061A53" w:rsidRPr="00787FA1" w:rsidRDefault="004D1C9D" w:rsidP="00A84011">
      <w:pPr>
        <w:pStyle w:val="Textoindependiente"/>
        <w:tabs>
          <w:tab w:val="left" w:pos="851"/>
        </w:tabs>
        <w:spacing w:before="240" w:after="0" w:line="360" w:lineRule="auto"/>
        <w:jc w:val="both"/>
        <w:rPr>
          <w:rFonts w:ascii="ITC Avant Garde" w:hAnsi="ITC Avant Garde"/>
        </w:rPr>
      </w:pPr>
      <w:r w:rsidRPr="00787FA1">
        <w:rPr>
          <w:rFonts w:ascii="ITC Avant Garde" w:eastAsia="Times New Roman" w:hAnsi="ITC Avant Garde"/>
          <w:b/>
          <w:bCs/>
          <w:color w:val="000000"/>
          <w:lang w:eastAsia="es-MX"/>
        </w:rPr>
        <w:t>TERCERO</w:t>
      </w:r>
      <w:r w:rsidR="00E27391" w:rsidRPr="00787FA1">
        <w:rPr>
          <w:rFonts w:ascii="ITC Avant Garde" w:eastAsia="Times New Roman" w:hAnsi="ITC Avant Garde"/>
          <w:b/>
          <w:bCs/>
          <w:color w:val="000000"/>
          <w:lang w:eastAsia="es-MX"/>
        </w:rPr>
        <w:t>.</w:t>
      </w:r>
      <w:r w:rsidR="00185239" w:rsidRPr="00787FA1">
        <w:rPr>
          <w:rFonts w:ascii="ITC Avant Garde" w:eastAsia="Times New Roman" w:hAnsi="ITC Avant Garde"/>
          <w:b/>
          <w:bCs/>
          <w:smallCaps/>
          <w:color w:val="000000"/>
          <w:lang w:eastAsia="es-MX"/>
        </w:rPr>
        <w:t xml:space="preserve"> HECHOS MOTIVO DEL PROCEDIMIENTO ADMINISTRATIVO DE </w:t>
      </w:r>
      <w:r w:rsidR="00D272DA" w:rsidRPr="00787FA1">
        <w:rPr>
          <w:rFonts w:ascii="ITC Avant Garde" w:eastAsia="Times New Roman" w:hAnsi="ITC Avant Garde"/>
          <w:b/>
          <w:bCs/>
          <w:smallCaps/>
          <w:color w:val="000000"/>
          <w:lang w:eastAsia="es-MX"/>
        </w:rPr>
        <w:t xml:space="preserve">IMPOSICIÓN </w:t>
      </w:r>
      <w:r w:rsidR="00185239" w:rsidRPr="00787FA1">
        <w:rPr>
          <w:rFonts w:ascii="ITC Avant Garde" w:eastAsia="Times New Roman" w:hAnsi="ITC Avant Garde"/>
          <w:b/>
          <w:bCs/>
          <w:smallCaps/>
          <w:color w:val="000000"/>
          <w:lang w:eastAsia="es-MX"/>
        </w:rPr>
        <w:t xml:space="preserve">DE </w:t>
      </w:r>
      <w:r w:rsidR="00D272DA" w:rsidRPr="00787FA1">
        <w:rPr>
          <w:rFonts w:ascii="ITC Avant Garde" w:eastAsia="Times New Roman" w:hAnsi="ITC Avant Garde"/>
          <w:b/>
          <w:bCs/>
          <w:smallCaps/>
          <w:color w:val="000000"/>
          <w:lang w:eastAsia="es-MX"/>
        </w:rPr>
        <w:t xml:space="preserve">SANCIÓN </w:t>
      </w:r>
      <w:r w:rsidR="00185239" w:rsidRPr="00787FA1">
        <w:rPr>
          <w:rFonts w:ascii="ITC Avant Garde" w:eastAsia="Times New Roman" w:hAnsi="ITC Avant Garde"/>
          <w:b/>
          <w:bCs/>
          <w:smallCaps/>
          <w:color w:val="000000"/>
          <w:lang w:eastAsia="es-MX"/>
        </w:rPr>
        <w:t xml:space="preserve">Y </w:t>
      </w:r>
      <w:r w:rsidR="00632982" w:rsidRPr="00632982">
        <w:rPr>
          <w:rFonts w:ascii="ITC Avant Garde" w:eastAsia="Times New Roman" w:hAnsi="ITC Avant Garde"/>
          <w:b/>
          <w:bCs/>
          <w:color w:val="000000"/>
          <w:lang w:eastAsia="es-MX"/>
        </w:rPr>
        <w:t>DECLARATORIA DE</w:t>
      </w:r>
      <w:r w:rsidR="00632982" w:rsidRPr="00787FA1">
        <w:rPr>
          <w:rFonts w:ascii="ITC Avant Garde" w:eastAsia="Times New Roman" w:hAnsi="ITC Avant Garde"/>
          <w:b/>
          <w:bCs/>
          <w:smallCaps/>
          <w:color w:val="000000"/>
          <w:lang w:eastAsia="es-MX"/>
        </w:rPr>
        <w:t xml:space="preserve"> </w:t>
      </w:r>
      <w:r w:rsidR="004D6D5C" w:rsidRPr="00787FA1">
        <w:rPr>
          <w:rFonts w:ascii="ITC Avant Garde" w:eastAsia="Times New Roman" w:hAnsi="ITC Avant Garde"/>
          <w:b/>
          <w:bCs/>
          <w:smallCaps/>
          <w:color w:val="000000"/>
          <w:lang w:eastAsia="es-MX"/>
        </w:rPr>
        <w:t>PÉRDIDA DE BIENES, INSTALACIONES Y EQUIPOS EN BENEFICIO DE LA NACIÓN.</w:t>
      </w:r>
    </w:p>
    <w:p w:rsidR="00952BB6" w:rsidRDefault="00952BB6" w:rsidP="00A84011">
      <w:pPr>
        <w:spacing w:before="240" w:after="0" w:line="360" w:lineRule="auto"/>
        <w:jc w:val="both"/>
        <w:rPr>
          <w:rFonts w:ascii="ITC Avant Garde" w:hAnsi="ITC Avant Garde"/>
        </w:rPr>
      </w:pPr>
      <w:r w:rsidRPr="00787FA1">
        <w:rPr>
          <w:rFonts w:ascii="ITC Avant Garde" w:hAnsi="ITC Avant Garde"/>
        </w:rPr>
        <w:t xml:space="preserve">Con la finalidad de dar cumplimiento a la orden de inspección-verificación </w:t>
      </w:r>
      <w:r w:rsidRPr="00787FA1">
        <w:rPr>
          <w:rFonts w:ascii="ITC Avant Garde" w:hAnsi="ITC Avant Garde"/>
          <w:b/>
        </w:rPr>
        <w:t>IFT</w:t>
      </w:r>
      <w:r w:rsidR="006637BE" w:rsidRPr="00787FA1">
        <w:rPr>
          <w:rFonts w:ascii="ITC Avant Garde" w:hAnsi="ITC Avant Garde"/>
          <w:b/>
        </w:rPr>
        <w:t>/225UC/DG-VER/</w:t>
      </w:r>
      <w:r w:rsidR="00A31EB0" w:rsidRPr="00787FA1">
        <w:rPr>
          <w:rFonts w:ascii="ITC Avant Garde" w:hAnsi="ITC Avant Garde"/>
          <w:b/>
        </w:rPr>
        <w:t>4395</w:t>
      </w:r>
      <w:r w:rsidR="006637BE" w:rsidRPr="00787FA1">
        <w:rPr>
          <w:rFonts w:ascii="ITC Avant Garde" w:hAnsi="ITC Avant Garde"/>
          <w:b/>
        </w:rPr>
        <w:t>/2015</w:t>
      </w:r>
      <w:r w:rsidR="00151DAE" w:rsidRPr="00787FA1">
        <w:rPr>
          <w:rFonts w:ascii="ITC Avant Garde" w:hAnsi="ITC Avant Garde"/>
          <w:b/>
        </w:rPr>
        <w:t xml:space="preserve"> </w:t>
      </w:r>
      <w:r w:rsidR="00A37BF8" w:rsidRPr="00B6684C">
        <w:rPr>
          <w:rFonts w:ascii="ITC Avant Garde" w:hAnsi="ITC Avant Garde"/>
        </w:rPr>
        <w:t>de</w:t>
      </w:r>
      <w:r w:rsidR="00A37BF8">
        <w:rPr>
          <w:rFonts w:ascii="ITC Avant Garde" w:hAnsi="ITC Avant Garde"/>
          <w:b/>
        </w:rPr>
        <w:t xml:space="preserve"> </w:t>
      </w:r>
      <w:r w:rsidR="00A37BF8" w:rsidRPr="00A37BF8">
        <w:rPr>
          <w:rFonts w:ascii="ITC Avant Garde" w:hAnsi="ITC Avant Garde"/>
        </w:rPr>
        <w:t>veintiséis de octubre de dos mil quince</w:t>
      </w:r>
      <w:r w:rsidR="00B6684C">
        <w:rPr>
          <w:rFonts w:ascii="ITC Avant Garde" w:hAnsi="ITC Avant Garde"/>
        </w:rPr>
        <w:t>,</w:t>
      </w:r>
      <w:r w:rsidR="00A37BF8">
        <w:rPr>
          <w:rFonts w:ascii="ITC Avant Garde" w:hAnsi="ITC Avant Garde"/>
          <w:b/>
        </w:rPr>
        <w:t xml:space="preserve"> </w:t>
      </w:r>
      <w:r w:rsidRPr="00787FA1">
        <w:rPr>
          <w:rFonts w:ascii="ITC Avant Garde" w:hAnsi="ITC Avant Garde"/>
        </w:rPr>
        <w:t xml:space="preserve">dirigida al </w:t>
      </w:r>
      <w:r w:rsidR="00B6684C" w:rsidRPr="004E786E">
        <w:rPr>
          <w:rFonts w:ascii="ITC Avant Garde" w:hAnsi="ITC Avant Garde"/>
          <w:b/>
        </w:rPr>
        <w:t>“</w:t>
      </w:r>
      <w:r w:rsidR="00B6684C" w:rsidRPr="004E75C0">
        <w:rPr>
          <w:rFonts w:ascii="ITC Avant Garde" w:hAnsi="ITC Avant Garde"/>
          <w:b/>
          <w:i/>
        </w:rPr>
        <w:t>PROPIETARIO, Y/O POSEEDOR Y/O RESPONSA</w:t>
      </w:r>
      <w:r w:rsidR="00B6684C">
        <w:rPr>
          <w:rFonts w:ascii="ITC Avant Garde" w:hAnsi="ITC Avant Garde"/>
          <w:b/>
          <w:i/>
        </w:rPr>
        <w:t>BLE, Y/O ENCARGADO DEL INMUEBLE</w:t>
      </w:r>
      <w:r w:rsidR="00B6684C" w:rsidRPr="004E75C0">
        <w:rPr>
          <w:rFonts w:ascii="ITC Avant Garde" w:hAnsi="ITC Avant Garde"/>
          <w:b/>
          <w:i/>
        </w:rPr>
        <w:t xml:space="preserve"> UBICADO EN</w:t>
      </w:r>
      <w:r w:rsidR="00B6684C">
        <w:rPr>
          <w:rFonts w:ascii="ITC Avant Garde" w:hAnsi="ITC Avant Garde"/>
          <w:b/>
          <w:i/>
        </w:rPr>
        <w:t xml:space="preserve">: </w:t>
      </w:r>
      <w:r w:rsidR="00415768" w:rsidRPr="00415768">
        <w:rPr>
          <w:rFonts w:ascii="ITC Avant Garde" w:eastAsia="Times New Roman" w:hAnsi="ITC Avant Garde"/>
          <w:b/>
          <w:bCs/>
          <w:color w:val="0000CC"/>
          <w:lang w:eastAsia="es-MX"/>
        </w:rPr>
        <w:t>RESERVADO POR LEY</w:t>
      </w:r>
      <w:r w:rsidR="00A31EB0" w:rsidRPr="00415768">
        <w:rPr>
          <w:rFonts w:ascii="ITC Avant Garde" w:hAnsi="ITC Avant Garde"/>
          <w:b/>
          <w:i/>
        </w:rPr>
        <w:t>,</w:t>
      </w:r>
      <w:r w:rsidR="00A31EB0" w:rsidRPr="00B6684C">
        <w:rPr>
          <w:rFonts w:ascii="ITC Avant Garde" w:hAnsi="ITC Avant Garde"/>
          <w:b/>
          <w:i/>
        </w:rPr>
        <w:t xml:space="preserve"> Municipio de Ecatepec, Estado de México</w:t>
      </w:r>
      <w:r w:rsidR="00B6684C">
        <w:rPr>
          <w:rFonts w:ascii="ITC Avant Garde" w:hAnsi="ITC Avant Garde"/>
          <w:b/>
          <w:i/>
        </w:rPr>
        <w:t>.</w:t>
      </w:r>
      <w:r w:rsidR="00B6684C" w:rsidRPr="00B6684C">
        <w:rPr>
          <w:rFonts w:ascii="ITC Avant Garde" w:hAnsi="ITC Avant Garde"/>
          <w:b/>
          <w:i/>
        </w:rPr>
        <w:t xml:space="preserve"> </w:t>
      </w:r>
      <w:r w:rsidR="00B6684C">
        <w:rPr>
          <w:rFonts w:ascii="ITC Avant Garde" w:hAnsi="ITC Avant Garde"/>
          <w:b/>
          <w:i/>
        </w:rPr>
        <w:t xml:space="preserve">Así como de las instalaciones y equipos de radiodifusión </w:t>
      </w:r>
      <w:r w:rsidR="00B6684C" w:rsidRPr="004E75C0">
        <w:rPr>
          <w:rFonts w:ascii="ITC Avant Garde" w:hAnsi="ITC Avant Garde"/>
          <w:b/>
          <w:i/>
        </w:rPr>
        <w:t xml:space="preserve">localizados en el </w:t>
      </w:r>
      <w:r w:rsidR="00B6684C">
        <w:rPr>
          <w:rFonts w:ascii="ITC Avant Garde" w:hAnsi="ITC Avant Garde"/>
          <w:b/>
          <w:i/>
        </w:rPr>
        <w:t>mismo”</w:t>
      </w:r>
      <w:r w:rsidR="00B6684C">
        <w:rPr>
          <w:rFonts w:ascii="ITC Avant Garde" w:hAnsi="ITC Avant Garde"/>
        </w:rPr>
        <w:t xml:space="preserve"> (sic)</w:t>
      </w:r>
      <w:r w:rsidRPr="00787FA1">
        <w:rPr>
          <w:rFonts w:ascii="ITC Avant Garde" w:hAnsi="ITC Avant Garde"/>
        </w:rPr>
        <w:t xml:space="preserve">, </w:t>
      </w:r>
      <w:r w:rsidR="00B6684C">
        <w:rPr>
          <w:rFonts w:ascii="ITC Avant Garde" w:hAnsi="ITC Avant Garde"/>
        </w:rPr>
        <w:t xml:space="preserve">en esa misma fecha, </w:t>
      </w:r>
      <w:r w:rsidR="00A31EB0" w:rsidRPr="00787FA1">
        <w:rPr>
          <w:rFonts w:ascii="ITC Avant Garde" w:hAnsi="ITC Avant Garde"/>
          <w:b/>
        </w:rPr>
        <w:t>“</w:t>
      </w:r>
      <w:r w:rsidR="00C56DF0" w:rsidRPr="00787FA1">
        <w:rPr>
          <w:rFonts w:ascii="ITC Avant Garde" w:hAnsi="ITC Avant Garde"/>
          <w:b/>
        </w:rPr>
        <w:t>L</w:t>
      </w:r>
      <w:r w:rsidR="00622BDA" w:rsidRPr="00787FA1">
        <w:rPr>
          <w:rFonts w:ascii="ITC Avant Garde" w:hAnsi="ITC Avant Garde"/>
          <w:b/>
        </w:rPr>
        <w:t>OS</w:t>
      </w:r>
      <w:r w:rsidR="00C56DF0" w:rsidRPr="00787FA1">
        <w:rPr>
          <w:rFonts w:ascii="ITC Avant Garde" w:hAnsi="ITC Avant Garde"/>
          <w:b/>
        </w:rPr>
        <w:t xml:space="preserve"> VERIFICADOR</w:t>
      </w:r>
      <w:r w:rsidR="00622BDA" w:rsidRPr="00787FA1">
        <w:rPr>
          <w:rFonts w:ascii="ITC Avant Garde" w:hAnsi="ITC Avant Garde"/>
          <w:b/>
        </w:rPr>
        <w:t>ES</w:t>
      </w:r>
      <w:r w:rsidR="00A31EB0" w:rsidRPr="00787FA1">
        <w:rPr>
          <w:rFonts w:ascii="ITC Avant Garde" w:hAnsi="ITC Avant Garde"/>
          <w:b/>
        </w:rPr>
        <w:t>”</w:t>
      </w:r>
      <w:r w:rsidRPr="00787FA1">
        <w:rPr>
          <w:rFonts w:ascii="ITC Avant Garde" w:hAnsi="ITC Avant Garde"/>
        </w:rPr>
        <w:t xml:space="preserve"> se constituy</w:t>
      </w:r>
      <w:r w:rsidR="00622BDA" w:rsidRPr="00787FA1">
        <w:rPr>
          <w:rFonts w:ascii="ITC Avant Garde" w:hAnsi="ITC Avant Garde"/>
        </w:rPr>
        <w:t xml:space="preserve">eron </w:t>
      </w:r>
      <w:r w:rsidRPr="00787FA1">
        <w:rPr>
          <w:rFonts w:ascii="ITC Avant Garde" w:hAnsi="ITC Avant Garde"/>
        </w:rPr>
        <w:t xml:space="preserve">en </w:t>
      </w:r>
      <w:r w:rsidR="00151DAE" w:rsidRPr="00787FA1">
        <w:rPr>
          <w:rFonts w:ascii="ITC Avant Garde" w:hAnsi="ITC Avant Garde"/>
        </w:rPr>
        <w:t>dicho</w:t>
      </w:r>
      <w:r w:rsidR="00A31EB0" w:rsidRPr="00787FA1">
        <w:rPr>
          <w:rFonts w:ascii="ITC Avant Garde" w:hAnsi="ITC Avant Garde"/>
        </w:rPr>
        <w:t xml:space="preserve"> lugar</w:t>
      </w:r>
      <w:r w:rsidRPr="00787FA1">
        <w:rPr>
          <w:rFonts w:ascii="ITC Avant Garde" w:hAnsi="ITC Avant Garde"/>
        </w:rPr>
        <w:t xml:space="preserve">, </w:t>
      </w:r>
      <w:r w:rsidR="007F2F0A" w:rsidRPr="00787FA1">
        <w:rPr>
          <w:rFonts w:ascii="ITC Avant Garde" w:hAnsi="ITC Avant Garde"/>
        </w:rPr>
        <w:t>donde se realizó un monitoreo de radiofrecuencia</w:t>
      </w:r>
      <w:r w:rsidR="00B6684C">
        <w:rPr>
          <w:rFonts w:ascii="ITC Avant Garde" w:hAnsi="ITC Avant Garde"/>
        </w:rPr>
        <w:t>s</w:t>
      </w:r>
      <w:r w:rsidR="007F2F0A" w:rsidRPr="00787FA1">
        <w:rPr>
          <w:rFonts w:ascii="ITC Avant Garde" w:hAnsi="ITC Avant Garde"/>
        </w:rPr>
        <w:t xml:space="preserve"> en </w:t>
      </w:r>
      <w:r w:rsidR="007F2F0A" w:rsidRPr="00787FA1">
        <w:rPr>
          <w:rFonts w:ascii="ITC Avant Garde" w:hAnsi="ITC Avant Garde"/>
          <w:b/>
        </w:rPr>
        <w:t>FM</w:t>
      </w:r>
      <w:r w:rsidR="007F2F0A" w:rsidRPr="00787FA1">
        <w:rPr>
          <w:rFonts w:ascii="ITC Avant Garde" w:hAnsi="ITC Avant Garde"/>
        </w:rPr>
        <w:t xml:space="preserve">, </w:t>
      </w:r>
      <w:r w:rsidR="00622BDA" w:rsidRPr="00787FA1">
        <w:rPr>
          <w:rFonts w:ascii="ITC Avant Garde" w:hAnsi="ITC Avant Garde"/>
        </w:rPr>
        <w:t xml:space="preserve">a efecto de determinar la ubicación del domicilio donde presuntamente se transmitía la frecuencia </w:t>
      </w:r>
      <w:r w:rsidR="00622BDA" w:rsidRPr="00787FA1">
        <w:rPr>
          <w:rFonts w:ascii="ITC Avant Garde" w:hAnsi="ITC Avant Garde"/>
          <w:b/>
        </w:rPr>
        <w:t>10</w:t>
      </w:r>
      <w:r w:rsidR="00A31EB0" w:rsidRPr="00787FA1">
        <w:rPr>
          <w:rFonts w:ascii="ITC Avant Garde" w:hAnsi="ITC Avant Garde"/>
          <w:b/>
        </w:rPr>
        <w:t>5.3</w:t>
      </w:r>
      <w:r w:rsidR="00622BDA" w:rsidRPr="00787FA1">
        <w:rPr>
          <w:rFonts w:ascii="ITC Avant Garde" w:hAnsi="ITC Avant Garde"/>
          <w:b/>
        </w:rPr>
        <w:t xml:space="preserve"> MH</w:t>
      </w:r>
      <w:r w:rsidR="00A31EB0" w:rsidRPr="00787FA1">
        <w:rPr>
          <w:rFonts w:ascii="ITC Avant Garde" w:hAnsi="ITC Avant Garde"/>
          <w:b/>
        </w:rPr>
        <w:t>z.</w:t>
      </w:r>
      <w:r w:rsidR="00622BDA" w:rsidRPr="00787FA1">
        <w:rPr>
          <w:rFonts w:ascii="ITC Avant Garde" w:hAnsi="ITC Avant Garde"/>
          <w:b/>
        </w:rPr>
        <w:t xml:space="preserve"> </w:t>
      </w:r>
      <w:r w:rsidR="00307BDE" w:rsidRPr="00787FA1">
        <w:rPr>
          <w:rFonts w:ascii="ITC Avant Garde" w:hAnsi="ITC Avant Garde"/>
        </w:rPr>
        <w:t xml:space="preserve">En tal sentido, </w:t>
      </w:r>
      <w:r w:rsidR="00A31EB0" w:rsidRPr="00787FA1">
        <w:rPr>
          <w:rFonts w:ascii="ITC Avant Garde" w:hAnsi="ITC Avant Garde"/>
          <w:b/>
        </w:rPr>
        <w:t>“</w:t>
      </w:r>
      <w:r w:rsidR="00622BDA" w:rsidRPr="00787FA1">
        <w:rPr>
          <w:rFonts w:ascii="ITC Avant Garde" w:hAnsi="ITC Avant Garde"/>
          <w:b/>
        </w:rPr>
        <w:t xml:space="preserve">LOS </w:t>
      </w:r>
      <w:r w:rsidR="00CD3258" w:rsidRPr="00787FA1">
        <w:rPr>
          <w:rFonts w:ascii="ITC Avant Garde" w:hAnsi="ITC Avant Garde"/>
          <w:b/>
        </w:rPr>
        <w:t>VERIFICADORES</w:t>
      </w:r>
      <w:r w:rsidR="00A31EB0" w:rsidRPr="00787FA1">
        <w:rPr>
          <w:rFonts w:ascii="ITC Avant Garde" w:hAnsi="ITC Avant Garde"/>
          <w:b/>
        </w:rPr>
        <w:t>”</w:t>
      </w:r>
      <w:r w:rsidR="00CD3258" w:rsidRPr="00787FA1">
        <w:rPr>
          <w:rFonts w:ascii="ITC Avant Garde" w:hAnsi="ITC Avant Garde"/>
          <w:b/>
        </w:rPr>
        <w:t xml:space="preserve"> </w:t>
      </w:r>
      <w:r w:rsidR="00CD3258" w:rsidRPr="00787FA1">
        <w:rPr>
          <w:rFonts w:ascii="ITC Avant Garde" w:hAnsi="ITC Avant Garde"/>
        </w:rPr>
        <w:t xml:space="preserve">obtuvieron gráficas de radiomonitoreo y grabación del audio de las transmisiones y a través de un analizador de espectro, se determinó la ubicación exacta de la estación de radiodifusión que operaba dicha frecuencia, siendo el domicilio ubicado en </w:t>
      </w:r>
      <w:r w:rsidR="00415768" w:rsidRPr="00415768">
        <w:rPr>
          <w:rFonts w:ascii="ITC Avant Garde" w:eastAsia="Times New Roman" w:hAnsi="ITC Avant Garde"/>
          <w:b/>
          <w:bCs/>
          <w:color w:val="0000CC"/>
          <w:lang w:eastAsia="es-MX"/>
        </w:rPr>
        <w:t>RESERVADO POR LEY</w:t>
      </w:r>
      <w:r w:rsidR="00A31EB0" w:rsidRPr="00787FA1">
        <w:rPr>
          <w:rFonts w:ascii="ITC Avant Garde" w:hAnsi="ITC Avant Garde"/>
          <w:b/>
        </w:rPr>
        <w:t xml:space="preserve">, Municipio de Ecatepec </w:t>
      </w:r>
      <w:proofErr w:type="spellStart"/>
      <w:r w:rsidR="00E74308" w:rsidRPr="00787FA1">
        <w:rPr>
          <w:rFonts w:ascii="ITC Avant Garde" w:hAnsi="ITC Avant Garde"/>
          <w:b/>
        </w:rPr>
        <w:t>Ecatepec</w:t>
      </w:r>
      <w:proofErr w:type="spellEnd"/>
      <w:r w:rsidR="00E74308" w:rsidRPr="00787FA1">
        <w:rPr>
          <w:rFonts w:ascii="ITC Avant Garde" w:hAnsi="ITC Avant Garde"/>
          <w:b/>
        </w:rPr>
        <w:t xml:space="preserve"> de Morelos</w:t>
      </w:r>
      <w:r w:rsidR="00A31EB0" w:rsidRPr="00787FA1">
        <w:rPr>
          <w:rFonts w:ascii="ITC Avant Garde" w:hAnsi="ITC Avant Garde"/>
          <w:b/>
        </w:rPr>
        <w:t>, Estado de México</w:t>
      </w:r>
      <w:r w:rsidRPr="00787FA1">
        <w:rPr>
          <w:rFonts w:ascii="ITC Avant Garde" w:hAnsi="ITC Avant Garde"/>
        </w:rPr>
        <w:t>.</w:t>
      </w:r>
    </w:p>
    <w:p w:rsidR="00E43A26" w:rsidRPr="00787FA1" w:rsidRDefault="00A84011" w:rsidP="00A84011">
      <w:pPr>
        <w:spacing w:before="240" w:after="0" w:line="360" w:lineRule="auto"/>
        <w:jc w:val="center"/>
        <w:rPr>
          <w:rFonts w:ascii="ITC Avant Garde" w:hAnsi="ITC Avant Garde"/>
        </w:rPr>
      </w:pPr>
      <w:r w:rsidRPr="00787FA1">
        <w:rPr>
          <w:rFonts w:ascii="ITC Avant Garde" w:hAnsi="ITC Avant Garde"/>
          <w:noProof/>
          <w:lang w:eastAsia="es-MX"/>
        </w:rPr>
        <w:lastRenderedPageBreak/>
        <w:drawing>
          <wp:inline distT="0" distB="0" distL="0" distR="0">
            <wp:extent cx="4502785" cy="3166110"/>
            <wp:effectExtent l="0" t="0" r="0" b="0"/>
            <wp:docPr id="1" name="Imagen 1" descr="Gráfica de radiomonitoreo y grabación de audio de las transmisiones obtenidas por el Instituto." title="Gráfi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l="14052" t="6195" r="27495" b="9187"/>
                    <a:stretch>
                      <a:fillRect/>
                    </a:stretch>
                  </pic:blipFill>
                  <pic:spPr bwMode="auto">
                    <a:xfrm>
                      <a:off x="0" y="0"/>
                      <a:ext cx="4502785" cy="3166110"/>
                    </a:xfrm>
                    <a:prstGeom prst="rect">
                      <a:avLst/>
                    </a:prstGeom>
                    <a:noFill/>
                    <a:ln>
                      <a:noFill/>
                    </a:ln>
                  </pic:spPr>
                </pic:pic>
              </a:graphicData>
            </a:graphic>
          </wp:inline>
        </w:drawing>
      </w:r>
    </w:p>
    <w:p w:rsidR="004D6D5C" w:rsidRPr="00787FA1" w:rsidRDefault="009567BA" w:rsidP="00A84011">
      <w:pPr>
        <w:spacing w:before="240" w:after="0" w:line="360" w:lineRule="auto"/>
        <w:jc w:val="both"/>
        <w:rPr>
          <w:rFonts w:ascii="ITC Avant Garde" w:hAnsi="ITC Avant Garde"/>
        </w:rPr>
      </w:pPr>
      <w:r w:rsidRPr="00787FA1">
        <w:rPr>
          <w:rFonts w:ascii="ITC Avant Garde" w:eastAsia="Times New Roman" w:hAnsi="ITC Avant Garde"/>
          <w:bCs/>
          <w:color w:val="000000"/>
          <w:lang w:eastAsia="es-MX"/>
        </w:rPr>
        <w:t>En consecuencia,</w:t>
      </w:r>
      <w:r w:rsidRPr="00787FA1">
        <w:rPr>
          <w:rFonts w:ascii="ITC Avant Garde" w:hAnsi="ITC Avant Garde"/>
        </w:rPr>
        <w:t xml:space="preserve"> </w:t>
      </w:r>
      <w:r w:rsidR="00D91548" w:rsidRPr="00787FA1">
        <w:rPr>
          <w:rFonts w:ascii="ITC Avant Garde" w:hAnsi="ITC Avant Garde"/>
          <w:b/>
        </w:rPr>
        <w:t>“</w:t>
      </w:r>
      <w:r w:rsidRPr="00787FA1">
        <w:rPr>
          <w:rFonts w:ascii="ITC Avant Garde" w:eastAsia="Times New Roman" w:hAnsi="ITC Avant Garde"/>
          <w:b/>
          <w:bCs/>
          <w:color w:val="000000"/>
          <w:lang w:eastAsia="es-MX"/>
        </w:rPr>
        <w:t>LOS VERIFICADORES</w:t>
      </w:r>
      <w:r w:rsidR="00D91548"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se constituyeron en el domicilio ubicado</w:t>
      </w:r>
      <w:r w:rsidRPr="00787FA1">
        <w:rPr>
          <w:rFonts w:ascii="ITC Avant Garde" w:hAnsi="ITC Avant Garde"/>
        </w:rPr>
        <w:t xml:space="preserve"> en </w:t>
      </w:r>
      <w:r w:rsidR="00415768" w:rsidRPr="00415768">
        <w:rPr>
          <w:rFonts w:ascii="ITC Avant Garde" w:eastAsia="Times New Roman" w:hAnsi="ITC Avant Garde"/>
          <w:b/>
          <w:bCs/>
          <w:color w:val="0000CC"/>
          <w:lang w:eastAsia="es-MX"/>
        </w:rPr>
        <w:t>RESERVADO POR LEY</w:t>
      </w:r>
      <w:r w:rsidR="00D91548" w:rsidRPr="00415768">
        <w:rPr>
          <w:rFonts w:ascii="ITC Avant Garde" w:hAnsi="ITC Avant Garde"/>
          <w:b/>
        </w:rPr>
        <w:t>,</w:t>
      </w:r>
      <w:r w:rsidR="00D91548" w:rsidRPr="00787FA1">
        <w:rPr>
          <w:rFonts w:ascii="ITC Avant Garde" w:hAnsi="ITC Avant Garde"/>
          <w:b/>
        </w:rPr>
        <w:t xml:space="preserve"> Municipio de Ecatepec, Estado de México</w:t>
      </w:r>
      <w:r w:rsidRPr="00787FA1" w:rsidDel="009567BA">
        <w:rPr>
          <w:rFonts w:ascii="ITC Avant Garde" w:eastAsia="Times New Roman" w:hAnsi="ITC Avant Garde"/>
          <w:bCs/>
          <w:color w:val="000000"/>
          <w:lang w:eastAsia="es-MX"/>
        </w:rPr>
        <w:t xml:space="preserve"> </w:t>
      </w:r>
      <w:r w:rsidR="004D6D5C" w:rsidRPr="00787FA1">
        <w:rPr>
          <w:rFonts w:ascii="ITC Avant Garde" w:eastAsia="Times New Roman" w:hAnsi="ITC Avant Garde"/>
          <w:bCs/>
          <w:color w:val="000000"/>
          <w:lang w:eastAsia="es-MX"/>
        </w:rPr>
        <w:t xml:space="preserve">(lugar de origen de la señal) y </w:t>
      </w:r>
      <w:r w:rsidR="000F5E24" w:rsidRPr="00787FA1">
        <w:rPr>
          <w:rFonts w:ascii="ITC Avant Garde" w:hAnsi="ITC Avant Garde"/>
        </w:rPr>
        <w:t>levant</w:t>
      </w:r>
      <w:r w:rsidR="00376B18" w:rsidRPr="00787FA1">
        <w:rPr>
          <w:rFonts w:ascii="ITC Avant Garde" w:hAnsi="ITC Avant Garde"/>
        </w:rPr>
        <w:t>aron</w:t>
      </w:r>
      <w:r w:rsidR="000F5E24" w:rsidRPr="00787FA1">
        <w:rPr>
          <w:rFonts w:ascii="ITC Avant Garde" w:hAnsi="ITC Avant Garde"/>
        </w:rPr>
        <w:t xml:space="preserve"> el </w:t>
      </w:r>
      <w:r w:rsidR="00B6684C" w:rsidRPr="00B6684C">
        <w:rPr>
          <w:rFonts w:ascii="ITC Avant Garde" w:hAnsi="ITC Avant Garde"/>
          <w:b/>
        </w:rPr>
        <w:t>“</w:t>
      </w:r>
      <w:r w:rsidR="0097256F" w:rsidRPr="00787FA1">
        <w:rPr>
          <w:rFonts w:ascii="ITC Avant Garde" w:hAnsi="ITC Avant Garde"/>
          <w:b/>
        </w:rPr>
        <w:t xml:space="preserve">ACTA DE </w:t>
      </w:r>
      <w:r w:rsidR="00376B18" w:rsidRPr="00787FA1">
        <w:rPr>
          <w:rFonts w:ascii="ITC Avant Garde" w:hAnsi="ITC Avant Garde"/>
          <w:b/>
        </w:rPr>
        <w:t>VERIFICACIÓN ORDINARIA</w:t>
      </w:r>
      <w:r w:rsidR="00B6684C">
        <w:rPr>
          <w:rFonts w:ascii="ITC Avant Garde" w:hAnsi="ITC Avant Garde"/>
          <w:b/>
        </w:rPr>
        <w:t>”</w:t>
      </w:r>
      <w:r w:rsidR="00376B18" w:rsidRPr="00787FA1">
        <w:rPr>
          <w:rFonts w:ascii="ITC Avant Garde" w:hAnsi="ITC Avant Garde"/>
          <w:b/>
        </w:rPr>
        <w:t xml:space="preserve"> </w:t>
      </w:r>
      <w:r w:rsidR="000F5E24" w:rsidRPr="00787FA1">
        <w:rPr>
          <w:rFonts w:ascii="ITC Avant Garde" w:hAnsi="ITC Avant Garde"/>
        </w:rPr>
        <w:t>número</w:t>
      </w:r>
      <w:r w:rsidR="000F5E24" w:rsidRPr="00787FA1">
        <w:rPr>
          <w:rFonts w:ascii="ITC Avant Garde" w:hAnsi="ITC Avant Garde"/>
          <w:b/>
        </w:rPr>
        <w:t xml:space="preserve"> </w:t>
      </w:r>
      <w:r w:rsidR="00376B18" w:rsidRPr="00787FA1">
        <w:rPr>
          <w:rFonts w:ascii="ITC Avant Garde" w:eastAsia="Times New Roman" w:hAnsi="ITC Avant Garde"/>
          <w:b/>
          <w:bCs/>
          <w:color w:val="000000"/>
          <w:lang w:eastAsia="es-MX"/>
        </w:rPr>
        <w:t>IFT/DF/DGV/</w:t>
      </w:r>
      <w:r w:rsidR="00D91548" w:rsidRPr="00787FA1">
        <w:rPr>
          <w:rFonts w:ascii="ITC Avant Garde" w:eastAsia="Times New Roman" w:hAnsi="ITC Avant Garde"/>
          <w:b/>
          <w:bCs/>
          <w:color w:val="000000"/>
          <w:lang w:eastAsia="es-MX"/>
        </w:rPr>
        <w:t>1095</w:t>
      </w:r>
      <w:r w:rsidR="00376B18" w:rsidRPr="00787FA1">
        <w:rPr>
          <w:rFonts w:ascii="ITC Avant Garde" w:eastAsia="Times New Roman" w:hAnsi="ITC Avant Garde"/>
          <w:b/>
          <w:bCs/>
          <w:color w:val="000000"/>
          <w:lang w:eastAsia="es-MX"/>
        </w:rPr>
        <w:t xml:space="preserve">/2015 </w:t>
      </w:r>
      <w:r w:rsidR="004D6D5C" w:rsidRPr="00787FA1">
        <w:rPr>
          <w:rFonts w:ascii="ITC Avant Garde" w:eastAsia="Times New Roman" w:hAnsi="ITC Avant Garde"/>
          <w:bCs/>
          <w:color w:val="000000"/>
          <w:lang w:eastAsia="es-MX"/>
        </w:rPr>
        <w:t>dándose por terminada dicha diligencia el mismo día de su inicio.</w:t>
      </w:r>
    </w:p>
    <w:p w:rsidR="004D6D5C" w:rsidRPr="00787FA1" w:rsidRDefault="004D6D5C" w:rsidP="00A84011">
      <w:pPr>
        <w:spacing w:before="240" w:after="0" w:line="360" w:lineRule="auto"/>
        <w:jc w:val="both"/>
        <w:rPr>
          <w:rFonts w:ascii="ITC Avant Garde" w:eastAsia="Times New Roman" w:hAnsi="ITC Avant Garde"/>
          <w:lang w:eastAsia="es-ES"/>
        </w:rPr>
      </w:pPr>
      <w:r w:rsidRPr="00787FA1">
        <w:rPr>
          <w:rFonts w:ascii="ITC Avant Garde" w:eastAsia="Times New Roman" w:hAnsi="ITC Avant Garde"/>
          <w:bCs/>
          <w:color w:val="000000"/>
          <w:lang w:eastAsia="es-MX"/>
        </w:rPr>
        <w:t xml:space="preserve">Ahora bien, una vez que </w:t>
      </w:r>
      <w:r w:rsidR="00D91548"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LOS VERIFICADORES</w:t>
      </w:r>
      <w:r w:rsidR="00D91548"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se constituyeron en el domicilio en el cual se localizó en operación la frecuencia </w:t>
      </w:r>
      <w:r w:rsidRPr="00787FA1">
        <w:rPr>
          <w:rFonts w:ascii="ITC Avant Garde" w:eastAsia="Times New Roman" w:hAnsi="ITC Avant Garde"/>
          <w:b/>
          <w:bCs/>
          <w:color w:val="000000"/>
          <w:lang w:eastAsia="es-MX"/>
        </w:rPr>
        <w:t>10</w:t>
      </w:r>
      <w:r w:rsidR="00D91548" w:rsidRPr="00787FA1">
        <w:rPr>
          <w:rFonts w:ascii="ITC Avant Garde" w:eastAsia="Times New Roman" w:hAnsi="ITC Avant Garde"/>
          <w:b/>
          <w:bCs/>
          <w:color w:val="000000"/>
          <w:lang w:eastAsia="es-MX"/>
        </w:rPr>
        <w:t>5.3</w:t>
      </w:r>
      <w:r w:rsidRPr="00787FA1">
        <w:rPr>
          <w:rFonts w:ascii="ITC Avant Garde" w:eastAsia="Times New Roman" w:hAnsi="ITC Avant Garde"/>
          <w:b/>
          <w:bCs/>
          <w:color w:val="000000"/>
          <w:lang w:eastAsia="es-MX"/>
        </w:rPr>
        <w:t xml:space="preserve"> MHz</w:t>
      </w:r>
      <w:r w:rsidRPr="00787FA1">
        <w:rPr>
          <w:rFonts w:ascii="ITC Avant Garde" w:eastAsia="Times New Roman" w:hAnsi="ITC Avant Garde"/>
          <w:bCs/>
          <w:color w:val="000000"/>
          <w:lang w:eastAsia="es-MX"/>
        </w:rPr>
        <w:t>, solicitaron la identificación de la persona que recibió la visita</w:t>
      </w:r>
      <w:r w:rsidRPr="00787FA1">
        <w:rPr>
          <w:rFonts w:ascii="ITC Avant Garde" w:hAnsi="ITC Avant Garde"/>
        </w:rPr>
        <w:t xml:space="preserve">, quien dijo llamarse </w:t>
      </w:r>
      <w:r w:rsidR="00415768" w:rsidRPr="00415768">
        <w:rPr>
          <w:rFonts w:ascii="ITC Avant Garde" w:eastAsia="Times New Roman" w:hAnsi="ITC Avant Garde"/>
          <w:b/>
          <w:bCs/>
          <w:color w:val="0000CC"/>
          <w:lang w:eastAsia="es-MX"/>
        </w:rPr>
        <w:t>RESERVADO POR LEY</w:t>
      </w:r>
      <w:r w:rsidR="00D91548" w:rsidRPr="00787FA1">
        <w:rPr>
          <w:rFonts w:ascii="ITC Avant Garde" w:eastAsia="Times New Roman" w:hAnsi="ITC Avant Garde"/>
          <w:bCs/>
          <w:color w:val="000000"/>
          <w:lang w:eastAsia="es-MX"/>
        </w:rPr>
        <w:t xml:space="preserve">, quien no exhibió identificación alguna y señaló bajo protesta de decir verdad </w:t>
      </w:r>
      <w:r w:rsidR="00E74308" w:rsidRPr="00787FA1">
        <w:rPr>
          <w:rFonts w:ascii="ITC Avant Garde" w:eastAsia="Times New Roman" w:hAnsi="ITC Avant Garde"/>
          <w:bCs/>
          <w:color w:val="000000"/>
          <w:lang w:eastAsia="es-MX"/>
        </w:rPr>
        <w:t>“</w:t>
      </w:r>
      <w:r w:rsidR="00E74308" w:rsidRPr="00787FA1">
        <w:rPr>
          <w:rFonts w:ascii="ITC Avant Garde" w:eastAsia="Times New Roman" w:hAnsi="ITC Avant Garde"/>
          <w:bCs/>
          <w:i/>
          <w:color w:val="000000"/>
          <w:lang w:eastAsia="es-MX"/>
        </w:rPr>
        <w:t>que es encargado de la casa</w:t>
      </w:r>
      <w:r w:rsidR="00E74308" w:rsidRPr="00787FA1">
        <w:rPr>
          <w:rFonts w:ascii="ITC Avant Garde" w:eastAsia="Times New Roman" w:hAnsi="ITC Avant Garde"/>
          <w:bCs/>
          <w:color w:val="000000"/>
          <w:lang w:eastAsia="es-MX"/>
        </w:rPr>
        <w:t xml:space="preserve">” </w:t>
      </w:r>
      <w:r w:rsidR="00D91548" w:rsidRPr="00787FA1">
        <w:rPr>
          <w:rFonts w:ascii="ITC Avant Garde" w:eastAsia="Times New Roman" w:hAnsi="ITC Avant Garde"/>
          <w:bCs/>
          <w:color w:val="000000"/>
          <w:lang w:eastAsia="es-MX"/>
        </w:rPr>
        <w:t xml:space="preserve"> y que </w:t>
      </w:r>
      <w:r w:rsidR="00D91548" w:rsidRPr="00787FA1">
        <w:rPr>
          <w:rFonts w:ascii="ITC Avant Garde" w:eastAsia="Times New Roman" w:hAnsi="ITC Avant Garde"/>
          <w:bCs/>
          <w:i/>
          <w:color w:val="000000"/>
          <w:lang w:eastAsia="es-MX"/>
        </w:rPr>
        <w:t>“no tiene ninguna identificación”</w:t>
      </w:r>
      <w:r w:rsidR="003C5DFF" w:rsidRPr="00787FA1">
        <w:rPr>
          <w:rFonts w:ascii="ITC Avant Garde" w:eastAsia="Times New Roman" w:hAnsi="ITC Avant Garde"/>
          <w:lang w:eastAsia="es-ES"/>
        </w:rPr>
        <w:t xml:space="preserve">. Asimismo, se le hizo saber a la persona que atendió la diligencia el motivo de la misma y se le hizo entrega del oficio </w:t>
      </w:r>
      <w:r w:rsidR="003C5DFF" w:rsidRPr="00787FA1">
        <w:rPr>
          <w:rFonts w:ascii="ITC Avant Garde" w:eastAsia="Times New Roman" w:hAnsi="ITC Avant Garde"/>
          <w:b/>
          <w:lang w:eastAsia="es-ES"/>
        </w:rPr>
        <w:t>IFT/225/UC/DG-VER/</w:t>
      </w:r>
      <w:r w:rsidR="00D91548" w:rsidRPr="00787FA1">
        <w:rPr>
          <w:rFonts w:ascii="ITC Avant Garde" w:eastAsia="Times New Roman" w:hAnsi="ITC Avant Garde"/>
          <w:b/>
          <w:lang w:eastAsia="es-ES"/>
        </w:rPr>
        <w:t>4395</w:t>
      </w:r>
      <w:r w:rsidR="003C5DFF" w:rsidRPr="00787FA1">
        <w:rPr>
          <w:rFonts w:ascii="ITC Avant Garde" w:eastAsia="Times New Roman" w:hAnsi="ITC Avant Garde"/>
          <w:b/>
          <w:lang w:eastAsia="es-ES"/>
        </w:rPr>
        <w:t xml:space="preserve">/2015 </w:t>
      </w:r>
      <w:r w:rsidR="003C5DFF" w:rsidRPr="00787FA1">
        <w:rPr>
          <w:rFonts w:ascii="ITC Avant Garde" w:eastAsia="Times New Roman" w:hAnsi="ITC Avant Garde"/>
          <w:lang w:eastAsia="es-ES"/>
        </w:rPr>
        <w:t xml:space="preserve">de </w:t>
      </w:r>
      <w:r w:rsidR="00D91548" w:rsidRPr="00787FA1">
        <w:rPr>
          <w:rFonts w:ascii="ITC Avant Garde" w:eastAsia="Times New Roman" w:hAnsi="ITC Avant Garde"/>
          <w:lang w:eastAsia="es-ES"/>
        </w:rPr>
        <w:t xml:space="preserve">veintiséis </w:t>
      </w:r>
      <w:r w:rsidR="003C5DFF" w:rsidRPr="00787FA1">
        <w:rPr>
          <w:rFonts w:ascii="ITC Avant Garde" w:eastAsia="Times New Roman" w:hAnsi="ITC Avant Garde"/>
          <w:lang w:eastAsia="es-ES"/>
        </w:rPr>
        <w:t xml:space="preserve">de </w:t>
      </w:r>
      <w:r w:rsidR="00D91548" w:rsidRPr="00787FA1">
        <w:rPr>
          <w:rFonts w:ascii="ITC Avant Garde" w:eastAsia="Times New Roman" w:hAnsi="ITC Avant Garde"/>
          <w:lang w:eastAsia="es-ES"/>
        </w:rPr>
        <w:t xml:space="preserve">octubre </w:t>
      </w:r>
      <w:r w:rsidR="003C5DFF" w:rsidRPr="00787FA1">
        <w:rPr>
          <w:rFonts w:ascii="ITC Avant Garde" w:eastAsia="Times New Roman" w:hAnsi="ITC Avant Garde"/>
          <w:lang w:eastAsia="es-ES"/>
        </w:rPr>
        <w:t xml:space="preserve">de dos mil quince. No obstante, se negó a firmar una copia de dicho oficio como </w:t>
      </w:r>
      <w:r w:rsidR="003C5DFF" w:rsidRPr="008E3C33">
        <w:rPr>
          <w:rFonts w:ascii="ITC Avant Garde" w:eastAsia="Times New Roman" w:hAnsi="ITC Avant Garde"/>
          <w:lang w:eastAsia="es-ES"/>
        </w:rPr>
        <w:t>constancia</w:t>
      </w:r>
      <w:r w:rsidR="003C5DFF" w:rsidRPr="00787FA1">
        <w:rPr>
          <w:rFonts w:ascii="ITC Avant Garde" w:eastAsia="Times New Roman" w:hAnsi="ITC Avant Garde"/>
          <w:lang w:eastAsia="es-ES"/>
        </w:rPr>
        <w:t xml:space="preserve"> de acuse de recibo, </w:t>
      </w:r>
      <w:r w:rsidR="00D91548" w:rsidRPr="00787FA1">
        <w:rPr>
          <w:rFonts w:ascii="ITC Avant Garde" w:eastAsia="Times New Roman" w:hAnsi="ITC Avant Garde"/>
          <w:lang w:eastAsia="es-ES"/>
        </w:rPr>
        <w:t xml:space="preserve">manifestando la persona que atendió la diligencia que </w:t>
      </w:r>
      <w:r w:rsidR="00D91548" w:rsidRPr="00787FA1">
        <w:rPr>
          <w:rFonts w:ascii="ITC Avant Garde" w:eastAsia="Times New Roman" w:hAnsi="ITC Avant Garde"/>
          <w:i/>
          <w:lang w:eastAsia="es-ES"/>
        </w:rPr>
        <w:t>“… si lo recibe pero que no va a firmar nada porque no quiere tener problemas”</w:t>
      </w:r>
      <w:r w:rsidR="003C5DFF" w:rsidRPr="00787FA1">
        <w:rPr>
          <w:rFonts w:ascii="ITC Avant Garde" w:eastAsia="Times New Roman" w:hAnsi="ITC Avant Garde"/>
          <w:i/>
          <w:lang w:eastAsia="es-ES"/>
        </w:rPr>
        <w:t>.</w:t>
      </w:r>
      <w:r w:rsidR="003C1516" w:rsidRPr="00787FA1">
        <w:rPr>
          <w:rFonts w:ascii="ITC Avant Garde" w:eastAsia="Times New Roman" w:hAnsi="ITC Avant Garde"/>
          <w:i/>
          <w:lang w:eastAsia="es-ES"/>
        </w:rPr>
        <w:t xml:space="preserve"> </w:t>
      </w:r>
    </w:p>
    <w:p w:rsidR="00484062" w:rsidRPr="00787FA1" w:rsidRDefault="00484062" w:rsidP="00A84011">
      <w:pPr>
        <w:spacing w:before="240" w:after="0" w:line="360" w:lineRule="auto"/>
        <w:jc w:val="both"/>
        <w:rPr>
          <w:rFonts w:ascii="ITC Avant Garde" w:eastAsia="Times New Roman" w:hAnsi="ITC Avant Garde"/>
          <w:lang w:eastAsia="es-ES"/>
        </w:rPr>
      </w:pPr>
      <w:r w:rsidRPr="00787FA1">
        <w:rPr>
          <w:rFonts w:ascii="ITC Avant Garde" w:eastAsia="Times New Roman" w:hAnsi="ITC Avant Garde"/>
          <w:lang w:eastAsia="es-ES"/>
        </w:rPr>
        <w:lastRenderedPageBreak/>
        <w:t xml:space="preserve">Asimismo, </w:t>
      </w:r>
      <w:r w:rsidR="006A7096" w:rsidRPr="00787FA1">
        <w:rPr>
          <w:rFonts w:ascii="ITC Avant Garde" w:eastAsia="Times New Roman" w:hAnsi="ITC Avant Garde"/>
          <w:lang w:eastAsia="es-ES"/>
        </w:rPr>
        <w:t xml:space="preserve">toda vez que </w:t>
      </w:r>
      <w:r w:rsidR="00307BDE" w:rsidRPr="00787FA1">
        <w:rPr>
          <w:rFonts w:ascii="ITC Avant Garde" w:eastAsia="Times New Roman" w:hAnsi="ITC Avant Garde"/>
          <w:lang w:eastAsia="es-ES"/>
        </w:rPr>
        <w:t xml:space="preserve">la persona que atendió la diligencia </w:t>
      </w:r>
      <w:r w:rsidR="00D91548" w:rsidRPr="00787FA1">
        <w:rPr>
          <w:rFonts w:ascii="ITC Avant Garde" w:eastAsia="Times New Roman" w:hAnsi="ITC Avant Garde"/>
          <w:lang w:eastAsia="es-ES"/>
        </w:rPr>
        <w:t xml:space="preserve">no nombró testigos de asistencia, </w:t>
      </w:r>
      <w:r w:rsidR="00D91548" w:rsidRPr="00787FA1">
        <w:rPr>
          <w:rFonts w:ascii="ITC Avant Garde" w:eastAsia="Times New Roman" w:hAnsi="ITC Avant Garde"/>
          <w:b/>
          <w:lang w:eastAsia="es-ES"/>
        </w:rPr>
        <w:t>“</w:t>
      </w:r>
      <w:r w:rsidRPr="00787FA1">
        <w:rPr>
          <w:rFonts w:ascii="ITC Avant Garde" w:hAnsi="ITC Avant Garde"/>
          <w:b/>
        </w:rPr>
        <w:t>LOS VERIFICADORES</w:t>
      </w:r>
      <w:r w:rsidR="00D91548" w:rsidRPr="00787FA1">
        <w:rPr>
          <w:rFonts w:ascii="ITC Avant Garde" w:hAnsi="ITC Avant Garde"/>
          <w:b/>
        </w:rPr>
        <w:t>”</w:t>
      </w:r>
      <w:r w:rsidR="00641A9A" w:rsidRPr="00787FA1">
        <w:rPr>
          <w:rFonts w:ascii="ITC Avant Garde" w:hAnsi="ITC Avant Garde"/>
          <w:b/>
        </w:rPr>
        <w:t xml:space="preserve"> </w:t>
      </w:r>
      <w:r w:rsidR="00641A9A" w:rsidRPr="00787FA1">
        <w:rPr>
          <w:rFonts w:ascii="ITC Avant Garde" w:hAnsi="ITC Avant Garde"/>
        </w:rPr>
        <w:t xml:space="preserve">nombraron a </w:t>
      </w:r>
      <w:r w:rsidR="00D91548" w:rsidRPr="00787FA1">
        <w:rPr>
          <w:rFonts w:ascii="ITC Avant Garde" w:hAnsi="ITC Avant Garde"/>
          <w:b/>
        </w:rPr>
        <w:t>DANIEL PÉREZ MÉRIDA y PEDRO DANIEL REYES GÓMEZ</w:t>
      </w:r>
      <w:r w:rsidR="00641A9A" w:rsidRPr="00787FA1">
        <w:rPr>
          <w:rFonts w:ascii="ITC Avant Garde" w:hAnsi="ITC Avant Garde"/>
        </w:rPr>
        <w:t>, quienes aceptaron la designación como testigos de asistencia en dicha actuación</w:t>
      </w:r>
      <w:r w:rsidR="00CA216E">
        <w:rPr>
          <w:rFonts w:ascii="ITC Avant Garde" w:hAnsi="ITC Avant Garde"/>
        </w:rPr>
        <w:t>.</w:t>
      </w:r>
    </w:p>
    <w:p w:rsidR="00D91548" w:rsidRPr="00787FA1" w:rsidRDefault="00922F2E" w:rsidP="00A84011">
      <w:pPr>
        <w:spacing w:before="240" w:after="0" w:line="360" w:lineRule="auto"/>
        <w:jc w:val="both"/>
        <w:rPr>
          <w:rFonts w:ascii="ITC Avant Garde" w:hAnsi="ITC Avant Garde"/>
        </w:rPr>
      </w:pPr>
      <w:r w:rsidRPr="00787FA1">
        <w:rPr>
          <w:rFonts w:ascii="ITC Avant Garde" w:hAnsi="ITC Avant Garde"/>
        </w:rPr>
        <w:t>Una vez cubiertos los requisitos de ley</w:t>
      </w:r>
      <w:r w:rsidRPr="00787FA1">
        <w:rPr>
          <w:rFonts w:ascii="ITC Avant Garde" w:eastAsia="Times New Roman" w:hAnsi="ITC Avant Garde"/>
          <w:bCs/>
          <w:color w:val="000000"/>
          <w:lang w:eastAsia="es-MX"/>
        </w:rPr>
        <w:t xml:space="preserve">, </w:t>
      </w:r>
      <w:r w:rsidR="00D91548"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LOS VERIFICADORES</w:t>
      </w:r>
      <w:r w:rsidR="00D91548"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acompañados de la persona </w:t>
      </w:r>
      <w:r w:rsidR="00E74308">
        <w:rPr>
          <w:rFonts w:ascii="ITC Avant Garde" w:eastAsia="Times New Roman" w:hAnsi="ITC Avant Garde"/>
          <w:bCs/>
          <w:color w:val="000000"/>
          <w:lang w:eastAsia="es-MX"/>
        </w:rPr>
        <w:t xml:space="preserve">encargada </w:t>
      </w:r>
      <w:r w:rsidRPr="00787FA1">
        <w:rPr>
          <w:rFonts w:ascii="ITC Avant Garde" w:eastAsia="Times New Roman" w:hAnsi="ITC Avant Garde"/>
          <w:bCs/>
          <w:color w:val="000000"/>
          <w:lang w:eastAsia="es-MX"/>
        </w:rPr>
        <w:t xml:space="preserve"> </w:t>
      </w:r>
      <w:r w:rsidR="00E74308">
        <w:rPr>
          <w:rFonts w:ascii="ITC Avant Garde" w:eastAsia="Times New Roman" w:hAnsi="ITC Avant Garde"/>
          <w:bCs/>
          <w:color w:val="000000"/>
          <w:lang w:eastAsia="es-MX"/>
        </w:rPr>
        <w:t>d</w:t>
      </w:r>
      <w:r w:rsidRPr="00787FA1">
        <w:rPr>
          <w:rFonts w:ascii="ITC Avant Garde" w:eastAsia="Times New Roman" w:hAnsi="ITC Avant Garde"/>
          <w:bCs/>
          <w:color w:val="000000"/>
          <w:lang w:eastAsia="es-MX"/>
        </w:rPr>
        <w:t xml:space="preserve">el inmueble en el que se practicó la diligencia y de los testigos de asistencia, </w:t>
      </w:r>
      <w:r w:rsidR="00484062" w:rsidRPr="00787FA1">
        <w:rPr>
          <w:rFonts w:ascii="ITC Avant Garde" w:eastAsia="Times New Roman" w:hAnsi="ITC Avant Garde"/>
          <w:lang w:eastAsia="es-ES"/>
        </w:rPr>
        <w:t xml:space="preserve">procedieron </w:t>
      </w:r>
      <w:r w:rsidR="000F5E24" w:rsidRPr="00787FA1">
        <w:rPr>
          <w:rFonts w:ascii="ITC Avant Garde" w:eastAsia="Times New Roman" w:hAnsi="ITC Avant Garde"/>
          <w:lang w:eastAsia="es-ES"/>
        </w:rPr>
        <w:t xml:space="preserve">a verificar las instalaciones del inmueble en compañía de </w:t>
      </w:r>
      <w:r w:rsidR="00B6684C">
        <w:rPr>
          <w:rFonts w:ascii="ITC Avant Garde" w:eastAsia="Times New Roman" w:hAnsi="ITC Avant Garde"/>
          <w:lang w:eastAsia="es-ES"/>
        </w:rPr>
        <w:t xml:space="preserve">quien atendió la diligencia </w:t>
      </w:r>
      <w:r w:rsidR="00484062" w:rsidRPr="00787FA1">
        <w:rPr>
          <w:rFonts w:ascii="ITC Avant Garde" w:eastAsia="Times New Roman" w:hAnsi="ITC Avant Garde"/>
          <w:lang w:eastAsia="es-ES"/>
        </w:rPr>
        <w:t xml:space="preserve">y los testigos, </w:t>
      </w:r>
      <w:r w:rsidR="00632982">
        <w:rPr>
          <w:rFonts w:ascii="ITC Avant Garde" w:eastAsia="Times New Roman" w:hAnsi="ITC Avant Garde"/>
          <w:lang w:eastAsia="es-ES"/>
        </w:rPr>
        <w:t xml:space="preserve">encontrando </w:t>
      </w:r>
      <w:r w:rsidR="000F5E24" w:rsidRPr="00787FA1">
        <w:rPr>
          <w:rFonts w:ascii="ITC Avant Garde" w:hAnsi="ITC Avant Garde"/>
        </w:rPr>
        <w:t>instalados y en operación los siguientes equipos:</w:t>
      </w:r>
      <w:r w:rsidR="006A7096" w:rsidRPr="00787FA1">
        <w:rPr>
          <w:rFonts w:ascii="ITC Avant Garde" w:hAnsi="ITC Avant Garde"/>
        </w:rPr>
        <w:t xml:space="preserve"> </w:t>
      </w:r>
      <w:r w:rsidR="00E74308">
        <w:rPr>
          <w:rFonts w:ascii="ITC Avant Garde" w:hAnsi="ITC Avant Garde"/>
        </w:rPr>
        <w:t xml:space="preserve">Una antena omnidireccional, </w:t>
      </w:r>
      <w:r w:rsidR="00E74308" w:rsidRPr="00787FA1">
        <w:rPr>
          <w:rFonts w:ascii="ITC Avant Garde" w:hAnsi="ITC Avant Garde"/>
        </w:rPr>
        <w:t xml:space="preserve">con una línea de transmisión y en interior del inmueble se encuentra un transmisor en la frecuencia </w:t>
      </w:r>
      <w:r w:rsidR="00E74308" w:rsidRPr="00787FA1">
        <w:rPr>
          <w:rFonts w:ascii="ITC Avant Garde" w:hAnsi="ITC Avant Garde"/>
          <w:b/>
        </w:rPr>
        <w:t>105.3</w:t>
      </w:r>
      <w:r w:rsidR="00E74308" w:rsidRPr="00787FA1">
        <w:rPr>
          <w:rFonts w:ascii="ITC Avant Garde" w:hAnsi="ITC Avant Garde"/>
        </w:rPr>
        <w:t xml:space="preserve"> </w:t>
      </w:r>
      <w:r w:rsidR="00E74308" w:rsidRPr="00787FA1">
        <w:rPr>
          <w:rFonts w:ascii="ITC Avant Garde" w:hAnsi="ITC Avant Garde"/>
          <w:b/>
        </w:rPr>
        <w:t xml:space="preserve">MHz </w:t>
      </w:r>
      <w:r w:rsidR="00E74308">
        <w:rPr>
          <w:rFonts w:ascii="ITC Avant Garde" w:hAnsi="ITC Avant Garde"/>
        </w:rPr>
        <w:t xml:space="preserve">conectada a una </w:t>
      </w:r>
      <w:proofErr w:type="spellStart"/>
      <w:r w:rsidR="00E74308">
        <w:rPr>
          <w:rFonts w:ascii="ITC Avant Garde" w:hAnsi="ITC Avant Garde"/>
        </w:rPr>
        <w:t>L</w:t>
      </w:r>
      <w:r w:rsidR="00E74308" w:rsidRPr="00787FA1">
        <w:rPr>
          <w:rFonts w:ascii="ITC Avant Garde" w:hAnsi="ITC Avant Garde"/>
        </w:rPr>
        <w:t>ap</w:t>
      </w:r>
      <w:proofErr w:type="spellEnd"/>
      <w:r w:rsidR="00E74308" w:rsidRPr="00787FA1">
        <w:rPr>
          <w:rFonts w:ascii="ITC Avant Garde" w:hAnsi="ITC Avant Garde"/>
        </w:rPr>
        <w:t xml:space="preserve"> top marca </w:t>
      </w:r>
      <w:r w:rsidR="00E74308">
        <w:rPr>
          <w:rFonts w:ascii="ITC Avant Garde" w:hAnsi="ITC Avant Garde"/>
        </w:rPr>
        <w:t>Toshiba</w:t>
      </w:r>
      <w:r w:rsidR="0068682C" w:rsidRPr="00787FA1">
        <w:rPr>
          <w:rFonts w:ascii="ITC Avant Garde" w:hAnsi="ITC Avant Garde"/>
        </w:rPr>
        <w:t>.</w:t>
      </w:r>
    </w:p>
    <w:p w:rsidR="00780977" w:rsidRPr="00DC20BA" w:rsidRDefault="00D74BCC" w:rsidP="00A84011">
      <w:pPr>
        <w:spacing w:before="240" w:after="0" w:line="360" w:lineRule="auto"/>
        <w:jc w:val="both"/>
        <w:rPr>
          <w:rFonts w:ascii="ITC Avant Garde" w:hAnsi="ITC Avant Garde" w:cs="Tahoma"/>
        </w:rPr>
      </w:pPr>
      <w:r w:rsidRPr="00787FA1">
        <w:rPr>
          <w:rFonts w:ascii="ITC Avant Garde" w:hAnsi="ITC Avant Garde"/>
        </w:rPr>
        <w:t xml:space="preserve">Posteriormente, </w:t>
      </w:r>
      <w:r w:rsidR="0068682C" w:rsidRPr="00787FA1">
        <w:rPr>
          <w:rFonts w:ascii="ITC Avant Garde" w:hAnsi="ITC Avant Garde"/>
          <w:b/>
        </w:rPr>
        <w:t>“</w:t>
      </w:r>
      <w:r w:rsidRPr="00787FA1">
        <w:rPr>
          <w:rFonts w:ascii="ITC Avant Garde" w:hAnsi="ITC Avant Garde"/>
          <w:b/>
        </w:rPr>
        <w:t xml:space="preserve">LOS </w:t>
      </w:r>
      <w:r w:rsidRPr="00DC20BA">
        <w:rPr>
          <w:rFonts w:ascii="ITC Avant Garde" w:hAnsi="ITC Avant Garde"/>
          <w:b/>
        </w:rPr>
        <w:t>VERIFICADORES</w:t>
      </w:r>
      <w:r w:rsidR="0068682C" w:rsidRPr="00DC20BA">
        <w:rPr>
          <w:rFonts w:ascii="ITC Avant Garde" w:hAnsi="ITC Avant Garde"/>
          <w:b/>
        </w:rPr>
        <w:t>”</w:t>
      </w:r>
      <w:r w:rsidRPr="00DC20BA">
        <w:rPr>
          <w:rFonts w:ascii="ITC Avant Garde" w:hAnsi="ITC Avant Garde"/>
        </w:rPr>
        <w:t xml:space="preserve"> </w:t>
      </w:r>
      <w:r w:rsidRPr="00DC20BA">
        <w:rPr>
          <w:rFonts w:ascii="ITC Avant Garde" w:hAnsi="ITC Avant Garde" w:cs="Tahoma"/>
        </w:rPr>
        <w:t>solicitaron a la persona que recibió la visita en el inmueble antes señalado, indicara quien es el propietario o poseedor de la estación de radiodifusión que transmite desde ese inmueble, a lo que señaló expresamente y bajo protesta de decir verdad  “…</w:t>
      </w:r>
      <w:r w:rsidR="0068682C" w:rsidRPr="00DC20BA">
        <w:rPr>
          <w:rFonts w:ascii="ITC Avant Garde" w:hAnsi="ITC Avant Garde" w:cs="Tahoma"/>
          <w:i/>
        </w:rPr>
        <w:t>es mi cuñado, se niega a dar su nombre…</w:t>
      </w:r>
      <w:r w:rsidRPr="00DC20BA">
        <w:rPr>
          <w:rFonts w:ascii="ITC Avant Garde" w:hAnsi="ITC Avant Garde" w:cs="Tahoma"/>
        </w:rPr>
        <w:t>” (</w:t>
      </w:r>
      <w:proofErr w:type="gramStart"/>
      <w:r w:rsidRPr="00DC20BA">
        <w:rPr>
          <w:rFonts w:ascii="ITC Avant Garde" w:hAnsi="ITC Avant Garde" w:cs="Tahoma"/>
        </w:rPr>
        <w:t>sic</w:t>
      </w:r>
      <w:proofErr w:type="gramEnd"/>
      <w:r w:rsidR="003C1516" w:rsidRPr="00DC20BA">
        <w:rPr>
          <w:rFonts w:ascii="ITC Avant Garde" w:hAnsi="ITC Avant Garde" w:cs="Tahoma"/>
        </w:rPr>
        <w:t>)</w:t>
      </w:r>
      <w:r w:rsidR="00780977" w:rsidRPr="00DC20BA">
        <w:rPr>
          <w:rFonts w:ascii="ITC Avant Garde" w:hAnsi="ITC Avant Garde" w:cs="Tahoma"/>
        </w:rPr>
        <w:t xml:space="preserve">. </w:t>
      </w:r>
    </w:p>
    <w:p w:rsidR="006A7096" w:rsidRPr="00787FA1" w:rsidRDefault="00780977" w:rsidP="00A84011">
      <w:pPr>
        <w:spacing w:before="240" w:after="0" w:line="360" w:lineRule="auto"/>
        <w:jc w:val="both"/>
        <w:rPr>
          <w:rFonts w:ascii="ITC Avant Garde" w:hAnsi="ITC Avant Garde"/>
        </w:rPr>
      </w:pPr>
      <w:r w:rsidRPr="00DC20BA">
        <w:rPr>
          <w:rFonts w:ascii="ITC Avant Garde" w:hAnsi="ITC Avant Garde" w:cs="Tahoma"/>
        </w:rPr>
        <w:t xml:space="preserve">Asimismo, </w:t>
      </w:r>
      <w:r w:rsidR="0068682C" w:rsidRPr="00DC20BA">
        <w:rPr>
          <w:rFonts w:ascii="ITC Avant Garde" w:hAnsi="ITC Avant Garde" w:cs="Tahoma"/>
          <w:b/>
        </w:rPr>
        <w:t>“</w:t>
      </w:r>
      <w:r w:rsidRPr="00DC20BA">
        <w:rPr>
          <w:rFonts w:ascii="ITC Avant Garde" w:hAnsi="ITC Avant Garde"/>
          <w:b/>
        </w:rPr>
        <w:t>LOS VERIFICADORES</w:t>
      </w:r>
      <w:r w:rsidR="0068682C" w:rsidRPr="00DC20BA">
        <w:rPr>
          <w:rFonts w:ascii="ITC Avant Garde" w:hAnsi="ITC Avant Garde"/>
        </w:rPr>
        <w:t>”</w:t>
      </w:r>
      <w:r w:rsidRPr="00DC20BA">
        <w:rPr>
          <w:rFonts w:ascii="ITC Avant Garde" w:hAnsi="ITC Avant Garde"/>
        </w:rPr>
        <w:t xml:space="preserve"> </w:t>
      </w:r>
      <w:r w:rsidR="006A7096" w:rsidRPr="00DC20BA">
        <w:rPr>
          <w:rFonts w:ascii="ITC Avant Garde" w:hAnsi="ITC Avant Garde"/>
        </w:rPr>
        <w:t xml:space="preserve">preguntaron a </w:t>
      </w:r>
      <w:r w:rsidR="00B6684C" w:rsidRPr="00DC20BA">
        <w:rPr>
          <w:rFonts w:ascii="ITC Avant Garde" w:hAnsi="ITC Avant Garde"/>
        </w:rPr>
        <w:t xml:space="preserve">quien recibió la visita </w:t>
      </w:r>
      <w:r w:rsidR="006A7096" w:rsidRPr="00DC20BA">
        <w:rPr>
          <w:rFonts w:ascii="ITC Avant Garde" w:hAnsi="ITC Avant Garde"/>
        </w:rPr>
        <w:t xml:space="preserve">si desde el inmueble donde se practicó la diligencia, está transmitiendo una estación de radiodifusión </w:t>
      </w:r>
      <w:r w:rsidR="00521F98" w:rsidRPr="00DC20BA">
        <w:rPr>
          <w:rFonts w:ascii="ITC Avant Garde" w:hAnsi="ITC Avant Garde"/>
        </w:rPr>
        <w:t xml:space="preserve">que opera en la frecuencia </w:t>
      </w:r>
      <w:r w:rsidR="00521F98" w:rsidRPr="00DC20BA">
        <w:rPr>
          <w:rFonts w:ascii="ITC Avant Garde" w:hAnsi="ITC Avant Garde"/>
          <w:b/>
        </w:rPr>
        <w:t>105</w:t>
      </w:r>
      <w:r w:rsidR="0068682C" w:rsidRPr="00DC20BA">
        <w:rPr>
          <w:rFonts w:ascii="ITC Avant Garde" w:hAnsi="ITC Avant Garde"/>
          <w:b/>
        </w:rPr>
        <w:t>.3</w:t>
      </w:r>
      <w:r w:rsidR="00521F98" w:rsidRPr="00DC20BA">
        <w:rPr>
          <w:rFonts w:ascii="ITC Avant Garde" w:hAnsi="ITC Avant Garde"/>
          <w:b/>
        </w:rPr>
        <w:t xml:space="preserve"> MHz</w:t>
      </w:r>
      <w:r w:rsidR="00521F98" w:rsidRPr="00DC20BA">
        <w:rPr>
          <w:rFonts w:ascii="ITC Avant Garde" w:hAnsi="ITC Avant Garde"/>
        </w:rPr>
        <w:t>, a lo que respondió “</w:t>
      </w:r>
      <w:r w:rsidR="0068682C" w:rsidRPr="00DC20BA">
        <w:rPr>
          <w:rFonts w:ascii="ITC Avant Garde" w:hAnsi="ITC Avant Garde"/>
          <w:i/>
        </w:rPr>
        <w:t>N</w:t>
      </w:r>
      <w:r w:rsidR="00521F98" w:rsidRPr="00DC20BA">
        <w:rPr>
          <w:rFonts w:ascii="ITC Avant Garde" w:hAnsi="ITC Avant Garde"/>
          <w:i/>
        </w:rPr>
        <w:t>o</w:t>
      </w:r>
      <w:r w:rsidR="0068682C" w:rsidRPr="00DC20BA">
        <w:rPr>
          <w:rFonts w:ascii="ITC Avant Garde" w:hAnsi="ITC Avant Garde"/>
          <w:i/>
        </w:rPr>
        <w:t xml:space="preserve">, no sabía, el Ing. </w:t>
      </w:r>
      <w:r w:rsidR="00E74308">
        <w:rPr>
          <w:rFonts w:ascii="ITC Avant Garde" w:hAnsi="ITC Avant Garde"/>
          <w:i/>
        </w:rPr>
        <w:t>q</w:t>
      </w:r>
      <w:r w:rsidR="0068682C" w:rsidRPr="00DC20BA">
        <w:rPr>
          <w:rFonts w:ascii="ITC Avant Garde" w:hAnsi="ITC Avant Garde"/>
          <w:i/>
        </w:rPr>
        <w:t>ue rentó dijo que era una antena para internet</w:t>
      </w:r>
      <w:r w:rsidR="00521F98" w:rsidRPr="00DC20BA">
        <w:rPr>
          <w:rFonts w:ascii="ITC Avant Garde" w:hAnsi="ITC Avant Garde"/>
        </w:rPr>
        <w:t>”.</w:t>
      </w:r>
    </w:p>
    <w:p w:rsidR="000F5E24" w:rsidRPr="00787FA1" w:rsidRDefault="00521F98" w:rsidP="00A84011">
      <w:pPr>
        <w:spacing w:before="240" w:after="0" w:line="360" w:lineRule="auto"/>
        <w:jc w:val="both"/>
        <w:rPr>
          <w:rFonts w:ascii="ITC Avant Garde" w:hAnsi="ITC Avant Garde" w:cs="Tahoma"/>
        </w:rPr>
      </w:pPr>
      <w:r w:rsidRPr="00787FA1">
        <w:rPr>
          <w:rFonts w:ascii="ITC Avant Garde" w:hAnsi="ITC Avant Garde" w:cs="Tahoma"/>
        </w:rPr>
        <w:t xml:space="preserve">Inmediatamente </w:t>
      </w:r>
      <w:r w:rsidR="00780977" w:rsidRPr="00787FA1">
        <w:rPr>
          <w:rFonts w:ascii="ITC Avant Garde" w:hAnsi="ITC Avant Garde" w:cs="Tahoma"/>
        </w:rPr>
        <w:t xml:space="preserve">le solicitaron señalara si la estación que transmite </w:t>
      </w:r>
      <w:r w:rsidR="000F5E24" w:rsidRPr="00787FA1">
        <w:rPr>
          <w:rFonts w:ascii="ITC Avant Garde" w:hAnsi="ITC Avant Garde" w:cs="Tahoma"/>
        </w:rPr>
        <w:t xml:space="preserve">la </w:t>
      </w:r>
      <w:r w:rsidR="000F5E24" w:rsidRPr="00787FA1">
        <w:rPr>
          <w:rFonts w:ascii="ITC Avant Garde" w:hAnsi="ITC Avant Garde"/>
        </w:rPr>
        <w:t xml:space="preserve">frecuencia </w:t>
      </w:r>
      <w:r w:rsidR="00F51CFB" w:rsidRPr="00787FA1">
        <w:rPr>
          <w:rFonts w:ascii="ITC Avant Garde" w:hAnsi="ITC Avant Garde"/>
          <w:b/>
        </w:rPr>
        <w:t>10</w:t>
      </w:r>
      <w:r w:rsidR="0068682C" w:rsidRPr="00787FA1">
        <w:rPr>
          <w:rFonts w:ascii="ITC Avant Garde" w:hAnsi="ITC Avant Garde"/>
          <w:b/>
        </w:rPr>
        <w:t>5.3</w:t>
      </w:r>
      <w:r w:rsidR="000F5E24" w:rsidRPr="00787FA1">
        <w:rPr>
          <w:rFonts w:ascii="ITC Avant Garde" w:hAnsi="ITC Avant Garde"/>
          <w:b/>
        </w:rPr>
        <w:t xml:space="preserve"> MHz, </w:t>
      </w:r>
      <w:r w:rsidR="00780977" w:rsidRPr="00787FA1">
        <w:rPr>
          <w:rFonts w:ascii="ITC Avant Garde" w:hAnsi="ITC Avant Garde"/>
        </w:rPr>
        <w:t xml:space="preserve">contaba con concesión o permiso otorgado por la autoridad para hacer uso de una frecuencia del espectro radioeléctrico, </w:t>
      </w:r>
      <w:r w:rsidR="000F5E24" w:rsidRPr="00787FA1">
        <w:rPr>
          <w:rFonts w:ascii="ITC Avant Garde" w:hAnsi="ITC Avant Garde" w:cs="Tahoma"/>
        </w:rPr>
        <w:t xml:space="preserve">a lo que </w:t>
      </w:r>
      <w:r w:rsidR="00B6684C">
        <w:rPr>
          <w:rFonts w:ascii="ITC Avant Garde" w:hAnsi="ITC Avant Garde" w:cs="Tahoma"/>
        </w:rPr>
        <w:t xml:space="preserve">la persona que atendió la diligencia </w:t>
      </w:r>
      <w:r w:rsidR="00B6684C" w:rsidRPr="00B6684C">
        <w:rPr>
          <w:rFonts w:ascii="ITC Avant Garde" w:hAnsi="ITC Avant Garde" w:cs="Tahoma"/>
        </w:rPr>
        <w:t>señaló</w:t>
      </w:r>
      <w:r w:rsidR="00B6684C">
        <w:rPr>
          <w:rFonts w:ascii="ITC Avant Garde" w:hAnsi="ITC Avant Garde" w:cs="Tahoma"/>
          <w:b/>
        </w:rPr>
        <w:t xml:space="preserve"> </w:t>
      </w:r>
      <w:r w:rsidR="0068682C" w:rsidRPr="00787FA1">
        <w:rPr>
          <w:rFonts w:ascii="ITC Avant Garde" w:hAnsi="ITC Avant Garde" w:cs="Tahoma"/>
          <w:i/>
        </w:rPr>
        <w:t xml:space="preserve">“no </w:t>
      </w:r>
      <w:proofErr w:type="spellStart"/>
      <w:r w:rsidR="0068682C" w:rsidRPr="00787FA1">
        <w:rPr>
          <w:rFonts w:ascii="ITC Avant Garde" w:hAnsi="ITC Avant Garde" w:cs="Tahoma"/>
          <w:i/>
        </w:rPr>
        <w:t>se</w:t>
      </w:r>
      <w:proofErr w:type="spellEnd"/>
      <w:r w:rsidR="0068682C" w:rsidRPr="00787FA1">
        <w:rPr>
          <w:rFonts w:ascii="ITC Avant Garde" w:hAnsi="ITC Avant Garde" w:cs="Tahoma"/>
          <w:i/>
        </w:rPr>
        <w:t xml:space="preserve"> si tenga permiso” </w:t>
      </w:r>
      <w:r w:rsidR="0068682C" w:rsidRPr="00787FA1">
        <w:rPr>
          <w:rFonts w:ascii="ITC Avant Garde" w:hAnsi="ITC Avant Garde" w:cs="Tahoma"/>
        </w:rPr>
        <w:t>(sic)</w:t>
      </w:r>
    </w:p>
    <w:p w:rsidR="000F5E24" w:rsidRPr="00787FA1" w:rsidRDefault="000F5E24" w:rsidP="00A84011">
      <w:pPr>
        <w:spacing w:before="240" w:line="360" w:lineRule="auto"/>
        <w:jc w:val="both"/>
        <w:rPr>
          <w:rFonts w:ascii="ITC Avant Garde" w:hAnsi="ITC Avant Garde"/>
        </w:rPr>
      </w:pPr>
      <w:r w:rsidRPr="00787FA1">
        <w:rPr>
          <w:rFonts w:ascii="ITC Avant Garde" w:hAnsi="ITC Avant Garde"/>
        </w:rPr>
        <w:t xml:space="preserve">En razón de que </w:t>
      </w:r>
      <w:r w:rsidR="00B6684C">
        <w:rPr>
          <w:rFonts w:ascii="ITC Avant Garde" w:hAnsi="ITC Avant Garde"/>
        </w:rPr>
        <w:t xml:space="preserve">la persona que atendió la diligencia </w:t>
      </w:r>
      <w:r w:rsidRPr="00787FA1">
        <w:rPr>
          <w:rFonts w:ascii="ITC Avant Garde" w:hAnsi="ITC Avant Garde"/>
        </w:rPr>
        <w:t xml:space="preserve">no exhibió el respectivo título de concesión o permiso otorgado por autoridad competente que amparara o legitimara la prestación del servicio de radiodifusión a través del uso, </w:t>
      </w:r>
      <w:r w:rsidRPr="00787FA1">
        <w:rPr>
          <w:rFonts w:ascii="ITC Avant Garde" w:hAnsi="ITC Avant Garde"/>
        </w:rPr>
        <w:lastRenderedPageBreak/>
        <w:t xml:space="preserve">aprovechamiento o explotación de la frecuencia </w:t>
      </w:r>
      <w:r w:rsidRPr="00787FA1">
        <w:rPr>
          <w:rFonts w:ascii="ITC Avant Garde" w:hAnsi="ITC Avant Garde"/>
          <w:b/>
        </w:rPr>
        <w:t>105</w:t>
      </w:r>
      <w:r w:rsidR="0068682C" w:rsidRPr="00787FA1">
        <w:rPr>
          <w:rFonts w:ascii="ITC Avant Garde" w:hAnsi="ITC Avant Garde"/>
          <w:b/>
        </w:rPr>
        <w:t>.3</w:t>
      </w:r>
      <w:r w:rsidRPr="00787FA1">
        <w:rPr>
          <w:rFonts w:ascii="ITC Avant Garde" w:hAnsi="ITC Avant Garde"/>
          <w:b/>
        </w:rPr>
        <w:t xml:space="preserve"> MHz, </w:t>
      </w:r>
      <w:r w:rsidR="0068682C" w:rsidRPr="00787FA1">
        <w:rPr>
          <w:rFonts w:ascii="ITC Avant Garde" w:hAnsi="ITC Avant Garde"/>
          <w:b/>
        </w:rPr>
        <w:t>“</w:t>
      </w:r>
      <w:r w:rsidR="00780977" w:rsidRPr="00787FA1">
        <w:rPr>
          <w:rFonts w:ascii="ITC Avant Garde" w:hAnsi="ITC Avant Garde"/>
          <w:b/>
        </w:rPr>
        <w:t>LOS VERIFICADORES</w:t>
      </w:r>
      <w:r w:rsidR="0068682C" w:rsidRPr="00787FA1">
        <w:rPr>
          <w:rFonts w:ascii="ITC Avant Garde" w:hAnsi="ITC Avant Garde"/>
          <w:b/>
        </w:rPr>
        <w:t>”</w:t>
      </w:r>
      <w:r w:rsidR="00780977" w:rsidRPr="00787FA1">
        <w:rPr>
          <w:rFonts w:ascii="ITC Avant Garde" w:hAnsi="ITC Avant Garde"/>
        </w:rPr>
        <w:t xml:space="preserve"> </w:t>
      </w:r>
      <w:r w:rsidRPr="00787FA1">
        <w:rPr>
          <w:rFonts w:ascii="ITC Avant Garde" w:hAnsi="ITC Avant Garde" w:cs="Tahoma"/>
        </w:rPr>
        <w:t>procedi</w:t>
      </w:r>
      <w:r w:rsidR="00780977" w:rsidRPr="00787FA1">
        <w:rPr>
          <w:rFonts w:ascii="ITC Avant Garde" w:hAnsi="ITC Avant Garde" w:cs="Tahoma"/>
        </w:rPr>
        <w:t xml:space="preserve">eron </w:t>
      </w:r>
      <w:r w:rsidRPr="00787FA1">
        <w:rPr>
          <w:rFonts w:ascii="ITC Avant Garde" w:hAnsi="ITC Avant Garde" w:cs="Tahoma"/>
        </w:rPr>
        <w:t xml:space="preserve">al aseguramiento de los equipos encontrados en el inmueble en donde se practicó la visita, así como de los demás bienes destinados a la operación de la estación </w:t>
      </w:r>
      <w:r w:rsidRPr="00787FA1">
        <w:rPr>
          <w:rFonts w:ascii="ITC Avant Garde" w:hAnsi="ITC Avant Garde"/>
        </w:rPr>
        <w:t>citada,</w:t>
      </w:r>
      <w:r w:rsidRPr="00787FA1">
        <w:rPr>
          <w:rFonts w:ascii="ITC Avant Garde" w:hAnsi="ITC Avant Garde"/>
          <w:b/>
        </w:rPr>
        <w:t xml:space="preserve"> </w:t>
      </w:r>
      <w:r w:rsidRPr="00787FA1">
        <w:rPr>
          <w:rFonts w:ascii="ITC Avant Garde" w:hAnsi="ITC Avant Garde"/>
        </w:rPr>
        <w:t xml:space="preserve">quedando como interventor especial (depositario) de los mismos, Raúl Leonel </w:t>
      </w:r>
      <w:proofErr w:type="spellStart"/>
      <w:r w:rsidRPr="00787FA1">
        <w:rPr>
          <w:rFonts w:ascii="ITC Avant Garde" w:hAnsi="ITC Avant Garde"/>
        </w:rPr>
        <w:t>Mulhia</w:t>
      </w:r>
      <w:proofErr w:type="spellEnd"/>
      <w:r w:rsidRPr="00787FA1">
        <w:rPr>
          <w:rFonts w:ascii="ITC Avant Garde" w:hAnsi="ITC Avant Garde"/>
        </w:rPr>
        <w:t xml:space="preserve"> </w:t>
      </w:r>
      <w:proofErr w:type="spellStart"/>
      <w:r w:rsidRPr="00787FA1">
        <w:rPr>
          <w:rFonts w:ascii="ITC Avant Garde" w:hAnsi="ITC Avant Garde"/>
        </w:rPr>
        <w:t>Arzaluz</w:t>
      </w:r>
      <w:proofErr w:type="spellEnd"/>
      <w:r w:rsidRPr="00787FA1">
        <w:rPr>
          <w:rFonts w:ascii="ITC Avant Garde" w:hAnsi="ITC Avant Garde"/>
        </w:rPr>
        <w:t>, Subdirector de Supervisión de este Instituto Federal de Telecomunicaciones, conforme a lo siguiente:</w:t>
      </w:r>
    </w:p>
    <w:tbl>
      <w:tblPr>
        <w:tblStyle w:val="Tablaconcuadrcula"/>
        <w:tblW w:w="5000" w:type="pct"/>
        <w:jc w:val="center"/>
        <w:tblLook w:val="04A0" w:firstRow="1" w:lastRow="0" w:firstColumn="1" w:lastColumn="0" w:noHBand="0" w:noVBand="1"/>
        <w:tblCaption w:val="Equipos encontrados en el inmueble en donde se practicó la visita."/>
        <w:tblDescription w:val="En una tabla de 5 columnas se describen los equipos asegurados por el Instituto:&#10;1.- Equipo Transmisor, Sin marca, Sin modelo, Sin número de serie y Sello de aseguramiento 138-15.&#10;2.- Equipo Antena omnidireccional, Sin marca, Sin modelo, Sin número de serie y Sello de aseguramiento 139-15.&#10;3.- Equipo Lap Top, Marca Toshiba, Sin modelo, Sin número de serie y Sello de aseguramiento 140-15.&#10;"/>
      </w:tblPr>
      <w:tblGrid>
        <w:gridCol w:w="1950"/>
        <w:gridCol w:w="1432"/>
        <w:gridCol w:w="1496"/>
        <w:gridCol w:w="2013"/>
        <w:gridCol w:w="1937"/>
      </w:tblGrid>
      <w:tr w:rsidR="00146055" w:rsidRPr="00787FA1" w:rsidTr="009728B5">
        <w:trPr>
          <w:trHeight w:val="20"/>
          <w:tblHeader/>
          <w:jc w:val="center"/>
        </w:trPr>
        <w:tc>
          <w:tcPr>
            <w:tcW w:w="1077" w:type="pct"/>
            <w:shd w:val="clear" w:color="auto" w:fill="BFBFBF" w:themeFill="background1" w:themeFillShade="BF"/>
            <w:vAlign w:val="center"/>
          </w:tcPr>
          <w:p w:rsidR="00146055" w:rsidRPr="00787FA1" w:rsidRDefault="00146055" w:rsidP="00415768">
            <w:pPr>
              <w:spacing w:after="0" w:line="240" w:lineRule="auto"/>
              <w:jc w:val="center"/>
              <w:rPr>
                <w:rFonts w:ascii="ITC Avant Garde" w:hAnsi="ITC Avant Garde" w:cs="Arial"/>
                <w:b/>
              </w:rPr>
            </w:pPr>
            <w:r w:rsidRPr="00787FA1">
              <w:rPr>
                <w:rFonts w:ascii="ITC Avant Garde" w:hAnsi="ITC Avant Garde" w:cs="Arial"/>
                <w:b/>
              </w:rPr>
              <w:t>Equipo</w:t>
            </w:r>
          </w:p>
        </w:tc>
        <w:tc>
          <w:tcPr>
            <w:tcW w:w="818" w:type="pct"/>
            <w:shd w:val="clear" w:color="auto" w:fill="BFBFBF" w:themeFill="background1" w:themeFillShade="BF"/>
            <w:vAlign w:val="center"/>
          </w:tcPr>
          <w:p w:rsidR="00146055" w:rsidRPr="00787FA1" w:rsidRDefault="00146055" w:rsidP="00415768">
            <w:pPr>
              <w:spacing w:after="0" w:line="240" w:lineRule="auto"/>
              <w:jc w:val="center"/>
              <w:rPr>
                <w:rFonts w:ascii="ITC Avant Garde" w:hAnsi="ITC Avant Garde" w:cs="Arial"/>
                <w:b/>
              </w:rPr>
            </w:pPr>
            <w:r w:rsidRPr="00787FA1">
              <w:rPr>
                <w:rFonts w:ascii="ITC Avant Garde" w:hAnsi="ITC Avant Garde" w:cs="Arial"/>
                <w:b/>
              </w:rPr>
              <w:t>Marca</w:t>
            </w:r>
          </w:p>
        </w:tc>
        <w:tc>
          <w:tcPr>
            <w:tcW w:w="854" w:type="pct"/>
            <w:shd w:val="clear" w:color="auto" w:fill="BFBFBF" w:themeFill="background1" w:themeFillShade="BF"/>
            <w:vAlign w:val="center"/>
          </w:tcPr>
          <w:p w:rsidR="00146055" w:rsidRPr="00787FA1" w:rsidRDefault="00146055" w:rsidP="00415768">
            <w:pPr>
              <w:spacing w:after="0" w:line="240" w:lineRule="auto"/>
              <w:jc w:val="center"/>
              <w:rPr>
                <w:rFonts w:ascii="ITC Avant Garde" w:hAnsi="ITC Avant Garde" w:cs="Arial"/>
                <w:b/>
              </w:rPr>
            </w:pPr>
            <w:r w:rsidRPr="00787FA1">
              <w:rPr>
                <w:rFonts w:ascii="ITC Avant Garde" w:hAnsi="ITC Avant Garde" w:cs="Arial"/>
                <w:b/>
              </w:rPr>
              <w:t>Modelo</w:t>
            </w:r>
          </w:p>
        </w:tc>
        <w:tc>
          <w:tcPr>
            <w:tcW w:w="1147" w:type="pct"/>
            <w:shd w:val="clear" w:color="auto" w:fill="BFBFBF" w:themeFill="background1" w:themeFillShade="BF"/>
            <w:vAlign w:val="center"/>
          </w:tcPr>
          <w:p w:rsidR="00146055" w:rsidRPr="00787FA1" w:rsidRDefault="00146055" w:rsidP="00415768">
            <w:pPr>
              <w:spacing w:after="0" w:line="240" w:lineRule="auto"/>
              <w:jc w:val="center"/>
              <w:rPr>
                <w:rFonts w:ascii="ITC Avant Garde" w:hAnsi="ITC Avant Garde" w:cs="Arial"/>
                <w:b/>
              </w:rPr>
            </w:pPr>
            <w:r w:rsidRPr="00787FA1">
              <w:rPr>
                <w:rFonts w:ascii="ITC Avant Garde" w:hAnsi="ITC Avant Garde" w:cs="Arial"/>
                <w:b/>
              </w:rPr>
              <w:t>Número de Serie</w:t>
            </w:r>
          </w:p>
        </w:tc>
        <w:tc>
          <w:tcPr>
            <w:tcW w:w="1104" w:type="pct"/>
            <w:shd w:val="clear" w:color="auto" w:fill="BFBFBF" w:themeFill="background1" w:themeFillShade="BF"/>
            <w:vAlign w:val="center"/>
          </w:tcPr>
          <w:p w:rsidR="00146055" w:rsidRPr="00787FA1" w:rsidRDefault="00146055" w:rsidP="00415768">
            <w:pPr>
              <w:spacing w:after="0" w:line="240" w:lineRule="auto"/>
              <w:jc w:val="center"/>
              <w:rPr>
                <w:rFonts w:ascii="ITC Avant Garde" w:hAnsi="ITC Avant Garde" w:cs="Arial"/>
                <w:b/>
              </w:rPr>
            </w:pPr>
            <w:r w:rsidRPr="00787FA1">
              <w:rPr>
                <w:rFonts w:ascii="ITC Avant Garde" w:hAnsi="ITC Avant Garde" w:cs="Arial"/>
                <w:b/>
              </w:rPr>
              <w:t>Sello de aseguramiento</w:t>
            </w:r>
          </w:p>
        </w:tc>
      </w:tr>
      <w:tr w:rsidR="00465A24" w:rsidRPr="00787FA1" w:rsidTr="009728B5">
        <w:trPr>
          <w:trHeight w:val="20"/>
          <w:jc w:val="center"/>
        </w:trPr>
        <w:tc>
          <w:tcPr>
            <w:tcW w:w="1077" w:type="pct"/>
            <w:vAlign w:val="center"/>
          </w:tcPr>
          <w:p w:rsidR="00465A24" w:rsidRPr="00787FA1" w:rsidRDefault="00465A24" w:rsidP="00415768">
            <w:pPr>
              <w:spacing w:after="0" w:line="240" w:lineRule="auto"/>
              <w:jc w:val="center"/>
              <w:rPr>
                <w:rFonts w:ascii="ITC Avant Garde" w:hAnsi="ITC Avant Garde"/>
              </w:rPr>
            </w:pPr>
            <w:r w:rsidRPr="00787FA1">
              <w:rPr>
                <w:rFonts w:ascii="ITC Avant Garde" w:hAnsi="ITC Avant Garde"/>
              </w:rPr>
              <w:t xml:space="preserve">Transmisor </w:t>
            </w:r>
          </w:p>
        </w:tc>
        <w:tc>
          <w:tcPr>
            <w:tcW w:w="818" w:type="pct"/>
            <w:vAlign w:val="center"/>
          </w:tcPr>
          <w:p w:rsidR="00465A24" w:rsidRPr="00787FA1" w:rsidRDefault="00465A24" w:rsidP="00415768">
            <w:pPr>
              <w:spacing w:after="0" w:line="240" w:lineRule="auto"/>
              <w:jc w:val="center"/>
              <w:rPr>
                <w:rFonts w:ascii="ITC Avant Garde" w:hAnsi="ITC Avant Garde"/>
              </w:rPr>
            </w:pPr>
            <w:r w:rsidRPr="00787FA1">
              <w:rPr>
                <w:rFonts w:ascii="ITC Avant Garde" w:hAnsi="ITC Avant Garde"/>
              </w:rPr>
              <w:t>Sin marca</w:t>
            </w:r>
          </w:p>
        </w:tc>
        <w:tc>
          <w:tcPr>
            <w:tcW w:w="854" w:type="pct"/>
            <w:vAlign w:val="center"/>
          </w:tcPr>
          <w:p w:rsidR="00465A24" w:rsidRPr="00787FA1" w:rsidRDefault="00465A24" w:rsidP="00415768">
            <w:pPr>
              <w:spacing w:after="0" w:line="240" w:lineRule="auto"/>
              <w:jc w:val="center"/>
              <w:rPr>
                <w:rFonts w:ascii="ITC Avant Garde" w:hAnsi="ITC Avant Garde"/>
              </w:rPr>
            </w:pPr>
            <w:r w:rsidRPr="00787FA1">
              <w:rPr>
                <w:rFonts w:ascii="ITC Avant Garde" w:hAnsi="ITC Avant Garde"/>
              </w:rPr>
              <w:t xml:space="preserve">Sin modelo </w:t>
            </w:r>
          </w:p>
        </w:tc>
        <w:tc>
          <w:tcPr>
            <w:tcW w:w="1147" w:type="pct"/>
            <w:vAlign w:val="center"/>
          </w:tcPr>
          <w:p w:rsidR="00465A24" w:rsidRPr="00787FA1" w:rsidRDefault="00465A24" w:rsidP="00415768">
            <w:pPr>
              <w:spacing w:after="0" w:line="240" w:lineRule="auto"/>
              <w:jc w:val="both"/>
              <w:rPr>
                <w:rFonts w:ascii="ITC Avant Garde" w:hAnsi="ITC Avant Garde"/>
              </w:rPr>
            </w:pPr>
            <w:r w:rsidRPr="00787FA1">
              <w:rPr>
                <w:rFonts w:ascii="ITC Avant Garde" w:hAnsi="ITC Avant Garde"/>
              </w:rPr>
              <w:t xml:space="preserve">Sin número de serie </w:t>
            </w:r>
          </w:p>
        </w:tc>
        <w:tc>
          <w:tcPr>
            <w:tcW w:w="1104" w:type="pct"/>
            <w:vAlign w:val="center"/>
          </w:tcPr>
          <w:p w:rsidR="00465A24" w:rsidRPr="00787FA1" w:rsidRDefault="0068682C" w:rsidP="00415768">
            <w:pPr>
              <w:spacing w:after="0" w:line="240" w:lineRule="auto"/>
              <w:jc w:val="center"/>
              <w:rPr>
                <w:rFonts w:ascii="ITC Avant Garde" w:hAnsi="ITC Avant Garde"/>
              </w:rPr>
            </w:pPr>
            <w:r w:rsidRPr="00787FA1">
              <w:rPr>
                <w:rFonts w:ascii="ITC Avant Garde" w:hAnsi="ITC Avant Garde"/>
              </w:rPr>
              <w:t>138-15</w:t>
            </w:r>
          </w:p>
        </w:tc>
      </w:tr>
      <w:tr w:rsidR="0068682C" w:rsidRPr="00787FA1" w:rsidTr="009728B5">
        <w:trPr>
          <w:trHeight w:val="20"/>
          <w:jc w:val="center"/>
        </w:trPr>
        <w:tc>
          <w:tcPr>
            <w:tcW w:w="1077" w:type="pct"/>
            <w:vAlign w:val="center"/>
          </w:tcPr>
          <w:p w:rsidR="0068682C" w:rsidRPr="00787FA1" w:rsidRDefault="0068682C" w:rsidP="00415768">
            <w:pPr>
              <w:spacing w:after="0" w:line="240" w:lineRule="auto"/>
              <w:jc w:val="center"/>
              <w:rPr>
                <w:rFonts w:ascii="ITC Avant Garde" w:hAnsi="ITC Avant Garde"/>
              </w:rPr>
            </w:pPr>
            <w:r w:rsidRPr="00787FA1">
              <w:rPr>
                <w:rFonts w:ascii="ITC Avant Garde" w:hAnsi="ITC Avant Garde"/>
              </w:rPr>
              <w:t xml:space="preserve">Antena omnidireccional </w:t>
            </w:r>
          </w:p>
        </w:tc>
        <w:tc>
          <w:tcPr>
            <w:tcW w:w="818" w:type="pct"/>
            <w:vAlign w:val="center"/>
          </w:tcPr>
          <w:p w:rsidR="0068682C" w:rsidRPr="00787FA1" w:rsidRDefault="0068682C" w:rsidP="00415768">
            <w:pPr>
              <w:spacing w:after="0" w:line="240" w:lineRule="auto"/>
              <w:jc w:val="center"/>
              <w:rPr>
                <w:rFonts w:ascii="ITC Avant Garde" w:hAnsi="ITC Avant Garde"/>
              </w:rPr>
            </w:pPr>
            <w:r w:rsidRPr="00787FA1">
              <w:rPr>
                <w:rFonts w:ascii="ITC Avant Garde" w:hAnsi="ITC Avant Garde"/>
              </w:rPr>
              <w:t>Sin marca</w:t>
            </w:r>
          </w:p>
        </w:tc>
        <w:tc>
          <w:tcPr>
            <w:tcW w:w="854" w:type="pct"/>
            <w:vAlign w:val="center"/>
          </w:tcPr>
          <w:p w:rsidR="0068682C" w:rsidRPr="00787FA1" w:rsidRDefault="0068682C" w:rsidP="00415768">
            <w:pPr>
              <w:spacing w:after="0" w:line="240" w:lineRule="auto"/>
              <w:jc w:val="center"/>
              <w:rPr>
                <w:rFonts w:ascii="ITC Avant Garde" w:hAnsi="ITC Avant Garde"/>
              </w:rPr>
            </w:pPr>
            <w:r w:rsidRPr="00787FA1">
              <w:rPr>
                <w:rFonts w:ascii="ITC Avant Garde" w:hAnsi="ITC Avant Garde"/>
              </w:rPr>
              <w:t xml:space="preserve">Sin modelo </w:t>
            </w:r>
          </w:p>
        </w:tc>
        <w:tc>
          <w:tcPr>
            <w:tcW w:w="1147" w:type="pct"/>
            <w:vAlign w:val="center"/>
          </w:tcPr>
          <w:p w:rsidR="0068682C" w:rsidRPr="00787FA1" w:rsidRDefault="0068682C" w:rsidP="00415768">
            <w:pPr>
              <w:spacing w:after="0" w:line="240" w:lineRule="auto"/>
              <w:jc w:val="both"/>
              <w:rPr>
                <w:rFonts w:ascii="ITC Avant Garde" w:hAnsi="ITC Avant Garde"/>
              </w:rPr>
            </w:pPr>
            <w:r w:rsidRPr="00787FA1">
              <w:rPr>
                <w:rFonts w:ascii="ITC Avant Garde" w:hAnsi="ITC Avant Garde"/>
              </w:rPr>
              <w:t xml:space="preserve">Sin número de serie </w:t>
            </w:r>
          </w:p>
        </w:tc>
        <w:tc>
          <w:tcPr>
            <w:tcW w:w="1104" w:type="pct"/>
            <w:vAlign w:val="center"/>
          </w:tcPr>
          <w:p w:rsidR="0068682C" w:rsidRPr="00787FA1" w:rsidRDefault="0068682C" w:rsidP="00415768">
            <w:pPr>
              <w:spacing w:after="0" w:line="240" w:lineRule="auto"/>
              <w:jc w:val="center"/>
              <w:rPr>
                <w:rFonts w:ascii="ITC Avant Garde" w:hAnsi="ITC Avant Garde"/>
              </w:rPr>
            </w:pPr>
            <w:r w:rsidRPr="00787FA1">
              <w:rPr>
                <w:rFonts w:ascii="ITC Avant Garde" w:hAnsi="ITC Avant Garde"/>
              </w:rPr>
              <w:t>139-15</w:t>
            </w:r>
          </w:p>
        </w:tc>
      </w:tr>
      <w:tr w:rsidR="0068682C" w:rsidRPr="00787FA1" w:rsidTr="009728B5">
        <w:trPr>
          <w:trHeight w:val="498"/>
          <w:jc w:val="center"/>
        </w:trPr>
        <w:tc>
          <w:tcPr>
            <w:tcW w:w="1077" w:type="pct"/>
            <w:vAlign w:val="center"/>
          </w:tcPr>
          <w:p w:rsidR="0068682C" w:rsidRPr="00787FA1" w:rsidRDefault="0068682C" w:rsidP="00415768">
            <w:pPr>
              <w:spacing w:after="0" w:line="240" w:lineRule="auto"/>
              <w:jc w:val="center"/>
              <w:rPr>
                <w:rFonts w:ascii="ITC Avant Garde" w:hAnsi="ITC Avant Garde"/>
              </w:rPr>
            </w:pPr>
            <w:proofErr w:type="spellStart"/>
            <w:r w:rsidRPr="00787FA1">
              <w:rPr>
                <w:rFonts w:ascii="ITC Avant Garde" w:hAnsi="ITC Avant Garde"/>
              </w:rPr>
              <w:t>Lap</w:t>
            </w:r>
            <w:proofErr w:type="spellEnd"/>
            <w:r w:rsidRPr="00787FA1">
              <w:rPr>
                <w:rFonts w:ascii="ITC Avant Garde" w:hAnsi="ITC Avant Garde"/>
              </w:rPr>
              <w:t xml:space="preserve"> Top</w:t>
            </w:r>
          </w:p>
        </w:tc>
        <w:tc>
          <w:tcPr>
            <w:tcW w:w="818" w:type="pct"/>
            <w:vAlign w:val="center"/>
          </w:tcPr>
          <w:p w:rsidR="0068682C" w:rsidRPr="00787FA1" w:rsidRDefault="0068682C" w:rsidP="00415768">
            <w:pPr>
              <w:spacing w:after="0" w:line="240" w:lineRule="auto"/>
              <w:jc w:val="center"/>
              <w:rPr>
                <w:rFonts w:ascii="ITC Avant Garde" w:hAnsi="ITC Avant Garde"/>
              </w:rPr>
            </w:pPr>
            <w:r w:rsidRPr="00787FA1">
              <w:rPr>
                <w:rFonts w:ascii="ITC Avant Garde" w:hAnsi="ITC Avant Garde"/>
              </w:rPr>
              <w:t>Toshiba</w:t>
            </w:r>
          </w:p>
        </w:tc>
        <w:tc>
          <w:tcPr>
            <w:tcW w:w="854" w:type="pct"/>
            <w:vAlign w:val="center"/>
          </w:tcPr>
          <w:p w:rsidR="0068682C" w:rsidRPr="00787FA1" w:rsidRDefault="0068682C" w:rsidP="00415768">
            <w:pPr>
              <w:spacing w:after="0" w:line="240" w:lineRule="auto"/>
              <w:jc w:val="center"/>
              <w:rPr>
                <w:rFonts w:ascii="ITC Avant Garde" w:hAnsi="ITC Avant Garde"/>
              </w:rPr>
            </w:pPr>
            <w:r w:rsidRPr="00787FA1">
              <w:rPr>
                <w:rFonts w:ascii="ITC Avant Garde" w:hAnsi="ITC Avant Garde"/>
              </w:rPr>
              <w:t>Sin modelo</w:t>
            </w:r>
          </w:p>
        </w:tc>
        <w:tc>
          <w:tcPr>
            <w:tcW w:w="1147" w:type="pct"/>
            <w:vAlign w:val="center"/>
          </w:tcPr>
          <w:p w:rsidR="0068682C" w:rsidRPr="00787FA1" w:rsidRDefault="0068682C" w:rsidP="00415768">
            <w:pPr>
              <w:spacing w:after="0" w:line="240" w:lineRule="auto"/>
              <w:jc w:val="both"/>
              <w:rPr>
                <w:rFonts w:ascii="ITC Avant Garde" w:hAnsi="ITC Avant Garde"/>
              </w:rPr>
            </w:pPr>
            <w:r w:rsidRPr="00787FA1">
              <w:rPr>
                <w:rFonts w:ascii="ITC Avant Garde" w:hAnsi="ITC Avant Garde"/>
              </w:rPr>
              <w:t>Sin número de serie</w:t>
            </w:r>
          </w:p>
        </w:tc>
        <w:tc>
          <w:tcPr>
            <w:tcW w:w="1104" w:type="pct"/>
            <w:vAlign w:val="center"/>
          </w:tcPr>
          <w:p w:rsidR="0068682C" w:rsidRPr="00787FA1" w:rsidRDefault="0068682C" w:rsidP="00415768">
            <w:pPr>
              <w:spacing w:after="0" w:line="240" w:lineRule="auto"/>
              <w:jc w:val="center"/>
              <w:rPr>
                <w:rFonts w:ascii="ITC Avant Garde" w:hAnsi="ITC Avant Garde"/>
              </w:rPr>
            </w:pPr>
            <w:r w:rsidRPr="00787FA1">
              <w:rPr>
                <w:rFonts w:ascii="ITC Avant Garde" w:hAnsi="ITC Avant Garde"/>
              </w:rPr>
              <w:t>140-15</w:t>
            </w:r>
          </w:p>
        </w:tc>
      </w:tr>
    </w:tbl>
    <w:p w:rsidR="00922F2E" w:rsidRPr="00787FA1" w:rsidRDefault="0068682C" w:rsidP="00415768">
      <w:pPr>
        <w:spacing w:before="240" w:after="0" w:line="360" w:lineRule="auto"/>
        <w:jc w:val="both"/>
        <w:rPr>
          <w:rFonts w:ascii="ITC Avant Garde" w:hAnsi="ITC Avant Garde"/>
        </w:rPr>
      </w:pPr>
      <w:r w:rsidRPr="00787FA1">
        <w:rPr>
          <w:rFonts w:ascii="ITC Avant Garde" w:hAnsi="ITC Avant Garde"/>
        </w:rPr>
        <w:t>E</w:t>
      </w:r>
      <w:r w:rsidR="00307E7D" w:rsidRPr="00787FA1">
        <w:rPr>
          <w:rFonts w:ascii="ITC Avant Garde" w:hAnsi="ITC Avant Garde"/>
        </w:rPr>
        <w:t xml:space="preserve">n términos del artículo 68 de </w:t>
      </w:r>
      <w:r w:rsidRPr="00787FA1">
        <w:rPr>
          <w:rFonts w:ascii="ITC Avant Garde" w:hAnsi="ITC Avant Garde"/>
          <w:b/>
        </w:rPr>
        <w:t>“</w:t>
      </w:r>
      <w:r w:rsidR="00307E7D" w:rsidRPr="00787FA1">
        <w:rPr>
          <w:rFonts w:ascii="ITC Avant Garde" w:hAnsi="ITC Avant Garde"/>
          <w:b/>
        </w:rPr>
        <w:t>LFPA</w:t>
      </w:r>
      <w:r w:rsidRPr="00787FA1">
        <w:rPr>
          <w:rFonts w:ascii="ITC Avant Garde" w:hAnsi="ITC Avant Garde"/>
          <w:b/>
        </w:rPr>
        <w:t>”</w:t>
      </w:r>
      <w:r w:rsidR="00307E7D" w:rsidRPr="00787FA1">
        <w:rPr>
          <w:rFonts w:ascii="ITC Avant Garde" w:hAnsi="ITC Avant Garde"/>
          <w:b/>
        </w:rPr>
        <w:t>,</w:t>
      </w:r>
      <w:r w:rsidR="00307E7D" w:rsidRPr="00787FA1">
        <w:rPr>
          <w:rFonts w:ascii="ITC Avant Garde" w:hAnsi="ITC Avant Garde"/>
        </w:rPr>
        <w:t xml:space="preserve"> </w:t>
      </w:r>
      <w:r w:rsidRPr="00787FA1">
        <w:rPr>
          <w:rFonts w:ascii="ITC Avant Garde" w:hAnsi="ITC Avant Garde"/>
          <w:b/>
        </w:rPr>
        <w:t>“</w:t>
      </w:r>
      <w:r w:rsidR="00307E7D" w:rsidRPr="00787FA1">
        <w:rPr>
          <w:rFonts w:ascii="ITC Avant Garde" w:hAnsi="ITC Avant Garde"/>
          <w:b/>
        </w:rPr>
        <w:t>LOS VERIFICADORES</w:t>
      </w:r>
      <w:r w:rsidRPr="00787FA1">
        <w:rPr>
          <w:rFonts w:ascii="ITC Avant Garde" w:hAnsi="ITC Avant Garde"/>
          <w:b/>
        </w:rPr>
        <w:t>”</w:t>
      </w:r>
      <w:r w:rsidR="00307E7D" w:rsidRPr="00787FA1">
        <w:rPr>
          <w:rFonts w:ascii="ITC Avant Garde" w:hAnsi="ITC Avant Garde"/>
        </w:rPr>
        <w:t xml:space="preserve"> informaron a </w:t>
      </w:r>
      <w:r w:rsidR="001047A7">
        <w:rPr>
          <w:rFonts w:ascii="ITC Avant Garde" w:hAnsi="ITC Avant Garde"/>
        </w:rPr>
        <w:t xml:space="preserve">quien atendió la visita </w:t>
      </w:r>
      <w:r w:rsidR="00307E7D" w:rsidRPr="00787FA1">
        <w:rPr>
          <w:rFonts w:ascii="ITC Avant Garde" w:hAnsi="ITC Avant Garde"/>
        </w:rPr>
        <w:t xml:space="preserve">que le asistía el derecho de manifestar lo que a su derecho conviniera respecto de los hechos asentados en el acta de verificación </w:t>
      </w:r>
      <w:r w:rsidR="00307E7D" w:rsidRPr="00787FA1">
        <w:rPr>
          <w:rFonts w:ascii="ITC Avant Garde" w:hAnsi="ITC Avant Garde"/>
          <w:b/>
        </w:rPr>
        <w:t>IFT/DF/DGV/</w:t>
      </w:r>
      <w:r w:rsidRPr="00787FA1">
        <w:rPr>
          <w:rFonts w:ascii="ITC Avant Garde" w:hAnsi="ITC Avant Garde"/>
          <w:b/>
        </w:rPr>
        <w:t>1095</w:t>
      </w:r>
      <w:r w:rsidR="00307E7D" w:rsidRPr="00787FA1">
        <w:rPr>
          <w:rFonts w:ascii="ITC Avant Garde" w:hAnsi="ITC Avant Garde"/>
          <w:b/>
        </w:rPr>
        <w:t>/2015</w:t>
      </w:r>
      <w:r w:rsidR="00307E7D" w:rsidRPr="00787FA1">
        <w:rPr>
          <w:rFonts w:ascii="ITC Avant Garde" w:hAnsi="ITC Avant Garde"/>
        </w:rPr>
        <w:t>, ante lo cual manifestó “…</w:t>
      </w:r>
      <w:r w:rsidRPr="00787FA1">
        <w:rPr>
          <w:rFonts w:ascii="ITC Avant Garde" w:hAnsi="ITC Avant Garde"/>
          <w:i/>
        </w:rPr>
        <w:t>Que él no tenía conocimiento de los aparatos que estaban ahí, no sabía para que funcionaban y que no quiere problemas con la ley, que no lo perjudiquen ya que está cooperando para quitar la estación, recibe el documento, pero no va a firmar nada…</w:t>
      </w:r>
      <w:r w:rsidRPr="00787FA1">
        <w:rPr>
          <w:rFonts w:ascii="ITC Avant Garde" w:hAnsi="ITC Avant Garde"/>
        </w:rPr>
        <w:t>”</w:t>
      </w:r>
      <w:r w:rsidR="00307E7D" w:rsidRPr="00787FA1">
        <w:rPr>
          <w:rFonts w:ascii="ITC Avant Garde" w:hAnsi="ITC Avant Garde"/>
        </w:rPr>
        <w:t xml:space="preserve">(sic). </w:t>
      </w:r>
    </w:p>
    <w:p w:rsidR="00922F2E" w:rsidRPr="00787FA1" w:rsidRDefault="00922F2E" w:rsidP="00B34C88">
      <w:pPr>
        <w:spacing w:before="240" w:after="0" w:line="360" w:lineRule="auto"/>
        <w:jc w:val="both"/>
        <w:rPr>
          <w:rFonts w:ascii="ITC Avant Garde" w:eastAsia="Times New Roman" w:hAnsi="ITC Avant Garde"/>
          <w:lang w:eastAsia="es-ES"/>
        </w:rPr>
      </w:pPr>
      <w:r w:rsidRPr="00787FA1">
        <w:rPr>
          <w:rFonts w:ascii="ITC Avant Garde" w:eastAsia="Times New Roman" w:hAnsi="ITC Avant Garde"/>
          <w:lang w:eastAsia="es-ES"/>
        </w:rPr>
        <w:t xml:space="preserve">Dado lo anterior, </w:t>
      </w:r>
      <w:r w:rsidR="000B1334" w:rsidRPr="00787FA1">
        <w:rPr>
          <w:rFonts w:ascii="ITC Avant Garde" w:eastAsia="Times New Roman" w:hAnsi="ITC Avant Garde"/>
          <w:b/>
          <w:lang w:eastAsia="es-ES"/>
        </w:rPr>
        <w:t>“</w:t>
      </w:r>
      <w:r w:rsidRPr="00787FA1">
        <w:rPr>
          <w:rFonts w:ascii="ITC Avant Garde" w:eastAsia="Times New Roman" w:hAnsi="ITC Avant Garde"/>
          <w:b/>
          <w:lang w:eastAsia="es-ES"/>
        </w:rPr>
        <w:t>LOS VERIFICADORES</w:t>
      </w:r>
      <w:r w:rsidR="000B1334" w:rsidRPr="00787FA1">
        <w:rPr>
          <w:rFonts w:ascii="ITC Avant Garde" w:eastAsia="Times New Roman" w:hAnsi="ITC Avant Garde"/>
          <w:b/>
          <w:lang w:eastAsia="es-ES"/>
        </w:rPr>
        <w:t>”</w:t>
      </w:r>
      <w:r w:rsidRPr="00787FA1">
        <w:rPr>
          <w:rFonts w:ascii="ITC Avant Garde" w:eastAsia="Times New Roman" w:hAnsi="ITC Avant Garde"/>
          <w:lang w:eastAsia="es-ES"/>
        </w:rPr>
        <w:t xml:space="preserve"> con fundamento en el artículo 524 de la </w:t>
      </w:r>
      <w:r w:rsidR="000B1334" w:rsidRPr="00787FA1">
        <w:rPr>
          <w:rFonts w:ascii="ITC Avant Garde" w:eastAsia="Times New Roman" w:hAnsi="ITC Avant Garde"/>
          <w:b/>
          <w:lang w:eastAsia="es-ES"/>
        </w:rPr>
        <w:t>“</w:t>
      </w:r>
      <w:r w:rsidRPr="00787FA1">
        <w:rPr>
          <w:rFonts w:ascii="ITC Avant Garde" w:eastAsia="Times New Roman" w:hAnsi="ITC Avant Garde"/>
          <w:b/>
          <w:lang w:eastAsia="es-ES"/>
        </w:rPr>
        <w:t>LVGC</w:t>
      </w:r>
      <w:r w:rsidR="000B1334" w:rsidRPr="00787FA1">
        <w:rPr>
          <w:rFonts w:ascii="ITC Avant Garde" w:eastAsia="Times New Roman" w:hAnsi="ITC Avant Garde"/>
          <w:b/>
          <w:lang w:eastAsia="es-ES"/>
        </w:rPr>
        <w:t>”</w:t>
      </w:r>
      <w:r w:rsidRPr="00787FA1">
        <w:rPr>
          <w:rFonts w:ascii="ITC Avant Garde" w:eastAsia="Times New Roman" w:hAnsi="ITC Avant Garde"/>
          <w:lang w:eastAsia="es-ES"/>
        </w:rPr>
        <w:t xml:space="preserve"> notificaron a la persona que recibió la diligencia, que tenía un plazo de</w:t>
      </w:r>
      <w:r w:rsidR="00307E7D" w:rsidRPr="00787FA1">
        <w:rPr>
          <w:rFonts w:ascii="ITC Avant Garde" w:hAnsi="ITC Avant Garde"/>
        </w:rPr>
        <w:t xml:space="preserve"> diez días hábiles para que en uso de su garantía de audiencia presentara </w:t>
      </w:r>
      <w:r w:rsidRPr="00787FA1">
        <w:rPr>
          <w:rFonts w:ascii="ITC Avant Garde" w:eastAsia="Times New Roman" w:hAnsi="ITC Avant Garde"/>
          <w:lang w:eastAsia="es-ES"/>
        </w:rPr>
        <w:t xml:space="preserve">por escrito las pruebas y defensas que estimara procedentes ante el </w:t>
      </w:r>
      <w:r w:rsidR="000B1334" w:rsidRPr="00787FA1">
        <w:rPr>
          <w:rFonts w:ascii="ITC Avant Garde" w:eastAsia="Times New Roman" w:hAnsi="ITC Avant Garde"/>
          <w:b/>
          <w:lang w:eastAsia="es-ES"/>
        </w:rPr>
        <w:t>“</w:t>
      </w:r>
      <w:r w:rsidRPr="00787FA1">
        <w:rPr>
          <w:rFonts w:ascii="ITC Avant Garde" w:eastAsia="Times New Roman" w:hAnsi="ITC Avant Garde"/>
          <w:b/>
          <w:lang w:eastAsia="es-ES"/>
        </w:rPr>
        <w:t>Instituto</w:t>
      </w:r>
      <w:r w:rsidR="000B1334" w:rsidRPr="00787FA1">
        <w:rPr>
          <w:rFonts w:ascii="ITC Avant Garde" w:eastAsia="Times New Roman" w:hAnsi="ITC Avant Garde"/>
          <w:b/>
          <w:lang w:eastAsia="es-ES"/>
        </w:rPr>
        <w:t>”</w:t>
      </w:r>
      <w:r w:rsidRPr="00787FA1">
        <w:rPr>
          <w:rFonts w:ascii="ITC Avant Garde" w:eastAsia="Times New Roman" w:hAnsi="ITC Avant Garde"/>
          <w:lang w:eastAsia="es-ES"/>
        </w:rPr>
        <w:t>.</w:t>
      </w:r>
    </w:p>
    <w:p w:rsidR="00922F2E" w:rsidRPr="00787FA1" w:rsidRDefault="000F5E24" w:rsidP="00B34C88">
      <w:pPr>
        <w:spacing w:before="240" w:after="0" w:line="360" w:lineRule="auto"/>
        <w:jc w:val="both"/>
        <w:rPr>
          <w:rFonts w:ascii="ITC Avant Garde" w:hAnsi="ITC Avant Garde"/>
        </w:rPr>
      </w:pPr>
      <w:r w:rsidRPr="00787FA1">
        <w:rPr>
          <w:rFonts w:ascii="ITC Avant Garde" w:hAnsi="ITC Avant Garde"/>
        </w:rPr>
        <w:t xml:space="preserve">El plazo de diez días hábiles otorgado </w:t>
      </w:r>
      <w:r w:rsidR="00922F2E" w:rsidRPr="00787FA1">
        <w:rPr>
          <w:rFonts w:ascii="ITC Avant Garde" w:eastAsia="Times New Roman" w:hAnsi="ITC Avant Garde"/>
          <w:lang w:eastAsia="es-ES"/>
        </w:rPr>
        <w:t xml:space="preserve">a la visitada para presentar pruebas y defensas en relación a los hechos contenidos en el </w:t>
      </w:r>
      <w:r w:rsidR="001047A7">
        <w:rPr>
          <w:rFonts w:ascii="ITC Avant Garde" w:eastAsia="Times New Roman" w:hAnsi="ITC Avant Garde"/>
          <w:b/>
          <w:lang w:eastAsia="es-ES"/>
        </w:rPr>
        <w:t>“</w:t>
      </w:r>
      <w:r w:rsidR="00922F2E" w:rsidRPr="00787FA1">
        <w:rPr>
          <w:rFonts w:ascii="ITC Avant Garde" w:eastAsia="Times New Roman" w:hAnsi="ITC Avant Garde"/>
          <w:b/>
          <w:lang w:eastAsia="es-ES"/>
        </w:rPr>
        <w:t>ACTA VERIFICACIÓN ORDINARIA</w:t>
      </w:r>
      <w:r w:rsidR="001047A7">
        <w:rPr>
          <w:rFonts w:ascii="ITC Avant Garde" w:eastAsia="Times New Roman" w:hAnsi="ITC Avant Garde"/>
          <w:b/>
          <w:lang w:eastAsia="es-ES"/>
        </w:rPr>
        <w:t>”</w:t>
      </w:r>
      <w:r w:rsidRPr="00787FA1">
        <w:rPr>
          <w:rFonts w:ascii="ITC Avant Garde" w:hAnsi="ITC Avant Garde"/>
        </w:rPr>
        <w:t xml:space="preserve"> </w:t>
      </w:r>
      <w:r w:rsidR="00307E7D" w:rsidRPr="00787FA1">
        <w:rPr>
          <w:rFonts w:ascii="ITC Avant Garde" w:hAnsi="ITC Avant Garde"/>
        </w:rPr>
        <w:t xml:space="preserve">transcurrió </w:t>
      </w:r>
      <w:r w:rsidRPr="00787FA1">
        <w:rPr>
          <w:rFonts w:ascii="ITC Avant Garde" w:hAnsi="ITC Avant Garde"/>
        </w:rPr>
        <w:t xml:space="preserve">del </w:t>
      </w:r>
      <w:r w:rsidR="000B1334" w:rsidRPr="00787FA1">
        <w:rPr>
          <w:rFonts w:ascii="ITC Avant Garde" w:hAnsi="ITC Avant Garde"/>
        </w:rPr>
        <w:t xml:space="preserve">veintisiete de octubre al nueve de noviembre de dos mil quince, </w:t>
      </w:r>
      <w:r w:rsidR="008B593A" w:rsidRPr="00787FA1">
        <w:rPr>
          <w:rFonts w:ascii="ITC Avant Garde" w:hAnsi="ITC Avant Garde"/>
        </w:rPr>
        <w:t xml:space="preserve">sin contar los días </w:t>
      </w:r>
      <w:r w:rsidR="000B1334" w:rsidRPr="00787FA1">
        <w:rPr>
          <w:rFonts w:ascii="ITC Avant Garde" w:hAnsi="ITC Avant Garde"/>
        </w:rPr>
        <w:t xml:space="preserve">treinta y uno de octubre y uno, siete y ocho de noviembre </w:t>
      </w:r>
      <w:r w:rsidR="008B593A" w:rsidRPr="00787FA1">
        <w:rPr>
          <w:rFonts w:ascii="ITC Avant Garde" w:hAnsi="ITC Avant Garde"/>
        </w:rPr>
        <w:t xml:space="preserve">de dos mil quince por ser sábados y domingos, respectivamente en </w:t>
      </w:r>
      <w:r w:rsidR="008B593A" w:rsidRPr="00787FA1">
        <w:rPr>
          <w:rFonts w:ascii="ITC Avant Garde" w:hAnsi="ITC Avant Garde"/>
        </w:rPr>
        <w:lastRenderedPageBreak/>
        <w:t xml:space="preserve">términos del artículo 28 de la </w:t>
      </w:r>
      <w:r w:rsidR="000B1334" w:rsidRPr="00787FA1">
        <w:rPr>
          <w:rFonts w:ascii="ITC Avant Garde" w:hAnsi="ITC Avant Garde"/>
          <w:b/>
        </w:rPr>
        <w:t>“</w:t>
      </w:r>
      <w:r w:rsidR="008B593A" w:rsidRPr="00787FA1">
        <w:rPr>
          <w:rFonts w:ascii="ITC Avant Garde" w:hAnsi="ITC Avant Garde"/>
          <w:b/>
        </w:rPr>
        <w:t>LFPA</w:t>
      </w:r>
      <w:r w:rsidR="000B1334" w:rsidRPr="00787FA1">
        <w:rPr>
          <w:rFonts w:ascii="ITC Avant Garde" w:hAnsi="ITC Avant Garde"/>
          <w:b/>
        </w:rPr>
        <w:t>”</w:t>
      </w:r>
      <w:r w:rsidR="008B593A" w:rsidRPr="00787FA1">
        <w:rPr>
          <w:rFonts w:ascii="ITC Avant Garde" w:hAnsi="ITC Avant Garde"/>
        </w:rPr>
        <w:t xml:space="preserve">, </w:t>
      </w:r>
      <w:r w:rsidR="00922F2E" w:rsidRPr="00787FA1">
        <w:rPr>
          <w:rFonts w:ascii="ITC Avant Garde" w:hAnsi="ITC Avant Garde"/>
        </w:rPr>
        <w:t xml:space="preserve">término que feneció sin que se presentara </w:t>
      </w:r>
      <w:r w:rsidR="00922F2E" w:rsidRPr="00787FA1">
        <w:rPr>
          <w:rFonts w:ascii="ITC Avant Garde" w:hAnsi="ITC Avant Garde" w:cs="Arial"/>
        </w:rPr>
        <w:t>escrito alguno.</w:t>
      </w:r>
    </w:p>
    <w:p w:rsidR="00922F2E" w:rsidRPr="00787FA1" w:rsidRDefault="00922F2E" w:rsidP="00B34C88">
      <w:pPr>
        <w:spacing w:before="240" w:after="0" w:line="360" w:lineRule="auto"/>
        <w:jc w:val="both"/>
        <w:rPr>
          <w:rFonts w:ascii="ITC Avant Garde" w:hAnsi="ITC Avant Garde"/>
          <w:bCs/>
        </w:rPr>
      </w:pPr>
      <w:r w:rsidRPr="00787FA1">
        <w:rPr>
          <w:rFonts w:ascii="ITC Avant Garde" w:hAnsi="ITC Avant Garde"/>
        </w:rPr>
        <w:t xml:space="preserve">Derivado de lo anterior y una vez analizadas las constancias respectivas, la </w:t>
      </w:r>
      <w:r w:rsidR="000B1334" w:rsidRPr="00787FA1">
        <w:rPr>
          <w:rFonts w:ascii="ITC Avant Garde" w:hAnsi="ITC Avant Garde"/>
          <w:b/>
        </w:rPr>
        <w:t>“</w:t>
      </w:r>
      <w:r w:rsidRPr="00787FA1">
        <w:rPr>
          <w:rFonts w:ascii="ITC Avant Garde" w:hAnsi="ITC Avant Garde"/>
          <w:b/>
        </w:rPr>
        <w:t>DGV</w:t>
      </w:r>
      <w:r w:rsidR="000B1334" w:rsidRPr="00787FA1">
        <w:rPr>
          <w:rFonts w:ascii="ITC Avant Garde" w:hAnsi="ITC Avant Garde"/>
          <w:b/>
        </w:rPr>
        <w:t>”</w:t>
      </w:r>
      <w:r w:rsidRPr="00787FA1">
        <w:rPr>
          <w:rFonts w:ascii="ITC Avant Garde" w:hAnsi="ITC Avant Garde"/>
        </w:rPr>
        <w:t xml:space="preserve"> estimó que </w:t>
      </w:r>
      <w:r w:rsidRPr="00787FA1">
        <w:rPr>
          <w:rFonts w:ascii="ITC Avant Garde" w:eastAsia="ヒラギノ角ゴ Pro W3" w:hAnsi="ITC Avant Garde"/>
          <w:color w:val="000000"/>
        </w:rPr>
        <w:t>con su conducta</w:t>
      </w:r>
      <w:r w:rsidRPr="00787FA1">
        <w:rPr>
          <w:rFonts w:ascii="ITC Avant Garde" w:hAnsi="ITC Avant Garde"/>
        </w:rPr>
        <w:t xml:space="preserve"> el</w:t>
      </w:r>
      <w:r w:rsidRPr="00787FA1">
        <w:rPr>
          <w:rFonts w:ascii="ITC Avant Garde" w:hAnsi="ITC Avant Garde"/>
          <w:b/>
        </w:rPr>
        <w:t xml:space="preserve"> </w:t>
      </w:r>
      <w:r w:rsidR="000B1334" w:rsidRPr="00787FA1">
        <w:rPr>
          <w:rFonts w:ascii="ITC Avant Garde" w:hAnsi="ITC Avant Garde"/>
        </w:rPr>
        <w:t>“</w:t>
      </w:r>
      <w:r w:rsidRPr="00787FA1">
        <w:rPr>
          <w:rFonts w:ascii="ITC Avant Garde" w:hAnsi="ITC Avant Garde"/>
          <w:b/>
        </w:rPr>
        <w:t>PRESUNTO</w:t>
      </w:r>
      <w:r w:rsidR="001047A7">
        <w:rPr>
          <w:rFonts w:ascii="ITC Avant Garde" w:hAnsi="ITC Avant Garde"/>
          <w:b/>
        </w:rPr>
        <w:t xml:space="preserve"> RESPONSABLE</w:t>
      </w:r>
      <w:r w:rsidR="000B1334" w:rsidRPr="00787FA1">
        <w:rPr>
          <w:rFonts w:ascii="ITC Avant Garde" w:hAnsi="ITC Avant Garde"/>
          <w:b/>
        </w:rPr>
        <w:t>”</w:t>
      </w:r>
      <w:r w:rsidRPr="00787FA1">
        <w:rPr>
          <w:rFonts w:ascii="ITC Avant Garde" w:eastAsia="ヒラギノ角ゴ Pro W3" w:hAnsi="ITC Avant Garde"/>
          <w:color w:val="000000"/>
        </w:rPr>
        <w:t xml:space="preserve"> presumiblemente contravino lo dispuesto por el artículo</w:t>
      </w:r>
      <w:r w:rsidRPr="00787FA1">
        <w:rPr>
          <w:rFonts w:ascii="ITC Avant Garde" w:hAnsi="ITC Avant Garde"/>
          <w:bCs/>
        </w:rPr>
        <w:t xml:space="preserve"> 66 </w:t>
      </w:r>
      <w:r w:rsidRPr="00787FA1">
        <w:rPr>
          <w:rFonts w:ascii="ITC Avant Garde" w:hAnsi="ITC Avant Garde"/>
        </w:rPr>
        <w:t>en relación con el 75,</w:t>
      </w:r>
      <w:r w:rsidRPr="00787FA1">
        <w:rPr>
          <w:rFonts w:ascii="ITC Avant Garde" w:hAnsi="ITC Avant Garde"/>
          <w:bCs/>
        </w:rPr>
        <w:t xml:space="preserve"> y actualizó la hipótesis normativa prevista en el artículo 305, ambos de la </w:t>
      </w:r>
      <w:r w:rsidR="000B1334" w:rsidRPr="00787FA1">
        <w:rPr>
          <w:rFonts w:ascii="ITC Avant Garde" w:hAnsi="ITC Avant Garde"/>
          <w:b/>
          <w:bCs/>
        </w:rPr>
        <w:t>“</w:t>
      </w:r>
      <w:proofErr w:type="spellStart"/>
      <w:r w:rsidRPr="00787FA1">
        <w:rPr>
          <w:rFonts w:ascii="ITC Avant Garde" w:hAnsi="ITC Avant Garde"/>
          <w:b/>
          <w:bCs/>
        </w:rPr>
        <w:t>LFTyR</w:t>
      </w:r>
      <w:proofErr w:type="spellEnd"/>
      <w:r w:rsidR="000B1334" w:rsidRPr="00787FA1">
        <w:rPr>
          <w:rFonts w:ascii="ITC Avant Garde" w:hAnsi="ITC Avant Garde"/>
          <w:b/>
          <w:bCs/>
        </w:rPr>
        <w:t>”</w:t>
      </w:r>
      <w:r w:rsidRPr="00787FA1">
        <w:rPr>
          <w:rFonts w:ascii="ITC Avant Garde" w:hAnsi="ITC Avant Garde"/>
          <w:bCs/>
        </w:rPr>
        <w:t>. Lo anterior de conformidad con lo siguiente:</w:t>
      </w:r>
    </w:p>
    <w:p w:rsidR="00255167" w:rsidRPr="00787FA1" w:rsidRDefault="003E5306" w:rsidP="00B34C88">
      <w:pPr>
        <w:numPr>
          <w:ilvl w:val="0"/>
          <w:numId w:val="28"/>
        </w:numPr>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Los artículos 27, párrafos cuarto y sexto y 42, fracción VI de la </w:t>
      </w:r>
      <w:r w:rsidRPr="00787FA1">
        <w:rPr>
          <w:rFonts w:ascii="ITC Avant Garde" w:eastAsia="ヒラギノ角ゴ Pro W3" w:hAnsi="ITC Avant Garde"/>
          <w:b/>
          <w:color w:val="000000"/>
        </w:rPr>
        <w:t>“CPEUM”</w:t>
      </w:r>
      <w:r w:rsidRPr="00787FA1">
        <w:rPr>
          <w:rFonts w:ascii="ITC Avant Garde" w:eastAsia="ヒラギノ角ゴ Pro W3" w:hAnsi="ITC Avant Garde"/>
          <w:color w:val="000000"/>
        </w:rPr>
        <w:t xml:space="preserve">; 1, 2, 3, 4, 5,15 fracciones IV y VII de la </w:t>
      </w:r>
      <w:r w:rsidRPr="00787FA1">
        <w:rPr>
          <w:rFonts w:ascii="ITC Avant Garde" w:eastAsia="ヒラギノ角ゴ Pro W3" w:hAnsi="ITC Avant Garde"/>
          <w:b/>
          <w:color w:val="000000"/>
        </w:rPr>
        <w:t>“</w:t>
      </w:r>
      <w:proofErr w:type="spellStart"/>
      <w:r w:rsidRPr="00787FA1">
        <w:rPr>
          <w:rFonts w:ascii="ITC Avant Garde" w:eastAsia="ヒラギノ角ゴ Pro W3" w:hAnsi="ITC Avant Garde"/>
          <w:b/>
          <w:color w:val="000000"/>
        </w:rPr>
        <w:t>LFT</w:t>
      </w:r>
      <w:r w:rsidR="00420FE2">
        <w:rPr>
          <w:rFonts w:ascii="ITC Avant Garde" w:eastAsia="ヒラギノ角ゴ Pro W3" w:hAnsi="ITC Avant Garde"/>
          <w:b/>
          <w:color w:val="000000"/>
        </w:rPr>
        <w:t>yR</w:t>
      </w:r>
      <w:proofErr w:type="spellEnd"/>
      <w:r w:rsidRPr="00787FA1">
        <w:rPr>
          <w:rFonts w:ascii="ITC Avant Garde" w:eastAsia="ヒラギノ角ゴ Pro W3" w:hAnsi="ITC Avant Garde"/>
          <w:b/>
          <w:color w:val="000000"/>
        </w:rPr>
        <w:t>”</w:t>
      </w:r>
      <w:r w:rsidRPr="00787FA1">
        <w:rPr>
          <w:rFonts w:ascii="ITC Avant Garde" w:eastAsia="ヒラギノ角ゴ Pro W3" w:hAnsi="ITC Avant Garde"/>
          <w:color w:val="000000"/>
        </w:rPr>
        <w:t>, establecen que corresponde a la Nación el dominio directo del espacio situado sobre el territorio nacional, que es el medio en que se propagan las ondas electromagnéticas de señales de audio o de audio y video asociado, mediante la instalación, funcionamiento y operación de estaciones de radio y televisión, siendo este dominio inalienable e imprescriptible.</w:t>
      </w:r>
    </w:p>
    <w:p w:rsidR="003E5306" w:rsidRPr="00787FA1" w:rsidRDefault="003E5306" w:rsidP="00B34C88">
      <w:pPr>
        <w:spacing w:before="240" w:after="0" w:line="360" w:lineRule="auto"/>
        <w:ind w:left="720"/>
        <w:jc w:val="both"/>
        <w:rPr>
          <w:rFonts w:ascii="ITC Avant Garde" w:eastAsia="ヒラギノ角ゴ Pro W3" w:hAnsi="ITC Avant Garde"/>
          <w:color w:val="000000"/>
        </w:rPr>
      </w:pPr>
      <w:r w:rsidRPr="00787FA1">
        <w:rPr>
          <w:rFonts w:ascii="ITC Avant Garde" w:eastAsia="ヒラギノ角ゴ Pro W3" w:hAnsi="ITC Avant Garde"/>
          <w:color w:val="000000"/>
        </w:rPr>
        <w:t>En términos de los ordenamientos legales invocados, para el uso, aprovechamiento o explotación por parte de los particulares de las bandas de frecuencia del espectro radioeléctrico para prestar el servicio de radiodifusión</w:t>
      </w:r>
      <w:r w:rsidR="000C7A95">
        <w:rPr>
          <w:rFonts w:ascii="ITC Avant Garde" w:eastAsia="ヒラギノ角ゴ Pro W3" w:hAnsi="ITC Avant Garde"/>
          <w:color w:val="000000"/>
        </w:rPr>
        <w:t xml:space="preserve"> </w:t>
      </w:r>
      <w:r w:rsidRPr="00787FA1">
        <w:rPr>
          <w:rFonts w:ascii="ITC Avant Garde" w:eastAsia="ヒラギノ角ゴ Pro W3" w:hAnsi="ITC Avant Garde"/>
          <w:color w:val="000000"/>
        </w:rPr>
        <w:t>sólo podrá realizarse previa concesión o permiso que se le otorgue por la autoridad competente.</w:t>
      </w:r>
    </w:p>
    <w:p w:rsidR="003E5306" w:rsidRPr="00787FA1" w:rsidRDefault="003E5306" w:rsidP="00B34C88">
      <w:pPr>
        <w:numPr>
          <w:ilvl w:val="0"/>
          <w:numId w:val="28"/>
        </w:numPr>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El artículo 4 de la </w:t>
      </w:r>
      <w:r w:rsidRPr="00787FA1">
        <w:rPr>
          <w:rFonts w:ascii="ITC Avant Garde" w:eastAsia="ヒラギノ角ゴ Pro W3" w:hAnsi="ITC Avant Garde"/>
          <w:b/>
          <w:color w:val="000000"/>
        </w:rPr>
        <w:t>“</w:t>
      </w:r>
      <w:proofErr w:type="spellStart"/>
      <w:r w:rsidRPr="00787FA1">
        <w:rPr>
          <w:rFonts w:ascii="ITC Avant Garde" w:eastAsia="ヒラギノ角ゴ Pro W3" w:hAnsi="ITC Avant Garde"/>
          <w:b/>
          <w:color w:val="000000"/>
        </w:rPr>
        <w:t>LFTyR</w:t>
      </w:r>
      <w:proofErr w:type="spellEnd"/>
      <w:r w:rsidRPr="00787FA1">
        <w:rPr>
          <w:rFonts w:ascii="ITC Avant Garde" w:eastAsia="ヒラギノ角ゴ Pro W3" w:hAnsi="ITC Avant Garde"/>
          <w:b/>
          <w:color w:val="000000"/>
        </w:rPr>
        <w:t>”</w:t>
      </w:r>
      <w:r w:rsidRPr="00787FA1">
        <w:rPr>
          <w:rFonts w:ascii="ITC Avant Garde" w:eastAsia="ヒラギノ角ゴ Pro W3" w:hAnsi="ITC Avant Garde"/>
          <w:color w:val="000000"/>
        </w:rPr>
        <w:t>, señala que para los efectos de dicha Ley, el espectro radioeléctrico es una vía general de comunicación.</w:t>
      </w:r>
    </w:p>
    <w:p w:rsidR="003E5306" w:rsidRPr="00787FA1" w:rsidRDefault="003E5306" w:rsidP="00B34C88">
      <w:pPr>
        <w:numPr>
          <w:ilvl w:val="0"/>
          <w:numId w:val="28"/>
        </w:numPr>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De conformidad con el artículo 6 fracción II, de la </w:t>
      </w:r>
      <w:r w:rsidRPr="00787FA1">
        <w:rPr>
          <w:rFonts w:ascii="ITC Avant Garde" w:eastAsia="ヒラギノ角ゴ Pro W3" w:hAnsi="ITC Avant Garde"/>
          <w:b/>
          <w:color w:val="000000"/>
        </w:rPr>
        <w:t>“</w:t>
      </w:r>
      <w:proofErr w:type="spellStart"/>
      <w:r w:rsidRPr="00787FA1">
        <w:rPr>
          <w:rFonts w:ascii="ITC Avant Garde" w:eastAsia="ヒラギノ角ゴ Pro W3" w:hAnsi="ITC Avant Garde"/>
          <w:b/>
          <w:color w:val="000000"/>
        </w:rPr>
        <w:t>LFTyR</w:t>
      </w:r>
      <w:proofErr w:type="spellEnd"/>
      <w:r w:rsidRPr="00787FA1">
        <w:rPr>
          <w:rFonts w:ascii="ITC Avant Garde" w:eastAsia="ヒラギノ角ゴ Pro W3" w:hAnsi="ITC Avant Garde"/>
          <w:b/>
          <w:color w:val="000000"/>
        </w:rPr>
        <w:t>”</w:t>
      </w:r>
      <w:r w:rsidRPr="00787FA1">
        <w:rPr>
          <w:rFonts w:ascii="ITC Avant Garde" w:eastAsia="ヒラギノ角ゴ Pro W3" w:hAnsi="ITC Avant Garde"/>
          <w:color w:val="000000"/>
        </w:rPr>
        <w:t xml:space="preserve">, se aplicará de manera supletoria la Ley de Vías Generales de Comunicación </w:t>
      </w:r>
      <w:r w:rsidRPr="00787FA1">
        <w:rPr>
          <w:rFonts w:ascii="ITC Avant Garde" w:eastAsia="ヒラギノ角ゴ Pro W3" w:hAnsi="ITC Avant Garde"/>
          <w:b/>
          <w:color w:val="000000"/>
        </w:rPr>
        <w:t>(“LVGC”)</w:t>
      </w:r>
      <w:r w:rsidRPr="00787FA1">
        <w:rPr>
          <w:rFonts w:ascii="ITC Avant Garde" w:eastAsia="ヒラギノ角ゴ Pro W3" w:hAnsi="ITC Avant Garde"/>
          <w:color w:val="000000"/>
        </w:rPr>
        <w:t xml:space="preserve">, en tal sentido dicha ley en sus artículo 524 dispone el procedimiento a seguir una vez que se haya detectado la operación y explotación de vías de comunicación (espectro radioeléctrico), es decir, se procederá al aseguramiento de las obras ejecutadas, instalaciones y todos aquellos </w:t>
      </w:r>
      <w:r w:rsidRPr="00787FA1">
        <w:rPr>
          <w:rFonts w:ascii="ITC Avant Garde" w:eastAsia="ヒラギノ角ゴ Pro W3" w:hAnsi="ITC Avant Garde"/>
          <w:color w:val="000000"/>
        </w:rPr>
        <w:lastRenderedPageBreak/>
        <w:t>bienes dedicados a la explotación de la vía de comunicación, otorgándole al presunto infractor el término de diez días para presentar pruebas y defensas que estime pertinente.</w:t>
      </w:r>
    </w:p>
    <w:p w:rsidR="003E5306" w:rsidRPr="00787FA1" w:rsidRDefault="003E5306" w:rsidP="00B34C88">
      <w:pPr>
        <w:numPr>
          <w:ilvl w:val="0"/>
          <w:numId w:val="28"/>
        </w:numPr>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El artículo 66 de la </w:t>
      </w:r>
      <w:r w:rsidRPr="00787FA1">
        <w:rPr>
          <w:rFonts w:ascii="ITC Avant Garde" w:eastAsia="ヒラギノ角ゴ Pro W3" w:hAnsi="ITC Avant Garde"/>
          <w:b/>
          <w:color w:val="000000"/>
        </w:rPr>
        <w:t>“</w:t>
      </w:r>
      <w:proofErr w:type="spellStart"/>
      <w:r w:rsidRPr="00787FA1">
        <w:rPr>
          <w:rFonts w:ascii="ITC Avant Garde" w:eastAsia="ヒラギノ角ゴ Pro W3" w:hAnsi="ITC Avant Garde"/>
          <w:b/>
          <w:color w:val="000000"/>
        </w:rPr>
        <w:t>LFTyR</w:t>
      </w:r>
      <w:proofErr w:type="spellEnd"/>
      <w:r w:rsidRPr="00787FA1">
        <w:rPr>
          <w:rFonts w:ascii="ITC Avant Garde" w:eastAsia="ヒラギノ角ゴ Pro W3" w:hAnsi="ITC Avant Garde"/>
          <w:b/>
          <w:color w:val="000000"/>
        </w:rPr>
        <w:t>”</w:t>
      </w:r>
      <w:r w:rsidRPr="00787FA1">
        <w:rPr>
          <w:rFonts w:ascii="ITC Avant Garde" w:eastAsia="ヒラギノ角ゴ Pro W3" w:hAnsi="ITC Avant Garde"/>
          <w:color w:val="000000"/>
        </w:rPr>
        <w:t xml:space="preserve"> dispone que se requiere concesión única para prestar todo tipo de servicios públicos de telecomunicaciones y radiodifusión.</w:t>
      </w:r>
    </w:p>
    <w:p w:rsidR="003E5306" w:rsidRPr="00787FA1" w:rsidRDefault="003E5306" w:rsidP="00B34C88">
      <w:pPr>
        <w:pStyle w:val="Prrafodelista"/>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En efecto, el espectro radioeléctrico constituye un bien de uso común que, como tal, en términos de la Ley General de Bienes Nacionales, está sujeto </w:t>
      </w:r>
      <w:r w:rsidR="004361C0" w:rsidRPr="00787FA1">
        <w:rPr>
          <w:rFonts w:ascii="ITC Avant Garde" w:eastAsia="ヒラギノ角ゴ Pro W3" w:hAnsi="ITC Avant Garde"/>
          <w:color w:val="000000"/>
        </w:rPr>
        <w:t>al régimen de dominio público de la Federación, pudiendo hacer uso de él todos los habitantes de la República Mexicana, con las restricciones establecidas en las leyes y reglamentos administrativos aplicables, pero para su aprovechamiento especial se requiere concesión otorgada conforme a las condiciones y requisitos legalmente establecidos, lo</w:t>
      </w:r>
      <w:r w:rsidR="00632982">
        <w:rPr>
          <w:rFonts w:ascii="ITC Avant Garde" w:eastAsia="ヒラギノ角ゴ Pro W3" w:hAnsi="ITC Avant Garde"/>
          <w:color w:val="000000"/>
        </w:rPr>
        <w:t>s</w:t>
      </w:r>
      <w:r w:rsidR="004361C0" w:rsidRPr="00787FA1">
        <w:rPr>
          <w:rFonts w:ascii="ITC Avant Garde" w:eastAsia="ヒラギノ角ゴ Pro W3" w:hAnsi="ITC Avant Garde"/>
          <w:color w:val="000000"/>
        </w:rPr>
        <w:t xml:space="preserve"> que no crean derechos reales, pues sólo otorgan frente a la administración y sin perjuicio de terceros, el derecho al uso, aprovechamiento o explotación conforme a las leyes y al título correspondiente. </w:t>
      </w:r>
      <w:r w:rsidRPr="00787FA1">
        <w:rPr>
          <w:rFonts w:ascii="ITC Avant Garde" w:eastAsia="ヒラギノ角ゴ Pro W3" w:hAnsi="ITC Avant Garde"/>
          <w:color w:val="000000"/>
        </w:rPr>
        <w:t xml:space="preserve"> </w:t>
      </w:r>
    </w:p>
    <w:p w:rsidR="003E5306" w:rsidRPr="00787FA1" w:rsidRDefault="004361C0" w:rsidP="00B34C88">
      <w:pPr>
        <w:numPr>
          <w:ilvl w:val="0"/>
          <w:numId w:val="28"/>
        </w:numPr>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El artículo 75 de la </w:t>
      </w:r>
      <w:r w:rsidRPr="00787FA1">
        <w:rPr>
          <w:rFonts w:ascii="ITC Avant Garde" w:eastAsia="ヒラギノ角ゴ Pro W3" w:hAnsi="ITC Avant Garde"/>
          <w:b/>
          <w:color w:val="000000"/>
        </w:rPr>
        <w:t>“</w:t>
      </w:r>
      <w:proofErr w:type="spellStart"/>
      <w:r w:rsidRPr="00787FA1">
        <w:rPr>
          <w:rFonts w:ascii="ITC Avant Garde" w:eastAsia="ヒラギノ角ゴ Pro W3" w:hAnsi="ITC Avant Garde"/>
          <w:b/>
          <w:color w:val="000000"/>
        </w:rPr>
        <w:t>LFTyR</w:t>
      </w:r>
      <w:proofErr w:type="spellEnd"/>
      <w:r w:rsidRPr="00787FA1">
        <w:rPr>
          <w:rFonts w:ascii="ITC Avant Garde" w:eastAsia="ヒラギノ角ゴ Pro W3" w:hAnsi="ITC Avant Garde"/>
          <w:b/>
          <w:color w:val="000000"/>
        </w:rPr>
        <w:t>”</w:t>
      </w:r>
      <w:r w:rsidRPr="00787FA1">
        <w:rPr>
          <w:rFonts w:ascii="ITC Avant Garde" w:eastAsia="ヒラギノ角ゴ Pro W3" w:hAnsi="ITC Avant Garde"/>
          <w:color w:val="000000"/>
        </w:rPr>
        <w:t>, en su primer párrafo señala que las concesiones para usar, aprovechar y explotar bandas de frecuencias del espectro radioeléctrico de uso determinado y para la ocupación de recursos orbitales, se otorgaran por el Instituto por un plazo de hasta veinte años y podrán ser prorrogadas hasta por plazos iguales.</w:t>
      </w:r>
    </w:p>
    <w:p w:rsidR="004361C0" w:rsidRPr="00787FA1" w:rsidRDefault="004361C0" w:rsidP="00B34C88">
      <w:pPr>
        <w:numPr>
          <w:ilvl w:val="0"/>
          <w:numId w:val="28"/>
        </w:numPr>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Por su parte, el artículo 305 de la </w:t>
      </w:r>
      <w:r w:rsidRPr="00787FA1">
        <w:rPr>
          <w:rFonts w:ascii="ITC Avant Garde" w:eastAsia="ヒラギノ角ゴ Pro W3" w:hAnsi="ITC Avant Garde"/>
          <w:b/>
          <w:color w:val="000000"/>
        </w:rPr>
        <w:t>“</w:t>
      </w:r>
      <w:proofErr w:type="spellStart"/>
      <w:r w:rsidRPr="00787FA1">
        <w:rPr>
          <w:rFonts w:ascii="ITC Avant Garde" w:eastAsia="ヒラギノ角ゴ Pro W3" w:hAnsi="ITC Avant Garde"/>
          <w:b/>
          <w:color w:val="000000"/>
        </w:rPr>
        <w:t>LFTyR</w:t>
      </w:r>
      <w:proofErr w:type="spellEnd"/>
      <w:r w:rsidRPr="00787FA1">
        <w:rPr>
          <w:rFonts w:ascii="ITC Avant Garde" w:eastAsia="ヒラギノ角ゴ Pro W3" w:hAnsi="ITC Avant Garde"/>
          <w:b/>
          <w:color w:val="000000"/>
        </w:rPr>
        <w:t xml:space="preserve">” </w:t>
      </w:r>
      <w:r w:rsidRPr="00787FA1">
        <w:rPr>
          <w:rFonts w:ascii="ITC Avant Garde" w:eastAsia="ヒラギノ角ゴ Pro W3" w:hAnsi="ITC Avant Garde"/>
          <w:color w:val="000000"/>
        </w:rPr>
        <w:t>dispone que las personas que presten servicios de telecomunicaciones o de radiodifusión, sin contar con la concesión o autorización, o que por cualquier otro medio invadan u obstruyan las vías generales de comunicación, perderán en beneficio de la Nación los bienes, instalaciones y equipos empleados en la comisión de dichas infracciones.</w:t>
      </w:r>
    </w:p>
    <w:p w:rsidR="004361C0" w:rsidRDefault="004361C0" w:rsidP="00B34C88">
      <w:pPr>
        <w:pStyle w:val="Prrafodelista"/>
        <w:spacing w:before="240" w:after="0" w:line="360" w:lineRule="auto"/>
        <w:ind w:left="0"/>
        <w:jc w:val="both"/>
        <w:rPr>
          <w:rFonts w:ascii="ITC Avant Garde" w:eastAsia="ヒラギノ角ゴ Pro W3" w:hAnsi="ITC Avant Garde"/>
          <w:color w:val="000000"/>
        </w:rPr>
      </w:pPr>
      <w:r w:rsidRPr="00787FA1">
        <w:rPr>
          <w:rFonts w:ascii="ITC Avant Garde" w:eastAsia="ヒラギノ角ゴ Pro W3" w:hAnsi="ITC Avant Garde"/>
          <w:color w:val="000000"/>
        </w:rPr>
        <w:lastRenderedPageBreak/>
        <w:t xml:space="preserve">Durante la vista de inspección y verificación, se </w:t>
      </w:r>
      <w:r w:rsidR="001047A7">
        <w:rPr>
          <w:rFonts w:ascii="ITC Avant Garde" w:eastAsia="ヒラギノ角ゴ Pro W3" w:hAnsi="ITC Avant Garde"/>
          <w:color w:val="000000"/>
        </w:rPr>
        <w:t xml:space="preserve">hacía </w:t>
      </w:r>
      <w:r w:rsidRPr="00787FA1">
        <w:rPr>
          <w:rFonts w:ascii="ITC Avant Garde" w:eastAsia="ヒラギノ角ゴ Pro W3" w:hAnsi="ITC Avant Garde"/>
          <w:color w:val="000000"/>
        </w:rPr>
        <w:t xml:space="preserve">uso de la frecuencia </w:t>
      </w:r>
      <w:r w:rsidRPr="00787FA1">
        <w:rPr>
          <w:rFonts w:ascii="ITC Avant Garde" w:eastAsia="ヒラギノ角ゴ Pro W3" w:hAnsi="ITC Avant Garde"/>
          <w:b/>
          <w:color w:val="000000"/>
        </w:rPr>
        <w:t xml:space="preserve">105.3 MHz, </w:t>
      </w:r>
      <w:r w:rsidRPr="00787FA1">
        <w:rPr>
          <w:rFonts w:ascii="ITC Avant Garde" w:eastAsia="ヒラギノ角ゴ Pro W3" w:hAnsi="ITC Avant Garde"/>
          <w:color w:val="000000"/>
        </w:rPr>
        <w:t>la cual, es un bien de dominio</w:t>
      </w:r>
      <w:r w:rsidRPr="00787FA1">
        <w:rPr>
          <w:rFonts w:ascii="ITC Avant Garde" w:eastAsia="ヒラギノ角ゴ Pro W3" w:hAnsi="ITC Avant Garde"/>
          <w:b/>
          <w:color w:val="000000"/>
        </w:rPr>
        <w:t xml:space="preserve"> </w:t>
      </w:r>
      <w:r w:rsidRPr="00787FA1">
        <w:rPr>
          <w:rFonts w:ascii="ITC Avant Garde" w:eastAsia="ヒラギノ角ゴ Pro W3" w:hAnsi="ITC Avant Garde"/>
          <w:color w:val="000000"/>
        </w:rPr>
        <w:t>público de la Nación, cuyo aprovechamiento o explotación, solo podrá hacerse contando para el efecto con el documento habilitante.</w:t>
      </w:r>
    </w:p>
    <w:p w:rsidR="00776A1D" w:rsidRPr="00787FA1" w:rsidRDefault="00776A1D" w:rsidP="00B34C88">
      <w:pPr>
        <w:pStyle w:val="Prrafodelista"/>
        <w:spacing w:before="240" w:after="0" w:line="360" w:lineRule="auto"/>
        <w:ind w:left="0"/>
        <w:jc w:val="both"/>
        <w:rPr>
          <w:rFonts w:ascii="ITC Avant Garde" w:eastAsia="ヒラギノ角ゴ Pro W3" w:hAnsi="ITC Avant Garde"/>
          <w:color w:val="000000"/>
        </w:rPr>
      </w:pPr>
      <w:r>
        <w:rPr>
          <w:rFonts w:ascii="ITC Avant Garde" w:eastAsia="ヒラギノ角ゴ Pro W3" w:hAnsi="ITC Avant Garde"/>
          <w:color w:val="000000"/>
        </w:rPr>
        <w:t xml:space="preserve">En ese sentido, de la visita de </w:t>
      </w:r>
      <w:r w:rsidRPr="00787FA1">
        <w:rPr>
          <w:rFonts w:ascii="ITC Avant Garde" w:eastAsia="ヒラギノ角ゴ Pro W3" w:hAnsi="ITC Avant Garde"/>
          <w:color w:val="000000"/>
        </w:rPr>
        <w:t>inspección y verificación</w:t>
      </w:r>
      <w:r>
        <w:rPr>
          <w:rFonts w:ascii="ITC Avant Garde" w:eastAsia="ヒラギノ角ゴ Pro W3" w:hAnsi="ITC Avant Garde"/>
          <w:color w:val="000000"/>
        </w:rPr>
        <w:t xml:space="preserve"> es posible observar lo siguiente.</w:t>
      </w:r>
    </w:p>
    <w:p w:rsidR="004361C0" w:rsidRPr="00787FA1" w:rsidRDefault="004361C0" w:rsidP="00B34C88">
      <w:pPr>
        <w:pStyle w:val="Prrafodelista"/>
        <w:numPr>
          <w:ilvl w:val="0"/>
          <w:numId w:val="29"/>
        </w:numPr>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De conformidad con el artículo 43, fracción VI del </w:t>
      </w:r>
      <w:r w:rsidRPr="00787FA1">
        <w:rPr>
          <w:rFonts w:ascii="ITC Avant Garde" w:eastAsia="ヒラギノ角ゴ Pro W3" w:hAnsi="ITC Avant Garde"/>
          <w:b/>
          <w:color w:val="000000"/>
        </w:rPr>
        <w:t>“ESTATUTO”</w:t>
      </w:r>
      <w:r w:rsidRPr="00787FA1">
        <w:rPr>
          <w:rFonts w:ascii="ITC Avant Garde" w:eastAsia="ヒラギノ角ゴ Pro W3" w:hAnsi="ITC Avant Garde"/>
          <w:color w:val="000000"/>
        </w:rPr>
        <w:t xml:space="preserve">, la </w:t>
      </w:r>
      <w:r w:rsidRPr="00787FA1">
        <w:rPr>
          <w:rFonts w:ascii="ITC Avant Garde" w:eastAsia="ヒラギノ角ゴ Pro W3" w:hAnsi="ITC Avant Garde"/>
          <w:b/>
          <w:color w:val="000000"/>
        </w:rPr>
        <w:t>“DGV”</w:t>
      </w:r>
      <w:r w:rsidRPr="00787FA1">
        <w:rPr>
          <w:rFonts w:ascii="ITC Avant Garde" w:eastAsia="ヒラギノ角ゴ Pro W3" w:hAnsi="ITC Avant Garde"/>
          <w:color w:val="000000"/>
        </w:rPr>
        <w:t xml:space="preserve"> ordenó practicar las acciones pertinentes para la localización de la frecuencia </w:t>
      </w:r>
      <w:r w:rsidRPr="00787FA1">
        <w:rPr>
          <w:rFonts w:ascii="ITC Avant Garde" w:eastAsia="ヒラギノ角ゴ Pro W3" w:hAnsi="ITC Avant Garde"/>
          <w:b/>
          <w:color w:val="000000"/>
        </w:rPr>
        <w:t>105.3 MHz</w:t>
      </w:r>
      <w:r w:rsidRPr="00787FA1">
        <w:rPr>
          <w:rFonts w:ascii="ITC Avant Garde" w:eastAsia="ヒラギノ角ゴ Pro W3" w:hAnsi="ITC Avant Garde"/>
          <w:color w:val="000000"/>
        </w:rPr>
        <w:t>, en la población de Ecatepec, Estado de México.</w:t>
      </w:r>
    </w:p>
    <w:p w:rsidR="004361C0" w:rsidRPr="00787FA1" w:rsidRDefault="00FC62AF" w:rsidP="00B34C88">
      <w:pPr>
        <w:pStyle w:val="Prrafodelista"/>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Asimismo se procedió a consultar la infraestructura de estaciones de radio </w:t>
      </w:r>
      <w:r w:rsidRPr="00787FA1">
        <w:rPr>
          <w:rFonts w:ascii="ITC Avant Garde" w:eastAsia="ヒラギノ角ゴ Pro W3" w:hAnsi="ITC Avant Garde"/>
          <w:b/>
          <w:color w:val="000000"/>
        </w:rPr>
        <w:t>FM</w:t>
      </w:r>
      <w:r w:rsidRPr="00787FA1">
        <w:rPr>
          <w:rFonts w:ascii="ITC Avant Garde" w:eastAsia="ヒラギノ角ゴ Pro W3" w:hAnsi="ITC Avant Garde"/>
          <w:color w:val="000000"/>
        </w:rPr>
        <w:t xml:space="preserve"> publicadas en la página web del </w:t>
      </w:r>
      <w:r w:rsidRPr="00787FA1">
        <w:rPr>
          <w:rFonts w:ascii="ITC Avant Garde" w:eastAsia="ヒラギノ角ゴ Pro W3" w:hAnsi="ITC Avant Garde"/>
          <w:b/>
          <w:color w:val="000000"/>
        </w:rPr>
        <w:t>“IFT”</w:t>
      </w:r>
      <w:r w:rsidRPr="00787FA1">
        <w:rPr>
          <w:rFonts w:ascii="ITC Avant Garde" w:eastAsia="ヒラギノ角ゴ Pro W3" w:hAnsi="ITC Avant Garde"/>
          <w:color w:val="000000"/>
        </w:rPr>
        <w:t xml:space="preserve"> </w:t>
      </w:r>
      <w:r w:rsidR="00632982">
        <w:rPr>
          <w:rFonts w:ascii="ITC Avant Garde" w:eastAsia="ヒラギノ角ゴ Pro W3" w:hAnsi="ITC Avant Garde"/>
          <w:color w:val="000000"/>
        </w:rPr>
        <w:t>respecto de</w:t>
      </w:r>
      <w:r w:rsidRPr="00787FA1">
        <w:rPr>
          <w:rFonts w:ascii="ITC Avant Garde" w:eastAsia="ヒラギノ角ゴ Pro W3" w:hAnsi="ITC Avant Garde"/>
          <w:color w:val="000000"/>
        </w:rPr>
        <w:t xml:space="preserve"> la estación radiodifusora </w:t>
      </w:r>
      <w:r w:rsidRPr="00787FA1">
        <w:rPr>
          <w:rFonts w:ascii="ITC Avant Garde" w:eastAsia="ヒラギノ角ゴ Pro W3" w:hAnsi="ITC Avant Garde"/>
          <w:b/>
          <w:color w:val="000000"/>
        </w:rPr>
        <w:t>105.3 MHz</w:t>
      </w:r>
      <w:r w:rsidRPr="00787FA1">
        <w:rPr>
          <w:rFonts w:ascii="ITC Avant Garde" w:eastAsia="ヒラギノ角ゴ Pro W3" w:hAnsi="ITC Avant Garde"/>
          <w:color w:val="000000"/>
        </w:rPr>
        <w:t xml:space="preserve"> en la población de Ecatepec, Estado de México.</w:t>
      </w:r>
    </w:p>
    <w:p w:rsidR="00FC62AF" w:rsidRPr="00787FA1" w:rsidRDefault="00FC62AF" w:rsidP="00B34C88">
      <w:pPr>
        <w:pStyle w:val="Prrafodelista"/>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De la consulta realizada se advirtió que no existe constancia de concesión o permiso por parte de la autoridad competente y menos aún fue exhibida al momento de </w:t>
      </w:r>
      <w:r w:rsidR="00CA216E" w:rsidRPr="00787FA1">
        <w:rPr>
          <w:rFonts w:ascii="ITC Avant Garde" w:eastAsia="ヒラギノ角ゴ Pro W3" w:hAnsi="ITC Avant Garde"/>
          <w:color w:val="000000"/>
        </w:rPr>
        <w:t>practica</w:t>
      </w:r>
      <w:r w:rsidR="00CA216E">
        <w:rPr>
          <w:rFonts w:ascii="ITC Avant Garde" w:eastAsia="ヒラギノ角ゴ Pro W3" w:hAnsi="ITC Avant Garde"/>
          <w:color w:val="000000"/>
        </w:rPr>
        <w:t>r</w:t>
      </w:r>
      <w:r w:rsidRPr="00787FA1">
        <w:rPr>
          <w:rFonts w:ascii="ITC Avant Garde" w:eastAsia="ヒラギノ角ゴ Pro W3" w:hAnsi="ITC Avant Garde"/>
          <w:color w:val="000000"/>
        </w:rPr>
        <w:t xml:space="preserve"> la vista de verificación, para justificar el uso y explotación de la frecuencia </w:t>
      </w:r>
      <w:r w:rsidRPr="00787FA1">
        <w:rPr>
          <w:rFonts w:ascii="ITC Avant Garde" w:eastAsia="ヒラギノ角ゴ Pro W3" w:hAnsi="ITC Avant Garde"/>
          <w:b/>
          <w:color w:val="000000"/>
        </w:rPr>
        <w:t>105.3 MHz</w:t>
      </w:r>
      <w:r w:rsidRPr="00787FA1">
        <w:rPr>
          <w:rFonts w:ascii="ITC Avant Garde" w:eastAsia="ヒラギノ角ゴ Pro W3" w:hAnsi="ITC Avant Garde"/>
          <w:color w:val="000000"/>
        </w:rPr>
        <w:t xml:space="preserve"> en la población de Ecatepec, Estado de México.</w:t>
      </w:r>
    </w:p>
    <w:p w:rsidR="00FC62AF" w:rsidRPr="00787FA1" w:rsidRDefault="00FC62AF" w:rsidP="00B34C88">
      <w:pPr>
        <w:pStyle w:val="Prrafodelista"/>
        <w:spacing w:before="240" w:after="0" w:line="360" w:lineRule="auto"/>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En ese sentido, se detectó que al momento de realizar la vista de inspección, la estación se encontraba transmitiendo música y programación con contenido esotérico, en la frecuencia </w:t>
      </w:r>
      <w:r w:rsidRPr="00787FA1">
        <w:rPr>
          <w:rFonts w:ascii="ITC Avant Garde" w:eastAsia="ヒラギノ角ゴ Pro W3" w:hAnsi="ITC Avant Garde"/>
          <w:b/>
          <w:color w:val="000000"/>
        </w:rPr>
        <w:t>105.3 MHz</w:t>
      </w:r>
      <w:r w:rsidRPr="00787FA1">
        <w:rPr>
          <w:rFonts w:ascii="ITC Avant Garde" w:eastAsia="ヒラギノ角ゴ Pro W3" w:hAnsi="ITC Avant Garde"/>
          <w:color w:val="000000"/>
        </w:rPr>
        <w:t>, como se acreditó con los audios grabados.</w:t>
      </w:r>
    </w:p>
    <w:p w:rsidR="00FC62AF" w:rsidRPr="00787FA1" w:rsidRDefault="00FC62AF" w:rsidP="00B34C88">
      <w:pPr>
        <w:pStyle w:val="Prrafodelista"/>
        <w:spacing w:before="240" w:after="0" w:line="360" w:lineRule="auto"/>
        <w:jc w:val="both"/>
        <w:rPr>
          <w:rFonts w:ascii="ITC Avant Garde" w:eastAsia="ヒラギノ角ゴ Pro W3" w:hAnsi="ITC Avant Garde"/>
          <w:b/>
          <w:color w:val="000000"/>
        </w:rPr>
      </w:pPr>
      <w:r w:rsidRPr="00787FA1">
        <w:rPr>
          <w:rFonts w:ascii="ITC Avant Garde" w:eastAsia="ヒラギノ角ゴ Pro W3" w:hAnsi="ITC Avant Garde"/>
          <w:color w:val="000000"/>
        </w:rPr>
        <w:t xml:space="preserve">Con ello se tiene la presunción de que hasta la fecha en que tuvo verificativo la visita de inspección y verificación, se </w:t>
      </w:r>
      <w:r w:rsidR="001047A7">
        <w:rPr>
          <w:rFonts w:ascii="ITC Avant Garde" w:eastAsia="ヒラギノ角ゴ Pro W3" w:hAnsi="ITC Avant Garde"/>
          <w:color w:val="000000"/>
        </w:rPr>
        <w:t xml:space="preserve">prestaba </w:t>
      </w:r>
      <w:r w:rsidRPr="00787FA1">
        <w:rPr>
          <w:rFonts w:ascii="ITC Avant Garde" w:eastAsia="ヒラギノ角ゴ Pro W3" w:hAnsi="ITC Avant Garde"/>
          <w:color w:val="000000"/>
        </w:rPr>
        <w:t xml:space="preserve">el servicio público de radiodifusión, a través del uso de la frecuencia </w:t>
      </w:r>
      <w:r w:rsidRPr="00787FA1">
        <w:rPr>
          <w:rFonts w:ascii="ITC Avant Garde" w:eastAsia="ヒラギノ角ゴ Pro W3" w:hAnsi="ITC Avant Garde"/>
          <w:b/>
          <w:color w:val="000000"/>
        </w:rPr>
        <w:t>105.3 MHz</w:t>
      </w:r>
      <w:r w:rsidRPr="00787FA1">
        <w:rPr>
          <w:rFonts w:ascii="ITC Avant Garde" w:eastAsia="ヒラギノ角ゴ Pro W3" w:hAnsi="ITC Avant Garde"/>
          <w:color w:val="000000"/>
        </w:rPr>
        <w:t xml:space="preserve"> en la banda de </w:t>
      </w:r>
      <w:r w:rsidRPr="00787FA1">
        <w:rPr>
          <w:rFonts w:ascii="ITC Avant Garde" w:eastAsia="ヒラギノ角ゴ Pro W3" w:hAnsi="ITC Avant Garde"/>
          <w:b/>
          <w:color w:val="000000"/>
        </w:rPr>
        <w:t>FM.</w:t>
      </w:r>
    </w:p>
    <w:p w:rsidR="004361C0" w:rsidRPr="00787FA1" w:rsidRDefault="00FC62AF" w:rsidP="00B34C88">
      <w:pPr>
        <w:pStyle w:val="Prrafodelista"/>
        <w:numPr>
          <w:ilvl w:val="0"/>
          <w:numId w:val="29"/>
        </w:numPr>
        <w:spacing w:before="240" w:after="0" w:line="360" w:lineRule="auto"/>
        <w:ind w:left="714" w:hanging="357"/>
        <w:jc w:val="both"/>
        <w:rPr>
          <w:rFonts w:ascii="ITC Avant Garde" w:eastAsia="ヒラギノ角ゴ Pro W3" w:hAnsi="ITC Avant Garde"/>
          <w:color w:val="000000"/>
        </w:rPr>
      </w:pPr>
      <w:r w:rsidRPr="00787FA1">
        <w:rPr>
          <w:rFonts w:ascii="ITC Avant Garde" w:eastAsia="ヒラギノ角ゴ Pro W3" w:hAnsi="ITC Avant Garde"/>
          <w:color w:val="000000"/>
        </w:rPr>
        <w:t>Del monitoreo realizado durante la visita de inspección – verificación en la población de Ecatepec, Estado de México</w:t>
      </w:r>
      <w:r w:rsidR="00471321" w:rsidRPr="00787FA1">
        <w:rPr>
          <w:rFonts w:ascii="ITC Avant Garde" w:eastAsia="ヒラギノ角ゴ Pro W3" w:hAnsi="ITC Avant Garde"/>
          <w:color w:val="000000"/>
        </w:rPr>
        <w:t xml:space="preserve">, se constató el uso de la frecuencia </w:t>
      </w:r>
      <w:r w:rsidR="00471321" w:rsidRPr="00787FA1">
        <w:rPr>
          <w:rFonts w:ascii="ITC Avant Garde" w:eastAsia="ヒラギノ角ゴ Pro W3" w:hAnsi="ITC Avant Garde"/>
          <w:b/>
          <w:color w:val="000000"/>
        </w:rPr>
        <w:t>105.3 MHz</w:t>
      </w:r>
      <w:r w:rsidR="00471321" w:rsidRPr="00787FA1">
        <w:rPr>
          <w:rFonts w:ascii="ITC Avant Garde" w:eastAsia="ヒラギノ角ゴ Pro W3" w:hAnsi="ITC Avant Garde"/>
          <w:color w:val="000000"/>
        </w:rPr>
        <w:t xml:space="preserve"> y del resultado de la vista de verificación se encontró instalados y en operación los siguientes equipos: un transmisor, sin marca, sin </w:t>
      </w:r>
      <w:r w:rsidR="00471321" w:rsidRPr="00787FA1">
        <w:rPr>
          <w:rFonts w:ascii="ITC Avant Garde" w:eastAsia="ヒラギノ角ゴ Pro W3" w:hAnsi="ITC Avant Garde"/>
          <w:color w:val="000000"/>
        </w:rPr>
        <w:lastRenderedPageBreak/>
        <w:t>n</w:t>
      </w:r>
      <w:r w:rsidR="00F30867">
        <w:rPr>
          <w:rFonts w:ascii="ITC Avant Garde" w:eastAsia="ヒラギノ角ゴ Pro W3" w:hAnsi="ITC Avant Garde"/>
          <w:color w:val="000000"/>
        </w:rPr>
        <w:t>úmero de serie</w:t>
      </w:r>
      <w:r w:rsidR="00471321" w:rsidRPr="00787FA1">
        <w:rPr>
          <w:rFonts w:ascii="ITC Avant Garde" w:eastAsia="ヒラギノ角ゴ Pro W3" w:hAnsi="ITC Avant Garde"/>
          <w:color w:val="000000"/>
        </w:rPr>
        <w:t xml:space="preserve">, una antena omnidireccional, sin marca y sin número de serie y una </w:t>
      </w:r>
      <w:proofErr w:type="spellStart"/>
      <w:r w:rsidR="00471321" w:rsidRPr="00787FA1">
        <w:rPr>
          <w:rFonts w:ascii="ITC Avant Garde" w:eastAsia="ヒラギノ角ゴ Pro W3" w:hAnsi="ITC Avant Garde"/>
          <w:color w:val="000000"/>
        </w:rPr>
        <w:t>Lap</w:t>
      </w:r>
      <w:proofErr w:type="spellEnd"/>
      <w:r w:rsidR="00471321" w:rsidRPr="00787FA1">
        <w:rPr>
          <w:rFonts w:ascii="ITC Avant Garde" w:eastAsia="ヒラギノ角ゴ Pro W3" w:hAnsi="ITC Avant Garde"/>
          <w:color w:val="000000"/>
        </w:rPr>
        <w:t xml:space="preserve"> Top marca Toshiba, sin número de serie.</w:t>
      </w:r>
    </w:p>
    <w:p w:rsidR="00471321" w:rsidRPr="00787FA1" w:rsidRDefault="00471321" w:rsidP="00B34C88">
      <w:pPr>
        <w:spacing w:before="240" w:after="0" w:line="360" w:lineRule="auto"/>
        <w:ind w:left="720"/>
        <w:jc w:val="both"/>
        <w:rPr>
          <w:rFonts w:ascii="ITC Avant Garde" w:eastAsia="ヒラギノ角ゴ Pro W3" w:hAnsi="ITC Avant Garde"/>
          <w:color w:val="000000"/>
        </w:rPr>
      </w:pPr>
      <w:r w:rsidRPr="00787FA1">
        <w:rPr>
          <w:rFonts w:ascii="ITC Avant Garde" w:eastAsia="ヒラギノ角ゴ Pro W3" w:hAnsi="ITC Avant Garde"/>
          <w:color w:val="000000"/>
        </w:rPr>
        <w:t>Por lo que se acreditó la prestación del servicio público de radiodifusión a través del uso</w:t>
      </w:r>
      <w:r w:rsidR="00C64DCA">
        <w:rPr>
          <w:rFonts w:ascii="ITC Avant Garde" w:eastAsia="ヒラギノ角ゴ Pro W3" w:hAnsi="ITC Avant Garde"/>
          <w:color w:val="000000"/>
        </w:rPr>
        <w:t xml:space="preserve"> y</w:t>
      </w:r>
      <w:r w:rsidRPr="00787FA1">
        <w:rPr>
          <w:rFonts w:ascii="ITC Avant Garde" w:eastAsia="ヒラギノ角ゴ Pro W3" w:hAnsi="ITC Avant Garde"/>
          <w:color w:val="000000"/>
        </w:rPr>
        <w:t xml:space="preserve"> aprovechamiento </w:t>
      </w:r>
      <w:r w:rsidR="00C64DCA" w:rsidRPr="00787FA1">
        <w:rPr>
          <w:rFonts w:ascii="ITC Avant Garde" w:eastAsia="ヒラギノ角ゴ Pro W3" w:hAnsi="ITC Avant Garde"/>
          <w:color w:val="000000"/>
        </w:rPr>
        <w:t xml:space="preserve"> </w:t>
      </w:r>
      <w:r w:rsidRPr="00787FA1">
        <w:rPr>
          <w:rFonts w:ascii="ITC Avant Garde" w:eastAsia="ヒラギノ角ゴ Pro W3" w:hAnsi="ITC Avant Garde"/>
          <w:color w:val="000000"/>
        </w:rPr>
        <w:t>del espectro radioeléctrico, correspondiente a la banda de frecuencia modulada, sin contar con la concesión o permiso correspondiente.</w:t>
      </w:r>
    </w:p>
    <w:p w:rsidR="00471321" w:rsidRPr="00787FA1" w:rsidRDefault="00471321" w:rsidP="00B34C88">
      <w:pPr>
        <w:pStyle w:val="Prrafodelista"/>
        <w:numPr>
          <w:ilvl w:val="0"/>
          <w:numId w:val="29"/>
        </w:numPr>
        <w:spacing w:before="240" w:after="0" w:line="360" w:lineRule="auto"/>
        <w:ind w:left="714" w:hanging="357"/>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En cuanto al cuestionamiento formulado por </w:t>
      </w:r>
      <w:r w:rsidRPr="00787FA1">
        <w:rPr>
          <w:rFonts w:ascii="ITC Avant Garde" w:eastAsia="ヒラギノ角ゴ Pro W3" w:hAnsi="ITC Avant Garde"/>
          <w:b/>
          <w:color w:val="000000"/>
        </w:rPr>
        <w:t>“LOS VERIFICADORES”</w:t>
      </w:r>
      <w:r w:rsidRPr="00787FA1">
        <w:rPr>
          <w:rFonts w:ascii="ITC Avant Garde" w:eastAsia="ヒラギノ角ゴ Pro W3" w:hAnsi="ITC Avant Garde"/>
          <w:color w:val="000000"/>
        </w:rPr>
        <w:t xml:space="preserve"> respecto a que si contaba con concesión o permiso, para el uso de la frecuencia </w:t>
      </w:r>
      <w:r w:rsidRPr="00787FA1">
        <w:rPr>
          <w:rFonts w:ascii="ITC Avant Garde" w:eastAsia="ヒラギノ角ゴ Pro W3" w:hAnsi="ITC Avant Garde"/>
          <w:b/>
          <w:color w:val="000000"/>
        </w:rPr>
        <w:t>105.3 MHz</w:t>
      </w:r>
      <w:r w:rsidRPr="00787FA1">
        <w:rPr>
          <w:rFonts w:ascii="ITC Avant Garde" w:eastAsia="ヒラギノ角ゴ Pro W3" w:hAnsi="ITC Avant Garde"/>
          <w:color w:val="000000"/>
        </w:rPr>
        <w:t xml:space="preserve"> en la banda </w:t>
      </w:r>
      <w:r w:rsidRPr="00787FA1">
        <w:rPr>
          <w:rFonts w:ascii="ITC Avant Garde" w:eastAsia="ヒラギノ角ゴ Pro W3" w:hAnsi="ITC Avant Garde"/>
          <w:b/>
          <w:color w:val="000000"/>
        </w:rPr>
        <w:t>FM</w:t>
      </w:r>
      <w:r w:rsidRPr="00787FA1">
        <w:rPr>
          <w:rFonts w:ascii="ITC Avant Garde" w:eastAsia="ヒラギノ角ゴ Pro W3" w:hAnsi="ITC Avant Garde"/>
          <w:color w:val="000000"/>
        </w:rPr>
        <w:t>, la persona que atendió la diligencia manifestó que desconocía si contaba con dicho permiso.</w:t>
      </w:r>
    </w:p>
    <w:p w:rsidR="00471321" w:rsidRPr="00787FA1" w:rsidRDefault="00471321" w:rsidP="00B34C88">
      <w:pPr>
        <w:pStyle w:val="Prrafodelista"/>
        <w:spacing w:before="240" w:after="0" w:line="360" w:lineRule="auto"/>
        <w:ind w:left="714"/>
        <w:jc w:val="both"/>
        <w:rPr>
          <w:rFonts w:ascii="ITC Avant Garde" w:eastAsia="ヒラギノ角ゴ Pro W3" w:hAnsi="ITC Avant Garde"/>
          <w:color w:val="000000"/>
        </w:rPr>
      </w:pPr>
      <w:r w:rsidRPr="00787FA1">
        <w:rPr>
          <w:rFonts w:ascii="ITC Avant Garde" w:eastAsia="ヒラギノ角ゴ Pro W3" w:hAnsi="ITC Avant Garde"/>
          <w:color w:val="000000"/>
        </w:rPr>
        <w:t xml:space="preserve">Derivado de lo anterior, se acredita fehacientemente la falta del documento idóneo que ampare el uso de la frecuencia detectada, conducta que desde luego infringe lo dispuesto por el artículo 66, en relación con el artículo 75, ambos de la </w:t>
      </w:r>
      <w:r w:rsidRPr="00787FA1">
        <w:rPr>
          <w:rFonts w:ascii="ITC Avant Garde" w:eastAsia="ヒラギノ角ゴ Pro W3" w:hAnsi="ITC Avant Garde"/>
          <w:b/>
          <w:color w:val="000000"/>
        </w:rPr>
        <w:t>“</w:t>
      </w:r>
      <w:proofErr w:type="spellStart"/>
      <w:r w:rsidRPr="00787FA1">
        <w:rPr>
          <w:rFonts w:ascii="ITC Avant Garde" w:eastAsia="ヒラギノ角ゴ Pro W3" w:hAnsi="ITC Avant Garde"/>
          <w:b/>
          <w:color w:val="000000"/>
        </w:rPr>
        <w:t>LFTyR</w:t>
      </w:r>
      <w:proofErr w:type="spellEnd"/>
      <w:r w:rsidRPr="00787FA1">
        <w:rPr>
          <w:rFonts w:ascii="ITC Avant Garde" w:eastAsia="ヒラギノ角ゴ Pro W3" w:hAnsi="ITC Avant Garde"/>
          <w:b/>
          <w:color w:val="000000"/>
        </w:rPr>
        <w:t>”</w:t>
      </w:r>
      <w:r w:rsidRPr="00787FA1">
        <w:rPr>
          <w:rFonts w:ascii="ITC Avant Garde" w:eastAsia="ヒラギノ角ゴ Pro W3" w:hAnsi="ITC Avant Garde"/>
          <w:color w:val="000000"/>
        </w:rPr>
        <w:t xml:space="preserve"> pues dicha frecuencia requiere de concesión o autorización para su utilización.</w:t>
      </w:r>
    </w:p>
    <w:p w:rsidR="00307BDE" w:rsidRPr="00787FA1" w:rsidRDefault="00307BDE" w:rsidP="00B34C88">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Por tanto, se acredit</w:t>
      </w:r>
      <w:r w:rsidR="00A96269" w:rsidRPr="00787FA1">
        <w:rPr>
          <w:rFonts w:ascii="ITC Avant Garde" w:eastAsia="Times New Roman" w:hAnsi="ITC Avant Garde"/>
          <w:bCs/>
          <w:color w:val="000000"/>
          <w:lang w:eastAsia="es-MX"/>
        </w:rPr>
        <w:t>ó</w:t>
      </w:r>
      <w:r w:rsidRPr="00787FA1">
        <w:rPr>
          <w:rFonts w:ascii="ITC Avant Garde" w:eastAsia="Times New Roman" w:hAnsi="ITC Avant Garde"/>
          <w:bCs/>
          <w:color w:val="000000"/>
          <w:lang w:eastAsia="es-MX"/>
        </w:rPr>
        <w:t xml:space="preserve"> </w:t>
      </w:r>
      <w:r w:rsidRPr="00787FA1">
        <w:rPr>
          <w:rFonts w:ascii="ITC Avant Garde" w:hAnsi="ITC Avant Garde"/>
        </w:rPr>
        <w:t>la infracción al artículo</w:t>
      </w:r>
      <w:r w:rsidRPr="00787FA1">
        <w:rPr>
          <w:rFonts w:ascii="ITC Avant Garde" w:hAnsi="ITC Avant Garde"/>
          <w:bCs/>
        </w:rPr>
        <w:t xml:space="preserve"> 66 en relación con el 75, de la </w:t>
      </w:r>
      <w:r w:rsidR="00A96269" w:rsidRPr="00787FA1">
        <w:rPr>
          <w:rFonts w:ascii="ITC Avant Garde" w:hAnsi="ITC Avant Garde"/>
          <w:b/>
          <w:bCs/>
        </w:rPr>
        <w:t>“</w:t>
      </w:r>
      <w:proofErr w:type="spellStart"/>
      <w:r w:rsidRPr="00787FA1">
        <w:rPr>
          <w:rFonts w:ascii="ITC Avant Garde" w:hAnsi="ITC Avant Garde"/>
          <w:b/>
          <w:bCs/>
        </w:rPr>
        <w:t>LFTyR</w:t>
      </w:r>
      <w:proofErr w:type="spellEnd"/>
      <w:r w:rsidR="00A96269" w:rsidRPr="00787FA1">
        <w:rPr>
          <w:rFonts w:ascii="ITC Avant Garde" w:hAnsi="ITC Avant Garde"/>
          <w:b/>
          <w:bCs/>
        </w:rPr>
        <w:t>”</w:t>
      </w:r>
      <w:r w:rsidRPr="00787FA1">
        <w:rPr>
          <w:rFonts w:ascii="ITC Avant Garde" w:hAnsi="ITC Avant Garde"/>
          <w:b/>
          <w:bCs/>
        </w:rPr>
        <w:t xml:space="preserve">, </w:t>
      </w:r>
      <w:r w:rsidRPr="00787FA1">
        <w:rPr>
          <w:rFonts w:ascii="ITC Avant Garde" w:hAnsi="ITC Avant Garde"/>
          <w:bCs/>
        </w:rPr>
        <w:t>toda vez que</w:t>
      </w:r>
      <w:r w:rsidRPr="00787FA1">
        <w:rPr>
          <w:rFonts w:ascii="ITC Avant Garde" w:eastAsia="Times New Roman" w:hAnsi="ITC Avant Garde"/>
          <w:bCs/>
          <w:color w:val="000000"/>
          <w:lang w:eastAsia="es-MX"/>
        </w:rPr>
        <w:t xml:space="preserve"> al momento de llevarse a cabo la visita de inspección-verificación, se detectó que en el inmueble visitado, se prestaba el servicio de radiodifusión a través del uso de la frecuencia </w:t>
      </w:r>
      <w:r w:rsidR="009F5CCE" w:rsidRPr="00787FA1">
        <w:rPr>
          <w:rFonts w:ascii="ITC Avant Garde" w:eastAsia="Times New Roman" w:hAnsi="ITC Avant Garde"/>
          <w:b/>
          <w:bCs/>
          <w:color w:val="000000"/>
          <w:lang w:eastAsia="es-MX"/>
        </w:rPr>
        <w:t>105</w:t>
      </w:r>
      <w:r w:rsidR="00A96269" w:rsidRPr="00787FA1">
        <w:rPr>
          <w:rFonts w:ascii="ITC Avant Garde" w:eastAsia="Times New Roman" w:hAnsi="ITC Avant Garde"/>
          <w:b/>
          <w:bCs/>
          <w:color w:val="000000"/>
          <w:lang w:eastAsia="es-MX"/>
        </w:rPr>
        <w:t>.3</w:t>
      </w:r>
      <w:r w:rsidR="009F5CCE" w:rsidRPr="00787FA1">
        <w:rPr>
          <w:rFonts w:ascii="ITC Avant Garde" w:eastAsia="Times New Roman" w:hAnsi="ITC Avant Garde"/>
          <w:b/>
          <w:bCs/>
          <w:color w:val="000000"/>
          <w:lang w:eastAsia="es-MX"/>
        </w:rPr>
        <w:t xml:space="preserve"> MHz</w:t>
      </w:r>
      <w:r w:rsidR="009F5CCE" w:rsidRPr="00787FA1">
        <w:rPr>
          <w:rFonts w:ascii="ITC Avant Garde" w:eastAsia="Times New Roman" w:hAnsi="ITC Avant Garde"/>
          <w:bCs/>
          <w:color w:val="000000"/>
          <w:lang w:eastAsia="es-MX"/>
        </w:rPr>
        <w:t xml:space="preserve"> de </w:t>
      </w:r>
      <w:r w:rsidR="009F5CCE" w:rsidRPr="00787FA1">
        <w:rPr>
          <w:rFonts w:ascii="ITC Avant Garde" w:eastAsia="Times New Roman" w:hAnsi="ITC Avant Garde"/>
          <w:b/>
          <w:bCs/>
          <w:color w:val="000000"/>
          <w:lang w:eastAsia="es-MX"/>
        </w:rPr>
        <w:t>FM</w:t>
      </w:r>
      <w:r w:rsidRPr="00787FA1">
        <w:rPr>
          <w:rFonts w:ascii="ITC Avant Garde" w:eastAsia="Times New Roman" w:hAnsi="ITC Avant Garde"/>
          <w:bCs/>
          <w:color w:val="000000"/>
          <w:lang w:eastAsia="es-MX"/>
        </w:rPr>
        <w:t xml:space="preserve"> sin contar con la respectiva concesión, permiso o autorización emitida por autoridad competente.</w:t>
      </w:r>
    </w:p>
    <w:p w:rsidR="009F5CCE" w:rsidRPr="00787FA1" w:rsidRDefault="00A96269" w:rsidP="00B34C88">
      <w:pPr>
        <w:spacing w:before="240" w:after="0" w:line="360" w:lineRule="auto"/>
        <w:jc w:val="both"/>
        <w:rPr>
          <w:rFonts w:ascii="ITC Avant Garde" w:hAnsi="ITC Avant Garde"/>
        </w:rPr>
      </w:pPr>
      <w:r w:rsidRPr="00787FA1">
        <w:rPr>
          <w:rFonts w:ascii="ITC Avant Garde" w:hAnsi="ITC Avant Garde"/>
          <w:lang w:val="es-ES_tradnl"/>
        </w:rPr>
        <w:t xml:space="preserve">Asimismo, </w:t>
      </w:r>
      <w:r w:rsidR="00307BDE" w:rsidRPr="00787FA1">
        <w:rPr>
          <w:rFonts w:ascii="ITC Avant Garde" w:hAnsi="ITC Avant Garde"/>
          <w:lang w:val="es-ES_tradnl"/>
        </w:rPr>
        <w:t>durante la diligencia de inspección-verificación,</w:t>
      </w:r>
      <w:r w:rsidR="00307BDE" w:rsidRPr="00787FA1">
        <w:rPr>
          <w:rFonts w:ascii="ITC Avant Garde" w:hAnsi="ITC Avant Garde"/>
          <w:b/>
        </w:rPr>
        <w:t xml:space="preserve"> </w:t>
      </w:r>
      <w:r w:rsidRPr="00787FA1">
        <w:rPr>
          <w:rFonts w:ascii="ITC Avant Garde" w:hAnsi="ITC Avant Garde"/>
        </w:rPr>
        <w:t>“</w:t>
      </w:r>
      <w:r w:rsidR="00307BDE" w:rsidRPr="00787FA1">
        <w:rPr>
          <w:rFonts w:ascii="ITC Avant Garde" w:eastAsia="Times New Roman" w:hAnsi="ITC Avant Garde"/>
          <w:b/>
          <w:bCs/>
          <w:color w:val="000000"/>
          <w:lang w:eastAsia="es-MX"/>
        </w:rPr>
        <w:t>LOS VERIFICADORES</w:t>
      </w:r>
      <w:r w:rsidRPr="00787FA1">
        <w:rPr>
          <w:rFonts w:ascii="ITC Avant Garde" w:eastAsia="Times New Roman" w:hAnsi="ITC Avant Garde"/>
          <w:b/>
          <w:bCs/>
          <w:color w:val="000000"/>
          <w:lang w:eastAsia="es-MX"/>
        </w:rPr>
        <w:t>”</w:t>
      </w:r>
      <w:r w:rsidR="00307BDE" w:rsidRPr="00787FA1">
        <w:rPr>
          <w:rFonts w:ascii="ITC Avant Garde" w:hAnsi="ITC Avant Garde"/>
        </w:rPr>
        <w:t xml:space="preserve">, </w:t>
      </w:r>
      <w:r w:rsidR="009F5CCE" w:rsidRPr="00787FA1">
        <w:rPr>
          <w:rFonts w:ascii="ITC Avant Garde" w:hAnsi="ITC Avant Garde"/>
        </w:rPr>
        <w:t>realiz</w:t>
      </w:r>
      <w:r w:rsidR="001522EF" w:rsidRPr="00787FA1">
        <w:rPr>
          <w:rFonts w:ascii="ITC Avant Garde" w:hAnsi="ITC Avant Garde"/>
        </w:rPr>
        <w:t xml:space="preserve">aron </w:t>
      </w:r>
      <w:r w:rsidR="009F5CCE" w:rsidRPr="00787FA1">
        <w:rPr>
          <w:rFonts w:ascii="ITC Avant Garde" w:hAnsi="ITC Avant Garde"/>
        </w:rPr>
        <w:t xml:space="preserve">el monitoreo de la radiofrecuencia en </w:t>
      </w:r>
      <w:r w:rsidR="009F5CCE" w:rsidRPr="00787FA1">
        <w:rPr>
          <w:rFonts w:ascii="ITC Avant Garde" w:hAnsi="ITC Avant Garde"/>
          <w:b/>
        </w:rPr>
        <w:t>FM</w:t>
      </w:r>
      <w:r w:rsidR="009F5CCE" w:rsidRPr="00787FA1">
        <w:rPr>
          <w:rFonts w:ascii="ITC Avant Garde" w:hAnsi="ITC Avant Garde"/>
        </w:rPr>
        <w:t xml:space="preserve"> y </w:t>
      </w:r>
      <w:r w:rsidR="001522EF" w:rsidRPr="00787FA1">
        <w:rPr>
          <w:rFonts w:ascii="ITC Avant Garde" w:hAnsi="ITC Avant Garde"/>
        </w:rPr>
        <w:t xml:space="preserve">corroboraron </w:t>
      </w:r>
      <w:r w:rsidR="009F5CCE" w:rsidRPr="00787FA1">
        <w:rPr>
          <w:rFonts w:ascii="ITC Avant Garde" w:hAnsi="ITC Avant Garde"/>
        </w:rPr>
        <w:t xml:space="preserve">que la frecuencia </w:t>
      </w:r>
      <w:r w:rsidR="009F5CCE" w:rsidRPr="00787FA1">
        <w:rPr>
          <w:rFonts w:ascii="ITC Avant Garde" w:hAnsi="ITC Avant Garde"/>
          <w:b/>
        </w:rPr>
        <w:t>105</w:t>
      </w:r>
      <w:r w:rsidRPr="00787FA1">
        <w:rPr>
          <w:rFonts w:ascii="ITC Avant Garde" w:hAnsi="ITC Avant Garde"/>
          <w:b/>
        </w:rPr>
        <w:t>.3</w:t>
      </w:r>
      <w:r w:rsidR="009F5CCE" w:rsidRPr="00787FA1">
        <w:rPr>
          <w:rFonts w:ascii="ITC Avant Garde" w:hAnsi="ITC Avant Garde"/>
          <w:b/>
        </w:rPr>
        <w:t xml:space="preserve"> MHz</w:t>
      </w:r>
      <w:r w:rsidR="009F5CCE" w:rsidRPr="00787FA1">
        <w:rPr>
          <w:rFonts w:ascii="ITC Avant Garde" w:hAnsi="ITC Avant Garde"/>
        </w:rPr>
        <w:t xml:space="preserve"> estaba siendo utilizada.</w:t>
      </w:r>
      <w:r w:rsidR="009F5CCE" w:rsidRPr="00787FA1">
        <w:rPr>
          <w:rFonts w:ascii="ITC Avant Garde" w:hAnsi="ITC Avant Garde"/>
          <w:vertAlign w:val="superscript"/>
        </w:rPr>
        <w:footnoteReference w:id="4"/>
      </w:r>
      <w:r w:rsidR="009F5CCE" w:rsidRPr="00787FA1">
        <w:rPr>
          <w:rFonts w:ascii="ITC Avant Garde" w:hAnsi="ITC Avant Garde"/>
        </w:rPr>
        <w:t xml:space="preserve"> </w:t>
      </w:r>
    </w:p>
    <w:p w:rsidR="00307BDE" w:rsidRPr="00787FA1" w:rsidRDefault="00A96269" w:rsidP="00B34C88">
      <w:pPr>
        <w:spacing w:before="240" w:after="0" w:line="360" w:lineRule="auto"/>
        <w:jc w:val="both"/>
        <w:rPr>
          <w:rFonts w:ascii="ITC Avant Garde" w:hAnsi="ITC Avant Garde"/>
        </w:rPr>
      </w:pPr>
      <w:r w:rsidRPr="00787FA1">
        <w:rPr>
          <w:rFonts w:ascii="ITC Avant Garde" w:hAnsi="ITC Avant Garde"/>
        </w:rPr>
        <w:t>Por tanto</w:t>
      </w:r>
      <w:r w:rsidR="00307BDE" w:rsidRPr="00787FA1">
        <w:rPr>
          <w:rFonts w:ascii="ITC Avant Garde" w:hAnsi="ITC Avant Garde"/>
        </w:rPr>
        <w:t xml:space="preserve">, se corroboró que el </w:t>
      </w:r>
      <w:r w:rsidRPr="00787FA1">
        <w:rPr>
          <w:rFonts w:ascii="ITC Avant Garde" w:hAnsi="ITC Avant Garde"/>
          <w:b/>
        </w:rPr>
        <w:t>“</w:t>
      </w:r>
      <w:r w:rsidR="00307BDE" w:rsidRPr="00787FA1">
        <w:rPr>
          <w:rFonts w:ascii="ITC Avant Garde" w:hAnsi="ITC Avant Garde"/>
          <w:b/>
        </w:rPr>
        <w:t xml:space="preserve">PRESUNTO </w:t>
      </w:r>
      <w:r w:rsidR="001047A7">
        <w:rPr>
          <w:rFonts w:ascii="ITC Avant Garde" w:hAnsi="ITC Avant Garde"/>
          <w:b/>
        </w:rPr>
        <w:t>RESPONSABLE</w:t>
      </w:r>
      <w:r w:rsidRPr="00787FA1">
        <w:rPr>
          <w:rFonts w:ascii="ITC Avant Garde" w:hAnsi="ITC Avant Garde"/>
          <w:b/>
        </w:rPr>
        <w:t>”</w:t>
      </w:r>
      <w:r w:rsidR="00307BDE" w:rsidRPr="00787FA1">
        <w:rPr>
          <w:rFonts w:ascii="ITC Avant Garde" w:hAnsi="ITC Avant Garde"/>
        </w:rPr>
        <w:t xml:space="preserve"> se encontraba prestando el servicio de radiodifusión sin contar con el título de concesión, permiso o </w:t>
      </w:r>
      <w:r w:rsidR="00307BDE" w:rsidRPr="00787FA1">
        <w:rPr>
          <w:rFonts w:ascii="ITC Avant Garde" w:hAnsi="ITC Avant Garde"/>
        </w:rPr>
        <w:lastRenderedPageBreak/>
        <w:t xml:space="preserve">autorización respectivos. En consecuencia, se </w:t>
      </w:r>
      <w:r w:rsidR="00307BDE" w:rsidRPr="00787FA1">
        <w:rPr>
          <w:rFonts w:ascii="ITC Avant Garde" w:hAnsi="ITC Avant Garde"/>
          <w:bCs/>
        </w:rPr>
        <w:t xml:space="preserve">actualiza la hipótesis normativa prevista en el artículo 305, de la </w:t>
      </w:r>
      <w:r w:rsidRPr="00787FA1">
        <w:rPr>
          <w:rFonts w:ascii="ITC Avant Garde" w:hAnsi="ITC Avant Garde"/>
          <w:b/>
          <w:bCs/>
        </w:rPr>
        <w:t>“</w:t>
      </w:r>
      <w:proofErr w:type="spellStart"/>
      <w:r w:rsidR="00307BDE" w:rsidRPr="00787FA1">
        <w:rPr>
          <w:rFonts w:ascii="ITC Avant Garde" w:hAnsi="ITC Avant Garde"/>
          <w:b/>
          <w:bCs/>
        </w:rPr>
        <w:t>LFTyR</w:t>
      </w:r>
      <w:proofErr w:type="spellEnd"/>
      <w:r w:rsidRPr="00787FA1">
        <w:rPr>
          <w:rFonts w:ascii="ITC Avant Garde" w:hAnsi="ITC Avant Garde"/>
          <w:b/>
          <w:bCs/>
        </w:rPr>
        <w:t>”</w:t>
      </w:r>
      <w:r w:rsidR="00307BDE" w:rsidRPr="00787FA1">
        <w:rPr>
          <w:rFonts w:ascii="ITC Avant Garde" w:hAnsi="ITC Avant Garde"/>
          <w:bCs/>
        </w:rPr>
        <w:t>.</w:t>
      </w:r>
    </w:p>
    <w:p w:rsidR="008B1A29" w:rsidRPr="00787FA1" w:rsidRDefault="00B60012" w:rsidP="00B34C88">
      <w:pPr>
        <w:pStyle w:val="Textoindependiente"/>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Ahora bien, en el dictamen remitido por la </w:t>
      </w:r>
      <w:r w:rsidR="00A96269"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DGV</w:t>
      </w:r>
      <w:r w:rsidR="00A9626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se consideró que el </w:t>
      </w:r>
      <w:r w:rsidR="001047A7" w:rsidRPr="00787FA1">
        <w:rPr>
          <w:rFonts w:ascii="ITC Avant Garde" w:hAnsi="ITC Avant Garde"/>
          <w:b/>
        </w:rPr>
        <w:t xml:space="preserve">“PRESUNTO </w:t>
      </w:r>
      <w:r w:rsidR="001047A7">
        <w:rPr>
          <w:rFonts w:ascii="ITC Avant Garde" w:hAnsi="ITC Avant Garde"/>
          <w:b/>
        </w:rPr>
        <w:t>RESPONSABLE</w:t>
      </w:r>
      <w:r w:rsidR="001047A7" w:rsidRPr="00787FA1">
        <w:rPr>
          <w:rFonts w:ascii="ITC Avant Garde" w:hAnsi="ITC Avant Garde"/>
          <w:b/>
        </w:rPr>
        <w:t>”</w:t>
      </w:r>
      <w:r w:rsidRPr="00787FA1">
        <w:rPr>
          <w:rFonts w:ascii="ITC Avant Garde" w:eastAsia="Times New Roman" w:hAnsi="ITC Avant Garde"/>
          <w:b/>
          <w:bCs/>
          <w:color w:val="000000"/>
          <w:lang w:eastAsia="es-MX"/>
        </w:rPr>
        <w:t xml:space="preserve"> </w:t>
      </w:r>
      <w:r w:rsidRPr="00787FA1">
        <w:rPr>
          <w:rFonts w:ascii="ITC Avant Garde" w:eastAsia="Times New Roman" w:hAnsi="ITC Avant Garde"/>
          <w:bCs/>
          <w:color w:val="000000"/>
          <w:lang w:eastAsia="es-MX"/>
        </w:rPr>
        <w:t xml:space="preserve">prestaba el servicio público de radiodifusión a través del uso, aprovechamiento o explotación de la banda de frecuencia </w:t>
      </w:r>
      <w:r w:rsidR="0049761E" w:rsidRPr="00787FA1">
        <w:rPr>
          <w:rFonts w:ascii="ITC Avant Garde" w:hAnsi="ITC Avant Garde"/>
          <w:b/>
        </w:rPr>
        <w:t>105</w:t>
      </w:r>
      <w:r w:rsidR="00A96269" w:rsidRPr="00787FA1">
        <w:rPr>
          <w:rFonts w:ascii="ITC Avant Garde" w:hAnsi="ITC Avant Garde"/>
          <w:b/>
        </w:rPr>
        <w:t>.3</w:t>
      </w:r>
      <w:r w:rsidR="0049761E" w:rsidRPr="00787FA1">
        <w:rPr>
          <w:rFonts w:ascii="ITC Avant Garde" w:hAnsi="ITC Avant Garde"/>
          <w:b/>
        </w:rPr>
        <w:t xml:space="preserve"> MHz</w:t>
      </w:r>
      <w:r w:rsidR="0049761E" w:rsidRPr="00787FA1">
        <w:rPr>
          <w:rFonts w:ascii="ITC Avant Garde" w:eastAsia="Times New Roman" w:hAnsi="ITC Avant Garde"/>
          <w:bCs/>
          <w:color w:val="000000"/>
          <w:lang w:eastAsia="es-MX"/>
        </w:rPr>
        <w:t xml:space="preserve">, </w:t>
      </w:r>
      <w:r w:rsidR="008B1A29" w:rsidRPr="00787FA1">
        <w:rPr>
          <w:rFonts w:ascii="ITC Avant Garde" w:eastAsia="Times New Roman" w:hAnsi="ITC Avant Garde"/>
          <w:bCs/>
          <w:color w:val="000000"/>
          <w:lang w:eastAsia="es-MX"/>
        </w:rPr>
        <w:t>sin contar con la concesión o permiso otorgado por la autoridad competente y en consecuencia el Titular de la Unidad de Cumplimiento inició el procedimiento de imposición de sanción respectivo, mismo que se procede a resolver por éste Órgano Colegiado.</w:t>
      </w:r>
    </w:p>
    <w:p w:rsidR="008B1A29" w:rsidRPr="00787FA1" w:rsidRDefault="008B1A29" w:rsidP="00B34C88">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Lo anterior considerando que</w:t>
      </w:r>
      <w:r w:rsidRPr="00787FA1" w:rsidDel="00913BDC">
        <w:rPr>
          <w:rFonts w:ascii="ITC Avant Garde" w:eastAsia="Times New Roman" w:hAnsi="ITC Avant Garde"/>
          <w:bCs/>
          <w:color w:val="000000"/>
          <w:lang w:eastAsia="es-MX"/>
        </w:rPr>
        <w:t xml:space="preserve"> </w:t>
      </w:r>
      <w:r w:rsidRPr="00787FA1">
        <w:rPr>
          <w:rFonts w:ascii="ITC Avant Garde" w:eastAsia="Times New Roman" w:hAnsi="ITC Avant Garde"/>
          <w:bCs/>
          <w:color w:val="000000"/>
          <w:lang w:eastAsia="es-MX"/>
        </w:rPr>
        <w:t xml:space="preserve">de conformidad con los artículos 15, fracción XXX de la </w:t>
      </w:r>
      <w:r w:rsidR="00A96269"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A9626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y 41 en relación con el 44 fracción I, y 6, fracción XVII del </w:t>
      </w:r>
      <w:r w:rsidR="00A96269"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ESTATUTO</w:t>
      </w:r>
      <w:r w:rsidR="00A96269"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el Titular de la Unidad de Cumplimiento tiene facultad para sustanciar procedimientos administrativos sancionatorios y el Pleno del</w:t>
      </w:r>
      <w:r w:rsidRPr="00787FA1">
        <w:rPr>
          <w:rFonts w:ascii="ITC Avant Garde" w:eastAsia="Times New Roman" w:hAnsi="ITC Avant Garde"/>
          <w:b/>
          <w:bCs/>
          <w:color w:val="000000"/>
          <w:lang w:eastAsia="es-MX"/>
        </w:rPr>
        <w:t xml:space="preserve"> </w:t>
      </w:r>
      <w:r w:rsidRPr="00787FA1">
        <w:rPr>
          <w:rFonts w:ascii="ITC Avant Garde" w:eastAsia="Times New Roman" w:hAnsi="ITC Avant Garde"/>
          <w:bCs/>
          <w:color w:val="000000"/>
          <w:lang w:eastAsia="es-MX"/>
        </w:rPr>
        <w:t>Instituto se encuentra facultado para imponer las sanciones respectivas y declarar la pérdida de los bienes, instalaciones y equipos a favor de la Nación, por el incumplimiento e infracción a las disposiciones legales, reglamentarias y administrativas en materia de telecomunicaciones y radiodifusión.</w:t>
      </w:r>
    </w:p>
    <w:p w:rsidR="008B1A29" w:rsidRPr="00787FA1" w:rsidRDefault="008B1A29" w:rsidP="00B34C88">
      <w:pPr>
        <w:pStyle w:val="Textoindependiente"/>
        <w:tabs>
          <w:tab w:val="left" w:pos="851"/>
        </w:tabs>
        <w:spacing w:before="240" w:after="0" w:line="360" w:lineRule="auto"/>
        <w:jc w:val="both"/>
        <w:rPr>
          <w:rFonts w:ascii="ITC Avant Garde" w:hAnsi="ITC Avant Garde"/>
          <w:b/>
          <w:color w:val="000000"/>
        </w:rPr>
      </w:pPr>
      <w:r w:rsidRPr="00787FA1">
        <w:rPr>
          <w:rFonts w:ascii="ITC Avant Garde" w:eastAsia="Times New Roman" w:hAnsi="ITC Avant Garde"/>
          <w:b/>
          <w:bCs/>
          <w:color w:val="000000"/>
          <w:lang w:eastAsia="es-MX"/>
        </w:rPr>
        <w:t xml:space="preserve">CUARTO. </w:t>
      </w:r>
      <w:r w:rsidRPr="00787FA1">
        <w:rPr>
          <w:rFonts w:ascii="ITC Avant Garde" w:eastAsia="Times New Roman" w:hAnsi="ITC Avant Garde"/>
          <w:b/>
          <w:bCs/>
          <w:smallCaps/>
          <w:color w:val="000000"/>
          <w:lang w:eastAsia="es-MX"/>
        </w:rPr>
        <w:t>MANIFESTACIONES Y PRUEBAS.</w:t>
      </w:r>
    </w:p>
    <w:p w:rsidR="00A96269" w:rsidRPr="00787FA1" w:rsidRDefault="0028771A" w:rsidP="00B34C88">
      <w:pPr>
        <w:pStyle w:val="Textoindependiente"/>
        <w:spacing w:before="240" w:after="0" w:line="360" w:lineRule="auto"/>
        <w:jc w:val="both"/>
        <w:rPr>
          <w:rFonts w:ascii="ITC Avant Garde" w:eastAsia="Times New Roman" w:hAnsi="ITC Avant Garde"/>
          <w:bCs/>
          <w:lang w:eastAsia="es-MX"/>
        </w:rPr>
      </w:pPr>
      <w:r w:rsidRPr="00787FA1">
        <w:rPr>
          <w:rFonts w:ascii="ITC Avant Garde" w:eastAsia="Times New Roman" w:hAnsi="ITC Avant Garde"/>
          <w:bCs/>
          <w:lang w:eastAsia="es-MX"/>
        </w:rPr>
        <w:t xml:space="preserve">La </w:t>
      </w:r>
      <w:r w:rsidR="00A96269" w:rsidRPr="00787FA1">
        <w:rPr>
          <w:rFonts w:ascii="ITC Avant Garde" w:eastAsia="Times New Roman" w:hAnsi="ITC Avant Garde"/>
          <w:b/>
          <w:bCs/>
          <w:lang w:eastAsia="es-MX"/>
        </w:rPr>
        <w:t>“</w:t>
      </w:r>
      <w:r w:rsidRPr="00787FA1">
        <w:rPr>
          <w:rFonts w:ascii="ITC Avant Garde" w:eastAsia="Times New Roman" w:hAnsi="ITC Avant Garde"/>
          <w:b/>
          <w:bCs/>
          <w:lang w:eastAsia="es-MX"/>
        </w:rPr>
        <w:t>DGV</w:t>
      </w:r>
      <w:r w:rsidR="00A96269" w:rsidRPr="00787FA1">
        <w:rPr>
          <w:rFonts w:ascii="ITC Avant Garde" w:eastAsia="Times New Roman" w:hAnsi="ITC Avant Garde"/>
          <w:b/>
          <w:bCs/>
          <w:lang w:eastAsia="es-MX"/>
        </w:rPr>
        <w:t>”</w:t>
      </w:r>
      <w:r w:rsidRPr="00787FA1">
        <w:rPr>
          <w:rFonts w:ascii="ITC Avant Garde" w:eastAsia="Times New Roman" w:hAnsi="ITC Avant Garde"/>
          <w:bCs/>
          <w:lang w:eastAsia="es-MX"/>
        </w:rPr>
        <w:t xml:space="preserve"> </w:t>
      </w:r>
      <w:r w:rsidR="008B1A29" w:rsidRPr="00787FA1">
        <w:rPr>
          <w:rFonts w:ascii="ITC Avant Garde" w:eastAsia="Times New Roman" w:hAnsi="ITC Avant Garde"/>
          <w:bCs/>
          <w:lang w:eastAsia="es-MX"/>
        </w:rPr>
        <w:t xml:space="preserve">remitió al Titular de la Unidad de Cumplimiento </w:t>
      </w:r>
      <w:r w:rsidRPr="00787FA1">
        <w:rPr>
          <w:rFonts w:ascii="ITC Avant Garde" w:eastAsia="Times New Roman" w:hAnsi="ITC Avant Garde"/>
          <w:bCs/>
          <w:lang w:eastAsia="es-MX"/>
        </w:rPr>
        <w:t xml:space="preserve">de este Instituto por oficio </w:t>
      </w:r>
      <w:r w:rsidRPr="00787FA1">
        <w:rPr>
          <w:rFonts w:ascii="ITC Avant Garde" w:eastAsia="Times New Roman" w:hAnsi="ITC Avant Garde"/>
          <w:b/>
          <w:bCs/>
          <w:lang w:eastAsia="es-MX"/>
        </w:rPr>
        <w:t>IFT/225/UC/DG-VER/</w:t>
      </w:r>
      <w:r w:rsidR="00A96269" w:rsidRPr="00787FA1">
        <w:rPr>
          <w:rFonts w:ascii="ITC Avant Garde" w:eastAsia="Times New Roman" w:hAnsi="ITC Avant Garde"/>
          <w:b/>
          <w:bCs/>
          <w:lang w:eastAsia="es-MX"/>
        </w:rPr>
        <w:t>324</w:t>
      </w:r>
      <w:r w:rsidRPr="00787FA1">
        <w:rPr>
          <w:rFonts w:ascii="ITC Avant Garde" w:eastAsia="Times New Roman" w:hAnsi="ITC Avant Garde"/>
          <w:b/>
          <w:bCs/>
          <w:lang w:eastAsia="es-MX"/>
        </w:rPr>
        <w:t>/201</w:t>
      </w:r>
      <w:r w:rsidR="00A96269" w:rsidRPr="00787FA1">
        <w:rPr>
          <w:rFonts w:ascii="ITC Avant Garde" w:eastAsia="Times New Roman" w:hAnsi="ITC Avant Garde"/>
          <w:b/>
          <w:bCs/>
          <w:lang w:eastAsia="es-MX"/>
        </w:rPr>
        <w:t>6</w:t>
      </w:r>
      <w:r w:rsidRPr="00787FA1">
        <w:rPr>
          <w:rFonts w:ascii="ITC Avant Garde" w:eastAsia="Times New Roman" w:hAnsi="ITC Avant Garde"/>
          <w:bCs/>
          <w:lang w:eastAsia="es-MX"/>
        </w:rPr>
        <w:t xml:space="preserve"> de </w:t>
      </w:r>
      <w:r w:rsidR="00A96269" w:rsidRPr="00787FA1">
        <w:rPr>
          <w:rFonts w:ascii="ITC Avant Garde" w:eastAsia="Times New Roman" w:hAnsi="ITC Avant Garde"/>
          <w:bCs/>
          <w:lang w:eastAsia="es-MX"/>
        </w:rPr>
        <w:t xml:space="preserve">once de febrero </w:t>
      </w:r>
      <w:r w:rsidRPr="00787FA1">
        <w:rPr>
          <w:rFonts w:ascii="ITC Avant Garde" w:eastAsia="Times New Roman" w:hAnsi="ITC Avant Garde"/>
          <w:bCs/>
          <w:lang w:eastAsia="es-MX"/>
        </w:rPr>
        <w:t>de dos mil</w:t>
      </w:r>
      <w:r w:rsidR="00A96269" w:rsidRPr="00787FA1">
        <w:rPr>
          <w:rFonts w:ascii="ITC Avant Garde" w:eastAsia="Times New Roman" w:hAnsi="ITC Avant Garde"/>
          <w:bCs/>
          <w:lang w:eastAsia="es-MX"/>
        </w:rPr>
        <w:t xml:space="preserve"> dieciséis</w:t>
      </w:r>
      <w:r w:rsidRPr="00787FA1">
        <w:rPr>
          <w:rFonts w:ascii="ITC Avant Garde" w:eastAsia="Times New Roman" w:hAnsi="ITC Avant Garde"/>
          <w:bCs/>
          <w:lang w:eastAsia="es-MX"/>
        </w:rPr>
        <w:t xml:space="preserve">, el </w:t>
      </w:r>
      <w:r w:rsidR="00A96269" w:rsidRPr="00787FA1">
        <w:rPr>
          <w:rFonts w:ascii="ITC Avant Garde" w:eastAsia="Times New Roman" w:hAnsi="ITC Avant Garde"/>
          <w:bCs/>
          <w:i/>
          <w:color w:val="000000"/>
          <w:lang w:eastAsia="es-MX"/>
        </w:rPr>
        <w:t xml:space="preserve">“Dictamen </w:t>
      </w:r>
      <w:r w:rsidR="00A96269" w:rsidRPr="00787FA1">
        <w:rPr>
          <w:rFonts w:ascii="ITC Avant Garde" w:hAnsi="ITC Avant Garde"/>
          <w:i/>
        </w:rPr>
        <w:t xml:space="preserve">por el cual se propone el inicio de </w:t>
      </w:r>
      <w:r w:rsidR="00A96269" w:rsidRPr="00787FA1">
        <w:rPr>
          <w:rFonts w:ascii="ITC Avant Garde" w:hAnsi="ITC Avant Garde"/>
          <w:b/>
          <w:i/>
        </w:rPr>
        <w:t xml:space="preserve">PROCEDIMIENTO ADMINISTRATIVO DE IMPOSICIÓN DE SANCIONES </w:t>
      </w:r>
      <w:r w:rsidR="00A96269" w:rsidRPr="00787FA1">
        <w:rPr>
          <w:rFonts w:ascii="ITC Avant Garde" w:hAnsi="ITC Avant Garde"/>
          <w:i/>
        </w:rPr>
        <w:t>y la</w:t>
      </w:r>
      <w:r w:rsidR="00A96269" w:rsidRPr="00787FA1">
        <w:rPr>
          <w:rFonts w:ascii="ITC Avant Garde" w:hAnsi="ITC Avant Garde"/>
          <w:b/>
          <w:i/>
        </w:rPr>
        <w:t xml:space="preserve"> DECLARATORIA DE PÉRDIDA DE BIENES, INSTALACIONES Y EQUIPOS EN BENEFICIO DE LA NACIÓN</w:t>
      </w:r>
      <w:r w:rsidR="00A96269" w:rsidRPr="00787FA1">
        <w:rPr>
          <w:rFonts w:ascii="ITC Avant Garde" w:hAnsi="ITC Avant Garde"/>
          <w:i/>
        </w:rPr>
        <w:t xml:space="preserve">, en contra del </w:t>
      </w:r>
      <w:r w:rsidR="00A96269" w:rsidRPr="00787FA1">
        <w:rPr>
          <w:rFonts w:ascii="ITC Avant Garde" w:hAnsi="ITC Avant Garde"/>
          <w:b/>
          <w:i/>
        </w:rPr>
        <w:t xml:space="preserve">PROPIETARIO, Y/O POSEEDOR, Y/O RESPONSABLE Y/O ENCARGADO DE LAS INSTALACIONES Y EQUIPOS DE RADIODIFUSIÓN </w:t>
      </w:r>
      <w:r w:rsidR="00A96269" w:rsidRPr="00787FA1">
        <w:rPr>
          <w:rFonts w:ascii="ITC Avant Garde" w:hAnsi="ITC Avant Garde"/>
          <w:i/>
        </w:rPr>
        <w:t xml:space="preserve">localizados en el inmueble ubicado en </w:t>
      </w:r>
      <w:r w:rsidR="00415768" w:rsidRPr="00415768">
        <w:rPr>
          <w:rFonts w:ascii="ITC Avant Garde" w:eastAsia="Times New Roman" w:hAnsi="ITC Avant Garde"/>
          <w:b/>
          <w:bCs/>
          <w:color w:val="0000CC"/>
          <w:lang w:eastAsia="es-MX"/>
        </w:rPr>
        <w:t>RESERVADO POR LEY</w:t>
      </w:r>
      <w:r w:rsidR="00A96269" w:rsidRPr="00415768">
        <w:rPr>
          <w:rFonts w:ascii="ITC Avant Garde" w:hAnsi="ITC Avant Garde"/>
          <w:i/>
        </w:rPr>
        <w:t>,</w:t>
      </w:r>
      <w:r w:rsidR="00A96269" w:rsidRPr="00787FA1">
        <w:rPr>
          <w:rFonts w:ascii="ITC Avant Garde" w:hAnsi="ITC Avant Garde"/>
          <w:i/>
        </w:rPr>
        <w:t xml:space="preserve"> Municipio de Ecatepec de Morelos, Estado de México (donde se detectaron las instalaciones de la estación de radiodifusión, operando </w:t>
      </w:r>
      <w:r w:rsidR="00A96269" w:rsidRPr="00787FA1">
        <w:rPr>
          <w:rFonts w:ascii="ITC Avant Garde" w:hAnsi="ITC Avant Garde"/>
          <w:i/>
        </w:rPr>
        <w:lastRenderedPageBreak/>
        <w:t xml:space="preserve">la frecuencia de </w:t>
      </w:r>
      <w:r w:rsidR="00A96269" w:rsidRPr="00787FA1">
        <w:rPr>
          <w:rFonts w:ascii="ITC Avant Garde" w:hAnsi="ITC Avant Garde"/>
          <w:b/>
          <w:i/>
        </w:rPr>
        <w:t>105.3 MHz</w:t>
      </w:r>
      <w:r w:rsidR="00A96269" w:rsidRPr="00787FA1">
        <w:rPr>
          <w:rFonts w:ascii="ITC Avant Garde" w:hAnsi="ITC Avant Garde"/>
          <w:i/>
        </w:rPr>
        <w:t xml:space="preserve">), por la presunta infracción del </w:t>
      </w:r>
      <w:r w:rsidR="00A96269" w:rsidRPr="00787FA1">
        <w:rPr>
          <w:rFonts w:ascii="ITC Avant Garde" w:hAnsi="ITC Avant Garde"/>
          <w:b/>
          <w:i/>
        </w:rPr>
        <w:t>artículo 66,</w:t>
      </w:r>
      <w:r w:rsidR="00A96269" w:rsidRPr="00787FA1">
        <w:rPr>
          <w:rFonts w:ascii="ITC Avant Garde" w:hAnsi="ITC Avant Garde"/>
          <w:i/>
        </w:rPr>
        <w:t xml:space="preserve"> en relación con el artículo 75, y la probable actualización de la hipótesis normativa prevista en el </w:t>
      </w:r>
      <w:r w:rsidR="00A96269" w:rsidRPr="00787FA1">
        <w:rPr>
          <w:rFonts w:ascii="ITC Avant Garde" w:hAnsi="ITC Avant Garde"/>
          <w:b/>
          <w:i/>
        </w:rPr>
        <w:t>artículo 305, todos de la Ley Federal de Telecomunicaciones y Radiodifusión</w:t>
      </w:r>
      <w:r w:rsidR="00A96269" w:rsidRPr="00787FA1">
        <w:rPr>
          <w:rFonts w:ascii="ITC Avant Garde" w:hAnsi="ITC Avant Garde"/>
          <w:i/>
        </w:rPr>
        <w:t xml:space="preserve">, derivado de la visita de inspección y verificación que consta en el </w:t>
      </w:r>
      <w:r w:rsidR="00A96269" w:rsidRPr="00787FA1">
        <w:rPr>
          <w:rFonts w:ascii="ITC Avant Garde" w:hAnsi="ITC Avant Garde"/>
          <w:b/>
          <w:i/>
        </w:rPr>
        <w:t>Acta de Verificación número IFT/DF/DGV/1095/2015.”</w:t>
      </w:r>
    </w:p>
    <w:p w:rsidR="0049761E" w:rsidRPr="00787FA1" w:rsidRDefault="002709A4" w:rsidP="00B34C88">
      <w:pPr>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Al respecto, m</w:t>
      </w:r>
      <w:r w:rsidR="0049761E" w:rsidRPr="00787FA1">
        <w:rPr>
          <w:rFonts w:ascii="ITC Avant Garde" w:eastAsia="Times New Roman" w:hAnsi="ITC Avant Garde"/>
          <w:bCs/>
          <w:color w:val="000000"/>
          <w:lang w:eastAsia="es-MX"/>
        </w:rPr>
        <w:t xml:space="preserve">ediante acuerdo de </w:t>
      </w:r>
      <w:r w:rsidRPr="00787FA1">
        <w:rPr>
          <w:rFonts w:ascii="ITC Avant Garde" w:eastAsia="Times New Roman" w:hAnsi="ITC Avant Garde"/>
          <w:bCs/>
          <w:color w:val="000000"/>
          <w:lang w:eastAsia="es-MX"/>
        </w:rPr>
        <w:t xml:space="preserve">dieciocho marzo </w:t>
      </w:r>
      <w:r w:rsidR="00374940" w:rsidRPr="00787FA1">
        <w:rPr>
          <w:rFonts w:ascii="ITC Avant Garde" w:eastAsia="Times New Roman" w:hAnsi="ITC Avant Garde"/>
          <w:bCs/>
          <w:color w:val="000000"/>
          <w:lang w:eastAsia="es-MX"/>
        </w:rPr>
        <w:t>de dos mil dieciséis</w:t>
      </w:r>
      <w:r w:rsidR="0049761E" w:rsidRPr="00787FA1">
        <w:rPr>
          <w:rFonts w:ascii="ITC Avant Garde" w:eastAsia="Times New Roman" w:hAnsi="ITC Avant Garde"/>
          <w:bCs/>
          <w:color w:val="000000"/>
          <w:lang w:eastAsia="es-MX"/>
        </w:rPr>
        <w:t xml:space="preserve">, el Titular de la Unidad de Cumplimiento inició el procedimiento administrativo de imposición de sanción y la declaratoria de pérdida de bienes, instalaciones y equipos en beneficio de la Nación, en el que otorgó al </w:t>
      </w:r>
      <w:r w:rsidR="001047A7" w:rsidRPr="00787FA1">
        <w:rPr>
          <w:rFonts w:ascii="ITC Avant Garde" w:hAnsi="ITC Avant Garde"/>
          <w:b/>
        </w:rPr>
        <w:t xml:space="preserve">“PRESUNTO </w:t>
      </w:r>
      <w:r w:rsidR="001047A7">
        <w:rPr>
          <w:rFonts w:ascii="ITC Avant Garde" w:hAnsi="ITC Avant Garde"/>
          <w:b/>
        </w:rPr>
        <w:t>RESPONSABLE</w:t>
      </w:r>
      <w:r w:rsidR="001047A7" w:rsidRPr="00787FA1">
        <w:rPr>
          <w:rFonts w:ascii="ITC Avant Garde" w:hAnsi="ITC Avant Garde"/>
          <w:b/>
        </w:rPr>
        <w:t>”</w:t>
      </w:r>
      <w:r w:rsidR="001047A7">
        <w:rPr>
          <w:rFonts w:ascii="ITC Avant Garde" w:hAnsi="ITC Avant Garde"/>
          <w:b/>
        </w:rPr>
        <w:t xml:space="preserve"> </w:t>
      </w:r>
      <w:r w:rsidR="0049761E" w:rsidRPr="00787FA1">
        <w:rPr>
          <w:rFonts w:ascii="ITC Avant Garde" w:eastAsia="Times New Roman" w:hAnsi="ITC Avant Garde"/>
          <w:bCs/>
          <w:color w:val="000000"/>
          <w:lang w:eastAsia="es-MX"/>
        </w:rPr>
        <w:t>un término de quince días hábiles para que manifestara lo que a su derecho conviniera y, en su caso, aportara las pruebas con que contara con relación con los presuntos incumplimientos que se le imputan.</w:t>
      </w:r>
    </w:p>
    <w:p w:rsidR="00AA0BF6" w:rsidRPr="00787FA1" w:rsidRDefault="0049761E" w:rsidP="00B34C88">
      <w:pPr>
        <w:autoSpaceDE w:val="0"/>
        <w:autoSpaceDN w:val="0"/>
        <w:adjustRightInd w:val="0"/>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Dicho acuerdo fue notificado el </w:t>
      </w:r>
      <w:r w:rsidR="002709A4" w:rsidRPr="00787FA1">
        <w:rPr>
          <w:rFonts w:ascii="ITC Avant Garde" w:eastAsia="Times New Roman" w:hAnsi="ITC Avant Garde"/>
          <w:bCs/>
          <w:color w:val="000000"/>
          <w:lang w:eastAsia="es-MX"/>
        </w:rPr>
        <w:t xml:space="preserve">veintinueve </w:t>
      </w:r>
      <w:r w:rsidR="00374940" w:rsidRPr="00787FA1">
        <w:rPr>
          <w:rFonts w:ascii="ITC Avant Garde" w:eastAsia="Times New Roman" w:hAnsi="ITC Avant Garde"/>
          <w:bCs/>
          <w:color w:val="000000"/>
          <w:lang w:eastAsia="es-MX"/>
        </w:rPr>
        <w:t xml:space="preserve">de </w:t>
      </w:r>
      <w:r w:rsidR="002709A4" w:rsidRPr="00787FA1">
        <w:rPr>
          <w:rFonts w:ascii="ITC Avant Garde" w:eastAsia="Times New Roman" w:hAnsi="ITC Avant Garde"/>
          <w:bCs/>
          <w:color w:val="000000"/>
          <w:lang w:eastAsia="es-MX"/>
        </w:rPr>
        <w:t xml:space="preserve">marzo </w:t>
      </w:r>
      <w:r w:rsidR="00374940" w:rsidRPr="00787FA1">
        <w:rPr>
          <w:rFonts w:ascii="ITC Avant Garde" w:eastAsia="Times New Roman" w:hAnsi="ITC Avant Garde"/>
          <w:bCs/>
          <w:color w:val="000000"/>
          <w:lang w:eastAsia="es-MX"/>
        </w:rPr>
        <w:t>de dos mil dieciséis</w:t>
      </w:r>
      <w:r w:rsidRPr="00787FA1">
        <w:rPr>
          <w:rFonts w:ascii="ITC Avant Garde" w:eastAsia="Times New Roman" w:hAnsi="ITC Avant Garde"/>
          <w:bCs/>
          <w:color w:val="000000"/>
          <w:lang w:eastAsia="es-MX"/>
        </w:rPr>
        <w:t xml:space="preserve"> por lo que e</w:t>
      </w:r>
      <w:r w:rsidR="0028771A" w:rsidRPr="00787FA1">
        <w:rPr>
          <w:rFonts w:ascii="ITC Avant Garde" w:eastAsia="Times New Roman" w:hAnsi="ITC Avant Garde"/>
          <w:bCs/>
          <w:color w:val="000000"/>
          <w:lang w:eastAsia="es-MX"/>
        </w:rPr>
        <w:t xml:space="preserve">l plazo de quince días hábiles transcurrió </w:t>
      </w:r>
      <w:r w:rsidR="002709A4" w:rsidRPr="00787FA1">
        <w:rPr>
          <w:rFonts w:ascii="ITC Avant Garde" w:eastAsia="Times New Roman" w:hAnsi="ITC Avant Garde"/>
          <w:bCs/>
          <w:color w:val="000000"/>
          <w:lang w:eastAsia="es-MX"/>
        </w:rPr>
        <w:t>del treinta de marzo al diecinueve de abril de dos mil dieciséis</w:t>
      </w:r>
      <w:r w:rsidR="00AA0BF6" w:rsidRPr="00787FA1">
        <w:rPr>
          <w:rFonts w:ascii="ITC Avant Garde" w:eastAsia="Times New Roman" w:hAnsi="ITC Avant Garde"/>
          <w:bCs/>
          <w:lang w:eastAsia="es-MX"/>
        </w:rPr>
        <w:t>.</w:t>
      </w:r>
    </w:p>
    <w:p w:rsidR="00A042E7" w:rsidRPr="00787FA1" w:rsidRDefault="00A042E7" w:rsidP="00B34C88">
      <w:pPr>
        <w:autoSpaceDE w:val="0"/>
        <w:autoSpaceDN w:val="0"/>
        <w:adjustRightInd w:val="0"/>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De acuerdo a lo señalado en el Resultando </w:t>
      </w:r>
      <w:r w:rsidR="002709A4" w:rsidRPr="00787FA1">
        <w:rPr>
          <w:rFonts w:ascii="ITC Avant Garde" w:eastAsia="Times New Roman" w:hAnsi="ITC Avant Garde"/>
          <w:b/>
          <w:bCs/>
          <w:color w:val="000000"/>
          <w:lang w:eastAsia="es-MX"/>
        </w:rPr>
        <w:t>OCTAVO</w:t>
      </w:r>
      <w:r w:rsidR="007C6E0B" w:rsidRPr="00787FA1">
        <w:rPr>
          <w:rFonts w:ascii="ITC Avant Garde" w:eastAsia="Times New Roman" w:hAnsi="ITC Avant Garde"/>
          <w:bCs/>
          <w:color w:val="000000"/>
          <w:lang w:eastAsia="es-MX"/>
        </w:rPr>
        <w:t xml:space="preserve"> </w:t>
      </w:r>
      <w:r w:rsidRPr="00787FA1">
        <w:rPr>
          <w:rFonts w:ascii="ITC Avant Garde" w:eastAsia="Times New Roman" w:hAnsi="ITC Avant Garde"/>
          <w:bCs/>
          <w:color w:val="000000"/>
          <w:lang w:eastAsia="es-MX"/>
        </w:rPr>
        <w:t xml:space="preserve">de la presente Resolución y toda vez que el </w:t>
      </w:r>
      <w:r w:rsidR="001047A7" w:rsidRPr="00787FA1">
        <w:rPr>
          <w:rFonts w:ascii="ITC Avant Garde" w:hAnsi="ITC Avant Garde"/>
          <w:b/>
        </w:rPr>
        <w:t xml:space="preserve">“PRESUNTO </w:t>
      </w:r>
      <w:r w:rsidR="001047A7">
        <w:rPr>
          <w:rFonts w:ascii="ITC Avant Garde" w:hAnsi="ITC Avant Garde"/>
          <w:b/>
        </w:rPr>
        <w:t>RESPONSABLE</w:t>
      </w:r>
      <w:r w:rsidR="001047A7" w:rsidRPr="00787FA1">
        <w:rPr>
          <w:rFonts w:ascii="ITC Avant Garde" w:hAnsi="ITC Avant Garde"/>
          <w:b/>
        </w:rPr>
        <w:t>”</w:t>
      </w:r>
      <w:r w:rsidR="001047A7">
        <w:rPr>
          <w:rFonts w:ascii="ITC Avant Garde" w:hAnsi="ITC Avant Garde"/>
          <w:b/>
        </w:rPr>
        <w:t xml:space="preserve"> </w:t>
      </w:r>
      <w:r w:rsidRPr="00787FA1">
        <w:rPr>
          <w:rFonts w:ascii="ITC Avant Garde" w:eastAsia="Times New Roman" w:hAnsi="ITC Avant Garde"/>
          <w:bCs/>
          <w:color w:val="000000"/>
          <w:lang w:eastAsia="es-MX"/>
        </w:rPr>
        <w:t xml:space="preserve">no presentó pruebas y defensas, por proveído del </w:t>
      </w:r>
      <w:r w:rsidR="002709A4" w:rsidRPr="00787FA1">
        <w:rPr>
          <w:rFonts w:ascii="ITC Avant Garde" w:eastAsia="Times New Roman" w:hAnsi="ITC Avant Garde"/>
          <w:bCs/>
          <w:color w:val="000000"/>
          <w:lang w:eastAsia="es-MX"/>
        </w:rPr>
        <w:t>veintisiete de abril de dos mil dieciséis</w:t>
      </w:r>
      <w:r w:rsidRPr="00787FA1">
        <w:rPr>
          <w:rFonts w:ascii="ITC Avant Garde" w:eastAsia="Times New Roman" w:hAnsi="ITC Avant Garde"/>
          <w:bCs/>
          <w:color w:val="000000"/>
          <w:lang w:eastAsia="es-MX"/>
        </w:rPr>
        <w:t xml:space="preserve">, notificado por lista </w:t>
      </w:r>
      <w:r w:rsidR="002709A4" w:rsidRPr="00787FA1">
        <w:rPr>
          <w:rFonts w:ascii="ITC Avant Garde" w:eastAsia="Times New Roman" w:hAnsi="ITC Avant Garde"/>
          <w:bCs/>
          <w:color w:val="000000"/>
          <w:lang w:eastAsia="es-MX"/>
        </w:rPr>
        <w:t>el veintiocho de abril del mismo año</w:t>
      </w:r>
      <w:r w:rsidRPr="00787FA1">
        <w:rPr>
          <w:rFonts w:ascii="ITC Avant Garde" w:eastAsia="Times New Roman" w:hAnsi="ITC Avant Garde"/>
          <w:bCs/>
          <w:color w:val="000000"/>
          <w:lang w:eastAsia="es-MX"/>
        </w:rPr>
        <w:t xml:space="preserve">, se le hizo efectivo el apercibimiento decretado en el acuerdo de </w:t>
      </w:r>
      <w:r w:rsidR="002709A4" w:rsidRPr="00787FA1">
        <w:rPr>
          <w:rFonts w:ascii="ITC Avant Garde" w:eastAsia="Times New Roman" w:hAnsi="ITC Avant Garde"/>
          <w:bCs/>
          <w:color w:val="000000"/>
          <w:lang w:eastAsia="es-MX"/>
        </w:rPr>
        <w:t xml:space="preserve">dieciocho marzo de dos mil dieciséis </w:t>
      </w:r>
      <w:r w:rsidRPr="00787FA1">
        <w:rPr>
          <w:rFonts w:ascii="ITC Avant Garde" w:eastAsia="Times New Roman" w:hAnsi="ITC Avant Garde"/>
          <w:bCs/>
          <w:color w:val="000000"/>
          <w:lang w:eastAsia="es-MX"/>
        </w:rPr>
        <w:t xml:space="preserve">y se le tuvo por perdido su derecho para presentar pruebas y defensas de su parte. Lo anterior, con fundamento en los artículos 72 de la </w:t>
      </w:r>
      <w:r w:rsidR="002709A4"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LFPA</w:t>
      </w:r>
      <w:r w:rsidR="002709A4"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y 288 del Código Federal de Procedimientos Civiles (“</w:t>
      </w:r>
      <w:r w:rsidRPr="00787FA1">
        <w:rPr>
          <w:rFonts w:ascii="ITC Avant Garde" w:eastAsia="Times New Roman" w:hAnsi="ITC Avant Garde"/>
          <w:b/>
          <w:bCs/>
          <w:color w:val="000000"/>
          <w:lang w:eastAsia="es-MX"/>
        </w:rPr>
        <w:t>CFPC”</w:t>
      </w:r>
      <w:r w:rsidRPr="00787FA1">
        <w:rPr>
          <w:rFonts w:ascii="ITC Avant Garde" w:eastAsia="Times New Roman" w:hAnsi="ITC Avant Garde"/>
          <w:bCs/>
          <w:color w:val="000000"/>
          <w:lang w:eastAsia="es-MX"/>
        </w:rPr>
        <w:t xml:space="preserve">), de aplicación supletoria en términos de los artículos 6, fracciones IV y VII de la </w:t>
      </w:r>
      <w:r w:rsidR="002709A4"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2709A4"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y 2 de la </w:t>
      </w:r>
      <w:r w:rsidR="002709A4"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LFPA</w:t>
      </w:r>
      <w:r w:rsidR="002709A4"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w:t>
      </w:r>
    </w:p>
    <w:p w:rsidR="006A62D7" w:rsidRPr="00787FA1" w:rsidRDefault="006A62D7" w:rsidP="00B34C88">
      <w:pPr>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Sirve de apoyo a lo anterior el criterio sostenido por la Primera Sala de la Suprema Corte de Justicia de la Nación, publicado en el Semanario Judicial de la Federación y su Gaceta, Libro XXII, en Julio de 2013, Tomo 1, Materia(s): </w:t>
      </w:r>
      <w:r w:rsidRPr="00787FA1">
        <w:rPr>
          <w:rFonts w:ascii="ITC Avant Garde" w:eastAsia="Times New Roman" w:hAnsi="ITC Avant Garde"/>
          <w:bCs/>
          <w:color w:val="000000"/>
          <w:lang w:eastAsia="es-MX"/>
        </w:rPr>
        <w:lastRenderedPageBreak/>
        <w:t>Constitucional, Tesis: 1a. CCV/2013 (10a.), Página: 565 cuyo Rubro y texto son del tenor siguiente:</w:t>
      </w:r>
    </w:p>
    <w:p w:rsidR="003D2D82" w:rsidRPr="00F30867" w:rsidRDefault="003D2D82" w:rsidP="00B34C88">
      <w:pPr>
        <w:tabs>
          <w:tab w:val="left" w:pos="851"/>
        </w:tabs>
        <w:spacing w:before="240" w:after="0" w:line="240" w:lineRule="auto"/>
        <w:ind w:left="567" w:right="284"/>
        <w:jc w:val="both"/>
        <w:rPr>
          <w:rFonts w:ascii="ITC Avant Garde" w:hAnsi="ITC Avant Garde"/>
          <w:color w:val="000000"/>
        </w:rPr>
      </w:pPr>
      <w:r w:rsidRPr="00F30867">
        <w:rPr>
          <w:rFonts w:ascii="ITC Avant Garde" w:eastAsia="Times New Roman" w:hAnsi="ITC Avant Garde"/>
          <w:b/>
          <w:bCs/>
          <w:color w:val="000000"/>
          <w:lang w:eastAsia="es-MX"/>
        </w:rPr>
        <w:t>PRECLUSIÓN DE UN DERECHO PROCESAL. NO CONTRAVIENE EL PRINCIPIO DE JUSTICIA PRONTA, PREVISTO EN EL ARTÍCULO 17 DE LA CONSTITUCIÓN POLÍTICA DE LOS ESTADOS UNIDOS MEXICANOS</w:t>
      </w:r>
      <w:r w:rsidRPr="00F30867">
        <w:rPr>
          <w:rFonts w:ascii="ITC Avant Garde" w:eastAsia="Times New Roman" w:hAnsi="ITC Avant Garde"/>
          <w:bCs/>
          <w:color w:val="000000"/>
          <w:lang w:eastAsia="es-MX"/>
        </w:rPr>
        <w:t>. La preclusión es una sanción que da seguridad e irreversibilidad al desarrollo del proceso, pues consiste en la pérdida, extinción o consumación de una facultad procesal, y por la cual las distintas etapas del procedimiento adquieren firmeza y se da sustento a las fases subsecuentes, lo cual no sólo permite que el juicio se desarrolle ordenadamente, sino que establece un límite a la posibilidad de discusión,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de las autoridades encargadas de su impartición, de resolver las controversias ante ellas planteadas, dentro de los términos y plazos que a</w:t>
      </w:r>
      <w:r w:rsidR="00F30867">
        <w:rPr>
          <w:rFonts w:ascii="ITC Avant Garde" w:eastAsia="Times New Roman" w:hAnsi="ITC Avant Garde"/>
          <w:bCs/>
          <w:color w:val="000000"/>
          <w:lang w:eastAsia="es-MX"/>
        </w:rPr>
        <w:t>l efecto establezcan las leyes.</w:t>
      </w:r>
    </w:p>
    <w:p w:rsidR="00480F2E" w:rsidRPr="00787FA1" w:rsidRDefault="00480F2E" w:rsidP="00B34C88">
      <w:pPr>
        <w:spacing w:before="240" w:after="0" w:line="360" w:lineRule="auto"/>
        <w:jc w:val="both"/>
        <w:rPr>
          <w:rFonts w:ascii="ITC Avant Garde" w:eastAsia="Times New Roman" w:hAnsi="ITC Avant Garde"/>
          <w:b/>
          <w:bCs/>
          <w:color w:val="000000"/>
          <w:lang w:eastAsia="es-MX"/>
        </w:rPr>
      </w:pPr>
      <w:r w:rsidRPr="00787FA1">
        <w:rPr>
          <w:rFonts w:ascii="ITC Avant Garde" w:eastAsia="Times New Roman" w:hAnsi="ITC Avant Garde"/>
          <w:b/>
          <w:bCs/>
          <w:color w:val="000000"/>
          <w:lang w:eastAsia="es-MX"/>
        </w:rPr>
        <w:t>QUINTO. ALEGATOS</w:t>
      </w:r>
    </w:p>
    <w:p w:rsidR="00C56DF0" w:rsidRPr="00787FA1" w:rsidRDefault="00C56DF0"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Mediante acuerdo </w:t>
      </w:r>
      <w:r w:rsidR="002709A4" w:rsidRPr="00787FA1">
        <w:rPr>
          <w:rFonts w:ascii="ITC Avant Garde" w:eastAsia="Times New Roman" w:hAnsi="ITC Avant Garde"/>
          <w:bCs/>
          <w:color w:val="000000"/>
          <w:lang w:eastAsia="es-MX"/>
        </w:rPr>
        <w:t>de veintisiete de abril de dos mil dieciséis</w:t>
      </w:r>
      <w:r w:rsidRPr="00787FA1">
        <w:rPr>
          <w:rFonts w:ascii="ITC Avant Garde" w:eastAsia="Times New Roman" w:hAnsi="ITC Avant Garde"/>
          <w:bCs/>
          <w:color w:val="000000"/>
          <w:lang w:eastAsia="es-MX"/>
        </w:rPr>
        <w:t xml:space="preserve">, notificado al </w:t>
      </w:r>
      <w:r w:rsidR="002709A4" w:rsidRPr="00787FA1">
        <w:rPr>
          <w:rFonts w:ascii="ITC Avant Garde" w:eastAsia="Times New Roman" w:hAnsi="ITC Avant Garde"/>
          <w:b/>
          <w:bCs/>
          <w:color w:val="000000"/>
          <w:lang w:eastAsia="es-MX"/>
        </w:rPr>
        <w:t>“</w:t>
      </w:r>
      <w:r w:rsidR="00481CD0" w:rsidRPr="00787FA1">
        <w:rPr>
          <w:rFonts w:ascii="ITC Avant Garde" w:hAnsi="ITC Avant Garde"/>
          <w:b/>
          <w:color w:val="000000"/>
        </w:rPr>
        <w:t xml:space="preserve">PRESUNTO </w:t>
      </w:r>
      <w:r w:rsidR="00581601">
        <w:rPr>
          <w:rFonts w:ascii="ITC Avant Garde" w:hAnsi="ITC Avant Garde"/>
          <w:b/>
        </w:rPr>
        <w:t>RESPONSABLE</w:t>
      </w:r>
      <w:r w:rsidR="002709A4" w:rsidRPr="00787FA1">
        <w:rPr>
          <w:rFonts w:ascii="ITC Avant Garde" w:hAnsi="ITC Avant Garde"/>
          <w:b/>
          <w:color w:val="000000"/>
        </w:rPr>
        <w:t>”</w:t>
      </w:r>
      <w:r w:rsidR="00481CD0" w:rsidRPr="00787FA1">
        <w:rPr>
          <w:rFonts w:ascii="ITC Avant Garde" w:eastAsia="Times New Roman" w:hAnsi="ITC Avant Garde"/>
          <w:bCs/>
          <w:color w:val="000000"/>
          <w:lang w:eastAsia="es-MX"/>
        </w:rPr>
        <w:t xml:space="preserve"> </w:t>
      </w:r>
      <w:r w:rsidRPr="00787FA1">
        <w:rPr>
          <w:rFonts w:ascii="ITC Avant Garde" w:eastAsia="Times New Roman" w:hAnsi="ITC Avant Garde"/>
          <w:bCs/>
          <w:color w:val="000000"/>
          <w:lang w:eastAsia="es-MX"/>
        </w:rPr>
        <w:t xml:space="preserve">por lista diaria de notificaciones en la página de este Instituto el </w:t>
      </w:r>
      <w:r w:rsidR="002709A4" w:rsidRPr="00787FA1">
        <w:rPr>
          <w:rFonts w:ascii="ITC Avant Garde" w:eastAsia="Times New Roman" w:hAnsi="ITC Avant Garde"/>
          <w:bCs/>
          <w:color w:val="000000"/>
          <w:lang w:eastAsia="es-MX"/>
        </w:rPr>
        <w:t>veintiocho de abril del mismo año</w:t>
      </w:r>
      <w:r w:rsidRPr="00787FA1">
        <w:rPr>
          <w:rFonts w:ascii="ITC Avant Garde" w:eastAsia="Times New Roman" w:hAnsi="ITC Avant Garde"/>
          <w:bCs/>
          <w:color w:val="000000"/>
          <w:lang w:eastAsia="es-MX"/>
        </w:rPr>
        <w:t xml:space="preserve">, se otorgó un plazo de diez días para que ofreciera alegatos, el cual transcurrió </w:t>
      </w:r>
      <w:r w:rsidR="002709A4" w:rsidRPr="00787FA1">
        <w:rPr>
          <w:rFonts w:ascii="ITC Avant Garde" w:hAnsi="ITC Avant Garde"/>
          <w:color w:val="000000"/>
        </w:rPr>
        <w:t xml:space="preserve">del veintinueve de abril al trece de mayo </w:t>
      </w:r>
      <w:r w:rsidR="002709A4" w:rsidRPr="00787FA1">
        <w:rPr>
          <w:rFonts w:ascii="ITC Avant Garde" w:eastAsia="Times New Roman" w:hAnsi="ITC Avant Garde"/>
          <w:bCs/>
          <w:color w:val="000000"/>
          <w:lang w:eastAsia="es-MX"/>
        </w:rPr>
        <w:t>de dos mil dieciséis.</w:t>
      </w:r>
    </w:p>
    <w:p w:rsidR="007C6E0B" w:rsidRPr="00787FA1" w:rsidRDefault="007C6E0B"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De las constancias que forman parte del presente expediente, se observa que para tal efecto, el </w:t>
      </w:r>
      <w:r w:rsidR="001047A7" w:rsidRPr="00787FA1">
        <w:rPr>
          <w:rFonts w:ascii="ITC Avant Garde" w:hAnsi="ITC Avant Garde"/>
          <w:b/>
        </w:rPr>
        <w:t xml:space="preserve">“PRESUNTO </w:t>
      </w:r>
      <w:r w:rsidR="001047A7">
        <w:rPr>
          <w:rFonts w:ascii="ITC Avant Garde" w:hAnsi="ITC Avant Garde"/>
          <w:b/>
        </w:rPr>
        <w:t>RESPONSABLE</w:t>
      </w:r>
      <w:r w:rsidR="001047A7" w:rsidRPr="00787FA1">
        <w:rPr>
          <w:rFonts w:ascii="ITC Avant Garde" w:hAnsi="ITC Avant Garde"/>
          <w:b/>
        </w:rPr>
        <w:t>”</w:t>
      </w:r>
      <w:r w:rsidR="001047A7">
        <w:rPr>
          <w:rFonts w:ascii="ITC Avant Garde" w:hAnsi="ITC Avant Garde"/>
          <w:b/>
        </w:rPr>
        <w:t xml:space="preserve"> </w:t>
      </w:r>
      <w:r w:rsidRPr="00787FA1">
        <w:rPr>
          <w:rFonts w:ascii="ITC Avant Garde" w:eastAsia="Times New Roman" w:hAnsi="ITC Avant Garde"/>
          <w:bCs/>
          <w:color w:val="000000"/>
          <w:lang w:eastAsia="es-MX"/>
        </w:rPr>
        <w:t>no presentó alegatos ante este IFT.</w:t>
      </w:r>
    </w:p>
    <w:p w:rsidR="005705DA" w:rsidRPr="00787FA1" w:rsidRDefault="005705DA" w:rsidP="00B34C88">
      <w:pPr>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De acuerdo a lo señalado en el Resultando </w:t>
      </w:r>
      <w:r w:rsidR="00C533E4" w:rsidRPr="00787FA1">
        <w:rPr>
          <w:rFonts w:ascii="ITC Avant Garde" w:eastAsia="Times New Roman" w:hAnsi="ITC Avant Garde"/>
          <w:b/>
          <w:bCs/>
          <w:color w:val="000000"/>
          <w:lang w:eastAsia="es-MX"/>
        </w:rPr>
        <w:t>DÉCIMO</w:t>
      </w:r>
      <w:r w:rsidRPr="00787FA1">
        <w:rPr>
          <w:rFonts w:ascii="ITC Avant Garde" w:eastAsia="Times New Roman" w:hAnsi="ITC Avant Garde"/>
          <w:bCs/>
          <w:color w:val="000000"/>
          <w:lang w:eastAsia="es-MX"/>
        </w:rPr>
        <w:t xml:space="preserve"> de la presente Resolución, por proveído de </w:t>
      </w:r>
      <w:r w:rsidR="00C533E4" w:rsidRPr="00787FA1">
        <w:rPr>
          <w:rFonts w:ascii="ITC Avant Garde" w:eastAsia="Times New Roman" w:hAnsi="ITC Avant Garde"/>
          <w:bCs/>
          <w:color w:val="000000"/>
          <w:lang w:eastAsia="es-MX"/>
        </w:rPr>
        <w:t>dieciséis de mayo de dos mil dieciséis</w:t>
      </w:r>
      <w:r w:rsidRPr="00787FA1">
        <w:rPr>
          <w:rFonts w:ascii="ITC Avant Garde" w:eastAsia="Times New Roman" w:hAnsi="ITC Avant Garde"/>
          <w:bCs/>
          <w:color w:val="000000"/>
          <w:lang w:eastAsia="es-MX"/>
        </w:rPr>
        <w:t xml:space="preserve">, </w:t>
      </w:r>
      <w:r w:rsidR="00A0589B" w:rsidRPr="00787FA1">
        <w:rPr>
          <w:rFonts w:ascii="ITC Avant Garde" w:eastAsia="Times New Roman" w:hAnsi="ITC Avant Garde"/>
          <w:bCs/>
          <w:color w:val="000000"/>
          <w:lang w:eastAsia="es-MX"/>
        </w:rPr>
        <w:t xml:space="preserve">notificado al </w:t>
      </w:r>
      <w:r w:rsidR="001047A7" w:rsidRPr="00787FA1">
        <w:rPr>
          <w:rFonts w:ascii="ITC Avant Garde" w:hAnsi="ITC Avant Garde"/>
          <w:b/>
        </w:rPr>
        <w:t xml:space="preserve">“PRESUNTO </w:t>
      </w:r>
      <w:r w:rsidR="001047A7">
        <w:rPr>
          <w:rFonts w:ascii="ITC Avant Garde" w:hAnsi="ITC Avant Garde"/>
          <w:b/>
        </w:rPr>
        <w:t>RESPONSABLE</w:t>
      </w:r>
      <w:r w:rsidR="001047A7" w:rsidRPr="00787FA1">
        <w:rPr>
          <w:rFonts w:ascii="ITC Avant Garde" w:hAnsi="ITC Avant Garde"/>
          <w:b/>
        </w:rPr>
        <w:t>”</w:t>
      </w:r>
      <w:r w:rsidR="00A0589B" w:rsidRPr="00787FA1">
        <w:rPr>
          <w:rFonts w:ascii="ITC Avant Garde" w:eastAsia="Times New Roman" w:hAnsi="ITC Avant Garde"/>
          <w:bCs/>
          <w:color w:val="000000"/>
          <w:lang w:eastAsia="es-MX"/>
        </w:rPr>
        <w:t xml:space="preserve"> por lista diaria de notificaciones en la página de este Instituto el </w:t>
      </w:r>
      <w:r w:rsidR="00C533E4" w:rsidRPr="00787FA1">
        <w:rPr>
          <w:rFonts w:ascii="ITC Avant Garde" w:eastAsia="Times New Roman" w:hAnsi="ITC Avant Garde"/>
          <w:bCs/>
          <w:color w:val="000000"/>
          <w:lang w:eastAsia="es-MX"/>
        </w:rPr>
        <w:t>mismo día de su emisión</w:t>
      </w:r>
      <w:r w:rsidR="00A0589B" w:rsidRPr="00787FA1">
        <w:rPr>
          <w:rFonts w:ascii="ITC Avant Garde" w:eastAsia="Times New Roman" w:hAnsi="ITC Avant Garde"/>
          <w:bCs/>
          <w:color w:val="000000"/>
          <w:lang w:eastAsia="es-MX"/>
        </w:rPr>
        <w:t xml:space="preserve">, </w:t>
      </w:r>
      <w:r w:rsidRPr="00787FA1">
        <w:rPr>
          <w:rFonts w:ascii="ITC Avant Garde" w:eastAsia="Times New Roman" w:hAnsi="ITC Avant Garde"/>
          <w:bCs/>
          <w:color w:val="000000"/>
          <w:lang w:eastAsia="es-MX"/>
        </w:rPr>
        <w:t xml:space="preserve">se tuvo por perdido el derecho del </w:t>
      </w:r>
      <w:r w:rsidR="001047A7" w:rsidRPr="00787FA1">
        <w:rPr>
          <w:rFonts w:ascii="ITC Avant Garde" w:hAnsi="ITC Avant Garde"/>
          <w:b/>
        </w:rPr>
        <w:t xml:space="preserve">“PRESUNTO </w:t>
      </w:r>
      <w:r w:rsidR="001047A7">
        <w:rPr>
          <w:rFonts w:ascii="ITC Avant Garde" w:hAnsi="ITC Avant Garde"/>
          <w:b/>
        </w:rPr>
        <w:t>RESPONSABLE</w:t>
      </w:r>
      <w:r w:rsidR="001047A7" w:rsidRPr="00787FA1">
        <w:rPr>
          <w:rFonts w:ascii="ITC Avant Garde" w:hAnsi="ITC Avant Garde"/>
          <w:b/>
        </w:rPr>
        <w:t>”</w:t>
      </w:r>
      <w:r w:rsidRPr="00787FA1">
        <w:rPr>
          <w:rFonts w:ascii="ITC Avant Garde" w:eastAsia="Times New Roman" w:hAnsi="ITC Avant Garde"/>
          <w:bCs/>
          <w:color w:val="000000"/>
          <w:lang w:eastAsia="es-MX"/>
        </w:rPr>
        <w:t xml:space="preserve"> para formular alegatos de su parte.</w:t>
      </w:r>
    </w:p>
    <w:p w:rsidR="00A6036D" w:rsidRPr="00787FA1" w:rsidRDefault="00A6036D" w:rsidP="00B34C88">
      <w:pPr>
        <w:tabs>
          <w:tab w:val="left" w:pos="709"/>
          <w:tab w:val="left" w:pos="851"/>
        </w:tabs>
        <w:spacing w:before="240" w:after="0" w:line="360" w:lineRule="auto"/>
        <w:jc w:val="both"/>
        <w:rPr>
          <w:rFonts w:ascii="ITC Avant Garde" w:hAnsi="ITC Avant Garde"/>
          <w:lang w:eastAsia="es-MX"/>
        </w:rPr>
      </w:pPr>
      <w:r w:rsidRPr="00787FA1">
        <w:rPr>
          <w:rFonts w:ascii="ITC Avant Garde" w:hAnsi="ITC Avant Garde" w:cs="Tahoma"/>
          <w:bCs/>
          <w:color w:val="222222"/>
          <w:shd w:val="clear" w:color="auto" w:fill="FFFFFF"/>
        </w:rPr>
        <w:lastRenderedPageBreak/>
        <w:t xml:space="preserve">Por lo anterior, al no existir análisis pendiente por realizar se procede a emitir la presente resolución atendiendo a los elementos que causan plenitud </w:t>
      </w:r>
      <w:proofErr w:type="spellStart"/>
      <w:r w:rsidRPr="00787FA1">
        <w:rPr>
          <w:rFonts w:ascii="ITC Avant Garde" w:hAnsi="ITC Avant Garde" w:cs="Tahoma"/>
          <w:bCs/>
          <w:color w:val="222222"/>
          <w:shd w:val="clear" w:color="auto" w:fill="FFFFFF"/>
        </w:rPr>
        <w:t>convictiva</w:t>
      </w:r>
      <w:proofErr w:type="spellEnd"/>
      <w:r w:rsidR="004A4610" w:rsidRPr="00787FA1">
        <w:rPr>
          <w:rFonts w:ascii="ITC Avant Garde" w:hAnsi="ITC Avant Garde" w:cs="Tahoma"/>
          <w:bCs/>
          <w:color w:val="222222"/>
          <w:shd w:val="clear" w:color="auto" w:fill="FFFFFF"/>
        </w:rPr>
        <w:t xml:space="preserve"> </w:t>
      </w:r>
      <w:r w:rsidR="007C6E0B" w:rsidRPr="00787FA1">
        <w:rPr>
          <w:rFonts w:ascii="ITC Avant Garde" w:hAnsi="ITC Avant Garde" w:cs="Tahoma"/>
          <w:bCs/>
          <w:color w:val="222222"/>
          <w:shd w:val="clear" w:color="auto" w:fill="FFFFFF"/>
        </w:rPr>
        <w:t xml:space="preserve">ante </w:t>
      </w:r>
      <w:r w:rsidRPr="00787FA1">
        <w:rPr>
          <w:rFonts w:ascii="ITC Avant Garde" w:hAnsi="ITC Avant Garde" w:cs="Tahoma"/>
          <w:bCs/>
          <w:color w:val="222222"/>
          <w:shd w:val="clear" w:color="auto" w:fill="FFFFFF"/>
        </w:rPr>
        <w:t>esta autoridad, cumpliendo los principios procesales que rigen todo procedimiento.</w:t>
      </w:r>
      <w:r w:rsidRPr="00787FA1">
        <w:rPr>
          <w:rFonts w:ascii="ITC Avant Garde" w:hAnsi="ITC Avant Garde"/>
          <w:lang w:eastAsia="es-MX"/>
        </w:rPr>
        <w:t xml:space="preserve"> </w:t>
      </w:r>
    </w:p>
    <w:p w:rsidR="00AA0BF6" w:rsidRPr="00787FA1" w:rsidRDefault="00AA0BF6" w:rsidP="00B34C88">
      <w:pPr>
        <w:pStyle w:val="Textoindependiente"/>
        <w:tabs>
          <w:tab w:val="left" w:pos="851"/>
        </w:tabs>
        <w:spacing w:before="240" w:after="0" w:line="360" w:lineRule="auto"/>
        <w:ind w:right="-850"/>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Sirve de aplicación por analogía la siguiente Jurisprudencia que a su letra señala:</w:t>
      </w:r>
    </w:p>
    <w:p w:rsidR="008A0608" w:rsidRPr="00F30867" w:rsidRDefault="008A0608" w:rsidP="00B34C88">
      <w:pPr>
        <w:pStyle w:val="Textoindependiente"/>
        <w:tabs>
          <w:tab w:val="left" w:pos="851"/>
        </w:tabs>
        <w:spacing w:before="240" w:after="0" w:line="240" w:lineRule="auto"/>
        <w:ind w:left="567" w:right="567"/>
        <w:jc w:val="both"/>
        <w:rPr>
          <w:rFonts w:ascii="ITC Avant Garde" w:hAnsi="ITC Avant Garde"/>
          <w:color w:val="000000"/>
        </w:rPr>
      </w:pPr>
      <w:r w:rsidRPr="00F30867">
        <w:rPr>
          <w:rFonts w:ascii="ITC Avant Garde" w:hAnsi="ITC Avant Garde"/>
          <w:b/>
          <w:color w:val="000000"/>
        </w:rPr>
        <w:t>DERECHO AL DEBIDO PROCESO. SU CONTENIDO.</w:t>
      </w:r>
      <w:r w:rsidR="00737C2C" w:rsidRPr="00F30867">
        <w:rPr>
          <w:rFonts w:ascii="ITC Avant Garde" w:hAnsi="ITC Avant Garde"/>
          <w:color w:val="000000"/>
        </w:rPr>
        <w:t xml:space="preserve"> </w:t>
      </w:r>
      <w:r w:rsidRPr="00F30867">
        <w:rPr>
          <w:rFonts w:ascii="ITC Avant Garde" w:hAnsi="ITC Avant Garde"/>
          <w:color w:val="000000"/>
        </w:rPr>
        <w:t xml:space="preserve">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w:t>
      </w:r>
      <w:r w:rsidRPr="00F30867">
        <w:rPr>
          <w:rFonts w:ascii="ITC Avant Garde" w:hAnsi="ITC Avant Garde"/>
          <w:color w:val="000000"/>
        </w:rPr>
        <w:lastRenderedPageBreak/>
        <w:t>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rsidR="00AA0BF6" w:rsidRPr="00F30867" w:rsidRDefault="00AA0BF6" w:rsidP="00B34C88">
      <w:pPr>
        <w:pStyle w:val="Textoindependiente"/>
        <w:tabs>
          <w:tab w:val="left" w:pos="851"/>
        </w:tabs>
        <w:spacing w:before="240" w:after="0" w:line="240" w:lineRule="auto"/>
        <w:ind w:left="567" w:right="567"/>
        <w:jc w:val="both"/>
        <w:rPr>
          <w:rFonts w:ascii="ITC Avant Garde" w:hAnsi="ITC Avant Garde"/>
          <w:color w:val="000000"/>
          <w:sz w:val="18"/>
        </w:rPr>
      </w:pPr>
      <w:r w:rsidRPr="00F30867">
        <w:rPr>
          <w:rFonts w:ascii="ITC Avant Garde" w:eastAsia="Times New Roman" w:hAnsi="ITC Avant Garde"/>
          <w:bCs/>
          <w:color w:val="000000"/>
          <w:sz w:val="18"/>
          <w:lang w:eastAsia="es-MX"/>
        </w:rPr>
        <w:t>Época: Décima Época, Registro: 2005716, Instancia: Primera Sala, Tipo de Tesis: Jurisprudencia, Fuente: Gaceta del Semanario Judicial de la Federación, Libro 3, Febrero de 2014, Tomo I, Materia(s): Constitucional, Tesis: 1a</w:t>
      </w:r>
      <w:proofErr w:type="gramStart"/>
      <w:r w:rsidRPr="00F30867">
        <w:rPr>
          <w:rFonts w:ascii="ITC Avant Garde" w:eastAsia="Times New Roman" w:hAnsi="ITC Avant Garde"/>
          <w:bCs/>
          <w:color w:val="000000"/>
          <w:sz w:val="18"/>
          <w:lang w:eastAsia="es-MX"/>
        </w:rPr>
        <w:t>./</w:t>
      </w:r>
      <w:proofErr w:type="gramEnd"/>
      <w:r w:rsidR="00F30867">
        <w:rPr>
          <w:rFonts w:ascii="ITC Avant Garde" w:eastAsia="Times New Roman" w:hAnsi="ITC Avant Garde"/>
          <w:bCs/>
          <w:color w:val="000000"/>
          <w:sz w:val="18"/>
          <w:lang w:eastAsia="es-MX"/>
        </w:rPr>
        <w:t>J. 11/2014 (10a.), Página: 396.</w:t>
      </w:r>
    </w:p>
    <w:p w:rsidR="00912D49" w:rsidRPr="00787FA1" w:rsidRDefault="00912D49" w:rsidP="00B34C88">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En tales consideraciones, debe tomarse en cuenta que:</w:t>
      </w:r>
    </w:p>
    <w:p w:rsidR="00912D49" w:rsidRPr="00787FA1" w:rsidRDefault="0075083B" w:rsidP="00B34C88">
      <w:pPr>
        <w:numPr>
          <w:ilvl w:val="0"/>
          <w:numId w:val="17"/>
        </w:numPr>
        <w:spacing w:before="240" w:after="0" w:line="360" w:lineRule="auto"/>
        <w:contextualSpacing/>
        <w:jc w:val="both"/>
        <w:rPr>
          <w:rFonts w:ascii="ITC Avant Garde" w:hAnsi="ITC Avant Garde" w:cs="Tahoma"/>
          <w:b/>
        </w:rPr>
      </w:pPr>
      <w:r w:rsidRPr="00787FA1">
        <w:rPr>
          <w:rFonts w:ascii="ITC Avant Garde" w:eastAsia="Times New Roman" w:hAnsi="ITC Avant Garde"/>
          <w:bCs/>
          <w:color w:val="000000"/>
          <w:lang w:eastAsia="es-MX"/>
        </w:rPr>
        <w:t xml:space="preserve">Se confirmó el uso de la frecuencia </w:t>
      </w:r>
      <w:r w:rsidRPr="00787FA1">
        <w:rPr>
          <w:rFonts w:ascii="ITC Avant Garde" w:eastAsia="Times New Roman" w:hAnsi="ITC Avant Garde"/>
          <w:b/>
          <w:bCs/>
          <w:color w:val="000000"/>
          <w:lang w:eastAsia="es-MX"/>
        </w:rPr>
        <w:t>105</w:t>
      </w:r>
      <w:r w:rsidR="00203C22" w:rsidRPr="00787FA1">
        <w:rPr>
          <w:rFonts w:ascii="ITC Avant Garde" w:eastAsia="Times New Roman" w:hAnsi="ITC Avant Garde"/>
          <w:b/>
          <w:bCs/>
          <w:color w:val="000000"/>
          <w:lang w:eastAsia="es-MX"/>
        </w:rPr>
        <w:t>.3</w:t>
      </w:r>
      <w:r w:rsidRPr="00787FA1">
        <w:rPr>
          <w:rFonts w:ascii="ITC Avant Garde" w:eastAsia="Times New Roman" w:hAnsi="ITC Avant Garde"/>
          <w:b/>
          <w:bCs/>
          <w:color w:val="000000"/>
          <w:lang w:eastAsia="es-MX"/>
        </w:rPr>
        <w:t xml:space="preserve"> MHz,</w:t>
      </w:r>
      <w:r w:rsidRPr="00787FA1">
        <w:rPr>
          <w:rFonts w:ascii="ITC Avant Garde" w:eastAsia="Times New Roman" w:hAnsi="ITC Avant Garde"/>
          <w:bCs/>
          <w:color w:val="000000"/>
          <w:lang w:eastAsia="es-MX"/>
        </w:rPr>
        <w:t xml:space="preserve"> </w:t>
      </w:r>
      <w:r w:rsidRPr="00787FA1">
        <w:rPr>
          <w:rFonts w:ascii="ITC Avant Garde" w:eastAsia="Times New Roman" w:hAnsi="ITC Avant Garde"/>
          <w:lang w:eastAsia="es-ES"/>
        </w:rPr>
        <w:t xml:space="preserve">en el inmueble ubicado en </w:t>
      </w:r>
      <w:r w:rsidR="00415768" w:rsidRPr="00415768">
        <w:rPr>
          <w:rFonts w:ascii="ITC Avant Garde" w:eastAsia="Times New Roman" w:hAnsi="ITC Avant Garde"/>
          <w:b/>
          <w:bCs/>
          <w:color w:val="0000CC"/>
          <w:lang w:eastAsia="es-MX"/>
        </w:rPr>
        <w:t>RESERVADO POR LEY</w:t>
      </w:r>
      <w:r w:rsidR="00203C22" w:rsidRPr="00787FA1">
        <w:rPr>
          <w:rFonts w:ascii="ITC Avant Garde" w:hAnsi="ITC Avant Garde"/>
        </w:rPr>
        <w:t xml:space="preserve"> Municipio de Ecatepec, Estado de México</w:t>
      </w:r>
      <w:r w:rsidR="00912D49" w:rsidRPr="00787FA1">
        <w:rPr>
          <w:rFonts w:ascii="ITC Avant Garde" w:eastAsia="Times New Roman" w:hAnsi="ITC Avant Garde"/>
          <w:lang w:eastAsia="es-ES"/>
        </w:rPr>
        <w:t xml:space="preserve">, </w:t>
      </w:r>
      <w:r w:rsidR="00AA0BF6" w:rsidRPr="00787FA1">
        <w:rPr>
          <w:rFonts w:ascii="ITC Avant Garde" w:hAnsi="ITC Avant Garde"/>
        </w:rPr>
        <w:t xml:space="preserve">donde se detectaron las instalaciones de la estación de radiodifusión que operaba la frecuencia de </w:t>
      </w:r>
      <w:r w:rsidR="00AA0BF6" w:rsidRPr="00787FA1">
        <w:rPr>
          <w:rFonts w:ascii="ITC Avant Garde" w:eastAsia="Times New Roman" w:hAnsi="ITC Avant Garde"/>
          <w:b/>
          <w:bCs/>
          <w:color w:val="000000"/>
          <w:lang w:eastAsia="es-MX"/>
        </w:rPr>
        <w:t>105</w:t>
      </w:r>
      <w:r w:rsidR="00203C22" w:rsidRPr="00787FA1">
        <w:rPr>
          <w:rFonts w:ascii="ITC Avant Garde" w:eastAsia="Times New Roman" w:hAnsi="ITC Avant Garde"/>
          <w:b/>
          <w:bCs/>
          <w:color w:val="000000"/>
          <w:lang w:eastAsia="es-MX"/>
        </w:rPr>
        <w:t>.3</w:t>
      </w:r>
      <w:r w:rsidR="00AA0BF6" w:rsidRPr="00787FA1">
        <w:rPr>
          <w:rFonts w:ascii="ITC Avant Garde" w:eastAsia="Times New Roman" w:hAnsi="ITC Avant Garde"/>
          <w:b/>
          <w:bCs/>
          <w:color w:val="000000"/>
          <w:lang w:eastAsia="es-MX"/>
        </w:rPr>
        <w:t xml:space="preserve"> MHz</w:t>
      </w:r>
      <w:r w:rsidR="00AA0BF6" w:rsidRPr="00787FA1">
        <w:rPr>
          <w:rFonts w:ascii="ITC Avant Garde" w:eastAsia="Times New Roman" w:hAnsi="ITC Avant Garde"/>
          <w:lang w:eastAsia="es-ES"/>
        </w:rPr>
        <w:t xml:space="preserve"> </w:t>
      </w:r>
      <w:r w:rsidR="00912D49" w:rsidRPr="00787FA1">
        <w:rPr>
          <w:rFonts w:ascii="ITC Avant Garde" w:eastAsia="Times New Roman" w:hAnsi="ITC Avant Garde"/>
          <w:lang w:eastAsia="es-ES"/>
        </w:rPr>
        <w:t>con el equipo consistente en</w:t>
      </w:r>
      <w:r w:rsidR="00912D49" w:rsidRPr="00787FA1">
        <w:rPr>
          <w:rFonts w:ascii="ITC Avant Garde" w:hAnsi="ITC Avant Garde" w:cs="Tahoma"/>
        </w:rPr>
        <w:t xml:space="preserve">: </w:t>
      </w:r>
      <w:r w:rsidR="00203C22" w:rsidRPr="00787FA1">
        <w:rPr>
          <w:rFonts w:ascii="ITC Avant Garde" w:hAnsi="ITC Avant Garde" w:cs="Tahoma"/>
        </w:rPr>
        <w:t xml:space="preserve">i) </w:t>
      </w:r>
      <w:r w:rsidR="00203C22" w:rsidRPr="00787FA1">
        <w:rPr>
          <w:rFonts w:ascii="ITC Avant Garde" w:eastAsia="ヒラギノ角ゴ Pro W3" w:hAnsi="ITC Avant Garde"/>
          <w:color w:val="000000"/>
        </w:rPr>
        <w:t>un transmisor</w:t>
      </w:r>
      <w:r w:rsidR="00632982">
        <w:rPr>
          <w:rFonts w:ascii="ITC Avant Garde" w:eastAsia="ヒラギノ角ゴ Pro W3" w:hAnsi="ITC Avant Garde"/>
          <w:color w:val="000000"/>
        </w:rPr>
        <w:t>, sin marca, sin número de serie</w:t>
      </w:r>
      <w:r w:rsidR="00203C22" w:rsidRPr="00787FA1">
        <w:rPr>
          <w:rFonts w:ascii="ITC Avant Garde" w:eastAsia="ヒラギノ角ゴ Pro W3" w:hAnsi="ITC Avant Garde"/>
          <w:color w:val="000000"/>
        </w:rPr>
        <w:t xml:space="preserve">, ii) una antena omnidireccional, sin marca y sin número de serie y iii) una </w:t>
      </w:r>
      <w:proofErr w:type="spellStart"/>
      <w:r w:rsidR="00203C22" w:rsidRPr="00787FA1">
        <w:rPr>
          <w:rFonts w:ascii="ITC Avant Garde" w:eastAsia="ヒラギノ角ゴ Pro W3" w:hAnsi="ITC Avant Garde"/>
          <w:color w:val="000000"/>
        </w:rPr>
        <w:t>Lap</w:t>
      </w:r>
      <w:proofErr w:type="spellEnd"/>
      <w:r w:rsidR="00203C22" w:rsidRPr="00787FA1">
        <w:rPr>
          <w:rFonts w:ascii="ITC Avant Garde" w:eastAsia="ヒラギノ角ゴ Pro W3" w:hAnsi="ITC Avant Garde"/>
          <w:color w:val="000000"/>
        </w:rPr>
        <w:t xml:space="preserve"> Top marca Toshiba, sin número de serie</w:t>
      </w:r>
      <w:r w:rsidR="00B33CAD" w:rsidRPr="00787FA1">
        <w:rPr>
          <w:rFonts w:ascii="ITC Avant Garde" w:hAnsi="ITC Avant Garde"/>
        </w:rPr>
        <w:t xml:space="preserve">. </w:t>
      </w:r>
    </w:p>
    <w:p w:rsidR="00AA0BF6" w:rsidRPr="00787FA1" w:rsidRDefault="00AA0BF6" w:rsidP="00B34C88">
      <w:pPr>
        <w:pStyle w:val="Prrafodelista"/>
        <w:numPr>
          <w:ilvl w:val="0"/>
          <w:numId w:val="17"/>
        </w:numPr>
        <w:spacing w:before="240" w:after="0" w:line="360" w:lineRule="auto"/>
        <w:jc w:val="both"/>
        <w:rPr>
          <w:rFonts w:ascii="ITC Avant Garde" w:hAnsi="ITC Avant Garde" w:cs="Tahoma"/>
        </w:rPr>
      </w:pPr>
      <w:r w:rsidRPr="00787FA1">
        <w:rPr>
          <w:rFonts w:ascii="ITC Avant Garde" w:hAnsi="ITC Avant Garde" w:cs="Tahoma"/>
        </w:rPr>
        <w:t>Se detectó la prestación del servicio público de radiodifusión del cual no acreditó tener concesión o permiso expedido por autoridad competente que amparara o legitimara la prestación de dicho servicio.</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kern w:val="32"/>
          <w:lang w:eastAsia="es-MX"/>
        </w:rPr>
        <w:t xml:space="preserve">En ese sentido, este Pleno del Instituto considera que existen elementos suficientes para determinar que el </w:t>
      </w:r>
      <w:r w:rsidR="001047A7" w:rsidRPr="00787FA1">
        <w:rPr>
          <w:rFonts w:ascii="ITC Avant Garde" w:hAnsi="ITC Avant Garde"/>
          <w:b/>
        </w:rPr>
        <w:t xml:space="preserve">“PRESUNTO </w:t>
      </w:r>
      <w:r w:rsidR="001047A7">
        <w:rPr>
          <w:rFonts w:ascii="ITC Avant Garde" w:hAnsi="ITC Avant Garde"/>
          <w:b/>
        </w:rPr>
        <w:t>RESPONSABLE</w:t>
      </w:r>
      <w:r w:rsidR="001047A7" w:rsidRPr="00787FA1">
        <w:rPr>
          <w:rFonts w:ascii="ITC Avant Garde" w:hAnsi="ITC Avant Garde"/>
          <w:b/>
        </w:rPr>
        <w:t>”</w:t>
      </w:r>
      <w:r w:rsidR="001047A7">
        <w:rPr>
          <w:rFonts w:ascii="ITC Avant Garde" w:hAnsi="ITC Avant Garde"/>
          <w:b/>
        </w:rPr>
        <w:t xml:space="preserve"> </w:t>
      </w:r>
      <w:r w:rsidRPr="00787FA1">
        <w:rPr>
          <w:rFonts w:ascii="ITC Avant Garde" w:eastAsia="Times New Roman" w:hAnsi="ITC Avant Garde"/>
          <w:bCs/>
          <w:kern w:val="32"/>
          <w:lang w:eastAsia="es-MX"/>
        </w:rPr>
        <w:t xml:space="preserve">efectivamente prestaba el servicio público de radiodifusión de forma ilegal, en franca violación del artículo 66 </w:t>
      </w:r>
      <w:r w:rsidRPr="00787FA1">
        <w:rPr>
          <w:rFonts w:ascii="ITC Avant Garde" w:hAnsi="ITC Avant Garde"/>
          <w:bCs/>
        </w:rPr>
        <w:t>en relación con el 75,</w:t>
      </w:r>
      <w:r w:rsidRPr="00787FA1">
        <w:rPr>
          <w:rFonts w:ascii="ITC Avant Garde" w:eastAsia="Times New Roman" w:hAnsi="ITC Avant Garde"/>
          <w:bCs/>
          <w:kern w:val="32"/>
          <w:lang w:eastAsia="es-MX"/>
        </w:rPr>
        <w:t xml:space="preserve"> de la </w:t>
      </w:r>
      <w:r w:rsidR="00203C22" w:rsidRPr="00787FA1">
        <w:rPr>
          <w:rFonts w:ascii="ITC Avant Garde" w:eastAsia="Times New Roman" w:hAnsi="ITC Avant Garde"/>
          <w:b/>
          <w:bCs/>
          <w:kern w:val="32"/>
          <w:lang w:eastAsia="es-MX"/>
        </w:rPr>
        <w:t>“</w:t>
      </w:r>
      <w:proofErr w:type="spellStart"/>
      <w:r w:rsidRPr="00787FA1">
        <w:rPr>
          <w:rFonts w:ascii="ITC Avant Garde" w:eastAsia="Times New Roman" w:hAnsi="ITC Avant Garde"/>
          <w:b/>
          <w:bCs/>
          <w:kern w:val="32"/>
          <w:lang w:eastAsia="es-MX"/>
        </w:rPr>
        <w:t>LFTyR</w:t>
      </w:r>
      <w:proofErr w:type="spellEnd"/>
      <w:r w:rsidR="00203C22" w:rsidRPr="00787FA1">
        <w:rPr>
          <w:rFonts w:ascii="ITC Avant Garde" w:eastAsia="Times New Roman" w:hAnsi="ITC Avant Garde"/>
          <w:b/>
          <w:bCs/>
          <w:kern w:val="32"/>
          <w:lang w:eastAsia="es-MX"/>
        </w:rPr>
        <w:t>”</w:t>
      </w:r>
      <w:r w:rsidRPr="00787FA1">
        <w:rPr>
          <w:rFonts w:ascii="ITC Avant Garde" w:eastAsia="Times New Roman" w:hAnsi="ITC Avant Garde"/>
          <w:b/>
          <w:bCs/>
          <w:kern w:val="32"/>
          <w:lang w:eastAsia="es-MX"/>
        </w:rPr>
        <w:t>.</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Se afirma lo anterior, en virtud de que del análisis de la conducta desplegada en relación con lo establecido en el precepto legal que se estima transgredido claramente se puede advertir que se surten todos los supuestos previstos por el mismo.</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Así, el presente procedimiento administrativo de imposición de sanción y declaratoria de pérdida de bienes, instalaciones y equipos en beneficio de la Nación que se sigue al </w:t>
      </w:r>
      <w:r w:rsidR="001047A7" w:rsidRPr="00787FA1">
        <w:rPr>
          <w:rFonts w:ascii="ITC Avant Garde" w:hAnsi="ITC Avant Garde"/>
          <w:b/>
        </w:rPr>
        <w:t xml:space="preserve">“PRESUNTO </w:t>
      </w:r>
      <w:r w:rsidR="001047A7">
        <w:rPr>
          <w:rFonts w:ascii="ITC Avant Garde" w:hAnsi="ITC Avant Garde"/>
          <w:b/>
        </w:rPr>
        <w:t>RESPONSABLE</w:t>
      </w:r>
      <w:r w:rsidR="001047A7" w:rsidRPr="00787FA1">
        <w:rPr>
          <w:rFonts w:ascii="ITC Avant Garde" w:hAnsi="ITC Avant Garde"/>
          <w:b/>
        </w:rPr>
        <w:t>”</w:t>
      </w:r>
      <w:r w:rsidR="001047A7">
        <w:rPr>
          <w:rFonts w:ascii="ITC Avant Garde" w:hAnsi="ITC Avant Garde"/>
          <w:b/>
        </w:rPr>
        <w:t xml:space="preserve"> </w:t>
      </w:r>
      <w:r w:rsidRPr="00787FA1">
        <w:rPr>
          <w:rFonts w:ascii="ITC Avant Garde" w:eastAsia="Times New Roman" w:hAnsi="ITC Avant Garde"/>
          <w:bCs/>
          <w:color w:val="000000"/>
          <w:lang w:eastAsia="es-MX"/>
        </w:rPr>
        <w:t xml:space="preserve">se inició de oficio por el presunto </w:t>
      </w:r>
      <w:r w:rsidRPr="00787FA1">
        <w:rPr>
          <w:rFonts w:ascii="ITC Avant Garde" w:eastAsia="Times New Roman" w:hAnsi="ITC Avant Garde"/>
          <w:bCs/>
          <w:color w:val="000000"/>
          <w:lang w:eastAsia="es-MX"/>
        </w:rPr>
        <w:lastRenderedPageBreak/>
        <w:t xml:space="preserve">incumplimiento a lo dispuesto en el artículo 66 </w:t>
      </w:r>
      <w:r w:rsidRPr="00787FA1">
        <w:rPr>
          <w:rFonts w:ascii="ITC Avant Garde" w:hAnsi="ITC Avant Garde"/>
          <w:bCs/>
        </w:rPr>
        <w:t>en relación con el 75,</w:t>
      </w:r>
      <w:r w:rsidRPr="00787FA1">
        <w:rPr>
          <w:rFonts w:ascii="ITC Avant Garde" w:eastAsia="Times New Roman" w:hAnsi="ITC Avant Garde"/>
          <w:bCs/>
          <w:color w:val="000000"/>
          <w:lang w:eastAsia="es-MX"/>
        </w:rPr>
        <w:t xml:space="preserve"> y actualización de la hipótesis prevista en el artículo 305, ambos de la </w:t>
      </w:r>
      <w:r w:rsidR="00203C22"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203C22"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mismos que establecen:</w:t>
      </w:r>
    </w:p>
    <w:p w:rsidR="00AA0BF6" w:rsidRPr="00787FA1" w:rsidRDefault="00AA0BF6" w:rsidP="00B34C88">
      <w:pPr>
        <w:pStyle w:val="Prrafodelista"/>
        <w:spacing w:before="240" w:after="0" w:line="240" w:lineRule="auto"/>
        <w:ind w:left="567" w:right="284"/>
        <w:jc w:val="both"/>
        <w:rPr>
          <w:rFonts w:ascii="ITC Avant Garde" w:hAnsi="ITC Avant Garde"/>
          <w:i/>
        </w:rPr>
      </w:pPr>
      <w:r w:rsidRPr="00787FA1">
        <w:rPr>
          <w:rFonts w:ascii="ITC Avant Garde" w:hAnsi="ITC Avant Garde"/>
          <w:i/>
          <w:color w:val="000000"/>
        </w:rPr>
        <w:t>“</w:t>
      </w:r>
      <w:r w:rsidRPr="00787FA1">
        <w:rPr>
          <w:rFonts w:ascii="ITC Avant Garde" w:hAnsi="ITC Avant Garde"/>
          <w:b/>
          <w:i/>
        </w:rPr>
        <w:t>Artículo 66.</w:t>
      </w:r>
      <w:r w:rsidRPr="00787FA1">
        <w:rPr>
          <w:rFonts w:ascii="ITC Avant Garde" w:hAnsi="ITC Avant Garde"/>
          <w:i/>
        </w:rPr>
        <w:t xml:space="preserve"> </w:t>
      </w:r>
      <w:r w:rsidRPr="00787FA1">
        <w:rPr>
          <w:rFonts w:ascii="ITC Avant Garde" w:hAnsi="ITC Avant Garde"/>
          <w:i/>
          <w:u w:val="single"/>
        </w:rPr>
        <w:t>Se requerirá concesión única para prestar todo tipo de servicios públicos</w:t>
      </w:r>
      <w:r w:rsidRPr="00787FA1">
        <w:rPr>
          <w:rFonts w:ascii="ITC Avant Garde" w:hAnsi="ITC Avant Garde"/>
          <w:i/>
        </w:rPr>
        <w:t xml:space="preserve"> de telecomunicaciones y radiodifusión.”</w:t>
      </w:r>
    </w:p>
    <w:p w:rsidR="00AA0BF6" w:rsidRPr="00787FA1" w:rsidRDefault="00AA0BF6" w:rsidP="00B34C88">
      <w:pPr>
        <w:pStyle w:val="Prrafodelista"/>
        <w:spacing w:before="240" w:after="0" w:line="240" w:lineRule="auto"/>
        <w:ind w:left="567" w:right="284"/>
        <w:jc w:val="both"/>
        <w:rPr>
          <w:rFonts w:ascii="ITC Avant Garde" w:hAnsi="ITC Avant Garde"/>
          <w:i/>
        </w:rPr>
      </w:pPr>
      <w:r w:rsidRPr="00787FA1">
        <w:rPr>
          <w:rFonts w:ascii="ITC Avant Garde" w:hAnsi="ITC Avant Garde"/>
          <w:b/>
          <w:i/>
        </w:rPr>
        <w:t>Artículo 75.</w:t>
      </w:r>
      <w:r w:rsidRPr="00787FA1">
        <w:rPr>
          <w:rFonts w:ascii="ITC Avant Garde" w:hAnsi="ITC Avant Garde"/>
          <w:i/>
        </w:rPr>
        <w:t xml:space="preserve"> </w:t>
      </w:r>
      <w:r w:rsidRPr="00787FA1">
        <w:rPr>
          <w:rFonts w:ascii="ITC Avant Garde" w:hAnsi="ITC Avant Garde"/>
          <w:i/>
          <w:u w:val="single"/>
        </w:rPr>
        <w:t>Las concesiones para usar, aprovechar y explotar bandas de frecuencias del espectro radioeléctrico</w:t>
      </w:r>
      <w:r w:rsidRPr="00787FA1">
        <w:rPr>
          <w:rFonts w:ascii="ITC Avant Garde" w:hAnsi="ITC Avant Garde"/>
          <w:i/>
        </w:rPr>
        <w:t xml:space="preserve"> de uso determinado y para la ocupación y explotación de recursos orbitales, </w:t>
      </w:r>
      <w:r w:rsidRPr="00787FA1">
        <w:rPr>
          <w:rFonts w:ascii="ITC Avant Garde" w:hAnsi="ITC Avant Garde"/>
          <w:i/>
          <w:u w:val="single"/>
        </w:rPr>
        <w:t xml:space="preserve">se otorgarán por el Instituto </w:t>
      </w:r>
      <w:r w:rsidRPr="003B7DE3">
        <w:rPr>
          <w:rFonts w:ascii="ITC Avant Garde" w:hAnsi="ITC Avant Garde"/>
          <w:i/>
        </w:rPr>
        <w:t>por un plazo de hasta veinte años</w:t>
      </w:r>
      <w:r w:rsidRPr="00787FA1">
        <w:rPr>
          <w:rFonts w:ascii="ITC Avant Garde" w:hAnsi="ITC Avant Garde"/>
          <w:i/>
        </w:rPr>
        <w:t xml:space="preserve"> y podrán ser prorrogadas hasta por plazos iguales conforme a lo dispuesto en el Capítulo VI de este Título.”</w:t>
      </w:r>
    </w:p>
    <w:p w:rsidR="00AA0BF6" w:rsidRPr="00787FA1" w:rsidRDefault="00AA0BF6" w:rsidP="00B34C88">
      <w:pPr>
        <w:pStyle w:val="Prrafodelista"/>
        <w:spacing w:before="240" w:after="0" w:line="240" w:lineRule="auto"/>
        <w:ind w:left="567" w:right="284"/>
        <w:jc w:val="both"/>
        <w:rPr>
          <w:rFonts w:ascii="ITC Avant Garde" w:hAnsi="ITC Avant Garde"/>
          <w:i/>
        </w:rPr>
      </w:pPr>
      <w:r w:rsidRPr="00787FA1">
        <w:rPr>
          <w:rFonts w:ascii="ITC Avant Garde" w:hAnsi="ITC Avant Garde"/>
          <w:i/>
        </w:rPr>
        <w:t>“</w:t>
      </w:r>
      <w:r w:rsidRPr="00787FA1">
        <w:rPr>
          <w:rFonts w:ascii="ITC Avant Garde" w:hAnsi="ITC Avant Garde"/>
          <w:b/>
          <w:i/>
        </w:rPr>
        <w:t>Artículo 305.</w:t>
      </w:r>
      <w:r w:rsidRPr="00787FA1">
        <w:rPr>
          <w:rFonts w:ascii="ITC Avant Garde" w:hAnsi="ITC Avant Garde"/>
          <w:i/>
        </w:rPr>
        <w:t xml:space="preserve"> </w:t>
      </w:r>
      <w:r w:rsidRPr="00787FA1">
        <w:rPr>
          <w:rFonts w:ascii="ITC Avant Garde" w:hAnsi="ITC Avant Garde"/>
          <w:i/>
          <w:u w:val="single"/>
        </w:rPr>
        <w:t xml:space="preserve">Las personas que presten servicios de </w:t>
      </w:r>
      <w:r w:rsidRPr="00787FA1">
        <w:rPr>
          <w:rFonts w:ascii="ITC Avant Garde" w:hAnsi="ITC Avant Garde"/>
          <w:i/>
        </w:rPr>
        <w:t xml:space="preserve">telecomunicaciones o </w:t>
      </w:r>
      <w:r w:rsidRPr="00787FA1">
        <w:rPr>
          <w:rFonts w:ascii="ITC Avant Garde" w:hAnsi="ITC Avant Garde"/>
          <w:i/>
          <w:u w:val="single"/>
        </w:rPr>
        <w:t>de radiodifusión, sin contar con la concesión o autorización,</w:t>
      </w:r>
      <w:r w:rsidRPr="00787FA1">
        <w:rPr>
          <w:rFonts w:ascii="ITC Avant Garde" w:hAnsi="ITC Avant Garde"/>
          <w:i/>
        </w:rPr>
        <w:t xml:space="preserve"> o que por cualquier otro medio invadan u obstruyan las vías generales de comunicación, perderán en beneficio de la Nación los bienes, instalaciones y equipos empleados en la comisión de dichas infracciones.”</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Del análisis de los preceptos transcritos, se deprende que la conducta susceptible de ser sancionada es la prestación de servicios de radiodifusión sin contar con concesión o autorización emitida por la autoridad competente, por lo que con el fin de cumplir a cabalidad con el principio de tipicidad se debe analizar si la conducta desplegada se adecua a lo señalado por la norma.</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En ese sentido, con el fin de establecer lo que debe entenderse por la prestación de un servicio de radiodifusión, resulta importante considerar lo señalado por las fracciones LIV y LXV del artículo 3 de la </w:t>
      </w:r>
      <w:r w:rsidR="00203C22"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203C22"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mismas que señalan lo siguiente:</w:t>
      </w:r>
    </w:p>
    <w:p w:rsidR="00AA0BF6" w:rsidRPr="00787FA1" w:rsidRDefault="00AA0BF6" w:rsidP="00B34C88">
      <w:pPr>
        <w:spacing w:before="240" w:after="0" w:line="240" w:lineRule="auto"/>
        <w:ind w:left="1134" w:right="284"/>
        <w:jc w:val="both"/>
        <w:rPr>
          <w:rFonts w:ascii="ITC Avant Garde" w:eastAsia="Times New Roman" w:hAnsi="ITC Avant Garde"/>
          <w:bCs/>
          <w:i/>
          <w:color w:val="000000"/>
          <w:lang w:eastAsia="es-MX"/>
        </w:rPr>
      </w:pPr>
      <w:r w:rsidRPr="00787FA1">
        <w:rPr>
          <w:rFonts w:ascii="ITC Avant Garde" w:eastAsia="Times New Roman" w:hAnsi="ITC Avant Garde"/>
          <w:bCs/>
          <w:i/>
          <w:color w:val="000000"/>
          <w:lang w:eastAsia="es-MX"/>
        </w:rPr>
        <w:t>“</w:t>
      </w:r>
      <w:r w:rsidRPr="00787FA1">
        <w:rPr>
          <w:rFonts w:ascii="ITC Avant Garde" w:eastAsia="Times New Roman" w:hAnsi="ITC Avant Garde"/>
          <w:b/>
          <w:bCs/>
          <w:i/>
          <w:color w:val="000000"/>
          <w:lang w:eastAsia="es-MX"/>
        </w:rPr>
        <w:t>Artículo 3.</w:t>
      </w:r>
      <w:r w:rsidRPr="00787FA1">
        <w:rPr>
          <w:rFonts w:ascii="ITC Avant Garde" w:eastAsia="Times New Roman" w:hAnsi="ITC Avant Garde"/>
          <w:bCs/>
          <w:i/>
          <w:color w:val="000000"/>
          <w:lang w:eastAsia="es-MX"/>
        </w:rPr>
        <w:t xml:space="preserve"> Para los efectos de esta Ley se entenderá por:</w:t>
      </w:r>
    </w:p>
    <w:p w:rsidR="00AA0BF6" w:rsidRPr="00787FA1" w:rsidRDefault="00AA0BF6" w:rsidP="00B34C88">
      <w:pPr>
        <w:pStyle w:val="Textoindependiente"/>
        <w:tabs>
          <w:tab w:val="left" w:pos="851"/>
        </w:tabs>
        <w:spacing w:before="240" w:after="0" w:line="240" w:lineRule="auto"/>
        <w:ind w:left="1134" w:right="1134"/>
        <w:jc w:val="both"/>
        <w:rPr>
          <w:rFonts w:ascii="ITC Avant Garde" w:eastAsia="Times New Roman" w:hAnsi="ITC Avant Garde"/>
          <w:bCs/>
          <w:i/>
          <w:color w:val="000000"/>
          <w:lang w:eastAsia="es-MX"/>
        </w:rPr>
      </w:pPr>
      <w:r w:rsidRPr="00787FA1">
        <w:rPr>
          <w:rFonts w:ascii="ITC Avant Garde" w:eastAsia="Times New Roman" w:hAnsi="ITC Avant Garde"/>
          <w:bCs/>
          <w:i/>
          <w:color w:val="000000"/>
          <w:lang w:eastAsia="es-MX"/>
        </w:rPr>
        <w:t>…</w:t>
      </w:r>
    </w:p>
    <w:p w:rsidR="00AA0BF6" w:rsidRPr="00787FA1" w:rsidRDefault="00AA0BF6" w:rsidP="00B34C88">
      <w:pPr>
        <w:pStyle w:val="Textoindependiente"/>
        <w:tabs>
          <w:tab w:val="left" w:pos="851"/>
          <w:tab w:val="left" w:pos="1560"/>
        </w:tabs>
        <w:spacing w:before="240" w:after="0" w:line="240" w:lineRule="auto"/>
        <w:ind w:left="1134" w:right="1134"/>
        <w:jc w:val="both"/>
        <w:rPr>
          <w:rFonts w:ascii="ITC Avant Garde" w:hAnsi="ITC Avant Garde"/>
          <w:i/>
          <w:color w:val="000000"/>
        </w:rPr>
      </w:pPr>
      <w:r w:rsidRPr="00787FA1">
        <w:rPr>
          <w:rFonts w:ascii="ITC Avant Garde" w:hAnsi="ITC Avant Garde"/>
          <w:b/>
          <w:i/>
          <w:color w:val="000000"/>
        </w:rPr>
        <w:t>LIV.</w:t>
      </w:r>
      <w:r w:rsidRPr="00787FA1">
        <w:rPr>
          <w:rFonts w:ascii="ITC Avant Garde" w:hAnsi="ITC Avant Garde"/>
          <w:b/>
          <w:i/>
          <w:color w:val="000000"/>
        </w:rPr>
        <w:tab/>
        <w:t>Radiodifusión</w:t>
      </w:r>
      <w:r w:rsidRPr="00787FA1">
        <w:rPr>
          <w:rFonts w:ascii="ITC Avant Garde" w:hAnsi="ITC Avant Garde"/>
          <w:i/>
          <w:color w:val="000000"/>
        </w:rPr>
        <w:t>: Propagación de ondas electromagnéticas de señales de audio o de audio y video asociado, haciendo uso, aprovechamiento o explotación de las bandas de frecuencia del espectro radioeléctrico, incluidas las asociadas a recursos orbitales, atribuidas por el Instituto a tal servicio, con el que la población puede recibir de manera directa y gratuita las señales de su emisor utilizando los dispositivos idóneos para ello;</w:t>
      </w:r>
    </w:p>
    <w:p w:rsidR="00AA0BF6" w:rsidRPr="00787FA1" w:rsidRDefault="00AA0BF6" w:rsidP="00B34C88">
      <w:pPr>
        <w:pStyle w:val="Textoindependiente"/>
        <w:tabs>
          <w:tab w:val="left" w:pos="851"/>
        </w:tabs>
        <w:spacing w:before="240" w:after="0" w:line="240" w:lineRule="auto"/>
        <w:ind w:left="1134" w:right="1134"/>
        <w:jc w:val="both"/>
        <w:rPr>
          <w:rFonts w:ascii="ITC Avant Garde" w:hAnsi="ITC Avant Garde"/>
          <w:i/>
          <w:color w:val="000000"/>
        </w:rPr>
      </w:pPr>
      <w:r w:rsidRPr="00787FA1">
        <w:rPr>
          <w:rFonts w:ascii="ITC Avant Garde" w:hAnsi="ITC Avant Garde"/>
          <w:i/>
          <w:color w:val="000000"/>
        </w:rPr>
        <w:lastRenderedPageBreak/>
        <w:t>…</w:t>
      </w:r>
    </w:p>
    <w:p w:rsidR="00AA0BF6" w:rsidRPr="00787FA1" w:rsidRDefault="00AA0BF6" w:rsidP="00B34C88">
      <w:pPr>
        <w:pStyle w:val="Textoindependiente"/>
        <w:tabs>
          <w:tab w:val="left" w:pos="851"/>
          <w:tab w:val="left" w:pos="1560"/>
        </w:tabs>
        <w:spacing w:before="240" w:after="0" w:line="240" w:lineRule="auto"/>
        <w:ind w:left="1134" w:right="1134"/>
        <w:jc w:val="both"/>
        <w:rPr>
          <w:rFonts w:ascii="ITC Avant Garde" w:hAnsi="ITC Avant Garde"/>
          <w:i/>
          <w:color w:val="000000"/>
        </w:rPr>
      </w:pPr>
      <w:r w:rsidRPr="00787FA1">
        <w:rPr>
          <w:rFonts w:ascii="ITC Avant Garde" w:hAnsi="ITC Avant Garde"/>
          <w:b/>
          <w:i/>
          <w:color w:val="000000"/>
        </w:rPr>
        <w:t>LXV.</w:t>
      </w:r>
      <w:r w:rsidRPr="00787FA1">
        <w:rPr>
          <w:rFonts w:ascii="ITC Avant Garde" w:hAnsi="ITC Avant Garde"/>
          <w:b/>
          <w:i/>
          <w:color w:val="000000"/>
        </w:rPr>
        <w:tab/>
        <w:t xml:space="preserve"> Servicios públicos de telecomunicaciones y radiodifusión</w:t>
      </w:r>
      <w:r w:rsidRPr="00787FA1">
        <w:rPr>
          <w:rFonts w:ascii="ITC Avant Garde" w:hAnsi="ITC Avant Garde"/>
          <w:i/>
          <w:color w:val="000000"/>
        </w:rPr>
        <w:t>: Servicios de interés general que prestan los concesionarios al público en general con fines comerciales, públicos o sociales de conformidad con lo dispuesto en la presente Ley y la Ley Federal de Competencia Económica;</w:t>
      </w:r>
    </w:p>
    <w:p w:rsidR="00AA0BF6" w:rsidRPr="00787FA1" w:rsidRDefault="00AA0BF6" w:rsidP="00B34C88">
      <w:pPr>
        <w:pStyle w:val="Textoindependiente"/>
        <w:tabs>
          <w:tab w:val="left" w:pos="851"/>
        </w:tabs>
        <w:spacing w:before="240" w:after="0" w:line="240" w:lineRule="auto"/>
        <w:ind w:left="1134" w:right="1134"/>
        <w:jc w:val="both"/>
        <w:rPr>
          <w:rFonts w:ascii="ITC Avant Garde" w:eastAsia="Times New Roman" w:hAnsi="ITC Avant Garde"/>
          <w:bCs/>
          <w:i/>
          <w:color w:val="000000"/>
          <w:lang w:eastAsia="es-MX"/>
        </w:rPr>
      </w:pPr>
      <w:r w:rsidRPr="00787FA1">
        <w:rPr>
          <w:rFonts w:ascii="ITC Avant Garde" w:eastAsia="Times New Roman" w:hAnsi="ITC Avant Garde"/>
          <w:bCs/>
          <w:i/>
          <w:color w:val="000000"/>
          <w:lang w:eastAsia="es-MX"/>
        </w:rPr>
        <w:t>…”</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De lo señalado por la </w:t>
      </w:r>
      <w:r w:rsidR="00203C22"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203C22"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se desprenden los </w:t>
      </w:r>
      <w:r w:rsidRPr="00787FA1">
        <w:rPr>
          <w:rFonts w:ascii="ITC Avant Garde" w:eastAsia="Times New Roman" w:hAnsi="ITC Avant Garde"/>
          <w:bCs/>
          <w:color w:val="000000"/>
          <w:u w:val="single"/>
          <w:lang w:eastAsia="es-MX"/>
        </w:rPr>
        <w:t>elementos que componen el concepto de radiodifusión</w:t>
      </w:r>
      <w:r w:rsidRPr="00787FA1">
        <w:rPr>
          <w:rFonts w:ascii="ITC Avant Garde" w:eastAsia="Times New Roman" w:hAnsi="ITC Avant Garde"/>
          <w:bCs/>
          <w:color w:val="000000"/>
          <w:lang w:eastAsia="es-MX"/>
        </w:rPr>
        <w:t>, mismos que deben ser analizados a la luz de la conducta desplegada para sustentar la determinación de incumplimiento.</w:t>
      </w:r>
    </w:p>
    <w:p w:rsidR="00AA0BF6" w:rsidRPr="00787FA1" w:rsidRDefault="00AA0BF6" w:rsidP="00B34C88">
      <w:pPr>
        <w:pStyle w:val="Textoindependiente"/>
        <w:tabs>
          <w:tab w:val="left" w:pos="851"/>
        </w:tabs>
        <w:spacing w:before="240" w:after="0" w:line="360" w:lineRule="auto"/>
        <w:ind w:right="-850"/>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En ese sentido las premisas del concepto de radiodifusión son las siguientes:</w:t>
      </w:r>
    </w:p>
    <w:p w:rsidR="00AA0BF6" w:rsidRPr="00787FA1" w:rsidRDefault="00AA0BF6" w:rsidP="00B34C88">
      <w:pPr>
        <w:pStyle w:val="Textoindependiente"/>
        <w:numPr>
          <w:ilvl w:val="0"/>
          <w:numId w:val="19"/>
        </w:numPr>
        <w:tabs>
          <w:tab w:val="left" w:pos="1134"/>
        </w:tabs>
        <w:spacing w:before="240" w:after="0" w:line="360" w:lineRule="auto"/>
        <w:ind w:left="1134" w:hanging="567"/>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La propagación de ondas electromagnéticas de señales de audio o de audio y video asociado.</w:t>
      </w:r>
    </w:p>
    <w:p w:rsidR="00AA0BF6" w:rsidRPr="00787FA1" w:rsidRDefault="00AA0BF6" w:rsidP="00B34C88">
      <w:pPr>
        <w:pStyle w:val="Textoindependiente"/>
        <w:numPr>
          <w:ilvl w:val="0"/>
          <w:numId w:val="19"/>
        </w:numPr>
        <w:tabs>
          <w:tab w:val="left" w:pos="1134"/>
        </w:tabs>
        <w:spacing w:before="240" w:after="0" w:line="360" w:lineRule="auto"/>
        <w:ind w:left="1134" w:hanging="567"/>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El uso, aprovechamiento o explotación de las bandas de frecuencia del espectro radioeléctrico atribuidas por el Instituto a tal servicio.</w:t>
      </w:r>
    </w:p>
    <w:p w:rsidR="00AA0BF6" w:rsidRPr="00787FA1" w:rsidRDefault="00AA0BF6" w:rsidP="00B34C88">
      <w:pPr>
        <w:pStyle w:val="Textoindependiente"/>
        <w:numPr>
          <w:ilvl w:val="0"/>
          <w:numId w:val="19"/>
        </w:numPr>
        <w:tabs>
          <w:tab w:val="left" w:pos="1134"/>
        </w:tabs>
        <w:spacing w:before="240" w:after="0" w:line="360" w:lineRule="auto"/>
        <w:ind w:left="1134" w:hanging="567"/>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La población las puede recibir de manera directa y gratuita utilizando los dispositivos idóneos para ello.</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La primera y la tercera de las premisas se encuentran plenamente acreditadas en el procedimiento administrativo en que se actúa al existir constancia en autos del disco compacto remitido como adjunto a la propuesta de inicio del procedimiento, en el cual se contienen las grabaciones realizadas al momento de realizar el monitoreo del espectro radioeléctrico, de las cuales se desprende que efectivamente se estaban transmitiendo señales de audio, mismas que pueden ser recibidas de manera directa y gratuita por la población con el simple hecho de contar con el medio idóneo, que en el presente caso lo constituye un radio receptor.</w:t>
      </w:r>
    </w:p>
    <w:p w:rsidR="00505CAF" w:rsidRPr="00787FA1" w:rsidRDefault="00AA0BF6" w:rsidP="00B34C88">
      <w:pPr>
        <w:spacing w:before="240" w:after="0" w:line="360" w:lineRule="auto"/>
        <w:ind w:right="49"/>
        <w:jc w:val="both"/>
        <w:rPr>
          <w:rFonts w:ascii="ITC Avant Garde" w:hAnsi="ITC Avant Garde" w:cs="Arial"/>
        </w:rPr>
      </w:pPr>
      <w:r w:rsidRPr="00787FA1">
        <w:rPr>
          <w:rFonts w:ascii="ITC Avant Garde" w:eastAsia="Times New Roman" w:hAnsi="ITC Avant Garde"/>
          <w:bCs/>
          <w:color w:val="000000"/>
          <w:lang w:eastAsia="es-MX"/>
        </w:rPr>
        <w:lastRenderedPageBreak/>
        <w:t xml:space="preserve">De igual forma, la primera y segunda de las premisas quedaron plenamente acreditadas durante el desarrollo de la diligencia de verificación, ya que derivado del monitoreo se detectó el uso de la frecuencia </w:t>
      </w:r>
      <w:r w:rsidR="00505CAF" w:rsidRPr="00787FA1">
        <w:rPr>
          <w:rFonts w:ascii="ITC Avant Garde" w:hAnsi="ITC Avant Garde"/>
          <w:b/>
        </w:rPr>
        <w:t>105</w:t>
      </w:r>
      <w:r w:rsidR="00203C22" w:rsidRPr="00787FA1">
        <w:rPr>
          <w:rFonts w:ascii="ITC Avant Garde" w:hAnsi="ITC Avant Garde"/>
          <w:b/>
        </w:rPr>
        <w:t>.3</w:t>
      </w:r>
      <w:r w:rsidR="00505CAF" w:rsidRPr="00787FA1">
        <w:rPr>
          <w:rFonts w:ascii="ITC Avant Garde" w:hAnsi="ITC Avant Garde"/>
          <w:b/>
        </w:rPr>
        <w:t xml:space="preserve"> MHz</w:t>
      </w:r>
      <w:r w:rsidR="00505CAF" w:rsidRPr="00787FA1">
        <w:rPr>
          <w:rFonts w:ascii="ITC Avant Garde" w:hAnsi="ITC Avant Garde"/>
          <w:bCs/>
        </w:rPr>
        <w:t xml:space="preserve"> </w:t>
      </w:r>
      <w:r w:rsidR="00505CAF" w:rsidRPr="00787FA1">
        <w:rPr>
          <w:rFonts w:ascii="ITC Avant Garde" w:eastAsia="Times New Roman" w:hAnsi="ITC Avant Garde"/>
          <w:lang w:eastAsia="es-ES"/>
        </w:rPr>
        <w:t xml:space="preserve">a través </w:t>
      </w:r>
      <w:r w:rsidR="00772DDA" w:rsidRPr="00787FA1">
        <w:rPr>
          <w:rFonts w:ascii="ITC Avant Garde" w:eastAsia="Times New Roman" w:hAnsi="ITC Avant Garde"/>
          <w:lang w:eastAsia="es-ES"/>
        </w:rPr>
        <w:t xml:space="preserve">de i) </w:t>
      </w:r>
      <w:r w:rsidR="00772DDA" w:rsidRPr="00787FA1">
        <w:rPr>
          <w:rFonts w:ascii="ITC Avant Garde" w:hAnsi="ITC Avant Garde" w:cs="Tahoma"/>
        </w:rPr>
        <w:t xml:space="preserve">un mástil </w:t>
      </w:r>
      <w:r w:rsidR="00203C22" w:rsidRPr="00787FA1">
        <w:rPr>
          <w:rFonts w:ascii="ITC Avant Garde" w:hAnsi="ITC Avant Garde"/>
        </w:rPr>
        <w:t xml:space="preserve">con una línea de transmisión, </w:t>
      </w:r>
      <w:r w:rsidR="00772DDA" w:rsidRPr="00787FA1">
        <w:rPr>
          <w:rFonts w:ascii="ITC Avant Garde" w:hAnsi="ITC Avant Garde" w:cs="Tahoma"/>
        </w:rPr>
        <w:t xml:space="preserve">ii) </w:t>
      </w:r>
      <w:r w:rsidR="00203C22" w:rsidRPr="00787FA1">
        <w:rPr>
          <w:rFonts w:ascii="ITC Avant Garde" w:hAnsi="ITC Avant Garde"/>
        </w:rPr>
        <w:t xml:space="preserve">un transmisor en la frecuencia </w:t>
      </w:r>
      <w:r w:rsidR="00203C22" w:rsidRPr="00787FA1">
        <w:rPr>
          <w:rFonts w:ascii="ITC Avant Garde" w:hAnsi="ITC Avant Garde"/>
          <w:b/>
        </w:rPr>
        <w:t>105.3</w:t>
      </w:r>
      <w:r w:rsidR="00203C22" w:rsidRPr="00787FA1">
        <w:rPr>
          <w:rFonts w:ascii="ITC Avant Garde" w:hAnsi="ITC Avant Garde"/>
        </w:rPr>
        <w:t xml:space="preserve"> </w:t>
      </w:r>
      <w:r w:rsidR="00203C22" w:rsidRPr="00787FA1">
        <w:rPr>
          <w:rFonts w:ascii="ITC Avant Garde" w:hAnsi="ITC Avant Garde"/>
          <w:b/>
        </w:rPr>
        <w:t>MHz</w:t>
      </w:r>
      <w:r w:rsidR="00203C22" w:rsidRPr="00787FA1">
        <w:rPr>
          <w:rFonts w:ascii="ITC Avant Garde" w:hAnsi="ITC Avant Garde"/>
        </w:rPr>
        <w:t xml:space="preserve"> y </w:t>
      </w:r>
      <w:r w:rsidR="00772DDA" w:rsidRPr="00787FA1">
        <w:rPr>
          <w:rFonts w:ascii="ITC Avant Garde" w:hAnsi="ITC Avant Garde" w:cs="Tahoma"/>
        </w:rPr>
        <w:t xml:space="preserve">iii) </w:t>
      </w:r>
      <w:r w:rsidR="00203C22" w:rsidRPr="00787FA1">
        <w:rPr>
          <w:rFonts w:ascii="ITC Avant Garde" w:hAnsi="ITC Avant Garde" w:cs="Tahoma"/>
        </w:rPr>
        <w:t xml:space="preserve">una </w:t>
      </w:r>
      <w:proofErr w:type="spellStart"/>
      <w:r w:rsidR="00203C22" w:rsidRPr="00787FA1">
        <w:rPr>
          <w:rFonts w:ascii="ITC Avant Garde" w:hAnsi="ITC Avant Garde"/>
        </w:rPr>
        <w:t>lap</w:t>
      </w:r>
      <w:proofErr w:type="spellEnd"/>
      <w:r w:rsidR="00203C22" w:rsidRPr="00787FA1">
        <w:rPr>
          <w:rFonts w:ascii="ITC Avant Garde" w:hAnsi="ITC Avant Garde"/>
        </w:rPr>
        <w:t xml:space="preserve"> top marca </w:t>
      </w:r>
      <w:r w:rsidR="00930F2F">
        <w:rPr>
          <w:rFonts w:ascii="ITC Avant Garde" w:hAnsi="ITC Avant Garde"/>
        </w:rPr>
        <w:t>Toshiba</w:t>
      </w:r>
      <w:r w:rsidR="00772DDA" w:rsidRPr="00787FA1">
        <w:rPr>
          <w:rFonts w:ascii="ITC Avant Garde" w:hAnsi="ITC Avant Garde"/>
        </w:rPr>
        <w:t xml:space="preserve">, </w:t>
      </w:r>
      <w:r w:rsidR="00203C22" w:rsidRPr="00787FA1">
        <w:rPr>
          <w:rFonts w:ascii="ITC Avant Garde" w:hAnsi="ITC Avant Garde"/>
        </w:rPr>
        <w:t xml:space="preserve">así como el </w:t>
      </w:r>
      <w:r w:rsidR="00505CAF" w:rsidRPr="00787FA1">
        <w:rPr>
          <w:rFonts w:ascii="ITC Avant Garde" w:hAnsi="ITC Avant Garde" w:cs="Arial"/>
        </w:rPr>
        <w:t>monitoreo con el que se acredita la propagación de ondas y el uso de bandas de frecuencia del espectro radioeléctrico.</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Ahora bien, de la definición de servicios públicos de telecomunicaciones y radiodifusión se desprenden los siguientes elementos:</w:t>
      </w:r>
    </w:p>
    <w:p w:rsidR="00AA0BF6" w:rsidRPr="00787FA1" w:rsidRDefault="00AA0BF6" w:rsidP="00B34C88">
      <w:pPr>
        <w:pStyle w:val="Textoindependiente"/>
        <w:numPr>
          <w:ilvl w:val="0"/>
          <w:numId w:val="12"/>
        </w:numPr>
        <w:tabs>
          <w:tab w:val="left" w:pos="851"/>
        </w:tabs>
        <w:spacing w:before="240" w:after="0" w:line="360" w:lineRule="auto"/>
        <w:ind w:right="-850"/>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Son servicios de interés general.</w:t>
      </w:r>
    </w:p>
    <w:p w:rsidR="00AA0BF6" w:rsidRPr="00787FA1" w:rsidRDefault="00AA0BF6" w:rsidP="00B34C88">
      <w:pPr>
        <w:pStyle w:val="Textoindependiente"/>
        <w:numPr>
          <w:ilvl w:val="0"/>
          <w:numId w:val="12"/>
        </w:numPr>
        <w:tabs>
          <w:tab w:val="left" w:pos="851"/>
        </w:tabs>
        <w:spacing w:before="240" w:after="0" w:line="360" w:lineRule="auto"/>
        <w:ind w:right="-850"/>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Son prestados por concesionarios.</w:t>
      </w:r>
    </w:p>
    <w:p w:rsidR="00AA0BF6" w:rsidRPr="00787FA1" w:rsidRDefault="00AA0BF6" w:rsidP="00B34C88">
      <w:pPr>
        <w:pStyle w:val="Textoindependiente"/>
        <w:numPr>
          <w:ilvl w:val="0"/>
          <w:numId w:val="12"/>
        </w:numPr>
        <w:tabs>
          <w:tab w:val="left" w:pos="851"/>
        </w:tabs>
        <w:spacing w:before="240" w:after="0" w:line="360" w:lineRule="auto"/>
        <w:ind w:right="-850"/>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Son para el público en general.</w:t>
      </w:r>
    </w:p>
    <w:p w:rsidR="00AA0BF6" w:rsidRPr="00787FA1" w:rsidRDefault="00AA0BF6" w:rsidP="00B34C88">
      <w:pPr>
        <w:pStyle w:val="Textoindependiente"/>
        <w:numPr>
          <w:ilvl w:val="0"/>
          <w:numId w:val="12"/>
        </w:numPr>
        <w:tabs>
          <w:tab w:val="left" w:pos="851"/>
        </w:tabs>
        <w:spacing w:before="240" w:after="0" w:line="360" w:lineRule="auto"/>
        <w:ind w:right="-850"/>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Tienen fines comerciales, públicos o sociales.</w:t>
      </w:r>
    </w:p>
    <w:p w:rsidR="00AA0BF6" w:rsidRPr="00787FA1" w:rsidRDefault="00AA0BF6" w:rsidP="00B34C88">
      <w:pPr>
        <w:pStyle w:val="Textoindependiente"/>
        <w:numPr>
          <w:ilvl w:val="0"/>
          <w:numId w:val="12"/>
        </w:numPr>
        <w:tabs>
          <w:tab w:val="left" w:pos="851"/>
        </w:tabs>
        <w:spacing w:before="240" w:after="0" w:line="360" w:lineRule="auto"/>
        <w:ind w:right="-850"/>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Se prestan conforme a las leyes aplicables</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Del análisis de dichos elementos se desprende que en el presente asunto el </w:t>
      </w:r>
      <w:r w:rsidR="001047A7" w:rsidRPr="00787FA1">
        <w:rPr>
          <w:rFonts w:ascii="ITC Avant Garde" w:hAnsi="ITC Avant Garde"/>
          <w:b/>
        </w:rPr>
        <w:t xml:space="preserve">“PRESUNTO </w:t>
      </w:r>
      <w:r w:rsidR="001047A7">
        <w:rPr>
          <w:rFonts w:ascii="ITC Avant Garde" w:hAnsi="ITC Avant Garde"/>
          <w:b/>
        </w:rPr>
        <w:t>RESPONSABLE</w:t>
      </w:r>
      <w:r w:rsidR="001047A7" w:rsidRPr="00787FA1">
        <w:rPr>
          <w:rFonts w:ascii="ITC Avant Garde" w:hAnsi="ITC Avant Garde"/>
          <w:b/>
        </w:rPr>
        <w:t>”</w:t>
      </w:r>
      <w:r w:rsidR="001047A7">
        <w:rPr>
          <w:rFonts w:ascii="ITC Avant Garde" w:hAnsi="ITC Avant Garde"/>
          <w:b/>
        </w:rPr>
        <w:t xml:space="preserve"> </w:t>
      </w:r>
      <w:r w:rsidRPr="00787FA1">
        <w:rPr>
          <w:rFonts w:ascii="ITC Avant Garde" w:eastAsia="Times New Roman" w:hAnsi="ITC Avant Garde"/>
          <w:bCs/>
          <w:color w:val="000000"/>
          <w:lang w:eastAsia="es-MX"/>
        </w:rPr>
        <w:t xml:space="preserve">no acreditó tener el carácter de concesionario, además de que en los archivos del </w:t>
      </w:r>
      <w:r w:rsidR="00203C22" w:rsidRPr="00787FA1">
        <w:rPr>
          <w:rFonts w:ascii="ITC Avant Garde" w:eastAsia="Times New Roman" w:hAnsi="ITC Avant Garde"/>
          <w:b/>
          <w:bCs/>
          <w:color w:val="000000"/>
          <w:lang w:eastAsia="es-MX"/>
        </w:rPr>
        <w:t>“</w:t>
      </w:r>
      <w:r w:rsidRPr="00787FA1">
        <w:rPr>
          <w:rFonts w:ascii="ITC Avant Garde" w:eastAsia="Times New Roman" w:hAnsi="ITC Avant Garde"/>
          <w:b/>
          <w:bCs/>
          <w:color w:val="000000"/>
          <w:lang w:eastAsia="es-MX"/>
        </w:rPr>
        <w:t>IFT</w:t>
      </w:r>
      <w:r w:rsidR="00203C22"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no obra concesión o permiso otorgado para operar esa frecuencia en dicha localidad.</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Adicionalmente la frecuencia utilizada para esa entidad no se encuentra registrada en la infraestructura de Estaciones de Radio de </w:t>
      </w:r>
      <w:r w:rsidRPr="00787FA1">
        <w:rPr>
          <w:rFonts w:ascii="ITC Avant Garde" w:eastAsia="Times New Roman" w:hAnsi="ITC Avant Garde"/>
          <w:b/>
          <w:bCs/>
          <w:color w:val="000000"/>
          <w:lang w:eastAsia="es-MX"/>
        </w:rPr>
        <w:t>FM</w:t>
      </w:r>
      <w:r w:rsidRPr="00787FA1">
        <w:rPr>
          <w:rFonts w:ascii="ITC Avant Garde" w:eastAsia="Times New Roman" w:hAnsi="ITC Avant Garde"/>
          <w:bCs/>
          <w:color w:val="000000"/>
          <w:lang w:eastAsia="es-MX"/>
        </w:rPr>
        <w:t xml:space="preserve"> publicada en la página Web del </w:t>
      </w:r>
      <w:r w:rsidRPr="00787FA1">
        <w:rPr>
          <w:rFonts w:ascii="ITC Avant Garde" w:eastAsia="Times New Roman" w:hAnsi="ITC Avant Garde"/>
          <w:b/>
          <w:bCs/>
          <w:color w:val="000000"/>
          <w:lang w:eastAsia="es-MX"/>
        </w:rPr>
        <w:t>Instituto</w:t>
      </w:r>
      <w:r w:rsidRPr="00787FA1">
        <w:rPr>
          <w:rFonts w:ascii="ITC Avant Garde" w:eastAsia="Times New Roman" w:hAnsi="ITC Avant Garde"/>
          <w:bCs/>
          <w:color w:val="000000"/>
          <w:lang w:eastAsia="es-MX"/>
        </w:rPr>
        <w:t>, circunstancia que por sí misma constituye un hecho notorio que pone de manifiesto que los servicios no se prestaban conforme a la ley, no obstante que se encontraban a disposición del público en general por lo detectado y grabado en el monitoreo.</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lastRenderedPageBreak/>
        <w:t>Ahora bien, otro elemento que resulta importante analizar es que con independencia de la finalidad de la estación de radiodifusión, para poder prestar dicho servicio se deben de cumplir con los requisitos previstos por la Ley, esto en virtud de que como se puede advertir de lo señalado por la norma, no existe la necesidad de acreditar un uso comercial, público o social.</w:t>
      </w:r>
    </w:p>
    <w:p w:rsidR="00AA0BF6" w:rsidRPr="00787FA1" w:rsidRDefault="00AA0BF6" w:rsidP="00B34C88">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Así las cosas, en el presente asunto durante</w:t>
      </w:r>
      <w:r w:rsidRPr="00787FA1">
        <w:rPr>
          <w:rFonts w:ascii="ITC Avant Garde" w:hAnsi="ITC Avant Garde"/>
          <w:lang w:eastAsia="es-MX"/>
        </w:rPr>
        <w:t xml:space="preserve"> la Visita de Inspección-Verificación</w:t>
      </w:r>
      <w:r w:rsidRPr="00787FA1">
        <w:rPr>
          <w:rFonts w:ascii="ITC Avant Garde" w:eastAsia="Times New Roman" w:hAnsi="ITC Avant Garde"/>
          <w:bCs/>
          <w:color w:val="000000"/>
          <w:lang w:eastAsia="es-MX"/>
        </w:rPr>
        <w:t xml:space="preserve"> se acreditó la prestación de un servicio público de radiodifusión a través del uso de la frecuencia</w:t>
      </w:r>
      <w:r w:rsidRPr="00787FA1">
        <w:rPr>
          <w:rFonts w:ascii="ITC Avant Garde" w:eastAsia="Times New Roman" w:hAnsi="ITC Avant Garde"/>
          <w:b/>
          <w:bCs/>
          <w:color w:val="000000"/>
          <w:lang w:eastAsia="es-MX"/>
        </w:rPr>
        <w:t xml:space="preserve"> </w:t>
      </w:r>
      <w:r w:rsidR="00505CAF" w:rsidRPr="00787FA1">
        <w:rPr>
          <w:rFonts w:ascii="ITC Avant Garde" w:hAnsi="ITC Avant Garde"/>
          <w:b/>
        </w:rPr>
        <w:t>105</w:t>
      </w:r>
      <w:r w:rsidR="00203C22" w:rsidRPr="00787FA1">
        <w:rPr>
          <w:rFonts w:ascii="ITC Avant Garde" w:hAnsi="ITC Avant Garde"/>
          <w:b/>
        </w:rPr>
        <w:t>.3</w:t>
      </w:r>
      <w:r w:rsidR="00505CAF" w:rsidRPr="00787FA1">
        <w:rPr>
          <w:rFonts w:ascii="ITC Avant Garde" w:hAnsi="ITC Avant Garde"/>
          <w:b/>
        </w:rPr>
        <w:t xml:space="preserve"> MHz</w:t>
      </w:r>
      <w:r w:rsidR="00505CAF" w:rsidRPr="00787FA1">
        <w:rPr>
          <w:rFonts w:ascii="ITC Avant Garde" w:hAnsi="ITC Avant Garde"/>
          <w:bCs/>
        </w:rPr>
        <w:t xml:space="preserve"> </w:t>
      </w:r>
      <w:r w:rsidR="00E74308">
        <w:rPr>
          <w:rFonts w:ascii="ITC Avant Garde" w:hAnsi="ITC Avant Garde"/>
          <w:bCs/>
        </w:rPr>
        <w:t>mediante u</w:t>
      </w:r>
      <w:r w:rsidR="00E74308">
        <w:rPr>
          <w:rFonts w:ascii="ITC Avant Garde" w:hAnsi="ITC Avant Garde"/>
        </w:rPr>
        <w:t xml:space="preserve">na antena omnidireccional, </w:t>
      </w:r>
      <w:r w:rsidR="00E74308" w:rsidRPr="00787FA1">
        <w:rPr>
          <w:rFonts w:ascii="ITC Avant Garde" w:hAnsi="ITC Avant Garde"/>
        </w:rPr>
        <w:t xml:space="preserve">con una línea de transmisión y en interior del inmueble se encuentra un transmisor en la frecuencia </w:t>
      </w:r>
      <w:r w:rsidR="00E74308" w:rsidRPr="00787FA1">
        <w:rPr>
          <w:rFonts w:ascii="ITC Avant Garde" w:hAnsi="ITC Avant Garde"/>
          <w:b/>
        </w:rPr>
        <w:t>105.3</w:t>
      </w:r>
      <w:r w:rsidR="00E74308" w:rsidRPr="00787FA1">
        <w:rPr>
          <w:rFonts w:ascii="ITC Avant Garde" w:hAnsi="ITC Avant Garde"/>
        </w:rPr>
        <w:t xml:space="preserve"> </w:t>
      </w:r>
      <w:r w:rsidR="00E74308" w:rsidRPr="00787FA1">
        <w:rPr>
          <w:rFonts w:ascii="ITC Avant Garde" w:hAnsi="ITC Avant Garde"/>
          <w:b/>
        </w:rPr>
        <w:t xml:space="preserve">MHz </w:t>
      </w:r>
      <w:r w:rsidR="00E74308">
        <w:rPr>
          <w:rFonts w:ascii="ITC Avant Garde" w:hAnsi="ITC Avant Garde"/>
        </w:rPr>
        <w:t xml:space="preserve">conectada a una </w:t>
      </w:r>
      <w:proofErr w:type="spellStart"/>
      <w:r w:rsidR="00E74308">
        <w:rPr>
          <w:rFonts w:ascii="ITC Avant Garde" w:hAnsi="ITC Avant Garde"/>
        </w:rPr>
        <w:t>L</w:t>
      </w:r>
      <w:r w:rsidR="00E74308" w:rsidRPr="00787FA1">
        <w:rPr>
          <w:rFonts w:ascii="ITC Avant Garde" w:hAnsi="ITC Avant Garde"/>
        </w:rPr>
        <w:t>ap</w:t>
      </w:r>
      <w:proofErr w:type="spellEnd"/>
      <w:r w:rsidR="00E74308" w:rsidRPr="00787FA1">
        <w:rPr>
          <w:rFonts w:ascii="ITC Avant Garde" w:hAnsi="ITC Avant Garde"/>
        </w:rPr>
        <w:t xml:space="preserve"> top marca </w:t>
      </w:r>
      <w:r w:rsidR="00E74308">
        <w:rPr>
          <w:rFonts w:ascii="ITC Avant Garde" w:hAnsi="ITC Avant Garde"/>
        </w:rPr>
        <w:t xml:space="preserve">Toshiba </w:t>
      </w:r>
      <w:r w:rsidRPr="00787FA1">
        <w:rPr>
          <w:rFonts w:ascii="ITC Avant Garde" w:eastAsia="Times New Roman" w:hAnsi="ITC Avant Garde"/>
          <w:lang w:eastAsia="es-ES"/>
        </w:rPr>
        <w:t xml:space="preserve">y el </w:t>
      </w:r>
      <w:r w:rsidR="00203C22" w:rsidRPr="00787FA1">
        <w:rPr>
          <w:rFonts w:ascii="ITC Avant Garde" w:eastAsia="Times New Roman" w:hAnsi="ITC Avant Garde"/>
          <w:b/>
          <w:lang w:eastAsia="es-ES"/>
        </w:rPr>
        <w:t>“</w:t>
      </w:r>
      <w:r w:rsidRPr="00787FA1">
        <w:rPr>
          <w:rFonts w:ascii="ITC Avant Garde" w:eastAsia="Times New Roman" w:hAnsi="ITC Avant Garde"/>
          <w:b/>
          <w:lang w:eastAsia="es-ES"/>
        </w:rPr>
        <w:t xml:space="preserve">PRESUNTO </w:t>
      </w:r>
      <w:r w:rsidR="00581601">
        <w:rPr>
          <w:rFonts w:ascii="ITC Avant Garde" w:hAnsi="ITC Avant Garde"/>
          <w:b/>
        </w:rPr>
        <w:t>RESPONSABLE</w:t>
      </w:r>
      <w:r w:rsidR="00203C22" w:rsidRPr="00787FA1">
        <w:rPr>
          <w:rFonts w:ascii="ITC Avant Garde" w:eastAsia="Times New Roman" w:hAnsi="ITC Avant Garde"/>
          <w:b/>
          <w:lang w:eastAsia="es-ES"/>
        </w:rPr>
        <w:t>”</w:t>
      </w:r>
      <w:r w:rsidRPr="00787FA1">
        <w:rPr>
          <w:rFonts w:ascii="ITC Avant Garde" w:eastAsia="Times New Roman" w:hAnsi="ITC Avant Garde"/>
          <w:b/>
          <w:lang w:eastAsia="es-ES"/>
        </w:rPr>
        <w:t xml:space="preserve"> </w:t>
      </w:r>
      <w:r w:rsidRPr="00787FA1">
        <w:rPr>
          <w:rFonts w:ascii="ITC Avant Garde" w:eastAsia="Times New Roman" w:hAnsi="ITC Avant Garde"/>
          <w:lang w:eastAsia="es-ES"/>
        </w:rPr>
        <w:t>no acreditó contar con concesión o permiso que acreditara la prestación del servicio público referido</w:t>
      </w:r>
      <w:r w:rsidRPr="00787FA1">
        <w:rPr>
          <w:rFonts w:ascii="ITC Avant Garde" w:eastAsia="Times New Roman" w:hAnsi="ITC Avant Garde"/>
          <w:bCs/>
          <w:color w:val="000000"/>
          <w:lang w:eastAsia="es-MX"/>
        </w:rPr>
        <w:t>;</w:t>
      </w:r>
      <w:r w:rsidRPr="00787FA1">
        <w:rPr>
          <w:rFonts w:ascii="ITC Avant Garde" w:eastAsia="Times New Roman" w:hAnsi="ITC Avant Garde"/>
          <w:lang w:eastAsia="es-ES"/>
        </w:rPr>
        <w:t xml:space="preserve"> por tanto, se considera que</w:t>
      </w:r>
      <w:r w:rsidRPr="00787FA1">
        <w:rPr>
          <w:rFonts w:ascii="ITC Avant Garde" w:hAnsi="ITC Avant Garde"/>
          <w:b/>
        </w:rPr>
        <w:t xml:space="preserve"> </w:t>
      </w:r>
      <w:r w:rsidRPr="00787FA1">
        <w:rPr>
          <w:rFonts w:ascii="ITC Avant Garde" w:hAnsi="ITC Avant Garde"/>
        </w:rPr>
        <w:t xml:space="preserve">es </w:t>
      </w:r>
      <w:r w:rsidRPr="00787FA1">
        <w:rPr>
          <w:rFonts w:ascii="ITC Avant Garde" w:eastAsia="Times New Roman" w:hAnsi="ITC Avant Garde"/>
          <w:bCs/>
          <w:color w:val="000000"/>
          <w:lang w:eastAsia="es-MX"/>
        </w:rPr>
        <w:t xml:space="preserve">responsable de la violación a lo establecido en el artículo </w:t>
      </w:r>
      <w:r w:rsidRPr="00787FA1">
        <w:rPr>
          <w:rFonts w:ascii="ITC Avant Garde" w:hAnsi="ITC Avant Garde"/>
        </w:rPr>
        <w:t xml:space="preserve">66 </w:t>
      </w:r>
      <w:r w:rsidRPr="00787FA1">
        <w:rPr>
          <w:rFonts w:ascii="ITC Avant Garde" w:hAnsi="ITC Avant Garde"/>
          <w:bCs/>
        </w:rPr>
        <w:t>en relación con el 75,</w:t>
      </w:r>
      <w:r w:rsidRPr="00787FA1">
        <w:rPr>
          <w:rFonts w:ascii="ITC Avant Garde" w:hAnsi="ITC Avant Garde"/>
        </w:rPr>
        <w:t xml:space="preserve"> y dicha conducta es sancionable  en términos de la fracción I del inciso E) del artículo 298 de la </w:t>
      </w:r>
      <w:r w:rsidR="00203C22" w:rsidRPr="00787FA1">
        <w:rPr>
          <w:rFonts w:ascii="ITC Avant Garde" w:hAnsi="ITC Avant Garde"/>
          <w:b/>
        </w:rPr>
        <w:t>“</w:t>
      </w:r>
      <w:proofErr w:type="spellStart"/>
      <w:r w:rsidRPr="00787FA1">
        <w:rPr>
          <w:rFonts w:ascii="ITC Avant Garde" w:eastAsia="Times New Roman" w:hAnsi="ITC Avant Garde"/>
          <w:b/>
          <w:bCs/>
          <w:color w:val="000000"/>
          <w:lang w:eastAsia="es-MX"/>
        </w:rPr>
        <w:t>LFTyR</w:t>
      </w:r>
      <w:proofErr w:type="spellEnd"/>
      <w:r w:rsidR="00203C22"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Asimismo, se actualiza la hipótesis normativa prevista en el artículo 305 de dicho ordenamiento y lo procedente es declarar la pérdida a favor de la Nación de los bienes empleados en la comisión de la infracción. </w:t>
      </w:r>
    </w:p>
    <w:p w:rsidR="00505CAF" w:rsidRPr="00787FA1" w:rsidRDefault="00AA0BF6" w:rsidP="00B34C88">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En efecto,</w:t>
      </w:r>
      <w:r w:rsidR="00505CAF" w:rsidRPr="00787FA1">
        <w:rPr>
          <w:rFonts w:ascii="ITC Avant Garde" w:eastAsia="Times New Roman" w:hAnsi="ITC Avant Garde"/>
          <w:bCs/>
          <w:color w:val="000000"/>
          <w:lang w:eastAsia="es-MX"/>
        </w:rPr>
        <w:t xml:space="preserve"> el artículo 298, inciso E), fracción I de la </w:t>
      </w:r>
      <w:r w:rsidR="00505CAF" w:rsidRPr="00787FA1">
        <w:rPr>
          <w:rFonts w:ascii="ITC Avant Garde" w:eastAsia="Times New Roman" w:hAnsi="ITC Avant Garde"/>
          <w:b/>
          <w:bCs/>
          <w:color w:val="000000"/>
          <w:lang w:eastAsia="es-MX"/>
        </w:rPr>
        <w:t>LFTyR</w:t>
      </w:r>
      <w:r w:rsidR="00505CAF" w:rsidRPr="00787FA1">
        <w:rPr>
          <w:rFonts w:ascii="ITC Avant Garde" w:eastAsia="Times New Roman" w:hAnsi="ITC Avant Garde"/>
          <w:bCs/>
          <w:color w:val="000000"/>
          <w:lang w:eastAsia="es-MX"/>
        </w:rPr>
        <w:t>, establece expresamente lo siguiente:</w:t>
      </w:r>
    </w:p>
    <w:p w:rsidR="00912D49" w:rsidRPr="00787FA1" w:rsidRDefault="00912D49" w:rsidP="00B34C88">
      <w:pPr>
        <w:pStyle w:val="Textoindependiente"/>
        <w:tabs>
          <w:tab w:val="left" w:pos="8222"/>
        </w:tabs>
        <w:spacing w:before="240" w:after="0" w:line="240" w:lineRule="auto"/>
        <w:ind w:left="567" w:right="851"/>
        <w:jc w:val="both"/>
        <w:rPr>
          <w:rFonts w:ascii="ITC Avant Garde" w:eastAsia="Times New Roman" w:hAnsi="ITC Avant Garde"/>
          <w:i/>
          <w:lang w:eastAsia="es-ES"/>
        </w:rPr>
      </w:pPr>
      <w:r w:rsidRPr="00787FA1">
        <w:rPr>
          <w:rFonts w:ascii="ITC Avant Garde" w:hAnsi="ITC Avant Garde"/>
          <w:i/>
          <w:color w:val="000000"/>
        </w:rPr>
        <w:t>“Artículo 298. Las infracciones a lo dispuesto en esta Ley y a las disposiciones que deriven de ella, se sancionarán por el Instituto de conformidad con lo siguiente</w:t>
      </w:r>
      <w:proofErr w:type="gramStart"/>
      <w:r w:rsidRPr="00787FA1">
        <w:rPr>
          <w:rFonts w:ascii="ITC Avant Garde" w:hAnsi="ITC Avant Garde"/>
          <w:i/>
          <w:color w:val="000000"/>
        </w:rPr>
        <w:t xml:space="preserve">: </w:t>
      </w:r>
      <w:r w:rsidRPr="00787FA1">
        <w:rPr>
          <w:rFonts w:ascii="ITC Avant Garde" w:hAnsi="ITC Avant Garde"/>
          <w:i/>
          <w:color w:val="000000"/>
        </w:rPr>
        <w:cr/>
      </w:r>
      <w:r w:rsidRPr="00787FA1">
        <w:rPr>
          <w:rFonts w:ascii="ITC Avant Garde" w:eastAsia="Times New Roman" w:hAnsi="ITC Avant Garde"/>
          <w:i/>
          <w:lang w:eastAsia="es-ES"/>
        </w:rPr>
        <w:t>[</w:t>
      </w:r>
      <w:proofErr w:type="gramEnd"/>
      <w:r w:rsidRPr="00787FA1">
        <w:rPr>
          <w:rFonts w:ascii="ITC Avant Garde" w:eastAsia="Times New Roman" w:hAnsi="ITC Avant Garde"/>
          <w:i/>
          <w:lang w:eastAsia="es-ES"/>
        </w:rPr>
        <w:t>…]</w:t>
      </w:r>
    </w:p>
    <w:p w:rsidR="00912D49" w:rsidRPr="00787FA1" w:rsidRDefault="00912D49" w:rsidP="00B34C88">
      <w:pPr>
        <w:pStyle w:val="Textoindependiente"/>
        <w:tabs>
          <w:tab w:val="left" w:pos="8222"/>
        </w:tabs>
        <w:spacing w:before="240" w:after="0" w:line="240" w:lineRule="auto"/>
        <w:ind w:left="567" w:right="851"/>
        <w:jc w:val="both"/>
        <w:rPr>
          <w:rFonts w:ascii="ITC Avant Garde" w:hAnsi="ITC Avant Garde"/>
          <w:i/>
          <w:color w:val="000000"/>
        </w:rPr>
      </w:pPr>
      <w:r w:rsidRPr="00787FA1">
        <w:rPr>
          <w:rFonts w:ascii="ITC Avant Garde" w:hAnsi="ITC Avant Garde"/>
          <w:i/>
          <w:color w:val="000000"/>
        </w:rPr>
        <w:t xml:space="preserve">E. Con multa por el equivalente de </w:t>
      </w:r>
      <w:r w:rsidRPr="00787FA1">
        <w:rPr>
          <w:rFonts w:ascii="ITC Avant Garde" w:eastAsia="Times New Roman" w:hAnsi="ITC Avant Garde"/>
          <w:bCs/>
          <w:color w:val="000000"/>
          <w:lang w:eastAsia="es-MX"/>
        </w:rPr>
        <w:t>6.01% hasta 10% de los ingresos de la persona infractora que</w:t>
      </w:r>
      <w:r w:rsidRPr="00787FA1">
        <w:rPr>
          <w:rFonts w:ascii="ITC Avant Garde" w:hAnsi="ITC Avant Garde"/>
          <w:i/>
          <w:color w:val="000000"/>
        </w:rPr>
        <w:t>:</w:t>
      </w:r>
    </w:p>
    <w:p w:rsidR="00912D49" w:rsidRPr="00787FA1" w:rsidRDefault="00912D49" w:rsidP="00B34C88">
      <w:pPr>
        <w:pStyle w:val="Textoindependiente"/>
        <w:tabs>
          <w:tab w:val="left" w:pos="8222"/>
        </w:tabs>
        <w:spacing w:before="240" w:after="0" w:line="240" w:lineRule="auto"/>
        <w:ind w:left="567" w:right="851"/>
        <w:jc w:val="both"/>
        <w:rPr>
          <w:rFonts w:ascii="ITC Avant Garde" w:eastAsia="Times New Roman" w:hAnsi="ITC Avant Garde"/>
          <w:i/>
          <w:lang w:eastAsia="es-ES"/>
        </w:rPr>
      </w:pPr>
      <w:r w:rsidRPr="00787FA1">
        <w:rPr>
          <w:rFonts w:ascii="ITC Avant Garde" w:eastAsia="Times New Roman" w:hAnsi="ITC Avant Garde"/>
          <w:i/>
          <w:lang w:eastAsia="es-ES"/>
        </w:rPr>
        <w:t>[…]</w:t>
      </w:r>
    </w:p>
    <w:p w:rsidR="00912D49" w:rsidRPr="00787FA1" w:rsidRDefault="00912D49" w:rsidP="00B34C88">
      <w:pPr>
        <w:pStyle w:val="Textoindependiente"/>
        <w:tabs>
          <w:tab w:val="left" w:pos="8222"/>
        </w:tabs>
        <w:spacing w:before="240" w:after="0" w:line="240" w:lineRule="auto"/>
        <w:ind w:left="567" w:right="851"/>
        <w:jc w:val="both"/>
        <w:rPr>
          <w:rFonts w:ascii="ITC Avant Garde" w:hAnsi="ITC Avant Garde" w:cs="Tahoma"/>
          <w:b/>
        </w:rPr>
      </w:pPr>
      <w:r w:rsidRPr="00787FA1">
        <w:rPr>
          <w:rFonts w:ascii="ITC Avant Garde" w:hAnsi="ITC Avant Garde"/>
          <w:i/>
          <w:color w:val="000000"/>
        </w:rPr>
        <w:t>I. Preste servicios de telecomunicaciones o radiodifusión sin contar con concesión o autorización, o</w:t>
      </w:r>
      <w:r w:rsidR="00ED6FB9" w:rsidRPr="00787FA1">
        <w:rPr>
          <w:rFonts w:ascii="ITC Avant Garde" w:hAnsi="ITC Avant Garde"/>
          <w:i/>
          <w:color w:val="000000"/>
        </w:rPr>
        <w:t>…</w:t>
      </w:r>
      <w:r w:rsidRPr="00787FA1">
        <w:rPr>
          <w:rFonts w:ascii="ITC Avant Garde" w:hAnsi="ITC Avant Garde"/>
          <w:i/>
          <w:color w:val="000000"/>
        </w:rPr>
        <w:t>”</w:t>
      </w:r>
      <w:r w:rsidRPr="00787FA1">
        <w:rPr>
          <w:rFonts w:ascii="ITC Avant Garde" w:eastAsia="Times New Roman" w:hAnsi="ITC Avant Garde"/>
          <w:bCs/>
          <w:i/>
          <w:color w:val="000000"/>
          <w:lang w:eastAsia="es-MX"/>
        </w:rPr>
        <w:cr/>
      </w:r>
      <w:r w:rsidRPr="00787FA1">
        <w:rPr>
          <w:rFonts w:ascii="ITC Avant Garde" w:eastAsia="Times New Roman" w:hAnsi="ITC Avant Garde"/>
          <w:bCs/>
          <w:color w:val="000000"/>
          <w:lang w:eastAsia="es-MX"/>
        </w:rPr>
        <w:t xml:space="preserve">En consecuencia </w:t>
      </w:r>
      <w:r w:rsidR="002E7D4B" w:rsidRPr="00787FA1">
        <w:rPr>
          <w:rFonts w:ascii="ITC Avant Garde" w:eastAsia="Times New Roman" w:hAnsi="ITC Avant Garde"/>
          <w:bCs/>
          <w:color w:val="000000"/>
          <w:lang w:eastAsia="es-MX"/>
        </w:rPr>
        <w:t>y considerando que</w:t>
      </w:r>
      <w:r w:rsidRPr="00787FA1">
        <w:rPr>
          <w:rFonts w:ascii="ITC Avant Garde" w:eastAsia="Times New Roman" w:hAnsi="ITC Avant Garde"/>
          <w:bCs/>
          <w:color w:val="000000"/>
          <w:lang w:eastAsia="es-MX"/>
        </w:rPr>
        <w:t xml:space="preserve"> </w:t>
      </w:r>
      <w:r w:rsidR="008C43C4" w:rsidRPr="00787FA1">
        <w:rPr>
          <w:rFonts w:ascii="ITC Avant Garde" w:hAnsi="ITC Avant Garde"/>
        </w:rPr>
        <w:t xml:space="preserve">el </w:t>
      </w:r>
      <w:r w:rsidR="00704760" w:rsidRPr="00787FA1">
        <w:rPr>
          <w:rFonts w:ascii="ITC Avant Garde" w:hAnsi="ITC Avant Garde"/>
          <w:b/>
        </w:rPr>
        <w:t xml:space="preserve">“PRESUNTO </w:t>
      </w:r>
      <w:r w:rsidR="00704760">
        <w:rPr>
          <w:rFonts w:ascii="ITC Avant Garde" w:hAnsi="ITC Avant Garde"/>
          <w:b/>
        </w:rPr>
        <w:t>RESPONSABLE</w:t>
      </w:r>
      <w:r w:rsidR="00704760" w:rsidRPr="00787FA1">
        <w:rPr>
          <w:rFonts w:ascii="ITC Avant Garde" w:hAnsi="ITC Avant Garde"/>
          <w:b/>
        </w:rPr>
        <w:t>”</w:t>
      </w:r>
      <w:r w:rsidR="00704760">
        <w:rPr>
          <w:rFonts w:ascii="ITC Avant Garde" w:hAnsi="ITC Avant Garde"/>
          <w:b/>
        </w:rPr>
        <w:t xml:space="preserve"> </w:t>
      </w:r>
      <w:r w:rsidR="008C43C4" w:rsidRPr="00787FA1">
        <w:rPr>
          <w:rFonts w:ascii="ITC Avant Garde" w:eastAsia="Times New Roman" w:hAnsi="ITC Avant Garde"/>
          <w:bCs/>
          <w:color w:val="000000"/>
          <w:lang w:eastAsia="es-MX"/>
        </w:rPr>
        <w:t xml:space="preserve">es responsable de la prestación del servicio de radiodifusión a través de </w:t>
      </w:r>
      <w:r w:rsidR="008C43C4" w:rsidRPr="00787FA1">
        <w:rPr>
          <w:rFonts w:ascii="ITC Avant Garde" w:eastAsia="Times New Roman" w:hAnsi="ITC Avant Garde"/>
          <w:lang w:eastAsia="es-ES"/>
        </w:rPr>
        <w:lastRenderedPageBreak/>
        <w:t xml:space="preserve">la frecuencia </w:t>
      </w:r>
      <w:r w:rsidR="008C43C4" w:rsidRPr="00787FA1">
        <w:rPr>
          <w:rFonts w:ascii="ITC Avant Garde" w:hAnsi="ITC Avant Garde"/>
          <w:b/>
        </w:rPr>
        <w:t>105</w:t>
      </w:r>
      <w:r w:rsidR="00F30867">
        <w:rPr>
          <w:rFonts w:ascii="ITC Avant Garde" w:hAnsi="ITC Avant Garde"/>
          <w:b/>
        </w:rPr>
        <w:t>.3</w:t>
      </w:r>
      <w:r w:rsidR="008C43C4" w:rsidRPr="00787FA1">
        <w:rPr>
          <w:rFonts w:ascii="ITC Avant Garde" w:hAnsi="ITC Avant Garde"/>
          <w:b/>
        </w:rPr>
        <w:t xml:space="preserve"> MHz,</w:t>
      </w:r>
      <w:r w:rsidR="008C43C4" w:rsidRPr="00787FA1">
        <w:rPr>
          <w:rFonts w:ascii="ITC Avant Garde" w:eastAsia="Times New Roman" w:hAnsi="ITC Avant Garde"/>
          <w:lang w:eastAsia="es-ES"/>
        </w:rPr>
        <w:t xml:space="preserve"> sin contar con concesión, permiso o autorización correspondiente que lo habilite para tal fin, lo procedente es imponer la sanción que corresponda en términos del citado artículo 298 inciso E) fracción I de la </w:t>
      </w:r>
      <w:r w:rsidR="00F30867">
        <w:rPr>
          <w:rFonts w:ascii="ITC Avant Garde" w:eastAsia="Times New Roman" w:hAnsi="ITC Avant Garde"/>
          <w:b/>
          <w:lang w:eastAsia="es-ES"/>
        </w:rPr>
        <w:t>“</w:t>
      </w:r>
      <w:proofErr w:type="spellStart"/>
      <w:r w:rsidR="008C43C4" w:rsidRPr="00787FA1">
        <w:rPr>
          <w:rFonts w:ascii="ITC Avant Garde" w:eastAsia="Times New Roman" w:hAnsi="ITC Avant Garde"/>
          <w:b/>
          <w:lang w:eastAsia="es-ES"/>
        </w:rPr>
        <w:t>LFTyR</w:t>
      </w:r>
      <w:proofErr w:type="spellEnd"/>
      <w:r w:rsidR="00F30867">
        <w:rPr>
          <w:rFonts w:ascii="ITC Avant Garde" w:eastAsia="Times New Roman" w:hAnsi="ITC Avant Garde"/>
          <w:b/>
          <w:lang w:eastAsia="es-ES"/>
        </w:rPr>
        <w:t>”</w:t>
      </w:r>
      <w:r w:rsidR="008C43C4" w:rsidRPr="00787FA1">
        <w:rPr>
          <w:rFonts w:ascii="ITC Avant Garde" w:eastAsia="Times New Roman" w:hAnsi="ITC Avant Garde"/>
          <w:b/>
          <w:lang w:eastAsia="es-ES"/>
        </w:rPr>
        <w:t xml:space="preserve"> </w:t>
      </w:r>
      <w:r w:rsidR="008C43C4" w:rsidRPr="00787FA1">
        <w:rPr>
          <w:rFonts w:ascii="ITC Avant Garde" w:eastAsia="Times New Roman" w:hAnsi="ITC Avant Garde"/>
          <w:lang w:eastAsia="es-ES"/>
        </w:rPr>
        <w:t xml:space="preserve">y </w:t>
      </w:r>
      <w:r w:rsidR="006673AA">
        <w:rPr>
          <w:rFonts w:ascii="ITC Avant Garde" w:eastAsia="Times New Roman" w:hAnsi="ITC Avant Garde"/>
          <w:lang w:eastAsia="es-ES"/>
        </w:rPr>
        <w:t xml:space="preserve">conforme al citado artículo 305 procede </w:t>
      </w:r>
      <w:r w:rsidR="008C43C4" w:rsidRPr="00787FA1">
        <w:rPr>
          <w:rFonts w:ascii="ITC Avant Garde" w:eastAsia="Times New Roman" w:hAnsi="ITC Avant Garde"/>
          <w:lang w:eastAsia="es-ES"/>
        </w:rPr>
        <w:t>declarar la pérdida de los equipos detectados</w:t>
      </w:r>
      <w:r w:rsidR="008C43C4" w:rsidRPr="00787FA1">
        <w:rPr>
          <w:rFonts w:ascii="ITC Avant Garde" w:hAnsi="ITC Avant Garde"/>
        </w:rPr>
        <w:t xml:space="preserve"> durante la </w:t>
      </w:r>
      <w:r w:rsidR="008C43C4" w:rsidRPr="00787FA1">
        <w:rPr>
          <w:rFonts w:ascii="ITC Avant Garde" w:hAnsi="ITC Avant Garde"/>
          <w:lang w:eastAsia="es-MX"/>
        </w:rPr>
        <w:t xml:space="preserve">visita de inspección-verificación, </w:t>
      </w:r>
      <w:r w:rsidR="008C43C4" w:rsidRPr="00787FA1">
        <w:rPr>
          <w:rFonts w:ascii="ITC Avant Garde" w:hAnsi="ITC Avant Garde"/>
        </w:rPr>
        <w:t>consistentes</w:t>
      </w:r>
      <w:r w:rsidR="008C43C4" w:rsidRPr="00787FA1">
        <w:rPr>
          <w:rFonts w:ascii="ITC Avant Garde" w:hAnsi="ITC Avant Garde"/>
          <w:b/>
        </w:rPr>
        <w:t xml:space="preserve"> </w:t>
      </w:r>
      <w:r w:rsidR="008C43C4" w:rsidRPr="00787FA1">
        <w:rPr>
          <w:rFonts w:ascii="ITC Avant Garde" w:hAnsi="ITC Avant Garde"/>
        </w:rPr>
        <w:t>en</w:t>
      </w:r>
      <w:r w:rsidR="008C43C4" w:rsidRPr="00787FA1">
        <w:rPr>
          <w:rFonts w:ascii="ITC Avant Garde" w:hAnsi="ITC Avant Garde" w:cs="Tahoma"/>
          <w:b/>
        </w:rPr>
        <w:t>:</w:t>
      </w:r>
    </w:p>
    <w:p w:rsidR="00E74308" w:rsidRPr="003B7DE3" w:rsidRDefault="00E74308" w:rsidP="00B34C88">
      <w:pPr>
        <w:numPr>
          <w:ilvl w:val="0"/>
          <w:numId w:val="27"/>
        </w:numPr>
        <w:spacing w:before="240" w:after="0" w:line="360" w:lineRule="auto"/>
        <w:jc w:val="both"/>
        <w:rPr>
          <w:rFonts w:ascii="ITC Avant Garde" w:hAnsi="ITC Avant Garde" w:cs="Tahoma"/>
          <w:b/>
        </w:rPr>
      </w:pPr>
      <w:r>
        <w:rPr>
          <w:rFonts w:ascii="ITC Avant Garde" w:hAnsi="ITC Avant Garde"/>
        </w:rPr>
        <w:t>Una antena omnidireccional</w:t>
      </w:r>
    </w:p>
    <w:p w:rsidR="00772DDA" w:rsidRPr="00787FA1" w:rsidRDefault="00203C22" w:rsidP="00787FA1">
      <w:pPr>
        <w:numPr>
          <w:ilvl w:val="0"/>
          <w:numId w:val="27"/>
        </w:numPr>
        <w:spacing w:after="0" w:line="360" w:lineRule="auto"/>
        <w:jc w:val="both"/>
        <w:rPr>
          <w:rFonts w:ascii="ITC Avant Garde" w:hAnsi="ITC Avant Garde" w:cs="Tahoma"/>
          <w:b/>
        </w:rPr>
      </w:pPr>
      <w:r w:rsidRPr="00787FA1">
        <w:rPr>
          <w:rFonts w:ascii="ITC Avant Garde" w:hAnsi="ITC Avant Garde" w:cs="Tahoma"/>
        </w:rPr>
        <w:t xml:space="preserve">Un transmisor en la frecuencia </w:t>
      </w:r>
      <w:r w:rsidRPr="00F30867">
        <w:rPr>
          <w:rFonts w:ascii="ITC Avant Garde" w:hAnsi="ITC Avant Garde" w:cs="Tahoma"/>
          <w:b/>
        </w:rPr>
        <w:t>105.3</w:t>
      </w:r>
      <w:r w:rsidRPr="00787FA1">
        <w:rPr>
          <w:rFonts w:ascii="ITC Avant Garde" w:hAnsi="ITC Avant Garde" w:cs="Tahoma"/>
        </w:rPr>
        <w:t xml:space="preserve"> </w:t>
      </w:r>
      <w:r w:rsidRPr="00787FA1">
        <w:rPr>
          <w:rFonts w:ascii="ITC Avant Garde" w:hAnsi="ITC Avant Garde" w:cs="Tahoma"/>
          <w:b/>
        </w:rPr>
        <w:t>MHz</w:t>
      </w:r>
      <w:r w:rsidR="00772DDA" w:rsidRPr="00787FA1">
        <w:rPr>
          <w:rFonts w:ascii="ITC Avant Garde" w:hAnsi="ITC Avant Garde" w:cs="Tahoma"/>
        </w:rPr>
        <w:t>;</w:t>
      </w:r>
      <w:r w:rsidRPr="00787FA1">
        <w:rPr>
          <w:rFonts w:ascii="ITC Avant Garde" w:hAnsi="ITC Avant Garde" w:cs="Tahoma"/>
        </w:rPr>
        <w:t xml:space="preserve"> y</w:t>
      </w:r>
    </w:p>
    <w:p w:rsidR="00203C22" w:rsidRPr="00787FA1" w:rsidRDefault="00203C22" w:rsidP="00787FA1">
      <w:pPr>
        <w:numPr>
          <w:ilvl w:val="0"/>
          <w:numId w:val="27"/>
        </w:numPr>
        <w:spacing w:after="0" w:line="360" w:lineRule="auto"/>
        <w:jc w:val="both"/>
        <w:rPr>
          <w:rFonts w:ascii="ITC Avant Garde" w:hAnsi="ITC Avant Garde"/>
        </w:rPr>
      </w:pPr>
      <w:proofErr w:type="spellStart"/>
      <w:r w:rsidRPr="00787FA1">
        <w:rPr>
          <w:rFonts w:ascii="ITC Avant Garde" w:hAnsi="ITC Avant Garde"/>
        </w:rPr>
        <w:t>Lap</w:t>
      </w:r>
      <w:proofErr w:type="spellEnd"/>
      <w:r w:rsidRPr="00787FA1">
        <w:rPr>
          <w:rFonts w:ascii="ITC Avant Garde" w:hAnsi="ITC Avant Garde"/>
        </w:rPr>
        <w:t xml:space="preserve"> Top marca </w:t>
      </w:r>
      <w:r w:rsidR="00930F2F">
        <w:rPr>
          <w:rFonts w:ascii="ITC Avant Garde" w:hAnsi="ITC Avant Garde"/>
        </w:rPr>
        <w:t>Toshiba</w:t>
      </w:r>
    </w:p>
    <w:p w:rsidR="000F48CD" w:rsidRPr="00787FA1" w:rsidRDefault="000F48CD" w:rsidP="00B34C88">
      <w:pPr>
        <w:tabs>
          <w:tab w:val="left" w:pos="993"/>
        </w:tabs>
        <w:spacing w:before="240" w:after="0" w:line="360" w:lineRule="auto"/>
        <w:jc w:val="both"/>
        <w:rPr>
          <w:rFonts w:ascii="ITC Avant Garde" w:eastAsia="Times New Roman" w:hAnsi="ITC Avant Garde"/>
          <w:lang w:eastAsia="es-ES"/>
        </w:rPr>
      </w:pPr>
      <w:r w:rsidRPr="00787FA1">
        <w:rPr>
          <w:rFonts w:ascii="ITC Avant Garde" w:eastAsia="Times New Roman" w:hAnsi="ITC Avant Garde"/>
          <w:bCs/>
          <w:color w:val="000000"/>
          <w:lang w:eastAsia="es-MX"/>
        </w:rPr>
        <w:t xml:space="preserve">Lo anterior, </w:t>
      </w:r>
      <w:r w:rsidRPr="00787FA1">
        <w:rPr>
          <w:rFonts w:ascii="ITC Avant Garde" w:eastAsia="Times New Roman" w:hAnsi="ITC Avant Garde"/>
          <w:lang w:eastAsia="es-ES"/>
        </w:rPr>
        <w:t xml:space="preserve">toda vez que el espectro radioeléctrico es un bien de dominio público, el cual es un recurso limitado, que conforme a lo dispuesto en el artículo 28 la </w:t>
      </w:r>
      <w:r w:rsidR="00203C22" w:rsidRPr="00787FA1">
        <w:rPr>
          <w:rFonts w:ascii="ITC Avant Garde" w:eastAsia="Times New Roman" w:hAnsi="ITC Avant Garde"/>
          <w:b/>
          <w:lang w:eastAsia="es-ES"/>
        </w:rPr>
        <w:t>“</w:t>
      </w:r>
      <w:r w:rsidRPr="00787FA1">
        <w:rPr>
          <w:rFonts w:ascii="ITC Avant Garde" w:eastAsia="Times New Roman" w:hAnsi="ITC Avant Garde"/>
          <w:b/>
          <w:lang w:eastAsia="es-ES"/>
        </w:rPr>
        <w:t>CPEUM</w:t>
      </w:r>
      <w:r w:rsidR="00203C22" w:rsidRPr="00787FA1">
        <w:rPr>
          <w:rFonts w:ascii="ITC Avant Garde" w:eastAsia="Times New Roman" w:hAnsi="ITC Avant Garde"/>
          <w:b/>
          <w:lang w:eastAsia="es-ES"/>
        </w:rPr>
        <w:t>”</w:t>
      </w:r>
      <w:r w:rsidRPr="00787FA1">
        <w:rPr>
          <w:rFonts w:ascii="ITC Avant Garde" w:eastAsia="Times New Roman" w:hAnsi="ITC Avant Garde"/>
          <w:lang w:eastAsia="es-ES"/>
        </w:rPr>
        <w:t xml:space="preserve">, corresponde al Estado a través del </w:t>
      </w:r>
      <w:r w:rsidR="00203C22" w:rsidRPr="00787FA1">
        <w:rPr>
          <w:rFonts w:ascii="ITC Avant Garde" w:eastAsia="Times New Roman" w:hAnsi="ITC Avant Garde"/>
          <w:b/>
          <w:lang w:eastAsia="es-ES"/>
        </w:rPr>
        <w:t>“</w:t>
      </w:r>
      <w:r w:rsidRPr="00787FA1">
        <w:rPr>
          <w:rFonts w:ascii="ITC Avant Garde" w:eastAsia="Times New Roman" w:hAnsi="ITC Avant Garde"/>
          <w:b/>
          <w:lang w:eastAsia="es-ES"/>
        </w:rPr>
        <w:t>IFT</w:t>
      </w:r>
      <w:r w:rsidR="00203C22" w:rsidRPr="00787FA1">
        <w:rPr>
          <w:rFonts w:ascii="ITC Avant Garde" w:eastAsia="Times New Roman" w:hAnsi="ITC Avant Garde"/>
          <w:b/>
          <w:lang w:eastAsia="es-ES"/>
        </w:rPr>
        <w:t>”</w:t>
      </w:r>
      <w:r w:rsidRPr="00787FA1">
        <w:rPr>
          <w:rFonts w:ascii="ITC Avant Garde" w:eastAsia="Times New Roman" w:hAnsi="ITC Avant Garde"/>
          <w:lang w:eastAsia="es-ES"/>
        </w:rPr>
        <w:t xml:space="preserve"> salvaguardar su uso, aprovechamiento y explotación en beneficio del interés público.</w:t>
      </w:r>
    </w:p>
    <w:p w:rsidR="00912D49" w:rsidRPr="00787FA1" w:rsidRDefault="00912D49" w:rsidP="00B34C88">
      <w:pPr>
        <w:pStyle w:val="Textoindependiente"/>
        <w:tabs>
          <w:tab w:val="left" w:pos="993"/>
        </w:tabs>
        <w:spacing w:before="240" w:after="0" w:line="360" w:lineRule="auto"/>
        <w:jc w:val="both"/>
        <w:rPr>
          <w:rFonts w:ascii="ITC Avant Garde" w:eastAsia="Times New Roman" w:hAnsi="ITC Avant Garde"/>
          <w:lang w:eastAsia="es-ES"/>
        </w:rPr>
      </w:pPr>
      <w:r w:rsidRPr="00787FA1">
        <w:rPr>
          <w:rFonts w:ascii="ITC Avant Garde" w:eastAsia="Times New Roman" w:hAnsi="ITC Avant Garde"/>
          <w:lang w:eastAsia="es-ES"/>
        </w:rPr>
        <w:t>Sirve de apoyo a lo anterior, los siguientes criterios judiciales:</w:t>
      </w:r>
    </w:p>
    <w:p w:rsidR="00912D49" w:rsidRPr="00F30867" w:rsidRDefault="00912D49" w:rsidP="00B34C88">
      <w:pPr>
        <w:pStyle w:val="Textoindependiente"/>
        <w:tabs>
          <w:tab w:val="left" w:pos="993"/>
        </w:tabs>
        <w:spacing w:before="240" w:after="0" w:line="240" w:lineRule="auto"/>
        <w:ind w:left="567" w:right="567"/>
        <w:jc w:val="both"/>
        <w:rPr>
          <w:rFonts w:ascii="ITC Avant Garde" w:hAnsi="ITC Avant Garde"/>
          <w:color w:val="000000"/>
        </w:rPr>
      </w:pPr>
      <w:r w:rsidRPr="00F30867">
        <w:rPr>
          <w:rFonts w:ascii="ITC Avant Garde" w:hAnsi="ITC Avant Garde"/>
          <w:color w:val="000000"/>
        </w:rPr>
        <w:t>“</w:t>
      </w:r>
      <w:r w:rsidRPr="00F30867">
        <w:rPr>
          <w:rFonts w:ascii="ITC Avant Garde" w:hAnsi="ITC Avant Garde"/>
          <w:b/>
          <w:color w:val="000000"/>
        </w:rPr>
        <w:t xml:space="preserve">ESPECTRO RADIOELÉCTRICO. FORMA PARTE DEL ESPACIO AÉREO, QUE CONSTITUYE UN BIEN NACIONAL DE USO COMÚN SUJETO AL RÉGIMEN DE DOMINIO PÚBLICO DE LA FEDERACIÓN, PARA CUYO APROVECHAMIENTO ESPECIAL SE REQUIERE CONCESIÓN, AUTORIZACIÓN O PERMISO. </w:t>
      </w:r>
      <w:r w:rsidRPr="00F30867">
        <w:rPr>
          <w:rFonts w:ascii="ITC Avant Garde" w:hAnsi="ITC Avant Garde"/>
          <w:color w:val="00000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F30867">
        <w:rPr>
          <w:rFonts w:ascii="ITC Avant Garde" w:hAnsi="ITC Avant Garde"/>
          <w:color w:val="000000"/>
        </w:rPr>
        <w:t>gigahertz</w:t>
      </w:r>
      <w:proofErr w:type="spellEnd"/>
      <w:r w:rsidRPr="00F30867">
        <w:rPr>
          <w:rFonts w:ascii="ITC Avant Garde" w:hAnsi="ITC Avant Garde"/>
          <w:color w:val="00000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F30867">
        <w:rPr>
          <w:rFonts w:ascii="ITC Avant Garde" w:hAnsi="ITC Avant Garde"/>
          <w:color w:val="000000"/>
        </w:rPr>
        <w:t>gigahertz</w:t>
      </w:r>
      <w:proofErr w:type="spellEnd"/>
      <w:r w:rsidRPr="00F30867">
        <w:rPr>
          <w:rFonts w:ascii="ITC Avant Garde" w:hAnsi="ITC Avant Garde"/>
          <w:color w:val="000000"/>
        </w:rPr>
        <w:t xml:space="preserve">. 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F30867">
        <w:rPr>
          <w:rFonts w:ascii="ITC Avant Garde" w:hAnsi="ITC Avant Garde"/>
          <w:b/>
          <w:color w:val="000000"/>
          <w:u w:val="single"/>
        </w:rPr>
        <w:t xml:space="preserve">el espectro radioeléctrico constituye un bien de uso común que, como tal, en términos de la Ley </w:t>
      </w:r>
      <w:r w:rsidRPr="00F30867">
        <w:rPr>
          <w:rFonts w:ascii="ITC Avant Garde" w:hAnsi="ITC Avant Garde"/>
          <w:b/>
          <w:color w:val="000000"/>
          <w:u w:val="single"/>
        </w:rPr>
        <w:lastRenderedPageBreak/>
        <w:t>General de Bienes Nacionales, está sujeto al régimen de dominio público de la Federación</w:t>
      </w:r>
      <w:r w:rsidRPr="00F30867">
        <w:rPr>
          <w:rFonts w:ascii="ITC Avant Garde" w:hAnsi="ITC Avant Garde"/>
          <w:color w:val="000000"/>
        </w:rPr>
        <w:t xml:space="preserve">, pudiendo hacer uso de él todos los habitantes de la República Mexicana con las restricciones establecidas en las leyes y reglamentos administrativos aplicables, </w:t>
      </w:r>
      <w:r w:rsidRPr="00F30867">
        <w:rPr>
          <w:rFonts w:ascii="ITC Avant Garde" w:hAnsi="ITC Avant Garde"/>
          <w:b/>
          <w:color w:val="000000"/>
          <w:u w:val="single"/>
        </w:rPr>
        <w:t>pero para su aprovechamiento especial se requiere concesión, autorización o permiso otorgados conforme a las condiciones y requisitos legalmente establecidos,</w:t>
      </w:r>
      <w:r w:rsidRPr="00F30867">
        <w:rPr>
          <w:rFonts w:ascii="ITC Avant Garde" w:hAnsi="ITC Avant Garde"/>
          <w:color w:val="000000"/>
        </w:rPr>
        <w:t xml:space="preserve"> los que no crean derechos reales, pues sólo otorgan frente a la administración y sin perjuicio de terceros, el derecho al uso, aprovechamiento o explotación conforme a las leyes y al título correspondiente.</w:t>
      </w:r>
    </w:p>
    <w:p w:rsidR="00912D49" w:rsidRPr="00F30867" w:rsidRDefault="00912D49" w:rsidP="00B34C88">
      <w:pPr>
        <w:pStyle w:val="Textoindependiente"/>
        <w:tabs>
          <w:tab w:val="left" w:pos="993"/>
        </w:tabs>
        <w:spacing w:before="240" w:after="0" w:line="240" w:lineRule="auto"/>
        <w:ind w:left="567" w:right="567"/>
        <w:jc w:val="both"/>
        <w:rPr>
          <w:rFonts w:ascii="ITC Avant Garde" w:hAnsi="ITC Avant Garde"/>
          <w:color w:val="000000"/>
          <w:sz w:val="18"/>
        </w:rPr>
      </w:pPr>
      <w:r w:rsidRPr="00F30867">
        <w:rPr>
          <w:rFonts w:ascii="ITC Avant Garde" w:hAnsi="ITC Avant Garde"/>
          <w:color w:val="000000"/>
          <w:sz w:val="18"/>
        </w:rPr>
        <w:t>Época: Novena Época, Registro: 170757, Instancia: Pleno, Tipo de Tesis: Jurisprudencia, Fuente: Semanario Judicial de la Federación y su Gaceta, Tomo XXVI, Diciembre de 2007, Materia(s): Constitucional, Administrativa, Tesis: P</w:t>
      </w:r>
      <w:proofErr w:type="gramStart"/>
      <w:r w:rsidRPr="00F30867">
        <w:rPr>
          <w:rFonts w:ascii="ITC Avant Garde" w:hAnsi="ITC Avant Garde"/>
          <w:color w:val="000000"/>
          <w:sz w:val="18"/>
        </w:rPr>
        <w:t>./</w:t>
      </w:r>
      <w:proofErr w:type="gramEnd"/>
      <w:r w:rsidRPr="00F30867">
        <w:rPr>
          <w:rFonts w:ascii="ITC Avant Garde" w:hAnsi="ITC Avant Garde"/>
          <w:color w:val="000000"/>
          <w:sz w:val="18"/>
        </w:rPr>
        <w:t>J. 65/2007, Página: 987”</w:t>
      </w:r>
    </w:p>
    <w:p w:rsidR="00912D49" w:rsidRPr="00F30867" w:rsidRDefault="00912D49" w:rsidP="00B34C88">
      <w:pPr>
        <w:pStyle w:val="Textoindependiente"/>
        <w:tabs>
          <w:tab w:val="left" w:pos="993"/>
        </w:tabs>
        <w:spacing w:before="240" w:after="0" w:line="240" w:lineRule="auto"/>
        <w:ind w:left="567" w:right="567"/>
        <w:jc w:val="both"/>
        <w:rPr>
          <w:rFonts w:ascii="ITC Avant Garde" w:hAnsi="ITC Avant Garde"/>
          <w:b/>
          <w:color w:val="000000"/>
          <w:u w:val="single"/>
        </w:rPr>
      </w:pPr>
      <w:r w:rsidRPr="00F30867">
        <w:rPr>
          <w:rFonts w:ascii="ITC Avant Garde" w:hAnsi="ITC Avant Garde"/>
          <w:color w:val="000000"/>
        </w:rPr>
        <w:t>“</w:t>
      </w:r>
      <w:r w:rsidRPr="00F30867">
        <w:rPr>
          <w:rFonts w:ascii="ITC Avant Garde" w:hAnsi="ITC Avant Garde"/>
          <w:b/>
          <w:color w:val="000000"/>
        </w:rPr>
        <w:t xml:space="preserve">ESPECTRO RADIOELÉCTRICO. SU CONCEPTO Y DISTINCIÓN CON RESPECTO AL ESPECTRO ELECTROMAGNÉTICO. </w:t>
      </w:r>
      <w:r w:rsidRPr="00F30867">
        <w:rPr>
          <w:rFonts w:ascii="ITC Avant Garde" w:hAnsi="ITC Avant Garde"/>
          <w:color w:val="000000"/>
        </w:rPr>
        <w:t xml:space="preserve">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F30867">
        <w:rPr>
          <w:rFonts w:ascii="ITC Avant Garde" w:hAnsi="ITC Avant Garde"/>
          <w:color w:val="000000"/>
        </w:rPr>
        <w:t>gigahertz</w:t>
      </w:r>
      <w:proofErr w:type="spellEnd"/>
      <w:r w:rsidRPr="00F30867">
        <w:rPr>
          <w:rFonts w:ascii="ITC Avant Garde" w:hAnsi="ITC Avant Garde"/>
          <w:color w:val="00000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w:t>
      </w:r>
      <w:r w:rsidRPr="00F30867">
        <w:rPr>
          <w:rFonts w:ascii="ITC Avant Garde" w:hAnsi="ITC Avant Garde"/>
          <w:b/>
          <w:color w:val="000000"/>
          <w:u w:val="single"/>
        </w:rPr>
        <w:t xml:space="preserve">el espectro radioeléctrico es un recurso natural limitado y las frecuencias que lo componen son las que están en el rango entre los tres </w:t>
      </w:r>
      <w:proofErr w:type="spellStart"/>
      <w:r w:rsidRPr="00F30867">
        <w:rPr>
          <w:rFonts w:ascii="ITC Avant Garde" w:hAnsi="ITC Avant Garde"/>
          <w:b/>
          <w:color w:val="000000"/>
          <w:u w:val="single"/>
        </w:rPr>
        <w:t>hertz</w:t>
      </w:r>
      <w:proofErr w:type="spellEnd"/>
      <w:r w:rsidRPr="00F30867">
        <w:rPr>
          <w:rFonts w:ascii="ITC Avant Garde" w:hAnsi="ITC Avant Garde"/>
          <w:b/>
          <w:color w:val="000000"/>
          <w:u w:val="single"/>
        </w:rPr>
        <w:t xml:space="preserve"> y los tres mil </w:t>
      </w:r>
      <w:proofErr w:type="spellStart"/>
      <w:r w:rsidRPr="00F30867">
        <w:rPr>
          <w:rFonts w:ascii="ITC Avant Garde" w:hAnsi="ITC Avant Garde"/>
          <w:b/>
          <w:color w:val="000000"/>
          <w:u w:val="single"/>
        </w:rPr>
        <w:t>gigahertz</w:t>
      </w:r>
      <w:proofErr w:type="spellEnd"/>
      <w:r w:rsidRPr="00F30867">
        <w:rPr>
          <w:rFonts w:ascii="ITC Avant Garde" w:hAnsi="ITC Avant Garde"/>
          <w:b/>
          <w:color w:val="000000"/>
          <w:u w:val="single"/>
        </w:rPr>
        <w:t xml:space="preserve"> y, en esa virtud, su explotación se realiza aprovechándolas directamente o concediendo el aprovechamiento mediante la asignación a través de concesiones. </w:t>
      </w:r>
    </w:p>
    <w:p w:rsidR="00912D49" w:rsidRPr="00F30867" w:rsidRDefault="00912D49" w:rsidP="00B34C88">
      <w:pPr>
        <w:pStyle w:val="Textoindependiente"/>
        <w:tabs>
          <w:tab w:val="left" w:pos="993"/>
        </w:tabs>
        <w:spacing w:before="240" w:after="0" w:line="240" w:lineRule="auto"/>
        <w:ind w:left="567" w:right="567"/>
        <w:jc w:val="both"/>
        <w:rPr>
          <w:rFonts w:ascii="ITC Avant Garde" w:eastAsia="Times New Roman" w:hAnsi="ITC Avant Garde"/>
          <w:i/>
          <w:sz w:val="18"/>
          <w:lang w:eastAsia="es-ES"/>
        </w:rPr>
      </w:pPr>
      <w:r w:rsidRPr="00F30867">
        <w:rPr>
          <w:rFonts w:ascii="ITC Avant Garde" w:eastAsia="Times New Roman" w:hAnsi="ITC Avant Garde"/>
          <w:bCs/>
          <w:color w:val="000000"/>
          <w:sz w:val="18"/>
          <w:lang w:eastAsia="es-MX"/>
        </w:rPr>
        <w:t xml:space="preserve">Época: Décima Época, Registro: 2005184, Instancia: Tribunales Colegiados de Circuito, Tipo de Tesis: Aislada, Fuente: Gaceta del Semanario Judicial de la Federación, Libro 1, Diciembre de 2013, Tomo II, Materia(s): Administrativa, Tesis: I.4o.A.72 A (10a.), Página: 1129” </w:t>
      </w:r>
    </w:p>
    <w:p w:rsidR="00AA0BF6" w:rsidRPr="00787FA1" w:rsidRDefault="000F48CD" w:rsidP="00B34C88">
      <w:pPr>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En ese sentido se concluye que el </w:t>
      </w:r>
      <w:r w:rsidR="00203C22" w:rsidRPr="00787FA1">
        <w:rPr>
          <w:rFonts w:ascii="ITC Avant Garde" w:eastAsia="Times New Roman" w:hAnsi="ITC Avant Garde"/>
          <w:b/>
          <w:bCs/>
          <w:color w:val="000000"/>
          <w:lang w:eastAsia="es-MX"/>
        </w:rPr>
        <w:t>“</w:t>
      </w:r>
      <w:r w:rsidR="00A0589B" w:rsidRPr="00787FA1">
        <w:rPr>
          <w:rFonts w:ascii="ITC Avant Garde" w:hAnsi="ITC Avant Garde" w:cs="Tahoma"/>
          <w:b/>
        </w:rPr>
        <w:t xml:space="preserve">PRESUNTO </w:t>
      </w:r>
      <w:r w:rsidR="00581601">
        <w:rPr>
          <w:rFonts w:ascii="ITC Avant Garde" w:hAnsi="ITC Avant Garde"/>
          <w:b/>
        </w:rPr>
        <w:t>RESPONSABLE</w:t>
      </w:r>
      <w:r w:rsidR="00203C22" w:rsidRPr="00787FA1">
        <w:rPr>
          <w:rFonts w:ascii="ITC Avant Garde" w:hAnsi="ITC Avant Garde" w:cs="Tahoma"/>
          <w:b/>
        </w:rPr>
        <w:t>”</w:t>
      </w:r>
      <w:r w:rsidR="00A0589B" w:rsidRPr="00787FA1">
        <w:rPr>
          <w:rFonts w:ascii="ITC Avant Garde" w:eastAsia="Times New Roman" w:hAnsi="ITC Avant Garde"/>
          <w:bCs/>
          <w:color w:val="000000"/>
          <w:lang w:eastAsia="es-MX"/>
        </w:rPr>
        <w:t xml:space="preserve"> </w:t>
      </w:r>
      <w:r w:rsidRPr="00787FA1">
        <w:rPr>
          <w:rFonts w:ascii="ITC Avant Garde" w:hAnsi="ITC Avant Garde"/>
        </w:rPr>
        <w:t>se encontraba prestando servicios de radiodifusión a través del uso de</w:t>
      </w:r>
      <w:r w:rsidRPr="00787FA1">
        <w:rPr>
          <w:rFonts w:ascii="ITC Avant Garde" w:eastAsia="Times New Roman" w:hAnsi="ITC Avant Garde"/>
          <w:bCs/>
          <w:color w:val="000000"/>
          <w:lang w:eastAsia="es-MX"/>
        </w:rPr>
        <w:t>l espectro radioeléctrico</w:t>
      </w:r>
      <w:r w:rsidRPr="00787FA1">
        <w:rPr>
          <w:rFonts w:ascii="ITC Avant Garde" w:hAnsi="ITC Avant Garde"/>
        </w:rPr>
        <w:t xml:space="preserve"> en la frecuencia </w:t>
      </w:r>
      <w:r w:rsidR="00F33CCE" w:rsidRPr="00787FA1">
        <w:rPr>
          <w:rFonts w:ascii="ITC Avant Garde" w:hAnsi="ITC Avant Garde"/>
          <w:b/>
        </w:rPr>
        <w:t>10</w:t>
      </w:r>
      <w:r w:rsidRPr="00787FA1">
        <w:rPr>
          <w:rFonts w:ascii="ITC Avant Garde" w:hAnsi="ITC Avant Garde"/>
          <w:b/>
        </w:rPr>
        <w:t>5</w:t>
      </w:r>
      <w:r w:rsidR="00EB41EA" w:rsidRPr="00787FA1">
        <w:rPr>
          <w:rFonts w:ascii="ITC Avant Garde" w:hAnsi="ITC Avant Garde"/>
          <w:b/>
        </w:rPr>
        <w:t>.3</w:t>
      </w:r>
      <w:r w:rsidRPr="00787FA1">
        <w:rPr>
          <w:rFonts w:ascii="ITC Avant Garde" w:hAnsi="ITC Avant Garde"/>
          <w:b/>
        </w:rPr>
        <w:t xml:space="preserve"> MHz</w:t>
      </w:r>
      <w:r w:rsidRPr="00787FA1">
        <w:rPr>
          <w:rFonts w:ascii="ITC Avant Garde" w:hAnsi="ITC Avant Garde"/>
          <w:b/>
          <w:bCs/>
        </w:rPr>
        <w:t xml:space="preserve">, </w:t>
      </w:r>
      <w:r w:rsidRPr="00787FA1">
        <w:rPr>
          <w:rFonts w:ascii="ITC Avant Garde" w:hAnsi="ITC Avant Garde"/>
          <w:bCs/>
        </w:rPr>
        <w:t xml:space="preserve">en </w:t>
      </w:r>
      <w:r w:rsidR="009C5F23" w:rsidRPr="00787FA1">
        <w:rPr>
          <w:rFonts w:ascii="ITC Avant Garde" w:hAnsi="ITC Avant Garde"/>
        </w:rPr>
        <w:t xml:space="preserve">Municipio de </w:t>
      </w:r>
      <w:r w:rsidR="00EB41EA" w:rsidRPr="00787FA1">
        <w:rPr>
          <w:rFonts w:ascii="ITC Avant Garde" w:hAnsi="ITC Avant Garde"/>
        </w:rPr>
        <w:t>Ecatepec, Estado de México</w:t>
      </w:r>
      <w:r w:rsidRPr="00787FA1">
        <w:rPr>
          <w:rFonts w:ascii="ITC Avant Garde" w:hAnsi="ITC Avant Garde"/>
          <w:bCs/>
        </w:rPr>
        <w:t xml:space="preserve">, </w:t>
      </w:r>
      <w:r w:rsidR="00AA0BF6" w:rsidRPr="00787FA1">
        <w:rPr>
          <w:rFonts w:ascii="ITC Avant Garde" w:eastAsia="Times New Roman" w:hAnsi="ITC Avant Garde"/>
          <w:bCs/>
          <w:color w:val="000000"/>
          <w:lang w:eastAsia="es-MX"/>
        </w:rPr>
        <w:t>sin contar con la concesión,</w:t>
      </w:r>
      <w:r w:rsidR="00AA0BF6" w:rsidRPr="00787FA1">
        <w:rPr>
          <w:rFonts w:ascii="ITC Avant Garde" w:hAnsi="ITC Avant Garde"/>
        </w:rPr>
        <w:t xml:space="preserve"> permiso o autorización respectiva, por lo que en tal sentido es responsable de la violación al artículo 66 </w:t>
      </w:r>
      <w:r w:rsidR="00AA0BF6" w:rsidRPr="00787FA1">
        <w:rPr>
          <w:rFonts w:ascii="ITC Avant Garde" w:hAnsi="ITC Avant Garde"/>
          <w:bCs/>
        </w:rPr>
        <w:t>en relación con el 75,</w:t>
      </w:r>
      <w:r w:rsidR="00AA0BF6" w:rsidRPr="00787FA1">
        <w:rPr>
          <w:rFonts w:ascii="ITC Avant Garde" w:hAnsi="ITC Avant Garde"/>
        </w:rPr>
        <w:t xml:space="preserve"> y lo procedente es imponer una multa en términos del artículo 298, inciso E), fracción I, ambos de la </w:t>
      </w:r>
      <w:r w:rsidR="00EB41EA" w:rsidRPr="00787FA1">
        <w:rPr>
          <w:rFonts w:ascii="ITC Avant Garde" w:hAnsi="ITC Avant Garde"/>
          <w:b/>
        </w:rPr>
        <w:lastRenderedPageBreak/>
        <w:t>“</w:t>
      </w:r>
      <w:proofErr w:type="spellStart"/>
      <w:r w:rsidR="00AA0BF6" w:rsidRPr="00787FA1">
        <w:rPr>
          <w:rFonts w:ascii="ITC Avant Garde" w:hAnsi="ITC Avant Garde"/>
          <w:b/>
        </w:rPr>
        <w:t>LFTyR</w:t>
      </w:r>
      <w:proofErr w:type="spellEnd"/>
      <w:r w:rsidR="00EB41EA" w:rsidRPr="00787FA1">
        <w:rPr>
          <w:rFonts w:ascii="ITC Avant Garde" w:hAnsi="ITC Avant Garde"/>
          <w:b/>
        </w:rPr>
        <w:t>”</w:t>
      </w:r>
      <w:r w:rsidR="00AA0BF6" w:rsidRPr="00787FA1">
        <w:rPr>
          <w:rFonts w:ascii="ITC Avant Garde" w:hAnsi="ITC Avant Garde"/>
        </w:rPr>
        <w:t>. De igual forma con dicha conducta se actualiza la hipótesis normativa prevista en el artículo 305 del mismo ordenamiento y en consecuencia procede declarar la pérdida a favor de la Nación de los bienes y equipos empleados en la comisión de dicha infracción</w:t>
      </w:r>
      <w:r w:rsidR="00AA0BF6" w:rsidRPr="00787FA1">
        <w:rPr>
          <w:rFonts w:ascii="ITC Avant Garde" w:eastAsia="Times New Roman" w:hAnsi="ITC Avant Garde"/>
          <w:bCs/>
          <w:color w:val="000000"/>
          <w:lang w:eastAsia="es-MX"/>
        </w:rPr>
        <w:t>.</w:t>
      </w:r>
    </w:p>
    <w:p w:rsidR="005B530C" w:rsidRPr="00787FA1" w:rsidRDefault="0038244E" w:rsidP="00B34C88">
      <w:pPr>
        <w:pStyle w:val="Textoindependiente"/>
        <w:tabs>
          <w:tab w:val="left" w:pos="993"/>
        </w:tabs>
        <w:spacing w:before="240" w:after="0" w:line="360" w:lineRule="auto"/>
        <w:jc w:val="both"/>
        <w:rPr>
          <w:rFonts w:ascii="ITC Avant Garde" w:eastAsia="Times New Roman" w:hAnsi="ITC Avant Garde"/>
          <w:b/>
          <w:bCs/>
          <w:lang w:eastAsia="es-MX"/>
        </w:rPr>
      </w:pPr>
      <w:r w:rsidRPr="00787FA1">
        <w:rPr>
          <w:rFonts w:ascii="ITC Avant Garde" w:eastAsia="Times New Roman" w:hAnsi="ITC Avant Garde"/>
          <w:b/>
          <w:bCs/>
          <w:lang w:eastAsia="es-MX"/>
        </w:rPr>
        <w:t>SEXTO</w:t>
      </w:r>
      <w:r w:rsidR="00D25D5C" w:rsidRPr="00787FA1">
        <w:rPr>
          <w:rFonts w:ascii="ITC Avant Garde" w:eastAsia="Times New Roman" w:hAnsi="ITC Avant Garde"/>
          <w:b/>
          <w:bCs/>
          <w:lang w:eastAsia="es-MX"/>
        </w:rPr>
        <w:t xml:space="preserve">. </w:t>
      </w:r>
      <w:r w:rsidR="00FA2DDE" w:rsidRPr="00787FA1">
        <w:rPr>
          <w:rFonts w:ascii="ITC Avant Garde" w:eastAsia="Times New Roman" w:hAnsi="ITC Avant Garde"/>
          <w:b/>
          <w:bCs/>
          <w:smallCaps/>
          <w:lang w:eastAsia="es-MX"/>
        </w:rPr>
        <w:t>Determinación y cuantificaci</w:t>
      </w:r>
      <w:r w:rsidR="005B530C" w:rsidRPr="00787FA1">
        <w:rPr>
          <w:rFonts w:ascii="ITC Avant Garde" w:eastAsia="Times New Roman" w:hAnsi="ITC Avant Garde"/>
          <w:b/>
          <w:bCs/>
          <w:smallCaps/>
          <w:lang w:eastAsia="es-MX"/>
        </w:rPr>
        <w:t xml:space="preserve">ón de la Sanción. </w:t>
      </w:r>
    </w:p>
    <w:p w:rsidR="00AA0BF6" w:rsidRPr="00787FA1" w:rsidRDefault="00AA0BF6" w:rsidP="00B34C88">
      <w:pPr>
        <w:pStyle w:val="Textoindependiente"/>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El incumplir con el artículo 66 </w:t>
      </w:r>
      <w:r w:rsidRPr="00787FA1">
        <w:rPr>
          <w:rFonts w:ascii="ITC Avant Garde" w:hAnsi="ITC Avant Garde"/>
          <w:bCs/>
        </w:rPr>
        <w:t>en relación con el 75,</w:t>
      </w:r>
      <w:r w:rsidRPr="00787FA1">
        <w:rPr>
          <w:rFonts w:ascii="ITC Avant Garde" w:eastAsia="Times New Roman" w:hAnsi="ITC Avant Garde"/>
          <w:bCs/>
          <w:color w:val="000000"/>
          <w:lang w:eastAsia="es-MX"/>
        </w:rPr>
        <w:t xml:space="preserve"> de la </w:t>
      </w:r>
      <w:r w:rsidR="00EB41EA"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EB41EA"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resulta sancionable en términos de lo previsto en el artículo 298, apartado E), fracción I de la citada Ley, que a la letra señala:</w:t>
      </w:r>
    </w:p>
    <w:p w:rsidR="00AA0BF6" w:rsidRPr="00787FA1" w:rsidRDefault="00AA0BF6" w:rsidP="00B34C88">
      <w:pPr>
        <w:pStyle w:val="Textoindependiente"/>
        <w:tabs>
          <w:tab w:val="left" w:pos="851"/>
        </w:tabs>
        <w:spacing w:before="240" w:after="0" w:line="240" w:lineRule="auto"/>
        <w:ind w:left="567" w:right="567"/>
        <w:jc w:val="both"/>
        <w:rPr>
          <w:rFonts w:ascii="ITC Avant Garde" w:hAnsi="ITC Avant Garde"/>
          <w:i/>
          <w:color w:val="000000"/>
        </w:rPr>
      </w:pPr>
      <w:r w:rsidRPr="00787FA1">
        <w:rPr>
          <w:rFonts w:ascii="ITC Avant Garde" w:hAnsi="ITC Avant Garde"/>
          <w:i/>
          <w:color w:val="000000"/>
        </w:rPr>
        <w:t>“Artículo 298. Las infracciones a lo dispuesto en esta Ley y a las disposiciones que deriven de ella, se sancionarán por el Instituto de conformidad con lo siguiente:…</w:t>
      </w:r>
    </w:p>
    <w:p w:rsidR="00AA0BF6" w:rsidRPr="00787FA1" w:rsidRDefault="00AA0BF6" w:rsidP="00B34C88">
      <w:pPr>
        <w:pStyle w:val="Textoindependiente"/>
        <w:tabs>
          <w:tab w:val="left" w:pos="851"/>
        </w:tabs>
        <w:spacing w:before="240" w:after="0" w:line="240" w:lineRule="auto"/>
        <w:ind w:left="567" w:right="567"/>
        <w:jc w:val="both"/>
        <w:rPr>
          <w:rFonts w:ascii="ITC Avant Garde" w:hAnsi="ITC Avant Garde"/>
          <w:i/>
          <w:color w:val="000000"/>
        </w:rPr>
      </w:pPr>
      <w:r w:rsidRPr="00787FA1">
        <w:rPr>
          <w:rFonts w:ascii="ITC Avant Garde" w:hAnsi="ITC Avant Garde"/>
          <w:i/>
          <w:color w:val="000000"/>
        </w:rPr>
        <w:t>E) Con multa por el equivalente de 6.01% hasta 10% de los ingresos de la persona infractora que:</w:t>
      </w:r>
    </w:p>
    <w:p w:rsidR="00AA0BF6" w:rsidRPr="00787FA1" w:rsidRDefault="00AA0BF6" w:rsidP="00B34C88">
      <w:pPr>
        <w:pStyle w:val="Textoindependiente"/>
        <w:tabs>
          <w:tab w:val="left" w:pos="851"/>
        </w:tabs>
        <w:spacing w:before="240" w:after="0" w:line="240" w:lineRule="auto"/>
        <w:ind w:left="567" w:right="567"/>
        <w:jc w:val="both"/>
        <w:rPr>
          <w:rFonts w:ascii="ITC Avant Garde" w:hAnsi="ITC Avant Garde"/>
          <w:i/>
          <w:color w:val="000000"/>
        </w:rPr>
      </w:pPr>
      <w:r w:rsidRPr="00787FA1">
        <w:rPr>
          <w:rFonts w:ascii="ITC Avant Garde" w:hAnsi="ITC Avant Garde"/>
          <w:i/>
          <w:color w:val="000000"/>
        </w:rPr>
        <w:t>I. Preste servicios de telecomunicaciones o radiodifusión sin contar con concesión o autorización…”</w:t>
      </w:r>
    </w:p>
    <w:p w:rsidR="00AA0BF6" w:rsidRPr="00787FA1" w:rsidRDefault="00AA0BF6" w:rsidP="00B34C88">
      <w:pPr>
        <w:pStyle w:val="Textoindependiente"/>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Ahora bien, para estar en condiciones de establecer la multa respectiva en términos de lo dispuesto por el artículo antes transcrito, resulta importante hacer notar que a pesar de los esfuerzos realizados, ésta autoridad </w:t>
      </w:r>
      <w:proofErr w:type="spellStart"/>
      <w:r w:rsidRPr="00787FA1">
        <w:rPr>
          <w:rFonts w:ascii="ITC Avant Garde" w:eastAsia="Times New Roman" w:hAnsi="ITC Avant Garde"/>
          <w:bCs/>
          <w:color w:val="000000"/>
          <w:lang w:eastAsia="es-MX"/>
        </w:rPr>
        <w:t>resolutora</w:t>
      </w:r>
      <w:proofErr w:type="spellEnd"/>
      <w:r w:rsidRPr="00787FA1">
        <w:rPr>
          <w:rFonts w:ascii="ITC Avant Garde" w:eastAsia="Times New Roman" w:hAnsi="ITC Avant Garde"/>
          <w:bCs/>
          <w:color w:val="000000"/>
          <w:lang w:eastAsia="es-MX"/>
        </w:rPr>
        <w:t xml:space="preserve"> carece de los elementos mínimos necesarios para su cuantificación, en razón de que se desconoce la identidad de la persona infractora, y consecuentemente el monto de sus ingresos acumulables.</w:t>
      </w:r>
    </w:p>
    <w:p w:rsidR="000F48CD" w:rsidRPr="00787FA1" w:rsidRDefault="000F48CD" w:rsidP="00B34C88">
      <w:pPr>
        <w:pStyle w:val="Textoindependiente"/>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Ahora bien, toda vez que se desconoce la identidad del </w:t>
      </w:r>
      <w:r w:rsidR="00EB41EA" w:rsidRPr="00787FA1">
        <w:rPr>
          <w:rFonts w:ascii="ITC Avant Garde" w:eastAsia="Times New Roman" w:hAnsi="ITC Avant Garde"/>
          <w:b/>
          <w:bCs/>
          <w:color w:val="000000"/>
          <w:lang w:eastAsia="es-MX"/>
        </w:rPr>
        <w:t>“</w:t>
      </w:r>
      <w:r w:rsidR="00A0589B" w:rsidRPr="00787FA1">
        <w:rPr>
          <w:rFonts w:ascii="ITC Avant Garde" w:eastAsia="Times New Roman" w:hAnsi="ITC Avant Garde"/>
          <w:b/>
          <w:bCs/>
          <w:color w:val="000000"/>
          <w:lang w:eastAsia="es-MX"/>
        </w:rPr>
        <w:t xml:space="preserve">PRESUNTO </w:t>
      </w:r>
      <w:r w:rsidR="00581601">
        <w:rPr>
          <w:rFonts w:ascii="ITC Avant Garde" w:hAnsi="ITC Avant Garde"/>
          <w:b/>
        </w:rPr>
        <w:t>RESPONSABLE</w:t>
      </w:r>
      <w:r w:rsidR="00EB41EA" w:rsidRPr="00787FA1">
        <w:rPr>
          <w:rFonts w:ascii="ITC Avant Garde" w:eastAsia="Times New Roman" w:hAnsi="ITC Avant Garde"/>
          <w:b/>
          <w:bCs/>
          <w:color w:val="000000"/>
          <w:lang w:eastAsia="es-MX"/>
        </w:rPr>
        <w:t>”</w:t>
      </w:r>
      <w:r w:rsidR="00AA0BF6" w:rsidRPr="00787FA1">
        <w:rPr>
          <w:rFonts w:ascii="ITC Avant Garde" w:eastAsia="Times New Roman" w:hAnsi="ITC Avant Garde"/>
          <w:bCs/>
          <w:color w:val="000000"/>
        </w:rPr>
        <w:t xml:space="preserve"> </w:t>
      </w:r>
      <w:r w:rsidR="00AA0BF6" w:rsidRPr="00787FA1">
        <w:rPr>
          <w:rFonts w:ascii="ITC Avant Garde" w:eastAsia="Times New Roman" w:hAnsi="ITC Avant Garde"/>
          <w:bCs/>
          <w:color w:val="000000"/>
          <w:lang w:eastAsia="es-MX"/>
        </w:rPr>
        <w:t xml:space="preserve">en virtud de que del contenido del acta de verificación número </w:t>
      </w:r>
      <w:r w:rsidR="00AA0BF6" w:rsidRPr="00787FA1">
        <w:rPr>
          <w:rFonts w:ascii="ITC Avant Garde" w:eastAsia="Times New Roman" w:hAnsi="ITC Avant Garde"/>
          <w:b/>
          <w:bCs/>
          <w:color w:val="000000"/>
          <w:lang w:eastAsia="es-MX"/>
        </w:rPr>
        <w:t>IFT/DF/DGV/</w:t>
      </w:r>
      <w:r w:rsidR="00EB41EA" w:rsidRPr="00787FA1">
        <w:rPr>
          <w:rFonts w:ascii="ITC Avant Garde" w:eastAsia="Times New Roman" w:hAnsi="ITC Avant Garde"/>
          <w:b/>
          <w:bCs/>
          <w:color w:val="000000"/>
          <w:lang w:eastAsia="es-MX"/>
        </w:rPr>
        <w:t>1095</w:t>
      </w:r>
      <w:r w:rsidR="00AA0BF6" w:rsidRPr="00787FA1">
        <w:rPr>
          <w:rFonts w:ascii="ITC Avant Garde" w:eastAsia="Times New Roman" w:hAnsi="ITC Avant Garde"/>
          <w:b/>
          <w:bCs/>
          <w:color w:val="000000"/>
          <w:lang w:eastAsia="es-MX"/>
        </w:rPr>
        <w:t>/2015</w:t>
      </w:r>
      <w:r w:rsidR="00AA0BF6" w:rsidRPr="00787FA1">
        <w:rPr>
          <w:rFonts w:ascii="ITC Avant Garde" w:eastAsia="Times New Roman" w:hAnsi="ITC Avant Garde"/>
          <w:bCs/>
          <w:color w:val="000000"/>
          <w:lang w:eastAsia="es-MX"/>
        </w:rPr>
        <w:t xml:space="preserve">, se desprende que la persona que atendió la visita no proporcionó dato alguno que permita su identificación, ya que únicamente dijo llamarse </w:t>
      </w:r>
      <w:r w:rsidR="00415768" w:rsidRPr="00415768">
        <w:rPr>
          <w:rFonts w:ascii="ITC Avant Garde" w:eastAsia="Times New Roman" w:hAnsi="ITC Avant Garde"/>
          <w:b/>
          <w:bCs/>
          <w:color w:val="0000CC"/>
          <w:lang w:eastAsia="es-MX"/>
        </w:rPr>
        <w:t>RESERVADO POR LEY</w:t>
      </w:r>
      <w:r w:rsidR="00EB41EA" w:rsidRPr="00787FA1">
        <w:rPr>
          <w:rFonts w:ascii="ITC Avant Garde" w:eastAsia="Times New Roman" w:hAnsi="ITC Avant Garde"/>
          <w:bCs/>
          <w:color w:val="000000"/>
          <w:lang w:eastAsia="es-MX"/>
        </w:rPr>
        <w:t>, quien no exhibió identificación alguna y señaló bajo protesta de decir verdad “</w:t>
      </w:r>
      <w:r w:rsidR="00EB41EA" w:rsidRPr="00787FA1">
        <w:rPr>
          <w:rFonts w:ascii="ITC Avant Garde" w:eastAsia="Times New Roman" w:hAnsi="ITC Avant Garde"/>
          <w:bCs/>
          <w:i/>
          <w:color w:val="000000"/>
          <w:lang w:eastAsia="es-MX"/>
        </w:rPr>
        <w:t>que es encargado de la casa</w:t>
      </w:r>
      <w:r w:rsidR="00EB41EA" w:rsidRPr="00787FA1">
        <w:rPr>
          <w:rFonts w:ascii="ITC Avant Garde" w:eastAsia="Times New Roman" w:hAnsi="ITC Avant Garde"/>
          <w:bCs/>
          <w:color w:val="000000"/>
          <w:lang w:eastAsia="es-MX"/>
        </w:rPr>
        <w:t xml:space="preserve">” y que </w:t>
      </w:r>
      <w:r w:rsidR="00EB41EA" w:rsidRPr="00787FA1">
        <w:rPr>
          <w:rFonts w:ascii="ITC Avant Garde" w:eastAsia="Times New Roman" w:hAnsi="ITC Avant Garde"/>
          <w:bCs/>
          <w:i/>
          <w:color w:val="000000"/>
          <w:lang w:eastAsia="es-MX"/>
        </w:rPr>
        <w:t xml:space="preserve">“no tiene ninguna </w:t>
      </w:r>
      <w:r w:rsidR="00EB41EA" w:rsidRPr="00787FA1">
        <w:rPr>
          <w:rFonts w:ascii="ITC Avant Garde" w:eastAsia="Times New Roman" w:hAnsi="ITC Avant Garde"/>
          <w:bCs/>
          <w:i/>
          <w:color w:val="000000"/>
          <w:lang w:eastAsia="es-MX"/>
        </w:rPr>
        <w:lastRenderedPageBreak/>
        <w:t>identificación”</w:t>
      </w:r>
      <w:r w:rsidR="00AA0BF6" w:rsidRPr="00787FA1">
        <w:rPr>
          <w:rFonts w:ascii="ITC Avant Garde" w:eastAsia="Times New Roman" w:hAnsi="ITC Avant Garde"/>
          <w:bCs/>
          <w:color w:val="000000"/>
          <w:lang w:eastAsia="es-MX"/>
        </w:rPr>
        <w:t xml:space="preserve">, limitándose a señalar que </w:t>
      </w:r>
      <w:r w:rsidR="00EB41EA" w:rsidRPr="00787FA1">
        <w:rPr>
          <w:rFonts w:ascii="ITC Avant Garde" w:hAnsi="ITC Avant Garde" w:cs="Tahoma"/>
        </w:rPr>
        <w:t xml:space="preserve">el propietario o poseedor de la estación de radiodifusión que transmite desde ese inmueble es su </w:t>
      </w:r>
      <w:r w:rsidR="00EB41EA" w:rsidRPr="00787FA1">
        <w:rPr>
          <w:rFonts w:ascii="ITC Avant Garde" w:hAnsi="ITC Avant Garde" w:cs="Tahoma"/>
          <w:i/>
        </w:rPr>
        <w:t>“cuñado”</w:t>
      </w:r>
      <w:r w:rsidR="00CF69F0" w:rsidRPr="00787FA1">
        <w:rPr>
          <w:rFonts w:ascii="ITC Avant Garde" w:eastAsia="Times New Roman" w:hAnsi="ITC Avant Garde"/>
          <w:bCs/>
          <w:color w:val="000000"/>
          <w:lang w:eastAsia="es-MX"/>
        </w:rPr>
        <w:t>.</w:t>
      </w:r>
    </w:p>
    <w:p w:rsidR="00CF69F0" w:rsidRPr="00787FA1" w:rsidRDefault="00CF69F0" w:rsidP="00B34C88">
      <w:pPr>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De lo anterior se advierte que no es posible identificar al </w:t>
      </w:r>
      <w:r w:rsidR="006673AA">
        <w:rPr>
          <w:rFonts w:ascii="ITC Avant Garde" w:eastAsia="Times New Roman" w:hAnsi="ITC Avant Garde"/>
          <w:bCs/>
          <w:color w:val="000000"/>
          <w:lang w:eastAsia="es-MX"/>
        </w:rPr>
        <w:t>responsable de la operación</w:t>
      </w:r>
      <w:r w:rsidRPr="00787FA1">
        <w:rPr>
          <w:rFonts w:ascii="ITC Avant Garde" w:eastAsia="Times New Roman" w:hAnsi="ITC Avant Garde"/>
          <w:bCs/>
          <w:color w:val="000000"/>
          <w:lang w:eastAsia="es-MX"/>
        </w:rPr>
        <w:t xml:space="preserve"> los equipos de radiodifusión relacionados con el acta de mérito y consecuentemente los ingresos del mismo, es decir no se cuenta con los elementos suficientes para individualizar la sanción prevista en el citado dispositivo  legal, y en consecuencia esta autoridad </w:t>
      </w:r>
      <w:proofErr w:type="spellStart"/>
      <w:r w:rsidRPr="00787FA1">
        <w:rPr>
          <w:rFonts w:ascii="ITC Avant Garde" w:eastAsia="Times New Roman" w:hAnsi="ITC Avant Garde"/>
          <w:bCs/>
          <w:color w:val="000000"/>
          <w:lang w:eastAsia="es-MX"/>
        </w:rPr>
        <w:t>resolutora</w:t>
      </w:r>
      <w:proofErr w:type="spellEnd"/>
      <w:r w:rsidRPr="00787FA1">
        <w:rPr>
          <w:rFonts w:ascii="ITC Avant Garde" w:eastAsia="Times New Roman" w:hAnsi="ITC Avant Garde"/>
          <w:bCs/>
          <w:color w:val="000000"/>
          <w:lang w:eastAsia="es-MX"/>
        </w:rPr>
        <w:t xml:space="preserve"> tendría que atender el criterio contenido de la fracción IV del artículo 299 de la </w:t>
      </w:r>
      <w:r w:rsidR="00EB41EA"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EB41EA"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e imponer en su caso, la multa correspondiente con base en salarios mínimos.</w:t>
      </w:r>
    </w:p>
    <w:p w:rsidR="000F48CD" w:rsidRPr="00787FA1" w:rsidRDefault="000F48CD" w:rsidP="00787FA1">
      <w:pPr>
        <w:spacing w:after="0" w:line="360" w:lineRule="auto"/>
        <w:jc w:val="both"/>
        <w:rPr>
          <w:rFonts w:ascii="ITC Avant Garde" w:eastAsia="Times New Roman" w:hAnsi="ITC Avant Garde"/>
          <w:bCs/>
          <w:lang w:eastAsia="es-MX"/>
        </w:rPr>
      </w:pPr>
      <w:r w:rsidRPr="00787FA1">
        <w:rPr>
          <w:rFonts w:ascii="ITC Avant Garde" w:eastAsia="Times New Roman" w:hAnsi="ITC Avant Garde"/>
          <w:bCs/>
          <w:color w:val="000000"/>
          <w:lang w:eastAsia="es-MX"/>
        </w:rPr>
        <w:t xml:space="preserve">Para determinar la sanción prevista en este último artículo, </w:t>
      </w:r>
      <w:r w:rsidRPr="00787FA1">
        <w:rPr>
          <w:rFonts w:ascii="ITC Avant Garde" w:eastAsia="Times New Roman" w:hAnsi="ITC Avant Garde"/>
          <w:bCs/>
          <w:lang w:eastAsia="es-MX"/>
        </w:rPr>
        <w:t xml:space="preserve">esta autoridad debe atender a lo establecido en el artículo 301 de la </w:t>
      </w:r>
      <w:r w:rsidRPr="00787FA1">
        <w:rPr>
          <w:rFonts w:ascii="ITC Avant Garde" w:eastAsia="Times New Roman" w:hAnsi="ITC Avant Garde"/>
          <w:b/>
          <w:bCs/>
          <w:lang w:eastAsia="es-MX"/>
        </w:rPr>
        <w:t>LFTyR</w:t>
      </w:r>
      <w:r w:rsidRPr="00787FA1">
        <w:rPr>
          <w:rFonts w:ascii="ITC Avant Garde" w:eastAsia="Times New Roman" w:hAnsi="ITC Avant Garde"/>
          <w:bCs/>
          <w:lang w:eastAsia="es-MX"/>
        </w:rPr>
        <w:t xml:space="preserve">, que a la letra señala: </w:t>
      </w:r>
    </w:p>
    <w:p w:rsidR="000F48CD" w:rsidRPr="00787FA1" w:rsidRDefault="000F48CD" w:rsidP="00B34C88">
      <w:pPr>
        <w:spacing w:before="240" w:after="0" w:line="240" w:lineRule="auto"/>
        <w:ind w:left="567" w:right="900"/>
        <w:jc w:val="both"/>
        <w:rPr>
          <w:rFonts w:ascii="ITC Avant Garde" w:eastAsia="Times New Roman" w:hAnsi="ITC Avant Garde"/>
          <w:bCs/>
          <w:i/>
          <w:lang w:eastAsia="es-MX"/>
        </w:rPr>
      </w:pPr>
      <w:r w:rsidRPr="00787FA1">
        <w:rPr>
          <w:rFonts w:ascii="ITC Avant Garde" w:eastAsia="Times New Roman" w:hAnsi="ITC Avant Garde"/>
          <w:b/>
          <w:bCs/>
          <w:i/>
          <w:lang w:eastAsia="es-MX"/>
        </w:rPr>
        <w:t>Artículo 301.</w:t>
      </w:r>
      <w:r w:rsidRPr="00787FA1">
        <w:rPr>
          <w:rFonts w:ascii="ITC Avant Garde" w:eastAsia="Times New Roman" w:hAnsi="ITC Avant Garde"/>
          <w:bCs/>
          <w:i/>
          <w:lang w:eastAsia="es-MX"/>
        </w:rPr>
        <w:t xml:space="preserve"> Para determinar el monto de las multas establecidas en el presente Capítulo, el Instituto deberá considerar:</w:t>
      </w:r>
    </w:p>
    <w:p w:rsidR="000F48CD" w:rsidRPr="00787FA1" w:rsidRDefault="000F48CD" w:rsidP="00F30867">
      <w:pPr>
        <w:spacing w:after="0" w:line="240" w:lineRule="auto"/>
        <w:ind w:left="567" w:right="900"/>
        <w:jc w:val="both"/>
        <w:rPr>
          <w:rFonts w:ascii="ITC Avant Garde" w:eastAsia="Times New Roman" w:hAnsi="ITC Avant Garde"/>
          <w:bCs/>
          <w:i/>
          <w:lang w:eastAsia="es-MX"/>
        </w:rPr>
      </w:pPr>
      <w:r w:rsidRPr="00787FA1">
        <w:rPr>
          <w:rFonts w:ascii="ITC Avant Garde" w:eastAsia="Times New Roman" w:hAnsi="ITC Avant Garde"/>
          <w:bCs/>
          <w:i/>
          <w:lang w:eastAsia="es-MX"/>
        </w:rPr>
        <w:t>I. La gravedad de la infracción;</w:t>
      </w:r>
    </w:p>
    <w:p w:rsidR="000F48CD" w:rsidRPr="00787FA1" w:rsidRDefault="000F48CD" w:rsidP="00F30867">
      <w:pPr>
        <w:spacing w:after="0" w:line="240" w:lineRule="auto"/>
        <w:ind w:left="567" w:right="900"/>
        <w:jc w:val="both"/>
        <w:rPr>
          <w:rFonts w:ascii="ITC Avant Garde" w:eastAsia="Times New Roman" w:hAnsi="ITC Avant Garde"/>
          <w:bCs/>
          <w:i/>
          <w:lang w:eastAsia="es-MX"/>
        </w:rPr>
      </w:pPr>
      <w:r w:rsidRPr="00787FA1">
        <w:rPr>
          <w:rFonts w:ascii="ITC Avant Garde" w:eastAsia="Times New Roman" w:hAnsi="ITC Avant Garde"/>
          <w:bCs/>
          <w:i/>
          <w:lang w:eastAsia="es-MX"/>
        </w:rPr>
        <w:t>II. La capacidad económica del infractor;</w:t>
      </w:r>
    </w:p>
    <w:p w:rsidR="000F48CD" w:rsidRPr="00787FA1" w:rsidRDefault="000F48CD" w:rsidP="00F30867">
      <w:pPr>
        <w:spacing w:after="0" w:line="240" w:lineRule="auto"/>
        <w:ind w:left="567" w:right="900"/>
        <w:jc w:val="both"/>
        <w:rPr>
          <w:rFonts w:ascii="ITC Avant Garde" w:eastAsia="Times New Roman" w:hAnsi="ITC Avant Garde"/>
          <w:bCs/>
          <w:i/>
          <w:lang w:eastAsia="es-MX"/>
        </w:rPr>
      </w:pPr>
      <w:r w:rsidRPr="00787FA1">
        <w:rPr>
          <w:rFonts w:ascii="ITC Avant Garde" w:eastAsia="Times New Roman" w:hAnsi="ITC Avant Garde"/>
          <w:bCs/>
          <w:i/>
          <w:lang w:eastAsia="es-MX"/>
        </w:rPr>
        <w:t>III. La reincidencia, y</w:t>
      </w:r>
    </w:p>
    <w:p w:rsidR="000F48CD" w:rsidRPr="00787FA1" w:rsidRDefault="000F48CD" w:rsidP="00F30867">
      <w:pPr>
        <w:spacing w:after="0" w:line="240" w:lineRule="auto"/>
        <w:ind w:left="567" w:right="333"/>
        <w:jc w:val="both"/>
        <w:rPr>
          <w:rFonts w:ascii="ITC Avant Garde" w:eastAsia="Times New Roman" w:hAnsi="ITC Avant Garde"/>
          <w:bCs/>
          <w:lang w:eastAsia="es-MX"/>
        </w:rPr>
      </w:pPr>
      <w:r w:rsidRPr="00787FA1">
        <w:rPr>
          <w:rFonts w:ascii="ITC Avant Garde" w:eastAsia="Times New Roman" w:hAnsi="ITC Avant Garde"/>
          <w:bCs/>
          <w:i/>
          <w:lang w:eastAsia="es-MX"/>
        </w:rPr>
        <w:t xml:space="preserve">IV. En su caso, el cumplimiento espontáneo de las obligaciones que dieron origen al </w:t>
      </w:r>
      <w:r w:rsidRPr="00787FA1">
        <w:rPr>
          <w:rFonts w:ascii="ITC Avant Garde" w:eastAsia="Times New Roman" w:hAnsi="ITC Avant Garde"/>
          <w:bCs/>
          <w:lang w:eastAsia="es-MX"/>
        </w:rPr>
        <w:t>procedimiento sancionatorio, el cual podrá considerarse como atenuante de la sanción a</w:t>
      </w:r>
      <w:r w:rsidRPr="00787FA1">
        <w:rPr>
          <w:rFonts w:ascii="ITC Avant Garde" w:eastAsia="Times New Roman" w:hAnsi="ITC Avant Garde"/>
          <w:bCs/>
          <w:i/>
          <w:lang w:eastAsia="es-MX"/>
        </w:rPr>
        <w:t xml:space="preserve"> </w:t>
      </w:r>
      <w:r w:rsidRPr="00787FA1">
        <w:rPr>
          <w:rFonts w:ascii="ITC Avant Garde" w:eastAsia="Times New Roman" w:hAnsi="ITC Avant Garde"/>
          <w:bCs/>
          <w:lang w:eastAsia="es-MX"/>
        </w:rPr>
        <w:t>imponerse.</w:t>
      </w:r>
      <w:r w:rsidR="0094689C" w:rsidRPr="00787FA1">
        <w:rPr>
          <w:rFonts w:ascii="ITC Avant Garde" w:eastAsia="Times New Roman" w:hAnsi="ITC Avant Garde"/>
          <w:bCs/>
          <w:lang w:eastAsia="es-MX"/>
        </w:rPr>
        <w:t>”</w:t>
      </w:r>
    </w:p>
    <w:p w:rsidR="000F48CD" w:rsidRPr="00787FA1" w:rsidRDefault="000F48CD" w:rsidP="00B34C88">
      <w:pPr>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Sin embargo, en el presente caso no se cuentan con los elementos suficientes para tomar en consideración y valorar los criterios contenidos en dichas fracciones, por lo que en tal sentido tampoco resulta procedente imponer una multa con fundamento en el artículo 299, fracción IV de la </w:t>
      </w:r>
      <w:r w:rsidR="00EB41EA"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EB41EA"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w:t>
      </w:r>
    </w:p>
    <w:p w:rsidR="00EB41EA" w:rsidRPr="00787FA1" w:rsidRDefault="00EB41EA" w:rsidP="00B34C88">
      <w:pPr>
        <w:tabs>
          <w:tab w:val="left" w:pos="993"/>
        </w:tabs>
        <w:spacing w:before="240" w:after="0" w:line="360" w:lineRule="auto"/>
        <w:jc w:val="both"/>
        <w:rPr>
          <w:rFonts w:ascii="ITC Avant Garde" w:hAnsi="ITC Avant Garde"/>
        </w:rPr>
      </w:pPr>
      <w:r w:rsidRPr="00787FA1">
        <w:rPr>
          <w:rFonts w:ascii="ITC Avant Garde" w:eastAsia="Times New Roman" w:hAnsi="ITC Avant Garde"/>
          <w:bCs/>
          <w:color w:val="000000"/>
          <w:lang w:eastAsia="es-MX"/>
        </w:rPr>
        <w:t>Resulta importante señalar que mediante oficio</w:t>
      </w:r>
      <w:r w:rsidR="008F0B6F" w:rsidRPr="00787FA1">
        <w:rPr>
          <w:rFonts w:ascii="ITC Avant Garde" w:eastAsia="Times New Roman" w:hAnsi="ITC Avant Garde"/>
          <w:bCs/>
          <w:color w:val="000000"/>
          <w:lang w:eastAsia="es-MX"/>
        </w:rPr>
        <w:t>s</w:t>
      </w:r>
      <w:r w:rsidRPr="00787FA1">
        <w:rPr>
          <w:rFonts w:ascii="ITC Avant Garde" w:eastAsia="Times New Roman" w:hAnsi="ITC Avant Garde"/>
          <w:bCs/>
          <w:color w:val="000000"/>
          <w:lang w:eastAsia="es-MX"/>
        </w:rPr>
        <w:t xml:space="preserve"> </w:t>
      </w:r>
      <w:r w:rsidRPr="00F30867">
        <w:rPr>
          <w:rFonts w:ascii="ITC Avant Garde" w:eastAsia="Times New Roman" w:hAnsi="ITC Avant Garde"/>
          <w:b/>
          <w:bCs/>
          <w:color w:val="000000"/>
          <w:lang w:eastAsia="es-MX"/>
        </w:rPr>
        <w:t xml:space="preserve">IFT/225/UC/DG-VER/83/2016 </w:t>
      </w:r>
      <w:r w:rsidR="008F0B6F" w:rsidRPr="00F30867">
        <w:rPr>
          <w:rFonts w:ascii="ITC Avant Garde" w:eastAsia="Times New Roman" w:hAnsi="ITC Avant Garde"/>
          <w:b/>
          <w:bCs/>
          <w:color w:val="000000"/>
          <w:lang w:eastAsia="es-MX"/>
        </w:rPr>
        <w:t>e IFT/225/UC/DG-VER/84/2016</w:t>
      </w:r>
      <w:r w:rsidR="008F0B6F" w:rsidRPr="00787FA1">
        <w:rPr>
          <w:rFonts w:ascii="ITC Avant Garde" w:eastAsia="Times New Roman" w:hAnsi="ITC Avant Garde"/>
          <w:bCs/>
          <w:color w:val="000000"/>
          <w:lang w:eastAsia="es-MX"/>
        </w:rPr>
        <w:t xml:space="preserve"> </w:t>
      </w:r>
      <w:r w:rsidRPr="00787FA1">
        <w:rPr>
          <w:rFonts w:ascii="ITC Avant Garde" w:eastAsia="Times New Roman" w:hAnsi="ITC Avant Garde"/>
          <w:bCs/>
          <w:color w:val="000000"/>
          <w:lang w:eastAsia="es-MX"/>
        </w:rPr>
        <w:t xml:space="preserve">de once de enero de dos mil dieciséis, la </w:t>
      </w:r>
      <w:r w:rsidRPr="00787FA1">
        <w:rPr>
          <w:rFonts w:ascii="ITC Avant Garde" w:eastAsia="Times New Roman" w:hAnsi="ITC Avant Garde"/>
          <w:b/>
          <w:bCs/>
          <w:color w:val="000000"/>
          <w:lang w:eastAsia="es-MX"/>
        </w:rPr>
        <w:t>“DGV”</w:t>
      </w:r>
      <w:r w:rsidRPr="00787FA1">
        <w:rPr>
          <w:rFonts w:ascii="ITC Avant Garde" w:eastAsia="Times New Roman" w:hAnsi="ITC Avant Garde"/>
          <w:bCs/>
          <w:color w:val="000000"/>
          <w:lang w:eastAsia="es-MX"/>
        </w:rPr>
        <w:t xml:space="preserve"> solicitó al Instituto de la Función Registral del Estado de México</w:t>
      </w:r>
      <w:r w:rsidR="008F0B6F" w:rsidRPr="00787FA1">
        <w:rPr>
          <w:rFonts w:ascii="ITC Avant Garde" w:eastAsia="Times New Roman" w:hAnsi="ITC Avant Garde"/>
          <w:bCs/>
          <w:color w:val="000000"/>
          <w:lang w:eastAsia="es-MX"/>
        </w:rPr>
        <w:t xml:space="preserve"> y al Instituto de Información e Investigación Geográfica, Estadística y Catastral del Estado de México, respectivamente, el nombre de la persona física o moral propietaria y/o poseedora del inmueble ubicado en </w:t>
      </w:r>
      <w:r w:rsidR="00415768" w:rsidRPr="00415768">
        <w:rPr>
          <w:rFonts w:ascii="ITC Avant Garde" w:eastAsia="Times New Roman" w:hAnsi="ITC Avant Garde"/>
          <w:b/>
          <w:bCs/>
          <w:color w:val="0000CC"/>
          <w:lang w:eastAsia="es-MX"/>
        </w:rPr>
        <w:t>RESERVADO POR LEY</w:t>
      </w:r>
      <w:r w:rsidR="008F0B6F" w:rsidRPr="00787FA1">
        <w:rPr>
          <w:rFonts w:ascii="ITC Avant Garde" w:hAnsi="ITC Avant Garde"/>
        </w:rPr>
        <w:t>, Municipio de Ecatepec, Estado de México.</w:t>
      </w:r>
    </w:p>
    <w:p w:rsidR="008F0B6F" w:rsidRPr="00787FA1" w:rsidRDefault="008F0B6F" w:rsidP="00B34C88">
      <w:pPr>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hAnsi="ITC Avant Garde"/>
        </w:rPr>
        <w:lastRenderedPageBreak/>
        <w:t xml:space="preserve">Al respecto, mediante oficios </w:t>
      </w:r>
      <w:r w:rsidRPr="00F30867">
        <w:rPr>
          <w:rFonts w:ascii="ITC Avant Garde" w:hAnsi="ITC Avant Garde"/>
          <w:b/>
        </w:rPr>
        <w:t>227B14100/0204/2016 y 203B10200/023/2016</w:t>
      </w:r>
      <w:r w:rsidRPr="00787FA1">
        <w:rPr>
          <w:rFonts w:ascii="ITC Avant Garde" w:hAnsi="ITC Avant Garde"/>
        </w:rPr>
        <w:t xml:space="preserve"> de veintiuno y quince de enero, respectivamente, el </w:t>
      </w:r>
      <w:r w:rsidRPr="00787FA1">
        <w:rPr>
          <w:rFonts w:ascii="ITC Avant Garde" w:eastAsia="Times New Roman" w:hAnsi="ITC Avant Garde"/>
          <w:bCs/>
          <w:color w:val="000000"/>
          <w:lang w:eastAsia="es-MX"/>
        </w:rPr>
        <w:t xml:space="preserve">Instituto de la Función Registral del Estado de México y el Instituto de Información e Investigación Geográfica, Estadística y Catastral del Estado de México, informaron a la </w:t>
      </w:r>
      <w:r w:rsidRPr="00787FA1">
        <w:rPr>
          <w:rFonts w:ascii="ITC Avant Garde" w:eastAsia="Times New Roman" w:hAnsi="ITC Avant Garde"/>
          <w:b/>
          <w:bCs/>
          <w:color w:val="000000"/>
          <w:lang w:eastAsia="es-MX"/>
        </w:rPr>
        <w:t>“DGV”</w:t>
      </w:r>
      <w:r w:rsidRPr="00787FA1">
        <w:rPr>
          <w:rFonts w:ascii="ITC Avant Garde" w:eastAsia="Times New Roman" w:hAnsi="ITC Avant Garde"/>
          <w:bCs/>
          <w:color w:val="000000"/>
          <w:lang w:eastAsia="es-MX"/>
        </w:rPr>
        <w:t xml:space="preserve"> lo siguiente:</w:t>
      </w:r>
    </w:p>
    <w:p w:rsidR="008F0B6F" w:rsidRPr="00787FA1" w:rsidRDefault="008F0B6F" w:rsidP="00B34C88">
      <w:pPr>
        <w:numPr>
          <w:ilvl w:val="0"/>
          <w:numId w:val="30"/>
        </w:numPr>
        <w:tabs>
          <w:tab w:val="left" w:pos="567"/>
        </w:tabs>
        <w:spacing w:before="240" w:after="0" w:line="360" w:lineRule="auto"/>
        <w:ind w:left="567" w:hanging="283"/>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Instituto de la Función Registral del Estado de México.</w:t>
      </w:r>
    </w:p>
    <w:p w:rsidR="008F0B6F" w:rsidRPr="00787FA1" w:rsidRDefault="008F0B6F" w:rsidP="00B34C88">
      <w:pPr>
        <w:tabs>
          <w:tab w:val="left" w:pos="993"/>
        </w:tabs>
        <w:spacing w:before="240" w:after="0" w:line="240" w:lineRule="auto"/>
        <w:ind w:left="992" w:right="964"/>
        <w:jc w:val="both"/>
        <w:rPr>
          <w:rFonts w:ascii="ITC Avant Garde" w:eastAsia="Times New Roman" w:hAnsi="ITC Avant Garde"/>
          <w:bCs/>
          <w:i/>
          <w:color w:val="000000"/>
          <w:lang w:eastAsia="es-MX"/>
        </w:rPr>
      </w:pPr>
      <w:r w:rsidRPr="00787FA1">
        <w:rPr>
          <w:rFonts w:ascii="ITC Avant Garde" w:eastAsia="Times New Roman" w:hAnsi="ITC Avant Garde"/>
          <w:bCs/>
          <w:i/>
          <w:color w:val="000000"/>
          <w:lang w:eastAsia="es-MX"/>
        </w:rPr>
        <w:t>“…la información proporcionada es insuficiente para la localización del inmueble de referencia…”</w:t>
      </w:r>
    </w:p>
    <w:p w:rsidR="008F0B6F" w:rsidRPr="00787FA1" w:rsidRDefault="008F0B6F" w:rsidP="00B34C88">
      <w:pPr>
        <w:numPr>
          <w:ilvl w:val="0"/>
          <w:numId w:val="30"/>
        </w:numPr>
        <w:spacing w:before="240" w:after="0" w:line="360" w:lineRule="auto"/>
        <w:ind w:left="567" w:hanging="283"/>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Instituto de Información e Investigación Geográfica, Estadística y Catastral del Estado de México</w:t>
      </w:r>
    </w:p>
    <w:p w:rsidR="00787FA1" w:rsidRPr="00787FA1" w:rsidRDefault="00787FA1" w:rsidP="00B34C88">
      <w:pPr>
        <w:tabs>
          <w:tab w:val="left" w:pos="993"/>
        </w:tabs>
        <w:spacing w:before="240" w:after="0" w:line="240" w:lineRule="auto"/>
        <w:ind w:left="992" w:right="964"/>
        <w:jc w:val="both"/>
        <w:rPr>
          <w:rFonts w:ascii="ITC Avant Garde" w:eastAsia="Times New Roman" w:hAnsi="ITC Avant Garde"/>
          <w:bCs/>
          <w:i/>
          <w:color w:val="000000"/>
          <w:lang w:eastAsia="es-MX"/>
        </w:rPr>
      </w:pPr>
      <w:r w:rsidRPr="00787FA1">
        <w:rPr>
          <w:rFonts w:ascii="ITC Avant Garde" w:eastAsia="Times New Roman" w:hAnsi="ITC Avant Garde"/>
          <w:bCs/>
          <w:i/>
          <w:color w:val="000000"/>
          <w:lang w:eastAsia="es-MX"/>
        </w:rPr>
        <w:t>“…una vez realizada la búsqueda en sus archivos con los datos proporcionados del inmueble que nos ocupa no se localizó inscripción alguna, por lo que para estar en aptitud de realizar una nueva búsqueda más completa y estar en posibilidad de otorgar lo solicitado es necesario datos como: número de lote y manzana, posible propietario o antecedentes de registro…”</w:t>
      </w:r>
    </w:p>
    <w:p w:rsidR="00787FA1" w:rsidRPr="00787FA1" w:rsidRDefault="00787FA1" w:rsidP="00B34C88">
      <w:pPr>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Por lo que pese a los esfuerzos realizados por la </w:t>
      </w:r>
      <w:r w:rsidRPr="00787FA1">
        <w:rPr>
          <w:rFonts w:ascii="ITC Avant Garde" w:eastAsia="Times New Roman" w:hAnsi="ITC Avant Garde"/>
          <w:b/>
          <w:bCs/>
          <w:color w:val="000000"/>
          <w:lang w:eastAsia="es-MX"/>
        </w:rPr>
        <w:t>“DGV”</w:t>
      </w:r>
      <w:r w:rsidRPr="00787FA1">
        <w:rPr>
          <w:rFonts w:ascii="ITC Avant Garde" w:eastAsia="Times New Roman" w:hAnsi="ITC Avant Garde"/>
          <w:bCs/>
          <w:color w:val="000000"/>
          <w:lang w:eastAsia="es-MX"/>
        </w:rPr>
        <w:t xml:space="preserve"> fue imposible localizar al propietario y/o poseedor del inmueble ubicado en </w:t>
      </w:r>
      <w:r w:rsidR="00415768" w:rsidRPr="00415768">
        <w:rPr>
          <w:rFonts w:ascii="ITC Avant Garde" w:eastAsia="Times New Roman" w:hAnsi="ITC Avant Garde"/>
          <w:b/>
          <w:bCs/>
          <w:color w:val="0000CC"/>
          <w:lang w:eastAsia="es-MX"/>
        </w:rPr>
        <w:t>RESERVADO POR LEY</w:t>
      </w:r>
      <w:r w:rsidRPr="00787FA1">
        <w:rPr>
          <w:rFonts w:ascii="ITC Avant Garde" w:hAnsi="ITC Avant Garde"/>
        </w:rPr>
        <w:t>, Municipio de Ecatepec, Estado de México.</w:t>
      </w:r>
    </w:p>
    <w:p w:rsidR="00CF69F0" w:rsidRPr="00787FA1" w:rsidRDefault="0094689C" w:rsidP="00B34C88">
      <w:pPr>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Conforme </w:t>
      </w:r>
      <w:r w:rsidR="00AA6531" w:rsidRPr="00787FA1">
        <w:rPr>
          <w:rFonts w:ascii="ITC Avant Garde" w:eastAsia="Times New Roman" w:hAnsi="ITC Avant Garde"/>
          <w:bCs/>
          <w:color w:val="000000"/>
          <w:lang w:eastAsia="es-MX"/>
        </w:rPr>
        <w:t xml:space="preserve">a lo antes expuesto y al no existir plena identificación del </w:t>
      </w:r>
      <w:r w:rsidR="00EB41EA" w:rsidRPr="00787FA1">
        <w:rPr>
          <w:rFonts w:ascii="ITC Avant Garde" w:eastAsia="Times New Roman" w:hAnsi="ITC Avant Garde"/>
          <w:b/>
          <w:bCs/>
          <w:color w:val="000000"/>
          <w:lang w:eastAsia="es-MX"/>
        </w:rPr>
        <w:t>“</w:t>
      </w:r>
      <w:r w:rsidR="00AA6531" w:rsidRPr="00787FA1">
        <w:rPr>
          <w:rFonts w:ascii="ITC Avant Garde" w:eastAsia="Times New Roman" w:hAnsi="ITC Avant Garde"/>
          <w:b/>
          <w:bCs/>
          <w:color w:val="000000"/>
          <w:lang w:eastAsia="es-MX"/>
        </w:rPr>
        <w:t xml:space="preserve">PRESUNTO </w:t>
      </w:r>
      <w:r w:rsidR="00704760">
        <w:rPr>
          <w:rFonts w:ascii="ITC Avant Garde" w:eastAsia="Times New Roman" w:hAnsi="ITC Avant Garde"/>
          <w:b/>
          <w:bCs/>
          <w:color w:val="000000"/>
          <w:lang w:eastAsia="es-MX"/>
        </w:rPr>
        <w:t>RESPONSABLE</w:t>
      </w:r>
      <w:r w:rsidR="00EB41EA" w:rsidRPr="00787FA1">
        <w:rPr>
          <w:rFonts w:ascii="ITC Avant Garde" w:eastAsia="Times New Roman" w:hAnsi="ITC Avant Garde"/>
          <w:b/>
          <w:bCs/>
          <w:color w:val="000000"/>
          <w:lang w:eastAsia="es-MX"/>
        </w:rPr>
        <w:t>”</w:t>
      </w:r>
      <w:r w:rsidR="00AA6531" w:rsidRPr="00787FA1">
        <w:rPr>
          <w:rFonts w:ascii="ITC Avant Garde" w:eastAsia="Times New Roman" w:hAnsi="ITC Avant Garde"/>
          <w:bCs/>
          <w:color w:val="000000"/>
          <w:lang w:eastAsia="es-MX"/>
        </w:rPr>
        <w:t xml:space="preserve"> habida cuenta de que la persona que atendió la visita si bien señaló llamarse </w:t>
      </w:r>
      <w:r w:rsidR="00415768" w:rsidRPr="00415768">
        <w:rPr>
          <w:rFonts w:ascii="ITC Avant Garde" w:eastAsia="Times New Roman" w:hAnsi="ITC Avant Garde"/>
          <w:b/>
          <w:bCs/>
          <w:color w:val="0000CC"/>
          <w:lang w:eastAsia="es-MX"/>
        </w:rPr>
        <w:t>RESERVADO POR LEY</w:t>
      </w:r>
      <w:r w:rsidR="00EB41EA" w:rsidRPr="00787FA1">
        <w:rPr>
          <w:rFonts w:ascii="ITC Avant Garde" w:eastAsia="Times New Roman" w:hAnsi="ITC Avant Garde"/>
          <w:bCs/>
          <w:color w:val="000000"/>
          <w:lang w:eastAsia="es-MX"/>
        </w:rPr>
        <w:t>, quien no exhibió identificación alguna y señaló bajo protesta de decir verdad “</w:t>
      </w:r>
      <w:r w:rsidR="00EB41EA" w:rsidRPr="00787FA1">
        <w:rPr>
          <w:rFonts w:ascii="ITC Avant Garde" w:eastAsia="Times New Roman" w:hAnsi="ITC Avant Garde"/>
          <w:bCs/>
          <w:i/>
          <w:color w:val="000000"/>
          <w:lang w:eastAsia="es-MX"/>
        </w:rPr>
        <w:t>que es encargado de la casa</w:t>
      </w:r>
      <w:r w:rsidR="00EB41EA" w:rsidRPr="00787FA1">
        <w:rPr>
          <w:rFonts w:ascii="ITC Avant Garde" w:eastAsia="Times New Roman" w:hAnsi="ITC Avant Garde"/>
          <w:bCs/>
          <w:color w:val="000000"/>
          <w:lang w:eastAsia="es-MX"/>
        </w:rPr>
        <w:t xml:space="preserve">” y que </w:t>
      </w:r>
      <w:r w:rsidR="00EB41EA" w:rsidRPr="00787FA1">
        <w:rPr>
          <w:rFonts w:ascii="ITC Avant Garde" w:eastAsia="Times New Roman" w:hAnsi="ITC Avant Garde"/>
          <w:bCs/>
          <w:i/>
          <w:color w:val="000000"/>
          <w:lang w:eastAsia="es-MX"/>
        </w:rPr>
        <w:t>“no tiene ninguna identificación”</w:t>
      </w:r>
      <w:r w:rsidR="00EB41EA" w:rsidRPr="00787FA1">
        <w:rPr>
          <w:rFonts w:ascii="ITC Avant Garde" w:eastAsia="Times New Roman" w:hAnsi="ITC Avant Garde"/>
          <w:bCs/>
          <w:color w:val="000000"/>
          <w:lang w:eastAsia="es-MX"/>
        </w:rPr>
        <w:t xml:space="preserve">, limitándose a señalar que </w:t>
      </w:r>
      <w:r w:rsidR="00EB41EA" w:rsidRPr="00787FA1">
        <w:rPr>
          <w:rFonts w:ascii="ITC Avant Garde" w:hAnsi="ITC Avant Garde" w:cs="Tahoma"/>
        </w:rPr>
        <w:t xml:space="preserve">el propietario o poseedor de la estación de radiodifusión que transmite desde ese inmueble es su </w:t>
      </w:r>
      <w:r w:rsidR="00EB41EA" w:rsidRPr="00787FA1">
        <w:rPr>
          <w:rFonts w:ascii="ITC Avant Garde" w:hAnsi="ITC Avant Garde" w:cs="Tahoma"/>
          <w:i/>
        </w:rPr>
        <w:t>“cuñado”</w:t>
      </w:r>
      <w:r w:rsidR="00EB41EA" w:rsidRPr="00787FA1">
        <w:rPr>
          <w:rFonts w:ascii="ITC Avant Garde" w:eastAsia="Times New Roman" w:hAnsi="ITC Avant Garde"/>
          <w:bCs/>
          <w:color w:val="000000"/>
          <w:lang w:eastAsia="es-MX"/>
        </w:rPr>
        <w:t xml:space="preserve"> </w:t>
      </w:r>
      <w:r w:rsidR="00CF69F0" w:rsidRPr="00787FA1">
        <w:rPr>
          <w:rFonts w:ascii="ITC Avant Garde" w:eastAsia="Times New Roman" w:hAnsi="ITC Avant Garde"/>
          <w:bCs/>
          <w:color w:val="000000"/>
          <w:lang w:eastAsia="es-MX"/>
        </w:rPr>
        <w:t xml:space="preserve">y </w:t>
      </w:r>
      <w:r w:rsidR="0075083B" w:rsidRPr="00787FA1">
        <w:rPr>
          <w:rFonts w:ascii="ITC Avant Garde" w:eastAsia="Times New Roman" w:hAnsi="ITC Avant Garde"/>
          <w:bCs/>
          <w:color w:val="000000"/>
          <w:lang w:eastAsia="es-MX"/>
        </w:rPr>
        <w:t xml:space="preserve">no obstante los esfuerzos realizados </w:t>
      </w:r>
      <w:r w:rsidR="00CF69F0" w:rsidRPr="00787FA1">
        <w:rPr>
          <w:rFonts w:ascii="ITC Avant Garde" w:eastAsia="Times New Roman" w:hAnsi="ITC Avant Garde"/>
          <w:bCs/>
          <w:color w:val="000000"/>
          <w:lang w:eastAsia="es-MX"/>
        </w:rPr>
        <w:t xml:space="preserve">por esta autoridad para obtener dicha información, esta autoridad </w:t>
      </w:r>
      <w:proofErr w:type="spellStart"/>
      <w:r w:rsidR="00CF69F0" w:rsidRPr="00787FA1">
        <w:rPr>
          <w:rFonts w:ascii="ITC Avant Garde" w:eastAsia="Times New Roman" w:hAnsi="ITC Avant Garde"/>
          <w:bCs/>
          <w:color w:val="000000"/>
          <w:lang w:eastAsia="es-MX"/>
        </w:rPr>
        <w:t>resolutora</w:t>
      </w:r>
      <w:proofErr w:type="spellEnd"/>
      <w:r w:rsidR="00CF69F0" w:rsidRPr="00787FA1">
        <w:rPr>
          <w:rFonts w:ascii="ITC Avant Garde" w:eastAsia="Times New Roman" w:hAnsi="ITC Avant Garde"/>
          <w:bCs/>
          <w:color w:val="000000"/>
          <w:lang w:eastAsia="es-MX"/>
        </w:rPr>
        <w:t xml:space="preserve"> considera inviable imponer una sanción económica en el presente asunto, ya que no se cuenta con los elementos para individualizar la misma, en términos de los artículos 298 y 299 de la </w:t>
      </w:r>
      <w:r w:rsidR="00EB41EA" w:rsidRPr="00787FA1">
        <w:rPr>
          <w:rFonts w:ascii="ITC Avant Garde" w:eastAsia="Times New Roman" w:hAnsi="ITC Avant Garde"/>
          <w:b/>
          <w:bCs/>
          <w:color w:val="000000"/>
          <w:lang w:eastAsia="es-MX"/>
        </w:rPr>
        <w:t>“</w:t>
      </w:r>
      <w:proofErr w:type="spellStart"/>
      <w:r w:rsidR="00CF69F0" w:rsidRPr="00787FA1">
        <w:rPr>
          <w:rFonts w:ascii="ITC Avant Garde" w:eastAsia="Times New Roman" w:hAnsi="ITC Avant Garde"/>
          <w:b/>
          <w:bCs/>
          <w:color w:val="000000"/>
          <w:lang w:eastAsia="es-MX"/>
        </w:rPr>
        <w:t>LFTyR</w:t>
      </w:r>
      <w:proofErr w:type="spellEnd"/>
      <w:r w:rsidR="00EB41EA" w:rsidRPr="00787FA1">
        <w:rPr>
          <w:rFonts w:ascii="ITC Avant Garde" w:eastAsia="Times New Roman" w:hAnsi="ITC Avant Garde"/>
          <w:b/>
          <w:bCs/>
          <w:color w:val="000000"/>
          <w:lang w:eastAsia="es-MX"/>
        </w:rPr>
        <w:t>”</w:t>
      </w:r>
      <w:r w:rsidR="00CF69F0" w:rsidRPr="00787FA1">
        <w:rPr>
          <w:rFonts w:ascii="ITC Avant Garde" w:eastAsia="Times New Roman" w:hAnsi="ITC Avant Garde"/>
          <w:bCs/>
          <w:color w:val="000000"/>
          <w:lang w:eastAsia="es-MX"/>
        </w:rPr>
        <w:t>.</w:t>
      </w:r>
    </w:p>
    <w:p w:rsidR="00CF69F0" w:rsidRPr="00787FA1" w:rsidRDefault="00CF69F0" w:rsidP="00B34C88">
      <w:pPr>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lastRenderedPageBreak/>
        <w:t>Aunado a lo anterior, resulta importante señalar que en diversas ocasiones tanto el Servicio de Administración Tributaria como las Secretarías de Finanzas y Administración de algunas Entidades del país, han informado a este Instituto la imposibilidad de hacer efectivo el cobro de aquellas multas en las que no se especifique el nombre de la persona física o la denominación o razón social de aquella a la que haya sido impuesta la referida sanción, haciendo la precisión de que las resoluciones que se emitan en las que se imponga una multa deberán contener los datos que permitan identificar plenamente al sancionado, tales como nombre o razón social, domicilio completo e importe a recuperar y concepto, requisitos que en su integridad resultan indispensables para que dichos órganos tributarios estén en aptitud de instaurar el procedimiento administrativo de ejecución.</w:t>
      </w:r>
    </w:p>
    <w:p w:rsidR="00CF69F0" w:rsidRPr="00787FA1" w:rsidRDefault="00CF69F0" w:rsidP="00B34C88">
      <w:pPr>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Lo anterior es consistente con lo previsto en numeral 2.1.1 de la Resolución Miscelánea Fiscal para 2016, publicada en el Diario Oficial de la Federación el veintitrés de diciembre de dos mil quince, que entre otros requisitos establece los relativos al nombre, domicilio y Registro Federal de Contribuyentes del infractor a quien se le ha impuesto la sanción que por su conducto se pretende ejecutar.</w:t>
      </w:r>
    </w:p>
    <w:p w:rsidR="00CF69F0" w:rsidRPr="00787FA1" w:rsidRDefault="00CF69F0" w:rsidP="00B34C88">
      <w:pPr>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Por otro lado, atendiendo a la naturaleza de la infracción, lo procedente es que en la presente resolución este Instituto</w:t>
      </w:r>
      <w:r w:rsidRPr="00787FA1">
        <w:rPr>
          <w:rFonts w:ascii="ITC Avant Garde" w:eastAsia="Times New Roman" w:hAnsi="ITC Avant Garde"/>
          <w:b/>
          <w:bCs/>
          <w:color w:val="000000"/>
          <w:lang w:eastAsia="es-MX"/>
        </w:rPr>
        <w:t xml:space="preserve"> </w:t>
      </w:r>
      <w:r w:rsidRPr="00787FA1">
        <w:rPr>
          <w:rFonts w:ascii="ITC Avant Garde" w:eastAsia="Times New Roman" w:hAnsi="ITC Avant Garde"/>
          <w:bCs/>
          <w:color w:val="000000"/>
          <w:lang w:eastAsia="es-MX"/>
        </w:rPr>
        <w:t xml:space="preserve">declare la pérdida de bienes, equipos e instalaciones a favor de la Nación, con lo cual se busca inhibir las conductas que tiendan a hacer uso del espectro radioeléctrico sin que exista un título o documento habilitante para ello. Asimismo cabe indicar que, a diferencia de los artículos 298 y 299, la sanción prevista en el artículo 305 de la </w:t>
      </w:r>
      <w:r w:rsidR="00787FA1" w:rsidRPr="00787FA1">
        <w:rPr>
          <w:rFonts w:ascii="ITC Avant Garde" w:eastAsia="Times New Roman" w:hAnsi="ITC Avant Garde"/>
          <w:b/>
          <w:bCs/>
          <w:color w:val="000000"/>
          <w:lang w:eastAsia="es-MX"/>
        </w:rPr>
        <w:t>“</w:t>
      </w:r>
      <w:proofErr w:type="spellStart"/>
      <w:r w:rsidRPr="00787FA1">
        <w:rPr>
          <w:rFonts w:ascii="ITC Avant Garde" w:eastAsia="Times New Roman" w:hAnsi="ITC Avant Garde"/>
          <w:b/>
          <w:bCs/>
          <w:color w:val="000000"/>
          <w:lang w:eastAsia="es-MX"/>
        </w:rPr>
        <w:t>LFTyR</w:t>
      </w:r>
      <w:proofErr w:type="spellEnd"/>
      <w:r w:rsidR="00787FA1" w:rsidRPr="00787FA1">
        <w:rPr>
          <w:rFonts w:ascii="ITC Avant Garde" w:eastAsia="Times New Roman" w:hAnsi="ITC Avant Garde"/>
          <w:b/>
          <w:bCs/>
          <w:color w:val="000000"/>
          <w:lang w:eastAsia="es-MX"/>
        </w:rPr>
        <w:t>”</w:t>
      </w:r>
      <w:r w:rsidRPr="00787FA1">
        <w:rPr>
          <w:rFonts w:ascii="ITC Avant Garde" w:eastAsia="Times New Roman" w:hAnsi="ITC Avant Garde"/>
          <w:bCs/>
          <w:color w:val="000000"/>
          <w:lang w:eastAsia="es-MX"/>
        </w:rPr>
        <w:t xml:space="preserve"> no necesita de elementos para su individualización, pues ésta procede como consecuencia inmediata de la actualización de la hipótesis normativa prevista en ese artículo.</w:t>
      </w:r>
    </w:p>
    <w:p w:rsidR="00CF69F0" w:rsidRPr="00787FA1" w:rsidRDefault="000F48CD" w:rsidP="00B34C88">
      <w:pPr>
        <w:pStyle w:val="Textoindependiente"/>
        <w:tabs>
          <w:tab w:val="left" w:pos="993"/>
        </w:tabs>
        <w:spacing w:before="240" w:after="0" w:line="360" w:lineRule="auto"/>
        <w:jc w:val="both"/>
        <w:rPr>
          <w:rFonts w:ascii="ITC Avant Garde" w:eastAsia="Times New Roman" w:hAnsi="ITC Avant Garde"/>
          <w:lang w:val="es-ES_tradnl" w:eastAsia="es-MX"/>
        </w:rPr>
      </w:pPr>
      <w:r w:rsidRPr="00787FA1">
        <w:rPr>
          <w:rFonts w:ascii="ITC Avant Garde" w:eastAsia="Times New Roman" w:hAnsi="ITC Avant Garde"/>
          <w:bCs/>
          <w:color w:val="000000"/>
          <w:lang w:eastAsia="es-MX"/>
        </w:rPr>
        <w:t xml:space="preserve">Por ello, </w:t>
      </w:r>
      <w:r w:rsidRPr="00787FA1">
        <w:rPr>
          <w:rFonts w:ascii="ITC Avant Garde" w:eastAsia="Times New Roman" w:hAnsi="ITC Avant Garde"/>
          <w:lang w:eastAsia="es-MX"/>
        </w:rPr>
        <w:t xml:space="preserve">en virtud de que </w:t>
      </w:r>
      <w:r w:rsidRPr="00787FA1">
        <w:rPr>
          <w:rFonts w:ascii="ITC Avant Garde" w:eastAsia="Times New Roman" w:hAnsi="ITC Avant Garde"/>
          <w:bCs/>
          <w:color w:val="000000"/>
          <w:lang w:eastAsia="es-MX"/>
        </w:rPr>
        <w:t>e</w:t>
      </w:r>
      <w:r w:rsidRPr="00787FA1">
        <w:rPr>
          <w:rFonts w:ascii="ITC Avant Garde" w:hAnsi="ITC Avant Garde"/>
        </w:rPr>
        <w:t xml:space="preserve">l </w:t>
      </w:r>
      <w:r w:rsidR="00CF69F0" w:rsidRPr="00787FA1">
        <w:rPr>
          <w:rFonts w:ascii="ITC Avant Garde" w:hAnsi="ITC Avant Garde"/>
          <w:b/>
        </w:rPr>
        <w:t>propietario, y/o poseedor, y/o responsable y/o encargado de las instalaciones y equipos de radiodifusión localizados en el inmueble ubicado</w:t>
      </w:r>
      <w:r w:rsidR="00F33CCE" w:rsidRPr="00787FA1">
        <w:rPr>
          <w:rFonts w:ascii="ITC Avant Garde" w:hAnsi="ITC Avant Garde"/>
          <w:b/>
        </w:rPr>
        <w:t xml:space="preserve"> </w:t>
      </w:r>
      <w:r w:rsidR="00787FA1" w:rsidRPr="00787FA1">
        <w:rPr>
          <w:rFonts w:ascii="ITC Avant Garde" w:hAnsi="ITC Avant Garde"/>
          <w:b/>
        </w:rPr>
        <w:t xml:space="preserve">en </w:t>
      </w:r>
      <w:r w:rsidR="00415768" w:rsidRPr="00415768">
        <w:rPr>
          <w:rFonts w:ascii="ITC Avant Garde" w:eastAsia="Times New Roman" w:hAnsi="ITC Avant Garde"/>
          <w:b/>
          <w:bCs/>
          <w:color w:val="0000CC"/>
          <w:lang w:eastAsia="es-MX"/>
        </w:rPr>
        <w:t>RESERVADO POR LEY</w:t>
      </w:r>
      <w:r w:rsidR="00787FA1" w:rsidRPr="00415768">
        <w:rPr>
          <w:rFonts w:ascii="ITC Avant Garde" w:hAnsi="ITC Avant Garde"/>
          <w:b/>
        </w:rPr>
        <w:t>,</w:t>
      </w:r>
      <w:r w:rsidR="00787FA1" w:rsidRPr="00787FA1">
        <w:rPr>
          <w:rFonts w:ascii="ITC Avant Garde" w:hAnsi="ITC Avant Garde"/>
          <w:b/>
        </w:rPr>
        <w:t xml:space="preserve"> Municipio de Ecatepec, Estado de </w:t>
      </w:r>
      <w:r w:rsidR="00787FA1" w:rsidRPr="00787FA1">
        <w:rPr>
          <w:rFonts w:ascii="ITC Avant Garde" w:hAnsi="ITC Avant Garde"/>
          <w:b/>
        </w:rPr>
        <w:lastRenderedPageBreak/>
        <w:t>México</w:t>
      </w:r>
      <w:r w:rsidRPr="00787FA1">
        <w:rPr>
          <w:rFonts w:ascii="ITC Avant Garde" w:hAnsi="ITC Avant Garde"/>
        </w:rPr>
        <w:t xml:space="preserve">, </w:t>
      </w:r>
      <w:r w:rsidR="00CF69F0" w:rsidRPr="00787FA1">
        <w:rPr>
          <w:rFonts w:ascii="ITC Avant Garde" w:eastAsia="Times New Roman" w:hAnsi="ITC Avant Garde"/>
          <w:lang w:eastAsia="es-MX"/>
        </w:rPr>
        <w:t xml:space="preserve">no cuenta con concesión, permiso o autorización para </w:t>
      </w:r>
      <w:r w:rsidR="00CF69F0" w:rsidRPr="00787FA1">
        <w:rPr>
          <w:rFonts w:ascii="ITC Avant Garde" w:eastAsia="Times New Roman" w:hAnsi="ITC Avant Garde"/>
          <w:bCs/>
          <w:color w:val="000000"/>
          <w:lang w:eastAsia="es-MX"/>
        </w:rPr>
        <w:t>prestar un servicio de radiodifusión</w:t>
      </w:r>
      <w:r w:rsidR="00CF69F0" w:rsidRPr="00787FA1">
        <w:rPr>
          <w:rFonts w:ascii="ITC Avant Garde" w:eastAsia="Times New Roman" w:hAnsi="ITC Avant Garde"/>
          <w:lang w:eastAsia="es-MX"/>
        </w:rPr>
        <w:t xml:space="preserve">, se actualiza la hipótesis normativa prevista en el artículo 305 de la </w:t>
      </w:r>
      <w:r w:rsidR="00787FA1" w:rsidRPr="00787FA1">
        <w:rPr>
          <w:rFonts w:ascii="ITC Avant Garde" w:eastAsia="Times New Roman" w:hAnsi="ITC Avant Garde"/>
          <w:b/>
          <w:lang w:eastAsia="es-MX"/>
        </w:rPr>
        <w:t>“</w:t>
      </w:r>
      <w:proofErr w:type="spellStart"/>
      <w:r w:rsidR="00CF69F0" w:rsidRPr="00787FA1">
        <w:rPr>
          <w:rFonts w:ascii="ITC Avant Garde" w:eastAsia="Times New Roman" w:hAnsi="ITC Avant Garde"/>
          <w:b/>
          <w:lang w:eastAsia="es-MX"/>
        </w:rPr>
        <w:t>LFTyR</w:t>
      </w:r>
      <w:proofErr w:type="spellEnd"/>
      <w:r w:rsidR="00787FA1" w:rsidRPr="00787FA1">
        <w:rPr>
          <w:rFonts w:ascii="ITC Avant Garde" w:eastAsia="Times New Roman" w:hAnsi="ITC Avant Garde"/>
          <w:b/>
          <w:lang w:eastAsia="es-MX"/>
        </w:rPr>
        <w:t>”</w:t>
      </w:r>
      <w:r w:rsidR="00CF69F0" w:rsidRPr="00787FA1">
        <w:rPr>
          <w:rFonts w:ascii="ITC Avant Garde" w:eastAsia="Times New Roman" w:hAnsi="ITC Avant Garde"/>
          <w:lang w:eastAsia="es-MX"/>
        </w:rPr>
        <w:t>.</w:t>
      </w:r>
    </w:p>
    <w:p w:rsidR="000F48CD" w:rsidRPr="00787FA1" w:rsidRDefault="000F48CD" w:rsidP="00B34C88">
      <w:pPr>
        <w:tabs>
          <w:tab w:val="left" w:pos="993"/>
        </w:tabs>
        <w:spacing w:before="240" w:after="0" w:line="360" w:lineRule="auto"/>
        <w:jc w:val="both"/>
        <w:rPr>
          <w:rFonts w:ascii="ITC Avant Garde" w:eastAsia="Times New Roman" w:hAnsi="ITC Avant Garde"/>
          <w:lang w:eastAsia="es-MX"/>
        </w:rPr>
      </w:pPr>
      <w:r w:rsidRPr="00787FA1">
        <w:rPr>
          <w:rFonts w:ascii="ITC Avant Garde" w:eastAsia="Times New Roman" w:hAnsi="ITC Avant Garde"/>
          <w:lang w:eastAsia="es-MX"/>
        </w:rPr>
        <w:t xml:space="preserve">En efecto, el artículo 305 de la </w:t>
      </w:r>
      <w:r w:rsidRPr="00787FA1">
        <w:rPr>
          <w:rFonts w:ascii="ITC Avant Garde" w:eastAsia="Times New Roman" w:hAnsi="ITC Avant Garde"/>
          <w:b/>
          <w:lang w:eastAsia="es-MX"/>
        </w:rPr>
        <w:t>LFTyR</w:t>
      </w:r>
      <w:r w:rsidRPr="00787FA1">
        <w:rPr>
          <w:rFonts w:ascii="ITC Avant Garde" w:eastAsia="Times New Roman" w:hAnsi="ITC Avant Garde"/>
          <w:lang w:eastAsia="es-MX"/>
        </w:rPr>
        <w:t>, expresamente señala:</w:t>
      </w:r>
    </w:p>
    <w:p w:rsidR="000F48CD" w:rsidRPr="00787FA1" w:rsidRDefault="000F48CD" w:rsidP="00B34C88">
      <w:pPr>
        <w:tabs>
          <w:tab w:val="left" w:pos="851"/>
        </w:tabs>
        <w:spacing w:before="240" w:after="0" w:line="240" w:lineRule="auto"/>
        <w:ind w:left="567" w:right="567"/>
        <w:jc w:val="both"/>
        <w:rPr>
          <w:rFonts w:ascii="ITC Avant Garde" w:hAnsi="ITC Avant Garde"/>
          <w:i/>
          <w:color w:val="000000"/>
        </w:rPr>
      </w:pPr>
      <w:r w:rsidRPr="00787FA1">
        <w:rPr>
          <w:rFonts w:ascii="ITC Avant Garde" w:hAnsi="ITC Avant Garde"/>
          <w:i/>
          <w:color w:val="000000"/>
        </w:rPr>
        <w:t>“</w:t>
      </w:r>
      <w:r w:rsidRPr="00787FA1">
        <w:rPr>
          <w:rFonts w:ascii="ITC Avant Garde" w:hAnsi="ITC Avant Garde"/>
          <w:b/>
          <w:i/>
          <w:color w:val="000000"/>
        </w:rPr>
        <w:t xml:space="preserve">Artículo 305. </w:t>
      </w:r>
      <w:r w:rsidRPr="00787FA1">
        <w:rPr>
          <w:rFonts w:ascii="ITC Avant Garde" w:hAnsi="ITC Avant Garde"/>
          <w:i/>
          <w:color w:val="000000"/>
          <w:u w:val="single"/>
        </w:rPr>
        <w:t>Las personas</w:t>
      </w:r>
      <w:r w:rsidRPr="00787FA1">
        <w:rPr>
          <w:rFonts w:ascii="ITC Avant Garde" w:hAnsi="ITC Avant Garde"/>
          <w:i/>
          <w:color w:val="000000"/>
        </w:rPr>
        <w:t xml:space="preserve"> </w:t>
      </w:r>
      <w:r w:rsidRPr="00787FA1">
        <w:rPr>
          <w:rFonts w:ascii="ITC Avant Garde" w:hAnsi="ITC Avant Garde"/>
          <w:i/>
          <w:color w:val="000000"/>
          <w:u w:val="single"/>
        </w:rPr>
        <w:t xml:space="preserve">que presten servicios </w:t>
      </w:r>
      <w:r w:rsidRPr="00787FA1">
        <w:rPr>
          <w:rFonts w:ascii="ITC Avant Garde" w:hAnsi="ITC Avant Garde"/>
          <w:i/>
          <w:color w:val="000000"/>
        </w:rPr>
        <w:t xml:space="preserve">de telecomunicaciones o </w:t>
      </w:r>
      <w:r w:rsidRPr="00787FA1">
        <w:rPr>
          <w:rFonts w:ascii="ITC Avant Garde" w:hAnsi="ITC Avant Garde"/>
          <w:i/>
          <w:color w:val="000000"/>
          <w:u w:val="single"/>
        </w:rPr>
        <w:t>de radiodifusión</w:t>
      </w:r>
      <w:r w:rsidRPr="00787FA1">
        <w:rPr>
          <w:rFonts w:ascii="ITC Avant Garde" w:hAnsi="ITC Avant Garde"/>
          <w:i/>
          <w:color w:val="000000"/>
        </w:rPr>
        <w:t xml:space="preserve">, sin contar con concesión o autorización, o que por cualquier otro medio invadan u obstruyan las vías generales de comunicación, </w:t>
      </w:r>
      <w:r w:rsidRPr="00787FA1">
        <w:rPr>
          <w:rFonts w:ascii="ITC Avant Garde" w:hAnsi="ITC Avant Garde"/>
          <w:i/>
          <w:color w:val="000000"/>
          <w:u w:val="single"/>
        </w:rPr>
        <w:t>perderán en beneficio de la Nación los bienes, instalaciones y equipos empleados en la comisión de dichas infracciones.</w:t>
      </w:r>
      <w:r w:rsidRPr="00787FA1">
        <w:rPr>
          <w:rFonts w:ascii="ITC Avant Garde" w:hAnsi="ITC Avant Garde"/>
          <w:i/>
          <w:color w:val="000000"/>
        </w:rPr>
        <w:t>”</w:t>
      </w:r>
    </w:p>
    <w:p w:rsidR="00CF69F0" w:rsidRPr="00787FA1" w:rsidRDefault="009116F5" w:rsidP="00B34C88">
      <w:pPr>
        <w:pStyle w:val="Textoindependiente"/>
        <w:tabs>
          <w:tab w:val="left" w:pos="993"/>
        </w:tabs>
        <w:spacing w:before="240" w:line="360" w:lineRule="auto"/>
        <w:jc w:val="both"/>
        <w:rPr>
          <w:rFonts w:ascii="ITC Avant Garde" w:hAnsi="ITC Avant Garde"/>
        </w:rPr>
      </w:pPr>
      <w:r w:rsidRPr="00787FA1">
        <w:rPr>
          <w:rFonts w:ascii="ITC Avant Garde" w:eastAsia="Times New Roman" w:hAnsi="ITC Avant Garde"/>
          <w:lang w:eastAsia="es-MX"/>
        </w:rPr>
        <w:t xml:space="preserve">En tal virtud, procede declarar la pérdida en beneficio de la Nación de los bienes, instalaciones y equipos empleados en la comisión de dichas infracciones consistentes </w:t>
      </w:r>
      <w:r w:rsidRPr="00787FA1">
        <w:rPr>
          <w:rFonts w:ascii="ITC Avant Garde" w:hAnsi="ITC Avant Garde"/>
        </w:rPr>
        <w:t>en</w:t>
      </w:r>
      <w:r w:rsidR="00CF69F0" w:rsidRPr="00787FA1">
        <w:rPr>
          <w:rFonts w:ascii="ITC Avant Garde" w:hAnsi="ITC Avant Garde"/>
        </w:rPr>
        <w:t>:</w:t>
      </w:r>
    </w:p>
    <w:tbl>
      <w:tblPr>
        <w:tblStyle w:val="Tablaconcuadrcula"/>
        <w:tblW w:w="5000" w:type="pct"/>
        <w:jc w:val="center"/>
        <w:tblLook w:val="04A0" w:firstRow="1" w:lastRow="0" w:firstColumn="1" w:lastColumn="0" w:noHBand="0" w:noVBand="1"/>
        <w:tblCaption w:val="Equipos declarados pérdida en beneficio de la Nación."/>
        <w:tblDescription w:val="En una tabla de 5 columnas se describen los equipos asegurados por el Instituto:&#10;1.- Equipo Transmisor, Sin marca, Sin modelo, Sin número de serie y Sello de aseguramiento 138-15.&#10;2.- Equipo Antena omnidireccional, Sin marca, Sin modelo, Sin número de serie y Sello de aseguramiento 139-15.&#10;3.- Equipo Lap Top, Marca Toshiba, Sin modelo, Sin número de serie y Sello de aseguramiento 140-15.&#10;"/>
      </w:tblPr>
      <w:tblGrid>
        <w:gridCol w:w="1950"/>
        <w:gridCol w:w="1432"/>
        <w:gridCol w:w="1496"/>
        <w:gridCol w:w="2012"/>
        <w:gridCol w:w="1938"/>
      </w:tblGrid>
      <w:tr w:rsidR="00787FA1" w:rsidRPr="00787FA1" w:rsidTr="009728B5">
        <w:trPr>
          <w:trHeight w:val="20"/>
          <w:tblHeader/>
          <w:jc w:val="center"/>
        </w:trPr>
        <w:tc>
          <w:tcPr>
            <w:tcW w:w="1077" w:type="pct"/>
            <w:shd w:val="clear" w:color="auto" w:fill="BFBFBF" w:themeFill="background1" w:themeFillShade="BF"/>
            <w:vAlign w:val="center"/>
          </w:tcPr>
          <w:p w:rsidR="00787FA1" w:rsidRPr="00787FA1" w:rsidRDefault="00787FA1" w:rsidP="00415768">
            <w:pPr>
              <w:spacing w:after="0" w:line="240" w:lineRule="auto"/>
              <w:jc w:val="center"/>
              <w:rPr>
                <w:rFonts w:ascii="ITC Avant Garde" w:hAnsi="ITC Avant Garde" w:cs="Arial"/>
                <w:b/>
              </w:rPr>
            </w:pPr>
            <w:r w:rsidRPr="00787FA1">
              <w:rPr>
                <w:rFonts w:ascii="ITC Avant Garde" w:hAnsi="ITC Avant Garde" w:cs="Arial"/>
                <w:b/>
              </w:rPr>
              <w:t>Equipo</w:t>
            </w:r>
          </w:p>
        </w:tc>
        <w:tc>
          <w:tcPr>
            <w:tcW w:w="818" w:type="pct"/>
            <w:shd w:val="clear" w:color="auto" w:fill="BFBFBF" w:themeFill="background1" w:themeFillShade="BF"/>
            <w:vAlign w:val="center"/>
          </w:tcPr>
          <w:p w:rsidR="00787FA1" w:rsidRPr="00787FA1" w:rsidRDefault="00787FA1" w:rsidP="00415768">
            <w:pPr>
              <w:spacing w:after="0" w:line="240" w:lineRule="auto"/>
              <w:jc w:val="center"/>
              <w:rPr>
                <w:rFonts w:ascii="ITC Avant Garde" w:hAnsi="ITC Avant Garde" w:cs="Arial"/>
                <w:b/>
              </w:rPr>
            </w:pPr>
            <w:r w:rsidRPr="00787FA1">
              <w:rPr>
                <w:rFonts w:ascii="ITC Avant Garde" w:hAnsi="ITC Avant Garde" w:cs="Arial"/>
                <w:b/>
              </w:rPr>
              <w:t>Marca</w:t>
            </w:r>
          </w:p>
        </w:tc>
        <w:tc>
          <w:tcPr>
            <w:tcW w:w="854" w:type="pct"/>
            <w:shd w:val="clear" w:color="auto" w:fill="BFBFBF" w:themeFill="background1" w:themeFillShade="BF"/>
            <w:vAlign w:val="center"/>
          </w:tcPr>
          <w:p w:rsidR="00787FA1" w:rsidRPr="00787FA1" w:rsidRDefault="00787FA1" w:rsidP="00415768">
            <w:pPr>
              <w:spacing w:after="0" w:line="240" w:lineRule="auto"/>
              <w:jc w:val="center"/>
              <w:rPr>
                <w:rFonts w:ascii="ITC Avant Garde" w:hAnsi="ITC Avant Garde" w:cs="Arial"/>
                <w:b/>
              </w:rPr>
            </w:pPr>
            <w:r w:rsidRPr="00787FA1">
              <w:rPr>
                <w:rFonts w:ascii="ITC Avant Garde" w:hAnsi="ITC Avant Garde" w:cs="Arial"/>
                <w:b/>
              </w:rPr>
              <w:t>Modelo</w:t>
            </w:r>
          </w:p>
        </w:tc>
        <w:tc>
          <w:tcPr>
            <w:tcW w:w="1146" w:type="pct"/>
            <w:shd w:val="clear" w:color="auto" w:fill="BFBFBF" w:themeFill="background1" w:themeFillShade="BF"/>
            <w:vAlign w:val="center"/>
          </w:tcPr>
          <w:p w:rsidR="00787FA1" w:rsidRPr="00787FA1" w:rsidRDefault="00787FA1" w:rsidP="00415768">
            <w:pPr>
              <w:spacing w:after="0" w:line="240" w:lineRule="auto"/>
              <w:jc w:val="center"/>
              <w:rPr>
                <w:rFonts w:ascii="ITC Avant Garde" w:hAnsi="ITC Avant Garde" w:cs="Arial"/>
                <w:b/>
              </w:rPr>
            </w:pPr>
            <w:r w:rsidRPr="00787FA1">
              <w:rPr>
                <w:rFonts w:ascii="ITC Avant Garde" w:hAnsi="ITC Avant Garde" w:cs="Arial"/>
                <w:b/>
              </w:rPr>
              <w:t>Número de Serie</w:t>
            </w:r>
          </w:p>
        </w:tc>
        <w:tc>
          <w:tcPr>
            <w:tcW w:w="1104" w:type="pct"/>
            <w:shd w:val="clear" w:color="auto" w:fill="BFBFBF" w:themeFill="background1" w:themeFillShade="BF"/>
            <w:vAlign w:val="center"/>
          </w:tcPr>
          <w:p w:rsidR="00787FA1" w:rsidRPr="00787FA1" w:rsidRDefault="00787FA1" w:rsidP="00415768">
            <w:pPr>
              <w:spacing w:after="0" w:line="240" w:lineRule="auto"/>
              <w:jc w:val="center"/>
              <w:rPr>
                <w:rFonts w:ascii="ITC Avant Garde" w:hAnsi="ITC Avant Garde" w:cs="Arial"/>
                <w:b/>
              </w:rPr>
            </w:pPr>
            <w:r w:rsidRPr="00787FA1">
              <w:rPr>
                <w:rFonts w:ascii="ITC Avant Garde" w:hAnsi="ITC Avant Garde" w:cs="Arial"/>
                <w:b/>
              </w:rPr>
              <w:t>Sello de aseguramiento</w:t>
            </w:r>
          </w:p>
        </w:tc>
      </w:tr>
      <w:tr w:rsidR="00787FA1" w:rsidRPr="00787FA1" w:rsidTr="009728B5">
        <w:trPr>
          <w:trHeight w:val="20"/>
          <w:jc w:val="center"/>
        </w:trPr>
        <w:tc>
          <w:tcPr>
            <w:tcW w:w="1077"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 xml:space="preserve">Transmisor </w:t>
            </w:r>
          </w:p>
        </w:tc>
        <w:tc>
          <w:tcPr>
            <w:tcW w:w="818"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Sin marca</w:t>
            </w:r>
          </w:p>
        </w:tc>
        <w:tc>
          <w:tcPr>
            <w:tcW w:w="854"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 xml:space="preserve">Sin modelo </w:t>
            </w:r>
          </w:p>
        </w:tc>
        <w:tc>
          <w:tcPr>
            <w:tcW w:w="1146" w:type="pct"/>
            <w:vAlign w:val="center"/>
          </w:tcPr>
          <w:p w:rsidR="00787FA1" w:rsidRPr="00787FA1" w:rsidRDefault="00787FA1" w:rsidP="00415768">
            <w:pPr>
              <w:spacing w:after="0" w:line="240" w:lineRule="auto"/>
              <w:jc w:val="both"/>
              <w:rPr>
                <w:rFonts w:ascii="ITC Avant Garde" w:hAnsi="ITC Avant Garde"/>
              </w:rPr>
            </w:pPr>
            <w:r w:rsidRPr="00787FA1">
              <w:rPr>
                <w:rFonts w:ascii="ITC Avant Garde" w:hAnsi="ITC Avant Garde"/>
              </w:rPr>
              <w:t xml:space="preserve">Sin número de serie </w:t>
            </w:r>
          </w:p>
        </w:tc>
        <w:tc>
          <w:tcPr>
            <w:tcW w:w="1104"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138-15</w:t>
            </w:r>
          </w:p>
        </w:tc>
      </w:tr>
      <w:tr w:rsidR="00787FA1" w:rsidRPr="00787FA1" w:rsidTr="009728B5">
        <w:trPr>
          <w:trHeight w:val="20"/>
          <w:jc w:val="center"/>
        </w:trPr>
        <w:tc>
          <w:tcPr>
            <w:tcW w:w="1077"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 xml:space="preserve">Antena omnidireccional </w:t>
            </w:r>
          </w:p>
        </w:tc>
        <w:tc>
          <w:tcPr>
            <w:tcW w:w="818"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Sin marca</w:t>
            </w:r>
          </w:p>
        </w:tc>
        <w:tc>
          <w:tcPr>
            <w:tcW w:w="854"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 xml:space="preserve">Sin modelo </w:t>
            </w:r>
          </w:p>
        </w:tc>
        <w:tc>
          <w:tcPr>
            <w:tcW w:w="1146" w:type="pct"/>
            <w:vAlign w:val="center"/>
          </w:tcPr>
          <w:p w:rsidR="00787FA1" w:rsidRPr="00787FA1" w:rsidRDefault="00787FA1" w:rsidP="00415768">
            <w:pPr>
              <w:spacing w:after="0" w:line="240" w:lineRule="auto"/>
              <w:jc w:val="both"/>
              <w:rPr>
                <w:rFonts w:ascii="ITC Avant Garde" w:hAnsi="ITC Avant Garde"/>
              </w:rPr>
            </w:pPr>
            <w:r w:rsidRPr="00787FA1">
              <w:rPr>
                <w:rFonts w:ascii="ITC Avant Garde" w:hAnsi="ITC Avant Garde"/>
              </w:rPr>
              <w:t xml:space="preserve">Sin número de serie </w:t>
            </w:r>
          </w:p>
        </w:tc>
        <w:tc>
          <w:tcPr>
            <w:tcW w:w="1104"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139-15</w:t>
            </w:r>
          </w:p>
        </w:tc>
      </w:tr>
      <w:tr w:rsidR="00787FA1" w:rsidRPr="00787FA1" w:rsidTr="009728B5">
        <w:trPr>
          <w:trHeight w:val="498"/>
          <w:jc w:val="center"/>
        </w:trPr>
        <w:tc>
          <w:tcPr>
            <w:tcW w:w="1077" w:type="pct"/>
            <w:vAlign w:val="center"/>
          </w:tcPr>
          <w:p w:rsidR="00787FA1" w:rsidRPr="00787FA1" w:rsidRDefault="00787FA1" w:rsidP="00415768">
            <w:pPr>
              <w:spacing w:after="0" w:line="240" w:lineRule="auto"/>
              <w:jc w:val="center"/>
              <w:rPr>
                <w:rFonts w:ascii="ITC Avant Garde" w:hAnsi="ITC Avant Garde"/>
              </w:rPr>
            </w:pPr>
            <w:proofErr w:type="spellStart"/>
            <w:r w:rsidRPr="00787FA1">
              <w:rPr>
                <w:rFonts w:ascii="ITC Avant Garde" w:hAnsi="ITC Avant Garde"/>
              </w:rPr>
              <w:t>Lap</w:t>
            </w:r>
            <w:proofErr w:type="spellEnd"/>
            <w:r w:rsidRPr="00787FA1">
              <w:rPr>
                <w:rFonts w:ascii="ITC Avant Garde" w:hAnsi="ITC Avant Garde"/>
              </w:rPr>
              <w:t xml:space="preserve"> Top</w:t>
            </w:r>
          </w:p>
        </w:tc>
        <w:tc>
          <w:tcPr>
            <w:tcW w:w="818"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Toshiba</w:t>
            </w:r>
          </w:p>
        </w:tc>
        <w:tc>
          <w:tcPr>
            <w:tcW w:w="854"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Sin modelo</w:t>
            </w:r>
          </w:p>
        </w:tc>
        <w:tc>
          <w:tcPr>
            <w:tcW w:w="1146" w:type="pct"/>
            <w:vAlign w:val="center"/>
          </w:tcPr>
          <w:p w:rsidR="00787FA1" w:rsidRPr="00787FA1" w:rsidRDefault="00787FA1" w:rsidP="00415768">
            <w:pPr>
              <w:spacing w:after="0" w:line="240" w:lineRule="auto"/>
              <w:jc w:val="both"/>
              <w:rPr>
                <w:rFonts w:ascii="ITC Avant Garde" w:hAnsi="ITC Avant Garde"/>
              </w:rPr>
            </w:pPr>
            <w:r w:rsidRPr="00787FA1">
              <w:rPr>
                <w:rFonts w:ascii="ITC Avant Garde" w:hAnsi="ITC Avant Garde"/>
              </w:rPr>
              <w:t>Sin número de serie</w:t>
            </w:r>
          </w:p>
        </w:tc>
        <w:tc>
          <w:tcPr>
            <w:tcW w:w="1104" w:type="pct"/>
            <w:vAlign w:val="center"/>
          </w:tcPr>
          <w:p w:rsidR="00787FA1" w:rsidRPr="00787FA1" w:rsidRDefault="00787FA1" w:rsidP="00415768">
            <w:pPr>
              <w:spacing w:after="0" w:line="240" w:lineRule="auto"/>
              <w:jc w:val="center"/>
              <w:rPr>
                <w:rFonts w:ascii="ITC Avant Garde" w:hAnsi="ITC Avant Garde"/>
              </w:rPr>
            </w:pPr>
            <w:r w:rsidRPr="00787FA1">
              <w:rPr>
                <w:rFonts w:ascii="ITC Avant Garde" w:hAnsi="ITC Avant Garde"/>
              </w:rPr>
              <w:t>140-15</w:t>
            </w:r>
          </w:p>
        </w:tc>
      </w:tr>
    </w:tbl>
    <w:p w:rsidR="009116F5" w:rsidRPr="00787FA1" w:rsidRDefault="00CF69F0" w:rsidP="00B34C88">
      <w:pPr>
        <w:pStyle w:val="Textoindependiente"/>
        <w:tabs>
          <w:tab w:val="left" w:pos="993"/>
        </w:tabs>
        <w:spacing w:before="240" w:after="0" w:line="360" w:lineRule="auto"/>
        <w:jc w:val="both"/>
        <w:rPr>
          <w:rFonts w:ascii="ITC Avant Garde" w:eastAsia="Times New Roman" w:hAnsi="ITC Avant Garde"/>
          <w:lang w:eastAsia="es-MX"/>
        </w:rPr>
      </w:pPr>
      <w:r w:rsidRPr="00787FA1">
        <w:rPr>
          <w:rFonts w:ascii="ITC Avant Garde" w:hAnsi="ITC Avant Garde"/>
        </w:rPr>
        <w:t>L</w:t>
      </w:r>
      <w:r w:rsidR="000F48CD" w:rsidRPr="00787FA1">
        <w:rPr>
          <w:rFonts w:ascii="ITC Avant Garde" w:eastAsia="Times New Roman" w:hAnsi="ITC Avant Garde"/>
          <w:lang w:eastAsia="es-MX"/>
        </w:rPr>
        <w:t xml:space="preserve">os cuales están debidamente identificados en el </w:t>
      </w:r>
      <w:r w:rsidR="000F48CD" w:rsidRPr="00787FA1">
        <w:rPr>
          <w:rFonts w:ascii="ITC Avant Garde" w:eastAsia="Times New Roman" w:hAnsi="ITC Avant Garde"/>
          <w:b/>
          <w:lang w:eastAsia="es-MX"/>
        </w:rPr>
        <w:t xml:space="preserve">acta de </w:t>
      </w:r>
      <w:r w:rsidR="00E817C2" w:rsidRPr="00787FA1">
        <w:rPr>
          <w:rFonts w:ascii="ITC Avant Garde" w:eastAsia="Times New Roman" w:hAnsi="ITC Avant Garde"/>
          <w:b/>
          <w:lang w:eastAsia="es-MX"/>
        </w:rPr>
        <w:t>verificación ordinaria</w:t>
      </w:r>
      <w:r w:rsidR="000F48CD" w:rsidRPr="00787FA1">
        <w:rPr>
          <w:rFonts w:ascii="ITC Avant Garde" w:eastAsia="Times New Roman" w:hAnsi="ITC Avant Garde"/>
          <w:b/>
          <w:lang w:eastAsia="es-MX"/>
        </w:rPr>
        <w:t xml:space="preserve"> </w:t>
      </w:r>
      <w:r w:rsidR="000F48CD" w:rsidRPr="00787FA1">
        <w:rPr>
          <w:rFonts w:ascii="ITC Avant Garde" w:eastAsia="Times New Roman" w:hAnsi="ITC Avant Garde"/>
          <w:lang w:eastAsia="es-MX"/>
        </w:rPr>
        <w:t>número</w:t>
      </w:r>
      <w:r w:rsidR="000F48CD" w:rsidRPr="00787FA1">
        <w:rPr>
          <w:rFonts w:ascii="ITC Avant Garde" w:eastAsia="Times New Roman" w:hAnsi="ITC Avant Garde"/>
          <w:b/>
          <w:lang w:eastAsia="es-MX"/>
        </w:rPr>
        <w:t xml:space="preserve"> </w:t>
      </w:r>
      <w:r w:rsidR="00E817C2" w:rsidRPr="00787FA1">
        <w:rPr>
          <w:rFonts w:ascii="ITC Avant Garde" w:hAnsi="ITC Avant Garde"/>
          <w:b/>
        </w:rPr>
        <w:t>IFT/DF/DGV/</w:t>
      </w:r>
      <w:r w:rsidR="00787FA1" w:rsidRPr="00787FA1">
        <w:rPr>
          <w:rFonts w:ascii="ITC Avant Garde" w:hAnsi="ITC Avant Garde"/>
          <w:b/>
        </w:rPr>
        <w:t>1095</w:t>
      </w:r>
      <w:r w:rsidR="00E817C2" w:rsidRPr="00787FA1">
        <w:rPr>
          <w:rFonts w:ascii="ITC Avant Garde" w:hAnsi="ITC Avant Garde"/>
          <w:b/>
        </w:rPr>
        <w:t>/2015</w:t>
      </w:r>
      <w:r w:rsidR="009116F5" w:rsidRPr="00787FA1">
        <w:rPr>
          <w:rFonts w:ascii="ITC Avant Garde" w:eastAsia="Times New Roman" w:hAnsi="ITC Avant Garde"/>
          <w:lang w:eastAsia="es-MX"/>
        </w:rPr>
        <w:t>, habiendo designando como</w:t>
      </w:r>
      <w:r w:rsidR="009116F5" w:rsidRPr="00787FA1">
        <w:rPr>
          <w:rFonts w:ascii="ITC Avant Garde" w:hAnsi="ITC Avant Garde"/>
        </w:rPr>
        <w:t xml:space="preserve"> interventor especial (depositario) a </w:t>
      </w:r>
      <w:r w:rsidR="009116F5" w:rsidRPr="00787FA1">
        <w:rPr>
          <w:rFonts w:ascii="ITC Avant Garde" w:hAnsi="ITC Avant Garde"/>
          <w:b/>
        </w:rPr>
        <w:t xml:space="preserve">Raúl Leonel </w:t>
      </w:r>
      <w:proofErr w:type="spellStart"/>
      <w:r w:rsidR="009116F5" w:rsidRPr="00787FA1">
        <w:rPr>
          <w:rFonts w:ascii="ITC Avant Garde" w:hAnsi="ITC Avant Garde"/>
          <w:b/>
        </w:rPr>
        <w:t>Mulhia</w:t>
      </w:r>
      <w:proofErr w:type="spellEnd"/>
      <w:r w:rsidR="009116F5" w:rsidRPr="00787FA1">
        <w:rPr>
          <w:rFonts w:ascii="ITC Avant Garde" w:hAnsi="ITC Avant Garde"/>
          <w:b/>
        </w:rPr>
        <w:t xml:space="preserve"> </w:t>
      </w:r>
      <w:proofErr w:type="spellStart"/>
      <w:r w:rsidR="009116F5" w:rsidRPr="00787FA1">
        <w:rPr>
          <w:rFonts w:ascii="ITC Avant Garde" w:hAnsi="ITC Avant Garde"/>
          <w:b/>
        </w:rPr>
        <w:t>Arzaluz</w:t>
      </w:r>
      <w:proofErr w:type="spellEnd"/>
      <w:r w:rsidR="009116F5" w:rsidRPr="00787FA1">
        <w:rPr>
          <w:rFonts w:ascii="ITC Avant Garde" w:eastAsia="Times New Roman" w:hAnsi="ITC Avant Garde"/>
          <w:lang w:eastAsia="es-MX"/>
        </w:rPr>
        <w:t xml:space="preserve">, </w:t>
      </w:r>
      <w:r w:rsidR="00137EB3" w:rsidRPr="00787FA1">
        <w:rPr>
          <w:rFonts w:ascii="ITC Avant Garde" w:eastAsia="Times New Roman" w:hAnsi="ITC Avant Garde"/>
          <w:lang w:eastAsia="es-MX"/>
        </w:rPr>
        <w:t>por lo que se le deberá solicitar que en su carácter de interventor especial (depositario) ponga a disposición los equipos asegurados.</w:t>
      </w:r>
    </w:p>
    <w:p w:rsidR="00137EB3" w:rsidRPr="00787FA1" w:rsidRDefault="00137EB3" w:rsidP="00B34C88">
      <w:pPr>
        <w:tabs>
          <w:tab w:val="left" w:pos="993"/>
        </w:tabs>
        <w:spacing w:before="240" w:after="0" w:line="360" w:lineRule="auto"/>
        <w:jc w:val="both"/>
        <w:rPr>
          <w:rFonts w:ascii="ITC Avant Garde" w:eastAsia="Times New Roman" w:hAnsi="ITC Avant Garde"/>
          <w:bCs/>
          <w:color w:val="000000"/>
          <w:lang w:eastAsia="es-MX"/>
        </w:rPr>
      </w:pPr>
      <w:r w:rsidRPr="00787FA1">
        <w:rPr>
          <w:rFonts w:ascii="ITC Avant Garde" w:eastAsia="Times New Roman" w:hAnsi="ITC Avant Garde"/>
          <w:bCs/>
          <w:color w:val="000000"/>
          <w:lang w:eastAsia="es-MX"/>
        </w:rPr>
        <w:t xml:space="preserve">En consecuencia, con base en los resultandos y </w:t>
      </w:r>
      <w:r w:rsidR="00F32C52" w:rsidRPr="00787FA1">
        <w:rPr>
          <w:rFonts w:ascii="ITC Avant Garde" w:eastAsia="Times New Roman" w:hAnsi="ITC Avant Garde"/>
          <w:bCs/>
          <w:color w:val="000000"/>
          <w:lang w:eastAsia="es-MX"/>
        </w:rPr>
        <w:t xml:space="preserve">consideraciones </w:t>
      </w:r>
      <w:r w:rsidRPr="00787FA1">
        <w:rPr>
          <w:rFonts w:ascii="ITC Avant Garde" w:eastAsia="Times New Roman" w:hAnsi="ITC Avant Garde"/>
          <w:bCs/>
          <w:color w:val="000000"/>
          <w:lang w:eastAsia="es-MX"/>
        </w:rPr>
        <w:t>anteriores, el Pleno del Instituto Federal de Telecomunicaciones:</w:t>
      </w:r>
    </w:p>
    <w:p w:rsidR="00C74D91" w:rsidRPr="00787FA1" w:rsidRDefault="00C74D91" w:rsidP="00787FA1">
      <w:pPr>
        <w:pStyle w:val="Textoindependiente"/>
        <w:tabs>
          <w:tab w:val="left" w:pos="993"/>
        </w:tabs>
        <w:spacing w:after="0" w:line="360" w:lineRule="auto"/>
        <w:jc w:val="both"/>
        <w:rPr>
          <w:rFonts w:ascii="ITC Avant Garde" w:eastAsia="Times New Roman" w:hAnsi="ITC Avant Garde"/>
          <w:bCs/>
          <w:color w:val="000000"/>
          <w:lang w:eastAsia="es-MX"/>
        </w:rPr>
      </w:pPr>
    </w:p>
    <w:p w:rsidR="00780EB9" w:rsidRPr="00A84011" w:rsidRDefault="00780EB9" w:rsidP="00A84011">
      <w:pPr>
        <w:pStyle w:val="Ttulo2"/>
        <w:jc w:val="center"/>
        <w:rPr>
          <w:rFonts w:ascii="ITC Avant Garde" w:hAnsi="ITC Avant Garde"/>
          <w:b/>
          <w:bCs/>
          <w:color w:val="000000"/>
          <w:sz w:val="22"/>
          <w:szCs w:val="22"/>
          <w:lang w:eastAsia="es-MX"/>
        </w:rPr>
      </w:pPr>
      <w:r w:rsidRPr="00A84011">
        <w:rPr>
          <w:rFonts w:ascii="ITC Avant Garde" w:hAnsi="ITC Avant Garde"/>
          <w:b/>
          <w:bCs/>
          <w:color w:val="000000"/>
          <w:sz w:val="22"/>
          <w:szCs w:val="22"/>
          <w:lang w:eastAsia="es-MX"/>
        </w:rPr>
        <w:lastRenderedPageBreak/>
        <w:t>RESUELVE</w:t>
      </w:r>
    </w:p>
    <w:p w:rsidR="00E1037B" w:rsidRPr="00787FA1" w:rsidRDefault="00780EB9" w:rsidP="00B34C88">
      <w:pPr>
        <w:pStyle w:val="Textoindependiente"/>
        <w:tabs>
          <w:tab w:val="left" w:pos="993"/>
        </w:tabs>
        <w:spacing w:line="360" w:lineRule="auto"/>
        <w:jc w:val="both"/>
        <w:rPr>
          <w:rFonts w:ascii="ITC Avant Garde" w:eastAsia="Times New Roman" w:hAnsi="ITC Avant Garde"/>
          <w:b/>
          <w:bCs/>
          <w:color w:val="000000"/>
          <w:lang w:eastAsia="es-MX"/>
        </w:rPr>
      </w:pPr>
      <w:r w:rsidRPr="00787FA1">
        <w:rPr>
          <w:rFonts w:ascii="ITC Avant Garde" w:eastAsia="Times New Roman" w:hAnsi="ITC Avant Garde"/>
          <w:b/>
          <w:bCs/>
          <w:color w:val="000000"/>
          <w:lang w:eastAsia="es-MX"/>
        </w:rPr>
        <w:t>PRIMERO.</w:t>
      </w:r>
      <w:r w:rsidR="00691DDB" w:rsidRPr="00787FA1">
        <w:rPr>
          <w:rFonts w:ascii="ITC Avant Garde" w:eastAsia="Times New Roman" w:hAnsi="ITC Avant Garde"/>
          <w:b/>
          <w:bCs/>
          <w:color w:val="000000"/>
          <w:lang w:eastAsia="es-MX"/>
        </w:rPr>
        <w:t xml:space="preserve"> </w:t>
      </w:r>
      <w:r w:rsidR="00137EB3" w:rsidRPr="00787FA1">
        <w:rPr>
          <w:rFonts w:ascii="ITC Avant Garde" w:hAnsi="ITC Avant Garde"/>
        </w:rPr>
        <w:t>El</w:t>
      </w:r>
      <w:r w:rsidR="00137EB3" w:rsidRPr="00787FA1">
        <w:rPr>
          <w:rFonts w:ascii="ITC Avant Garde" w:hAnsi="ITC Avant Garde"/>
          <w:b/>
        </w:rPr>
        <w:t xml:space="preserve"> </w:t>
      </w:r>
      <w:r w:rsidR="00CF69F0" w:rsidRPr="00787FA1">
        <w:rPr>
          <w:rFonts w:ascii="ITC Avant Garde" w:hAnsi="ITC Avant Garde"/>
          <w:b/>
        </w:rPr>
        <w:t>propietario, y/o poseedor, y/o responsable y/o encargado de las instalaciones y equipos de radiodifusión operando la frecuencia 105</w:t>
      </w:r>
      <w:r w:rsidR="00787FA1" w:rsidRPr="00787FA1">
        <w:rPr>
          <w:rFonts w:ascii="ITC Avant Garde" w:hAnsi="ITC Avant Garde"/>
          <w:b/>
        </w:rPr>
        <w:t>.3</w:t>
      </w:r>
      <w:r w:rsidR="00CF69F0" w:rsidRPr="00787FA1">
        <w:rPr>
          <w:rFonts w:ascii="ITC Avant Garde" w:hAnsi="ITC Avant Garde"/>
          <w:b/>
        </w:rPr>
        <w:t xml:space="preserve"> MHz ubicada en </w:t>
      </w:r>
      <w:r w:rsidR="00B34C88" w:rsidRPr="00415768">
        <w:rPr>
          <w:rFonts w:ascii="ITC Avant Garde" w:eastAsia="Times New Roman" w:hAnsi="ITC Avant Garde"/>
          <w:b/>
          <w:bCs/>
          <w:color w:val="0000CC"/>
          <w:lang w:eastAsia="es-MX"/>
        </w:rPr>
        <w:t>RESERVADO POR LEY</w:t>
      </w:r>
      <w:r w:rsidR="00787FA1" w:rsidRPr="00787FA1">
        <w:rPr>
          <w:rFonts w:ascii="ITC Avant Garde" w:hAnsi="ITC Avant Garde"/>
          <w:b/>
        </w:rPr>
        <w:t>, Municipio de Ecatepec, Estado de México</w:t>
      </w:r>
      <w:r w:rsidR="00CF69F0" w:rsidRPr="00787FA1">
        <w:rPr>
          <w:rFonts w:ascii="ITC Avant Garde" w:hAnsi="ITC Avant Garde"/>
        </w:rPr>
        <w:t xml:space="preserve">, </w:t>
      </w:r>
      <w:r w:rsidR="00137EB3" w:rsidRPr="00787FA1">
        <w:rPr>
          <w:rFonts w:ascii="ITC Avant Garde" w:hAnsi="ITC Avant Garde"/>
        </w:rPr>
        <w:t xml:space="preserve">infringió lo dispuesto en el artículo 66 </w:t>
      </w:r>
      <w:r w:rsidR="00246F0B" w:rsidRPr="00787FA1">
        <w:rPr>
          <w:rFonts w:ascii="ITC Avant Garde" w:hAnsi="ITC Avant Garde"/>
        </w:rPr>
        <w:t xml:space="preserve">en relación con el artículo 75, ambos </w:t>
      </w:r>
      <w:r w:rsidR="00137EB3" w:rsidRPr="00787FA1">
        <w:rPr>
          <w:rFonts w:ascii="ITC Avant Garde" w:hAnsi="ITC Avant Garde"/>
        </w:rPr>
        <w:t xml:space="preserve">de la Ley Federal de Telecomunicaciones y Radiodifusión, al haberse detectado que éste se encontraba prestando un servicio de radiodifusión a través de la frecuencia </w:t>
      </w:r>
      <w:r w:rsidR="00E817C2" w:rsidRPr="00787FA1">
        <w:rPr>
          <w:rFonts w:ascii="ITC Avant Garde" w:hAnsi="ITC Avant Garde"/>
          <w:b/>
        </w:rPr>
        <w:t>10</w:t>
      </w:r>
      <w:r w:rsidR="00137EB3" w:rsidRPr="00787FA1">
        <w:rPr>
          <w:rFonts w:ascii="ITC Avant Garde" w:hAnsi="ITC Avant Garde"/>
          <w:b/>
        </w:rPr>
        <w:t>5</w:t>
      </w:r>
      <w:r w:rsidR="00787FA1" w:rsidRPr="00787FA1">
        <w:rPr>
          <w:rFonts w:ascii="ITC Avant Garde" w:hAnsi="ITC Avant Garde"/>
          <w:b/>
        </w:rPr>
        <w:t>.3</w:t>
      </w:r>
      <w:r w:rsidR="00137EB3" w:rsidRPr="00787FA1">
        <w:rPr>
          <w:rFonts w:ascii="ITC Avant Garde" w:hAnsi="ITC Avant Garde"/>
          <w:b/>
        </w:rPr>
        <w:t xml:space="preserve"> MHz</w:t>
      </w:r>
      <w:r w:rsidR="00137EB3" w:rsidRPr="00787FA1">
        <w:rPr>
          <w:rFonts w:ascii="ITC Avant Garde" w:hAnsi="ITC Avant Garde"/>
        </w:rPr>
        <w:t xml:space="preserve"> sin contar con concesión, permiso o autorización, no obstante lo cual, no se individualiza sanción alguna a este respecto, atendiendo a las consideraciones señaladas en el Considerando Sexto de esta Resolución.</w:t>
      </w:r>
    </w:p>
    <w:p w:rsidR="00CF69F0" w:rsidRDefault="00137EB3" w:rsidP="00B34C88">
      <w:pPr>
        <w:tabs>
          <w:tab w:val="left" w:pos="993"/>
        </w:tabs>
        <w:spacing w:after="120" w:line="360" w:lineRule="auto"/>
        <w:jc w:val="both"/>
        <w:rPr>
          <w:rFonts w:ascii="ITC Avant Garde" w:eastAsia="Times New Roman" w:hAnsi="ITC Avant Garde"/>
          <w:bCs/>
          <w:color w:val="000000"/>
          <w:lang w:eastAsia="es-MX"/>
        </w:rPr>
      </w:pPr>
      <w:r w:rsidRPr="00787FA1">
        <w:rPr>
          <w:rFonts w:ascii="ITC Avant Garde" w:eastAsia="Times New Roman" w:hAnsi="ITC Avant Garde"/>
          <w:b/>
          <w:lang w:eastAsia="es-MX"/>
        </w:rPr>
        <w:t xml:space="preserve">SEGUNDO. </w:t>
      </w:r>
      <w:r w:rsidRPr="00787FA1">
        <w:rPr>
          <w:rFonts w:ascii="ITC Avant Garde" w:eastAsia="Times New Roman" w:hAnsi="ITC Avant Garde"/>
          <w:lang w:eastAsia="es-MX"/>
        </w:rPr>
        <w:t>De conformidad con lo señalado en l</w:t>
      </w:r>
      <w:r w:rsidR="00F32C52" w:rsidRPr="00787FA1">
        <w:rPr>
          <w:rFonts w:ascii="ITC Avant Garde" w:eastAsia="Times New Roman" w:hAnsi="ITC Avant Garde"/>
          <w:lang w:eastAsia="es-MX"/>
        </w:rPr>
        <w:t>a</w:t>
      </w:r>
      <w:r w:rsidRPr="00787FA1">
        <w:rPr>
          <w:rFonts w:ascii="ITC Avant Garde" w:eastAsia="Times New Roman" w:hAnsi="ITC Avant Garde"/>
          <w:lang w:eastAsia="es-MX"/>
        </w:rPr>
        <w:t xml:space="preserve">s </w:t>
      </w:r>
      <w:r w:rsidR="00F32C52" w:rsidRPr="00787FA1">
        <w:rPr>
          <w:rFonts w:ascii="ITC Avant Garde" w:eastAsia="Times New Roman" w:hAnsi="ITC Avant Garde"/>
          <w:lang w:eastAsia="es-MX"/>
        </w:rPr>
        <w:t>Consideraciones Tercera</w:t>
      </w:r>
      <w:r w:rsidRPr="00787FA1">
        <w:rPr>
          <w:rFonts w:ascii="ITC Avant Garde" w:eastAsia="Times New Roman" w:hAnsi="ITC Avant Garde"/>
          <w:lang w:eastAsia="es-MX"/>
        </w:rPr>
        <w:t>, Cuart</w:t>
      </w:r>
      <w:r w:rsidR="00F32C52" w:rsidRPr="00787FA1">
        <w:rPr>
          <w:rFonts w:ascii="ITC Avant Garde" w:eastAsia="Times New Roman" w:hAnsi="ITC Avant Garde"/>
          <w:lang w:eastAsia="es-MX"/>
        </w:rPr>
        <w:t>a</w:t>
      </w:r>
      <w:r w:rsidRPr="00787FA1">
        <w:rPr>
          <w:rFonts w:ascii="ITC Avant Garde" w:eastAsia="Times New Roman" w:hAnsi="ITC Avant Garde"/>
          <w:lang w:eastAsia="es-MX"/>
        </w:rPr>
        <w:t xml:space="preserve"> y Quint</w:t>
      </w:r>
      <w:r w:rsidR="00F32C52" w:rsidRPr="00787FA1">
        <w:rPr>
          <w:rFonts w:ascii="ITC Avant Garde" w:eastAsia="Times New Roman" w:hAnsi="ITC Avant Garde"/>
          <w:lang w:eastAsia="es-MX"/>
        </w:rPr>
        <w:t>a</w:t>
      </w:r>
      <w:r w:rsidRPr="00787FA1">
        <w:rPr>
          <w:rFonts w:ascii="ITC Avant Garde" w:eastAsia="Times New Roman" w:hAnsi="ITC Avant Garde"/>
          <w:lang w:eastAsia="es-MX"/>
        </w:rPr>
        <w:t xml:space="preserve"> de la presente Resolución, </w:t>
      </w:r>
      <w:r w:rsidR="00CF69F0" w:rsidRPr="00787FA1">
        <w:rPr>
          <w:rFonts w:ascii="ITC Avant Garde" w:eastAsia="Times New Roman" w:hAnsi="ITC Avant Garde"/>
          <w:lang w:eastAsia="es-MX"/>
        </w:rPr>
        <w:t>e</w:t>
      </w:r>
      <w:r w:rsidR="00E817C2" w:rsidRPr="00787FA1">
        <w:rPr>
          <w:rFonts w:ascii="ITC Avant Garde" w:hAnsi="ITC Avant Garde"/>
        </w:rPr>
        <w:t>l</w:t>
      </w:r>
      <w:r w:rsidR="00E817C2" w:rsidRPr="00787FA1">
        <w:rPr>
          <w:rFonts w:ascii="ITC Avant Garde" w:hAnsi="ITC Avant Garde"/>
          <w:b/>
        </w:rPr>
        <w:t xml:space="preserve"> </w:t>
      </w:r>
      <w:r w:rsidR="006673AA" w:rsidRPr="00787FA1">
        <w:rPr>
          <w:rFonts w:ascii="ITC Avant Garde" w:eastAsia="Times New Roman" w:hAnsi="ITC Avant Garde"/>
          <w:b/>
          <w:bCs/>
          <w:color w:val="000000"/>
          <w:lang w:eastAsia="es-MX"/>
        </w:rPr>
        <w:t xml:space="preserve">“PRESUNTO </w:t>
      </w:r>
      <w:r w:rsidR="006673AA">
        <w:rPr>
          <w:rFonts w:ascii="ITC Avant Garde" w:eastAsia="Times New Roman" w:hAnsi="ITC Avant Garde"/>
          <w:b/>
          <w:bCs/>
          <w:color w:val="000000"/>
          <w:lang w:eastAsia="es-MX"/>
        </w:rPr>
        <w:t>RESPONSABLE</w:t>
      </w:r>
      <w:r w:rsidR="006673AA" w:rsidRPr="00787FA1">
        <w:rPr>
          <w:rFonts w:ascii="ITC Avant Garde" w:eastAsia="Times New Roman" w:hAnsi="ITC Avant Garde"/>
          <w:b/>
          <w:bCs/>
          <w:color w:val="000000"/>
          <w:lang w:eastAsia="es-MX"/>
        </w:rPr>
        <w:t>”</w:t>
      </w:r>
      <w:r w:rsidR="006673AA">
        <w:rPr>
          <w:rFonts w:ascii="ITC Avant Garde" w:eastAsia="Times New Roman" w:hAnsi="ITC Avant Garde"/>
          <w:b/>
          <w:bCs/>
          <w:color w:val="000000"/>
          <w:lang w:eastAsia="es-MX"/>
        </w:rPr>
        <w:t xml:space="preserve"> </w:t>
      </w:r>
      <w:r w:rsidRPr="00787FA1">
        <w:rPr>
          <w:rFonts w:ascii="ITC Avant Garde" w:eastAsia="Times New Roman" w:hAnsi="ITC Avant Garde"/>
          <w:lang w:eastAsia="es-MX"/>
        </w:rPr>
        <w:t xml:space="preserve">se encontraba prestando servicios de radiodifusión en la frecuencia </w:t>
      </w:r>
      <w:r w:rsidR="00E817C2" w:rsidRPr="00787FA1">
        <w:rPr>
          <w:rFonts w:ascii="ITC Avant Garde" w:eastAsia="Times New Roman" w:hAnsi="ITC Avant Garde"/>
          <w:b/>
          <w:lang w:eastAsia="es-MX"/>
        </w:rPr>
        <w:t>10</w:t>
      </w:r>
      <w:r w:rsidRPr="00787FA1">
        <w:rPr>
          <w:rFonts w:ascii="ITC Avant Garde" w:eastAsia="Times New Roman" w:hAnsi="ITC Avant Garde"/>
          <w:b/>
          <w:lang w:eastAsia="es-MX"/>
        </w:rPr>
        <w:t>5</w:t>
      </w:r>
      <w:r w:rsidR="00787FA1" w:rsidRPr="00787FA1">
        <w:rPr>
          <w:rFonts w:ascii="ITC Avant Garde" w:eastAsia="Times New Roman" w:hAnsi="ITC Avant Garde"/>
          <w:b/>
          <w:lang w:eastAsia="es-MX"/>
        </w:rPr>
        <w:t>.3</w:t>
      </w:r>
      <w:r w:rsidRPr="00787FA1">
        <w:rPr>
          <w:rFonts w:ascii="ITC Avant Garde" w:eastAsia="Times New Roman" w:hAnsi="ITC Avant Garde"/>
          <w:b/>
          <w:lang w:eastAsia="es-MX"/>
        </w:rPr>
        <w:t xml:space="preserve"> MHz,</w:t>
      </w:r>
      <w:r w:rsidRPr="00787FA1">
        <w:rPr>
          <w:rFonts w:ascii="ITC Avant Garde" w:eastAsia="Times New Roman" w:hAnsi="ITC Avant Garde"/>
          <w:lang w:eastAsia="es-MX"/>
        </w:rPr>
        <w:t xml:space="preserve"> y en consecuencia, con fundamento en el artículo 305 de la Ley Federal de Telecomunicaciones y Radiodifusión, se declara la pérdida en beneficio de la Nación de los </w:t>
      </w:r>
      <w:r w:rsidRPr="00787FA1">
        <w:rPr>
          <w:rFonts w:ascii="ITC Avant Garde" w:eastAsia="Times New Roman" w:hAnsi="ITC Avant Garde"/>
          <w:bCs/>
          <w:color w:val="000000"/>
          <w:lang w:eastAsia="es-MX"/>
        </w:rPr>
        <w:t xml:space="preserve">equipos empleados en la comisión de dicha infracción consistentes </w:t>
      </w:r>
      <w:r w:rsidR="00E817C2" w:rsidRPr="00787FA1">
        <w:rPr>
          <w:rFonts w:ascii="ITC Avant Garde" w:eastAsia="Times New Roman" w:hAnsi="ITC Avant Garde"/>
          <w:bCs/>
          <w:color w:val="000000"/>
          <w:lang w:eastAsia="es-MX"/>
        </w:rPr>
        <w:t xml:space="preserve">en: </w:t>
      </w:r>
    </w:p>
    <w:tbl>
      <w:tblPr>
        <w:tblStyle w:val="Tablaconcuadrcula"/>
        <w:tblW w:w="5000" w:type="pct"/>
        <w:jc w:val="center"/>
        <w:tblLook w:val="04A0" w:firstRow="1" w:lastRow="0" w:firstColumn="1" w:lastColumn="0" w:noHBand="0" w:noVBand="1"/>
        <w:tblCaption w:val="Equipo declarado pérdida en beneficio de la Nación."/>
        <w:tblDescription w:val="En una tabla de 5 columnas se describen los equipos asegurados por el Instituto:&#10;1.- Equipo Transmisor, Sin marca, Sin modelo, Sin número de serie y Sello de aseguramiento 138-15.&#10;2.- Equipo Antena omnidireccional, Sin marca, Sin modelo, Sin número de serie y Sello de aseguramiento 139-15.&#10;3.- Equipo Lap Top, Marca Toshiba, Sin modelo, Sin número de serie y Sello de aseguramiento 140-15.&#10;"/>
      </w:tblPr>
      <w:tblGrid>
        <w:gridCol w:w="1951"/>
        <w:gridCol w:w="1433"/>
        <w:gridCol w:w="1495"/>
        <w:gridCol w:w="2062"/>
        <w:gridCol w:w="1887"/>
      </w:tblGrid>
      <w:tr w:rsidR="00787FA1" w:rsidRPr="00787FA1" w:rsidTr="00286D8A">
        <w:trPr>
          <w:trHeight w:val="20"/>
          <w:tblHeader/>
          <w:jc w:val="center"/>
        </w:trPr>
        <w:tc>
          <w:tcPr>
            <w:tcW w:w="1104" w:type="pct"/>
            <w:shd w:val="clear" w:color="auto" w:fill="BFBFBF" w:themeFill="background1" w:themeFillShade="BF"/>
            <w:vAlign w:val="center"/>
          </w:tcPr>
          <w:p w:rsidR="00787FA1" w:rsidRPr="00787FA1" w:rsidRDefault="00787FA1" w:rsidP="009527DA">
            <w:pPr>
              <w:spacing w:after="0" w:line="240" w:lineRule="auto"/>
              <w:jc w:val="center"/>
              <w:rPr>
                <w:rFonts w:ascii="ITC Avant Garde" w:hAnsi="ITC Avant Garde" w:cs="Arial"/>
                <w:b/>
              </w:rPr>
            </w:pPr>
            <w:r w:rsidRPr="00787FA1">
              <w:rPr>
                <w:rFonts w:ascii="ITC Avant Garde" w:hAnsi="ITC Avant Garde" w:cs="Arial"/>
                <w:b/>
              </w:rPr>
              <w:t>Equipo</w:t>
            </w:r>
          </w:p>
        </w:tc>
        <w:tc>
          <w:tcPr>
            <w:tcW w:w="811" w:type="pct"/>
            <w:shd w:val="clear" w:color="auto" w:fill="BFBFBF" w:themeFill="background1" w:themeFillShade="BF"/>
            <w:vAlign w:val="center"/>
          </w:tcPr>
          <w:p w:rsidR="00787FA1" w:rsidRPr="00787FA1" w:rsidRDefault="00787FA1" w:rsidP="009527DA">
            <w:pPr>
              <w:spacing w:after="0" w:line="240" w:lineRule="auto"/>
              <w:jc w:val="center"/>
              <w:rPr>
                <w:rFonts w:ascii="ITC Avant Garde" w:hAnsi="ITC Avant Garde" w:cs="Arial"/>
                <w:b/>
              </w:rPr>
            </w:pPr>
            <w:r w:rsidRPr="00787FA1">
              <w:rPr>
                <w:rFonts w:ascii="ITC Avant Garde" w:hAnsi="ITC Avant Garde" w:cs="Arial"/>
                <w:b/>
              </w:rPr>
              <w:t>Marca</w:t>
            </w:r>
          </w:p>
        </w:tc>
        <w:tc>
          <w:tcPr>
            <w:tcW w:w="847" w:type="pct"/>
            <w:shd w:val="clear" w:color="auto" w:fill="BFBFBF" w:themeFill="background1" w:themeFillShade="BF"/>
            <w:vAlign w:val="center"/>
          </w:tcPr>
          <w:p w:rsidR="00787FA1" w:rsidRPr="00787FA1" w:rsidRDefault="00787FA1" w:rsidP="009527DA">
            <w:pPr>
              <w:spacing w:after="0" w:line="240" w:lineRule="auto"/>
              <w:jc w:val="center"/>
              <w:rPr>
                <w:rFonts w:ascii="ITC Avant Garde" w:hAnsi="ITC Avant Garde" w:cs="Arial"/>
                <w:b/>
              </w:rPr>
            </w:pPr>
            <w:r w:rsidRPr="00787FA1">
              <w:rPr>
                <w:rFonts w:ascii="ITC Avant Garde" w:hAnsi="ITC Avant Garde" w:cs="Arial"/>
                <w:b/>
              </w:rPr>
              <w:t>Modelo</w:t>
            </w:r>
          </w:p>
        </w:tc>
        <w:tc>
          <w:tcPr>
            <w:tcW w:w="1168" w:type="pct"/>
            <w:shd w:val="clear" w:color="auto" w:fill="BFBFBF" w:themeFill="background1" w:themeFillShade="BF"/>
            <w:vAlign w:val="center"/>
          </w:tcPr>
          <w:p w:rsidR="00787FA1" w:rsidRPr="00787FA1" w:rsidRDefault="00787FA1" w:rsidP="009527DA">
            <w:pPr>
              <w:spacing w:after="0" w:line="240" w:lineRule="auto"/>
              <w:jc w:val="center"/>
              <w:rPr>
                <w:rFonts w:ascii="ITC Avant Garde" w:hAnsi="ITC Avant Garde" w:cs="Arial"/>
                <w:b/>
              </w:rPr>
            </w:pPr>
            <w:r w:rsidRPr="00787FA1">
              <w:rPr>
                <w:rFonts w:ascii="ITC Avant Garde" w:hAnsi="ITC Avant Garde" w:cs="Arial"/>
                <w:b/>
              </w:rPr>
              <w:t>Número de Serie</w:t>
            </w:r>
          </w:p>
        </w:tc>
        <w:tc>
          <w:tcPr>
            <w:tcW w:w="1069" w:type="pct"/>
            <w:shd w:val="clear" w:color="auto" w:fill="BFBFBF" w:themeFill="background1" w:themeFillShade="BF"/>
            <w:vAlign w:val="center"/>
          </w:tcPr>
          <w:p w:rsidR="00787FA1" w:rsidRPr="00787FA1" w:rsidRDefault="00787FA1" w:rsidP="009527DA">
            <w:pPr>
              <w:spacing w:after="0" w:line="240" w:lineRule="auto"/>
              <w:jc w:val="center"/>
              <w:rPr>
                <w:rFonts w:ascii="ITC Avant Garde" w:hAnsi="ITC Avant Garde" w:cs="Arial"/>
                <w:b/>
              </w:rPr>
            </w:pPr>
            <w:r w:rsidRPr="00787FA1">
              <w:rPr>
                <w:rFonts w:ascii="ITC Avant Garde" w:hAnsi="ITC Avant Garde" w:cs="Arial"/>
                <w:b/>
              </w:rPr>
              <w:t>Sello de aseguramiento</w:t>
            </w:r>
          </w:p>
        </w:tc>
      </w:tr>
      <w:tr w:rsidR="00787FA1" w:rsidRPr="00787FA1" w:rsidTr="00286D8A">
        <w:trPr>
          <w:trHeight w:val="20"/>
          <w:jc w:val="center"/>
        </w:trPr>
        <w:tc>
          <w:tcPr>
            <w:tcW w:w="1104"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 xml:space="preserve">Transmisor </w:t>
            </w:r>
          </w:p>
        </w:tc>
        <w:tc>
          <w:tcPr>
            <w:tcW w:w="811"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Sin marca</w:t>
            </w:r>
          </w:p>
        </w:tc>
        <w:tc>
          <w:tcPr>
            <w:tcW w:w="847"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 xml:space="preserve">Sin modelo </w:t>
            </w:r>
          </w:p>
        </w:tc>
        <w:tc>
          <w:tcPr>
            <w:tcW w:w="1168" w:type="pct"/>
            <w:vAlign w:val="center"/>
          </w:tcPr>
          <w:p w:rsidR="00787FA1" w:rsidRPr="00787FA1" w:rsidRDefault="00787FA1" w:rsidP="009527DA">
            <w:pPr>
              <w:spacing w:after="0" w:line="240" w:lineRule="auto"/>
              <w:jc w:val="both"/>
              <w:rPr>
                <w:rFonts w:ascii="ITC Avant Garde" w:hAnsi="ITC Avant Garde"/>
              </w:rPr>
            </w:pPr>
            <w:r w:rsidRPr="00787FA1">
              <w:rPr>
                <w:rFonts w:ascii="ITC Avant Garde" w:hAnsi="ITC Avant Garde"/>
              </w:rPr>
              <w:t xml:space="preserve">Sin número de serie </w:t>
            </w:r>
          </w:p>
        </w:tc>
        <w:tc>
          <w:tcPr>
            <w:tcW w:w="1069"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138-15</w:t>
            </w:r>
          </w:p>
        </w:tc>
      </w:tr>
      <w:tr w:rsidR="00787FA1" w:rsidRPr="00787FA1" w:rsidTr="00286D8A">
        <w:trPr>
          <w:trHeight w:val="20"/>
          <w:jc w:val="center"/>
        </w:trPr>
        <w:tc>
          <w:tcPr>
            <w:tcW w:w="1104"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 xml:space="preserve">Antena omnidireccional </w:t>
            </w:r>
          </w:p>
        </w:tc>
        <w:tc>
          <w:tcPr>
            <w:tcW w:w="811"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Sin marca</w:t>
            </w:r>
          </w:p>
        </w:tc>
        <w:tc>
          <w:tcPr>
            <w:tcW w:w="847"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 xml:space="preserve">Sin modelo </w:t>
            </w:r>
          </w:p>
        </w:tc>
        <w:tc>
          <w:tcPr>
            <w:tcW w:w="1168" w:type="pct"/>
            <w:vAlign w:val="center"/>
          </w:tcPr>
          <w:p w:rsidR="00787FA1" w:rsidRPr="00787FA1" w:rsidRDefault="00787FA1" w:rsidP="009527DA">
            <w:pPr>
              <w:spacing w:after="0" w:line="240" w:lineRule="auto"/>
              <w:jc w:val="both"/>
              <w:rPr>
                <w:rFonts w:ascii="ITC Avant Garde" w:hAnsi="ITC Avant Garde"/>
              </w:rPr>
            </w:pPr>
            <w:r w:rsidRPr="00787FA1">
              <w:rPr>
                <w:rFonts w:ascii="ITC Avant Garde" w:hAnsi="ITC Avant Garde"/>
              </w:rPr>
              <w:t xml:space="preserve">Sin número de serie </w:t>
            </w:r>
          </w:p>
        </w:tc>
        <w:tc>
          <w:tcPr>
            <w:tcW w:w="1069"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139-15</w:t>
            </w:r>
          </w:p>
        </w:tc>
      </w:tr>
      <w:tr w:rsidR="00787FA1" w:rsidRPr="00787FA1" w:rsidTr="00286D8A">
        <w:trPr>
          <w:trHeight w:val="498"/>
          <w:jc w:val="center"/>
        </w:trPr>
        <w:tc>
          <w:tcPr>
            <w:tcW w:w="1104" w:type="pct"/>
            <w:vAlign w:val="center"/>
          </w:tcPr>
          <w:p w:rsidR="00787FA1" w:rsidRPr="00787FA1" w:rsidRDefault="00787FA1" w:rsidP="009527DA">
            <w:pPr>
              <w:spacing w:after="0" w:line="240" w:lineRule="auto"/>
              <w:jc w:val="center"/>
              <w:rPr>
                <w:rFonts w:ascii="ITC Avant Garde" w:hAnsi="ITC Avant Garde"/>
              </w:rPr>
            </w:pPr>
            <w:proofErr w:type="spellStart"/>
            <w:r w:rsidRPr="00787FA1">
              <w:rPr>
                <w:rFonts w:ascii="ITC Avant Garde" w:hAnsi="ITC Avant Garde"/>
              </w:rPr>
              <w:t>Lap</w:t>
            </w:r>
            <w:proofErr w:type="spellEnd"/>
            <w:r w:rsidRPr="00787FA1">
              <w:rPr>
                <w:rFonts w:ascii="ITC Avant Garde" w:hAnsi="ITC Avant Garde"/>
              </w:rPr>
              <w:t xml:space="preserve"> Top</w:t>
            </w:r>
          </w:p>
        </w:tc>
        <w:tc>
          <w:tcPr>
            <w:tcW w:w="811"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Toshiba</w:t>
            </w:r>
          </w:p>
        </w:tc>
        <w:tc>
          <w:tcPr>
            <w:tcW w:w="847"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Sin modelo</w:t>
            </w:r>
          </w:p>
        </w:tc>
        <w:tc>
          <w:tcPr>
            <w:tcW w:w="1168" w:type="pct"/>
            <w:vAlign w:val="center"/>
          </w:tcPr>
          <w:p w:rsidR="00787FA1" w:rsidRPr="00787FA1" w:rsidRDefault="00787FA1" w:rsidP="009527DA">
            <w:pPr>
              <w:spacing w:after="0" w:line="240" w:lineRule="auto"/>
              <w:jc w:val="both"/>
              <w:rPr>
                <w:rFonts w:ascii="ITC Avant Garde" w:hAnsi="ITC Avant Garde"/>
              </w:rPr>
            </w:pPr>
            <w:r w:rsidRPr="00787FA1">
              <w:rPr>
                <w:rFonts w:ascii="ITC Avant Garde" w:hAnsi="ITC Avant Garde"/>
              </w:rPr>
              <w:t>Sin número de serie</w:t>
            </w:r>
          </w:p>
        </w:tc>
        <w:tc>
          <w:tcPr>
            <w:tcW w:w="1069" w:type="pct"/>
            <w:vAlign w:val="center"/>
          </w:tcPr>
          <w:p w:rsidR="00787FA1" w:rsidRPr="00787FA1" w:rsidRDefault="00787FA1" w:rsidP="009527DA">
            <w:pPr>
              <w:spacing w:after="0" w:line="240" w:lineRule="auto"/>
              <w:jc w:val="center"/>
              <w:rPr>
                <w:rFonts w:ascii="ITC Avant Garde" w:hAnsi="ITC Avant Garde"/>
              </w:rPr>
            </w:pPr>
            <w:r w:rsidRPr="00787FA1">
              <w:rPr>
                <w:rFonts w:ascii="ITC Avant Garde" w:hAnsi="ITC Avant Garde"/>
              </w:rPr>
              <w:t>140-15</w:t>
            </w:r>
          </w:p>
        </w:tc>
      </w:tr>
    </w:tbl>
    <w:p w:rsidR="005E42EA" w:rsidRPr="006B4350" w:rsidRDefault="005E42EA" w:rsidP="00B34C88">
      <w:pPr>
        <w:pStyle w:val="Textoindependiente"/>
        <w:spacing w:before="240" w:line="360" w:lineRule="auto"/>
        <w:jc w:val="both"/>
        <w:rPr>
          <w:rFonts w:ascii="ITC Avant Garde" w:eastAsia="Times New Roman" w:hAnsi="ITC Avant Garde"/>
          <w:bCs/>
          <w:color w:val="000000"/>
          <w:lang w:eastAsia="es-MX"/>
        </w:rPr>
      </w:pPr>
      <w:r w:rsidRPr="006B4350">
        <w:rPr>
          <w:rFonts w:ascii="ITC Avant Garde" w:eastAsia="Times New Roman" w:hAnsi="ITC Avant Garde"/>
          <w:b/>
          <w:lang w:eastAsia="es-MX"/>
        </w:rPr>
        <w:t>TERCERO.</w:t>
      </w:r>
      <w:r w:rsidRPr="006B4350">
        <w:rPr>
          <w:rFonts w:ascii="ITC Avant Garde" w:eastAsia="Times New Roman" w:hAnsi="ITC Avant Garde"/>
          <w:lang w:eastAsia="es-MX"/>
        </w:rPr>
        <w:t xml:space="preserve"> Se instruye a la Unidad de Cumplimiento, para que a través de la Dirección General de Verificación, </w:t>
      </w:r>
      <w:r>
        <w:rPr>
          <w:rFonts w:ascii="ITC Avant Garde" w:eastAsia="Times New Roman" w:hAnsi="ITC Avant Garde"/>
          <w:lang w:eastAsia="es-MX"/>
        </w:rPr>
        <w:t xml:space="preserve">informe al depositario que deberá poner a disposición de dicha Unidad Administrativa </w:t>
      </w:r>
      <w:r w:rsidRPr="006B4350">
        <w:rPr>
          <w:rFonts w:ascii="ITC Avant Garde" w:eastAsia="Times New Roman" w:hAnsi="ITC Avant Garde"/>
          <w:lang w:eastAsia="es-MX"/>
        </w:rPr>
        <w:t xml:space="preserve">los bienes que pasan a poder de la Nación, </w:t>
      </w:r>
      <w:r>
        <w:rPr>
          <w:rFonts w:ascii="ITC Avant Garde" w:eastAsia="Times New Roman" w:hAnsi="ITC Avant Garde"/>
          <w:lang w:eastAsia="es-MX"/>
        </w:rPr>
        <w:t>en términos de la presente Resolución.</w:t>
      </w:r>
    </w:p>
    <w:p w:rsidR="00CF69F0" w:rsidRPr="00787FA1" w:rsidRDefault="00137EB3" w:rsidP="00B34C88">
      <w:pPr>
        <w:tabs>
          <w:tab w:val="left" w:pos="993"/>
        </w:tabs>
        <w:spacing w:after="120" w:line="360" w:lineRule="auto"/>
        <w:jc w:val="both"/>
        <w:rPr>
          <w:rFonts w:ascii="ITC Avant Garde" w:eastAsia="Times New Roman" w:hAnsi="ITC Avant Garde"/>
          <w:lang w:eastAsia="es-MX"/>
        </w:rPr>
      </w:pPr>
      <w:r w:rsidRPr="00787FA1">
        <w:rPr>
          <w:rFonts w:ascii="ITC Avant Garde" w:eastAsia="Times New Roman" w:hAnsi="ITC Avant Garde"/>
          <w:b/>
          <w:lang w:eastAsia="es-MX"/>
        </w:rPr>
        <w:t>CUARTO.</w:t>
      </w:r>
      <w:r w:rsidRPr="00787FA1">
        <w:rPr>
          <w:rFonts w:ascii="ITC Avant Garde" w:eastAsia="Times New Roman" w:hAnsi="ITC Avant Garde"/>
          <w:lang w:eastAsia="es-MX"/>
        </w:rPr>
        <w:t xml:space="preserve"> </w:t>
      </w:r>
      <w:r w:rsidR="00CF69F0" w:rsidRPr="00787FA1">
        <w:rPr>
          <w:rFonts w:ascii="ITC Avant Garde" w:eastAsia="Times New Roman" w:hAnsi="ITC Avant Garde"/>
          <w:lang w:eastAsia="es-MX"/>
        </w:rPr>
        <w:t xml:space="preserve">Con fundamento en el artículo 35, fracción I de la Ley Federal de Procedimiento Administrativo, se ordena que la presente Resolución se notifique al </w:t>
      </w:r>
      <w:r w:rsidR="00787FA1" w:rsidRPr="00787FA1">
        <w:rPr>
          <w:rFonts w:ascii="ITC Avant Garde" w:eastAsia="Times New Roman" w:hAnsi="ITC Avant Garde"/>
          <w:b/>
          <w:lang w:eastAsia="es-MX"/>
        </w:rPr>
        <w:lastRenderedPageBreak/>
        <w:t>“</w:t>
      </w:r>
      <w:r w:rsidR="00CF69F0" w:rsidRPr="00787FA1">
        <w:rPr>
          <w:rFonts w:ascii="ITC Avant Garde" w:eastAsia="Times New Roman" w:hAnsi="ITC Avant Garde"/>
          <w:b/>
          <w:caps/>
          <w:lang w:eastAsia="es-MX"/>
        </w:rPr>
        <w:t>presunto responsable</w:t>
      </w:r>
      <w:r w:rsidR="00787FA1" w:rsidRPr="00787FA1">
        <w:rPr>
          <w:rFonts w:ascii="ITC Avant Garde" w:eastAsia="Times New Roman" w:hAnsi="ITC Avant Garde"/>
          <w:b/>
          <w:caps/>
          <w:lang w:eastAsia="es-MX"/>
        </w:rPr>
        <w:t>”</w:t>
      </w:r>
      <w:r w:rsidR="00CF69F0" w:rsidRPr="00787FA1">
        <w:rPr>
          <w:rFonts w:ascii="ITC Avant Garde" w:eastAsia="Times New Roman" w:hAnsi="ITC Avant Garde"/>
          <w:lang w:eastAsia="es-MX"/>
        </w:rPr>
        <w:t xml:space="preserve"> en el domicilio precisado en el proemio de la presente Resolución. </w:t>
      </w:r>
    </w:p>
    <w:p w:rsidR="00CF69F0" w:rsidRPr="00787FA1" w:rsidRDefault="00137EB3" w:rsidP="00B34C88">
      <w:pPr>
        <w:tabs>
          <w:tab w:val="left" w:pos="993"/>
        </w:tabs>
        <w:spacing w:after="120" w:line="360" w:lineRule="auto"/>
        <w:jc w:val="both"/>
        <w:rPr>
          <w:rFonts w:ascii="ITC Avant Garde" w:eastAsia="Times New Roman" w:hAnsi="ITC Avant Garde"/>
          <w:lang w:eastAsia="es-MX"/>
        </w:rPr>
      </w:pPr>
      <w:r w:rsidRPr="00787FA1">
        <w:rPr>
          <w:rFonts w:ascii="ITC Avant Garde" w:eastAsia="Times New Roman" w:hAnsi="ITC Avant Garde"/>
          <w:b/>
          <w:lang w:eastAsia="es-MX"/>
        </w:rPr>
        <w:t xml:space="preserve">QUINTO. </w:t>
      </w:r>
      <w:r w:rsidR="00CF69F0" w:rsidRPr="00787FA1">
        <w:rPr>
          <w:rFonts w:ascii="ITC Avant Garde" w:eastAsia="Times New Roman" w:hAnsi="ITC Avant Garde"/>
          <w:lang w:eastAsia="es-MX"/>
        </w:rPr>
        <w:t xml:space="preserve">En términos del artículo 3, fracción XIV de la Ley Federal del Procedimiento Administrativo, de aplicación supletoria a la Ley Federal de Telecomunicaciones y Radiodifusión, se informa al </w:t>
      </w:r>
      <w:r w:rsidR="00787FA1" w:rsidRPr="00787FA1">
        <w:rPr>
          <w:rFonts w:ascii="ITC Avant Garde" w:eastAsia="Times New Roman" w:hAnsi="ITC Avant Garde"/>
          <w:b/>
          <w:lang w:eastAsia="es-MX"/>
        </w:rPr>
        <w:t>“</w:t>
      </w:r>
      <w:r w:rsidR="00CF69F0" w:rsidRPr="00787FA1">
        <w:rPr>
          <w:rFonts w:ascii="ITC Avant Garde" w:eastAsia="Times New Roman" w:hAnsi="ITC Avant Garde"/>
          <w:b/>
          <w:caps/>
          <w:lang w:eastAsia="es-MX"/>
        </w:rPr>
        <w:t>presunto responsable</w:t>
      </w:r>
      <w:r w:rsidR="00787FA1" w:rsidRPr="00787FA1">
        <w:rPr>
          <w:rFonts w:ascii="ITC Avant Garde" w:eastAsia="Times New Roman" w:hAnsi="ITC Avant Garde"/>
          <w:b/>
          <w:caps/>
          <w:lang w:eastAsia="es-MX"/>
        </w:rPr>
        <w:t>”</w:t>
      </w:r>
      <w:r w:rsidR="00CF69F0" w:rsidRPr="00787FA1">
        <w:rPr>
          <w:rFonts w:ascii="ITC Avant Garde" w:eastAsia="Times New Roman" w:hAnsi="ITC Avant Garde"/>
          <w:lang w:eastAsia="es-MX"/>
        </w:rPr>
        <w:t xml:space="preserve"> </w:t>
      </w:r>
      <w:r w:rsidR="00CF69F0" w:rsidRPr="00787FA1">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00CF69F0" w:rsidRPr="00787FA1">
        <w:rPr>
          <w:rFonts w:ascii="ITC Avant Garde" w:hAnsi="ITC Avant Garde"/>
          <w:color w:val="000000"/>
        </w:rPr>
        <w:t>Avenida Insurgentes Sur número 838, cuarto piso, Colonia Del Valle, Delegación Benito Juárez, Ciudad de México, Código Postal 03100</w:t>
      </w:r>
      <w:r w:rsidR="00CF69F0" w:rsidRPr="00787FA1">
        <w:rPr>
          <w:rFonts w:ascii="ITC Avant Garde" w:eastAsia="Times New Roman" w:hAnsi="ITC Avant Garde"/>
          <w:bCs/>
          <w:color w:val="000000"/>
          <w:lang w:eastAsia="es-MX"/>
        </w:rPr>
        <w:t xml:space="preserve">, </w:t>
      </w:r>
      <w:r w:rsidR="00CF69F0" w:rsidRPr="00787FA1">
        <w:rPr>
          <w:rFonts w:ascii="ITC Avant Garde" w:eastAsia="Times New Roman" w:hAnsi="ITC Avant Garde"/>
          <w:lang w:eastAsia="es-MX"/>
        </w:rPr>
        <w:t xml:space="preserve">(Edificio Alterno  de este Instituto), </w:t>
      </w:r>
      <w:r w:rsidR="00CF69F0" w:rsidRPr="00787FA1">
        <w:rPr>
          <w:rFonts w:ascii="ITC Avant Garde" w:eastAsia="Times New Roman" w:hAnsi="ITC Avant Garde"/>
          <w:bCs/>
          <w:color w:val="000000"/>
          <w:lang w:eastAsia="es-MX"/>
        </w:rPr>
        <w:t>dentro del siguiente horario: de lunes a jueves de las 9:00 a las 18:30 horas y los viernes de las 9:00 a las 15:00 horas.</w:t>
      </w:r>
    </w:p>
    <w:p w:rsidR="00CF69F0" w:rsidRPr="00787FA1" w:rsidRDefault="00137EB3" w:rsidP="00B34C88">
      <w:pPr>
        <w:tabs>
          <w:tab w:val="left" w:pos="993"/>
        </w:tabs>
        <w:spacing w:after="120" w:line="360" w:lineRule="auto"/>
        <w:jc w:val="both"/>
        <w:rPr>
          <w:rFonts w:ascii="ITC Avant Garde" w:eastAsia="Times New Roman" w:hAnsi="ITC Avant Garde"/>
          <w:bCs/>
          <w:lang w:eastAsia="es-MX"/>
        </w:rPr>
      </w:pPr>
      <w:r w:rsidRPr="00787FA1">
        <w:rPr>
          <w:rFonts w:ascii="ITC Avant Garde" w:eastAsia="Times New Roman" w:hAnsi="ITC Avant Garde"/>
          <w:b/>
          <w:lang w:eastAsia="es-MX"/>
        </w:rPr>
        <w:t>SEXTO</w:t>
      </w:r>
      <w:r w:rsidR="00CF69F0" w:rsidRPr="00787FA1">
        <w:rPr>
          <w:rFonts w:ascii="ITC Avant Garde" w:eastAsia="Times New Roman" w:hAnsi="ITC Avant Garde"/>
          <w:b/>
          <w:lang w:eastAsia="es-MX"/>
        </w:rPr>
        <w:t>.</w:t>
      </w:r>
      <w:r w:rsidR="00CF69F0" w:rsidRPr="00787FA1">
        <w:rPr>
          <w:rFonts w:ascii="ITC Avant Garde" w:eastAsia="Times New Roman" w:hAnsi="ITC Avant Garde"/>
          <w:bCs/>
          <w:lang w:eastAsia="es-MX"/>
        </w:rPr>
        <w:t xml:space="preserve"> En cumplimiento a lo dispuesto en los artículos 3, fracción XV y 39 de la Ley Federal de Procedimiento Administrativo, se hace del conocimiento del </w:t>
      </w:r>
      <w:r w:rsidR="00787FA1" w:rsidRPr="00787FA1">
        <w:rPr>
          <w:rFonts w:ascii="ITC Avant Garde" w:eastAsia="Times New Roman" w:hAnsi="ITC Avant Garde"/>
          <w:b/>
          <w:bCs/>
          <w:lang w:eastAsia="es-MX"/>
        </w:rPr>
        <w:t>“</w:t>
      </w:r>
      <w:r w:rsidR="00CF69F0" w:rsidRPr="00787FA1">
        <w:rPr>
          <w:rFonts w:ascii="ITC Avant Garde" w:eastAsia="Times New Roman" w:hAnsi="ITC Avant Garde"/>
          <w:b/>
          <w:caps/>
          <w:lang w:eastAsia="es-MX"/>
        </w:rPr>
        <w:t>presunto responsable</w:t>
      </w:r>
      <w:r w:rsidR="00787FA1" w:rsidRPr="00787FA1">
        <w:rPr>
          <w:rFonts w:ascii="ITC Avant Garde" w:eastAsia="Times New Roman" w:hAnsi="ITC Avant Garde"/>
          <w:b/>
          <w:caps/>
          <w:lang w:eastAsia="es-MX"/>
        </w:rPr>
        <w:t>”</w:t>
      </w:r>
      <w:r w:rsidR="00CF69F0" w:rsidRPr="00787FA1">
        <w:rPr>
          <w:rFonts w:ascii="ITC Avant Garde" w:eastAsia="Times New Roman" w:hAnsi="ITC Avant Garde"/>
          <w:bCs/>
          <w:lang w:eastAsia="es-MX"/>
        </w:rPr>
        <w:t xml:space="preserve"> que la presente Resolución constituye un acto administrativo definitivo y por lo tanto, de conformidad con lo dispuesto en el artículo 28 de la Constitución Política de los Estados Unidos Mexicanos, en relación con el diverso 312 de la Ley Federal de Telecomunicaciones y Radiodifusión, procede interponer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contados a partir de que surta efectos la notificación de la presente resolución, en términos del artículo 17</w:t>
      </w:r>
      <w:r w:rsidR="00CF69F0" w:rsidRPr="00787FA1">
        <w:rPr>
          <w:rFonts w:ascii="ITC Avant Garde" w:hAnsi="ITC Avant Garde"/>
        </w:rPr>
        <w:t xml:space="preserve"> </w:t>
      </w:r>
      <w:r w:rsidR="00CF69F0" w:rsidRPr="00787FA1">
        <w:rPr>
          <w:rFonts w:ascii="ITC Avant Garde" w:eastAsia="Times New Roman" w:hAnsi="ITC Avant Garde"/>
          <w:bCs/>
          <w:lang w:eastAsia="es-MX"/>
        </w:rPr>
        <w:t>de la Ley de Amparo, Reglamentaria de los artículos 103 y 107 de la Constitución Política de los Estados Unidos Mexicanos.</w:t>
      </w:r>
    </w:p>
    <w:p w:rsidR="006673AA" w:rsidRDefault="006673AA" w:rsidP="00B34C88">
      <w:pPr>
        <w:tabs>
          <w:tab w:val="left" w:pos="993"/>
        </w:tabs>
        <w:spacing w:after="120" w:line="360" w:lineRule="auto"/>
        <w:jc w:val="both"/>
        <w:rPr>
          <w:rFonts w:ascii="ITC Avant Garde" w:eastAsia="Times New Roman" w:hAnsi="ITC Avant Garde"/>
          <w:color w:val="000000"/>
          <w:lang w:eastAsia="es-MX"/>
        </w:rPr>
      </w:pPr>
      <w:r w:rsidRPr="006B4350">
        <w:rPr>
          <w:rFonts w:ascii="ITC Avant Garde" w:eastAsia="Times New Roman" w:hAnsi="ITC Avant Garde"/>
          <w:b/>
          <w:bCs/>
          <w:lang w:eastAsia="es-MX"/>
        </w:rPr>
        <w:t>SÉPTIMO.</w:t>
      </w:r>
      <w:r w:rsidRPr="006B4350">
        <w:rPr>
          <w:rFonts w:ascii="ITC Avant Garde" w:eastAsia="Times New Roman" w:hAnsi="ITC Avant Garde"/>
          <w:bCs/>
          <w:lang w:eastAsia="es-MX"/>
        </w:rPr>
        <w:t xml:space="preserve"> </w:t>
      </w:r>
      <w:r w:rsidRPr="0016266A">
        <w:rPr>
          <w:rFonts w:ascii="ITC Avant Garde" w:eastAsia="Times New Roman" w:hAnsi="ITC Avant Garde"/>
          <w:color w:val="000000"/>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Comunicaciones, para todos los efectos a que haya lugar.</w:t>
      </w:r>
    </w:p>
    <w:p w:rsidR="006673AA" w:rsidRPr="006B4350" w:rsidRDefault="006673AA" w:rsidP="00B34C88">
      <w:pPr>
        <w:tabs>
          <w:tab w:val="left" w:pos="993"/>
        </w:tabs>
        <w:spacing w:after="120" w:line="360" w:lineRule="auto"/>
        <w:jc w:val="both"/>
        <w:rPr>
          <w:rFonts w:ascii="ITC Avant Garde" w:eastAsia="Times New Roman" w:hAnsi="ITC Avant Garde"/>
          <w:bCs/>
          <w:lang w:eastAsia="es-MX"/>
        </w:rPr>
      </w:pPr>
      <w:r>
        <w:rPr>
          <w:rFonts w:ascii="ITC Avant Garde" w:eastAsia="Times New Roman" w:hAnsi="ITC Avant Garde"/>
          <w:b/>
          <w:bCs/>
          <w:lang w:eastAsia="es-MX"/>
        </w:rPr>
        <w:lastRenderedPageBreak/>
        <w:t xml:space="preserve">OCTAVO. </w:t>
      </w:r>
      <w:r w:rsidRPr="006B4350">
        <w:rPr>
          <w:rFonts w:ascii="ITC Avant Garde" w:eastAsia="Times New Roman" w:hAnsi="ITC Avant Garde"/>
          <w:bCs/>
          <w:lang w:eastAsia="es-MX"/>
        </w:rPr>
        <w:t>En su oportunidad archívese el expediente como asunto total y definitivamente concluido.</w:t>
      </w:r>
    </w:p>
    <w:p w:rsidR="006673AA" w:rsidRDefault="006673AA" w:rsidP="00B34C88">
      <w:pPr>
        <w:tabs>
          <w:tab w:val="left" w:pos="993"/>
        </w:tabs>
        <w:spacing w:after="120" w:line="360" w:lineRule="auto"/>
        <w:jc w:val="both"/>
        <w:rPr>
          <w:rFonts w:ascii="ITC Avant Garde" w:eastAsia="Times New Roman" w:hAnsi="ITC Avant Garde"/>
          <w:bCs/>
          <w:lang w:eastAsia="es-MX"/>
        </w:rPr>
      </w:pPr>
      <w:r w:rsidRPr="006B4350">
        <w:rPr>
          <w:rFonts w:ascii="ITC Avant Garde" w:eastAsia="Times New Roman" w:hAnsi="ITC Avant Garde"/>
          <w:bCs/>
          <w:lang w:eastAsia="es-MX"/>
        </w:rPr>
        <w:t xml:space="preserve">Así lo resolvió el Pleno del Instituto Federal de Telecomunicaciones, con fundamento en </w:t>
      </w:r>
      <w:r w:rsidR="008861BF">
        <w:rPr>
          <w:rFonts w:ascii="ITC Avant Garde" w:eastAsia="Times New Roman" w:hAnsi="ITC Avant Garde"/>
          <w:bCs/>
          <w:lang w:eastAsia="es-MX"/>
        </w:rPr>
        <w:t>los artículos señalados en los c</w:t>
      </w:r>
      <w:r w:rsidRPr="006B4350">
        <w:rPr>
          <w:rFonts w:ascii="ITC Avant Garde" w:eastAsia="Times New Roman" w:hAnsi="ITC Avant Garde"/>
          <w:bCs/>
          <w:lang w:eastAsia="es-MX"/>
        </w:rPr>
        <w:t>onsider</w:t>
      </w:r>
      <w:r>
        <w:rPr>
          <w:rFonts w:ascii="ITC Avant Garde" w:eastAsia="Times New Roman" w:hAnsi="ITC Avant Garde"/>
          <w:bCs/>
          <w:lang w:eastAsia="es-MX"/>
        </w:rPr>
        <w:t>andos</w:t>
      </w:r>
      <w:r w:rsidRPr="006B4350">
        <w:rPr>
          <w:rFonts w:ascii="ITC Avant Garde" w:eastAsia="Times New Roman" w:hAnsi="ITC Avant Garde"/>
          <w:bCs/>
          <w:lang w:eastAsia="es-MX"/>
        </w:rPr>
        <w:t xml:space="preserve"> Primero y Segundo de la presente Resolución.</w:t>
      </w:r>
    </w:p>
    <w:p w:rsidR="00A84011" w:rsidRDefault="003E5F50" w:rsidP="00A84011">
      <w:pPr>
        <w:pStyle w:val="Sinespaciado"/>
        <w:spacing w:after="120"/>
        <w:jc w:val="both"/>
      </w:pPr>
      <w:r w:rsidRPr="003E5F50">
        <w:rPr>
          <w:rFonts w:ascii="ITC Avant Garde" w:hAnsi="ITC Avant Garde"/>
          <w:sz w:val="14"/>
          <w:szCs w:val="14"/>
        </w:rPr>
        <w:t>La presente Resolución fue aprobada por el Pleno del Instituto Federal de Telecomunicaciones en su XX Sesión Ordinaria celebrada el 1 de julio de 2016, por unanimidad de votos de los Comisionados presentes Gabriel Oswaldo Contreras Saldívar,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P/IFT/010716/368.</w:t>
      </w:r>
    </w:p>
    <w:sectPr w:rsidR="00A84011" w:rsidSect="0035313C">
      <w:headerReference w:type="first" r:id="rId14"/>
      <w:footerReference w:type="first" r:id="rId15"/>
      <w:pgSz w:w="12240" w:h="15840"/>
      <w:pgMar w:top="2127" w:right="1701" w:bottom="1276" w:left="1701" w:header="709" w:footer="99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4FE" w:rsidRDefault="004434FE" w:rsidP="00072BC8">
      <w:pPr>
        <w:spacing w:after="0" w:line="240" w:lineRule="auto"/>
      </w:pPr>
      <w:r>
        <w:separator/>
      </w:r>
    </w:p>
  </w:endnote>
  <w:endnote w:type="continuationSeparator" w:id="0">
    <w:p w:rsidR="004434FE" w:rsidRDefault="004434FE" w:rsidP="00072BC8">
      <w:pPr>
        <w:spacing w:after="0" w:line="240" w:lineRule="auto"/>
      </w:pPr>
      <w:r>
        <w:continuationSeparator/>
      </w:r>
    </w:p>
  </w:endnote>
  <w:endnote w:type="continuationNotice" w:id="1">
    <w:p w:rsidR="004434FE" w:rsidRDefault="00443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13C" w:rsidRPr="0035313C" w:rsidRDefault="0035313C">
    <w:pPr>
      <w:pStyle w:val="Piedepgina"/>
      <w:jc w:val="center"/>
      <w:rPr>
        <w:rFonts w:ascii="ITC Avant Garde" w:hAnsi="ITC Avant Garde"/>
        <w:b/>
        <w:sz w:val="20"/>
        <w:szCs w:val="20"/>
      </w:rPr>
    </w:pPr>
    <w:r w:rsidRPr="0035313C">
      <w:rPr>
        <w:rFonts w:ascii="ITC Avant Garde" w:hAnsi="ITC Avant Garde"/>
        <w:b/>
        <w:sz w:val="20"/>
        <w:szCs w:val="20"/>
        <w:lang w:val="es-ES"/>
      </w:rPr>
      <w:t xml:space="preserve">Página </w:t>
    </w:r>
    <w:r w:rsidRPr="0035313C">
      <w:rPr>
        <w:rFonts w:ascii="ITC Avant Garde" w:hAnsi="ITC Avant Garde"/>
        <w:b/>
        <w:sz w:val="20"/>
        <w:szCs w:val="20"/>
      </w:rPr>
      <w:fldChar w:fldCharType="begin"/>
    </w:r>
    <w:r w:rsidRPr="0035313C">
      <w:rPr>
        <w:rFonts w:ascii="ITC Avant Garde" w:hAnsi="ITC Avant Garde"/>
        <w:b/>
        <w:sz w:val="20"/>
        <w:szCs w:val="20"/>
      </w:rPr>
      <w:instrText>PAGE  \* Arabic  \* MERGEFORMAT</w:instrText>
    </w:r>
    <w:r w:rsidRPr="0035313C">
      <w:rPr>
        <w:rFonts w:ascii="ITC Avant Garde" w:hAnsi="ITC Avant Garde"/>
        <w:b/>
        <w:sz w:val="20"/>
        <w:szCs w:val="20"/>
      </w:rPr>
      <w:fldChar w:fldCharType="separate"/>
    </w:r>
    <w:r w:rsidR="00C827A3" w:rsidRPr="00C827A3">
      <w:rPr>
        <w:rFonts w:ascii="ITC Avant Garde" w:hAnsi="ITC Avant Garde"/>
        <w:b/>
        <w:noProof/>
        <w:sz w:val="20"/>
        <w:szCs w:val="20"/>
        <w:lang w:val="es-ES"/>
      </w:rPr>
      <w:t>38</w:t>
    </w:r>
    <w:r w:rsidRPr="0035313C">
      <w:rPr>
        <w:rFonts w:ascii="ITC Avant Garde" w:hAnsi="ITC Avant Garde"/>
        <w:b/>
        <w:sz w:val="20"/>
        <w:szCs w:val="20"/>
      </w:rPr>
      <w:fldChar w:fldCharType="end"/>
    </w:r>
    <w:r w:rsidRPr="0035313C">
      <w:rPr>
        <w:rFonts w:ascii="ITC Avant Garde" w:hAnsi="ITC Avant Garde"/>
        <w:b/>
        <w:sz w:val="20"/>
        <w:szCs w:val="20"/>
        <w:lang w:val="es-ES"/>
      </w:rPr>
      <w:t xml:space="preserve"> de </w:t>
    </w:r>
    <w:r w:rsidRPr="0035313C">
      <w:rPr>
        <w:rFonts w:ascii="ITC Avant Garde" w:hAnsi="ITC Avant Garde"/>
        <w:b/>
        <w:sz w:val="20"/>
        <w:szCs w:val="20"/>
      </w:rPr>
      <w:fldChar w:fldCharType="begin"/>
    </w:r>
    <w:r w:rsidRPr="0035313C">
      <w:rPr>
        <w:rFonts w:ascii="ITC Avant Garde" w:hAnsi="ITC Avant Garde"/>
        <w:b/>
        <w:sz w:val="20"/>
        <w:szCs w:val="20"/>
      </w:rPr>
      <w:instrText>NUMPAGES  \* Arabic  \* MERGEFORMAT</w:instrText>
    </w:r>
    <w:r w:rsidRPr="0035313C">
      <w:rPr>
        <w:rFonts w:ascii="ITC Avant Garde" w:hAnsi="ITC Avant Garde"/>
        <w:b/>
        <w:sz w:val="20"/>
        <w:szCs w:val="20"/>
      </w:rPr>
      <w:fldChar w:fldCharType="separate"/>
    </w:r>
    <w:r w:rsidR="00C827A3" w:rsidRPr="00C827A3">
      <w:rPr>
        <w:rFonts w:ascii="ITC Avant Garde" w:hAnsi="ITC Avant Garde"/>
        <w:b/>
        <w:noProof/>
        <w:sz w:val="20"/>
        <w:szCs w:val="20"/>
        <w:lang w:val="es-ES"/>
      </w:rPr>
      <w:t>39</w:t>
    </w:r>
    <w:r w:rsidRPr="0035313C">
      <w:rPr>
        <w:rFonts w:ascii="ITC Avant Garde" w:hAnsi="ITC Avant Garde"/>
        <w:b/>
        <w:sz w:val="20"/>
        <w:szCs w:val="20"/>
      </w:rPr>
      <w:fldChar w:fldCharType="end"/>
    </w:r>
  </w:p>
  <w:p w:rsidR="004361C0" w:rsidRPr="0035313C" w:rsidRDefault="004361C0" w:rsidP="003531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13C" w:rsidRPr="0035313C" w:rsidRDefault="0035313C">
    <w:pPr>
      <w:pStyle w:val="Piedepgina"/>
      <w:jc w:val="center"/>
      <w:rPr>
        <w:rFonts w:ascii="ITC Avant Garde" w:hAnsi="ITC Avant Garde"/>
        <w:b/>
        <w:sz w:val="20"/>
        <w:szCs w:val="20"/>
      </w:rPr>
    </w:pPr>
    <w:r w:rsidRPr="0035313C">
      <w:rPr>
        <w:rFonts w:ascii="ITC Avant Garde" w:hAnsi="ITC Avant Garde"/>
        <w:b/>
        <w:sz w:val="20"/>
        <w:szCs w:val="20"/>
        <w:lang w:val="es-ES"/>
      </w:rPr>
      <w:t xml:space="preserve">Página </w:t>
    </w:r>
    <w:r w:rsidRPr="0035313C">
      <w:rPr>
        <w:rFonts w:ascii="ITC Avant Garde" w:hAnsi="ITC Avant Garde"/>
        <w:b/>
        <w:sz w:val="20"/>
        <w:szCs w:val="20"/>
      </w:rPr>
      <w:fldChar w:fldCharType="begin"/>
    </w:r>
    <w:r w:rsidRPr="0035313C">
      <w:rPr>
        <w:rFonts w:ascii="ITC Avant Garde" w:hAnsi="ITC Avant Garde"/>
        <w:b/>
        <w:sz w:val="20"/>
        <w:szCs w:val="20"/>
      </w:rPr>
      <w:instrText>PAGE  \* Arabic  \* MERGEFORMAT</w:instrText>
    </w:r>
    <w:r w:rsidRPr="0035313C">
      <w:rPr>
        <w:rFonts w:ascii="ITC Avant Garde" w:hAnsi="ITC Avant Garde"/>
        <w:b/>
        <w:sz w:val="20"/>
        <w:szCs w:val="20"/>
      </w:rPr>
      <w:fldChar w:fldCharType="separate"/>
    </w:r>
    <w:r w:rsidR="00C827A3" w:rsidRPr="00C827A3">
      <w:rPr>
        <w:rFonts w:ascii="ITC Avant Garde" w:hAnsi="ITC Avant Garde"/>
        <w:b/>
        <w:noProof/>
        <w:sz w:val="20"/>
        <w:szCs w:val="20"/>
        <w:lang w:val="es-ES"/>
      </w:rPr>
      <w:t>1</w:t>
    </w:r>
    <w:r w:rsidRPr="0035313C">
      <w:rPr>
        <w:rFonts w:ascii="ITC Avant Garde" w:hAnsi="ITC Avant Garde"/>
        <w:b/>
        <w:sz w:val="20"/>
        <w:szCs w:val="20"/>
      </w:rPr>
      <w:fldChar w:fldCharType="end"/>
    </w:r>
    <w:r w:rsidRPr="0035313C">
      <w:rPr>
        <w:rFonts w:ascii="ITC Avant Garde" w:hAnsi="ITC Avant Garde"/>
        <w:b/>
        <w:sz w:val="20"/>
        <w:szCs w:val="20"/>
        <w:lang w:val="es-ES"/>
      </w:rPr>
      <w:t xml:space="preserve"> de </w:t>
    </w:r>
    <w:r w:rsidRPr="0035313C">
      <w:rPr>
        <w:rFonts w:ascii="ITC Avant Garde" w:hAnsi="ITC Avant Garde"/>
        <w:b/>
        <w:sz w:val="20"/>
        <w:szCs w:val="20"/>
      </w:rPr>
      <w:fldChar w:fldCharType="begin"/>
    </w:r>
    <w:r w:rsidRPr="0035313C">
      <w:rPr>
        <w:rFonts w:ascii="ITC Avant Garde" w:hAnsi="ITC Avant Garde"/>
        <w:b/>
        <w:sz w:val="20"/>
        <w:szCs w:val="20"/>
      </w:rPr>
      <w:instrText>NUMPAGES  \* Arabic  \* MERGEFORMAT</w:instrText>
    </w:r>
    <w:r w:rsidRPr="0035313C">
      <w:rPr>
        <w:rFonts w:ascii="ITC Avant Garde" w:hAnsi="ITC Avant Garde"/>
        <w:b/>
        <w:sz w:val="20"/>
        <w:szCs w:val="20"/>
      </w:rPr>
      <w:fldChar w:fldCharType="separate"/>
    </w:r>
    <w:r w:rsidR="00C827A3" w:rsidRPr="00C827A3">
      <w:rPr>
        <w:rFonts w:ascii="ITC Avant Garde" w:hAnsi="ITC Avant Garde"/>
        <w:b/>
        <w:noProof/>
        <w:sz w:val="20"/>
        <w:szCs w:val="20"/>
        <w:lang w:val="es-ES"/>
      </w:rPr>
      <w:t>39</w:t>
    </w:r>
    <w:r w:rsidRPr="0035313C">
      <w:rPr>
        <w:rFonts w:ascii="ITC Avant Garde" w:hAnsi="ITC Avant Garde"/>
        <w:b/>
        <w:sz w:val="20"/>
        <w:szCs w:val="20"/>
      </w:rPr>
      <w:fldChar w:fldCharType="end"/>
    </w:r>
  </w:p>
  <w:p w:rsidR="0035313C" w:rsidRDefault="003531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4FE" w:rsidRDefault="004434FE" w:rsidP="00072BC8">
      <w:pPr>
        <w:spacing w:after="0" w:line="240" w:lineRule="auto"/>
      </w:pPr>
      <w:r>
        <w:separator/>
      </w:r>
    </w:p>
  </w:footnote>
  <w:footnote w:type="continuationSeparator" w:id="0">
    <w:p w:rsidR="004434FE" w:rsidRDefault="004434FE" w:rsidP="00072BC8">
      <w:pPr>
        <w:spacing w:after="0" w:line="240" w:lineRule="auto"/>
      </w:pPr>
      <w:r>
        <w:continuationSeparator/>
      </w:r>
    </w:p>
  </w:footnote>
  <w:footnote w:type="continuationNotice" w:id="1">
    <w:p w:rsidR="004434FE" w:rsidRDefault="004434FE">
      <w:pPr>
        <w:spacing w:after="0" w:line="240" w:lineRule="auto"/>
      </w:pPr>
    </w:p>
  </w:footnote>
  <w:footnote w:id="2">
    <w:p w:rsidR="004361C0" w:rsidRPr="00813F89" w:rsidRDefault="004361C0" w:rsidP="00813F89">
      <w:pPr>
        <w:pStyle w:val="Textonotapie"/>
        <w:jc w:val="both"/>
        <w:rPr>
          <w:rFonts w:ascii="ITC Avant Garde" w:hAnsi="ITC Avant Garde"/>
          <w:sz w:val="18"/>
          <w:szCs w:val="18"/>
        </w:rPr>
      </w:pPr>
      <w:r w:rsidRPr="00813F89">
        <w:rPr>
          <w:rStyle w:val="Refdenotaalpie"/>
          <w:rFonts w:ascii="ITC Avant Garde" w:hAnsi="ITC Avant Garde"/>
          <w:sz w:val="18"/>
          <w:szCs w:val="18"/>
        </w:rPr>
        <w:footnoteRef/>
      </w:r>
      <w:r w:rsidRPr="00813F89">
        <w:rPr>
          <w:rFonts w:ascii="ITC Avant Garde" w:hAnsi="ITC Avant Garde"/>
          <w:sz w:val="18"/>
          <w:szCs w:val="18"/>
        </w:rPr>
        <w:t xml:space="preserve"> </w:t>
      </w:r>
      <w:r w:rsidRPr="009728B5">
        <w:rPr>
          <w:rFonts w:ascii="ITC Avant Garde" w:hAnsi="ITC Avant Garde"/>
          <w:sz w:val="18"/>
          <w:szCs w:val="18"/>
        </w:rPr>
        <w:t>http://www.ift.org.mx/sites/default/files/contenidogeneral/industria/infraestructurafm14-08-15.pdf</w:t>
      </w:r>
      <w:r w:rsidRPr="00813F89">
        <w:rPr>
          <w:rFonts w:ascii="ITC Avant Garde" w:hAnsi="ITC Avant Garde"/>
          <w:sz w:val="18"/>
          <w:szCs w:val="18"/>
        </w:rPr>
        <w:t xml:space="preserve"> </w:t>
      </w:r>
    </w:p>
  </w:footnote>
  <w:footnote w:id="3">
    <w:p w:rsidR="004361C0" w:rsidRPr="00813F89" w:rsidRDefault="004361C0" w:rsidP="00813F89">
      <w:pPr>
        <w:pStyle w:val="Textonotapie"/>
        <w:jc w:val="both"/>
        <w:rPr>
          <w:rFonts w:ascii="ITC Avant Garde" w:hAnsi="ITC Avant Garde"/>
          <w:sz w:val="18"/>
          <w:szCs w:val="18"/>
        </w:rPr>
      </w:pPr>
      <w:r w:rsidRPr="00813F89">
        <w:rPr>
          <w:rStyle w:val="Refdenotaalpie"/>
          <w:rFonts w:ascii="ITC Avant Garde" w:hAnsi="ITC Avant Garde"/>
          <w:sz w:val="18"/>
          <w:szCs w:val="18"/>
        </w:rPr>
        <w:footnoteRef/>
      </w:r>
      <w:r w:rsidRPr="00813F89">
        <w:rPr>
          <w:rFonts w:ascii="ITC Avant Garde" w:hAnsi="ITC Avant Garde"/>
          <w:sz w:val="18"/>
          <w:szCs w:val="18"/>
        </w:rPr>
        <w:t xml:space="preserve"> </w:t>
      </w:r>
      <w:r>
        <w:rPr>
          <w:rFonts w:ascii="ITC Avant Garde" w:hAnsi="ITC Avant Garde"/>
          <w:sz w:val="18"/>
          <w:szCs w:val="18"/>
        </w:rPr>
        <w:t>E</w:t>
      </w:r>
      <w:r w:rsidRPr="00813F89">
        <w:rPr>
          <w:rFonts w:ascii="ITC Avant Garde" w:eastAsia="Times New Roman" w:hAnsi="ITC Avant Garde"/>
          <w:bCs/>
          <w:color w:val="000000"/>
          <w:sz w:val="18"/>
          <w:szCs w:val="18"/>
          <w:lang w:eastAsia="es-MX"/>
        </w:rPr>
        <w:t>n términos de lo previsto por el “</w:t>
      </w:r>
      <w:r w:rsidRPr="00813F89">
        <w:rPr>
          <w:rFonts w:ascii="ITC Avant Garde" w:eastAsia="Times New Roman" w:hAnsi="ITC Avant Garde"/>
          <w:bCs/>
          <w:i/>
          <w:color w:val="000000"/>
          <w:sz w:val="18"/>
          <w:szCs w:val="18"/>
          <w:lang w:eastAsia="es-MX"/>
        </w:rPr>
        <w:t>Acuerdo mediante el cual el Pleno del Instituto Federal de Telecomunicaciones aprueba su calendario anual de sesiones ordinarias y el calendario anual de labores para el año 2016 y principios de 2017”</w:t>
      </w:r>
      <w:r w:rsidRPr="00813F89">
        <w:rPr>
          <w:rFonts w:ascii="ITC Avant Garde" w:eastAsia="Times New Roman" w:hAnsi="ITC Avant Garde"/>
          <w:bCs/>
          <w:color w:val="000000"/>
          <w:sz w:val="18"/>
          <w:szCs w:val="18"/>
          <w:lang w:eastAsia="es-MX"/>
        </w:rPr>
        <w:t>, publicado en el Diario Oficial de la Federación el 24 de diciembre de 2015</w:t>
      </w:r>
    </w:p>
  </w:footnote>
  <w:footnote w:id="4">
    <w:p w:rsidR="004361C0" w:rsidRPr="00813F89" w:rsidRDefault="004361C0" w:rsidP="00813F89">
      <w:pPr>
        <w:pStyle w:val="Textonotapie"/>
        <w:jc w:val="both"/>
        <w:rPr>
          <w:rFonts w:ascii="ITC Avant Garde" w:hAnsi="ITC Avant Garde"/>
          <w:sz w:val="18"/>
          <w:szCs w:val="18"/>
        </w:rPr>
      </w:pPr>
      <w:r w:rsidRPr="00813F89">
        <w:rPr>
          <w:rStyle w:val="Refdenotaalpie"/>
          <w:rFonts w:ascii="ITC Avant Garde" w:hAnsi="ITC Avant Garde"/>
          <w:sz w:val="18"/>
          <w:szCs w:val="18"/>
        </w:rPr>
        <w:footnoteRef/>
      </w:r>
      <w:r w:rsidRPr="00813F89">
        <w:rPr>
          <w:rFonts w:ascii="ITC Avant Garde" w:hAnsi="ITC Avant Garde"/>
          <w:sz w:val="18"/>
          <w:szCs w:val="18"/>
        </w:rPr>
        <w:t xml:space="preserve"> Sobre el particular, obtuvieron gráficas de radiomonitoreo y grabaciones del audio de las transmisiones, mismas que obran en el presente expediente.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1C0" w:rsidRDefault="004434F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62" type="#_x0000_t75" style="position:absolute;margin-left:0;margin-top:0;width:612pt;height:11in;z-index:-251658752;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13C" w:rsidRPr="0035313C" w:rsidRDefault="0035313C" w:rsidP="0035313C">
    <w:pPr>
      <w:pStyle w:val="Encabezado"/>
      <w:jc w:val="both"/>
      <w:rPr>
        <w:rFonts w:ascii="ITC Avant Garde" w:hAnsi="ITC Avant Garde"/>
        <w:b/>
        <w:color w:val="0000FF"/>
        <w:sz w:val="18"/>
        <w:szCs w:val="18"/>
      </w:rPr>
    </w:pPr>
    <w:r w:rsidRPr="0035313C">
      <w:rPr>
        <w:rFonts w:ascii="ITC Avant Garde" w:hAnsi="ITC Avant Garde"/>
        <w:b/>
        <w:color w:val="0000FF"/>
        <w:sz w:val="18"/>
        <w:szCs w:val="18"/>
      </w:rPr>
      <w:t>Versión pública, de conformidad con el artículo 23 y 116, de la Ley General de Transparencia y Acceso a la Información Pública Gubernamental, publicada el cuatro de mayo de dos mil quince y artículo 47, primer párrafo, de la Ley Federal de Telecomunicaciones y Radiodifusión, publicada el catorce de julio de dos mil catorce.</w:t>
    </w:r>
  </w:p>
  <w:p w:rsidR="0035313C" w:rsidRPr="0035313C" w:rsidRDefault="0035313C" w:rsidP="003531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1" w15:restartNumberingAfterBreak="0">
    <w:nsid w:val="04FD17B4"/>
    <w:multiLevelType w:val="hybridMultilevel"/>
    <w:tmpl w:val="1C1CC15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B47802"/>
    <w:multiLevelType w:val="hybridMultilevel"/>
    <w:tmpl w:val="80A0F9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C26F9C"/>
    <w:multiLevelType w:val="hybridMultilevel"/>
    <w:tmpl w:val="1DDE3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54337"/>
    <w:multiLevelType w:val="hybridMultilevel"/>
    <w:tmpl w:val="7AA22566"/>
    <w:lvl w:ilvl="0" w:tplc="2A5A4E3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E066BD"/>
    <w:multiLevelType w:val="hybridMultilevel"/>
    <w:tmpl w:val="936ACA88"/>
    <w:lvl w:ilvl="0" w:tplc="8A9A984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9B47BE"/>
    <w:multiLevelType w:val="hybridMultilevel"/>
    <w:tmpl w:val="F4DEA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4B1BF0"/>
    <w:multiLevelType w:val="hybridMultilevel"/>
    <w:tmpl w:val="6EE85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226BDE"/>
    <w:multiLevelType w:val="hybridMultilevel"/>
    <w:tmpl w:val="3DD45B46"/>
    <w:lvl w:ilvl="0" w:tplc="7EAAAF4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E610D85"/>
    <w:multiLevelType w:val="hybridMultilevel"/>
    <w:tmpl w:val="FD7413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C03E3E"/>
    <w:multiLevelType w:val="hybridMultilevel"/>
    <w:tmpl w:val="6448A188"/>
    <w:lvl w:ilvl="0" w:tplc="8430C2F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DD170E"/>
    <w:multiLevelType w:val="hybridMultilevel"/>
    <w:tmpl w:val="B6BCEF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3221A3"/>
    <w:multiLevelType w:val="hybridMultilevel"/>
    <w:tmpl w:val="3A482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17656E4"/>
    <w:multiLevelType w:val="hybridMultilevel"/>
    <w:tmpl w:val="5700FB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4A3BF2"/>
    <w:multiLevelType w:val="hybridMultilevel"/>
    <w:tmpl w:val="55749D10"/>
    <w:lvl w:ilvl="0" w:tplc="4D6457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3B0292"/>
    <w:multiLevelType w:val="hybridMultilevel"/>
    <w:tmpl w:val="78468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C196C71"/>
    <w:multiLevelType w:val="hybridMultilevel"/>
    <w:tmpl w:val="2F8EC5D8"/>
    <w:lvl w:ilvl="0" w:tplc="8F60F082">
      <w:start w:val="1"/>
      <w:numFmt w:val="lowerRoman"/>
      <w:lvlText w:val="%1)"/>
      <w:lvlJc w:val="left"/>
      <w:pPr>
        <w:ind w:left="1400" w:hanging="720"/>
      </w:pPr>
      <w:rPr>
        <w:rFonts w:hint="default"/>
        <w:b/>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21" w15:restartNumberingAfterBreak="0">
    <w:nsid w:val="5E67687E"/>
    <w:multiLevelType w:val="hybridMultilevel"/>
    <w:tmpl w:val="14E61164"/>
    <w:lvl w:ilvl="0" w:tplc="1E842664">
      <w:start w:val="1"/>
      <w:numFmt w:val="low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A35757"/>
    <w:multiLevelType w:val="hybridMultilevel"/>
    <w:tmpl w:val="DBDE8B64"/>
    <w:lvl w:ilvl="0" w:tplc="080A0011">
      <w:start w:val="1"/>
      <w:numFmt w:val="decimal"/>
      <w:lvlText w:val="%1)"/>
      <w:lvlJc w:val="left"/>
      <w:pPr>
        <w:ind w:left="2421" w:hanging="360"/>
      </w:p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23" w15:restartNumberingAfterBreak="0">
    <w:nsid w:val="60A5654E"/>
    <w:multiLevelType w:val="hybridMultilevel"/>
    <w:tmpl w:val="9BC6A8B4"/>
    <w:lvl w:ilvl="0" w:tplc="DF382B76">
      <w:start w:val="140"/>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7E4C0D"/>
    <w:multiLevelType w:val="hybridMultilevel"/>
    <w:tmpl w:val="C8F4E55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15:restartNumberingAfterBreak="0">
    <w:nsid w:val="6E6C6A25"/>
    <w:multiLevelType w:val="hybridMultilevel"/>
    <w:tmpl w:val="BFAA4DB8"/>
    <w:lvl w:ilvl="0" w:tplc="B81C8684">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EDD6645"/>
    <w:multiLevelType w:val="hybridMultilevel"/>
    <w:tmpl w:val="1D489F4E"/>
    <w:lvl w:ilvl="0" w:tplc="01768242">
      <w:start w:val="1"/>
      <w:numFmt w:val="low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2CC4EC2"/>
    <w:multiLevelType w:val="hybridMultilevel"/>
    <w:tmpl w:val="51B4CB5E"/>
    <w:lvl w:ilvl="0" w:tplc="21D8CA0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F56F70"/>
    <w:multiLevelType w:val="hybridMultilevel"/>
    <w:tmpl w:val="FEA25626"/>
    <w:lvl w:ilvl="0" w:tplc="917483A0">
      <w:start w:val="1"/>
      <w:numFmt w:val="low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E21DE5"/>
    <w:multiLevelType w:val="hybridMultilevel"/>
    <w:tmpl w:val="2B8053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A61FE2"/>
    <w:multiLevelType w:val="hybridMultilevel"/>
    <w:tmpl w:val="292E4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24"/>
  </w:num>
  <w:num w:numId="4">
    <w:abstractNumId w:val="0"/>
  </w:num>
  <w:num w:numId="5">
    <w:abstractNumId w:val="25"/>
  </w:num>
  <w:num w:numId="6">
    <w:abstractNumId w:val="16"/>
  </w:num>
  <w:num w:numId="7">
    <w:abstractNumId w:val="19"/>
  </w:num>
  <w:num w:numId="8">
    <w:abstractNumId w:val="26"/>
  </w:num>
  <w:num w:numId="9">
    <w:abstractNumId w:val="28"/>
  </w:num>
  <w:num w:numId="10">
    <w:abstractNumId w:val="6"/>
  </w:num>
  <w:num w:numId="11">
    <w:abstractNumId w:val="14"/>
  </w:num>
  <w:num w:numId="12">
    <w:abstractNumId w:val="15"/>
  </w:num>
  <w:num w:numId="13">
    <w:abstractNumId w:val="11"/>
  </w:num>
  <w:num w:numId="14">
    <w:abstractNumId w:val="17"/>
  </w:num>
  <w:num w:numId="15">
    <w:abstractNumId w:val="21"/>
  </w:num>
  <w:num w:numId="16">
    <w:abstractNumId w:val="30"/>
  </w:num>
  <w:num w:numId="17">
    <w:abstractNumId w:val="4"/>
  </w:num>
  <w:num w:numId="18">
    <w:abstractNumId w:val="20"/>
  </w:num>
  <w:num w:numId="19">
    <w:abstractNumId w:val="3"/>
  </w:num>
  <w:num w:numId="20">
    <w:abstractNumId w:val="10"/>
  </w:num>
  <w:num w:numId="21">
    <w:abstractNumId w:val="22"/>
  </w:num>
  <w:num w:numId="22">
    <w:abstractNumId w:val="8"/>
  </w:num>
  <w:num w:numId="23">
    <w:abstractNumId w:val="2"/>
  </w:num>
  <w:num w:numId="24">
    <w:abstractNumId w:val="5"/>
  </w:num>
  <w:num w:numId="25">
    <w:abstractNumId w:val="1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13"/>
  </w:num>
  <w:num w:numId="30">
    <w:abstractNumId w:val="29"/>
  </w:num>
  <w:num w:numId="31">
    <w:abstractNumId w:val="9"/>
  </w:num>
  <w:num w:numId="32">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680"/>
  <w:hyphenationZone w:val="425"/>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2CD"/>
    <w:rsid w:val="00001E4C"/>
    <w:rsid w:val="00003478"/>
    <w:rsid w:val="000047CA"/>
    <w:rsid w:val="00004E90"/>
    <w:rsid w:val="000144B2"/>
    <w:rsid w:val="000154B0"/>
    <w:rsid w:val="000155D4"/>
    <w:rsid w:val="00016D65"/>
    <w:rsid w:val="00017349"/>
    <w:rsid w:val="00017CBF"/>
    <w:rsid w:val="000202A1"/>
    <w:rsid w:val="000207BF"/>
    <w:rsid w:val="00022021"/>
    <w:rsid w:val="0002295A"/>
    <w:rsid w:val="00023687"/>
    <w:rsid w:val="00026D1B"/>
    <w:rsid w:val="00030560"/>
    <w:rsid w:val="000305F0"/>
    <w:rsid w:val="00030EFB"/>
    <w:rsid w:val="0003129C"/>
    <w:rsid w:val="000343C1"/>
    <w:rsid w:val="0003471A"/>
    <w:rsid w:val="00034827"/>
    <w:rsid w:val="00034D89"/>
    <w:rsid w:val="0003603E"/>
    <w:rsid w:val="00037D3B"/>
    <w:rsid w:val="000408DF"/>
    <w:rsid w:val="00047904"/>
    <w:rsid w:val="0005183B"/>
    <w:rsid w:val="000549FC"/>
    <w:rsid w:val="00055C04"/>
    <w:rsid w:val="000600DC"/>
    <w:rsid w:val="00061A53"/>
    <w:rsid w:val="00061C14"/>
    <w:rsid w:val="00061E3A"/>
    <w:rsid w:val="00062389"/>
    <w:rsid w:val="00063D94"/>
    <w:rsid w:val="00072BC8"/>
    <w:rsid w:val="00073C3C"/>
    <w:rsid w:val="00074272"/>
    <w:rsid w:val="00076929"/>
    <w:rsid w:val="000769E9"/>
    <w:rsid w:val="00077E27"/>
    <w:rsid w:val="00077FD7"/>
    <w:rsid w:val="00081EC6"/>
    <w:rsid w:val="00081F0F"/>
    <w:rsid w:val="000823DF"/>
    <w:rsid w:val="00082912"/>
    <w:rsid w:val="00085C01"/>
    <w:rsid w:val="00086531"/>
    <w:rsid w:val="00091FA7"/>
    <w:rsid w:val="00094790"/>
    <w:rsid w:val="00096B36"/>
    <w:rsid w:val="000972B4"/>
    <w:rsid w:val="000A24D2"/>
    <w:rsid w:val="000A2745"/>
    <w:rsid w:val="000A445B"/>
    <w:rsid w:val="000A6CFE"/>
    <w:rsid w:val="000B07CD"/>
    <w:rsid w:val="000B0CB1"/>
    <w:rsid w:val="000B11A5"/>
    <w:rsid w:val="000B1334"/>
    <w:rsid w:val="000B2EEA"/>
    <w:rsid w:val="000B43C1"/>
    <w:rsid w:val="000B59FF"/>
    <w:rsid w:val="000B78A6"/>
    <w:rsid w:val="000C0471"/>
    <w:rsid w:val="000C078B"/>
    <w:rsid w:val="000C11CE"/>
    <w:rsid w:val="000C17A3"/>
    <w:rsid w:val="000C2D3B"/>
    <w:rsid w:val="000C6DB9"/>
    <w:rsid w:val="000C7A95"/>
    <w:rsid w:val="000D12A2"/>
    <w:rsid w:val="000D1502"/>
    <w:rsid w:val="000D4A2D"/>
    <w:rsid w:val="000D6F34"/>
    <w:rsid w:val="000D71FE"/>
    <w:rsid w:val="000E1409"/>
    <w:rsid w:val="000E18C0"/>
    <w:rsid w:val="000E7289"/>
    <w:rsid w:val="000F262C"/>
    <w:rsid w:val="000F3EC8"/>
    <w:rsid w:val="000F402E"/>
    <w:rsid w:val="000F48CD"/>
    <w:rsid w:val="000F5E24"/>
    <w:rsid w:val="00101E34"/>
    <w:rsid w:val="00103AD4"/>
    <w:rsid w:val="001047A7"/>
    <w:rsid w:val="00104865"/>
    <w:rsid w:val="00106523"/>
    <w:rsid w:val="0010792B"/>
    <w:rsid w:val="00107B18"/>
    <w:rsid w:val="00113AE3"/>
    <w:rsid w:val="00114112"/>
    <w:rsid w:val="00114B1F"/>
    <w:rsid w:val="0011578D"/>
    <w:rsid w:val="00115AA1"/>
    <w:rsid w:val="00117B44"/>
    <w:rsid w:val="00121CD7"/>
    <w:rsid w:val="00124A02"/>
    <w:rsid w:val="00127F89"/>
    <w:rsid w:val="001322A8"/>
    <w:rsid w:val="0013384B"/>
    <w:rsid w:val="001339DB"/>
    <w:rsid w:val="00133F6C"/>
    <w:rsid w:val="00134D85"/>
    <w:rsid w:val="001373A0"/>
    <w:rsid w:val="00137EB3"/>
    <w:rsid w:val="001410CC"/>
    <w:rsid w:val="0014147A"/>
    <w:rsid w:val="00143628"/>
    <w:rsid w:val="001442B5"/>
    <w:rsid w:val="00144BDC"/>
    <w:rsid w:val="00144C8E"/>
    <w:rsid w:val="00144D99"/>
    <w:rsid w:val="00146055"/>
    <w:rsid w:val="00146CD2"/>
    <w:rsid w:val="00146E91"/>
    <w:rsid w:val="00151DAE"/>
    <w:rsid w:val="001522EF"/>
    <w:rsid w:val="00160A29"/>
    <w:rsid w:val="00163B68"/>
    <w:rsid w:val="00163F94"/>
    <w:rsid w:val="001652B1"/>
    <w:rsid w:val="001662B9"/>
    <w:rsid w:val="001665F4"/>
    <w:rsid w:val="00166B82"/>
    <w:rsid w:val="00167B6F"/>
    <w:rsid w:val="00167F63"/>
    <w:rsid w:val="001728F2"/>
    <w:rsid w:val="00172E75"/>
    <w:rsid w:val="00173B56"/>
    <w:rsid w:val="00174A3B"/>
    <w:rsid w:val="0017629C"/>
    <w:rsid w:val="0018173E"/>
    <w:rsid w:val="00181E4B"/>
    <w:rsid w:val="00181ECC"/>
    <w:rsid w:val="001824C0"/>
    <w:rsid w:val="00185239"/>
    <w:rsid w:val="001852DC"/>
    <w:rsid w:val="0018775A"/>
    <w:rsid w:val="00190F2B"/>
    <w:rsid w:val="00192DE5"/>
    <w:rsid w:val="0019551F"/>
    <w:rsid w:val="001A18E4"/>
    <w:rsid w:val="001A1939"/>
    <w:rsid w:val="001A1C22"/>
    <w:rsid w:val="001A2D71"/>
    <w:rsid w:val="001A4439"/>
    <w:rsid w:val="001A4B30"/>
    <w:rsid w:val="001B1675"/>
    <w:rsid w:val="001B27D5"/>
    <w:rsid w:val="001B58A1"/>
    <w:rsid w:val="001B5C9F"/>
    <w:rsid w:val="001C6143"/>
    <w:rsid w:val="001D0DA8"/>
    <w:rsid w:val="001D174A"/>
    <w:rsid w:val="001D3021"/>
    <w:rsid w:val="001D5A1B"/>
    <w:rsid w:val="001D7DC8"/>
    <w:rsid w:val="001E21E8"/>
    <w:rsid w:val="001E26D5"/>
    <w:rsid w:val="001F0D1F"/>
    <w:rsid w:val="001F38D4"/>
    <w:rsid w:val="001F488A"/>
    <w:rsid w:val="001F48A1"/>
    <w:rsid w:val="001F5CC5"/>
    <w:rsid w:val="001F7A02"/>
    <w:rsid w:val="002022E0"/>
    <w:rsid w:val="00202425"/>
    <w:rsid w:val="002024F5"/>
    <w:rsid w:val="00202E2B"/>
    <w:rsid w:val="00203C22"/>
    <w:rsid w:val="002047A2"/>
    <w:rsid w:val="0020701C"/>
    <w:rsid w:val="00210842"/>
    <w:rsid w:val="00212306"/>
    <w:rsid w:val="002173AE"/>
    <w:rsid w:val="002212F7"/>
    <w:rsid w:val="002233C4"/>
    <w:rsid w:val="00223E28"/>
    <w:rsid w:val="0022419D"/>
    <w:rsid w:val="00233A4D"/>
    <w:rsid w:val="002343A2"/>
    <w:rsid w:val="002346DB"/>
    <w:rsid w:val="00235D0A"/>
    <w:rsid w:val="002360E7"/>
    <w:rsid w:val="0023752B"/>
    <w:rsid w:val="002407EC"/>
    <w:rsid w:val="00240989"/>
    <w:rsid w:val="00240CB9"/>
    <w:rsid w:val="00241314"/>
    <w:rsid w:val="0024196B"/>
    <w:rsid w:val="002443D9"/>
    <w:rsid w:val="00245D8B"/>
    <w:rsid w:val="002461CC"/>
    <w:rsid w:val="00246F0B"/>
    <w:rsid w:val="00250EF5"/>
    <w:rsid w:val="00251399"/>
    <w:rsid w:val="002513FB"/>
    <w:rsid w:val="00251899"/>
    <w:rsid w:val="0025196D"/>
    <w:rsid w:val="00255167"/>
    <w:rsid w:val="0025557E"/>
    <w:rsid w:val="0025580B"/>
    <w:rsid w:val="00263337"/>
    <w:rsid w:val="00264A54"/>
    <w:rsid w:val="0026774F"/>
    <w:rsid w:val="002709A4"/>
    <w:rsid w:val="00272062"/>
    <w:rsid w:val="00273C4B"/>
    <w:rsid w:val="00274298"/>
    <w:rsid w:val="00274F92"/>
    <w:rsid w:val="00276BC3"/>
    <w:rsid w:val="00277C16"/>
    <w:rsid w:val="00280023"/>
    <w:rsid w:val="00281579"/>
    <w:rsid w:val="00286D8A"/>
    <w:rsid w:val="0028771A"/>
    <w:rsid w:val="0029240A"/>
    <w:rsid w:val="00292EAF"/>
    <w:rsid w:val="0029316B"/>
    <w:rsid w:val="002933F5"/>
    <w:rsid w:val="0029414F"/>
    <w:rsid w:val="002946E7"/>
    <w:rsid w:val="00294F68"/>
    <w:rsid w:val="002A141B"/>
    <w:rsid w:val="002A3ECD"/>
    <w:rsid w:val="002A489F"/>
    <w:rsid w:val="002A5A85"/>
    <w:rsid w:val="002A65E0"/>
    <w:rsid w:val="002B12D2"/>
    <w:rsid w:val="002B1D5A"/>
    <w:rsid w:val="002B779C"/>
    <w:rsid w:val="002C2FA9"/>
    <w:rsid w:val="002C6EA7"/>
    <w:rsid w:val="002D0BC1"/>
    <w:rsid w:val="002E124B"/>
    <w:rsid w:val="002E1C51"/>
    <w:rsid w:val="002E1D94"/>
    <w:rsid w:val="002E2C8B"/>
    <w:rsid w:val="002E2E60"/>
    <w:rsid w:val="002E681E"/>
    <w:rsid w:val="002E6D6C"/>
    <w:rsid w:val="002E743D"/>
    <w:rsid w:val="002E7A3B"/>
    <w:rsid w:val="002E7D4B"/>
    <w:rsid w:val="002F0E12"/>
    <w:rsid w:val="002F1E8E"/>
    <w:rsid w:val="002F2901"/>
    <w:rsid w:val="002F2E1D"/>
    <w:rsid w:val="002F5B51"/>
    <w:rsid w:val="002F7C45"/>
    <w:rsid w:val="002F7E74"/>
    <w:rsid w:val="003026CB"/>
    <w:rsid w:val="00304429"/>
    <w:rsid w:val="00304F63"/>
    <w:rsid w:val="00306DEB"/>
    <w:rsid w:val="00307BDE"/>
    <w:rsid w:val="00307E7D"/>
    <w:rsid w:val="00312CA0"/>
    <w:rsid w:val="00317A3A"/>
    <w:rsid w:val="003217F5"/>
    <w:rsid w:val="00322616"/>
    <w:rsid w:val="00322A8B"/>
    <w:rsid w:val="0032630E"/>
    <w:rsid w:val="00327898"/>
    <w:rsid w:val="00331286"/>
    <w:rsid w:val="00331C55"/>
    <w:rsid w:val="00331C5E"/>
    <w:rsid w:val="0033362A"/>
    <w:rsid w:val="003342CB"/>
    <w:rsid w:val="00347094"/>
    <w:rsid w:val="00352879"/>
    <w:rsid w:val="0035313C"/>
    <w:rsid w:val="00353357"/>
    <w:rsid w:val="00355E94"/>
    <w:rsid w:val="00357FA5"/>
    <w:rsid w:val="0036026E"/>
    <w:rsid w:val="00360A26"/>
    <w:rsid w:val="003649BD"/>
    <w:rsid w:val="00364A96"/>
    <w:rsid w:val="00366819"/>
    <w:rsid w:val="00370DB4"/>
    <w:rsid w:val="00371596"/>
    <w:rsid w:val="00372B49"/>
    <w:rsid w:val="00373F0A"/>
    <w:rsid w:val="00374940"/>
    <w:rsid w:val="00375899"/>
    <w:rsid w:val="00376337"/>
    <w:rsid w:val="00376B18"/>
    <w:rsid w:val="00376C32"/>
    <w:rsid w:val="0038042D"/>
    <w:rsid w:val="003814D4"/>
    <w:rsid w:val="0038244E"/>
    <w:rsid w:val="00382BBA"/>
    <w:rsid w:val="003832DF"/>
    <w:rsid w:val="00383D11"/>
    <w:rsid w:val="00385D0B"/>
    <w:rsid w:val="00385DAF"/>
    <w:rsid w:val="00386D9F"/>
    <w:rsid w:val="003876EA"/>
    <w:rsid w:val="00387C30"/>
    <w:rsid w:val="00390F0D"/>
    <w:rsid w:val="00392E31"/>
    <w:rsid w:val="00394E1F"/>
    <w:rsid w:val="0039507D"/>
    <w:rsid w:val="00396964"/>
    <w:rsid w:val="00396EF7"/>
    <w:rsid w:val="003970AD"/>
    <w:rsid w:val="003A02BD"/>
    <w:rsid w:val="003A2F4D"/>
    <w:rsid w:val="003A3FF7"/>
    <w:rsid w:val="003A5F6F"/>
    <w:rsid w:val="003A5FB0"/>
    <w:rsid w:val="003A6CDF"/>
    <w:rsid w:val="003B0DCA"/>
    <w:rsid w:val="003B3C84"/>
    <w:rsid w:val="003B705E"/>
    <w:rsid w:val="003B7DE3"/>
    <w:rsid w:val="003C0935"/>
    <w:rsid w:val="003C1516"/>
    <w:rsid w:val="003C1935"/>
    <w:rsid w:val="003C2313"/>
    <w:rsid w:val="003C2928"/>
    <w:rsid w:val="003C3DFD"/>
    <w:rsid w:val="003C47CB"/>
    <w:rsid w:val="003C56F9"/>
    <w:rsid w:val="003C5DFF"/>
    <w:rsid w:val="003D0072"/>
    <w:rsid w:val="003D00E8"/>
    <w:rsid w:val="003D0B5C"/>
    <w:rsid w:val="003D0B7E"/>
    <w:rsid w:val="003D18F4"/>
    <w:rsid w:val="003D1BA6"/>
    <w:rsid w:val="003D2246"/>
    <w:rsid w:val="003D2B1D"/>
    <w:rsid w:val="003D2D82"/>
    <w:rsid w:val="003D2FDF"/>
    <w:rsid w:val="003D47ED"/>
    <w:rsid w:val="003D6365"/>
    <w:rsid w:val="003D64CA"/>
    <w:rsid w:val="003E1231"/>
    <w:rsid w:val="003E1D2A"/>
    <w:rsid w:val="003E3357"/>
    <w:rsid w:val="003E335E"/>
    <w:rsid w:val="003E397B"/>
    <w:rsid w:val="003E3C23"/>
    <w:rsid w:val="003E4A89"/>
    <w:rsid w:val="003E5306"/>
    <w:rsid w:val="003E5F29"/>
    <w:rsid w:val="003E5F50"/>
    <w:rsid w:val="003E6AF9"/>
    <w:rsid w:val="003F0436"/>
    <w:rsid w:val="003F1279"/>
    <w:rsid w:val="003F18BB"/>
    <w:rsid w:val="003F4A0E"/>
    <w:rsid w:val="003F763E"/>
    <w:rsid w:val="00400AFA"/>
    <w:rsid w:val="00401B1C"/>
    <w:rsid w:val="0040218B"/>
    <w:rsid w:val="00402419"/>
    <w:rsid w:val="004028CA"/>
    <w:rsid w:val="0040640B"/>
    <w:rsid w:val="00406D20"/>
    <w:rsid w:val="004114B0"/>
    <w:rsid w:val="00411BEC"/>
    <w:rsid w:val="00413AD4"/>
    <w:rsid w:val="00414655"/>
    <w:rsid w:val="00415768"/>
    <w:rsid w:val="00415C8E"/>
    <w:rsid w:val="004178CA"/>
    <w:rsid w:val="004178F5"/>
    <w:rsid w:val="00420953"/>
    <w:rsid w:val="00420FE2"/>
    <w:rsid w:val="00423FB7"/>
    <w:rsid w:val="00427A76"/>
    <w:rsid w:val="0043047E"/>
    <w:rsid w:val="00430E30"/>
    <w:rsid w:val="004325C3"/>
    <w:rsid w:val="00435BA3"/>
    <w:rsid w:val="004361C0"/>
    <w:rsid w:val="00437B76"/>
    <w:rsid w:val="00442026"/>
    <w:rsid w:val="00442A39"/>
    <w:rsid w:val="004434FE"/>
    <w:rsid w:val="00443E02"/>
    <w:rsid w:val="004500F6"/>
    <w:rsid w:val="00451B09"/>
    <w:rsid w:val="0045433E"/>
    <w:rsid w:val="004545C2"/>
    <w:rsid w:val="00455BB6"/>
    <w:rsid w:val="004600B3"/>
    <w:rsid w:val="004619DF"/>
    <w:rsid w:val="004621CA"/>
    <w:rsid w:val="00462752"/>
    <w:rsid w:val="004636A7"/>
    <w:rsid w:val="00465A24"/>
    <w:rsid w:val="0046798E"/>
    <w:rsid w:val="00470BB4"/>
    <w:rsid w:val="00471321"/>
    <w:rsid w:val="00471A58"/>
    <w:rsid w:val="00473079"/>
    <w:rsid w:val="00476254"/>
    <w:rsid w:val="00476A0A"/>
    <w:rsid w:val="004773D6"/>
    <w:rsid w:val="00477B1F"/>
    <w:rsid w:val="00477B68"/>
    <w:rsid w:val="00477C0E"/>
    <w:rsid w:val="0048059E"/>
    <w:rsid w:val="00480F2E"/>
    <w:rsid w:val="0048139B"/>
    <w:rsid w:val="00481CD0"/>
    <w:rsid w:val="00482FEE"/>
    <w:rsid w:val="00484062"/>
    <w:rsid w:val="00485146"/>
    <w:rsid w:val="004921D3"/>
    <w:rsid w:val="00493A49"/>
    <w:rsid w:val="00494328"/>
    <w:rsid w:val="00496BEC"/>
    <w:rsid w:val="00496C94"/>
    <w:rsid w:val="00496CDA"/>
    <w:rsid w:val="00497034"/>
    <w:rsid w:val="0049761E"/>
    <w:rsid w:val="00497B75"/>
    <w:rsid w:val="00497C1D"/>
    <w:rsid w:val="004A04D1"/>
    <w:rsid w:val="004A31D5"/>
    <w:rsid w:val="004A31D9"/>
    <w:rsid w:val="004A4610"/>
    <w:rsid w:val="004A4D30"/>
    <w:rsid w:val="004A5114"/>
    <w:rsid w:val="004B029C"/>
    <w:rsid w:val="004B2F5B"/>
    <w:rsid w:val="004B70A4"/>
    <w:rsid w:val="004B7CA9"/>
    <w:rsid w:val="004C0D5C"/>
    <w:rsid w:val="004C1FB5"/>
    <w:rsid w:val="004C2FDF"/>
    <w:rsid w:val="004C3B03"/>
    <w:rsid w:val="004C405B"/>
    <w:rsid w:val="004C4229"/>
    <w:rsid w:val="004C5B86"/>
    <w:rsid w:val="004C7BC1"/>
    <w:rsid w:val="004D0379"/>
    <w:rsid w:val="004D1C9D"/>
    <w:rsid w:val="004D2775"/>
    <w:rsid w:val="004D40F4"/>
    <w:rsid w:val="004D4822"/>
    <w:rsid w:val="004D4CD3"/>
    <w:rsid w:val="004D6D25"/>
    <w:rsid w:val="004D6D5C"/>
    <w:rsid w:val="004D70E5"/>
    <w:rsid w:val="004D7C0F"/>
    <w:rsid w:val="004E0284"/>
    <w:rsid w:val="004E0645"/>
    <w:rsid w:val="004E0F88"/>
    <w:rsid w:val="004E2AE5"/>
    <w:rsid w:val="004E2C53"/>
    <w:rsid w:val="004E30A4"/>
    <w:rsid w:val="004F071A"/>
    <w:rsid w:val="004F2B35"/>
    <w:rsid w:val="005024EC"/>
    <w:rsid w:val="005036FD"/>
    <w:rsid w:val="00504390"/>
    <w:rsid w:val="0050481C"/>
    <w:rsid w:val="0050489E"/>
    <w:rsid w:val="00504FF0"/>
    <w:rsid w:val="00505CAF"/>
    <w:rsid w:val="00510394"/>
    <w:rsid w:val="00510731"/>
    <w:rsid w:val="00513419"/>
    <w:rsid w:val="005135DB"/>
    <w:rsid w:val="0051488F"/>
    <w:rsid w:val="00514BBF"/>
    <w:rsid w:val="00515B19"/>
    <w:rsid w:val="00516483"/>
    <w:rsid w:val="0051741F"/>
    <w:rsid w:val="00520FC0"/>
    <w:rsid w:val="00521F98"/>
    <w:rsid w:val="00522B58"/>
    <w:rsid w:val="0052730A"/>
    <w:rsid w:val="00533903"/>
    <w:rsid w:val="00534F80"/>
    <w:rsid w:val="00535243"/>
    <w:rsid w:val="00535AE8"/>
    <w:rsid w:val="005431DA"/>
    <w:rsid w:val="005438C3"/>
    <w:rsid w:val="00547210"/>
    <w:rsid w:val="005477C6"/>
    <w:rsid w:val="00551FED"/>
    <w:rsid w:val="00554561"/>
    <w:rsid w:val="00560797"/>
    <w:rsid w:val="00562BA5"/>
    <w:rsid w:val="005654CA"/>
    <w:rsid w:val="0056751D"/>
    <w:rsid w:val="00567698"/>
    <w:rsid w:val="005705DA"/>
    <w:rsid w:val="00570687"/>
    <w:rsid w:val="00570E27"/>
    <w:rsid w:val="005721E4"/>
    <w:rsid w:val="00572B51"/>
    <w:rsid w:val="00576356"/>
    <w:rsid w:val="00576A8A"/>
    <w:rsid w:val="0057740A"/>
    <w:rsid w:val="00577597"/>
    <w:rsid w:val="005805F4"/>
    <w:rsid w:val="005808DC"/>
    <w:rsid w:val="00580A04"/>
    <w:rsid w:val="00580F65"/>
    <w:rsid w:val="00581601"/>
    <w:rsid w:val="0058205C"/>
    <w:rsid w:val="00582C0B"/>
    <w:rsid w:val="00582E1B"/>
    <w:rsid w:val="00585361"/>
    <w:rsid w:val="00585E22"/>
    <w:rsid w:val="00587A01"/>
    <w:rsid w:val="005902F1"/>
    <w:rsid w:val="00590827"/>
    <w:rsid w:val="00592F2F"/>
    <w:rsid w:val="00593D41"/>
    <w:rsid w:val="00594056"/>
    <w:rsid w:val="00597CC2"/>
    <w:rsid w:val="005A31B6"/>
    <w:rsid w:val="005A4244"/>
    <w:rsid w:val="005A60C1"/>
    <w:rsid w:val="005A651A"/>
    <w:rsid w:val="005B530C"/>
    <w:rsid w:val="005B6827"/>
    <w:rsid w:val="005C3A67"/>
    <w:rsid w:val="005C4310"/>
    <w:rsid w:val="005C5664"/>
    <w:rsid w:val="005C6709"/>
    <w:rsid w:val="005C6853"/>
    <w:rsid w:val="005D1C9C"/>
    <w:rsid w:val="005D2906"/>
    <w:rsid w:val="005D55B0"/>
    <w:rsid w:val="005D7DCD"/>
    <w:rsid w:val="005E4217"/>
    <w:rsid w:val="005E42EA"/>
    <w:rsid w:val="005E4795"/>
    <w:rsid w:val="005E6C16"/>
    <w:rsid w:val="005E6D71"/>
    <w:rsid w:val="005E7AE0"/>
    <w:rsid w:val="005F249B"/>
    <w:rsid w:val="005F3BF7"/>
    <w:rsid w:val="005F5C85"/>
    <w:rsid w:val="005F75D7"/>
    <w:rsid w:val="00601085"/>
    <w:rsid w:val="00602793"/>
    <w:rsid w:val="00603AB1"/>
    <w:rsid w:val="00605A03"/>
    <w:rsid w:val="00606B16"/>
    <w:rsid w:val="00611558"/>
    <w:rsid w:val="00611CA7"/>
    <w:rsid w:val="006159F5"/>
    <w:rsid w:val="00615F8B"/>
    <w:rsid w:val="00616028"/>
    <w:rsid w:val="00616338"/>
    <w:rsid w:val="00616566"/>
    <w:rsid w:val="00616A07"/>
    <w:rsid w:val="006212DD"/>
    <w:rsid w:val="00622BDA"/>
    <w:rsid w:val="0062372E"/>
    <w:rsid w:val="00630705"/>
    <w:rsid w:val="0063093E"/>
    <w:rsid w:val="00630E12"/>
    <w:rsid w:val="00631303"/>
    <w:rsid w:val="00632982"/>
    <w:rsid w:val="00632C82"/>
    <w:rsid w:val="006332F4"/>
    <w:rsid w:val="006333E5"/>
    <w:rsid w:val="0063513B"/>
    <w:rsid w:val="006352A6"/>
    <w:rsid w:val="00635CFC"/>
    <w:rsid w:val="00641A9A"/>
    <w:rsid w:val="0064432E"/>
    <w:rsid w:val="00645B12"/>
    <w:rsid w:val="00647144"/>
    <w:rsid w:val="0065049E"/>
    <w:rsid w:val="0065256F"/>
    <w:rsid w:val="00652C2F"/>
    <w:rsid w:val="00653897"/>
    <w:rsid w:val="006551A6"/>
    <w:rsid w:val="0065681F"/>
    <w:rsid w:val="006578F7"/>
    <w:rsid w:val="00660909"/>
    <w:rsid w:val="00660D06"/>
    <w:rsid w:val="0066100F"/>
    <w:rsid w:val="0066167F"/>
    <w:rsid w:val="006620F5"/>
    <w:rsid w:val="0066221F"/>
    <w:rsid w:val="0066288F"/>
    <w:rsid w:val="006637BE"/>
    <w:rsid w:val="00664431"/>
    <w:rsid w:val="00665E7D"/>
    <w:rsid w:val="006673AA"/>
    <w:rsid w:val="00667837"/>
    <w:rsid w:val="0067034C"/>
    <w:rsid w:val="00671BF5"/>
    <w:rsid w:val="006721FB"/>
    <w:rsid w:val="006751C7"/>
    <w:rsid w:val="0067625B"/>
    <w:rsid w:val="00677F91"/>
    <w:rsid w:val="00680D84"/>
    <w:rsid w:val="00684AAF"/>
    <w:rsid w:val="0068682C"/>
    <w:rsid w:val="00691DDB"/>
    <w:rsid w:val="0069218A"/>
    <w:rsid w:val="006941F6"/>
    <w:rsid w:val="00695C49"/>
    <w:rsid w:val="00696447"/>
    <w:rsid w:val="006A17E0"/>
    <w:rsid w:val="006A1D96"/>
    <w:rsid w:val="006A406D"/>
    <w:rsid w:val="006A62D7"/>
    <w:rsid w:val="006A6376"/>
    <w:rsid w:val="006A7096"/>
    <w:rsid w:val="006A714E"/>
    <w:rsid w:val="006A7A5D"/>
    <w:rsid w:val="006A7DAE"/>
    <w:rsid w:val="006B1257"/>
    <w:rsid w:val="006B4B46"/>
    <w:rsid w:val="006B57D9"/>
    <w:rsid w:val="006B746C"/>
    <w:rsid w:val="006C0679"/>
    <w:rsid w:val="006C16D8"/>
    <w:rsid w:val="006C4FE1"/>
    <w:rsid w:val="006C6C44"/>
    <w:rsid w:val="006C6FD0"/>
    <w:rsid w:val="006C7622"/>
    <w:rsid w:val="006D0494"/>
    <w:rsid w:val="006D3E66"/>
    <w:rsid w:val="006D420E"/>
    <w:rsid w:val="006D5E5D"/>
    <w:rsid w:val="006D605E"/>
    <w:rsid w:val="006E1970"/>
    <w:rsid w:val="006E2792"/>
    <w:rsid w:val="006E3198"/>
    <w:rsid w:val="006E3410"/>
    <w:rsid w:val="006E437A"/>
    <w:rsid w:val="006E44C7"/>
    <w:rsid w:val="006E45EE"/>
    <w:rsid w:val="006E55C9"/>
    <w:rsid w:val="006E6F0F"/>
    <w:rsid w:val="006E7372"/>
    <w:rsid w:val="006E774F"/>
    <w:rsid w:val="006E7DCF"/>
    <w:rsid w:val="006F3B45"/>
    <w:rsid w:val="006F3F96"/>
    <w:rsid w:val="006F6554"/>
    <w:rsid w:val="006F6F25"/>
    <w:rsid w:val="00700BFB"/>
    <w:rsid w:val="00702486"/>
    <w:rsid w:val="007032F5"/>
    <w:rsid w:val="00704760"/>
    <w:rsid w:val="00706286"/>
    <w:rsid w:val="00706AD7"/>
    <w:rsid w:val="007074F9"/>
    <w:rsid w:val="0071249B"/>
    <w:rsid w:val="00712E6F"/>
    <w:rsid w:val="00715C9B"/>
    <w:rsid w:val="0071677A"/>
    <w:rsid w:val="007217A1"/>
    <w:rsid w:val="00721AFA"/>
    <w:rsid w:val="00724683"/>
    <w:rsid w:val="007251CA"/>
    <w:rsid w:val="007271B3"/>
    <w:rsid w:val="00732404"/>
    <w:rsid w:val="00732D97"/>
    <w:rsid w:val="00735844"/>
    <w:rsid w:val="0073648F"/>
    <w:rsid w:val="00737C2C"/>
    <w:rsid w:val="007408C0"/>
    <w:rsid w:val="00743BDF"/>
    <w:rsid w:val="00743DF7"/>
    <w:rsid w:val="00744683"/>
    <w:rsid w:val="00745C78"/>
    <w:rsid w:val="00746C3F"/>
    <w:rsid w:val="00747214"/>
    <w:rsid w:val="00750655"/>
    <w:rsid w:val="0075083B"/>
    <w:rsid w:val="007512E8"/>
    <w:rsid w:val="00751C81"/>
    <w:rsid w:val="00753069"/>
    <w:rsid w:val="007534C6"/>
    <w:rsid w:val="00753D7C"/>
    <w:rsid w:val="00754AD8"/>
    <w:rsid w:val="007558A4"/>
    <w:rsid w:val="00757F57"/>
    <w:rsid w:val="007607D0"/>
    <w:rsid w:val="00761C83"/>
    <w:rsid w:val="007661ED"/>
    <w:rsid w:val="00767139"/>
    <w:rsid w:val="007710EB"/>
    <w:rsid w:val="007719BB"/>
    <w:rsid w:val="00772DDA"/>
    <w:rsid w:val="0077570B"/>
    <w:rsid w:val="0077581A"/>
    <w:rsid w:val="00775CAE"/>
    <w:rsid w:val="00775E4B"/>
    <w:rsid w:val="00776A1D"/>
    <w:rsid w:val="00780977"/>
    <w:rsid w:val="00780EB9"/>
    <w:rsid w:val="007828E7"/>
    <w:rsid w:val="00784ACA"/>
    <w:rsid w:val="00787FA1"/>
    <w:rsid w:val="00794714"/>
    <w:rsid w:val="00795F5D"/>
    <w:rsid w:val="007A3050"/>
    <w:rsid w:val="007A3532"/>
    <w:rsid w:val="007A3B74"/>
    <w:rsid w:val="007A5604"/>
    <w:rsid w:val="007A6088"/>
    <w:rsid w:val="007A681C"/>
    <w:rsid w:val="007B0041"/>
    <w:rsid w:val="007B04C1"/>
    <w:rsid w:val="007B0E4D"/>
    <w:rsid w:val="007B139D"/>
    <w:rsid w:val="007B249B"/>
    <w:rsid w:val="007B2D6E"/>
    <w:rsid w:val="007B4669"/>
    <w:rsid w:val="007B4701"/>
    <w:rsid w:val="007B66EF"/>
    <w:rsid w:val="007B684D"/>
    <w:rsid w:val="007B7509"/>
    <w:rsid w:val="007C47AC"/>
    <w:rsid w:val="007C5112"/>
    <w:rsid w:val="007C5381"/>
    <w:rsid w:val="007C5908"/>
    <w:rsid w:val="007C6313"/>
    <w:rsid w:val="007C6736"/>
    <w:rsid w:val="007C6E0B"/>
    <w:rsid w:val="007C7889"/>
    <w:rsid w:val="007D3BCC"/>
    <w:rsid w:val="007D4A62"/>
    <w:rsid w:val="007D7C68"/>
    <w:rsid w:val="007E1550"/>
    <w:rsid w:val="007E16C3"/>
    <w:rsid w:val="007E2A2E"/>
    <w:rsid w:val="007E5242"/>
    <w:rsid w:val="007E532B"/>
    <w:rsid w:val="007E58A2"/>
    <w:rsid w:val="007E5D2D"/>
    <w:rsid w:val="007F1FEB"/>
    <w:rsid w:val="007F2F0A"/>
    <w:rsid w:val="007F44B7"/>
    <w:rsid w:val="007F529A"/>
    <w:rsid w:val="007F53D3"/>
    <w:rsid w:val="007F5806"/>
    <w:rsid w:val="007F5D2A"/>
    <w:rsid w:val="007F6C78"/>
    <w:rsid w:val="007F7DF7"/>
    <w:rsid w:val="00801514"/>
    <w:rsid w:val="00802C4F"/>
    <w:rsid w:val="008043D0"/>
    <w:rsid w:val="00804AFF"/>
    <w:rsid w:val="00807C4B"/>
    <w:rsid w:val="00811A61"/>
    <w:rsid w:val="00813F89"/>
    <w:rsid w:val="008147ED"/>
    <w:rsid w:val="00817C61"/>
    <w:rsid w:val="00820992"/>
    <w:rsid w:val="00821C58"/>
    <w:rsid w:val="0082236E"/>
    <w:rsid w:val="00823C42"/>
    <w:rsid w:val="00825311"/>
    <w:rsid w:val="00827D3A"/>
    <w:rsid w:val="00831A48"/>
    <w:rsid w:val="008326D0"/>
    <w:rsid w:val="00833131"/>
    <w:rsid w:val="0083614C"/>
    <w:rsid w:val="00836929"/>
    <w:rsid w:val="00837AC1"/>
    <w:rsid w:val="0084036D"/>
    <w:rsid w:val="008438BB"/>
    <w:rsid w:val="008441B4"/>
    <w:rsid w:val="008457BE"/>
    <w:rsid w:val="00845F16"/>
    <w:rsid w:val="00846629"/>
    <w:rsid w:val="00850151"/>
    <w:rsid w:val="00851352"/>
    <w:rsid w:val="0085174E"/>
    <w:rsid w:val="00851B33"/>
    <w:rsid w:val="00851C72"/>
    <w:rsid w:val="00851DCC"/>
    <w:rsid w:val="00852C0D"/>
    <w:rsid w:val="008562A7"/>
    <w:rsid w:val="0085756C"/>
    <w:rsid w:val="00857E0C"/>
    <w:rsid w:val="00860516"/>
    <w:rsid w:val="00860FA6"/>
    <w:rsid w:val="00861303"/>
    <w:rsid w:val="00861CD5"/>
    <w:rsid w:val="00863743"/>
    <w:rsid w:val="00863A0D"/>
    <w:rsid w:val="0086799B"/>
    <w:rsid w:val="00871599"/>
    <w:rsid w:val="00872074"/>
    <w:rsid w:val="00872D3E"/>
    <w:rsid w:val="008750C8"/>
    <w:rsid w:val="008762F3"/>
    <w:rsid w:val="00876F60"/>
    <w:rsid w:val="00877C26"/>
    <w:rsid w:val="00880FA2"/>
    <w:rsid w:val="00881344"/>
    <w:rsid w:val="00882A40"/>
    <w:rsid w:val="00883E43"/>
    <w:rsid w:val="00884B6B"/>
    <w:rsid w:val="008861BF"/>
    <w:rsid w:val="00886D03"/>
    <w:rsid w:val="00892D27"/>
    <w:rsid w:val="008A0608"/>
    <w:rsid w:val="008A08D2"/>
    <w:rsid w:val="008A1D67"/>
    <w:rsid w:val="008A3421"/>
    <w:rsid w:val="008A393B"/>
    <w:rsid w:val="008A635B"/>
    <w:rsid w:val="008A7F12"/>
    <w:rsid w:val="008B1A29"/>
    <w:rsid w:val="008B3D3D"/>
    <w:rsid w:val="008B40BC"/>
    <w:rsid w:val="008B449E"/>
    <w:rsid w:val="008B593A"/>
    <w:rsid w:val="008B5EAA"/>
    <w:rsid w:val="008B63C8"/>
    <w:rsid w:val="008B77FF"/>
    <w:rsid w:val="008C0665"/>
    <w:rsid w:val="008C100E"/>
    <w:rsid w:val="008C27E4"/>
    <w:rsid w:val="008C3A56"/>
    <w:rsid w:val="008C43C4"/>
    <w:rsid w:val="008C5DE6"/>
    <w:rsid w:val="008C69DE"/>
    <w:rsid w:val="008C7920"/>
    <w:rsid w:val="008D1A1D"/>
    <w:rsid w:val="008D37CC"/>
    <w:rsid w:val="008D4513"/>
    <w:rsid w:val="008D4B59"/>
    <w:rsid w:val="008D6615"/>
    <w:rsid w:val="008D739A"/>
    <w:rsid w:val="008E09CC"/>
    <w:rsid w:val="008E131D"/>
    <w:rsid w:val="008E1970"/>
    <w:rsid w:val="008E2FD4"/>
    <w:rsid w:val="008E3C33"/>
    <w:rsid w:val="008E5E93"/>
    <w:rsid w:val="008E6116"/>
    <w:rsid w:val="008E65B0"/>
    <w:rsid w:val="008E6C15"/>
    <w:rsid w:val="008F015E"/>
    <w:rsid w:val="008F0B6F"/>
    <w:rsid w:val="008F2F96"/>
    <w:rsid w:val="008F5880"/>
    <w:rsid w:val="008F7491"/>
    <w:rsid w:val="00900BE8"/>
    <w:rsid w:val="00900F70"/>
    <w:rsid w:val="00902D54"/>
    <w:rsid w:val="009038AF"/>
    <w:rsid w:val="0090605D"/>
    <w:rsid w:val="009116F5"/>
    <w:rsid w:val="009122A6"/>
    <w:rsid w:val="00912D49"/>
    <w:rsid w:val="00913E08"/>
    <w:rsid w:val="00914B18"/>
    <w:rsid w:val="0091587F"/>
    <w:rsid w:val="00916A7E"/>
    <w:rsid w:val="00920AF2"/>
    <w:rsid w:val="00922A3E"/>
    <w:rsid w:val="00922F2E"/>
    <w:rsid w:val="009245AD"/>
    <w:rsid w:val="00924799"/>
    <w:rsid w:val="00924E0B"/>
    <w:rsid w:val="00930F2F"/>
    <w:rsid w:val="00931281"/>
    <w:rsid w:val="00932CCA"/>
    <w:rsid w:val="0093301E"/>
    <w:rsid w:val="0093414C"/>
    <w:rsid w:val="00934A9D"/>
    <w:rsid w:val="00940EA2"/>
    <w:rsid w:val="009456AD"/>
    <w:rsid w:val="0094689C"/>
    <w:rsid w:val="00946D42"/>
    <w:rsid w:val="0094777F"/>
    <w:rsid w:val="00950381"/>
    <w:rsid w:val="009527DA"/>
    <w:rsid w:val="00952BB6"/>
    <w:rsid w:val="009564A7"/>
    <w:rsid w:val="009567BA"/>
    <w:rsid w:val="009577E9"/>
    <w:rsid w:val="00963111"/>
    <w:rsid w:val="0096340F"/>
    <w:rsid w:val="009639E0"/>
    <w:rsid w:val="00965A9C"/>
    <w:rsid w:val="00966DA2"/>
    <w:rsid w:val="009707BC"/>
    <w:rsid w:val="009709AE"/>
    <w:rsid w:val="00970C68"/>
    <w:rsid w:val="009715AD"/>
    <w:rsid w:val="0097256F"/>
    <w:rsid w:val="009728B5"/>
    <w:rsid w:val="00985C74"/>
    <w:rsid w:val="00985D4B"/>
    <w:rsid w:val="0098789F"/>
    <w:rsid w:val="00991FB0"/>
    <w:rsid w:val="00993DB7"/>
    <w:rsid w:val="00993E49"/>
    <w:rsid w:val="00996C91"/>
    <w:rsid w:val="0099707D"/>
    <w:rsid w:val="00997E60"/>
    <w:rsid w:val="009A0BA4"/>
    <w:rsid w:val="009A0E59"/>
    <w:rsid w:val="009A2C28"/>
    <w:rsid w:val="009A3665"/>
    <w:rsid w:val="009A4468"/>
    <w:rsid w:val="009A461B"/>
    <w:rsid w:val="009A65A4"/>
    <w:rsid w:val="009A6FD5"/>
    <w:rsid w:val="009A7DE9"/>
    <w:rsid w:val="009B1705"/>
    <w:rsid w:val="009B215A"/>
    <w:rsid w:val="009B2AD3"/>
    <w:rsid w:val="009B302F"/>
    <w:rsid w:val="009C0559"/>
    <w:rsid w:val="009C1118"/>
    <w:rsid w:val="009C1A38"/>
    <w:rsid w:val="009C239A"/>
    <w:rsid w:val="009C3504"/>
    <w:rsid w:val="009C5F23"/>
    <w:rsid w:val="009C7851"/>
    <w:rsid w:val="009D411D"/>
    <w:rsid w:val="009D4527"/>
    <w:rsid w:val="009D5CCF"/>
    <w:rsid w:val="009D7385"/>
    <w:rsid w:val="009E093C"/>
    <w:rsid w:val="009E1854"/>
    <w:rsid w:val="009E47D3"/>
    <w:rsid w:val="009E5C0C"/>
    <w:rsid w:val="009E6080"/>
    <w:rsid w:val="009E6140"/>
    <w:rsid w:val="009E6AAB"/>
    <w:rsid w:val="009F11A0"/>
    <w:rsid w:val="009F2506"/>
    <w:rsid w:val="009F5762"/>
    <w:rsid w:val="009F5CCE"/>
    <w:rsid w:val="009F76C4"/>
    <w:rsid w:val="00A01CCB"/>
    <w:rsid w:val="00A03526"/>
    <w:rsid w:val="00A042E7"/>
    <w:rsid w:val="00A0589B"/>
    <w:rsid w:val="00A06769"/>
    <w:rsid w:val="00A126BE"/>
    <w:rsid w:val="00A12ACA"/>
    <w:rsid w:val="00A13E3C"/>
    <w:rsid w:val="00A145DF"/>
    <w:rsid w:val="00A16199"/>
    <w:rsid w:val="00A162BC"/>
    <w:rsid w:val="00A172AE"/>
    <w:rsid w:val="00A27D42"/>
    <w:rsid w:val="00A309FB"/>
    <w:rsid w:val="00A31EB0"/>
    <w:rsid w:val="00A343FB"/>
    <w:rsid w:val="00A366DD"/>
    <w:rsid w:val="00A37BF8"/>
    <w:rsid w:val="00A4606A"/>
    <w:rsid w:val="00A510A3"/>
    <w:rsid w:val="00A52359"/>
    <w:rsid w:val="00A5256E"/>
    <w:rsid w:val="00A53C67"/>
    <w:rsid w:val="00A5449B"/>
    <w:rsid w:val="00A55D98"/>
    <w:rsid w:val="00A6023D"/>
    <w:rsid w:val="00A6036D"/>
    <w:rsid w:val="00A60886"/>
    <w:rsid w:val="00A66F11"/>
    <w:rsid w:val="00A7163D"/>
    <w:rsid w:val="00A71AFD"/>
    <w:rsid w:val="00A72A87"/>
    <w:rsid w:val="00A73556"/>
    <w:rsid w:val="00A736DA"/>
    <w:rsid w:val="00A81AB3"/>
    <w:rsid w:val="00A82C03"/>
    <w:rsid w:val="00A8375D"/>
    <w:rsid w:val="00A84011"/>
    <w:rsid w:val="00A84E3E"/>
    <w:rsid w:val="00A85962"/>
    <w:rsid w:val="00A8679F"/>
    <w:rsid w:val="00A935CA"/>
    <w:rsid w:val="00A94EA2"/>
    <w:rsid w:val="00A952C7"/>
    <w:rsid w:val="00A96269"/>
    <w:rsid w:val="00AA0825"/>
    <w:rsid w:val="00AA0BF6"/>
    <w:rsid w:val="00AA16BE"/>
    <w:rsid w:val="00AA49E3"/>
    <w:rsid w:val="00AA61F2"/>
    <w:rsid w:val="00AA6531"/>
    <w:rsid w:val="00AA7D5D"/>
    <w:rsid w:val="00AA7F8B"/>
    <w:rsid w:val="00AB0B39"/>
    <w:rsid w:val="00AB2441"/>
    <w:rsid w:val="00AB2612"/>
    <w:rsid w:val="00AC1356"/>
    <w:rsid w:val="00AC2B5C"/>
    <w:rsid w:val="00AC383B"/>
    <w:rsid w:val="00AC545F"/>
    <w:rsid w:val="00AD06DD"/>
    <w:rsid w:val="00AD0768"/>
    <w:rsid w:val="00AD1CCF"/>
    <w:rsid w:val="00AD3F72"/>
    <w:rsid w:val="00AD585E"/>
    <w:rsid w:val="00AD6B66"/>
    <w:rsid w:val="00AD7903"/>
    <w:rsid w:val="00AE11BE"/>
    <w:rsid w:val="00AE42AC"/>
    <w:rsid w:val="00AE4512"/>
    <w:rsid w:val="00AE59C7"/>
    <w:rsid w:val="00AF75C4"/>
    <w:rsid w:val="00B024D8"/>
    <w:rsid w:val="00B026B3"/>
    <w:rsid w:val="00B02E8C"/>
    <w:rsid w:val="00B04223"/>
    <w:rsid w:val="00B0468D"/>
    <w:rsid w:val="00B05E49"/>
    <w:rsid w:val="00B10B5E"/>
    <w:rsid w:val="00B10C5E"/>
    <w:rsid w:val="00B111CF"/>
    <w:rsid w:val="00B13C06"/>
    <w:rsid w:val="00B15229"/>
    <w:rsid w:val="00B1566D"/>
    <w:rsid w:val="00B17A93"/>
    <w:rsid w:val="00B205B4"/>
    <w:rsid w:val="00B20B7B"/>
    <w:rsid w:val="00B215A4"/>
    <w:rsid w:val="00B25181"/>
    <w:rsid w:val="00B25936"/>
    <w:rsid w:val="00B26CDF"/>
    <w:rsid w:val="00B30E73"/>
    <w:rsid w:val="00B31A2C"/>
    <w:rsid w:val="00B33910"/>
    <w:rsid w:val="00B33CAD"/>
    <w:rsid w:val="00B34A85"/>
    <w:rsid w:val="00B34C88"/>
    <w:rsid w:val="00B36BFE"/>
    <w:rsid w:val="00B40A15"/>
    <w:rsid w:val="00B41832"/>
    <w:rsid w:val="00B41876"/>
    <w:rsid w:val="00B44987"/>
    <w:rsid w:val="00B46E35"/>
    <w:rsid w:val="00B50E9C"/>
    <w:rsid w:val="00B51123"/>
    <w:rsid w:val="00B51554"/>
    <w:rsid w:val="00B52260"/>
    <w:rsid w:val="00B5233C"/>
    <w:rsid w:val="00B52F9E"/>
    <w:rsid w:val="00B53140"/>
    <w:rsid w:val="00B56839"/>
    <w:rsid w:val="00B60012"/>
    <w:rsid w:val="00B63B61"/>
    <w:rsid w:val="00B6684C"/>
    <w:rsid w:val="00B67139"/>
    <w:rsid w:val="00B70E9F"/>
    <w:rsid w:val="00B71087"/>
    <w:rsid w:val="00B7244C"/>
    <w:rsid w:val="00B74D01"/>
    <w:rsid w:val="00B74D3D"/>
    <w:rsid w:val="00B75209"/>
    <w:rsid w:val="00B7633A"/>
    <w:rsid w:val="00B76A2D"/>
    <w:rsid w:val="00B7744E"/>
    <w:rsid w:val="00B800DE"/>
    <w:rsid w:val="00B806E7"/>
    <w:rsid w:val="00B82674"/>
    <w:rsid w:val="00B82D4A"/>
    <w:rsid w:val="00B82F7D"/>
    <w:rsid w:val="00B86246"/>
    <w:rsid w:val="00B8664E"/>
    <w:rsid w:val="00B86DC1"/>
    <w:rsid w:val="00B90414"/>
    <w:rsid w:val="00B940E0"/>
    <w:rsid w:val="00B94587"/>
    <w:rsid w:val="00B96CE0"/>
    <w:rsid w:val="00B9798E"/>
    <w:rsid w:val="00BA0EFF"/>
    <w:rsid w:val="00BA3D48"/>
    <w:rsid w:val="00BA5AD0"/>
    <w:rsid w:val="00BA6C0A"/>
    <w:rsid w:val="00BB0D0C"/>
    <w:rsid w:val="00BB22C6"/>
    <w:rsid w:val="00BB2FD1"/>
    <w:rsid w:val="00BB3442"/>
    <w:rsid w:val="00BB44C0"/>
    <w:rsid w:val="00BB5895"/>
    <w:rsid w:val="00BB6A8E"/>
    <w:rsid w:val="00BB7595"/>
    <w:rsid w:val="00BC01EB"/>
    <w:rsid w:val="00BC2B9F"/>
    <w:rsid w:val="00BC48BC"/>
    <w:rsid w:val="00BC5D5C"/>
    <w:rsid w:val="00BC7A32"/>
    <w:rsid w:val="00BD0838"/>
    <w:rsid w:val="00BD0BCE"/>
    <w:rsid w:val="00BD2608"/>
    <w:rsid w:val="00BD3043"/>
    <w:rsid w:val="00BE2F8B"/>
    <w:rsid w:val="00BE3731"/>
    <w:rsid w:val="00BE624C"/>
    <w:rsid w:val="00BE6E25"/>
    <w:rsid w:val="00BE6F09"/>
    <w:rsid w:val="00BF11BD"/>
    <w:rsid w:val="00BF1AAA"/>
    <w:rsid w:val="00BF4074"/>
    <w:rsid w:val="00BF5BF4"/>
    <w:rsid w:val="00BF795F"/>
    <w:rsid w:val="00C01FEA"/>
    <w:rsid w:val="00C0424D"/>
    <w:rsid w:val="00C06318"/>
    <w:rsid w:val="00C07A86"/>
    <w:rsid w:val="00C11B12"/>
    <w:rsid w:val="00C13081"/>
    <w:rsid w:val="00C23923"/>
    <w:rsid w:val="00C239AD"/>
    <w:rsid w:val="00C25CD8"/>
    <w:rsid w:val="00C32BAE"/>
    <w:rsid w:val="00C33A82"/>
    <w:rsid w:val="00C369B0"/>
    <w:rsid w:val="00C40141"/>
    <w:rsid w:val="00C40608"/>
    <w:rsid w:val="00C417CA"/>
    <w:rsid w:val="00C422FF"/>
    <w:rsid w:val="00C42A5B"/>
    <w:rsid w:val="00C43494"/>
    <w:rsid w:val="00C45243"/>
    <w:rsid w:val="00C4535F"/>
    <w:rsid w:val="00C45896"/>
    <w:rsid w:val="00C46AA3"/>
    <w:rsid w:val="00C47C29"/>
    <w:rsid w:val="00C47E1A"/>
    <w:rsid w:val="00C5082D"/>
    <w:rsid w:val="00C51E43"/>
    <w:rsid w:val="00C533E4"/>
    <w:rsid w:val="00C53562"/>
    <w:rsid w:val="00C5378C"/>
    <w:rsid w:val="00C53E88"/>
    <w:rsid w:val="00C545C6"/>
    <w:rsid w:val="00C56DF0"/>
    <w:rsid w:val="00C574AF"/>
    <w:rsid w:val="00C60E99"/>
    <w:rsid w:val="00C614F6"/>
    <w:rsid w:val="00C6162C"/>
    <w:rsid w:val="00C61A29"/>
    <w:rsid w:val="00C629A4"/>
    <w:rsid w:val="00C62CDD"/>
    <w:rsid w:val="00C63570"/>
    <w:rsid w:val="00C649BA"/>
    <w:rsid w:val="00C64DCA"/>
    <w:rsid w:val="00C708EC"/>
    <w:rsid w:val="00C74D91"/>
    <w:rsid w:val="00C766A7"/>
    <w:rsid w:val="00C769AF"/>
    <w:rsid w:val="00C7750A"/>
    <w:rsid w:val="00C779FB"/>
    <w:rsid w:val="00C827A3"/>
    <w:rsid w:val="00C82A6C"/>
    <w:rsid w:val="00C84439"/>
    <w:rsid w:val="00C8480D"/>
    <w:rsid w:val="00C85BF9"/>
    <w:rsid w:val="00C864A6"/>
    <w:rsid w:val="00C86C00"/>
    <w:rsid w:val="00C921B5"/>
    <w:rsid w:val="00C93427"/>
    <w:rsid w:val="00C94930"/>
    <w:rsid w:val="00C96B5C"/>
    <w:rsid w:val="00CA0960"/>
    <w:rsid w:val="00CA216E"/>
    <w:rsid w:val="00CA2C65"/>
    <w:rsid w:val="00CA6A04"/>
    <w:rsid w:val="00CA711A"/>
    <w:rsid w:val="00CA7590"/>
    <w:rsid w:val="00CB006C"/>
    <w:rsid w:val="00CB0434"/>
    <w:rsid w:val="00CB1278"/>
    <w:rsid w:val="00CB18F7"/>
    <w:rsid w:val="00CB1FAE"/>
    <w:rsid w:val="00CB201D"/>
    <w:rsid w:val="00CB4A04"/>
    <w:rsid w:val="00CB4D33"/>
    <w:rsid w:val="00CB5188"/>
    <w:rsid w:val="00CB6B3A"/>
    <w:rsid w:val="00CB7563"/>
    <w:rsid w:val="00CC14E1"/>
    <w:rsid w:val="00CC1EE2"/>
    <w:rsid w:val="00CC3340"/>
    <w:rsid w:val="00CC7B55"/>
    <w:rsid w:val="00CD0CA8"/>
    <w:rsid w:val="00CD0F4D"/>
    <w:rsid w:val="00CD28A7"/>
    <w:rsid w:val="00CD28FD"/>
    <w:rsid w:val="00CD29A6"/>
    <w:rsid w:val="00CD3258"/>
    <w:rsid w:val="00CD4AB3"/>
    <w:rsid w:val="00CD58E8"/>
    <w:rsid w:val="00CE1098"/>
    <w:rsid w:val="00CE1C65"/>
    <w:rsid w:val="00CE3323"/>
    <w:rsid w:val="00CE7AEA"/>
    <w:rsid w:val="00CE7E8A"/>
    <w:rsid w:val="00CF04C8"/>
    <w:rsid w:val="00CF50C9"/>
    <w:rsid w:val="00CF5115"/>
    <w:rsid w:val="00CF69F0"/>
    <w:rsid w:val="00D018DF"/>
    <w:rsid w:val="00D0228A"/>
    <w:rsid w:val="00D022FE"/>
    <w:rsid w:val="00D03986"/>
    <w:rsid w:val="00D06063"/>
    <w:rsid w:val="00D07A53"/>
    <w:rsid w:val="00D11D74"/>
    <w:rsid w:val="00D171DA"/>
    <w:rsid w:val="00D17CC0"/>
    <w:rsid w:val="00D22E81"/>
    <w:rsid w:val="00D25D5C"/>
    <w:rsid w:val="00D26967"/>
    <w:rsid w:val="00D272DA"/>
    <w:rsid w:val="00D2747F"/>
    <w:rsid w:val="00D3171D"/>
    <w:rsid w:val="00D345BB"/>
    <w:rsid w:val="00D34CDC"/>
    <w:rsid w:val="00D35032"/>
    <w:rsid w:val="00D35168"/>
    <w:rsid w:val="00D4008B"/>
    <w:rsid w:val="00D40194"/>
    <w:rsid w:val="00D41E31"/>
    <w:rsid w:val="00D43693"/>
    <w:rsid w:val="00D43851"/>
    <w:rsid w:val="00D463FD"/>
    <w:rsid w:val="00D473AF"/>
    <w:rsid w:val="00D479CF"/>
    <w:rsid w:val="00D47A7E"/>
    <w:rsid w:val="00D5209E"/>
    <w:rsid w:val="00D61773"/>
    <w:rsid w:val="00D6197E"/>
    <w:rsid w:val="00D621EF"/>
    <w:rsid w:val="00D62EFA"/>
    <w:rsid w:val="00D62F21"/>
    <w:rsid w:val="00D6432A"/>
    <w:rsid w:val="00D704C5"/>
    <w:rsid w:val="00D7141D"/>
    <w:rsid w:val="00D74BCC"/>
    <w:rsid w:val="00D76CC4"/>
    <w:rsid w:val="00D81D74"/>
    <w:rsid w:val="00D820AC"/>
    <w:rsid w:val="00D82E62"/>
    <w:rsid w:val="00D83D49"/>
    <w:rsid w:val="00D83FBE"/>
    <w:rsid w:val="00D84CE2"/>
    <w:rsid w:val="00D85100"/>
    <w:rsid w:val="00D86515"/>
    <w:rsid w:val="00D86C2E"/>
    <w:rsid w:val="00D87090"/>
    <w:rsid w:val="00D87D30"/>
    <w:rsid w:val="00D90854"/>
    <w:rsid w:val="00D91548"/>
    <w:rsid w:val="00D91E8F"/>
    <w:rsid w:val="00D93034"/>
    <w:rsid w:val="00D93546"/>
    <w:rsid w:val="00D97183"/>
    <w:rsid w:val="00D97F3C"/>
    <w:rsid w:val="00DA1B6F"/>
    <w:rsid w:val="00DA24EC"/>
    <w:rsid w:val="00DA2E94"/>
    <w:rsid w:val="00DA4D6B"/>
    <w:rsid w:val="00DA4FE5"/>
    <w:rsid w:val="00DA7576"/>
    <w:rsid w:val="00DB1DE4"/>
    <w:rsid w:val="00DB4A9B"/>
    <w:rsid w:val="00DC04A7"/>
    <w:rsid w:val="00DC20BA"/>
    <w:rsid w:val="00DC7EE8"/>
    <w:rsid w:val="00DD0F34"/>
    <w:rsid w:val="00DD1084"/>
    <w:rsid w:val="00DD29E2"/>
    <w:rsid w:val="00DD3855"/>
    <w:rsid w:val="00DD3AF2"/>
    <w:rsid w:val="00DD599D"/>
    <w:rsid w:val="00DD5FD3"/>
    <w:rsid w:val="00DD7259"/>
    <w:rsid w:val="00DD7A05"/>
    <w:rsid w:val="00DD7F43"/>
    <w:rsid w:val="00DE00ED"/>
    <w:rsid w:val="00DE29AE"/>
    <w:rsid w:val="00DE2B67"/>
    <w:rsid w:val="00DE33F4"/>
    <w:rsid w:val="00DE3462"/>
    <w:rsid w:val="00DF2A22"/>
    <w:rsid w:val="00DF349F"/>
    <w:rsid w:val="00DF365B"/>
    <w:rsid w:val="00DF3CC7"/>
    <w:rsid w:val="00DF5B9F"/>
    <w:rsid w:val="00DF5BD4"/>
    <w:rsid w:val="00DF5C42"/>
    <w:rsid w:val="00DF7451"/>
    <w:rsid w:val="00DF7A4F"/>
    <w:rsid w:val="00E00BE5"/>
    <w:rsid w:val="00E00F3D"/>
    <w:rsid w:val="00E01CF4"/>
    <w:rsid w:val="00E052AF"/>
    <w:rsid w:val="00E05413"/>
    <w:rsid w:val="00E05791"/>
    <w:rsid w:val="00E0715F"/>
    <w:rsid w:val="00E1037B"/>
    <w:rsid w:val="00E11D76"/>
    <w:rsid w:val="00E13BCE"/>
    <w:rsid w:val="00E14373"/>
    <w:rsid w:val="00E14BA2"/>
    <w:rsid w:val="00E15385"/>
    <w:rsid w:val="00E15BF8"/>
    <w:rsid w:val="00E1748B"/>
    <w:rsid w:val="00E21B4F"/>
    <w:rsid w:val="00E22271"/>
    <w:rsid w:val="00E253A9"/>
    <w:rsid w:val="00E27391"/>
    <w:rsid w:val="00E3396C"/>
    <w:rsid w:val="00E37867"/>
    <w:rsid w:val="00E37AFE"/>
    <w:rsid w:val="00E43609"/>
    <w:rsid w:val="00E43A26"/>
    <w:rsid w:val="00E449D9"/>
    <w:rsid w:val="00E44F94"/>
    <w:rsid w:val="00E4587D"/>
    <w:rsid w:val="00E521A2"/>
    <w:rsid w:val="00E53833"/>
    <w:rsid w:val="00E53D64"/>
    <w:rsid w:val="00E543F7"/>
    <w:rsid w:val="00E60381"/>
    <w:rsid w:val="00E612E3"/>
    <w:rsid w:val="00E63148"/>
    <w:rsid w:val="00E673CE"/>
    <w:rsid w:val="00E70D75"/>
    <w:rsid w:val="00E71400"/>
    <w:rsid w:val="00E72F06"/>
    <w:rsid w:val="00E737E3"/>
    <w:rsid w:val="00E74308"/>
    <w:rsid w:val="00E75253"/>
    <w:rsid w:val="00E764AE"/>
    <w:rsid w:val="00E817C2"/>
    <w:rsid w:val="00E83C83"/>
    <w:rsid w:val="00E87B83"/>
    <w:rsid w:val="00E90937"/>
    <w:rsid w:val="00E90CB7"/>
    <w:rsid w:val="00E9391A"/>
    <w:rsid w:val="00E95100"/>
    <w:rsid w:val="00E9573E"/>
    <w:rsid w:val="00EA05A9"/>
    <w:rsid w:val="00EA18E2"/>
    <w:rsid w:val="00EA2C2B"/>
    <w:rsid w:val="00EA468C"/>
    <w:rsid w:val="00EA611C"/>
    <w:rsid w:val="00EA63EA"/>
    <w:rsid w:val="00EA6B7D"/>
    <w:rsid w:val="00EB3C0E"/>
    <w:rsid w:val="00EB41EA"/>
    <w:rsid w:val="00EB4752"/>
    <w:rsid w:val="00EB54E9"/>
    <w:rsid w:val="00EB5608"/>
    <w:rsid w:val="00EB6DD1"/>
    <w:rsid w:val="00EC0724"/>
    <w:rsid w:val="00EC17B8"/>
    <w:rsid w:val="00ED14BA"/>
    <w:rsid w:val="00ED25CC"/>
    <w:rsid w:val="00ED30BD"/>
    <w:rsid w:val="00ED43AE"/>
    <w:rsid w:val="00ED43E2"/>
    <w:rsid w:val="00ED4BDC"/>
    <w:rsid w:val="00ED6308"/>
    <w:rsid w:val="00ED6FB9"/>
    <w:rsid w:val="00EE0C17"/>
    <w:rsid w:val="00EE1E1D"/>
    <w:rsid w:val="00EE317D"/>
    <w:rsid w:val="00EE3C2A"/>
    <w:rsid w:val="00EE42CA"/>
    <w:rsid w:val="00EE4663"/>
    <w:rsid w:val="00EE61CE"/>
    <w:rsid w:val="00EE7C64"/>
    <w:rsid w:val="00EF16C6"/>
    <w:rsid w:val="00EF2CEF"/>
    <w:rsid w:val="00EF3A61"/>
    <w:rsid w:val="00EF4FC2"/>
    <w:rsid w:val="00F0188E"/>
    <w:rsid w:val="00F02136"/>
    <w:rsid w:val="00F04CDE"/>
    <w:rsid w:val="00F05087"/>
    <w:rsid w:val="00F05F90"/>
    <w:rsid w:val="00F10384"/>
    <w:rsid w:val="00F1350E"/>
    <w:rsid w:val="00F20ED1"/>
    <w:rsid w:val="00F23AF6"/>
    <w:rsid w:val="00F26A57"/>
    <w:rsid w:val="00F2750A"/>
    <w:rsid w:val="00F27C8E"/>
    <w:rsid w:val="00F27D72"/>
    <w:rsid w:val="00F27E90"/>
    <w:rsid w:val="00F30303"/>
    <w:rsid w:val="00F30867"/>
    <w:rsid w:val="00F315E7"/>
    <w:rsid w:val="00F31A22"/>
    <w:rsid w:val="00F32C52"/>
    <w:rsid w:val="00F334AF"/>
    <w:rsid w:val="00F33940"/>
    <w:rsid w:val="00F33CCE"/>
    <w:rsid w:val="00F33E19"/>
    <w:rsid w:val="00F34B18"/>
    <w:rsid w:val="00F3506E"/>
    <w:rsid w:val="00F363AD"/>
    <w:rsid w:val="00F370C9"/>
    <w:rsid w:val="00F376B9"/>
    <w:rsid w:val="00F41198"/>
    <w:rsid w:val="00F4134F"/>
    <w:rsid w:val="00F41B95"/>
    <w:rsid w:val="00F43424"/>
    <w:rsid w:val="00F457CC"/>
    <w:rsid w:val="00F466A1"/>
    <w:rsid w:val="00F47C55"/>
    <w:rsid w:val="00F50BAD"/>
    <w:rsid w:val="00F51789"/>
    <w:rsid w:val="00F51CFB"/>
    <w:rsid w:val="00F524CF"/>
    <w:rsid w:val="00F53E45"/>
    <w:rsid w:val="00F5453C"/>
    <w:rsid w:val="00F5593D"/>
    <w:rsid w:val="00F60771"/>
    <w:rsid w:val="00F60936"/>
    <w:rsid w:val="00F609C8"/>
    <w:rsid w:val="00F66C2B"/>
    <w:rsid w:val="00F70264"/>
    <w:rsid w:val="00F7110A"/>
    <w:rsid w:val="00F757A1"/>
    <w:rsid w:val="00F8069A"/>
    <w:rsid w:val="00F812BB"/>
    <w:rsid w:val="00F82579"/>
    <w:rsid w:val="00F85F97"/>
    <w:rsid w:val="00F868B1"/>
    <w:rsid w:val="00F8720C"/>
    <w:rsid w:val="00F87A81"/>
    <w:rsid w:val="00F95C44"/>
    <w:rsid w:val="00FA2B10"/>
    <w:rsid w:val="00FA2B80"/>
    <w:rsid w:val="00FA2DDE"/>
    <w:rsid w:val="00FA3687"/>
    <w:rsid w:val="00FB22F1"/>
    <w:rsid w:val="00FB2AF9"/>
    <w:rsid w:val="00FB3CBD"/>
    <w:rsid w:val="00FB48DE"/>
    <w:rsid w:val="00FB63EB"/>
    <w:rsid w:val="00FB67FB"/>
    <w:rsid w:val="00FB771B"/>
    <w:rsid w:val="00FC0817"/>
    <w:rsid w:val="00FC0B8C"/>
    <w:rsid w:val="00FC3566"/>
    <w:rsid w:val="00FC37F8"/>
    <w:rsid w:val="00FC5939"/>
    <w:rsid w:val="00FC62AF"/>
    <w:rsid w:val="00FC6A11"/>
    <w:rsid w:val="00FD0803"/>
    <w:rsid w:val="00FD0F27"/>
    <w:rsid w:val="00FD2750"/>
    <w:rsid w:val="00FD4398"/>
    <w:rsid w:val="00FD4B9D"/>
    <w:rsid w:val="00FD5627"/>
    <w:rsid w:val="00FD6146"/>
    <w:rsid w:val="00FE3413"/>
    <w:rsid w:val="00FE5FDC"/>
    <w:rsid w:val="00FE61D8"/>
    <w:rsid w:val="00FF1A01"/>
    <w:rsid w:val="00FF1A69"/>
    <w:rsid w:val="00FF7108"/>
    <w:rsid w:val="00FF7BD8"/>
    <w:rsid w:val="00FF7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9F16C488-12FB-4DE9-9E40-1A631C43F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FA1"/>
    <w:pPr>
      <w:spacing w:after="200" w:line="276" w:lineRule="auto"/>
    </w:pPr>
    <w:rPr>
      <w:sz w:val="22"/>
      <w:szCs w:val="22"/>
      <w:lang w:eastAsia="en-US"/>
    </w:rPr>
  </w:style>
  <w:style w:type="paragraph" w:styleId="Ttulo1">
    <w:name w:val="heading 1"/>
    <w:basedOn w:val="Normal"/>
    <w:link w:val="Ttulo1Car"/>
    <w:uiPriority w:val="9"/>
    <w:qFormat/>
    <w:rsid w:val="00E05791"/>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unhideWhenUsed/>
    <w:qFormat/>
    <w:rsid w:val="00CE1C65"/>
    <w:pPr>
      <w:keepNext/>
      <w:keepLines/>
      <w:spacing w:before="40" w:after="0"/>
      <w:outlineLvl w:val="1"/>
    </w:pPr>
    <w:rPr>
      <w:rFonts w:ascii="Cambria" w:eastAsia="Times New Roman" w:hAnsi="Cambria"/>
      <w:color w:val="365F91"/>
      <w:sz w:val="26"/>
      <w:szCs w:val="26"/>
    </w:rPr>
  </w:style>
  <w:style w:type="paragraph" w:styleId="Ttulo4">
    <w:name w:val="heading 4"/>
    <w:basedOn w:val="Normal"/>
    <w:next w:val="Normal"/>
    <w:link w:val="Ttulo4Car"/>
    <w:uiPriority w:val="9"/>
    <w:unhideWhenUsed/>
    <w:qFormat/>
    <w:rsid w:val="00CE1C65"/>
    <w:pPr>
      <w:keepNext/>
      <w:keepLines/>
      <w:spacing w:before="40" w:after="0"/>
      <w:outlineLvl w:val="3"/>
    </w:pPr>
    <w:rPr>
      <w:rFonts w:ascii="Cambria" w:eastAsia="Times New Roman" w:hAnsi="Cambria"/>
      <w:i/>
      <w:iCs/>
      <w:color w:val="365F91"/>
    </w:rPr>
  </w:style>
  <w:style w:type="paragraph" w:styleId="Ttulo5">
    <w:name w:val="heading 5"/>
    <w:basedOn w:val="Normal"/>
    <w:next w:val="Normal"/>
    <w:link w:val="Ttulo5Car"/>
    <w:uiPriority w:val="9"/>
    <w:unhideWhenUsed/>
    <w:qFormat/>
    <w:rsid w:val="00CE1C65"/>
    <w:pPr>
      <w:keepNext/>
      <w:keepLines/>
      <w:spacing w:before="40" w:after="0"/>
      <w:outlineLvl w:val="4"/>
    </w:pPr>
    <w:rPr>
      <w:rFonts w:ascii="Cambria" w:eastAsia="Times New Roman" w:hAnsi="Cambria"/>
      <w:color w:val="365F91"/>
    </w:rPr>
  </w:style>
  <w:style w:type="paragraph" w:styleId="Ttulo6">
    <w:name w:val="heading 6"/>
    <w:basedOn w:val="Normal"/>
    <w:next w:val="Normal"/>
    <w:link w:val="Ttulo6Car"/>
    <w:uiPriority w:val="9"/>
    <w:unhideWhenUsed/>
    <w:qFormat/>
    <w:rsid w:val="00CE1C65"/>
    <w:pPr>
      <w:keepNext/>
      <w:keepLines/>
      <w:spacing w:before="40" w:after="0"/>
      <w:outlineLvl w:val="5"/>
    </w:pPr>
    <w:rPr>
      <w:rFonts w:ascii="Cambria" w:eastAsia="Times New Roman" w:hAnsi="Cambria"/>
      <w:color w:val="243F60"/>
    </w:rPr>
  </w:style>
  <w:style w:type="paragraph" w:styleId="Ttulo7">
    <w:name w:val="heading 7"/>
    <w:basedOn w:val="Normal"/>
    <w:next w:val="Normal"/>
    <w:link w:val="Ttulo7Car"/>
    <w:uiPriority w:val="9"/>
    <w:unhideWhenUsed/>
    <w:qFormat/>
    <w:rsid w:val="00CE1C65"/>
    <w:pPr>
      <w:keepNext/>
      <w:keepLines/>
      <w:spacing w:before="40" w:after="0"/>
      <w:outlineLvl w:val="6"/>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Prrafodelista">
    <w:name w:val="List Paragraph"/>
    <w:basedOn w:val="Normal"/>
    <w:link w:val="PrrafodelistaCar"/>
    <w:uiPriority w:val="34"/>
    <w:qFormat/>
    <w:rsid w:val="00D22E81"/>
    <w:pPr>
      <w:ind w:left="720"/>
      <w:contextualSpacing/>
    </w:pPr>
  </w:style>
  <w:style w:type="paragraph" w:styleId="Textodeglobo">
    <w:name w:val="Balloon Text"/>
    <w:basedOn w:val="Normal"/>
    <w:link w:val="TextodegloboCar"/>
    <w:uiPriority w:val="99"/>
    <w:semiHidden/>
    <w:unhideWhenUsed/>
    <w:rsid w:val="002024F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024F5"/>
    <w:rPr>
      <w:rFonts w:ascii="Tahoma" w:hAnsi="Tahoma" w:cs="Tahoma"/>
      <w:sz w:val="16"/>
      <w:szCs w:val="16"/>
      <w:lang w:eastAsia="en-US"/>
    </w:rPr>
  </w:style>
  <w:style w:type="paragraph" w:styleId="Textoindependiente">
    <w:name w:val="Body Text"/>
    <w:basedOn w:val="Normal"/>
    <w:link w:val="TextoindependienteCar"/>
    <w:rsid w:val="004178CA"/>
    <w:pPr>
      <w:spacing w:after="120"/>
    </w:pPr>
  </w:style>
  <w:style w:type="character" w:customStyle="1" w:styleId="TextoindependienteCar">
    <w:name w:val="Texto independiente Car"/>
    <w:link w:val="Textoindependiente"/>
    <w:rsid w:val="004178CA"/>
    <w:rPr>
      <w:sz w:val="22"/>
      <w:szCs w:val="22"/>
      <w:lang w:eastAsia="en-US"/>
    </w:rPr>
  </w:style>
  <w:style w:type="character" w:styleId="Refdecomentario">
    <w:name w:val="annotation reference"/>
    <w:uiPriority w:val="99"/>
    <w:semiHidden/>
    <w:unhideWhenUsed/>
    <w:rsid w:val="007074F9"/>
    <w:rPr>
      <w:sz w:val="16"/>
      <w:szCs w:val="16"/>
    </w:rPr>
  </w:style>
  <w:style w:type="paragraph" w:styleId="Textocomentario">
    <w:name w:val="annotation text"/>
    <w:basedOn w:val="Normal"/>
    <w:link w:val="TextocomentarioCar"/>
    <w:uiPriority w:val="99"/>
    <w:semiHidden/>
    <w:unhideWhenUsed/>
    <w:rsid w:val="007074F9"/>
    <w:pPr>
      <w:spacing w:line="240" w:lineRule="auto"/>
    </w:pPr>
    <w:rPr>
      <w:sz w:val="20"/>
      <w:szCs w:val="20"/>
    </w:rPr>
  </w:style>
  <w:style w:type="character" w:customStyle="1" w:styleId="TextocomentarioCar">
    <w:name w:val="Texto comentario Car"/>
    <w:link w:val="Textocomentario"/>
    <w:uiPriority w:val="99"/>
    <w:semiHidden/>
    <w:rsid w:val="007074F9"/>
    <w:rPr>
      <w:lang w:eastAsia="en-US"/>
    </w:rPr>
  </w:style>
  <w:style w:type="paragraph" w:styleId="Asuntodelcomentario">
    <w:name w:val="annotation subject"/>
    <w:basedOn w:val="Textocomentario"/>
    <w:next w:val="Textocomentario"/>
    <w:link w:val="AsuntodelcomentarioCar"/>
    <w:uiPriority w:val="99"/>
    <w:semiHidden/>
    <w:unhideWhenUsed/>
    <w:rsid w:val="007074F9"/>
    <w:rPr>
      <w:b/>
      <w:bCs/>
    </w:rPr>
  </w:style>
  <w:style w:type="character" w:customStyle="1" w:styleId="AsuntodelcomentarioCar">
    <w:name w:val="Asunto del comentario Car"/>
    <w:link w:val="Asuntodelcomentario"/>
    <w:uiPriority w:val="99"/>
    <w:semiHidden/>
    <w:rsid w:val="007074F9"/>
    <w:rPr>
      <w:b/>
      <w:bCs/>
      <w:lang w:eastAsia="en-US"/>
    </w:rPr>
  </w:style>
  <w:style w:type="table" w:styleId="Tablaconcuadrcula">
    <w:name w:val="Table Grid"/>
    <w:basedOn w:val="Tablanormal"/>
    <w:uiPriority w:val="59"/>
    <w:rsid w:val="00691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D25D5C"/>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9A65A4"/>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9A65A4"/>
    <w:rPr>
      <w:lang w:eastAsia="en-US"/>
    </w:rPr>
  </w:style>
  <w:style w:type="character" w:styleId="Refdenotaalpie">
    <w:name w:val="footnote reference"/>
    <w:aliases w:val="Ref,de nota al pie"/>
    <w:uiPriority w:val="99"/>
    <w:unhideWhenUsed/>
    <w:qFormat/>
    <w:rsid w:val="009A65A4"/>
    <w:rPr>
      <w:vertAlign w:val="superscript"/>
    </w:rPr>
  </w:style>
  <w:style w:type="character" w:customStyle="1" w:styleId="Ttulo1Car">
    <w:name w:val="Título 1 Car"/>
    <w:link w:val="Ttulo1"/>
    <w:uiPriority w:val="9"/>
    <w:rsid w:val="00E05791"/>
    <w:rPr>
      <w:rFonts w:ascii="Times New Roman" w:eastAsia="Times New Roman" w:hAnsi="Times New Roman"/>
      <w:b/>
      <w:bCs/>
      <w:kern w:val="36"/>
      <w:sz w:val="48"/>
      <w:szCs w:val="48"/>
    </w:rPr>
  </w:style>
  <w:style w:type="character" w:customStyle="1" w:styleId="apple-converted-space">
    <w:name w:val="apple-converted-space"/>
    <w:basedOn w:val="Fuentedeprrafopredeter"/>
    <w:rsid w:val="00E05791"/>
  </w:style>
  <w:style w:type="character" w:customStyle="1" w:styleId="Ttulo2Car">
    <w:name w:val="Título 2 Car"/>
    <w:link w:val="Ttulo2"/>
    <w:uiPriority w:val="9"/>
    <w:rsid w:val="00CE1C65"/>
    <w:rPr>
      <w:rFonts w:ascii="Cambria" w:eastAsia="Times New Roman" w:hAnsi="Cambria" w:cs="Times New Roman"/>
      <w:color w:val="365F91"/>
      <w:sz w:val="26"/>
      <w:szCs w:val="26"/>
      <w:lang w:eastAsia="en-US"/>
    </w:rPr>
  </w:style>
  <w:style w:type="character" w:customStyle="1" w:styleId="Ttulo4Car">
    <w:name w:val="Título 4 Car"/>
    <w:link w:val="Ttulo4"/>
    <w:uiPriority w:val="9"/>
    <w:rsid w:val="00CE1C65"/>
    <w:rPr>
      <w:rFonts w:ascii="Cambria" w:eastAsia="Times New Roman" w:hAnsi="Cambria" w:cs="Times New Roman"/>
      <w:i/>
      <w:iCs/>
      <w:color w:val="365F91"/>
      <w:sz w:val="22"/>
      <w:szCs w:val="22"/>
      <w:lang w:eastAsia="en-US"/>
    </w:rPr>
  </w:style>
  <w:style w:type="character" w:customStyle="1" w:styleId="Ttulo5Car">
    <w:name w:val="Título 5 Car"/>
    <w:link w:val="Ttulo5"/>
    <w:uiPriority w:val="9"/>
    <w:rsid w:val="00CE1C65"/>
    <w:rPr>
      <w:rFonts w:ascii="Cambria" w:eastAsia="Times New Roman" w:hAnsi="Cambria" w:cs="Times New Roman"/>
      <w:color w:val="365F91"/>
      <w:sz w:val="22"/>
      <w:szCs w:val="22"/>
      <w:lang w:eastAsia="en-US"/>
    </w:rPr>
  </w:style>
  <w:style w:type="character" w:customStyle="1" w:styleId="Ttulo6Car">
    <w:name w:val="Título 6 Car"/>
    <w:link w:val="Ttulo6"/>
    <w:uiPriority w:val="9"/>
    <w:rsid w:val="00CE1C65"/>
    <w:rPr>
      <w:rFonts w:ascii="Cambria" w:eastAsia="Times New Roman" w:hAnsi="Cambria" w:cs="Times New Roman"/>
      <w:color w:val="243F60"/>
      <w:sz w:val="22"/>
      <w:szCs w:val="22"/>
      <w:lang w:eastAsia="en-US"/>
    </w:rPr>
  </w:style>
  <w:style w:type="character" w:customStyle="1" w:styleId="Ttulo7Car">
    <w:name w:val="Título 7 Car"/>
    <w:link w:val="Ttulo7"/>
    <w:uiPriority w:val="9"/>
    <w:rsid w:val="00CE1C65"/>
    <w:rPr>
      <w:rFonts w:ascii="Cambria" w:eastAsia="Times New Roman" w:hAnsi="Cambria" w:cs="Times New Roman"/>
      <w:i/>
      <w:iCs/>
      <w:color w:val="243F60"/>
      <w:sz w:val="22"/>
      <w:szCs w:val="22"/>
      <w:lang w:eastAsia="en-US"/>
    </w:rPr>
  </w:style>
  <w:style w:type="paragraph" w:styleId="Lista">
    <w:name w:val="List"/>
    <w:basedOn w:val="Normal"/>
    <w:uiPriority w:val="99"/>
    <w:unhideWhenUsed/>
    <w:rsid w:val="00CE1C65"/>
    <w:pPr>
      <w:ind w:left="283" w:hanging="283"/>
      <w:contextualSpacing/>
    </w:pPr>
  </w:style>
  <w:style w:type="paragraph" w:styleId="Lista2">
    <w:name w:val="List 2"/>
    <w:basedOn w:val="Normal"/>
    <w:uiPriority w:val="99"/>
    <w:unhideWhenUsed/>
    <w:rsid w:val="00CE1C65"/>
    <w:pPr>
      <w:ind w:left="566" w:hanging="283"/>
      <w:contextualSpacing/>
    </w:pPr>
  </w:style>
  <w:style w:type="paragraph" w:styleId="Lista3">
    <w:name w:val="List 3"/>
    <w:basedOn w:val="Normal"/>
    <w:uiPriority w:val="99"/>
    <w:unhideWhenUsed/>
    <w:rsid w:val="00CE1C65"/>
    <w:pPr>
      <w:ind w:left="849" w:hanging="283"/>
      <w:contextualSpacing/>
    </w:pPr>
  </w:style>
  <w:style w:type="paragraph" w:styleId="Continuarlista2">
    <w:name w:val="List Continue 2"/>
    <w:basedOn w:val="Normal"/>
    <w:uiPriority w:val="99"/>
    <w:unhideWhenUsed/>
    <w:rsid w:val="00CE1C65"/>
    <w:pPr>
      <w:spacing w:after="120"/>
      <w:ind w:left="566"/>
      <w:contextualSpacing/>
    </w:pPr>
  </w:style>
  <w:style w:type="paragraph" w:styleId="Sangradetextonormal">
    <w:name w:val="Body Text Indent"/>
    <w:basedOn w:val="Normal"/>
    <w:link w:val="SangradetextonormalCar"/>
    <w:uiPriority w:val="99"/>
    <w:unhideWhenUsed/>
    <w:rsid w:val="00CE1C65"/>
    <w:pPr>
      <w:spacing w:after="120"/>
      <w:ind w:left="283"/>
    </w:pPr>
  </w:style>
  <w:style w:type="character" w:customStyle="1" w:styleId="SangradetextonormalCar">
    <w:name w:val="Sangría de texto normal Car"/>
    <w:link w:val="Sangradetextonormal"/>
    <w:uiPriority w:val="99"/>
    <w:rsid w:val="00CE1C65"/>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CE1C65"/>
    <w:pPr>
      <w:spacing w:after="200"/>
      <w:ind w:left="360" w:firstLine="360"/>
    </w:pPr>
  </w:style>
  <w:style w:type="character" w:customStyle="1" w:styleId="Textoindependienteprimerasangra2Car">
    <w:name w:val="Texto independiente primera sangría 2 Car"/>
    <w:link w:val="Textoindependienteprimerasangra2"/>
    <w:uiPriority w:val="99"/>
    <w:rsid w:val="00CE1C65"/>
    <w:rPr>
      <w:sz w:val="22"/>
      <w:szCs w:val="22"/>
      <w:lang w:eastAsia="en-US"/>
    </w:rPr>
  </w:style>
  <w:style w:type="paragraph" w:styleId="Continuarlista">
    <w:name w:val="List Continue"/>
    <w:basedOn w:val="Normal"/>
    <w:uiPriority w:val="99"/>
    <w:unhideWhenUsed/>
    <w:rsid w:val="00CE1C65"/>
    <w:pPr>
      <w:spacing w:after="120"/>
      <w:ind w:left="283"/>
      <w:contextualSpacing/>
    </w:pPr>
  </w:style>
  <w:style w:type="paragraph" w:styleId="Revisin">
    <w:name w:val="Revision"/>
    <w:hidden/>
    <w:uiPriority w:val="99"/>
    <w:semiHidden/>
    <w:rsid w:val="004A04D1"/>
    <w:rPr>
      <w:sz w:val="22"/>
      <w:szCs w:val="22"/>
      <w:lang w:eastAsia="en-US"/>
    </w:rPr>
  </w:style>
  <w:style w:type="character" w:customStyle="1" w:styleId="PrrafodelistaCar">
    <w:name w:val="Párrafo de lista Car"/>
    <w:link w:val="Prrafodelista"/>
    <w:uiPriority w:val="34"/>
    <w:locked/>
    <w:rsid w:val="00821C58"/>
    <w:rPr>
      <w:sz w:val="22"/>
      <w:szCs w:val="22"/>
      <w:lang w:eastAsia="en-US"/>
    </w:rPr>
  </w:style>
  <w:style w:type="paragraph" w:styleId="Listaconnmeros">
    <w:name w:val="List Number"/>
    <w:basedOn w:val="Normal"/>
    <w:uiPriority w:val="99"/>
    <w:semiHidden/>
    <w:unhideWhenUsed/>
    <w:rsid w:val="006B57D9"/>
    <w:pPr>
      <w:numPr>
        <w:numId w:val="4"/>
      </w:numPr>
      <w:contextualSpacing/>
    </w:pPr>
  </w:style>
  <w:style w:type="paragraph" w:customStyle="1" w:styleId="texto">
    <w:name w:val="texto"/>
    <w:basedOn w:val="Normal"/>
    <w:rsid w:val="006B57D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6B57D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TextoCar">
    <w:name w:val="Texto Car"/>
    <w:basedOn w:val="Normal"/>
    <w:link w:val="TextoCarCar"/>
    <w:rsid w:val="006B57D9"/>
    <w:pPr>
      <w:spacing w:after="101" w:line="216" w:lineRule="exact"/>
      <w:ind w:firstLine="288"/>
      <w:jc w:val="both"/>
    </w:pPr>
    <w:rPr>
      <w:rFonts w:ascii="Arial" w:eastAsia="Times New Roman" w:hAnsi="Arial" w:cs="Arial"/>
      <w:sz w:val="18"/>
      <w:szCs w:val="20"/>
      <w:lang w:eastAsia="es-MX"/>
    </w:rPr>
  </w:style>
  <w:style w:type="character" w:customStyle="1" w:styleId="TextoCarCar">
    <w:name w:val="Texto Car Car"/>
    <w:link w:val="TextoCar"/>
    <w:rsid w:val="006B57D9"/>
    <w:rPr>
      <w:rFonts w:ascii="Arial" w:eastAsia="Times New Roman" w:hAnsi="Arial" w:cs="Arial"/>
      <w:sz w:val="18"/>
    </w:rPr>
  </w:style>
  <w:style w:type="paragraph" w:customStyle="1" w:styleId="Texto0">
    <w:name w:val="Texto"/>
    <w:basedOn w:val="Normal"/>
    <w:rsid w:val="00A0589B"/>
    <w:pPr>
      <w:spacing w:after="101" w:line="216" w:lineRule="exact"/>
      <w:ind w:firstLine="288"/>
      <w:jc w:val="both"/>
    </w:pPr>
    <w:rPr>
      <w:rFonts w:ascii="Arial" w:eastAsia="Times New Roman" w:hAnsi="Arial" w:cs="Arial"/>
      <w:sz w:val="18"/>
      <w:szCs w:val="20"/>
      <w:lang w:val="es-ES" w:eastAsia="es-ES"/>
    </w:rPr>
  </w:style>
  <w:style w:type="paragraph" w:styleId="Sinespaciado">
    <w:name w:val="No Spacing"/>
    <w:link w:val="SinespaciadoCar"/>
    <w:uiPriority w:val="1"/>
    <w:qFormat/>
    <w:rsid w:val="00AA0BF6"/>
    <w:rPr>
      <w:sz w:val="22"/>
      <w:szCs w:val="22"/>
      <w:lang w:eastAsia="en-US"/>
    </w:rPr>
  </w:style>
  <w:style w:type="character" w:styleId="Hipervnculo">
    <w:name w:val="Hyperlink"/>
    <w:uiPriority w:val="99"/>
    <w:unhideWhenUsed/>
    <w:rsid w:val="00EB54E9"/>
    <w:rPr>
      <w:color w:val="0563C1"/>
      <w:u w:val="single"/>
    </w:rPr>
  </w:style>
  <w:style w:type="character" w:customStyle="1" w:styleId="SinespaciadoCar">
    <w:name w:val="Sin espaciado Car"/>
    <w:link w:val="Sinespaciado"/>
    <w:uiPriority w:val="1"/>
    <w:locked/>
    <w:rsid w:val="003E5F5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3296">
      <w:bodyDiv w:val="1"/>
      <w:marLeft w:val="0"/>
      <w:marRight w:val="0"/>
      <w:marTop w:val="0"/>
      <w:marBottom w:val="0"/>
      <w:divBdr>
        <w:top w:val="none" w:sz="0" w:space="0" w:color="auto"/>
        <w:left w:val="none" w:sz="0" w:space="0" w:color="auto"/>
        <w:bottom w:val="none" w:sz="0" w:space="0" w:color="auto"/>
        <w:right w:val="none" w:sz="0" w:space="0" w:color="auto"/>
      </w:divBdr>
    </w:div>
    <w:div w:id="109862634">
      <w:bodyDiv w:val="1"/>
      <w:marLeft w:val="0"/>
      <w:marRight w:val="0"/>
      <w:marTop w:val="0"/>
      <w:marBottom w:val="0"/>
      <w:divBdr>
        <w:top w:val="none" w:sz="0" w:space="0" w:color="auto"/>
        <w:left w:val="none" w:sz="0" w:space="0" w:color="auto"/>
        <w:bottom w:val="none" w:sz="0" w:space="0" w:color="auto"/>
        <w:right w:val="none" w:sz="0" w:space="0" w:color="auto"/>
      </w:divBdr>
    </w:div>
    <w:div w:id="193544380">
      <w:bodyDiv w:val="1"/>
      <w:marLeft w:val="0"/>
      <w:marRight w:val="0"/>
      <w:marTop w:val="0"/>
      <w:marBottom w:val="0"/>
      <w:divBdr>
        <w:top w:val="none" w:sz="0" w:space="0" w:color="auto"/>
        <w:left w:val="none" w:sz="0" w:space="0" w:color="auto"/>
        <w:bottom w:val="none" w:sz="0" w:space="0" w:color="auto"/>
        <w:right w:val="none" w:sz="0" w:space="0" w:color="auto"/>
      </w:divBdr>
    </w:div>
    <w:div w:id="236286838">
      <w:bodyDiv w:val="1"/>
      <w:marLeft w:val="0"/>
      <w:marRight w:val="0"/>
      <w:marTop w:val="0"/>
      <w:marBottom w:val="0"/>
      <w:divBdr>
        <w:top w:val="none" w:sz="0" w:space="0" w:color="auto"/>
        <w:left w:val="none" w:sz="0" w:space="0" w:color="auto"/>
        <w:bottom w:val="none" w:sz="0" w:space="0" w:color="auto"/>
        <w:right w:val="none" w:sz="0" w:space="0" w:color="auto"/>
      </w:divBdr>
    </w:div>
    <w:div w:id="306085692">
      <w:bodyDiv w:val="1"/>
      <w:marLeft w:val="0"/>
      <w:marRight w:val="0"/>
      <w:marTop w:val="0"/>
      <w:marBottom w:val="0"/>
      <w:divBdr>
        <w:top w:val="none" w:sz="0" w:space="0" w:color="auto"/>
        <w:left w:val="none" w:sz="0" w:space="0" w:color="auto"/>
        <w:bottom w:val="none" w:sz="0" w:space="0" w:color="auto"/>
        <w:right w:val="none" w:sz="0" w:space="0" w:color="auto"/>
      </w:divBdr>
    </w:div>
    <w:div w:id="341591891">
      <w:bodyDiv w:val="1"/>
      <w:marLeft w:val="0"/>
      <w:marRight w:val="0"/>
      <w:marTop w:val="0"/>
      <w:marBottom w:val="0"/>
      <w:divBdr>
        <w:top w:val="none" w:sz="0" w:space="0" w:color="auto"/>
        <w:left w:val="none" w:sz="0" w:space="0" w:color="auto"/>
        <w:bottom w:val="none" w:sz="0" w:space="0" w:color="auto"/>
        <w:right w:val="none" w:sz="0" w:space="0" w:color="auto"/>
      </w:divBdr>
    </w:div>
    <w:div w:id="372535117">
      <w:bodyDiv w:val="1"/>
      <w:marLeft w:val="0"/>
      <w:marRight w:val="0"/>
      <w:marTop w:val="0"/>
      <w:marBottom w:val="0"/>
      <w:divBdr>
        <w:top w:val="none" w:sz="0" w:space="0" w:color="auto"/>
        <w:left w:val="none" w:sz="0" w:space="0" w:color="auto"/>
        <w:bottom w:val="none" w:sz="0" w:space="0" w:color="auto"/>
        <w:right w:val="none" w:sz="0" w:space="0" w:color="auto"/>
      </w:divBdr>
    </w:div>
    <w:div w:id="487140218">
      <w:bodyDiv w:val="1"/>
      <w:marLeft w:val="0"/>
      <w:marRight w:val="0"/>
      <w:marTop w:val="0"/>
      <w:marBottom w:val="0"/>
      <w:divBdr>
        <w:top w:val="none" w:sz="0" w:space="0" w:color="auto"/>
        <w:left w:val="none" w:sz="0" w:space="0" w:color="auto"/>
        <w:bottom w:val="none" w:sz="0" w:space="0" w:color="auto"/>
        <w:right w:val="none" w:sz="0" w:space="0" w:color="auto"/>
      </w:divBdr>
    </w:div>
    <w:div w:id="521553498">
      <w:bodyDiv w:val="1"/>
      <w:marLeft w:val="0"/>
      <w:marRight w:val="0"/>
      <w:marTop w:val="0"/>
      <w:marBottom w:val="0"/>
      <w:divBdr>
        <w:top w:val="none" w:sz="0" w:space="0" w:color="auto"/>
        <w:left w:val="none" w:sz="0" w:space="0" w:color="auto"/>
        <w:bottom w:val="none" w:sz="0" w:space="0" w:color="auto"/>
        <w:right w:val="none" w:sz="0" w:space="0" w:color="auto"/>
      </w:divBdr>
    </w:div>
    <w:div w:id="759449561">
      <w:bodyDiv w:val="1"/>
      <w:marLeft w:val="0"/>
      <w:marRight w:val="0"/>
      <w:marTop w:val="0"/>
      <w:marBottom w:val="0"/>
      <w:divBdr>
        <w:top w:val="none" w:sz="0" w:space="0" w:color="auto"/>
        <w:left w:val="none" w:sz="0" w:space="0" w:color="auto"/>
        <w:bottom w:val="none" w:sz="0" w:space="0" w:color="auto"/>
        <w:right w:val="none" w:sz="0" w:space="0" w:color="auto"/>
      </w:divBdr>
    </w:div>
    <w:div w:id="783886507">
      <w:bodyDiv w:val="1"/>
      <w:marLeft w:val="0"/>
      <w:marRight w:val="0"/>
      <w:marTop w:val="0"/>
      <w:marBottom w:val="0"/>
      <w:divBdr>
        <w:top w:val="none" w:sz="0" w:space="0" w:color="auto"/>
        <w:left w:val="none" w:sz="0" w:space="0" w:color="auto"/>
        <w:bottom w:val="none" w:sz="0" w:space="0" w:color="auto"/>
        <w:right w:val="none" w:sz="0" w:space="0" w:color="auto"/>
      </w:divBdr>
    </w:div>
    <w:div w:id="800076961">
      <w:bodyDiv w:val="1"/>
      <w:marLeft w:val="0"/>
      <w:marRight w:val="0"/>
      <w:marTop w:val="0"/>
      <w:marBottom w:val="0"/>
      <w:divBdr>
        <w:top w:val="none" w:sz="0" w:space="0" w:color="auto"/>
        <w:left w:val="none" w:sz="0" w:space="0" w:color="auto"/>
        <w:bottom w:val="none" w:sz="0" w:space="0" w:color="auto"/>
        <w:right w:val="none" w:sz="0" w:space="0" w:color="auto"/>
      </w:divBdr>
    </w:div>
    <w:div w:id="935330779">
      <w:bodyDiv w:val="1"/>
      <w:marLeft w:val="0"/>
      <w:marRight w:val="0"/>
      <w:marTop w:val="0"/>
      <w:marBottom w:val="0"/>
      <w:divBdr>
        <w:top w:val="none" w:sz="0" w:space="0" w:color="auto"/>
        <w:left w:val="none" w:sz="0" w:space="0" w:color="auto"/>
        <w:bottom w:val="none" w:sz="0" w:space="0" w:color="auto"/>
        <w:right w:val="none" w:sz="0" w:space="0" w:color="auto"/>
      </w:divBdr>
    </w:div>
    <w:div w:id="974409982">
      <w:bodyDiv w:val="1"/>
      <w:marLeft w:val="0"/>
      <w:marRight w:val="0"/>
      <w:marTop w:val="0"/>
      <w:marBottom w:val="0"/>
      <w:divBdr>
        <w:top w:val="none" w:sz="0" w:space="0" w:color="auto"/>
        <w:left w:val="none" w:sz="0" w:space="0" w:color="auto"/>
        <w:bottom w:val="none" w:sz="0" w:space="0" w:color="auto"/>
        <w:right w:val="none" w:sz="0" w:space="0" w:color="auto"/>
      </w:divBdr>
    </w:div>
    <w:div w:id="1021052179">
      <w:bodyDiv w:val="1"/>
      <w:marLeft w:val="0"/>
      <w:marRight w:val="0"/>
      <w:marTop w:val="0"/>
      <w:marBottom w:val="0"/>
      <w:divBdr>
        <w:top w:val="none" w:sz="0" w:space="0" w:color="auto"/>
        <w:left w:val="none" w:sz="0" w:space="0" w:color="auto"/>
        <w:bottom w:val="none" w:sz="0" w:space="0" w:color="auto"/>
        <w:right w:val="none" w:sz="0" w:space="0" w:color="auto"/>
      </w:divBdr>
    </w:div>
    <w:div w:id="1034043584">
      <w:bodyDiv w:val="1"/>
      <w:marLeft w:val="0"/>
      <w:marRight w:val="0"/>
      <w:marTop w:val="0"/>
      <w:marBottom w:val="0"/>
      <w:divBdr>
        <w:top w:val="none" w:sz="0" w:space="0" w:color="auto"/>
        <w:left w:val="none" w:sz="0" w:space="0" w:color="auto"/>
        <w:bottom w:val="none" w:sz="0" w:space="0" w:color="auto"/>
        <w:right w:val="none" w:sz="0" w:space="0" w:color="auto"/>
      </w:divBdr>
      <w:divsChild>
        <w:div w:id="324237352">
          <w:marLeft w:val="1125"/>
          <w:marRight w:val="0"/>
          <w:marTop w:val="0"/>
          <w:marBottom w:val="0"/>
          <w:divBdr>
            <w:top w:val="none" w:sz="0" w:space="0" w:color="auto"/>
            <w:left w:val="none" w:sz="0" w:space="0" w:color="auto"/>
            <w:bottom w:val="none" w:sz="0" w:space="0" w:color="auto"/>
            <w:right w:val="none" w:sz="0" w:space="0" w:color="auto"/>
          </w:divBdr>
          <w:divsChild>
            <w:div w:id="482698531">
              <w:marLeft w:val="0"/>
              <w:marRight w:val="0"/>
              <w:marTop w:val="0"/>
              <w:marBottom w:val="0"/>
              <w:divBdr>
                <w:top w:val="none" w:sz="0" w:space="0" w:color="auto"/>
                <w:left w:val="none" w:sz="0" w:space="0" w:color="auto"/>
                <w:bottom w:val="none" w:sz="0" w:space="0" w:color="auto"/>
                <w:right w:val="none" w:sz="0" w:space="0" w:color="auto"/>
              </w:divBdr>
              <w:divsChild>
                <w:div w:id="175964661">
                  <w:marLeft w:val="0"/>
                  <w:marRight w:val="0"/>
                  <w:marTop w:val="0"/>
                  <w:marBottom w:val="0"/>
                  <w:divBdr>
                    <w:top w:val="none" w:sz="0" w:space="0" w:color="auto"/>
                    <w:left w:val="none" w:sz="0" w:space="0" w:color="auto"/>
                    <w:bottom w:val="none" w:sz="0" w:space="0" w:color="auto"/>
                    <w:right w:val="none" w:sz="0" w:space="0" w:color="auto"/>
                  </w:divBdr>
                </w:div>
                <w:div w:id="1279215228">
                  <w:marLeft w:val="0"/>
                  <w:marRight w:val="0"/>
                  <w:marTop w:val="0"/>
                  <w:marBottom w:val="0"/>
                  <w:divBdr>
                    <w:top w:val="none" w:sz="0" w:space="0" w:color="auto"/>
                    <w:left w:val="none" w:sz="0" w:space="0" w:color="auto"/>
                    <w:bottom w:val="none" w:sz="0" w:space="0" w:color="auto"/>
                    <w:right w:val="none" w:sz="0" w:space="0" w:color="auto"/>
                  </w:divBdr>
                  <w:divsChild>
                    <w:div w:id="392972565">
                      <w:marLeft w:val="0"/>
                      <w:marRight w:val="150"/>
                      <w:marTop w:val="0"/>
                      <w:marBottom w:val="0"/>
                      <w:divBdr>
                        <w:top w:val="none" w:sz="0" w:space="0" w:color="auto"/>
                        <w:left w:val="none" w:sz="0" w:space="0" w:color="auto"/>
                        <w:bottom w:val="none" w:sz="0" w:space="0" w:color="auto"/>
                        <w:right w:val="none" w:sz="0" w:space="0" w:color="auto"/>
                      </w:divBdr>
                      <w:divsChild>
                        <w:div w:id="323433659">
                          <w:marLeft w:val="0"/>
                          <w:marRight w:val="210"/>
                          <w:marTop w:val="0"/>
                          <w:marBottom w:val="0"/>
                          <w:divBdr>
                            <w:top w:val="single" w:sz="6" w:space="5" w:color="E6E6E6"/>
                            <w:left w:val="single" w:sz="6" w:space="3" w:color="E6E6E6"/>
                            <w:bottom w:val="single" w:sz="6" w:space="2" w:color="E6E6E6"/>
                            <w:right w:val="single" w:sz="6" w:space="3" w:color="E6E6E6"/>
                          </w:divBdr>
                          <w:divsChild>
                            <w:div w:id="729890554">
                              <w:marLeft w:val="345"/>
                              <w:marRight w:val="0"/>
                              <w:marTop w:val="0"/>
                              <w:marBottom w:val="0"/>
                              <w:divBdr>
                                <w:top w:val="none" w:sz="0" w:space="0" w:color="auto"/>
                                <w:left w:val="none" w:sz="0" w:space="0" w:color="auto"/>
                                <w:bottom w:val="none" w:sz="0" w:space="0" w:color="auto"/>
                                <w:right w:val="none" w:sz="0" w:space="0" w:color="auto"/>
                              </w:divBdr>
                            </w:div>
                          </w:divsChild>
                        </w:div>
                        <w:div w:id="385296911">
                          <w:marLeft w:val="0"/>
                          <w:marRight w:val="0"/>
                          <w:marTop w:val="0"/>
                          <w:marBottom w:val="0"/>
                          <w:divBdr>
                            <w:top w:val="single" w:sz="6" w:space="5" w:color="E6E6E6"/>
                            <w:left w:val="single" w:sz="6" w:space="3" w:color="E6E6E6"/>
                            <w:bottom w:val="single" w:sz="6" w:space="2" w:color="E6E6E6"/>
                            <w:right w:val="single" w:sz="6" w:space="3" w:color="E6E6E6"/>
                          </w:divBdr>
                          <w:divsChild>
                            <w:div w:id="196630840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10506">
              <w:marLeft w:val="0"/>
              <w:marRight w:val="0"/>
              <w:marTop w:val="0"/>
              <w:marBottom w:val="0"/>
              <w:divBdr>
                <w:top w:val="none" w:sz="0" w:space="0" w:color="auto"/>
                <w:left w:val="none" w:sz="0" w:space="0" w:color="auto"/>
                <w:bottom w:val="none" w:sz="0" w:space="0" w:color="auto"/>
                <w:right w:val="none" w:sz="0" w:space="0" w:color="auto"/>
              </w:divBdr>
            </w:div>
          </w:divsChild>
        </w:div>
        <w:div w:id="356272889">
          <w:marLeft w:val="0"/>
          <w:marRight w:val="0"/>
          <w:marTop w:val="0"/>
          <w:marBottom w:val="0"/>
          <w:divBdr>
            <w:top w:val="none" w:sz="0" w:space="0" w:color="auto"/>
            <w:left w:val="single" w:sz="6" w:space="0" w:color="E6E6E6"/>
            <w:bottom w:val="none" w:sz="0" w:space="0" w:color="auto"/>
            <w:right w:val="single" w:sz="6" w:space="0" w:color="E6E6E6"/>
          </w:divBdr>
          <w:divsChild>
            <w:div w:id="1249776785">
              <w:marLeft w:val="210"/>
              <w:marRight w:val="210"/>
              <w:marTop w:val="0"/>
              <w:marBottom w:val="0"/>
              <w:divBdr>
                <w:top w:val="none" w:sz="0" w:space="0" w:color="auto"/>
                <w:left w:val="none" w:sz="0" w:space="0" w:color="auto"/>
                <w:bottom w:val="none" w:sz="0" w:space="0" w:color="auto"/>
                <w:right w:val="none" w:sz="0" w:space="0" w:color="auto"/>
              </w:divBdr>
            </w:div>
          </w:divsChild>
        </w:div>
        <w:div w:id="1026759195">
          <w:marLeft w:val="0"/>
          <w:marRight w:val="0"/>
          <w:marTop w:val="0"/>
          <w:marBottom w:val="0"/>
          <w:divBdr>
            <w:top w:val="none" w:sz="0" w:space="0" w:color="auto"/>
            <w:left w:val="single" w:sz="6" w:space="0" w:color="E6E6E6"/>
            <w:bottom w:val="single" w:sz="6" w:space="0" w:color="F4F4F4"/>
            <w:right w:val="single" w:sz="6" w:space="11" w:color="E6E6E6"/>
          </w:divBdr>
          <w:divsChild>
            <w:div w:id="49110361">
              <w:marLeft w:val="0"/>
              <w:marRight w:val="0"/>
              <w:marTop w:val="0"/>
              <w:marBottom w:val="0"/>
              <w:divBdr>
                <w:top w:val="none" w:sz="0" w:space="0" w:color="auto"/>
                <w:left w:val="none" w:sz="0" w:space="0" w:color="auto"/>
                <w:bottom w:val="none" w:sz="0" w:space="0" w:color="auto"/>
                <w:right w:val="none" w:sz="0" w:space="0" w:color="auto"/>
              </w:divBdr>
              <w:divsChild>
                <w:div w:id="639961802">
                  <w:marLeft w:val="1125"/>
                  <w:marRight w:val="0"/>
                  <w:marTop w:val="0"/>
                  <w:marBottom w:val="0"/>
                  <w:divBdr>
                    <w:top w:val="none" w:sz="0" w:space="0" w:color="auto"/>
                    <w:left w:val="none" w:sz="0" w:space="0" w:color="auto"/>
                    <w:bottom w:val="none" w:sz="0" w:space="0" w:color="auto"/>
                    <w:right w:val="none" w:sz="0" w:space="0" w:color="auto"/>
                  </w:divBdr>
                  <w:divsChild>
                    <w:div w:id="221714520">
                      <w:marLeft w:val="0"/>
                      <w:marRight w:val="0"/>
                      <w:marTop w:val="0"/>
                      <w:marBottom w:val="0"/>
                      <w:divBdr>
                        <w:top w:val="none" w:sz="0" w:space="0" w:color="auto"/>
                        <w:left w:val="none" w:sz="0" w:space="0" w:color="auto"/>
                        <w:bottom w:val="none" w:sz="0" w:space="0" w:color="auto"/>
                        <w:right w:val="none" w:sz="0" w:space="0" w:color="auto"/>
                      </w:divBdr>
                      <w:divsChild>
                        <w:div w:id="764961372">
                          <w:marLeft w:val="0"/>
                          <w:marRight w:val="0"/>
                          <w:marTop w:val="0"/>
                          <w:marBottom w:val="0"/>
                          <w:divBdr>
                            <w:top w:val="none" w:sz="0" w:space="0" w:color="auto"/>
                            <w:left w:val="none" w:sz="0" w:space="0" w:color="auto"/>
                            <w:bottom w:val="none" w:sz="0" w:space="0" w:color="auto"/>
                            <w:right w:val="none" w:sz="0" w:space="0" w:color="auto"/>
                          </w:divBdr>
                          <w:divsChild>
                            <w:div w:id="1048608244">
                              <w:marLeft w:val="0"/>
                              <w:marRight w:val="0"/>
                              <w:marTop w:val="0"/>
                              <w:marBottom w:val="0"/>
                              <w:divBdr>
                                <w:top w:val="none" w:sz="0" w:space="0" w:color="auto"/>
                                <w:left w:val="none" w:sz="0" w:space="0" w:color="auto"/>
                                <w:bottom w:val="none" w:sz="0" w:space="0" w:color="auto"/>
                                <w:right w:val="none" w:sz="0" w:space="0" w:color="auto"/>
                              </w:divBdr>
                            </w:div>
                          </w:divsChild>
                        </w:div>
                        <w:div w:id="2002927472">
                          <w:marLeft w:val="0"/>
                          <w:marRight w:val="150"/>
                          <w:marTop w:val="0"/>
                          <w:marBottom w:val="0"/>
                          <w:divBdr>
                            <w:top w:val="none" w:sz="0" w:space="0" w:color="auto"/>
                            <w:left w:val="none" w:sz="0" w:space="0" w:color="auto"/>
                            <w:bottom w:val="none" w:sz="0" w:space="0" w:color="auto"/>
                            <w:right w:val="none" w:sz="0" w:space="0" w:color="auto"/>
                          </w:divBdr>
                          <w:divsChild>
                            <w:div w:id="262961370">
                              <w:marLeft w:val="0"/>
                              <w:marRight w:val="210"/>
                              <w:marTop w:val="0"/>
                              <w:marBottom w:val="0"/>
                              <w:divBdr>
                                <w:top w:val="single" w:sz="6" w:space="5" w:color="E6E6E6"/>
                                <w:left w:val="single" w:sz="6" w:space="3" w:color="E6E6E6"/>
                                <w:bottom w:val="single" w:sz="6" w:space="2" w:color="E6E6E6"/>
                                <w:right w:val="single" w:sz="6" w:space="3" w:color="E6E6E6"/>
                              </w:divBdr>
                              <w:divsChild>
                                <w:div w:id="280966505">
                                  <w:marLeft w:val="345"/>
                                  <w:marRight w:val="0"/>
                                  <w:marTop w:val="0"/>
                                  <w:marBottom w:val="0"/>
                                  <w:divBdr>
                                    <w:top w:val="none" w:sz="0" w:space="0" w:color="auto"/>
                                    <w:left w:val="none" w:sz="0" w:space="0" w:color="auto"/>
                                    <w:bottom w:val="none" w:sz="0" w:space="0" w:color="auto"/>
                                    <w:right w:val="none" w:sz="0" w:space="0" w:color="auto"/>
                                  </w:divBdr>
                                </w:div>
                              </w:divsChild>
                            </w:div>
                            <w:div w:id="711272764">
                              <w:marLeft w:val="0"/>
                              <w:marRight w:val="0"/>
                              <w:marTop w:val="0"/>
                              <w:marBottom w:val="0"/>
                              <w:divBdr>
                                <w:top w:val="single" w:sz="6" w:space="5" w:color="E6E6E6"/>
                                <w:left w:val="single" w:sz="6" w:space="3" w:color="E6E6E6"/>
                                <w:bottom w:val="single" w:sz="6" w:space="2" w:color="E6E6E6"/>
                                <w:right w:val="single" w:sz="6" w:space="3" w:color="E6E6E6"/>
                              </w:divBdr>
                              <w:divsChild>
                                <w:div w:id="2128549514">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233357">
                      <w:marLeft w:val="0"/>
                      <w:marRight w:val="0"/>
                      <w:marTop w:val="0"/>
                      <w:marBottom w:val="0"/>
                      <w:divBdr>
                        <w:top w:val="none" w:sz="0" w:space="0" w:color="auto"/>
                        <w:left w:val="none" w:sz="0" w:space="0" w:color="auto"/>
                        <w:bottom w:val="none" w:sz="0" w:space="0" w:color="auto"/>
                        <w:right w:val="none" w:sz="0" w:space="0" w:color="auto"/>
                      </w:divBdr>
                    </w:div>
                    <w:div w:id="1656101370">
                      <w:marLeft w:val="0"/>
                      <w:marRight w:val="0"/>
                      <w:marTop w:val="0"/>
                      <w:marBottom w:val="0"/>
                      <w:divBdr>
                        <w:top w:val="none" w:sz="0" w:space="0" w:color="auto"/>
                        <w:left w:val="none" w:sz="0" w:space="0" w:color="auto"/>
                        <w:bottom w:val="none" w:sz="0" w:space="0" w:color="auto"/>
                        <w:right w:val="none" w:sz="0" w:space="0" w:color="auto"/>
                      </w:divBdr>
                    </w:div>
                    <w:div w:id="1746031516">
                      <w:marLeft w:val="0"/>
                      <w:marRight w:val="0"/>
                      <w:marTop w:val="0"/>
                      <w:marBottom w:val="0"/>
                      <w:divBdr>
                        <w:top w:val="none" w:sz="0" w:space="0" w:color="auto"/>
                        <w:left w:val="none" w:sz="0" w:space="0" w:color="auto"/>
                        <w:bottom w:val="none" w:sz="0" w:space="0" w:color="auto"/>
                        <w:right w:val="none" w:sz="0" w:space="0" w:color="auto"/>
                      </w:divBdr>
                    </w:div>
                  </w:divsChild>
                </w:div>
                <w:div w:id="1131093640">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1604800473">
          <w:marLeft w:val="0"/>
          <w:marRight w:val="0"/>
          <w:marTop w:val="0"/>
          <w:marBottom w:val="0"/>
          <w:divBdr>
            <w:top w:val="none" w:sz="0" w:space="0" w:color="auto"/>
            <w:left w:val="single" w:sz="6" w:space="0" w:color="E6E6E6"/>
            <w:bottom w:val="none" w:sz="0" w:space="0" w:color="auto"/>
            <w:right w:val="single" w:sz="6" w:space="0" w:color="E6E6E6"/>
          </w:divBdr>
          <w:divsChild>
            <w:div w:id="1056316434">
              <w:marLeft w:val="1125"/>
              <w:marRight w:val="210"/>
              <w:marTop w:val="0"/>
              <w:marBottom w:val="0"/>
              <w:divBdr>
                <w:top w:val="none" w:sz="0" w:space="0" w:color="auto"/>
                <w:left w:val="none" w:sz="0" w:space="0" w:color="auto"/>
                <w:bottom w:val="none" w:sz="0" w:space="0" w:color="auto"/>
                <w:right w:val="none" w:sz="0" w:space="0" w:color="auto"/>
              </w:divBdr>
              <w:divsChild>
                <w:div w:id="1500583622">
                  <w:marLeft w:val="0"/>
                  <w:marRight w:val="0"/>
                  <w:marTop w:val="0"/>
                  <w:marBottom w:val="150"/>
                  <w:divBdr>
                    <w:top w:val="none" w:sz="0" w:space="0" w:color="auto"/>
                    <w:left w:val="none" w:sz="0" w:space="0" w:color="auto"/>
                    <w:bottom w:val="none" w:sz="0" w:space="0" w:color="auto"/>
                    <w:right w:val="none" w:sz="0" w:space="0" w:color="auto"/>
                  </w:divBdr>
                </w:div>
                <w:div w:id="1918590030">
                  <w:marLeft w:val="0"/>
                  <w:marRight w:val="0"/>
                  <w:marTop w:val="150"/>
                  <w:marBottom w:val="0"/>
                  <w:divBdr>
                    <w:top w:val="none" w:sz="0" w:space="0" w:color="auto"/>
                    <w:left w:val="none" w:sz="0" w:space="0" w:color="auto"/>
                    <w:bottom w:val="none" w:sz="0" w:space="0" w:color="auto"/>
                    <w:right w:val="none" w:sz="0" w:space="0" w:color="auto"/>
                  </w:divBdr>
                  <w:divsChild>
                    <w:div w:id="678822471">
                      <w:marLeft w:val="0"/>
                      <w:marRight w:val="150"/>
                      <w:marTop w:val="0"/>
                      <w:marBottom w:val="0"/>
                      <w:divBdr>
                        <w:top w:val="none" w:sz="0" w:space="0" w:color="auto"/>
                        <w:left w:val="none" w:sz="0" w:space="0" w:color="auto"/>
                        <w:bottom w:val="none" w:sz="0" w:space="0" w:color="auto"/>
                        <w:right w:val="none" w:sz="0" w:space="0" w:color="auto"/>
                      </w:divBdr>
                    </w:div>
                    <w:div w:id="937983501">
                      <w:marLeft w:val="0"/>
                      <w:marRight w:val="0"/>
                      <w:marTop w:val="0"/>
                      <w:marBottom w:val="0"/>
                      <w:divBdr>
                        <w:top w:val="none" w:sz="0" w:space="0" w:color="auto"/>
                        <w:left w:val="none" w:sz="0" w:space="0" w:color="auto"/>
                        <w:bottom w:val="none" w:sz="0" w:space="0" w:color="auto"/>
                        <w:right w:val="none" w:sz="0" w:space="0" w:color="auto"/>
                      </w:divBdr>
                    </w:div>
                    <w:div w:id="19012068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95061428">
          <w:marLeft w:val="210"/>
          <w:marRight w:val="0"/>
          <w:marTop w:val="0"/>
          <w:marBottom w:val="0"/>
          <w:divBdr>
            <w:top w:val="none" w:sz="0" w:space="0" w:color="auto"/>
            <w:left w:val="none" w:sz="0" w:space="0" w:color="auto"/>
            <w:bottom w:val="none" w:sz="0" w:space="0" w:color="auto"/>
            <w:right w:val="none" w:sz="0" w:space="0" w:color="auto"/>
          </w:divBdr>
        </w:div>
      </w:divsChild>
    </w:div>
    <w:div w:id="1164081796">
      <w:bodyDiv w:val="1"/>
      <w:marLeft w:val="0"/>
      <w:marRight w:val="0"/>
      <w:marTop w:val="0"/>
      <w:marBottom w:val="0"/>
      <w:divBdr>
        <w:top w:val="none" w:sz="0" w:space="0" w:color="auto"/>
        <w:left w:val="none" w:sz="0" w:space="0" w:color="auto"/>
        <w:bottom w:val="none" w:sz="0" w:space="0" w:color="auto"/>
        <w:right w:val="none" w:sz="0" w:space="0" w:color="auto"/>
      </w:divBdr>
    </w:div>
    <w:div w:id="1360164057">
      <w:bodyDiv w:val="1"/>
      <w:marLeft w:val="0"/>
      <w:marRight w:val="0"/>
      <w:marTop w:val="0"/>
      <w:marBottom w:val="0"/>
      <w:divBdr>
        <w:top w:val="none" w:sz="0" w:space="0" w:color="auto"/>
        <w:left w:val="none" w:sz="0" w:space="0" w:color="auto"/>
        <w:bottom w:val="none" w:sz="0" w:space="0" w:color="auto"/>
        <w:right w:val="none" w:sz="0" w:space="0" w:color="auto"/>
      </w:divBdr>
    </w:div>
    <w:div w:id="1505626854">
      <w:bodyDiv w:val="1"/>
      <w:marLeft w:val="0"/>
      <w:marRight w:val="0"/>
      <w:marTop w:val="0"/>
      <w:marBottom w:val="0"/>
      <w:divBdr>
        <w:top w:val="none" w:sz="0" w:space="0" w:color="auto"/>
        <w:left w:val="none" w:sz="0" w:space="0" w:color="auto"/>
        <w:bottom w:val="none" w:sz="0" w:space="0" w:color="auto"/>
        <w:right w:val="none" w:sz="0" w:space="0" w:color="auto"/>
      </w:divBdr>
    </w:div>
    <w:div w:id="1506239371">
      <w:bodyDiv w:val="1"/>
      <w:marLeft w:val="0"/>
      <w:marRight w:val="0"/>
      <w:marTop w:val="0"/>
      <w:marBottom w:val="0"/>
      <w:divBdr>
        <w:top w:val="none" w:sz="0" w:space="0" w:color="auto"/>
        <w:left w:val="none" w:sz="0" w:space="0" w:color="auto"/>
        <w:bottom w:val="none" w:sz="0" w:space="0" w:color="auto"/>
        <w:right w:val="none" w:sz="0" w:space="0" w:color="auto"/>
      </w:divBdr>
    </w:div>
    <w:div w:id="1694381482">
      <w:bodyDiv w:val="1"/>
      <w:marLeft w:val="0"/>
      <w:marRight w:val="0"/>
      <w:marTop w:val="0"/>
      <w:marBottom w:val="0"/>
      <w:divBdr>
        <w:top w:val="none" w:sz="0" w:space="0" w:color="auto"/>
        <w:left w:val="none" w:sz="0" w:space="0" w:color="auto"/>
        <w:bottom w:val="none" w:sz="0" w:space="0" w:color="auto"/>
        <w:right w:val="none" w:sz="0" w:space="0" w:color="auto"/>
      </w:divBdr>
    </w:div>
    <w:div w:id="1962956900">
      <w:bodyDiv w:val="1"/>
      <w:marLeft w:val="0"/>
      <w:marRight w:val="0"/>
      <w:marTop w:val="0"/>
      <w:marBottom w:val="0"/>
      <w:divBdr>
        <w:top w:val="none" w:sz="0" w:space="0" w:color="auto"/>
        <w:left w:val="none" w:sz="0" w:space="0" w:color="auto"/>
        <w:bottom w:val="none" w:sz="0" w:space="0" w:color="auto"/>
        <w:right w:val="none" w:sz="0" w:space="0" w:color="auto"/>
      </w:divBdr>
    </w:div>
    <w:div w:id="1990791710">
      <w:bodyDiv w:val="1"/>
      <w:marLeft w:val="0"/>
      <w:marRight w:val="0"/>
      <w:marTop w:val="0"/>
      <w:marBottom w:val="0"/>
      <w:divBdr>
        <w:top w:val="none" w:sz="0" w:space="0" w:color="auto"/>
        <w:left w:val="none" w:sz="0" w:space="0" w:color="auto"/>
        <w:bottom w:val="none" w:sz="0" w:space="0" w:color="auto"/>
        <w:right w:val="none" w:sz="0" w:space="0" w:color="auto"/>
      </w:divBdr>
    </w:div>
    <w:div w:id="2031445636">
      <w:bodyDiv w:val="1"/>
      <w:marLeft w:val="0"/>
      <w:marRight w:val="0"/>
      <w:marTop w:val="0"/>
      <w:marBottom w:val="0"/>
      <w:divBdr>
        <w:top w:val="none" w:sz="0" w:space="0" w:color="auto"/>
        <w:left w:val="none" w:sz="0" w:space="0" w:color="auto"/>
        <w:bottom w:val="none" w:sz="0" w:space="0" w:color="auto"/>
        <w:right w:val="none" w:sz="0" w:space="0" w:color="auto"/>
      </w:divBdr>
    </w:div>
    <w:div w:id="2056002997">
      <w:bodyDiv w:val="1"/>
      <w:marLeft w:val="0"/>
      <w:marRight w:val="0"/>
      <w:marTop w:val="0"/>
      <w:marBottom w:val="0"/>
      <w:divBdr>
        <w:top w:val="none" w:sz="0" w:space="0" w:color="auto"/>
        <w:left w:val="none" w:sz="0" w:space="0" w:color="auto"/>
        <w:bottom w:val="none" w:sz="0" w:space="0" w:color="auto"/>
        <w:right w:val="none" w:sz="0" w:space="0" w:color="auto"/>
      </w:divBdr>
      <w:divsChild>
        <w:div w:id="93982482">
          <w:marLeft w:val="0"/>
          <w:marRight w:val="0"/>
          <w:marTop w:val="0"/>
          <w:marBottom w:val="0"/>
          <w:divBdr>
            <w:top w:val="none" w:sz="0" w:space="0" w:color="auto"/>
            <w:left w:val="single" w:sz="6" w:space="0" w:color="E6E6E6"/>
            <w:bottom w:val="none" w:sz="0" w:space="0" w:color="auto"/>
            <w:right w:val="single" w:sz="6" w:space="0" w:color="E6E6E6"/>
          </w:divBdr>
          <w:divsChild>
            <w:div w:id="37702541">
              <w:marLeft w:val="210"/>
              <w:marRight w:val="210"/>
              <w:marTop w:val="0"/>
              <w:marBottom w:val="0"/>
              <w:divBdr>
                <w:top w:val="none" w:sz="0" w:space="0" w:color="auto"/>
                <w:left w:val="none" w:sz="0" w:space="0" w:color="auto"/>
                <w:bottom w:val="none" w:sz="0" w:space="0" w:color="auto"/>
                <w:right w:val="none" w:sz="0" w:space="0" w:color="auto"/>
              </w:divBdr>
            </w:div>
          </w:divsChild>
        </w:div>
        <w:div w:id="353308202">
          <w:marLeft w:val="0"/>
          <w:marRight w:val="0"/>
          <w:marTop w:val="0"/>
          <w:marBottom w:val="0"/>
          <w:divBdr>
            <w:top w:val="none" w:sz="0" w:space="0" w:color="auto"/>
            <w:left w:val="single" w:sz="6" w:space="0" w:color="E6E6E6"/>
            <w:bottom w:val="single" w:sz="6" w:space="0" w:color="F4F4F4"/>
            <w:right w:val="single" w:sz="6" w:space="11" w:color="E6E6E6"/>
          </w:divBdr>
          <w:divsChild>
            <w:div w:id="832184399">
              <w:marLeft w:val="0"/>
              <w:marRight w:val="0"/>
              <w:marTop w:val="0"/>
              <w:marBottom w:val="0"/>
              <w:divBdr>
                <w:top w:val="none" w:sz="0" w:space="0" w:color="auto"/>
                <w:left w:val="none" w:sz="0" w:space="0" w:color="auto"/>
                <w:bottom w:val="none" w:sz="0" w:space="0" w:color="auto"/>
                <w:right w:val="none" w:sz="0" w:space="0" w:color="auto"/>
              </w:divBdr>
              <w:divsChild>
                <w:div w:id="837766466">
                  <w:marLeft w:val="210"/>
                  <w:marRight w:val="0"/>
                  <w:marTop w:val="0"/>
                  <w:marBottom w:val="0"/>
                  <w:divBdr>
                    <w:top w:val="none" w:sz="0" w:space="0" w:color="auto"/>
                    <w:left w:val="none" w:sz="0" w:space="0" w:color="auto"/>
                    <w:bottom w:val="none" w:sz="0" w:space="0" w:color="auto"/>
                    <w:right w:val="none" w:sz="0" w:space="0" w:color="auto"/>
                  </w:divBdr>
                </w:div>
                <w:div w:id="974529690">
                  <w:marLeft w:val="1125"/>
                  <w:marRight w:val="0"/>
                  <w:marTop w:val="0"/>
                  <w:marBottom w:val="0"/>
                  <w:divBdr>
                    <w:top w:val="none" w:sz="0" w:space="0" w:color="auto"/>
                    <w:left w:val="none" w:sz="0" w:space="0" w:color="auto"/>
                    <w:bottom w:val="none" w:sz="0" w:space="0" w:color="auto"/>
                    <w:right w:val="none" w:sz="0" w:space="0" w:color="auto"/>
                  </w:divBdr>
                  <w:divsChild>
                    <w:div w:id="422266249">
                      <w:marLeft w:val="0"/>
                      <w:marRight w:val="0"/>
                      <w:marTop w:val="0"/>
                      <w:marBottom w:val="0"/>
                      <w:divBdr>
                        <w:top w:val="none" w:sz="0" w:space="0" w:color="auto"/>
                        <w:left w:val="none" w:sz="0" w:space="0" w:color="auto"/>
                        <w:bottom w:val="none" w:sz="0" w:space="0" w:color="auto"/>
                        <w:right w:val="none" w:sz="0" w:space="0" w:color="auto"/>
                      </w:divBdr>
                    </w:div>
                    <w:div w:id="565845631">
                      <w:marLeft w:val="0"/>
                      <w:marRight w:val="0"/>
                      <w:marTop w:val="0"/>
                      <w:marBottom w:val="0"/>
                      <w:divBdr>
                        <w:top w:val="none" w:sz="0" w:space="0" w:color="auto"/>
                        <w:left w:val="none" w:sz="0" w:space="0" w:color="auto"/>
                        <w:bottom w:val="none" w:sz="0" w:space="0" w:color="auto"/>
                        <w:right w:val="none" w:sz="0" w:space="0" w:color="auto"/>
                      </w:divBdr>
                      <w:divsChild>
                        <w:div w:id="131676782">
                          <w:marLeft w:val="0"/>
                          <w:marRight w:val="150"/>
                          <w:marTop w:val="0"/>
                          <w:marBottom w:val="0"/>
                          <w:divBdr>
                            <w:top w:val="none" w:sz="0" w:space="0" w:color="auto"/>
                            <w:left w:val="none" w:sz="0" w:space="0" w:color="auto"/>
                            <w:bottom w:val="none" w:sz="0" w:space="0" w:color="auto"/>
                            <w:right w:val="none" w:sz="0" w:space="0" w:color="auto"/>
                          </w:divBdr>
                          <w:divsChild>
                            <w:div w:id="86923022">
                              <w:marLeft w:val="0"/>
                              <w:marRight w:val="210"/>
                              <w:marTop w:val="0"/>
                              <w:marBottom w:val="0"/>
                              <w:divBdr>
                                <w:top w:val="single" w:sz="6" w:space="5" w:color="E6E6E6"/>
                                <w:left w:val="single" w:sz="6" w:space="3" w:color="E6E6E6"/>
                                <w:bottom w:val="single" w:sz="6" w:space="2" w:color="E6E6E6"/>
                                <w:right w:val="single" w:sz="6" w:space="3" w:color="E6E6E6"/>
                              </w:divBdr>
                              <w:divsChild>
                                <w:div w:id="999310781">
                                  <w:marLeft w:val="345"/>
                                  <w:marRight w:val="0"/>
                                  <w:marTop w:val="0"/>
                                  <w:marBottom w:val="0"/>
                                  <w:divBdr>
                                    <w:top w:val="none" w:sz="0" w:space="0" w:color="auto"/>
                                    <w:left w:val="none" w:sz="0" w:space="0" w:color="auto"/>
                                    <w:bottom w:val="none" w:sz="0" w:space="0" w:color="auto"/>
                                    <w:right w:val="none" w:sz="0" w:space="0" w:color="auto"/>
                                  </w:divBdr>
                                </w:div>
                              </w:divsChild>
                            </w:div>
                            <w:div w:id="1655571967">
                              <w:marLeft w:val="0"/>
                              <w:marRight w:val="0"/>
                              <w:marTop w:val="0"/>
                              <w:marBottom w:val="0"/>
                              <w:divBdr>
                                <w:top w:val="single" w:sz="6" w:space="5" w:color="E6E6E6"/>
                                <w:left w:val="single" w:sz="6" w:space="3" w:color="E6E6E6"/>
                                <w:bottom w:val="single" w:sz="6" w:space="2" w:color="E6E6E6"/>
                                <w:right w:val="single" w:sz="6" w:space="3" w:color="E6E6E6"/>
                              </w:divBdr>
                              <w:divsChild>
                                <w:div w:id="138005793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863205757">
                          <w:marLeft w:val="0"/>
                          <w:marRight w:val="0"/>
                          <w:marTop w:val="0"/>
                          <w:marBottom w:val="0"/>
                          <w:divBdr>
                            <w:top w:val="none" w:sz="0" w:space="0" w:color="auto"/>
                            <w:left w:val="none" w:sz="0" w:space="0" w:color="auto"/>
                            <w:bottom w:val="none" w:sz="0" w:space="0" w:color="auto"/>
                            <w:right w:val="none" w:sz="0" w:space="0" w:color="auto"/>
                          </w:divBdr>
                          <w:divsChild>
                            <w:div w:id="75382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1943">
                      <w:marLeft w:val="0"/>
                      <w:marRight w:val="0"/>
                      <w:marTop w:val="0"/>
                      <w:marBottom w:val="0"/>
                      <w:divBdr>
                        <w:top w:val="none" w:sz="0" w:space="0" w:color="auto"/>
                        <w:left w:val="none" w:sz="0" w:space="0" w:color="auto"/>
                        <w:bottom w:val="none" w:sz="0" w:space="0" w:color="auto"/>
                        <w:right w:val="none" w:sz="0" w:space="0" w:color="auto"/>
                      </w:divBdr>
                    </w:div>
                    <w:div w:id="21431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63298">
          <w:marLeft w:val="210"/>
          <w:marRight w:val="0"/>
          <w:marTop w:val="0"/>
          <w:marBottom w:val="0"/>
          <w:divBdr>
            <w:top w:val="none" w:sz="0" w:space="0" w:color="auto"/>
            <w:left w:val="none" w:sz="0" w:space="0" w:color="auto"/>
            <w:bottom w:val="none" w:sz="0" w:space="0" w:color="auto"/>
            <w:right w:val="none" w:sz="0" w:space="0" w:color="auto"/>
          </w:divBdr>
        </w:div>
        <w:div w:id="781807704">
          <w:marLeft w:val="0"/>
          <w:marRight w:val="0"/>
          <w:marTop w:val="0"/>
          <w:marBottom w:val="0"/>
          <w:divBdr>
            <w:top w:val="none" w:sz="0" w:space="0" w:color="auto"/>
            <w:left w:val="single" w:sz="6" w:space="0" w:color="E6E6E6"/>
            <w:bottom w:val="none" w:sz="0" w:space="0" w:color="auto"/>
            <w:right w:val="single" w:sz="6" w:space="0" w:color="E6E6E6"/>
          </w:divBdr>
          <w:divsChild>
            <w:div w:id="1468551452">
              <w:marLeft w:val="1125"/>
              <w:marRight w:val="210"/>
              <w:marTop w:val="0"/>
              <w:marBottom w:val="0"/>
              <w:divBdr>
                <w:top w:val="none" w:sz="0" w:space="0" w:color="auto"/>
                <w:left w:val="none" w:sz="0" w:space="0" w:color="auto"/>
                <w:bottom w:val="none" w:sz="0" w:space="0" w:color="auto"/>
                <w:right w:val="none" w:sz="0" w:space="0" w:color="auto"/>
              </w:divBdr>
              <w:divsChild>
                <w:div w:id="157310124">
                  <w:marLeft w:val="0"/>
                  <w:marRight w:val="0"/>
                  <w:marTop w:val="150"/>
                  <w:marBottom w:val="0"/>
                  <w:divBdr>
                    <w:top w:val="none" w:sz="0" w:space="0" w:color="auto"/>
                    <w:left w:val="none" w:sz="0" w:space="0" w:color="auto"/>
                    <w:bottom w:val="none" w:sz="0" w:space="0" w:color="auto"/>
                    <w:right w:val="none" w:sz="0" w:space="0" w:color="auto"/>
                  </w:divBdr>
                  <w:divsChild>
                    <w:div w:id="1265067015">
                      <w:marLeft w:val="0"/>
                      <w:marRight w:val="150"/>
                      <w:marTop w:val="0"/>
                      <w:marBottom w:val="0"/>
                      <w:divBdr>
                        <w:top w:val="none" w:sz="0" w:space="0" w:color="auto"/>
                        <w:left w:val="none" w:sz="0" w:space="0" w:color="auto"/>
                        <w:bottom w:val="none" w:sz="0" w:space="0" w:color="auto"/>
                        <w:right w:val="none" w:sz="0" w:space="0" w:color="auto"/>
                      </w:divBdr>
                    </w:div>
                    <w:div w:id="1709908556">
                      <w:marLeft w:val="0"/>
                      <w:marRight w:val="150"/>
                      <w:marTop w:val="0"/>
                      <w:marBottom w:val="0"/>
                      <w:divBdr>
                        <w:top w:val="none" w:sz="0" w:space="0" w:color="auto"/>
                        <w:left w:val="none" w:sz="0" w:space="0" w:color="auto"/>
                        <w:bottom w:val="none" w:sz="0" w:space="0" w:color="auto"/>
                        <w:right w:val="none" w:sz="0" w:space="0" w:color="auto"/>
                      </w:divBdr>
                    </w:div>
                    <w:div w:id="1958368139">
                      <w:marLeft w:val="0"/>
                      <w:marRight w:val="0"/>
                      <w:marTop w:val="0"/>
                      <w:marBottom w:val="0"/>
                      <w:divBdr>
                        <w:top w:val="none" w:sz="0" w:space="0" w:color="auto"/>
                        <w:left w:val="none" w:sz="0" w:space="0" w:color="auto"/>
                        <w:bottom w:val="none" w:sz="0" w:space="0" w:color="auto"/>
                        <w:right w:val="none" w:sz="0" w:space="0" w:color="auto"/>
                      </w:divBdr>
                    </w:div>
                  </w:divsChild>
                </w:div>
                <w:div w:id="701133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2503301">
          <w:marLeft w:val="1125"/>
          <w:marRight w:val="0"/>
          <w:marTop w:val="0"/>
          <w:marBottom w:val="0"/>
          <w:divBdr>
            <w:top w:val="none" w:sz="0" w:space="0" w:color="auto"/>
            <w:left w:val="none" w:sz="0" w:space="0" w:color="auto"/>
            <w:bottom w:val="none" w:sz="0" w:space="0" w:color="auto"/>
            <w:right w:val="none" w:sz="0" w:space="0" w:color="auto"/>
          </w:divBdr>
          <w:divsChild>
            <w:div w:id="1024207323">
              <w:marLeft w:val="0"/>
              <w:marRight w:val="0"/>
              <w:marTop w:val="0"/>
              <w:marBottom w:val="0"/>
              <w:divBdr>
                <w:top w:val="none" w:sz="0" w:space="0" w:color="auto"/>
                <w:left w:val="none" w:sz="0" w:space="0" w:color="auto"/>
                <w:bottom w:val="none" w:sz="0" w:space="0" w:color="auto"/>
                <w:right w:val="none" w:sz="0" w:space="0" w:color="auto"/>
              </w:divBdr>
            </w:div>
            <w:div w:id="1188367933">
              <w:marLeft w:val="0"/>
              <w:marRight w:val="0"/>
              <w:marTop w:val="0"/>
              <w:marBottom w:val="0"/>
              <w:divBdr>
                <w:top w:val="none" w:sz="0" w:space="0" w:color="auto"/>
                <w:left w:val="none" w:sz="0" w:space="0" w:color="auto"/>
                <w:bottom w:val="none" w:sz="0" w:space="0" w:color="auto"/>
                <w:right w:val="none" w:sz="0" w:space="0" w:color="auto"/>
              </w:divBdr>
              <w:divsChild>
                <w:div w:id="1074669129">
                  <w:marLeft w:val="0"/>
                  <w:marRight w:val="0"/>
                  <w:marTop w:val="0"/>
                  <w:marBottom w:val="0"/>
                  <w:divBdr>
                    <w:top w:val="none" w:sz="0" w:space="0" w:color="auto"/>
                    <w:left w:val="none" w:sz="0" w:space="0" w:color="auto"/>
                    <w:bottom w:val="none" w:sz="0" w:space="0" w:color="auto"/>
                    <w:right w:val="none" w:sz="0" w:space="0" w:color="auto"/>
                  </w:divBdr>
                  <w:divsChild>
                    <w:div w:id="1076166994">
                      <w:marLeft w:val="0"/>
                      <w:marRight w:val="150"/>
                      <w:marTop w:val="0"/>
                      <w:marBottom w:val="0"/>
                      <w:divBdr>
                        <w:top w:val="none" w:sz="0" w:space="0" w:color="auto"/>
                        <w:left w:val="none" w:sz="0" w:space="0" w:color="auto"/>
                        <w:bottom w:val="none" w:sz="0" w:space="0" w:color="auto"/>
                        <w:right w:val="none" w:sz="0" w:space="0" w:color="auto"/>
                      </w:divBdr>
                      <w:divsChild>
                        <w:div w:id="398671121">
                          <w:marLeft w:val="0"/>
                          <w:marRight w:val="0"/>
                          <w:marTop w:val="0"/>
                          <w:marBottom w:val="0"/>
                          <w:divBdr>
                            <w:top w:val="single" w:sz="6" w:space="5" w:color="E6E6E6"/>
                            <w:left w:val="single" w:sz="6" w:space="3" w:color="E6E6E6"/>
                            <w:bottom w:val="single" w:sz="6" w:space="2" w:color="E6E6E6"/>
                            <w:right w:val="single" w:sz="6" w:space="3" w:color="E6E6E6"/>
                          </w:divBdr>
                          <w:divsChild>
                            <w:div w:id="1725519532">
                              <w:marLeft w:val="345"/>
                              <w:marRight w:val="0"/>
                              <w:marTop w:val="0"/>
                              <w:marBottom w:val="0"/>
                              <w:divBdr>
                                <w:top w:val="none" w:sz="0" w:space="0" w:color="auto"/>
                                <w:left w:val="none" w:sz="0" w:space="0" w:color="auto"/>
                                <w:bottom w:val="none" w:sz="0" w:space="0" w:color="auto"/>
                                <w:right w:val="none" w:sz="0" w:space="0" w:color="auto"/>
                              </w:divBdr>
                            </w:div>
                          </w:divsChild>
                        </w:div>
                        <w:div w:id="746654797">
                          <w:marLeft w:val="0"/>
                          <w:marRight w:val="210"/>
                          <w:marTop w:val="0"/>
                          <w:marBottom w:val="0"/>
                          <w:divBdr>
                            <w:top w:val="single" w:sz="6" w:space="5" w:color="E6E6E6"/>
                            <w:left w:val="single" w:sz="6" w:space="3" w:color="E6E6E6"/>
                            <w:bottom w:val="single" w:sz="6" w:space="2" w:color="E6E6E6"/>
                            <w:right w:val="single" w:sz="6" w:space="3" w:color="E6E6E6"/>
                          </w:divBdr>
                          <w:divsChild>
                            <w:div w:id="57786149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5520">
      <w:bodyDiv w:val="1"/>
      <w:marLeft w:val="0"/>
      <w:marRight w:val="0"/>
      <w:marTop w:val="0"/>
      <w:marBottom w:val="0"/>
      <w:divBdr>
        <w:top w:val="none" w:sz="0" w:space="0" w:color="auto"/>
        <w:left w:val="none" w:sz="0" w:space="0" w:color="auto"/>
        <w:bottom w:val="none" w:sz="0" w:space="0" w:color="auto"/>
        <w:right w:val="none" w:sz="0" w:space="0" w:color="auto"/>
      </w:divBdr>
      <w:divsChild>
        <w:div w:id="412168164">
          <w:marLeft w:val="0"/>
          <w:marRight w:val="0"/>
          <w:marTop w:val="0"/>
          <w:marBottom w:val="0"/>
          <w:divBdr>
            <w:top w:val="none" w:sz="0" w:space="0" w:color="auto"/>
            <w:left w:val="none" w:sz="0" w:space="0" w:color="auto"/>
            <w:bottom w:val="none" w:sz="0" w:space="0" w:color="auto"/>
            <w:right w:val="none" w:sz="0" w:space="0" w:color="auto"/>
          </w:divBdr>
        </w:div>
        <w:div w:id="439303422">
          <w:marLeft w:val="0"/>
          <w:marRight w:val="0"/>
          <w:marTop w:val="0"/>
          <w:marBottom w:val="0"/>
          <w:divBdr>
            <w:top w:val="none" w:sz="0" w:space="0" w:color="auto"/>
            <w:left w:val="none" w:sz="0" w:space="0" w:color="auto"/>
            <w:bottom w:val="none" w:sz="0" w:space="0" w:color="auto"/>
            <w:right w:val="none" w:sz="0" w:space="0" w:color="auto"/>
          </w:divBdr>
        </w:div>
        <w:div w:id="668407971">
          <w:marLeft w:val="0"/>
          <w:marRight w:val="0"/>
          <w:marTop w:val="0"/>
          <w:marBottom w:val="0"/>
          <w:divBdr>
            <w:top w:val="none" w:sz="0" w:space="0" w:color="auto"/>
            <w:left w:val="none" w:sz="0" w:space="0" w:color="auto"/>
            <w:bottom w:val="none" w:sz="0" w:space="0" w:color="auto"/>
            <w:right w:val="none" w:sz="0" w:space="0" w:color="auto"/>
          </w:divBdr>
        </w:div>
        <w:div w:id="906499142">
          <w:marLeft w:val="0"/>
          <w:marRight w:val="0"/>
          <w:marTop w:val="0"/>
          <w:marBottom w:val="0"/>
          <w:divBdr>
            <w:top w:val="none" w:sz="0" w:space="0" w:color="auto"/>
            <w:left w:val="none" w:sz="0" w:space="0" w:color="auto"/>
            <w:bottom w:val="none" w:sz="0" w:space="0" w:color="auto"/>
            <w:right w:val="none" w:sz="0" w:space="0" w:color="auto"/>
          </w:divBdr>
        </w:div>
        <w:div w:id="1048870707">
          <w:marLeft w:val="0"/>
          <w:marRight w:val="0"/>
          <w:marTop w:val="0"/>
          <w:marBottom w:val="0"/>
          <w:divBdr>
            <w:top w:val="none" w:sz="0" w:space="0" w:color="auto"/>
            <w:left w:val="none" w:sz="0" w:space="0" w:color="auto"/>
            <w:bottom w:val="none" w:sz="0" w:space="0" w:color="auto"/>
            <w:right w:val="none" w:sz="0" w:space="0" w:color="auto"/>
          </w:divBdr>
        </w:div>
        <w:div w:id="1199052264">
          <w:marLeft w:val="0"/>
          <w:marRight w:val="0"/>
          <w:marTop w:val="0"/>
          <w:marBottom w:val="0"/>
          <w:divBdr>
            <w:top w:val="none" w:sz="0" w:space="0" w:color="auto"/>
            <w:left w:val="none" w:sz="0" w:space="0" w:color="auto"/>
            <w:bottom w:val="none" w:sz="0" w:space="0" w:color="auto"/>
            <w:right w:val="none" w:sz="0" w:space="0" w:color="auto"/>
          </w:divBdr>
        </w:div>
        <w:div w:id="1248804528">
          <w:marLeft w:val="0"/>
          <w:marRight w:val="0"/>
          <w:marTop w:val="0"/>
          <w:marBottom w:val="0"/>
          <w:divBdr>
            <w:top w:val="none" w:sz="0" w:space="0" w:color="auto"/>
            <w:left w:val="none" w:sz="0" w:space="0" w:color="auto"/>
            <w:bottom w:val="none" w:sz="0" w:space="0" w:color="auto"/>
            <w:right w:val="none" w:sz="0" w:space="0" w:color="auto"/>
          </w:divBdr>
        </w:div>
        <w:div w:id="1449616606">
          <w:marLeft w:val="0"/>
          <w:marRight w:val="0"/>
          <w:marTop w:val="0"/>
          <w:marBottom w:val="0"/>
          <w:divBdr>
            <w:top w:val="none" w:sz="0" w:space="0" w:color="auto"/>
            <w:left w:val="none" w:sz="0" w:space="0" w:color="auto"/>
            <w:bottom w:val="none" w:sz="0" w:space="0" w:color="auto"/>
            <w:right w:val="none" w:sz="0" w:space="0" w:color="auto"/>
          </w:divBdr>
        </w:div>
        <w:div w:id="1474904411">
          <w:marLeft w:val="0"/>
          <w:marRight w:val="0"/>
          <w:marTop w:val="0"/>
          <w:marBottom w:val="0"/>
          <w:divBdr>
            <w:top w:val="none" w:sz="0" w:space="0" w:color="auto"/>
            <w:left w:val="none" w:sz="0" w:space="0" w:color="auto"/>
            <w:bottom w:val="none" w:sz="0" w:space="0" w:color="auto"/>
            <w:right w:val="none" w:sz="0" w:space="0" w:color="auto"/>
          </w:divBdr>
        </w:div>
        <w:div w:id="1477262706">
          <w:marLeft w:val="0"/>
          <w:marRight w:val="0"/>
          <w:marTop w:val="0"/>
          <w:marBottom w:val="0"/>
          <w:divBdr>
            <w:top w:val="none" w:sz="0" w:space="0" w:color="auto"/>
            <w:left w:val="none" w:sz="0" w:space="0" w:color="auto"/>
            <w:bottom w:val="none" w:sz="0" w:space="0" w:color="auto"/>
            <w:right w:val="none" w:sz="0" w:space="0" w:color="auto"/>
          </w:divBdr>
        </w:div>
        <w:div w:id="1571958734">
          <w:marLeft w:val="0"/>
          <w:marRight w:val="0"/>
          <w:marTop w:val="0"/>
          <w:marBottom w:val="0"/>
          <w:divBdr>
            <w:top w:val="none" w:sz="0" w:space="0" w:color="auto"/>
            <w:left w:val="none" w:sz="0" w:space="0" w:color="auto"/>
            <w:bottom w:val="none" w:sz="0" w:space="0" w:color="auto"/>
            <w:right w:val="none" w:sz="0" w:space="0" w:color="auto"/>
          </w:divBdr>
        </w:div>
        <w:div w:id="1763335767">
          <w:marLeft w:val="0"/>
          <w:marRight w:val="0"/>
          <w:marTop w:val="0"/>
          <w:marBottom w:val="0"/>
          <w:divBdr>
            <w:top w:val="none" w:sz="0" w:space="0" w:color="auto"/>
            <w:left w:val="none" w:sz="0" w:space="0" w:color="auto"/>
            <w:bottom w:val="none" w:sz="0" w:space="0" w:color="auto"/>
            <w:right w:val="none" w:sz="0" w:space="0" w:color="auto"/>
          </w:divBdr>
        </w:div>
        <w:div w:id="1908606484">
          <w:marLeft w:val="0"/>
          <w:marRight w:val="0"/>
          <w:marTop w:val="0"/>
          <w:marBottom w:val="0"/>
          <w:divBdr>
            <w:top w:val="none" w:sz="0" w:space="0" w:color="auto"/>
            <w:left w:val="none" w:sz="0" w:space="0" w:color="auto"/>
            <w:bottom w:val="none" w:sz="0" w:space="0" w:color="auto"/>
            <w:right w:val="none" w:sz="0" w:space="0" w:color="auto"/>
          </w:divBdr>
        </w:div>
        <w:div w:id="1991668265">
          <w:marLeft w:val="0"/>
          <w:marRight w:val="0"/>
          <w:marTop w:val="0"/>
          <w:marBottom w:val="0"/>
          <w:divBdr>
            <w:top w:val="none" w:sz="0" w:space="0" w:color="auto"/>
            <w:left w:val="none" w:sz="0" w:space="0" w:color="auto"/>
            <w:bottom w:val="none" w:sz="0" w:space="0" w:color="auto"/>
            <w:right w:val="none" w:sz="0" w:space="0" w:color="auto"/>
          </w:divBdr>
        </w:div>
        <w:div w:id="2110273562">
          <w:marLeft w:val="0"/>
          <w:marRight w:val="0"/>
          <w:marTop w:val="0"/>
          <w:marBottom w:val="0"/>
          <w:divBdr>
            <w:top w:val="none" w:sz="0" w:space="0" w:color="auto"/>
            <w:left w:val="none" w:sz="0" w:space="0" w:color="auto"/>
            <w:bottom w:val="none" w:sz="0" w:space="0" w:color="auto"/>
            <w:right w:val="none" w:sz="0" w:space="0" w:color="auto"/>
          </w:divBdr>
        </w:div>
      </w:divsChild>
    </w:div>
    <w:div w:id="206972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F9B726321B4A3448B30A47EA8E28E9E" ma:contentTypeVersion="0" ma:contentTypeDescription="Crear nuevo documento." ma:contentTypeScope="" ma:versionID="851f5ed8c775fa9975fc8daba841f4b5">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6CD2D5-B108-44D1-9787-3EE17143E418}">
  <ds:schemaRefs>
    <ds:schemaRef ds:uri="http://schemas.microsoft.com/sharepoint/v3/contenttype/forms"/>
  </ds:schemaRefs>
</ds:datastoreItem>
</file>

<file path=customXml/itemProps2.xml><?xml version="1.0" encoding="utf-8"?>
<ds:datastoreItem xmlns:ds="http://schemas.openxmlformats.org/officeDocument/2006/customXml" ds:itemID="{E2A5828F-6E17-44E3-B0B6-175B590668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AFAF1C-907F-44DE-8C17-9BE6179B9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4DA6E8A-2209-4B79-B9C0-C4C69F97E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11408</Words>
  <Characters>62744</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74004</CharactersWithSpaces>
  <SharedDoc>false</SharedDoc>
  <HLinks>
    <vt:vector size="6" baseType="variant">
      <vt:variant>
        <vt:i4>3080316</vt:i4>
      </vt:variant>
      <vt:variant>
        <vt:i4>0</vt:i4>
      </vt:variant>
      <vt:variant>
        <vt:i4>0</vt:i4>
      </vt:variant>
      <vt:variant>
        <vt:i4>5</vt:i4>
      </vt:variant>
      <vt:variant>
        <vt:lpwstr>http://www.ift.org.mx/sites/default/files/contenidogeneral/industria/infraestructurafm14-08-15.pdf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dc:description/>
  <cp:lastModifiedBy>Maria del Consuelo Gonzalez Moreno</cp:lastModifiedBy>
  <cp:revision>7</cp:revision>
  <cp:lastPrinted>2016-07-06T00:41:00Z</cp:lastPrinted>
  <dcterms:created xsi:type="dcterms:W3CDTF">2016-07-27T15:15:00Z</dcterms:created>
  <dcterms:modified xsi:type="dcterms:W3CDTF">2016-07-27T16:28:00Z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0x0101001F9B726321B4A3448B30A47EA8E28E9E</vt:lpwstr>
  </property>
</Properties>
</file>