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3AB" w:rsidRPr="006618CF" w:rsidRDefault="008303AB" w:rsidP="008303AB">
      <w:pPr>
        <w:pStyle w:val="CABEZA"/>
        <w:rPr>
          <w:rFonts w:cs="Times New Roman"/>
        </w:rPr>
      </w:pPr>
      <w:r w:rsidRPr="006618CF">
        <w:rPr>
          <w:rFonts w:cs="Times New Roman"/>
        </w:rPr>
        <w:t>INSTITUTO FEDERAL DE TELECOMUNICACIONES</w:t>
      </w:r>
    </w:p>
    <w:p w:rsidR="00F43082" w:rsidRPr="006618CF" w:rsidRDefault="00F43082" w:rsidP="00F43082">
      <w:pPr>
        <w:pStyle w:val="Titulo1"/>
        <w:rPr>
          <w:rFonts w:cs="Times New Roman"/>
        </w:rPr>
      </w:pPr>
      <w:r w:rsidRPr="006618CF">
        <w:rPr>
          <w:rFonts w:cs="Times New Roman"/>
        </w:rPr>
        <w:t xml:space="preserve">EXTRACTO de la Guía para el </w:t>
      </w:r>
      <w:r w:rsidR="00B95E2F" w:rsidRPr="006618CF">
        <w:rPr>
          <w:rFonts w:cs="Times New Roman"/>
        </w:rPr>
        <w:t xml:space="preserve">Control </w:t>
      </w:r>
      <w:r w:rsidRPr="006618CF">
        <w:rPr>
          <w:rFonts w:cs="Times New Roman"/>
        </w:rPr>
        <w:t xml:space="preserve">de </w:t>
      </w:r>
      <w:r w:rsidR="00B95E2F" w:rsidRPr="006618CF">
        <w:rPr>
          <w:rFonts w:cs="Times New Roman"/>
        </w:rPr>
        <w:t xml:space="preserve">Concentraciones </w:t>
      </w:r>
      <w:r w:rsidRPr="006618CF">
        <w:rPr>
          <w:rFonts w:cs="Times New Roman"/>
        </w:rPr>
        <w:t>en los sectores de telecomunicaciones y radiodifusión.</w:t>
      </w:r>
    </w:p>
    <w:p w:rsidR="008303AB" w:rsidRPr="006618CF" w:rsidRDefault="008303AB" w:rsidP="008303AB">
      <w:pPr>
        <w:pStyle w:val="Titulo2"/>
      </w:pPr>
      <w:r w:rsidRPr="006618CF">
        <w:t>Al margen un logotipo, que dice: Instituto Federal de Telecomunicaciones.</w:t>
      </w:r>
    </w:p>
    <w:p w:rsidR="00F43082" w:rsidRPr="003A53A2" w:rsidRDefault="00F43082" w:rsidP="003A53A2">
      <w:pPr>
        <w:pStyle w:val="Texto"/>
        <w:spacing w:after="72" w:line="219" w:lineRule="exact"/>
        <w:rPr>
          <w:sz w:val="16"/>
        </w:rPr>
      </w:pPr>
      <w:r w:rsidRPr="003A53A2">
        <w:rPr>
          <w:sz w:val="16"/>
        </w:rPr>
        <w:t>EXTRACTO DE LA “GUÍA PARA EL CONTROL DE CONCENTRACIONES EN LOS SECTORES DE TELECOMUNICACIONES Y RADIODIFUSIÓN”</w:t>
      </w:r>
    </w:p>
    <w:p w:rsidR="00F43082" w:rsidRPr="003A53A2" w:rsidRDefault="00E82C85" w:rsidP="003A53A2">
      <w:pPr>
        <w:pStyle w:val="Texto"/>
        <w:spacing w:after="72" w:line="219" w:lineRule="exact"/>
      </w:pPr>
      <w:r w:rsidRPr="003A53A2">
        <w:t>Con</w:t>
      </w:r>
      <w:r w:rsidR="00F43082" w:rsidRPr="003A53A2">
        <w:t xml:space="preserve"> </w:t>
      </w:r>
      <w:r w:rsidRPr="003A53A2">
        <w:t>fundamento</w:t>
      </w:r>
      <w:r w:rsidR="00F43082" w:rsidRPr="003A53A2">
        <w:t xml:space="preserve"> </w:t>
      </w:r>
      <w:r w:rsidRPr="003A53A2">
        <w:t>en</w:t>
      </w:r>
      <w:r w:rsidR="00F43082" w:rsidRPr="003A53A2">
        <w:t xml:space="preserve"> </w:t>
      </w:r>
      <w:r w:rsidRPr="003A53A2">
        <w:t>lo</w:t>
      </w:r>
      <w:r w:rsidR="00F43082" w:rsidRPr="003A53A2">
        <w:t xml:space="preserve"> </w:t>
      </w:r>
      <w:r w:rsidRPr="003A53A2">
        <w:t>dispuesto</w:t>
      </w:r>
      <w:r w:rsidR="00F43082" w:rsidRPr="003A53A2">
        <w:t xml:space="preserve"> </w:t>
      </w:r>
      <w:r w:rsidRPr="003A53A2">
        <w:t>por</w:t>
      </w:r>
      <w:r w:rsidR="00F43082" w:rsidRPr="003A53A2">
        <w:t xml:space="preserve"> </w:t>
      </w:r>
      <w:r w:rsidRPr="003A53A2">
        <w:t>los</w:t>
      </w:r>
      <w:r w:rsidR="00F43082" w:rsidRPr="003A53A2">
        <w:t xml:space="preserve"> </w:t>
      </w:r>
      <w:r w:rsidRPr="003A53A2">
        <w:t>artículos</w:t>
      </w:r>
      <w:r w:rsidR="00F43082" w:rsidRPr="003A53A2">
        <w:t xml:space="preserve"> </w:t>
      </w:r>
      <w:r w:rsidRPr="003A53A2">
        <w:t>28,</w:t>
      </w:r>
      <w:r w:rsidR="00F43082" w:rsidRPr="003A53A2">
        <w:t xml:space="preserve"> </w:t>
      </w:r>
      <w:r w:rsidRPr="003A53A2">
        <w:t>párrafos</w:t>
      </w:r>
      <w:r w:rsidR="00F43082" w:rsidRPr="003A53A2">
        <w:t xml:space="preserve"> </w:t>
      </w:r>
      <w:r w:rsidRPr="003A53A2">
        <w:t>décimo</w:t>
      </w:r>
      <w:r w:rsidR="00F43082" w:rsidRPr="003A53A2">
        <w:t xml:space="preserve"> </w:t>
      </w:r>
      <w:r w:rsidRPr="003A53A2">
        <w:t>cuarto,</w:t>
      </w:r>
      <w:r w:rsidR="00F43082" w:rsidRPr="003A53A2">
        <w:t xml:space="preserve"> </w:t>
      </w:r>
      <w:r w:rsidRPr="003A53A2">
        <w:t>décimo</w:t>
      </w:r>
      <w:r w:rsidR="00F43082" w:rsidRPr="003A53A2">
        <w:t xml:space="preserve"> </w:t>
      </w:r>
      <w:r w:rsidRPr="003A53A2">
        <w:t>quinto</w:t>
      </w:r>
      <w:r w:rsidR="00F43082" w:rsidRPr="003A53A2">
        <w:t xml:space="preserve"> </w:t>
      </w:r>
      <w:r w:rsidRPr="003A53A2">
        <w:t>y</w:t>
      </w:r>
      <w:r w:rsidR="00F43082" w:rsidRPr="003A53A2">
        <w:t xml:space="preserve"> </w:t>
      </w:r>
      <w:r w:rsidRPr="003A53A2">
        <w:t>décimo</w:t>
      </w:r>
      <w:r w:rsidR="00F43082" w:rsidRPr="003A53A2">
        <w:t xml:space="preserve"> </w:t>
      </w:r>
      <w:r w:rsidRPr="003A53A2">
        <w:t>sexto,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la</w:t>
      </w:r>
      <w:r w:rsidR="00F43082" w:rsidRPr="003A53A2">
        <w:t xml:space="preserve"> </w:t>
      </w:r>
      <w:r w:rsidRPr="003A53A2">
        <w:t>Constitución</w:t>
      </w:r>
      <w:r w:rsidR="00F43082" w:rsidRPr="003A53A2">
        <w:t xml:space="preserve"> </w:t>
      </w:r>
      <w:r w:rsidRPr="003A53A2">
        <w:t>Política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los</w:t>
      </w:r>
      <w:r w:rsidR="00F43082" w:rsidRPr="003A53A2">
        <w:t xml:space="preserve"> </w:t>
      </w:r>
      <w:r w:rsidRPr="003A53A2">
        <w:t>Estados</w:t>
      </w:r>
      <w:r w:rsidR="00F43082" w:rsidRPr="003A53A2">
        <w:t xml:space="preserve"> </w:t>
      </w:r>
      <w:r w:rsidRPr="003A53A2">
        <w:t>Unidos</w:t>
      </w:r>
      <w:r w:rsidR="00F43082" w:rsidRPr="003A53A2">
        <w:t xml:space="preserve"> </w:t>
      </w:r>
      <w:r w:rsidRPr="003A53A2">
        <w:t>Mexicanos;</w:t>
      </w:r>
      <w:r w:rsidR="00F43082" w:rsidRPr="003A53A2">
        <w:t xml:space="preserve"> </w:t>
      </w:r>
      <w:r w:rsidRPr="003A53A2">
        <w:t>7,</w:t>
      </w:r>
      <w:r w:rsidR="00F43082" w:rsidRPr="003A53A2">
        <w:t xml:space="preserve"> </w:t>
      </w:r>
      <w:r w:rsidRPr="003A53A2">
        <w:t>párrafo</w:t>
      </w:r>
      <w:r w:rsidR="00F43082" w:rsidRPr="003A53A2">
        <w:t xml:space="preserve"> </w:t>
      </w:r>
      <w:r w:rsidRPr="003A53A2">
        <w:t>tercero,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la</w:t>
      </w:r>
      <w:r w:rsidR="00F43082" w:rsidRPr="003A53A2">
        <w:t xml:space="preserve"> </w:t>
      </w:r>
      <w:r w:rsidRPr="003A53A2">
        <w:t>Ley</w:t>
      </w:r>
      <w:r w:rsidR="00F43082" w:rsidRPr="003A53A2">
        <w:t xml:space="preserve"> </w:t>
      </w:r>
      <w:r w:rsidRPr="003A53A2">
        <w:t>Federal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Telecomunicaciones</w:t>
      </w:r>
      <w:r w:rsidR="00F43082" w:rsidRPr="003A53A2">
        <w:t xml:space="preserve"> </w:t>
      </w:r>
      <w:r w:rsidRPr="003A53A2">
        <w:t>y</w:t>
      </w:r>
      <w:r w:rsidR="00F43082" w:rsidRPr="003A53A2">
        <w:t xml:space="preserve"> </w:t>
      </w:r>
      <w:r w:rsidRPr="003A53A2">
        <w:t>Radiodifusión,</w:t>
      </w:r>
      <w:r w:rsidR="00F43082" w:rsidRPr="003A53A2">
        <w:t xml:space="preserve"> </w:t>
      </w:r>
      <w:r w:rsidRPr="003A53A2">
        <w:t>publicada</w:t>
      </w:r>
      <w:r w:rsidR="00F43082" w:rsidRPr="003A53A2">
        <w:t xml:space="preserve"> </w:t>
      </w:r>
      <w:r w:rsidRPr="003A53A2">
        <w:t>en</w:t>
      </w:r>
      <w:r w:rsidR="00F43082" w:rsidRPr="003A53A2">
        <w:t xml:space="preserve"> </w:t>
      </w:r>
      <w:r w:rsidRPr="003A53A2">
        <w:t>el</w:t>
      </w:r>
      <w:r w:rsidR="00F43082" w:rsidRPr="003A53A2">
        <w:t xml:space="preserve"> </w:t>
      </w:r>
      <w:r w:rsidRPr="003A53A2">
        <w:t>Diario</w:t>
      </w:r>
      <w:r w:rsidR="00F43082" w:rsidRPr="003A53A2">
        <w:t xml:space="preserve"> </w:t>
      </w:r>
      <w:r w:rsidRPr="003A53A2">
        <w:t>Oficial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la</w:t>
      </w:r>
      <w:r w:rsidR="00F43082" w:rsidRPr="003A53A2">
        <w:t xml:space="preserve"> </w:t>
      </w:r>
      <w:r w:rsidRPr="003A53A2">
        <w:t>Federación</w:t>
      </w:r>
      <w:r w:rsidR="00F43082" w:rsidRPr="003A53A2">
        <w:t xml:space="preserve"> </w:t>
      </w:r>
      <w:r w:rsidRPr="003A53A2">
        <w:t>(DOF)</w:t>
      </w:r>
      <w:r w:rsidR="00F43082" w:rsidRPr="003A53A2">
        <w:t xml:space="preserve"> </w:t>
      </w:r>
      <w:r w:rsidRPr="003A53A2">
        <w:t>el</w:t>
      </w:r>
      <w:r w:rsidR="00F43082" w:rsidRPr="003A53A2">
        <w:t xml:space="preserve"> </w:t>
      </w:r>
      <w:r w:rsidRPr="003A53A2">
        <w:t>catorce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julio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dos</w:t>
      </w:r>
      <w:r w:rsidR="00F43082" w:rsidRPr="003A53A2">
        <w:t xml:space="preserve"> </w:t>
      </w:r>
      <w:r w:rsidRPr="003A53A2">
        <w:t>mil</w:t>
      </w:r>
      <w:r w:rsidR="00F43082" w:rsidRPr="003A53A2">
        <w:t xml:space="preserve"> </w:t>
      </w:r>
      <w:r w:rsidRPr="003A53A2">
        <w:t>catorce;</w:t>
      </w:r>
      <w:r w:rsidR="00F43082" w:rsidRPr="003A53A2">
        <w:t xml:space="preserve"> </w:t>
      </w:r>
      <w:r w:rsidRPr="003A53A2">
        <w:t>1,</w:t>
      </w:r>
      <w:r w:rsidR="00F43082" w:rsidRPr="003A53A2">
        <w:t xml:space="preserve"> </w:t>
      </w:r>
      <w:r w:rsidRPr="003A53A2">
        <w:t>2,</w:t>
      </w:r>
      <w:r w:rsidR="00F43082" w:rsidRPr="003A53A2">
        <w:t xml:space="preserve"> </w:t>
      </w:r>
      <w:r w:rsidRPr="003A53A2">
        <w:t>5,</w:t>
      </w:r>
      <w:r w:rsidR="00F43082" w:rsidRPr="003A53A2">
        <w:t xml:space="preserve"> </w:t>
      </w:r>
      <w:r w:rsidRPr="003A53A2">
        <w:t>párrafo</w:t>
      </w:r>
      <w:r w:rsidR="00F43082" w:rsidRPr="003A53A2">
        <w:t xml:space="preserve"> </w:t>
      </w:r>
      <w:r w:rsidRPr="003A53A2">
        <w:t>primero,</w:t>
      </w:r>
      <w:r w:rsidR="00F43082" w:rsidRPr="003A53A2">
        <w:t xml:space="preserve"> </w:t>
      </w:r>
      <w:r w:rsidRPr="003A53A2">
        <w:t>12,</w:t>
      </w:r>
      <w:r w:rsidR="00F43082" w:rsidRPr="003A53A2">
        <w:t xml:space="preserve"> </w:t>
      </w:r>
      <w:r w:rsidRPr="003A53A2">
        <w:t>fracciones</w:t>
      </w:r>
      <w:r w:rsidR="00F43082" w:rsidRPr="003A53A2">
        <w:t xml:space="preserve"> </w:t>
      </w:r>
      <w:r w:rsidRPr="003A53A2">
        <w:t>I</w:t>
      </w:r>
      <w:r w:rsidR="00F43082" w:rsidRPr="003A53A2">
        <w:t xml:space="preserve"> </w:t>
      </w:r>
      <w:r w:rsidRPr="003A53A2">
        <w:t>y</w:t>
      </w:r>
      <w:r w:rsidR="00F43082" w:rsidRPr="003A53A2">
        <w:t xml:space="preserve"> </w:t>
      </w:r>
      <w:r w:rsidRPr="003A53A2">
        <w:t>XXII,</w:t>
      </w:r>
      <w:r w:rsidR="00F43082" w:rsidRPr="003A53A2">
        <w:t xml:space="preserve"> </w:t>
      </w:r>
      <w:r w:rsidRPr="003A53A2">
        <w:t>párrafo</w:t>
      </w:r>
      <w:r w:rsidR="00F43082" w:rsidRPr="003A53A2">
        <w:t xml:space="preserve"> </w:t>
      </w:r>
      <w:r w:rsidRPr="003A53A2">
        <w:t>tercero,</w:t>
      </w:r>
      <w:r w:rsidR="00F43082" w:rsidRPr="003A53A2">
        <w:t xml:space="preserve"> </w:t>
      </w:r>
      <w:r w:rsidRPr="003A53A2">
        <w:t>inciso</w:t>
      </w:r>
      <w:r w:rsidR="00F43082" w:rsidRPr="003A53A2">
        <w:t xml:space="preserve"> </w:t>
      </w:r>
      <w:r w:rsidRPr="003A53A2">
        <w:t>a),</w:t>
      </w:r>
      <w:r w:rsidR="00F43082" w:rsidRPr="003A53A2">
        <w:t xml:space="preserve"> </w:t>
      </w:r>
      <w:r w:rsidRPr="003A53A2">
        <w:t>18,</w:t>
      </w:r>
      <w:r w:rsidR="00F43082" w:rsidRPr="003A53A2">
        <w:t xml:space="preserve"> </w:t>
      </w:r>
      <w:r w:rsidRPr="003A53A2">
        <w:t>párrafo</w:t>
      </w:r>
      <w:r w:rsidR="00F43082" w:rsidRPr="003A53A2">
        <w:t xml:space="preserve"> </w:t>
      </w:r>
      <w:r w:rsidRPr="003A53A2">
        <w:t>séptimo,</w:t>
      </w:r>
      <w:r w:rsidR="00F43082" w:rsidRPr="003A53A2">
        <w:t xml:space="preserve"> </w:t>
      </w:r>
      <w:r w:rsidRPr="003A53A2">
        <w:t>y</w:t>
      </w:r>
      <w:r w:rsidR="00F43082" w:rsidRPr="003A53A2">
        <w:t xml:space="preserve"> </w:t>
      </w:r>
      <w:r w:rsidRPr="003A53A2">
        <w:t>138,</w:t>
      </w:r>
      <w:r w:rsidR="00F43082" w:rsidRPr="003A53A2">
        <w:t xml:space="preserve"> </w:t>
      </w:r>
      <w:r w:rsidRPr="003A53A2">
        <w:t>fracción</w:t>
      </w:r>
      <w:r w:rsidR="00F43082" w:rsidRPr="003A53A2">
        <w:t xml:space="preserve"> </w:t>
      </w:r>
      <w:r w:rsidRPr="003A53A2">
        <w:t>III,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la</w:t>
      </w:r>
      <w:r w:rsidR="00F43082" w:rsidRPr="003A53A2">
        <w:t xml:space="preserve"> </w:t>
      </w:r>
      <w:r w:rsidRPr="003A53A2">
        <w:t>Ley</w:t>
      </w:r>
      <w:r w:rsidR="00F43082" w:rsidRPr="003A53A2">
        <w:t xml:space="preserve"> </w:t>
      </w:r>
      <w:r w:rsidRPr="003A53A2">
        <w:t>Federal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Competencia</w:t>
      </w:r>
      <w:r w:rsidR="00F43082" w:rsidRPr="003A53A2">
        <w:t xml:space="preserve"> </w:t>
      </w:r>
      <w:r w:rsidRPr="003A53A2">
        <w:t>Económica,</w:t>
      </w:r>
      <w:r w:rsidR="00F43082" w:rsidRPr="003A53A2">
        <w:t xml:space="preserve"> </w:t>
      </w:r>
      <w:r w:rsidRPr="003A53A2">
        <w:t>publicada</w:t>
      </w:r>
      <w:r w:rsidR="00F43082" w:rsidRPr="003A53A2">
        <w:t xml:space="preserve"> </w:t>
      </w:r>
      <w:r w:rsidRPr="003A53A2">
        <w:t>en</w:t>
      </w:r>
      <w:r w:rsidR="00F43082" w:rsidRPr="003A53A2">
        <w:t xml:space="preserve"> </w:t>
      </w:r>
      <w:r w:rsidRPr="003A53A2">
        <w:t>el</w:t>
      </w:r>
      <w:r w:rsidR="00F43082" w:rsidRPr="003A53A2">
        <w:t xml:space="preserve"> </w:t>
      </w:r>
      <w:r w:rsidRPr="003A53A2">
        <w:t>DOF</w:t>
      </w:r>
      <w:r w:rsidR="00F43082" w:rsidRPr="003A53A2">
        <w:t xml:space="preserve"> </w:t>
      </w:r>
      <w:r w:rsidRPr="003A53A2">
        <w:t>el</w:t>
      </w:r>
      <w:r w:rsidR="00F43082" w:rsidRPr="003A53A2">
        <w:t xml:space="preserve"> </w:t>
      </w:r>
      <w:r w:rsidRPr="003A53A2">
        <w:t>veintitrés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mayo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dos</w:t>
      </w:r>
      <w:r w:rsidR="00F43082" w:rsidRPr="003A53A2">
        <w:t xml:space="preserve"> </w:t>
      </w:r>
      <w:r w:rsidRPr="003A53A2">
        <w:t>mil</w:t>
      </w:r>
      <w:r w:rsidR="00F43082" w:rsidRPr="003A53A2">
        <w:t xml:space="preserve"> </w:t>
      </w:r>
      <w:r w:rsidRPr="003A53A2">
        <w:t>catorce;</w:t>
      </w:r>
      <w:r w:rsidR="00F43082" w:rsidRPr="003A53A2">
        <w:t xml:space="preserve"> </w:t>
      </w:r>
      <w:r w:rsidRPr="003A53A2">
        <w:t>187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las</w:t>
      </w:r>
      <w:r w:rsidR="00F43082" w:rsidRPr="003A53A2">
        <w:t xml:space="preserve"> </w:t>
      </w:r>
      <w:r w:rsidRPr="003A53A2">
        <w:t>Disposiciones</w:t>
      </w:r>
      <w:r w:rsidR="00F43082" w:rsidRPr="003A53A2">
        <w:t xml:space="preserve"> </w:t>
      </w:r>
      <w:r w:rsidRPr="003A53A2">
        <w:t>Regulatorias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la</w:t>
      </w:r>
      <w:r w:rsidR="00F43082" w:rsidRPr="003A53A2">
        <w:t xml:space="preserve"> </w:t>
      </w:r>
      <w:r w:rsidRPr="003A53A2">
        <w:t>Ley</w:t>
      </w:r>
      <w:r w:rsidR="00F43082" w:rsidRPr="003A53A2">
        <w:t xml:space="preserve"> </w:t>
      </w:r>
      <w:r w:rsidRPr="003A53A2">
        <w:t>Federal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Competencia</w:t>
      </w:r>
      <w:r w:rsidR="00F43082" w:rsidRPr="003A53A2">
        <w:t xml:space="preserve"> </w:t>
      </w:r>
      <w:r w:rsidRPr="003A53A2">
        <w:t>Económica</w:t>
      </w:r>
      <w:r w:rsidR="00F43082" w:rsidRPr="003A53A2">
        <w:t xml:space="preserve"> </w:t>
      </w:r>
      <w:r w:rsidRPr="003A53A2">
        <w:t>para</w:t>
      </w:r>
      <w:r w:rsidR="00F43082" w:rsidRPr="003A53A2">
        <w:t xml:space="preserve"> </w:t>
      </w:r>
      <w:r w:rsidRPr="003A53A2">
        <w:t>los</w:t>
      </w:r>
      <w:r w:rsidR="00F43082" w:rsidRPr="003A53A2">
        <w:t xml:space="preserve"> </w:t>
      </w:r>
      <w:r w:rsidRPr="003A53A2">
        <w:t>sectores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telecomunicaciones</w:t>
      </w:r>
      <w:r w:rsidR="00F43082" w:rsidRPr="003A53A2">
        <w:t xml:space="preserve"> </w:t>
      </w:r>
      <w:r w:rsidRPr="003A53A2">
        <w:t>y</w:t>
      </w:r>
      <w:r w:rsidR="00F43082" w:rsidRPr="003A53A2">
        <w:t xml:space="preserve"> </w:t>
      </w:r>
      <w:r w:rsidRPr="003A53A2">
        <w:t>radiodifusión,</w:t>
      </w:r>
      <w:r w:rsidR="00F43082" w:rsidRPr="003A53A2">
        <w:t xml:space="preserve"> </w:t>
      </w:r>
      <w:r w:rsidRPr="003A53A2">
        <w:t>publicadas</w:t>
      </w:r>
      <w:r w:rsidR="00F43082" w:rsidRPr="003A53A2">
        <w:t xml:space="preserve"> </w:t>
      </w:r>
      <w:r w:rsidRPr="003A53A2">
        <w:t>en</w:t>
      </w:r>
      <w:r w:rsidR="00F43082" w:rsidRPr="003A53A2">
        <w:t xml:space="preserve"> </w:t>
      </w:r>
      <w:r w:rsidRPr="003A53A2">
        <w:t>el</w:t>
      </w:r>
      <w:r w:rsidR="00F43082" w:rsidRPr="003A53A2">
        <w:t xml:space="preserve"> </w:t>
      </w:r>
      <w:r w:rsidRPr="003A53A2">
        <w:t>DOF</w:t>
      </w:r>
      <w:r w:rsidR="00F43082" w:rsidRPr="003A53A2">
        <w:t xml:space="preserve"> </w:t>
      </w:r>
      <w:r w:rsidRPr="003A53A2">
        <w:t>el</w:t>
      </w:r>
      <w:r w:rsidR="00F43082" w:rsidRPr="003A53A2">
        <w:t xml:space="preserve"> </w:t>
      </w:r>
      <w:r w:rsidRPr="003A53A2">
        <w:t>doce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enero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dos</w:t>
      </w:r>
      <w:r w:rsidR="00F43082" w:rsidRPr="003A53A2">
        <w:t xml:space="preserve"> </w:t>
      </w:r>
      <w:r w:rsidRPr="003A53A2">
        <w:t>mil</w:t>
      </w:r>
      <w:r w:rsidR="00F43082" w:rsidRPr="003A53A2">
        <w:t xml:space="preserve"> </w:t>
      </w:r>
      <w:r w:rsidRPr="003A53A2">
        <w:t>quince,</w:t>
      </w:r>
      <w:r w:rsidR="00F43082" w:rsidRPr="003A53A2">
        <w:t xml:space="preserve"> </w:t>
      </w:r>
      <w:r w:rsidRPr="003A53A2">
        <w:t>y</w:t>
      </w:r>
      <w:r w:rsidR="00F43082" w:rsidRPr="003A53A2">
        <w:t xml:space="preserve"> </w:t>
      </w:r>
      <w:r w:rsidRPr="003A53A2">
        <w:t>1,</w:t>
      </w:r>
      <w:r w:rsidR="00F43082" w:rsidRPr="003A53A2">
        <w:t xml:space="preserve"> </w:t>
      </w:r>
      <w:r w:rsidRPr="003A53A2">
        <w:t>párrafos</w:t>
      </w:r>
      <w:r w:rsidR="00F43082" w:rsidRPr="003A53A2">
        <w:t xml:space="preserve"> </w:t>
      </w:r>
      <w:r w:rsidRPr="003A53A2">
        <w:t>primero</w:t>
      </w:r>
      <w:r w:rsidR="00F43082" w:rsidRPr="003A53A2">
        <w:t xml:space="preserve"> </w:t>
      </w:r>
      <w:r w:rsidRPr="003A53A2">
        <w:t>y</w:t>
      </w:r>
      <w:r w:rsidR="00F43082" w:rsidRPr="003A53A2">
        <w:t xml:space="preserve"> </w:t>
      </w:r>
      <w:r w:rsidRPr="003A53A2">
        <w:t>tercero,</w:t>
      </w:r>
      <w:r w:rsidR="00F43082" w:rsidRPr="003A53A2">
        <w:t xml:space="preserve"> </w:t>
      </w:r>
      <w:r w:rsidRPr="003A53A2">
        <w:t>2,</w:t>
      </w:r>
      <w:r w:rsidR="00F43082" w:rsidRPr="003A53A2">
        <w:t xml:space="preserve"> </w:t>
      </w:r>
      <w:r w:rsidRPr="003A53A2">
        <w:t>fracción</w:t>
      </w:r>
      <w:r w:rsidR="00F43082" w:rsidRPr="003A53A2">
        <w:t xml:space="preserve"> </w:t>
      </w:r>
      <w:r w:rsidRPr="003A53A2">
        <w:t>X,</w:t>
      </w:r>
      <w:r w:rsidR="00F43082" w:rsidRPr="003A53A2">
        <w:t xml:space="preserve"> </w:t>
      </w:r>
      <w:r w:rsidRPr="003A53A2">
        <w:t>4,</w:t>
      </w:r>
      <w:r w:rsidR="00F43082" w:rsidRPr="003A53A2">
        <w:t xml:space="preserve"> </w:t>
      </w:r>
      <w:r w:rsidRPr="003A53A2">
        <w:t>fracciones</w:t>
      </w:r>
      <w:r w:rsidR="00F43082" w:rsidRPr="003A53A2">
        <w:t xml:space="preserve"> </w:t>
      </w:r>
      <w:r w:rsidRPr="003A53A2">
        <w:t>I,</w:t>
      </w:r>
      <w:r w:rsidR="00F43082" w:rsidRPr="003A53A2">
        <w:t xml:space="preserve"> </w:t>
      </w:r>
      <w:r w:rsidRPr="003A53A2">
        <w:t>V,</w:t>
      </w:r>
      <w:r w:rsidR="00F43082" w:rsidRPr="003A53A2">
        <w:t xml:space="preserve"> </w:t>
      </w:r>
      <w:r w:rsidRPr="003A53A2">
        <w:t>inciso</w:t>
      </w:r>
      <w:r w:rsidR="00F43082" w:rsidRPr="003A53A2">
        <w:t xml:space="preserve"> </w:t>
      </w:r>
      <w:r w:rsidRPr="003A53A2">
        <w:t>vi),</w:t>
      </w:r>
      <w:r w:rsidR="00F43082" w:rsidRPr="003A53A2">
        <w:t xml:space="preserve"> </w:t>
      </w:r>
      <w:r w:rsidRPr="003A53A2">
        <w:t>y</w:t>
      </w:r>
      <w:r w:rsidR="00F43082" w:rsidRPr="003A53A2">
        <w:t xml:space="preserve"> </w:t>
      </w:r>
      <w:r w:rsidRPr="003A53A2">
        <w:t>VI,</w:t>
      </w:r>
      <w:r w:rsidR="00F43082" w:rsidRPr="003A53A2">
        <w:t xml:space="preserve"> </w:t>
      </w:r>
      <w:r w:rsidRPr="003A53A2">
        <w:t>y</w:t>
      </w:r>
      <w:r w:rsidR="00F43082" w:rsidRPr="003A53A2">
        <w:t xml:space="preserve"> </w:t>
      </w:r>
      <w:r w:rsidRPr="003A53A2">
        <w:t>6,</w:t>
      </w:r>
      <w:r w:rsidR="00F43082" w:rsidRPr="003A53A2">
        <w:t xml:space="preserve"> </w:t>
      </w:r>
      <w:r w:rsidRPr="003A53A2">
        <w:t>fracción</w:t>
      </w:r>
      <w:r w:rsidR="00F43082" w:rsidRPr="003A53A2">
        <w:t xml:space="preserve"> </w:t>
      </w:r>
      <w:r w:rsidRPr="003A53A2">
        <w:t>XXXVIII,</w:t>
      </w:r>
      <w:r w:rsidR="00F43082" w:rsidRPr="003A53A2">
        <w:t xml:space="preserve"> </w:t>
      </w:r>
      <w:r w:rsidRPr="003A53A2">
        <w:t>del</w:t>
      </w:r>
      <w:r w:rsidR="00F43082" w:rsidRPr="003A53A2">
        <w:t xml:space="preserve"> </w:t>
      </w:r>
      <w:r w:rsidRPr="003A53A2">
        <w:t>Estatuto</w:t>
      </w:r>
      <w:r w:rsidR="00F43082" w:rsidRPr="003A53A2">
        <w:t xml:space="preserve"> </w:t>
      </w:r>
      <w:r w:rsidRPr="003A53A2">
        <w:t>Orgánico</w:t>
      </w:r>
      <w:r w:rsidR="00F43082" w:rsidRPr="003A53A2">
        <w:t xml:space="preserve"> </w:t>
      </w:r>
      <w:r w:rsidRPr="003A53A2">
        <w:t>del</w:t>
      </w:r>
      <w:r w:rsidR="00F43082" w:rsidRPr="003A53A2">
        <w:t xml:space="preserve"> </w:t>
      </w:r>
      <w:r w:rsidRPr="003A53A2">
        <w:t>Instituto</w:t>
      </w:r>
      <w:r w:rsidR="00F43082" w:rsidRPr="003A53A2">
        <w:t xml:space="preserve"> </w:t>
      </w:r>
      <w:r w:rsidRPr="003A53A2">
        <w:t>Federal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Telecomunicaciones,</w:t>
      </w:r>
      <w:r w:rsidR="00F43082" w:rsidRPr="003A53A2">
        <w:t xml:space="preserve"> </w:t>
      </w:r>
      <w:r w:rsidRPr="003A53A2">
        <w:t>publicado</w:t>
      </w:r>
      <w:r w:rsidR="00F43082" w:rsidRPr="003A53A2">
        <w:t xml:space="preserve"> </w:t>
      </w:r>
      <w:r w:rsidRPr="003A53A2">
        <w:t>en</w:t>
      </w:r>
      <w:r w:rsidR="00F43082" w:rsidRPr="003A53A2">
        <w:t xml:space="preserve"> </w:t>
      </w:r>
      <w:r w:rsidRPr="003A53A2">
        <w:t>el</w:t>
      </w:r>
      <w:r w:rsidR="00F43082" w:rsidRPr="003A53A2">
        <w:t xml:space="preserve"> </w:t>
      </w:r>
      <w:r w:rsidRPr="003A53A2">
        <w:t>DOF</w:t>
      </w:r>
      <w:r w:rsidR="00F43082" w:rsidRPr="003A53A2">
        <w:t xml:space="preserve"> </w:t>
      </w:r>
      <w:r w:rsidRPr="003A53A2">
        <w:t>el</w:t>
      </w:r>
      <w:r w:rsidR="00F43082" w:rsidRPr="003A53A2">
        <w:t xml:space="preserve"> </w:t>
      </w:r>
      <w:r w:rsidRPr="003A53A2">
        <w:t>cuatro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septiembre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dos</w:t>
      </w:r>
      <w:r w:rsidR="00F43082" w:rsidRPr="003A53A2">
        <w:t xml:space="preserve"> </w:t>
      </w:r>
      <w:r w:rsidRPr="003A53A2">
        <w:t>mil</w:t>
      </w:r>
      <w:r w:rsidR="00F43082" w:rsidRPr="003A53A2">
        <w:t xml:space="preserve"> </w:t>
      </w:r>
      <w:r w:rsidRPr="003A53A2">
        <w:t>catorce</w:t>
      </w:r>
      <w:r w:rsidR="00F43082" w:rsidRPr="003A53A2">
        <w:t xml:space="preserve"> </w:t>
      </w:r>
      <w:r w:rsidRPr="003A53A2">
        <w:t>y</w:t>
      </w:r>
      <w:r w:rsidR="00F43082" w:rsidRPr="003A53A2">
        <w:t xml:space="preserve"> </w:t>
      </w:r>
      <w:r w:rsidRPr="003A53A2">
        <w:t>cuya</w:t>
      </w:r>
      <w:r w:rsidR="00F43082" w:rsidRPr="003A53A2">
        <w:t xml:space="preserve"> </w:t>
      </w:r>
      <w:r w:rsidRPr="003A53A2">
        <w:t>última</w:t>
      </w:r>
      <w:r w:rsidR="00F43082" w:rsidRPr="003A53A2">
        <w:t xml:space="preserve"> </w:t>
      </w:r>
      <w:r w:rsidRPr="003A53A2">
        <w:t>modificación</w:t>
      </w:r>
      <w:r w:rsidR="00F43082" w:rsidRPr="003A53A2">
        <w:t xml:space="preserve"> </w:t>
      </w:r>
      <w:r w:rsidRPr="003A53A2">
        <w:t>fue</w:t>
      </w:r>
      <w:r w:rsidR="00F43082" w:rsidRPr="003A53A2">
        <w:t xml:space="preserve"> </w:t>
      </w:r>
      <w:r w:rsidRPr="003A53A2">
        <w:t>publicada</w:t>
      </w:r>
      <w:r w:rsidR="00F43082" w:rsidRPr="003A53A2">
        <w:t xml:space="preserve"> </w:t>
      </w:r>
      <w:r w:rsidRPr="003A53A2">
        <w:t>en</w:t>
      </w:r>
      <w:r w:rsidR="00F43082" w:rsidRPr="003A53A2">
        <w:t xml:space="preserve"> </w:t>
      </w:r>
      <w:r w:rsidRPr="003A53A2">
        <w:t>el</w:t>
      </w:r>
      <w:r w:rsidR="00F43082" w:rsidRPr="003A53A2">
        <w:t xml:space="preserve"> </w:t>
      </w:r>
      <w:r w:rsidRPr="003A53A2">
        <w:t>DOF</w:t>
      </w:r>
      <w:r w:rsidR="00F43082" w:rsidRPr="003A53A2">
        <w:t xml:space="preserve"> </w:t>
      </w:r>
      <w:r w:rsidRPr="003A53A2">
        <w:t>el</w:t>
      </w:r>
      <w:r w:rsidR="00F43082" w:rsidRPr="003A53A2">
        <w:t xml:space="preserve"> </w:t>
      </w:r>
      <w:r w:rsidRPr="003A53A2">
        <w:t>diecisiete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octubre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2016;</w:t>
      </w:r>
      <w:r w:rsidR="00F43082" w:rsidRPr="003A53A2">
        <w:t xml:space="preserve"> </w:t>
      </w:r>
      <w:r w:rsidRPr="003A53A2">
        <w:t>en</w:t>
      </w:r>
      <w:r w:rsidR="00F43082" w:rsidRPr="003A53A2">
        <w:t xml:space="preserve"> </w:t>
      </w:r>
      <w:r w:rsidRPr="003A53A2">
        <w:t>su</w:t>
      </w:r>
      <w:r w:rsidR="00F43082" w:rsidRPr="003A53A2">
        <w:t xml:space="preserve"> </w:t>
      </w:r>
      <w:r w:rsidRPr="003A53A2">
        <w:t>XXVII</w:t>
      </w:r>
      <w:r w:rsidR="00F43082" w:rsidRPr="003A53A2">
        <w:t xml:space="preserve"> </w:t>
      </w:r>
      <w:r w:rsidRPr="003A53A2">
        <w:t>Sesión</w:t>
      </w:r>
      <w:r w:rsidR="00F43082" w:rsidRPr="003A53A2">
        <w:t xml:space="preserve"> </w:t>
      </w:r>
      <w:r w:rsidRPr="003A53A2">
        <w:t>Ordinaria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2017</w:t>
      </w:r>
      <w:r w:rsidR="00F43082" w:rsidRPr="003A53A2">
        <w:t xml:space="preserve"> </w:t>
      </w:r>
      <w:r w:rsidRPr="003A53A2">
        <w:t>celebrada</w:t>
      </w:r>
      <w:r w:rsidR="00F43082" w:rsidRPr="003A53A2">
        <w:t xml:space="preserve"> </w:t>
      </w:r>
      <w:r w:rsidRPr="003A53A2">
        <w:t>el</w:t>
      </w:r>
      <w:r w:rsidR="00F43082" w:rsidRPr="003A53A2">
        <w:t xml:space="preserve"> </w:t>
      </w:r>
      <w:r w:rsidRPr="003A53A2">
        <w:t>día</w:t>
      </w:r>
      <w:r w:rsidR="00F43082" w:rsidRPr="003A53A2">
        <w:t xml:space="preserve"> </w:t>
      </w:r>
      <w:r w:rsidRPr="003A53A2">
        <w:t>veintiocho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junio</w:t>
      </w:r>
      <w:r w:rsidR="00F43082" w:rsidRPr="003A53A2">
        <w:t xml:space="preserve"> </w:t>
      </w:r>
      <w:r w:rsidRPr="003A53A2">
        <w:t>y</w:t>
      </w:r>
      <w:r w:rsidR="00F43082" w:rsidRPr="003A53A2">
        <w:t xml:space="preserve"> </w:t>
      </w:r>
      <w:r w:rsidRPr="003A53A2">
        <w:t>mediante</w:t>
      </w:r>
      <w:r w:rsidR="00F43082" w:rsidRPr="003A53A2">
        <w:t xml:space="preserve"> </w:t>
      </w:r>
      <w:r w:rsidRPr="003A53A2">
        <w:t>Acuerdo</w:t>
      </w:r>
      <w:r w:rsidR="00F43082" w:rsidRPr="003A53A2">
        <w:t xml:space="preserve"> </w:t>
      </w:r>
      <w:r w:rsidRPr="003A53A2">
        <w:t>número</w:t>
      </w:r>
      <w:r w:rsidR="00F43082" w:rsidRPr="003A53A2">
        <w:t xml:space="preserve"> </w:t>
      </w:r>
      <w:r w:rsidRPr="003A53A2">
        <w:t>P/IFT/280617/368,</w:t>
      </w:r>
      <w:r w:rsidR="00F43082" w:rsidRPr="003A53A2">
        <w:t xml:space="preserve"> </w:t>
      </w:r>
      <w:r w:rsidRPr="003A53A2">
        <w:t>el</w:t>
      </w:r>
      <w:r w:rsidR="00F43082" w:rsidRPr="003A53A2">
        <w:t xml:space="preserve"> </w:t>
      </w:r>
      <w:r w:rsidRPr="003A53A2">
        <w:t>Pleno</w:t>
      </w:r>
      <w:r w:rsidR="00F43082" w:rsidRPr="003A53A2">
        <w:t xml:space="preserve"> </w:t>
      </w:r>
      <w:r w:rsidRPr="003A53A2">
        <w:t>del</w:t>
      </w:r>
      <w:r w:rsidR="00F43082" w:rsidRPr="003A53A2">
        <w:t xml:space="preserve"> </w:t>
      </w:r>
      <w:r w:rsidRPr="003A53A2">
        <w:t>Instituto</w:t>
      </w:r>
      <w:r w:rsidR="00F43082" w:rsidRPr="003A53A2">
        <w:t xml:space="preserve"> </w:t>
      </w:r>
      <w:r w:rsidRPr="003A53A2">
        <w:t>Federal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Telecomunicaciones</w:t>
      </w:r>
      <w:r w:rsidR="00F43082" w:rsidRPr="003A53A2">
        <w:t xml:space="preserve"> </w:t>
      </w:r>
      <w:r w:rsidRPr="003A53A2">
        <w:t>(Instituto)</w:t>
      </w:r>
      <w:r w:rsidR="00F43082" w:rsidRPr="003A53A2">
        <w:t xml:space="preserve"> </w:t>
      </w:r>
      <w:r w:rsidRPr="003A53A2">
        <w:t>expidió</w:t>
      </w:r>
      <w:r w:rsidR="00F43082" w:rsidRPr="003A53A2">
        <w:t xml:space="preserve"> </w:t>
      </w:r>
      <w:r w:rsidRPr="003A53A2">
        <w:t>la</w:t>
      </w:r>
      <w:r w:rsidR="00F43082" w:rsidRPr="003A53A2">
        <w:t xml:space="preserve"> </w:t>
      </w:r>
      <w:r w:rsidRPr="003A53A2">
        <w:t>“Guía</w:t>
      </w:r>
      <w:r w:rsidR="00F43082" w:rsidRPr="003A53A2">
        <w:t xml:space="preserve"> </w:t>
      </w:r>
      <w:r w:rsidRPr="003A53A2">
        <w:t>para</w:t>
      </w:r>
      <w:r w:rsidR="00F43082" w:rsidRPr="003A53A2">
        <w:t xml:space="preserve"> </w:t>
      </w:r>
      <w:r w:rsidRPr="003A53A2">
        <w:t>el</w:t>
      </w:r>
      <w:r w:rsidR="00F43082" w:rsidRPr="003A53A2">
        <w:t xml:space="preserve"> </w:t>
      </w:r>
      <w:r w:rsidRPr="003A53A2">
        <w:t>Control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Concentraciones</w:t>
      </w:r>
      <w:r w:rsidR="00F43082" w:rsidRPr="003A53A2">
        <w:t xml:space="preserve"> </w:t>
      </w:r>
      <w:r w:rsidRPr="003A53A2">
        <w:t>en</w:t>
      </w:r>
      <w:r w:rsidR="00F43082" w:rsidRPr="003A53A2">
        <w:t xml:space="preserve"> </w:t>
      </w:r>
      <w:r w:rsidRPr="003A53A2">
        <w:t>los</w:t>
      </w:r>
      <w:r w:rsidR="00F43082" w:rsidRPr="003A53A2">
        <w:t xml:space="preserve"> </w:t>
      </w:r>
      <w:r w:rsidRPr="003A53A2">
        <w:t>sectores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telecomunicaciones</w:t>
      </w:r>
      <w:r w:rsidR="00F43082" w:rsidRPr="003A53A2">
        <w:t xml:space="preserve"> </w:t>
      </w:r>
      <w:r w:rsidRPr="003A53A2">
        <w:t>y</w:t>
      </w:r>
      <w:r w:rsidR="00F43082" w:rsidRPr="003A53A2">
        <w:t xml:space="preserve"> </w:t>
      </w:r>
      <w:r w:rsidRPr="003A53A2">
        <w:t>radiodifusión,”</w:t>
      </w:r>
      <w:r w:rsidR="00F43082" w:rsidRPr="003A53A2">
        <w:t xml:space="preserve"> </w:t>
      </w:r>
      <w:r w:rsidRPr="003A53A2">
        <w:t>respecto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la</w:t>
      </w:r>
      <w:r w:rsidR="00F43082" w:rsidRPr="003A53A2">
        <w:t xml:space="preserve"> </w:t>
      </w:r>
      <w:r w:rsidRPr="003A53A2">
        <w:t>cual</w:t>
      </w:r>
      <w:r w:rsidR="00F43082" w:rsidRPr="003A53A2">
        <w:t xml:space="preserve"> </w:t>
      </w:r>
      <w:r w:rsidRPr="003A53A2">
        <w:t>se</w:t>
      </w:r>
      <w:r w:rsidR="00F43082" w:rsidRPr="003A53A2">
        <w:t xml:space="preserve"> </w:t>
      </w:r>
      <w:r w:rsidRPr="003A53A2">
        <w:t>presenta</w:t>
      </w:r>
      <w:r w:rsidR="00F43082" w:rsidRPr="003A53A2">
        <w:t xml:space="preserve"> </w:t>
      </w:r>
      <w:r w:rsidRPr="003A53A2">
        <w:t>el</w:t>
      </w:r>
      <w:r w:rsidR="00F43082" w:rsidRPr="003A53A2">
        <w:t xml:space="preserve"> </w:t>
      </w:r>
      <w:r w:rsidRPr="003A53A2">
        <w:t>siguiente</w:t>
      </w:r>
      <w:r w:rsidR="00F43082" w:rsidRPr="003A53A2">
        <w:t xml:space="preserve"> </w:t>
      </w:r>
      <w:r w:rsidRPr="003A53A2">
        <w:t>Extracto</w:t>
      </w:r>
      <w:r w:rsidR="00F43082" w:rsidRPr="003A53A2">
        <w:t xml:space="preserve"> </w:t>
      </w:r>
      <w:r w:rsidRPr="003A53A2">
        <w:t>(se</w:t>
      </w:r>
      <w:r w:rsidR="00F43082" w:rsidRPr="003A53A2">
        <w:t xml:space="preserve"> </w:t>
      </w:r>
      <w:r w:rsidRPr="003A53A2">
        <w:t>incluye</w:t>
      </w:r>
      <w:r w:rsidR="00F43082" w:rsidRPr="003A53A2">
        <w:t xml:space="preserve"> </w:t>
      </w:r>
      <w:r w:rsidRPr="003A53A2">
        <w:t>únicamente</w:t>
      </w:r>
      <w:r w:rsidR="00F43082" w:rsidRPr="003A53A2">
        <w:t xml:space="preserve"> </w:t>
      </w:r>
      <w:r w:rsidRPr="003A53A2">
        <w:t>índice</w:t>
      </w:r>
      <w:r w:rsidR="00F43082" w:rsidRPr="003A53A2">
        <w:t xml:space="preserve"> </w:t>
      </w:r>
      <w:r w:rsidRPr="003A53A2">
        <w:t>e</w:t>
      </w:r>
      <w:r w:rsidR="00F43082" w:rsidRPr="003A53A2">
        <w:t xml:space="preserve"> </w:t>
      </w:r>
      <w:r w:rsidRPr="003A53A2">
        <w:t>introducción</w:t>
      </w:r>
      <w:r w:rsidR="00F43082" w:rsidRPr="003A53A2">
        <w:t xml:space="preserve"> </w:t>
      </w:r>
      <w:r w:rsidRPr="003A53A2">
        <w:t>del</w:t>
      </w:r>
      <w:r w:rsidR="00F43082" w:rsidRPr="003A53A2">
        <w:t xml:space="preserve"> </w:t>
      </w:r>
      <w:r w:rsidRPr="003A53A2">
        <w:t>documento).</w:t>
      </w:r>
    </w:p>
    <w:p w:rsidR="00E82C85" w:rsidRPr="004010C8" w:rsidRDefault="00E82C85" w:rsidP="004010C8">
      <w:pPr>
        <w:pStyle w:val="Ttulo3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bookmarkStart w:id="0" w:name="_GoBack"/>
      <w:r w:rsidRPr="004010C8">
        <w:rPr>
          <w:rFonts w:ascii="Times New Roman" w:hAnsi="Times New Roman"/>
          <w:color w:val="000000" w:themeColor="text1"/>
          <w:sz w:val="18"/>
          <w:szCs w:val="18"/>
        </w:rPr>
        <w:t>GUÍA</w:t>
      </w:r>
      <w:r w:rsidR="00F43082" w:rsidRPr="004010C8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010C8">
        <w:rPr>
          <w:rFonts w:ascii="Times New Roman" w:hAnsi="Times New Roman"/>
          <w:color w:val="000000" w:themeColor="text1"/>
          <w:sz w:val="18"/>
          <w:szCs w:val="18"/>
        </w:rPr>
        <w:t>PARA</w:t>
      </w:r>
      <w:r w:rsidR="00F43082" w:rsidRPr="004010C8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010C8">
        <w:rPr>
          <w:rFonts w:ascii="Times New Roman" w:hAnsi="Times New Roman"/>
          <w:color w:val="000000" w:themeColor="text1"/>
          <w:sz w:val="18"/>
          <w:szCs w:val="18"/>
        </w:rPr>
        <w:t>EL</w:t>
      </w:r>
      <w:r w:rsidR="00F43082" w:rsidRPr="004010C8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010C8">
        <w:rPr>
          <w:rFonts w:ascii="Times New Roman" w:hAnsi="Times New Roman"/>
          <w:color w:val="000000" w:themeColor="text1"/>
          <w:sz w:val="18"/>
          <w:szCs w:val="18"/>
        </w:rPr>
        <w:t>CONTROL</w:t>
      </w:r>
      <w:r w:rsidR="00F43082" w:rsidRPr="004010C8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010C8">
        <w:rPr>
          <w:rFonts w:ascii="Times New Roman" w:hAnsi="Times New Roman"/>
          <w:color w:val="000000" w:themeColor="text1"/>
          <w:sz w:val="18"/>
          <w:szCs w:val="18"/>
        </w:rPr>
        <w:t>DE</w:t>
      </w:r>
      <w:r w:rsidR="00F43082" w:rsidRPr="004010C8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010C8">
        <w:rPr>
          <w:rFonts w:ascii="Times New Roman" w:hAnsi="Times New Roman"/>
          <w:color w:val="000000" w:themeColor="text1"/>
          <w:sz w:val="18"/>
          <w:szCs w:val="18"/>
        </w:rPr>
        <w:t>CONCENTRACIONES</w:t>
      </w:r>
      <w:r w:rsidR="00F43082" w:rsidRPr="004010C8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010C8">
        <w:rPr>
          <w:rFonts w:ascii="Times New Roman" w:hAnsi="Times New Roman"/>
          <w:color w:val="000000" w:themeColor="text1"/>
          <w:sz w:val="18"/>
          <w:szCs w:val="18"/>
        </w:rPr>
        <w:t>EN</w:t>
      </w:r>
      <w:r w:rsidR="00F43082" w:rsidRPr="004010C8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010C8">
        <w:rPr>
          <w:rFonts w:ascii="Times New Roman" w:hAnsi="Times New Roman"/>
          <w:color w:val="000000" w:themeColor="text1"/>
          <w:sz w:val="18"/>
          <w:szCs w:val="18"/>
        </w:rPr>
        <w:t>LOS</w:t>
      </w:r>
      <w:r w:rsidR="00F43082" w:rsidRPr="004010C8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010C8">
        <w:rPr>
          <w:rFonts w:ascii="Times New Roman" w:hAnsi="Times New Roman"/>
          <w:color w:val="000000" w:themeColor="text1"/>
          <w:sz w:val="18"/>
          <w:szCs w:val="18"/>
        </w:rPr>
        <w:t>SECTORES</w:t>
      </w:r>
      <w:r w:rsidR="006618CF" w:rsidRPr="004010C8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010C8">
        <w:rPr>
          <w:rFonts w:ascii="Times New Roman" w:hAnsi="Times New Roman"/>
          <w:color w:val="000000" w:themeColor="text1"/>
          <w:sz w:val="18"/>
          <w:szCs w:val="18"/>
        </w:rPr>
        <w:t>DE</w:t>
      </w:r>
      <w:r w:rsidR="00F43082" w:rsidRPr="004010C8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010C8">
        <w:rPr>
          <w:rFonts w:ascii="Times New Roman" w:hAnsi="Times New Roman"/>
          <w:color w:val="000000" w:themeColor="text1"/>
          <w:sz w:val="18"/>
          <w:szCs w:val="18"/>
        </w:rPr>
        <w:t>TELECOMUNICACIONES</w:t>
      </w:r>
      <w:r w:rsidR="00F43082" w:rsidRPr="004010C8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010C8">
        <w:rPr>
          <w:rFonts w:ascii="Times New Roman" w:hAnsi="Times New Roman"/>
          <w:color w:val="000000" w:themeColor="text1"/>
          <w:sz w:val="18"/>
          <w:szCs w:val="18"/>
        </w:rPr>
        <w:t>Y</w:t>
      </w:r>
      <w:r w:rsidR="00F43082" w:rsidRPr="004010C8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010C8">
        <w:rPr>
          <w:rFonts w:ascii="Times New Roman" w:hAnsi="Times New Roman"/>
          <w:color w:val="000000" w:themeColor="text1"/>
          <w:sz w:val="18"/>
          <w:szCs w:val="18"/>
        </w:rPr>
        <w:t>RADIODIFUSIÓN</w:t>
      </w:r>
    </w:p>
    <w:bookmarkEnd w:id="0"/>
    <w:p w:rsidR="00E82C85" w:rsidRPr="003A53A2" w:rsidRDefault="00E82C85" w:rsidP="003A53A2">
      <w:pPr>
        <w:pStyle w:val="Texto"/>
        <w:spacing w:after="72" w:line="219" w:lineRule="exact"/>
        <w:rPr>
          <w:b/>
        </w:rPr>
      </w:pPr>
      <w:r w:rsidRPr="003A53A2">
        <w:rPr>
          <w:b/>
        </w:rPr>
        <w:t>Índice</w:t>
      </w:r>
      <w:r w:rsidR="00F43082" w:rsidRPr="003A53A2">
        <w:rPr>
          <w:b/>
        </w:rPr>
        <w:t xml:space="preserve"> </w:t>
      </w:r>
      <w:r w:rsidRPr="003A53A2">
        <w:rPr>
          <w:b/>
        </w:rPr>
        <w:t>de</w:t>
      </w:r>
      <w:r w:rsidR="00F43082" w:rsidRPr="003A53A2">
        <w:rPr>
          <w:b/>
        </w:rPr>
        <w:t xml:space="preserve"> </w:t>
      </w:r>
      <w:r w:rsidRPr="003A53A2">
        <w:rPr>
          <w:b/>
        </w:rPr>
        <w:t>contenido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720" w:hanging="432"/>
        <w:rPr>
          <w:szCs w:val="18"/>
        </w:rPr>
      </w:pPr>
      <w:r w:rsidRPr="003A53A2">
        <w:rPr>
          <w:szCs w:val="18"/>
        </w:rPr>
        <w:t>Introducción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Pr="003A53A2">
        <w:rPr>
          <w:szCs w:val="18"/>
        </w:rPr>
        <w:t>4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720" w:hanging="432"/>
        <w:rPr>
          <w:szCs w:val="18"/>
        </w:rPr>
      </w:pPr>
      <w:r w:rsidRPr="003A53A2">
        <w:rPr>
          <w:szCs w:val="18"/>
        </w:rPr>
        <w:t>Glosario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Pr="003A53A2">
        <w:rPr>
          <w:szCs w:val="18"/>
        </w:rPr>
        <w:t>6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720"/>
        <w:rPr>
          <w:szCs w:val="18"/>
        </w:rPr>
      </w:pPr>
      <w:r w:rsidRPr="003A53A2">
        <w:rPr>
          <w:szCs w:val="18"/>
        </w:rPr>
        <w:t>I.</w:t>
      </w:r>
      <w:r w:rsidRPr="003A53A2">
        <w:rPr>
          <w:szCs w:val="18"/>
        </w:rPr>
        <w:tab/>
        <w:t>Aspectos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Generales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Pr="003A53A2">
        <w:rPr>
          <w:szCs w:val="18"/>
        </w:rPr>
        <w:t>8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720"/>
        <w:rPr>
          <w:szCs w:val="18"/>
        </w:rPr>
      </w:pPr>
      <w:r w:rsidRPr="003A53A2">
        <w:rPr>
          <w:szCs w:val="18"/>
        </w:rPr>
        <w:t>1.</w:t>
      </w:r>
      <w:r w:rsidRPr="003A53A2">
        <w:rPr>
          <w:szCs w:val="18"/>
        </w:rPr>
        <w:tab/>
        <w:t>Objeto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control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concentraciones</w:t>
      </w:r>
      <w:r w:rsidR="006F527C" w:rsidRPr="003A53A2">
        <w:rPr>
          <w:szCs w:val="18"/>
        </w:rPr>
        <w:tab/>
      </w:r>
      <w:r w:rsidRPr="003A53A2">
        <w:rPr>
          <w:szCs w:val="18"/>
        </w:rPr>
        <w:t>.</w:t>
      </w:r>
      <w:r w:rsidRPr="003A53A2">
        <w:rPr>
          <w:szCs w:val="18"/>
        </w:rPr>
        <w:tab/>
        <w:t>8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720"/>
        <w:rPr>
          <w:szCs w:val="18"/>
        </w:rPr>
      </w:pPr>
      <w:r w:rsidRPr="003A53A2">
        <w:rPr>
          <w:szCs w:val="18"/>
        </w:rPr>
        <w:t>2.</w:t>
      </w:r>
      <w:r w:rsidRPr="003A53A2">
        <w:rPr>
          <w:szCs w:val="18"/>
        </w:rPr>
        <w:tab/>
        <w:t>Definiciones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relevantes</w:t>
      </w:r>
      <w:r w:rsidR="006F527C" w:rsidRPr="003A53A2">
        <w:rPr>
          <w:szCs w:val="18"/>
        </w:rPr>
        <w:tab/>
      </w:r>
      <w:r w:rsidRPr="003A53A2">
        <w:rPr>
          <w:szCs w:val="18"/>
        </w:rPr>
        <w:t>.</w:t>
      </w:r>
      <w:r w:rsidRPr="003A53A2">
        <w:rPr>
          <w:szCs w:val="18"/>
        </w:rPr>
        <w:tab/>
        <w:t>10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432"/>
        <w:rPr>
          <w:szCs w:val="18"/>
        </w:rPr>
      </w:pPr>
      <w:r w:rsidRPr="003A53A2">
        <w:rPr>
          <w:szCs w:val="18"/>
        </w:rPr>
        <w:t>2.1.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Concentración</w:t>
      </w:r>
      <w:r w:rsidR="006F527C" w:rsidRPr="003A53A2">
        <w:rPr>
          <w:szCs w:val="18"/>
        </w:rPr>
        <w:tab/>
      </w:r>
      <w:r w:rsidRPr="003A53A2">
        <w:rPr>
          <w:szCs w:val="18"/>
        </w:rPr>
        <w:tab/>
        <w:t>10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432"/>
        <w:rPr>
          <w:szCs w:val="18"/>
        </w:rPr>
      </w:pPr>
      <w:r w:rsidRPr="003A53A2">
        <w:rPr>
          <w:szCs w:val="18"/>
        </w:rPr>
        <w:t>2.2.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Agente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Económico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Pr="003A53A2">
        <w:rPr>
          <w:szCs w:val="18"/>
        </w:rPr>
        <w:t>12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432"/>
        <w:rPr>
          <w:szCs w:val="18"/>
        </w:rPr>
      </w:pPr>
      <w:r w:rsidRPr="003A53A2">
        <w:rPr>
          <w:szCs w:val="18"/>
        </w:rPr>
        <w:t>2.3.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Grupo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Interés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Económico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(GIE)</w:t>
      </w:r>
      <w:r w:rsidR="006F527C" w:rsidRPr="003A53A2">
        <w:rPr>
          <w:szCs w:val="18"/>
        </w:rPr>
        <w:tab/>
      </w:r>
      <w:r w:rsidRPr="003A53A2">
        <w:rPr>
          <w:szCs w:val="18"/>
        </w:rPr>
        <w:tab/>
        <w:t>13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432"/>
        <w:rPr>
          <w:szCs w:val="18"/>
        </w:rPr>
      </w:pPr>
      <w:r w:rsidRPr="003A53A2">
        <w:rPr>
          <w:szCs w:val="18"/>
        </w:rPr>
        <w:t>2.4.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Control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Influencia</w:t>
      </w:r>
      <w:r w:rsidR="006F527C" w:rsidRPr="003A53A2">
        <w:rPr>
          <w:szCs w:val="18"/>
        </w:rPr>
        <w:tab/>
      </w:r>
      <w:r w:rsidRPr="003A53A2">
        <w:rPr>
          <w:szCs w:val="18"/>
        </w:rPr>
        <w:tab/>
        <w:t>15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720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Control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o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influencia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Decisiva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>16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720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Influencia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o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Influencia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Significativa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>18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720"/>
        <w:rPr>
          <w:szCs w:val="18"/>
        </w:rPr>
      </w:pPr>
      <w:r w:rsidRPr="003A53A2">
        <w:rPr>
          <w:szCs w:val="18"/>
        </w:rPr>
        <w:t>3.</w:t>
      </w:r>
      <w:r w:rsidRPr="003A53A2">
        <w:rPr>
          <w:szCs w:val="18"/>
        </w:rPr>
        <w:tab/>
        <w:t>Mecanismos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para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control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concentraciones</w:t>
      </w:r>
      <w:r w:rsidR="006F527C" w:rsidRPr="003A53A2">
        <w:rPr>
          <w:szCs w:val="18"/>
        </w:rPr>
        <w:tab/>
      </w:r>
      <w:r w:rsidRPr="003A53A2">
        <w:rPr>
          <w:szCs w:val="18"/>
        </w:rPr>
        <w:tab/>
        <w:t>20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432"/>
        <w:rPr>
          <w:szCs w:val="18"/>
        </w:rPr>
      </w:pPr>
      <w:r w:rsidRPr="003A53A2">
        <w:rPr>
          <w:szCs w:val="18"/>
        </w:rPr>
        <w:t>3.1.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aplicación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ex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ante</w:t>
      </w:r>
      <w:r w:rsidR="006F527C" w:rsidRPr="003A53A2">
        <w:rPr>
          <w:szCs w:val="18"/>
        </w:rPr>
        <w:tab/>
      </w:r>
      <w:r w:rsidRPr="003A53A2">
        <w:rPr>
          <w:szCs w:val="18"/>
        </w:rPr>
        <w:t>.</w:t>
      </w:r>
      <w:r w:rsidRPr="003A53A2">
        <w:rPr>
          <w:szCs w:val="18"/>
        </w:rPr>
        <w:tab/>
        <w:t>20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432"/>
        <w:rPr>
          <w:szCs w:val="18"/>
        </w:rPr>
      </w:pPr>
      <w:r w:rsidRPr="003A53A2">
        <w:rPr>
          <w:szCs w:val="18"/>
        </w:rPr>
        <w:t>3.2.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aplicación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ex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post</w:t>
      </w:r>
      <w:r w:rsidR="006F527C" w:rsidRPr="003A53A2">
        <w:rPr>
          <w:szCs w:val="18"/>
        </w:rPr>
        <w:tab/>
      </w:r>
      <w:r w:rsidRPr="003A53A2">
        <w:rPr>
          <w:szCs w:val="18"/>
        </w:rPr>
        <w:tab/>
        <w:t>23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720"/>
        <w:rPr>
          <w:szCs w:val="18"/>
        </w:rPr>
      </w:pPr>
      <w:r w:rsidRPr="003A53A2">
        <w:rPr>
          <w:szCs w:val="18"/>
        </w:rPr>
        <w:t>4.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Ámbito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competencia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Instituto</w:t>
      </w:r>
      <w:r w:rsidR="006F527C" w:rsidRPr="003A53A2">
        <w:rPr>
          <w:szCs w:val="18"/>
        </w:rPr>
        <w:tab/>
      </w:r>
      <w:r w:rsidRPr="003A53A2">
        <w:rPr>
          <w:szCs w:val="18"/>
        </w:rPr>
        <w:tab/>
        <w:t>24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432"/>
        <w:rPr>
          <w:szCs w:val="18"/>
        </w:rPr>
      </w:pPr>
      <w:r w:rsidRPr="003A53A2">
        <w:rPr>
          <w:szCs w:val="18"/>
        </w:rPr>
        <w:t>4.1.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Criterios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referencia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Pr="003A53A2">
        <w:rPr>
          <w:szCs w:val="18"/>
        </w:rPr>
        <w:t>24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432"/>
        <w:rPr>
          <w:szCs w:val="18"/>
        </w:rPr>
      </w:pPr>
      <w:r w:rsidRPr="003A53A2">
        <w:rPr>
          <w:szCs w:val="18"/>
        </w:rPr>
        <w:t>4.2.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Fijar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competencia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entre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Instituto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COFECE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Pr="003A53A2">
        <w:rPr>
          <w:szCs w:val="18"/>
        </w:rPr>
        <w:t>27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Cuando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ambas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autoridades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se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consideren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competentes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>27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Cuando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ninguna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autoridad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se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considere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competente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>27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Precedentes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Judiciales</w:t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ab/>
        <w:t>28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432"/>
        <w:rPr>
          <w:szCs w:val="18"/>
        </w:rPr>
      </w:pPr>
      <w:r w:rsidRPr="003A53A2">
        <w:rPr>
          <w:szCs w:val="18"/>
        </w:rPr>
        <w:t>4.3.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Elementos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para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evaluar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concentraciones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Pr="003A53A2">
        <w:rPr>
          <w:szCs w:val="18"/>
        </w:rPr>
        <w:t>30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4.3.1.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Información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>30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Básica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>30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Adicional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>31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4.3.2.</w:t>
      </w:r>
      <w:r w:rsidR="00F43082" w:rsidRPr="003A53A2">
        <w:rPr>
          <w:szCs w:val="18"/>
        </w:rPr>
        <w:t xml:space="preserve"> </w:t>
      </w:r>
      <w:proofErr w:type="spellStart"/>
      <w:r w:rsidR="00E82C85" w:rsidRPr="003A53A2">
        <w:rPr>
          <w:szCs w:val="18"/>
        </w:rPr>
        <w:t>Coadyuvancia</w:t>
      </w:r>
      <w:proofErr w:type="spellEnd"/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terceros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>36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72" w:line="219" w:lineRule="exact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4.3.3.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Cooperación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con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otras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autoridades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competencia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>36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80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4.3.4.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Clasificación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información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>37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720"/>
        <w:rPr>
          <w:szCs w:val="18"/>
        </w:rPr>
      </w:pPr>
      <w:r w:rsidRPr="003A53A2">
        <w:rPr>
          <w:szCs w:val="18"/>
        </w:rPr>
        <w:lastRenderedPageBreak/>
        <w:t>II.</w:t>
      </w:r>
      <w:r w:rsidRPr="003A53A2">
        <w:rPr>
          <w:szCs w:val="18"/>
        </w:rPr>
        <w:tab/>
        <w:t>Procedimientos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Específicos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Pr="003A53A2">
        <w:rPr>
          <w:szCs w:val="18"/>
        </w:rPr>
        <w:t>40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720"/>
        <w:rPr>
          <w:szCs w:val="18"/>
        </w:rPr>
      </w:pPr>
      <w:r w:rsidRPr="003A53A2">
        <w:rPr>
          <w:szCs w:val="18"/>
        </w:rPr>
        <w:t>5.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Notificación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concentraciones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Pr="003A53A2">
        <w:rPr>
          <w:szCs w:val="18"/>
        </w:rPr>
        <w:t>40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>5.1.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Umbrales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para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notificación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Pr="003A53A2">
        <w:rPr>
          <w:szCs w:val="18"/>
        </w:rPr>
        <w:t>40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>5.2.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Notificación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voluntaria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Pr="003A53A2">
        <w:rPr>
          <w:szCs w:val="18"/>
        </w:rPr>
        <w:t>46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>5.3.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Sucesión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actos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Pr="003A53A2">
        <w:rPr>
          <w:szCs w:val="18"/>
        </w:rPr>
        <w:t>47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>5.4.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Oportunidad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notificación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Pr="003A53A2">
        <w:rPr>
          <w:szCs w:val="18"/>
        </w:rPr>
        <w:t>48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>5.5.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Notificación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extemporánea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Pr="003A53A2">
        <w:rPr>
          <w:szCs w:val="18"/>
        </w:rPr>
        <w:t>51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>5.6.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Obligados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notificar</w:t>
      </w:r>
      <w:r w:rsidR="006F527C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Pr="003A53A2">
        <w:rPr>
          <w:szCs w:val="18"/>
        </w:rPr>
        <w:t>52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>5.7.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Escrito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notificación</w:t>
      </w:r>
      <w:r w:rsidR="006F527C" w:rsidRPr="003A53A2">
        <w:rPr>
          <w:szCs w:val="18"/>
        </w:rPr>
        <w:tab/>
      </w:r>
      <w:r w:rsidRPr="003A53A2">
        <w:rPr>
          <w:szCs w:val="18"/>
        </w:rPr>
        <w:tab/>
        <w:t>53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Requisitos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específicos</w:t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ab/>
        <w:t>53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Requisitos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generales</w:t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ab/>
        <w:t>69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>5.8.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Procedimiento</w:t>
      </w:r>
      <w:r w:rsidR="006F527C" w:rsidRPr="003A53A2">
        <w:rPr>
          <w:szCs w:val="18"/>
        </w:rPr>
        <w:tab/>
      </w:r>
      <w:r w:rsidRPr="003A53A2">
        <w:rPr>
          <w:szCs w:val="18"/>
        </w:rPr>
        <w:tab/>
        <w:t>69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Acuerdo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Prevención……………</w:t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ab/>
        <w:t>71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Recepción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Notificación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Concentración</w:t>
      </w:r>
      <w:r w:rsidR="00E82C85" w:rsidRPr="003A53A2">
        <w:rPr>
          <w:szCs w:val="18"/>
        </w:rPr>
        <w:tab/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>72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Emisión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del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Requerimiento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Información</w:t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ab/>
        <w:t>73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Requerimientos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Información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Adicional</w:t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ab/>
        <w:t>75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Acuerdo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que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tiene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por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no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presentada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una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Notificación</w:t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ab/>
        <w:t>75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Notificaciones</w:t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ab/>
        <w:t>76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Incumplimientos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a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LFCE</w:t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ab/>
        <w:t>77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Desistimientos</w:t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ab/>
        <w:t>77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>5.9.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Tipos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Resoluciones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Elementos</w:t>
      </w:r>
      <w:r w:rsidR="006F527C" w:rsidRPr="003A53A2">
        <w:rPr>
          <w:szCs w:val="18"/>
        </w:rPr>
        <w:tab/>
      </w:r>
      <w:r w:rsidRPr="003A53A2">
        <w:rPr>
          <w:szCs w:val="18"/>
        </w:rPr>
        <w:tab/>
        <w:t>78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Vigencia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Autorización</w:t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ab/>
        <w:t>78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Acuerdo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Riesgos</w:t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ab/>
        <w:t>79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Propuestas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Condiciones</w:t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ab/>
        <w:t>80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Tipos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Condiciones</w:t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ab/>
        <w:t>81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720"/>
        <w:rPr>
          <w:szCs w:val="18"/>
        </w:rPr>
      </w:pPr>
      <w:r w:rsidRPr="003A53A2">
        <w:rPr>
          <w:szCs w:val="18"/>
        </w:rPr>
        <w:t>6.</w:t>
      </w:r>
      <w:r w:rsidRPr="003A53A2">
        <w:rPr>
          <w:szCs w:val="18"/>
        </w:rPr>
        <w:tab/>
        <w:t>Excepciones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Notificación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Concentraciones</w:t>
      </w:r>
      <w:r w:rsidR="006F527C" w:rsidRPr="003A53A2">
        <w:rPr>
          <w:szCs w:val="18"/>
        </w:rPr>
        <w:tab/>
      </w:r>
      <w:r w:rsidRPr="003A53A2">
        <w:rPr>
          <w:szCs w:val="18"/>
        </w:rPr>
        <w:tab/>
        <w:t>82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720"/>
        <w:rPr>
          <w:szCs w:val="18"/>
        </w:rPr>
      </w:pPr>
      <w:r w:rsidRPr="003A53A2">
        <w:rPr>
          <w:szCs w:val="18"/>
        </w:rPr>
        <w:t>7.</w:t>
      </w:r>
      <w:r w:rsidRPr="003A53A2">
        <w:rPr>
          <w:szCs w:val="18"/>
        </w:rPr>
        <w:tab/>
        <w:t>Procedimiento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Simplificado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Notificación</w:t>
      </w:r>
      <w:r w:rsidR="006F527C" w:rsidRPr="003A53A2">
        <w:rPr>
          <w:szCs w:val="18"/>
        </w:rPr>
        <w:tab/>
      </w:r>
      <w:r w:rsidRPr="003A53A2">
        <w:rPr>
          <w:szCs w:val="18"/>
        </w:rPr>
        <w:tab/>
        <w:t>88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>7.1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Particularidades</w:t>
      </w:r>
      <w:r w:rsidR="006F527C" w:rsidRPr="003A53A2">
        <w:rPr>
          <w:szCs w:val="18"/>
        </w:rPr>
        <w:tab/>
      </w:r>
      <w:r w:rsidRPr="003A53A2">
        <w:rPr>
          <w:szCs w:val="18"/>
        </w:rPr>
        <w:tab/>
        <w:t>88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>7.2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Elementos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notoriedad</w:t>
      </w:r>
      <w:r w:rsidR="006F527C" w:rsidRPr="003A53A2">
        <w:rPr>
          <w:szCs w:val="18"/>
        </w:rPr>
        <w:tab/>
      </w:r>
      <w:r w:rsidRPr="003A53A2">
        <w:rPr>
          <w:szCs w:val="18"/>
        </w:rPr>
        <w:tab/>
        <w:t>89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>7.3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Análisis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fracciones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I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IV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artículo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92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LFCE</w:t>
      </w:r>
      <w:r w:rsidR="006F527C" w:rsidRPr="003A53A2">
        <w:rPr>
          <w:szCs w:val="18"/>
        </w:rPr>
        <w:tab/>
      </w:r>
      <w:r w:rsidRPr="003A53A2">
        <w:rPr>
          <w:szCs w:val="18"/>
        </w:rPr>
        <w:tab/>
        <w:t>90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>7.4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Trámite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procedimiento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simplificado</w:t>
      </w:r>
      <w:r w:rsidR="006F527C" w:rsidRPr="003A53A2">
        <w:rPr>
          <w:szCs w:val="18"/>
        </w:rPr>
        <w:tab/>
      </w:r>
      <w:r w:rsidRPr="003A53A2">
        <w:rPr>
          <w:szCs w:val="18"/>
        </w:rPr>
        <w:tab/>
        <w:t>92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Plazos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del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procedimiento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simplificado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(artículo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92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LFCE</w:t>
      </w:r>
      <w:r w:rsidR="00B95E2F">
        <w:rPr>
          <w:szCs w:val="18"/>
        </w:rPr>
        <w:t>)</w:t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ab/>
        <w:t>93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720"/>
        <w:rPr>
          <w:szCs w:val="18"/>
        </w:rPr>
      </w:pPr>
      <w:r w:rsidRPr="003A53A2">
        <w:rPr>
          <w:szCs w:val="18"/>
        </w:rPr>
        <w:t>8.</w:t>
      </w:r>
      <w:r w:rsidRPr="003A53A2">
        <w:rPr>
          <w:szCs w:val="18"/>
        </w:rPr>
        <w:tab/>
        <w:t>Concentraciones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reguladas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por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LFTR</w:t>
      </w:r>
      <w:r w:rsidR="006F527C" w:rsidRPr="003A53A2">
        <w:rPr>
          <w:szCs w:val="18"/>
        </w:rPr>
        <w:tab/>
      </w:r>
      <w:r w:rsidRPr="003A53A2">
        <w:rPr>
          <w:szCs w:val="18"/>
        </w:rPr>
        <w:tab/>
        <w:t>94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>8.1.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Trámites</w:t>
      </w:r>
      <w:r w:rsidR="006F527C" w:rsidRPr="003A53A2">
        <w:rPr>
          <w:szCs w:val="18"/>
        </w:rPr>
        <w:tab/>
      </w:r>
      <w:r w:rsidRPr="003A53A2">
        <w:rPr>
          <w:szCs w:val="18"/>
        </w:rPr>
        <w:tab/>
        <w:t>94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Arrendamiento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bandas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frecuencia</w:t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ab/>
        <w:t>98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Intercambio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bandas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frecuencia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del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espectro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radioeléctrico</w:t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ab/>
        <w:t>99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Suscripción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o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enajenación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acciones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o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partes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sociales</w:t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ab/>
        <w:t>100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>8.2.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Evaluación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materia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competencia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económica</w:t>
      </w:r>
      <w:r w:rsidR="006F527C" w:rsidRPr="003A53A2">
        <w:rPr>
          <w:szCs w:val="18"/>
        </w:rPr>
        <w:tab/>
      </w:r>
      <w:r w:rsidRPr="003A53A2">
        <w:rPr>
          <w:szCs w:val="18"/>
        </w:rPr>
        <w:tab/>
        <w:t>101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>8.3.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Licitaciones</w:t>
      </w:r>
      <w:r w:rsidR="006F527C" w:rsidRPr="003A53A2">
        <w:rPr>
          <w:szCs w:val="18"/>
        </w:rPr>
        <w:tab/>
      </w:r>
      <w:r w:rsidRPr="003A53A2">
        <w:rPr>
          <w:szCs w:val="18"/>
        </w:rPr>
        <w:tab/>
        <w:t>102</w:t>
      </w:r>
    </w:p>
    <w:p w:rsidR="00E82C85" w:rsidRPr="003A53A2" w:rsidRDefault="003A53A2" w:rsidP="007D5806">
      <w:pPr>
        <w:pStyle w:val="Texto"/>
        <w:tabs>
          <w:tab w:val="right" w:leader="dot" w:pos="7920"/>
          <w:tab w:val="left" w:pos="8460"/>
        </w:tabs>
        <w:spacing w:after="60"/>
        <w:ind w:left="1008" w:right="936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Opinión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en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materia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competencia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económica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sobre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las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Convocatorias,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las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Bases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otros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documentos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emitidos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por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el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IFT</w:t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ab/>
        <w:t>102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Evaluación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en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materia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económica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los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interesados</w:t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ab/>
        <w:t>103</w:t>
      </w:r>
    </w:p>
    <w:p w:rsidR="00E82C85" w:rsidRPr="003A53A2" w:rsidRDefault="00E82C85" w:rsidP="007D5806">
      <w:pPr>
        <w:pStyle w:val="Texto"/>
        <w:tabs>
          <w:tab w:val="right" w:leader="dot" w:pos="7920"/>
          <w:tab w:val="left" w:pos="8460"/>
        </w:tabs>
        <w:spacing w:after="60"/>
        <w:ind w:left="1008" w:right="936" w:hanging="432"/>
        <w:rPr>
          <w:szCs w:val="18"/>
        </w:rPr>
      </w:pPr>
      <w:r w:rsidRPr="003A53A2">
        <w:rPr>
          <w:szCs w:val="18"/>
        </w:rPr>
        <w:t>9.</w:t>
      </w:r>
      <w:r w:rsidRPr="003A53A2">
        <w:rPr>
          <w:szCs w:val="18"/>
        </w:rPr>
        <w:tab/>
        <w:t>Aviso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Concentración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términos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párrafos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primero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cuarto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Artículo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Noveno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Transitorio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Decreto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que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expidió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LFTR</w:t>
      </w:r>
      <w:r w:rsidR="006F527C" w:rsidRPr="003A53A2">
        <w:rPr>
          <w:szCs w:val="18"/>
        </w:rPr>
        <w:tab/>
      </w:r>
      <w:r w:rsidRPr="003A53A2">
        <w:rPr>
          <w:szCs w:val="18"/>
        </w:rPr>
        <w:tab/>
        <w:t>104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Aspectos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Generales</w:t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ab/>
        <w:t>104</w:t>
      </w:r>
    </w:p>
    <w:p w:rsidR="00E82C85" w:rsidRPr="003A53A2" w:rsidRDefault="003A53A2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ab/>
      </w:r>
      <w:r w:rsidR="00E82C85" w:rsidRPr="003A53A2">
        <w:rPr>
          <w:szCs w:val="18"/>
        </w:rPr>
        <w:t>Aviso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="00E82C85" w:rsidRPr="003A53A2">
        <w:rPr>
          <w:szCs w:val="18"/>
        </w:rPr>
        <w:t>Concentración</w:t>
      </w:r>
      <w:r w:rsidR="006F527C" w:rsidRPr="003A53A2">
        <w:rPr>
          <w:szCs w:val="18"/>
        </w:rPr>
        <w:tab/>
      </w:r>
      <w:r w:rsidR="00E82C85" w:rsidRPr="003A53A2">
        <w:rPr>
          <w:szCs w:val="18"/>
        </w:rPr>
        <w:tab/>
        <w:t>105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>9.1.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Requisitos</w:t>
      </w:r>
      <w:r w:rsidR="006F527C" w:rsidRPr="003A53A2">
        <w:rPr>
          <w:szCs w:val="18"/>
        </w:rPr>
        <w:tab/>
      </w:r>
      <w:r w:rsidRPr="003A53A2">
        <w:rPr>
          <w:szCs w:val="18"/>
        </w:rPr>
        <w:tab/>
        <w:t>106</w:t>
      </w:r>
    </w:p>
    <w:p w:rsidR="00E82C85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60"/>
        <w:ind w:left="1008" w:hanging="432"/>
        <w:rPr>
          <w:szCs w:val="18"/>
        </w:rPr>
      </w:pPr>
      <w:r w:rsidRPr="003A53A2">
        <w:rPr>
          <w:szCs w:val="18"/>
        </w:rPr>
        <w:t>9.2.</w:t>
      </w:r>
      <w:r w:rsidR="00F43082" w:rsidRPr="003A53A2">
        <w:rPr>
          <w:szCs w:val="18"/>
        </w:rPr>
        <w:t xml:space="preserve"> </w:t>
      </w:r>
      <w:r w:rsidR="003A53A2" w:rsidRPr="003A53A2">
        <w:rPr>
          <w:szCs w:val="18"/>
        </w:rPr>
        <w:tab/>
      </w:r>
      <w:r w:rsidRPr="003A53A2">
        <w:rPr>
          <w:szCs w:val="18"/>
        </w:rPr>
        <w:t>Procedimiento</w:t>
      </w:r>
      <w:r w:rsidR="006F527C" w:rsidRPr="003A53A2">
        <w:rPr>
          <w:szCs w:val="18"/>
        </w:rPr>
        <w:tab/>
      </w:r>
      <w:r w:rsidRPr="003A53A2">
        <w:rPr>
          <w:szCs w:val="18"/>
        </w:rPr>
        <w:tab/>
        <w:t>108</w:t>
      </w:r>
    </w:p>
    <w:p w:rsidR="00F43082" w:rsidRPr="003A53A2" w:rsidRDefault="00E82C85" w:rsidP="00B95E2F">
      <w:pPr>
        <w:pStyle w:val="Texto"/>
        <w:tabs>
          <w:tab w:val="right" w:leader="dot" w:pos="7920"/>
          <w:tab w:val="left" w:pos="8460"/>
        </w:tabs>
        <w:spacing w:after="80"/>
        <w:ind w:left="1008" w:hanging="720"/>
        <w:rPr>
          <w:szCs w:val="18"/>
        </w:rPr>
      </w:pPr>
      <w:r w:rsidRPr="003A53A2">
        <w:rPr>
          <w:szCs w:val="18"/>
        </w:rPr>
        <w:t>10.</w:t>
      </w:r>
      <w:r w:rsidRPr="003A53A2">
        <w:rPr>
          <w:szCs w:val="18"/>
        </w:rPr>
        <w:tab/>
        <w:t>Consultas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Solicitudes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opiniones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formales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orientación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general</w:t>
      </w:r>
      <w:r w:rsidR="006F527C" w:rsidRPr="003A53A2">
        <w:rPr>
          <w:szCs w:val="18"/>
        </w:rPr>
        <w:tab/>
      </w:r>
      <w:r w:rsidRPr="003A53A2">
        <w:rPr>
          <w:szCs w:val="18"/>
        </w:rPr>
        <w:tab/>
        <w:t>115</w:t>
      </w:r>
    </w:p>
    <w:p w:rsidR="00E82C85" w:rsidRPr="003A53A2" w:rsidRDefault="003A53A2" w:rsidP="003A53A2">
      <w:pPr>
        <w:pStyle w:val="Texto"/>
        <w:spacing w:after="100" w:line="250" w:lineRule="exact"/>
        <w:rPr>
          <w:b/>
          <w:szCs w:val="18"/>
        </w:rPr>
      </w:pPr>
      <w:r w:rsidRPr="003A53A2">
        <w:rPr>
          <w:b/>
          <w:szCs w:val="18"/>
        </w:rPr>
        <w:lastRenderedPageBreak/>
        <w:t>INTRODUCCIÓN</w:t>
      </w:r>
    </w:p>
    <w:p w:rsidR="00E82C85" w:rsidRPr="003A53A2" w:rsidRDefault="00E82C85" w:rsidP="003A53A2">
      <w:pPr>
        <w:pStyle w:val="Texto"/>
        <w:spacing w:after="100" w:line="250" w:lineRule="exact"/>
        <w:rPr>
          <w:szCs w:val="18"/>
        </w:rPr>
      </w:pPr>
      <w:r w:rsidRPr="003A53A2">
        <w:rPr>
          <w:szCs w:val="18"/>
        </w:rPr>
        <w:t>El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Instituto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Federal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Telecomunicaciones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(en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adelante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“Instituto”)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publica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Guía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para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Control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Concentraciones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sectores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telecomunicaciones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radiodifusión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(en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adelante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6618CF">
        <w:rPr>
          <w:szCs w:val="18"/>
        </w:rPr>
        <w:t xml:space="preserve"> </w:t>
      </w:r>
      <w:r w:rsidRPr="003A53A2">
        <w:rPr>
          <w:szCs w:val="18"/>
        </w:rPr>
        <w:t>“Guía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Concentraciones”)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que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presenta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información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orientación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general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no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vinculante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sobre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aplicación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controles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concentraciones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sectores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telecomunicaciones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radiodifusión.</w:t>
      </w:r>
    </w:p>
    <w:p w:rsidR="00E82C85" w:rsidRPr="003A53A2" w:rsidRDefault="00E82C85" w:rsidP="003A53A2">
      <w:pPr>
        <w:pStyle w:val="Texto"/>
        <w:spacing w:after="100" w:line="250" w:lineRule="exact"/>
        <w:rPr>
          <w:szCs w:val="18"/>
        </w:rPr>
      </w:pPr>
      <w:r w:rsidRPr="003A53A2">
        <w:rPr>
          <w:szCs w:val="18"/>
        </w:rPr>
        <w:t>Se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trata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un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documento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que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reúne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elementos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orientadores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para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agentes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económicos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sobre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algunos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conceptos,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procedimientos,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evaluación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resoluciones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materia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concentraciones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contenidos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CPEUM,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LFCE,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LFTR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precedentes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decisorios,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tanto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Instituto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como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Poder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Judicial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Federación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(en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adelante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“PJF”).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Estos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elementos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no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prejuzgan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ni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son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extensivos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otros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procedimientos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previstos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LFCE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LFTR.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Tampoco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son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vinculantes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para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IFT,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que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ejercerá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sus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facultades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análisis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decisión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cada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asunto.</w:t>
      </w:r>
    </w:p>
    <w:p w:rsidR="00E82C85" w:rsidRPr="003A53A2" w:rsidRDefault="00E82C85" w:rsidP="003A53A2">
      <w:pPr>
        <w:pStyle w:val="Texto"/>
        <w:spacing w:after="100" w:line="250" w:lineRule="exact"/>
        <w:rPr>
          <w:szCs w:val="18"/>
        </w:rPr>
      </w:pPr>
      <w:r w:rsidRPr="003A53A2">
        <w:rPr>
          <w:szCs w:val="18"/>
        </w:rPr>
        <w:t>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materia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concentraciones,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existe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derecho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constitucional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particulares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libre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asociación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realización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actividades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económicas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como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parte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derechos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individuales.</w:t>
      </w:r>
      <w:r w:rsidRPr="003A53A2">
        <w:rPr>
          <w:position w:val="6"/>
          <w:sz w:val="14"/>
          <w:szCs w:val="16"/>
        </w:rPr>
        <w:footnoteReference w:id="1"/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CPEUM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también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establece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facultad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cargo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Instituto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para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prevenir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y,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su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caso,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investigar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combatir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concentraciones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que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restrinjan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funcionamiento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eficiente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mercados</w:t>
      </w:r>
      <w:r w:rsidRPr="003A53A2">
        <w:rPr>
          <w:position w:val="6"/>
          <w:sz w:val="14"/>
          <w:szCs w:val="16"/>
        </w:rPr>
        <w:footnoteReference w:id="2"/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resulten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contrarias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interés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público.</w:t>
      </w:r>
      <w:r w:rsidRPr="003A53A2">
        <w:rPr>
          <w:position w:val="6"/>
          <w:sz w:val="14"/>
          <w:szCs w:val="16"/>
        </w:rPr>
        <w:footnoteReference w:id="3"/>
      </w:r>
    </w:p>
    <w:p w:rsidR="00E82C85" w:rsidRPr="003A53A2" w:rsidRDefault="00E82C85" w:rsidP="003A53A2">
      <w:pPr>
        <w:pStyle w:val="Texto"/>
        <w:spacing w:after="100" w:line="250" w:lineRule="exact"/>
        <w:rPr>
          <w:szCs w:val="18"/>
        </w:rPr>
      </w:pPr>
      <w:r w:rsidRPr="003A53A2">
        <w:rPr>
          <w:szCs w:val="18"/>
        </w:rPr>
        <w:t>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sectores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telecomunicaciones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radiodifusión,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Instituto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actúa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como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autoridad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competencia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económica,</w:t>
      </w:r>
      <w:r w:rsidRPr="003A53A2">
        <w:rPr>
          <w:position w:val="6"/>
          <w:sz w:val="14"/>
          <w:szCs w:val="16"/>
        </w:rPr>
        <w:footnoteReference w:id="4"/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por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cual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tiene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facultad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aplicar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controles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preventivos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(ex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ante)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posteriores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(ex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post)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concentraciones,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términos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dispuesto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CPEUM,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LFCE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LFTR.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esta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forma,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cuenta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especialización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capacidad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analizar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forma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integral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concentraciones,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través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criterios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procedimientos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convergentes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sujetos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simplificación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administrativa.</w:t>
      </w:r>
    </w:p>
    <w:p w:rsidR="00E82C85" w:rsidRPr="003A53A2" w:rsidRDefault="00E82C85" w:rsidP="003A53A2">
      <w:pPr>
        <w:pStyle w:val="Texto"/>
        <w:spacing w:after="100" w:line="250" w:lineRule="exact"/>
        <w:rPr>
          <w:szCs w:val="18"/>
        </w:rPr>
      </w:pP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LFCE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establece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diversas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definiciones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criterios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para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evaluar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concentraciones,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cuales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se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aplican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procedimientos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previstos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esa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ley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se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toman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como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referencia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analizar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asuntos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que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involucran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concentraciones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previstos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LFTR.</w:t>
      </w:r>
    </w:p>
    <w:p w:rsidR="00F43082" w:rsidRPr="003A53A2" w:rsidRDefault="00E82C85" w:rsidP="003A53A2">
      <w:pPr>
        <w:pStyle w:val="Texto"/>
        <w:spacing w:after="100" w:line="250" w:lineRule="exact"/>
      </w:pPr>
      <w:r w:rsidRPr="003A53A2">
        <w:rPr>
          <w:szCs w:val="18"/>
        </w:rPr>
        <w:t>Este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documento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susceptible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modificaciones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futuras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medida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que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legislación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criterios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que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guían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su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aplicación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cambien;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atención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interpretaciones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y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criterios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que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emitan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autoridades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competentes,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así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como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precedentes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PJF.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Asimismo,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esta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Guía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será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revisada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por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Instituto,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por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menos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cada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cinco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años,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conformidad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con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señalado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el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artículo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138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in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fine,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de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la</w:t>
      </w:r>
      <w:r w:rsidR="00F43082" w:rsidRPr="003A53A2">
        <w:rPr>
          <w:szCs w:val="18"/>
        </w:rPr>
        <w:t xml:space="preserve"> </w:t>
      </w:r>
      <w:r w:rsidRPr="003A53A2">
        <w:rPr>
          <w:szCs w:val="18"/>
        </w:rPr>
        <w:t>LFCE.</w:t>
      </w:r>
    </w:p>
    <w:p w:rsidR="00F43082" w:rsidRPr="003A53A2" w:rsidRDefault="00E82C85" w:rsidP="003A53A2">
      <w:pPr>
        <w:pStyle w:val="Texto"/>
        <w:spacing w:after="100" w:line="250" w:lineRule="exact"/>
      </w:pPr>
      <w:r w:rsidRPr="003A53A2">
        <w:t>La</w:t>
      </w:r>
      <w:r w:rsidR="00F43082" w:rsidRPr="003A53A2">
        <w:t xml:space="preserve"> </w:t>
      </w:r>
      <w:r w:rsidRPr="003A53A2">
        <w:t>Guía</w:t>
      </w:r>
      <w:r w:rsidR="00F43082" w:rsidRPr="003A53A2">
        <w:t xml:space="preserve"> </w:t>
      </w:r>
      <w:r w:rsidRPr="003A53A2">
        <w:t>para</w:t>
      </w:r>
      <w:r w:rsidR="00F43082" w:rsidRPr="003A53A2">
        <w:t xml:space="preserve"> </w:t>
      </w:r>
      <w:r w:rsidRPr="003A53A2">
        <w:t>el</w:t>
      </w:r>
      <w:r w:rsidR="00F43082" w:rsidRPr="003A53A2">
        <w:t xml:space="preserve"> </w:t>
      </w:r>
      <w:r w:rsidRPr="003A53A2">
        <w:t>Control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Concentraciones</w:t>
      </w:r>
      <w:r w:rsidR="00F43082" w:rsidRPr="003A53A2">
        <w:t xml:space="preserve"> </w:t>
      </w:r>
      <w:r w:rsidRPr="003A53A2">
        <w:t>en</w:t>
      </w:r>
      <w:r w:rsidR="00F43082" w:rsidRPr="003A53A2">
        <w:t xml:space="preserve"> </w:t>
      </w:r>
      <w:r w:rsidRPr="003A53A2">
        <w:t>los</w:t>
      </w:r>
      <w:r w:rsidR="00F43082" w:rsidRPr="003A53A2">
        <w:t xml:space="preserve"> </w:t>
      </w:r>
      <w:r w:rsidRPr="003A53A2">
        <w:t>sectores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telecomunicaciones</w:t>
      </w:r>
      <w:r w:rsidR="00F43082" w:rsidRPr="003A53A2">
        <w:t xml:space="preserve"> </w:t>
      </w:r>
      <w:r w:rsidRPr="003A53A2">
        <w:t>y</w:t>
      </w:r>
      <w:r w:rsidR="00F43082" w:rsidRPr="003A53A2">
        <w:t xml:space="preserve"> </w:t>
      </w:r>
      <w:r w:rsidRPr="003A53A2">
        <w:t>radiodifusión</w:t>
      </w:r>
      <w:r w:rsidR="00F43082" w:rsidRPr="003A53A2">
        <w:t xml:space="preserve"> </w:t>
      </w:r>
      <w:r w:rsidRPr="003A53A2">
        <w:t>consta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10</w:t>
      </w:r>
      <w:r w:rsidR="00F43082" w:rsidRPr="003A53A2">
        <w:t xml:space="preserve"> </w:t>
      </w:r>
      <w:r w:rsidRPr="003A53A2">
        <w:t>apartados</w:t>
      </w:r>
      <w:r w:rsidR="00F43082" w:rsidRPr="003A53A2">
        <w:t xml:space="preserve"> </w:t>
      </w:r>
      <w:r w:rsidRPr="003A53A2">
        <w:t>señalados</w:t>
      </w:r>
      <w:r w:rsidR="00F43082" w:rsidRPr="003A53A2">
        <w:t xml:space="preserve"> </w:t>
      </w:r>
      <w:r w:rsidRPr="003A53A2">
        <w:t>en</w:t>
      </w:r>
      <w:r w:rsidR="00F43082" w:rsidRPr="003A53A2">
        <w:t xml:space="preserve"> </w:t>
      </w:r>
      <w:r w:rsidRPr="003A53A2">
        <w:t>el</w:t>
      </w:r>
      <w:r w:rsidR="00F43082" w:rsidRPr="003A53A2">
        <w:t xml:space="preserve"> </w:t>
      </w:r>
      <w:r w:rsidRPr="003A53A2">
        <w:t>índice</w:t>
      </w:r>
      <w:r w:rsidR="00F43082" w:rsidRPr="003A53A2">
        <w:t xml:space="preserve"> </w:t>
      </w:r>
      <w:r w:rsidRPr="003A53A2">
        <w:t>que</w:t>
      </w:r>
      <w:r w:rsidR="00F43082" w:rsidRPr="003A53A2">
        <w:t xml:space="preserve"> </w:t>
      </w:r>
      <w:r w:rsidRPr="003A53A2">
        <w:t>aquí</w:t>
      </w:r>
      <w:r w:rsidR="00F43082" w:rsidRPr="003A53A2">
        <w:t xml:space="preserve"> </w:t>
      </w:r>
      <w:r w:rsidRPr="003A53A2">
        <w:t>se</w:t>
      </w:r>
      <w:r w:rsidR="00F43082" w:rsidRPr="003A53A2">
        <w:t xml:space="preserve"> </w:t>
      </w:r>
      <w:r w:rsidRPr="003A53A2">
        <w:t>transcribe,</w:t>
      </w:r>
      <w:r w:rsidR="00F43082" w:rsidRPr="003A53A2">
        <w:t xml:space="preserve"> </w:t>
      </w:r>
      <w:r w:rsidRPr="003A53A2">
        <w:t>al</w:t>
      </w:r>
      <w:r w:rsidR="00F43082" w:rsidRPr="003A53A2">
        <w:t xml:space="preserve"> </w:t>
      </w:r>
      <w:r w:rsidRPr="003A53A2">
        <w:t>mismo</w:t>
      </w:r>
      <w:r w:rsidR="00F43082" w:rsidRPr="003A53A2">
        <w:t xml:space="preserve"> </w:t>
      </w:r>
      <w:r w:rsidRPr="003A53A2">
        <w:t>tiempo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que</w:t>
      </w:r>
      <w:r w:rsidR="00F43082" w:rsidRPr="003A53A2">
        <w:t xml:space="preserve"> </w:t>
      </w:r>
      <w:r w:rsidRPr="003A53A2">
        <w:t>su</w:t>
      </w:r>
      <w:r w:rsidR="00F43082" w:rsidRPr="003A53A2">
        <w:t xml:space="preserve"> </w:t>
      </w:r>
      <w:r w:rsidRPr="003A53A2">
        <w:t>sección</w:t>
      </w:r>
      <w:r w:rsidR="00F43082" w:rsidRPr="003A53A2">
        <w:t xml:space="preserve"> </w:t>
      </w:r>
      <w:r w:rsidRPr="003A53A2">
        <w:t>introductoria</w:t>
      </w:r>
      <w:r w:rsidR="00F43082" w:rsidRPr="003A53A2">
        <w:t xml:space="preserve"> </w:t>
      </w:r>
      <w:r w:rsidRPr="003A53A2">
        <w:t>describe</w:t>
      </w:r>
      <w:r w:rsidR="00F43082" w:rsidRPr="003A53A2">
        <w:t xml:space="preserve"> </w:t>
      </w:r>
      <w:r w:rsidRPr="003A53A2">
        <w:t>brevemente</w:t>
      </w:r>
      <w:r w:rsidR="00F43082" w:rsidRPr="003A53A2">
        <w:t xml:space="preserve"> </w:t>
      </w:r>
      <w:r w:rsidRPr="003A53A2">
        <w:t>su</w:t>
      </w:r>
      <w:r w:rsidR="00F43082" w:rsidRPr="003A53A2">
        <w:t xml:space="preserve"> </w:t>
      </w:r>
      <w:r w:rsidRPr="003A53A2">
        <w:t>contenido</w:t>
      </w:r>
      <w:r w:rsidR="00F43082" w:rsidRPr="003A53A2">
        <w:t xml:space="preserve"> </w:t>
      </w:r>
      <w:r w:rsidRPr="003A53A2">
        <w:t>y</w:t>
      </w:r>
      <w:r w:rsidR="00F43082" w:rsidRPr="003A53A2">
        <w:t xml:space="preserve"> </w:t>
      </w:r>
      <w:r w:rsidRPr="003A53A2">
        <w:t>alcance</w:t>
      </w:r>
      <w:r w:rsidR="00F43082" w:rsidRPr="003A53A2">
        <w:t xml:space="preserve"> </w:t>
      </w:r>
      <w:r w:rsidRPr="003A53A2">
        <w:t>orientador.</w:t>
      </w:r>
    </w:p>
    <w:p w:rsidR="00E82C85" w:rsidRPr="003A53A2" w:rsidRDefault="00E82C85" w:rsidP="003A53A2">
      <w:pPr>
        <w:pStyle w:val="Texto"/>
        <w:spacing w:after="100" w:line="250" w:lineRule="exact"/>
      </w:pPr>
      <w:r w:rsidRPr="003A53A2">
        <w:rPr>
          <w:b/>
        </w:rPr>
        <w:t>El</w:t>
      </w:r>
      <w:r w:rsidR="00F43082" w:rsidRPr="003A53A2">
        <w:rPr>
          <w:b/>
        </w:rPr>
        <w:t xml:space="preserve"> </w:t>
      </w:r>
      <w:r w:rsidRPr="003A53A2">
        <w:rPr>
          <w:b/>
        </w:rPr>
        <w:t>documento</w:t>
      </w:r>
      <w:r w:rsidR="00F43082" w:rsidRPr="003A53A2">
        <w:rPr>
          <w:b/>
        </w:rPr>
        <w:t xml:space="preserve"> </w:t>
      </w:r>
      <w:r w:rsidRPr="003A53A2">
        <w:rPr>
          <w:b/>
        </w:rPr>
        <w:t>completo</w:t>
      </w:r>
      <w:r w:rsidR="00F43082" w:rsidRPr="003A53A2">
        <w:rPr>
          <w:b/>
        </w:rPr>
        <w:t xml:space="preserve"> </w:t>
      </w:r>
      <w:r w:rsidRPr="003A53A2">
        <w:rPr>
          <w:b/>
        </w:rPr>
        <w:t>se</w:t>
      </w:r>
      <w:r w:rsidR="00F43082" w:rsidRPr="003A53A2">
        <w:rPr>
          <w:b/>
        </w:rPr>
        <w:t xml:space="preserve"> </w:t>
      </w:r>
      <w:r w:rsidRPr="003A53A2">
        <w:rPr>
          <w:b/>
        </w:rPr>
        <w:t>encuentra</w:t>
      </w:r>
      <w:r w:rsidR="00F43082" w:rsidRPr="003A53A2">
        <w:rPr>
          <w:b/>
        </w:rPr>
        <w:t xml:space="preserve"> </w:t>
      </w:r>
      <w:r w:rsidRPr="003A53A2">
        <w:rPr>
          <w:b/>
        </w:rPr>
        <w:t>publicado</w:t>
      </w:r>
      <w:r w:rsidR="00F43082" w:rsidRPr="003A53A2">
        <w:rPr>
          <w:b/>
        </w:rPr>
        <w:t xml:space="preserve"> </w:t>
      </w:r>
      <w:r w:rsidRPr="003A53A2">
        <w:rPr>
          <w:b/>
        </w:rPr>
        <w:t>íntegramente</w:t>
      </w:r>
      <w:r w:rsidR="00F43082" w:rsidRPr="003A53A2">
        <w:rPr>
          <w:b/>
        </w:rPr>
        <w:t xml:space="preserve"> </w:t>
      </w:r>
      <w:r w:rsidRPr="003A53A2">
        <w:rPr>
          <w:b/>
        </w:rPr>
        <w:t>en</w:t>
      </w:r>
      <w:r w:rsidR="00F43082" w:rsidRPr="003A53A2">
        <w:rPr>
          <w:b/>
        </w:rPr>
        <w:t xml:space="preserve"> </w:t>
      </w:r>
      <w:r w:rsidRPr="003A53A2">
        <w:rPr>
          <w:b/>
        </w:rPr>
        <w:t>el</w:t>
      </w:r>
      <w:r w:rsidR="00F43082" w:rsidRPr="003A53A2">
        <w:rPr>
          <w:b/>
        </w:rPr>
        <w:t xml:space="preserve"> </w:t>
      </w:r>
      <w:r w:rsidRPr="003A53A2">
        <w:rPr>
          <w:b/>
        </w:rPr>
        <w:t>portal</w:t>
      </w:r>
      <w:r w:rsidR="00F43082" w:rsidRPr="003A53A2">
        <w:rPr>
          <w:b/>
        </w:rPr>
        <w:t xml:space="preserve"> </w:t>
      </w:r>
      <w:r w:rsidRPr="003A53A2">
        <w:rPr>
          <w:b/>
        </w:rPr>
        <w:t>de</w:t>
      </w:r>
      <w:r w:rsidR="00F43082" w:rsidRPr="003A53A2">
        <w:rPr>
          <w:b/>
        </w:rPr>
        <w:t xml:space="preserve"> </w:t>
      </w:r>
      <w:r w:rsidRPr="003A53A2">
        <w:rPr>
          <w:b/>
        </w:rPr>
        <w:t>Internet</w:t>
      </w:r>
      <w:r w:rsidR="00F43082" w:rsidRPr="003A53A2">
        <w:rPr>
          <w:b/>
        </w:rPr>
        <w:t xml:space="preserve"> </w:t>
      </w:r>
      <w:r w:rsidRPr="003A53A2">
        <w:rPr>
          <w:b/>
        </w:rPr>
        <w:t>del</w:t>
      </w:r>
      <w:r w:rsidR="00F43082" w:rsidRPr="003A53A2">
        <w:rPr>
          <w:b/>
        </w:rPr>
        <w:t xml:space="preserve"> </w:t>
      </w:r>
      <w:r w:rsidRPr="003A53A2">
        <w:rPr>
          <w:b/>
        </w:rPr>
        <w:t>Instituto:</w:t>
      </w:r>
      <w:r w:rsidR="00F43082" w:rsidRPr="003A53A2">
        <w:t xml:space="preserve"> </w:t>
      </w:r>
      <w:r w:rsidRPr="003A53A2">
        <w:rPr>
          <w:u w:val="single"/>
        </w:rPr>
        <w:t>www.ift.org.mx</w:t>
      </w:r>
      <w:r w:rsidR="00F43082" w:rsidRPr="003A53A2">
        <w:t xml:space="preserve"> </w:t>
      </w:r>
      <w:r w:rsidRPr="003A53A2">
        <w:t>En</w:t>
      </w:r>
      <w:r w:rsidR="00F43082" w:rsidRPr="003A53A2">
        <w:t xml:space="preserve"> </w:t>
      </w:r>
      <w:r w:rsidRPr="003A53A2">
        <w:t>este</w:t>
      </w:r>
      <w:r w:rsidR="00F43082" w:rsidRPr="003A53A2">
        <w:t xml:space="preserve"> </w:t>
      </w:r>
      <w:r w:rsidRPr="003A53A2">
        <w:t>sitio</w:t>
      </w:r>
      <w:r w:rsidR="00F43082" w:rsidRPr="003A53A2">
        <w:t xml:space="preserve"> </w:t>
      </w:r>
      <w:r w:rsidRPr="003A53A2">
        <w:t>también</w:t>
      </w:r>
      <w:r w:rsidR="00F43082" w:rsidRPr="003A53A2">
        <w:t xml:space="preserve"> </w:t>
      </w:r>
      <w:r w:rsidRPr="003A53A2">
        <w:t>se</w:t>
      </w:r>
      <w:r w:rsidR="00F43082" w:rsidRPr="003A53A2">
        <w:t xml:space="preserve"> </w:t>
      </w:r>
      <w:r w:rsidRPr="003A53A2">
        <w:t>encuentra</w:t>
      </w:r>
      <w:r w:rsidR="00F43082" w:rsidRPr="003A53A2">
        <w:t xml:space="preserve"> </w:t>
      </w:r>
      <w:r w:rsidRPr="003A53A2">
        <w:t>publicado</w:t>
      </w:r>
      <w:r w:rsidR="00F43082" w:rsidRPr="003A53A2">
        <w:t xml:space="preserve"> </w:t>
      </w:r>
      <w:r w:rsidRPr="003A53A2">
        <w:t>el</w:t>
      </w:r>
      <w:r w:rsidR="00F43082" w:rsidRPr="003A53A2">
        <w:t xml:space="preserve"> </w:t>
      </w:r>
      <w:r w:rsidRPr="003A53A2">
        <w:t>ACUERDO</w:t>
      </w:r>
      <w:r w:rsidR="00F43082" w:rsidRPr="003A53A2">
        <w:t xml:space="preserve"> </w:t>
      </w:r>
      <w:r w:rsidRPr="003A53A2">
        <w:t>MEDIANTE</w:t>
      </w:r>
      <w:r w:rsidR="00F43082" w:rsidRPr="003A53A2">
        <w:t xml:space="preserve"> </w:t>
      </w:r>
      <w:r w:rsidRPr="003A53A2">
        <w:t>EL</w:t>
      </w:r>
      <w:r w:rsidR="00F43082" w:rsidRPr="003A53A2">
        <w:t xml:space="preserve"> </w:t>
      </w:r>
      <w:r w:rsidRPr="003A53A2">
        <w:t>CUAL</w:t>
      </w:r>
      <w:r w:rsidR="00F43082" w:rsidRPr="003A53A2">
        <w:t xml:space="preserve"> </w:t>
      </w:r>
      <w:r w:rsidRPr="003A53A2">
        <w:t>EL</w:t>
      </w:r>
      <w:r w:rsidR="00F43082" w:rsidRPr="003A53A2">
        <w:t xml:space="preserve"> </w:t>
      </w:r>
      <w:r w:rsidRPr="003A53A2">
        <w:t>PLENO</w:t>
      </w:r>
      <w:r w:rsidR="00F43082" w:rsidRPr="003A53A2">
        <w:t xml:space="preserve"> </w:t>
      </w:r>
      <w:r w:rsidRPr="003A53A2">
        <w:t>DEL</w:t>
      </w:r>
      <w:r w:rsidR="00F43082" w:rsidRPr="003A53A2">
        <w:t xml:space="preserve"> </w:t>
      </w:r>
      <w:r w:rsidRPr="003A53A2">
        <w:t>INSTITUTO</w:t>
      </w:r>
      <w:r w:rsidR="00F43082" w:rsidRPr="003A53A2">
        <w:t xml:space="preserve"> </w:t>
      </w:r>
      <w:r w:rsidRPr="003A53A2">
        <w:t>FEDERAL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TELECOMUNICACIONES</w:t>
      </w:r>
      <w:r w:rsidR="00F43082" w:rsidRPr="003A53A2">
        <w:t xml:space="preserve"> </w:t>
      </w:r>
      <w:r w:rsidRPr="003A53A2">
        <w:t>EXPIDE</w:t>
      </w:r>
      <w:r w:rsidR="00F43082" w:rsidRPr="003A53A2">
        <w:t xml:space="preserve"> </w:t>
      </w:r>
      <w:r w:rsidRPr="003A53A2">
        <w:t>LA</w:t>
      </w:r>
      <w:r w:rsidR="00F43082" w:rsidRPr="003A53A2">
        <w:t xml:space="preserve"> </w:t>
      </w:r>
      <w:r w:rsidRPr="003A53A2">
        <w:t>GUÍA</w:t>
      </w:r>
      <w:r w:rsidR="00F43082" w:rsidRPr="003A53A2">
        <w:t xml:space="preserve"> </w:t>
      </w:r>
      <w:r w:rsidRPr="003A53A2">
        <w:t>PARA</w:t>
      </w:r>
      <w:r w:rsidR="00F43082" w:rsidRPr="003A53A2">
        <w:t xml:space="preserve"> </w:t>
      </w:r>
      <w:r w:rsidRPr="003A53A2">
        <w:t>EL</w:t>
      </w:r>
      <w:r w:rsidR="00F43082" w:rsidRPr="003A53A2">
        <w:t xml:space="preserve"> </w:t>
      </w:r>
      <w:r w:rsidRPr="003A53A2">
        <w:t>CONTROL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CONCENTRACIONES</w:t>
      </w:r>
      <w:r w:rsidR="00F43082" w:rsidRPr="003A53A2">
        <w:t xml:space="preserve"> </w:t>
      </w:r>
      <w:r w:rsidRPr="003A53A2">
        <w:t>EN</w:t>
      </w:r>
      <w:r w:rsidR="00F43082" w:rsidRPr="003A53A2">
        <w:t xml:space="preserve"> </w:t>
      </w:r>
      <w:r w:rsidRPr="003A53A2">
        <w:t>LOS</w:t>
      </w:r>
      <w:r w:rsidR="00F43082" w:rsidRPr="003A53A2">
        <w:t xml:space="preserve"> </w:t>
      </w:r>
      <w:r w:rsidRPr="003A53A2">
        <w:t>SECTORES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TELECOMUNICACIONES</w:t>
      </w:r>
      <w:r w:rsidR="00F43082" w:rsidRPr="003A53A2">
        <w:t xml:space="preserve"> </w:t>
      </w:r>
      <w:r w:rsidRPr="003A53A2">
        <w:t>Y</w:t>
      </w:r>
      <w:r w:rsidR="00F43082" w:rsidRPr="003A53A2">
        <w:t xml:space="preserve"> </w:t>
      </w:r>
      <w:r w:rsidRPr="003A53A2">
        <w:t>RADIODIFUSIÓN,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fecha</w:t>
      </w:r>
      <w:r w:rsidR="00F43082" w:rsidRPr="003A53A2">
        <w:t xml:space="preserve"> </w:t>
      </w:r>
      <w:r w:rsidRPr="003A53A2">
        <w:t>veintiocho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junio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2017.</w:t>
      </w:r>
    </w:p>
    <w:p w:rsidR="00F43082" w:rsidRPr="003A53A2" w:rsidRDefault="00E82C85" w:rsidP="003A53A2">
      <w:pPr>
        <w:pStyle w:val="Texto"/>
        <w:spacing w:after="100" w:line="250" w:lineRule="exact"/>
      </w:pPr>
      <w:r w:rsidRPr="003A53A2">
        <w:t>Así</w:t>
      </w:r>
      <w:r w:rsidR="00F43082" w:rsidRPr="003A53A2">
        <w:t xml:space="preserve"> </w:t>
      </w:r>
      <w:r w:rsidRPr="003A53A2">
        <w:t>lo</w:t>
      </w:r>
      <w:r w:rsidR="00F43082" w:rsidRPr="003A53A2">
        <w:t xml:space="preserve"> </w:t>
      </w:r>
      <w:r w:rsidRPr="003A53A2">
        <w:t>firma</w:t>
      </w:r>
      <w:r w:rsidR="00F43082" w:rsidRPr="003A53A2">
        <w:t xml:space="preserve"> </w:t>
      </w:r>
      <w:r w:rsidRPr="003A53A2">
        <w:t>la</w:t>
      </w:r>
      <w:r w:rsidR="00F43082" w:rsidRPr="003A53A2">
        <w:t xml:space="preserve"> </w:t>
      </w:r>
      <w:r w:rsidRPr="003A53A2">
        <w:t>Titular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la</w:t>
      </w:r>
      <w:r w:rsidR="00F43082" w:rsidRPr="003A53A2">
        <w:t xml:space="preserve"> </w:t>
      </w:r>
      <w:r w:rsidRPr="003A53A2">
        <w:t>Unidad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Competencia</w:t>
      </w:r>
      <w:r w:rsidR="00F43082" w:rsidRPr="003A53A2">
        <w:t xml:space="preserve"> </w:t>
      </w:r>
      <w:r w:rsidRPr="003A53A2">
        <w:t>Económica</w:t>
      </w:r>
      <w:r w:rsidR="00F43082" w:rsidRPr="003A53A2">
        <w:t xml:space="preserve"> </w:t>
      </w:r>
      <w:r w:rsidRPr="003A53A2">
        <w:t>del</w:t>
      </w:r>
      <w:r w:rsidR="00F43082" w:rsidRPr="003A53A2">
        <w:t xml:space="preserve"> </w:t>
      </w:r>
      <w:r w:rsidRPr="003A53A2">
        <w:t>Instituto</w:t>
      </w:r>
      <w:r w:rsidR="00F43082" w:rsidRPr="003A53A2">
        <w:t xml:space="preserve"> </w:t>
      </w:r>
      <w:r w:rsidRPr="003A53A2">
        <w:t>Federal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Telecomunicaciones</w:t>
      </w:r>
      <w:r w:rsidR="00F43082" w:rsidRPr="003A53A2">
        <w:t xml:space="preserve"> </w:t>
      </w:r>
      <w:r w:rsidRPr="003A53A2">
        <w:t>en</w:t>
      </w:r>
      <w:r w:rsidR="00F43082" w:rsidRPr="003A53A2">
        <w:t xml:space="preserve"> </w:t>
      </w:r>
      <w:r w:rsidRPr="003A53A2">
        <w:t>la</w:t>
      </w:r>
      <w:r w:rsidR="00F43082" w:rsidRPr="003A53A2">
        <w:t xml:space="preserve"> </w:t>
      </w:r>
      <w:r w:rsidRPr="003A53A2">
        <w:t>Ciudad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México,</w:t>
      </w:r>
      <w:r w:rsidR="00F43082" w:rsidRPr="003A53A2">
        <w:t xml:space="preserve"> </w:t>
      </w:r>
      <w:r w:rsidRPr="003A53A2">
        <w:t>a</w:t>
      </w:r>
      <w:r w:rsidR="00F43082" w:rsidRPr="003A53A2">
        <w:t xml:space="preserve"> </w:t>
      </w:r>
      <w:r w:rsidRPr="003A53A2">
        <w:t>10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julio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2017,</w:t>
      </w:r>
      <w:r w:rsidR="00F43082" w:rsidRPr="003A53A2">
        <w:t xml:space="preserve"> </w:t>
      </w:r>
      <w:r w:rsidRPr="003A53A2">
        <w:t>con</w:t>
      </w:r>
      <w:r w:rsidR="00F43082" w:rsidRPr="003A53A2">
        <w:t xml:space="preserve"> </w:t>
      </w:r>
      <w:r w:rsidRPr="003A53A2">
        <w:t>fundamento</w:t>
      </w:r>
      <w:r w:rsidR="00F43082" w:rsidRPr="003A53A2">
        <w:t xml:space="preserve"> </w:t>
      </w:r>
      <w:r w:rsidRPr="003A53A2">
        <w:t>en</w:t>
      </w:r>
      <w:r w:rsidR="00F43082" w:rsidRPr="003A53A2">
        <w:t xml:space="preserve"> </w:t>
      </w:r>
      <w:r w:rsidRPr="003A53A2">
        <w:t>los</w:t>
      </w:r>
      <w:r w:rsidR="00F43082" w:rsidRPr="003A53A2">
        <w:t xml:space="preserve"> </w:t>
      </w:r>
      <w:r w:rsidRPr="003A53A2">
        <w:t>artículos</w:t>
      </w:r>
      <w:r w:rsidR="00F43082" w:rsidRPr="003A53A2">
        <w:t xml:space="preserve"> </w:t>
      </w:r>
      <w:r w:rsidRPr="003A53A2">
        <w:t>4,</w:t>
      </w:r>
      <w:r w:rsidR="00F43082" w:rsidRPr="003A53A2">
        <w:t xml:space="preserve"> </w:t>
      </w:r>
      <w:r w:rsidRPr="003A53A2">
        <w:t>fracción</w:t>
      </w:r>
      <w:r w:rsidR="00F43082" w:rsidRPr="003A53A2">
        <w:t xml:space="preserve"> </w:t>
      </w:r>
      <w:r w:rsidRPr="003A53A2">
        <w:t>V,</w:t>
      </w:r>
      <w:r w:rsidR="00F43082" w:rsidRPr="003A53A2">
        <w:t xml:space="preserve"> </w:t>
      </w:r>
      <w:r w:rsidRPr="003A53A2">
        <w:t>inciso</w:t>
      </w:r>
      <w:r w:rsidR="00F43082" w:rsidRPr="003A53A2">
        <w:t xml:space="preserve"> </w:t>
      </w:r>
      <w:r w:rsidRPr="003A53A2">
        <w:t>vi),</w:t>
      </w:r>
      <w:r w:rsidR="00F43082" w:rsidRPr="003A53A2">
        <w:t xml:space="preserve"> </w:t>
      </w:r>
      <w:r w:rsidRPr="003A53A2">
        <w:t>19,</w:t>
      </w:r>
      <w:r w:rsidR="00F43082" w:rsidRPr="003A53A2">
        <w:t xml:space="preserve"> </w:t>
      </w:r>
      <w:r w:rsidRPr="003A53A2">
        <w:t>párrafo</w:t>
      </w:r>
      <w:r w:rsidR="00F43082" w:rsidRPr="003A53A2">
        <w:t xml:space="preserve"> </w:t>
      </w:r>
      <w:r w:rsidRPr="003A53A2">
        <w:t>primero,</w:t>
      </w:r>
      <w:r w:rsidR="00F43082" w:rsidRPr="003A53A2">
        <w:t xml:space="preserve"> </w:t>
      </w:r>
      <w:r w:rsidRPr="003A53A2">
        <w:t>fracción</w:t>
      </w:r>
      <w:r w:rsidR="00F43082" w:rsidRPr="003A53A2">
        <w:t xml:space="preserve"> </w:t>
      </w:r>
      <w:r w:rsidRPr="003A53A2">
        <w:t>XV,</w:t>
      </w:r>
      <w:r w:rsidR="00F43082" w:rsidRPr="003A53A2">
        <w:t xml:space="preserve"> </w:t>
      </w:r>
      <w:r w:rsidRPr="003A53A2">
        <w:t>20,</w:t>
      </w:r>
      <w:r w:rsidR="00F43082" w:rsidRPr="003A53A2">
        <w:t xml:space="preserve"> </w:t>
      </w:r>
      <w:r w:rsidRPr="003A53A2">
        <w:t>fracción</w:t>
      </w:r>
      <w:r w:rsidR="00F43082" w:rsidRPr="003A53A2">
        <w:t xml:space="preserve"> </w:t>
      </w:r>
      <w:r w:rsidRPr="003A53A2">
        <w:t>X,</w:t>
      </w:r>
      <w:r w:rsidR="00F43082" w:rsidRPr="003A53A2">
        <w:t xml:space="preserve"> </w:t>
      </w:r>
      <w:r w:rsidRPr="003A53A2">
        <w:t>46,</w:t>
      </w:r>
      <w:r w:rsidR="00F43082" w:rsidRPr="003A53A2">
        <w:t xml:space="preserve"> </w:t>
      </w:r>
      <w:r w:rsidRPr="003A53A2">
        <w:t>párrafo</w:t>
      </w:r>
      <w:r w:rsidR="00F43082" w:rsidRPr="003A53A2">
        <w:t xml:space="preserve"> </w:t>
      </w:r>
      <w:r w:rsidRPr="003A53A2">
        <w:t>primero,</w:t>
      </w:r>
      <w:r w:rsidR="00F43082" w:rsidRPr="003A53A2">
        <w:t xml:space="preserve"> </w:t>
      </w:r>
      <w:r w:rsidRPr="003A53A2">
        <w:t>47,</w:t>
      </w:r>
      <w:r w:rsidR="00F43082" w:rsidRPr="003A53A2">
        <w:t xml:space="preserve"> </w:t>
      </w:r>
      <w:r w:rsidRPr="003A53A2">
        <w:t>párrafo</w:t>
      </w:r>
      <w:r w:rsidR="00F43082" w:rsidRPr="003A53A2">
        <w:t xml:space="preserve"> </w:t>
      </w:r>
      <w:r w:rsidRPr="003A53A2">
        <w:t>primero,</w:t>
      </w:r>
      <w:r w:rsidR="00F43082" w:rsidRPr="003A53A2">
        <w:t xml:space="preserve"> </w:t>
      </w:r>
      <w:r w:rsidRPr="003A53A2">
        <w:t>fracciones</w:t>
      </w:r>
      <w:r w:rsidR="00F43082" w:rsidRPr="003A53A2">
        <w:t xml:space="preserve"> </w:t>
      </w:r>
      <w:r w:rsidRPr="003A53A2">
        <w:t>VI</w:t>
      </w:r>
      <w:r w:rsidR="00F43082" w:rsidRPr="003A53A2">
        <w:t xml:space="preserve"> </w:t>
      </w:r>
      <w:r w:rsidRPr="003A53A2">
        <w:t>y</w:t>
      </w:r>
      <w:r w:rsidR="00F43082" w:rsidRPr="003A53A2">
        <w:t xml:space="preserve"> </w:t>
      </w:r>
      <w:r w:rsidRPr="003A53A2">
        <w:t>VIII</w:t>
      </w:r>
      <w:r w:rsidR="00F43082" w:rsidRPr="003A53A2">
        <w:t xml:space="preserve"> </w:t>
      </w:r>
      <w:r w:rsidRPr="003A53A2">
        <w:t>del</w:t>
      </w:r>
      <w:r w:rsidR="00F43082" w:rsidRPr="003A53A2">
        <w:t xml:space="preserve"> </w:t>
      </w:r>
      <w:r w:rsidRPr="003A53A2">
        <w:t>Estatuto</w:t>
      </w:r>
      <w:r w:rsidR="00F43082" w:rsidRPr="003A53A2">
        <w:t xml:space="preserve"> </w:t>
      </w:r>
      <w:r w:rsidRPr="003A53A2">
        <w:t>Orgánico</w:t>
      </w:r>
      <w:r w:rsidR="00F43082" w:rsidRPr="003A53A2">
        <w:t xml:space="preserve"> </w:t>
      </w:r>
      <w:r w:rsidRPr="003A53A2">
        <w:t>del</w:t>
      </w:r>
      <w:r w:rsidR="00F43082" w:rsidRPr="003A53A2">
        <w:t xml:space="preserve"> </w:t>
      </w:r>
      <w:r w:rsidRPr="003A53A2">
        <w:t>Instituto</w:t>
      </w:r>
      <w:r w:rsidR="00F43082" w:rsidRPr="003A53A2">
        <w:t xml:space="preserve"> </w:t>
      </w:r>
      <w:r w:rsidRPr="003A53A2">
        <w:t>Federal</w:t>
      </w:r>
      <w:r w:rsidR="00F43082" w:rsidRPr="003A53A2">
        <w:t xml:space="preserve"> </w:t>
      </w:r>
      <w:r w:rsidRPr="003A53A2">
        <w:t>de</w:t>
      </w:r>
      <w:r w:rsidR="00F43082" w:rsidRPr="003A53A2">
        <w:t xml:space="preserve"> </w:t>
      </w:r>
      <w:r w:rsidRPr="003A53A2">
        <w:t>Telecomunicaciones.</w:t>
      </w:r>
    </w:p>
    <w:p w:rsidR="006618CF" w:rsidRDefault="003A53A2" w:rsidP="003A53A2">
      <w:pPr>
        <w:pStyle w:val="Texto"/>
        <w:spacing w:after="100" w:line="250" w:lineRule="exact"/>
      </w:pPr>
      <w:r w:rsidRPr="003A53A2">
        <w:t xml:space="preserve">La </w:t>
      </w:r>
      <w:r w:rsidR="00F43082" w:rsidRPr="003A53A2">
        <w:t>Titular de la Unidad de Competencia Económica</w:t>
      </w:r>
      <w:r w:rsidRPr="003A53A2">
        <w:t xml:space="preserve">, </w:t>
      </w:r>
      <w:r w:rsidR="00E82C85" w:rsidRPr="003A53A2">
        <w:rPr>
          <w:b/>
        </w:rPr>
        <w:t>Georgina</w:t>
      </w:r>
      <w:r w:rsidR="00F43082" w:rsidRPr="003A53A2">
        <w:rPr>
          <w:b/>
        </w:rPr>
        <w:t xml:space="preserve"> </w:t>
      </w:r>
      <w:r w:rsidR="00E82C85" w:rsidRPr="003A53A2">
        <w:rPr>
          <w:b/>
        </w:rPr>
        <w:t>K.</w:t>
      </w:r>
      <w:r w:rsidR="00F43082" w:rsidRPr="003A53A2">
        <w:rPr>
          <w:b/>
        </w:rPr>
        <w:t xml:space="preserve"> </w:t>
      </w:r>
      <w:r w:rsidR="00E82C85" w:rsidRPr="003A53A2">
        <w:rPr>
          <w:b/>
        </w:rPr>
        <w:t>Santiago</w:t>
      </w:r>
      <w:r w:rsidR="00F43082" w:rsidRPr="003A53A2">
        <w:rPr>
          <w:b/>
        </w:rPr>
        <w:t xml:space="preserve"> </w:t>
      </w:r>
      <w:r w:rsidR="00E82C85" w:rsidRPr="003A53A2">
        <w:rPr>
          <w:b/>
        </w:rPr>
        <w:t>Gatica</w:t>
      </w:r>
      <w:r w:rsidRPr="003A53A2">
        <w:t>.- Rúbrica.</w:t>
      </w:r>
    </w:p>
    <w:sectPr w:rsidR="006618CF" w:rsidSect="00784B5D">
      <w:headerReference w:type="even" r:id="rId7"/>
      <w:headerReference w:type="default" r:id="rId8"/>
      <w:pgSz w:w="12240" w:h="15840" w:code="1"/>
      <w:pgMar w:top="1152" w:right="1699" w:bottom="1296" w:left="1699" w:header="706" w:footer="706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0D9" w:rsidRDefault="004430D9">
      <w:r>
        <w:separator/>
      </w:r>
    </w:p>
  </w:endnote>
  <w:endnote w:type="continuationSeparator" w:id="0">
    <w:p w:rsidR="004430D9" w:rsidRDefault="0044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Palacio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A Avant Gar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0D9" w:rsidRDefault="004430D9">
      <w:r>
        <w:separator/>
      </w:r>
    </w:p>
  </w:footnote>
  <w:footnote w:type="continuationSeparator" w:id="0">
    <w:p w:rsidR="004430D9" w:rsidRDefault="004430D9">
      <w:r>
        <w:continuationSeparator/>
      </w:r>
    </w:p>
  </w:footnote>
  <w:footnote w:id="1">
    <w:p w:rsidR="006F527C" w:rsidRPr="003A53A2" w:rsidRDefault="006F527C">
      <w:pPr>
        <w:pStyle w:val="Textonotapie"/>
        <w:rPr>
          <w:rFonts w:ascii="Arial" w:hAnsi="Arial" w:cs="Arial"/>
          <w:sz w:val="14"/>
          <w:szCs w:val="14"/>
        </w:rPr>
      </w:pPr>
      <w:r w:rsidRPr="003A53A2">
        <w:rPr>
          <w:rFonts w:ascii="Arial" w:hAnsi="Arial" w:cs="Arial"/>
          <w:position w:val="6"/>
          <w:sz w:val="14"/>
          <w:szCs w:val="14"/>
        </w:rPr>
        <w:footnoteRef/>
      </w:r>
      <w:r w:rsidRPr="003A53A2">
        <w:rPr>
          <w:rFonts w:ascii="Arial" w:hAnsi="Arial" w:cs="Arial"/>
          <w:sz w:val="14"/>
          <w:szCs w:val="14"/>
        </w:rPr>
        <w:t xml:space="preserve"> </w:t>
      </w:r>
      <w:r w:rsidRPr="003A53A2">
        <w:rPr>
          <w:rFonts w:ascii="Arial" w:hAnsi="Arial" w:cs="Arial"/>
          <w:sz w:val="14"/>
          <w:szCs w:val="14"/>
          <w:lang w:val="es-MX"/>
        </w:rPr>
        <w:t xml:space="preserve">Artículo 5°, primer párrafo, de la CPEUM. </w:t>
      </w:r>
    </w:p>
  </w:footnote>
  <w:footnote w:id="2">
    <w:p w:rsidR="006F527C" w:rsidRPr="003A53A2" w:rsidRDefault="006F527C">
      <w:pPr>
        <w:pStyle w:val="Textonotapie"/>
        <w:rPr>
          <w:rFonts w:ascii="Arial" w:hAnsi="Arial" w:cs="Arial"/>
          <w:sz w:val="14"/>
          <w:szCs w:val="14"/>
        </w:rPr>
      </w:pPr>
      <w:r w:rsidRPr="003A53A2">
        <w:rPr>
          <w:rFonts w:ascii="Arial" w:hAnsi="Arial" w:cs="Arial"/>
          <w:position w:val="6"/>
          <w:sz w:val="14"/>
          <w:szCs w:val="14"/>
        </w:rPr>
        <w:footnoteRef/>
      </w:r>
      <w:r w:rsidRPr="003A53A2">
        <w:rPr>
          <w:rFonts w:ascii="Arial" w:hAnsi="Arial" w:cs="Arial"/>
          <w:sz w:val="14"/>
          <w:szCs w:val="14"/>
        </w:rPr>
        <w:t xml:space="preserve"> El artículo 28, párrafo segundo, de la CPEUM textualmente señala: “En consecuencia, la ley castigará severamente, y las autoridades perseguirán con eficacia, toda concentración o acaparamiento en una o pocas manos de artículos de consumo necesario y que tenga por objeto obtener el alza de los precios; todo acuerdo, procedimiento o combinación de los productores, industriales, comerciantes o empresarios de servicios, que de cualquier manera hagan, para evitar la libre concurrencia o la competencia entre sí o para obligar a los consumidores a pagar precios exagerados y, en general, todo lo que constituya una ventaja exclusiva indebida a favor de una o varias personas determinadas y con perjuicio del público en general o de alguna clase social.”</w:t>
      </w:r>
    </w:p>
  </w:footnote>
  <w:footnote w:id="3">
    <w:p w:rsidR="006F527C" w:rsidRPr="003A53A2" w:rsidRDefault="006F527C">
      <w:pPr>
        <w:pStyle w:val="Textonotapie"/>
        <w:rPr>
          <w:rFonts w:ascii="Arial" w:hAnsi="Arial" w:cs="Arial"/>
          <w:sz w:val="14"/>
          <w:szCs w:val="14"/>
        </w:rPr>
      </w:pPr>
      <w:r w:rsidRPr="003A53A2">
        <w:rPr>
          <w:rFonts w:ascii="Arial" w:hAnsi="Arial" w:cs="Arial"/>
          <w:position w:val="6"/>
          <w:sz w:val="14"/>
          <w:szCs w:val="14"/>
        </w:rPr>
        <w:footnoteRef/>
      </w:r>
      <w:r w:rsidRPr="003A53A2">
        <w:rPr>
          <w:rFonts w:ascii="Arial" w:hAnsi="Arial" w:cs="Arial"/>
          <w:sz w:val="14"/>
          <w:szCs w:val="14"/>
        </w:rPr>
        <w:t xml:space="preserve"> Artículos 28, párrafos undécimo, decimocuarto y decimosexto, de la CPEUM. </w:t>
      </w:r>
    </w:p>
  </w:footnote>
  <w:footnote w:id="4">
    <w:p w:rsidR="006F527C" w:rsidRPr="003A53A2" w:rsidRDefault="006F527C">
      <w:pPr>
        <w:pStyle w:val="Textonotapie"/>
        <w:rPr>
          <w:rFonts w:ascii="Arial" w:hAnsi="Arial" w:cs="Arial"/>
          <w:sz w:val="14"/>
          <w:szCs w:val="14"/>
        </w:rPr>
      </w:pPr>
      <w:r w:rsidRPr="003A53A2">
        <w:rPr>
          <w:rFonts w:ascii="Arial" w:hAnsi="Arial" w:cs="Arial"/>
          <w:position w:val="6"/>
          <w:sz w:val="14"/>
          <w:szCs w:val="14"/>
        </w:rPr>
        <w:footnoteRef/>
      </w:r>
      <w:r w:rsidRPr="003A53A2">
        <w:rPr>
          <w:rFonts w:ascii="Arial" w:hAnsi="Arial" w:cs="Arial"/>
          <w:sz w:val="14"/>
          <w:szCs w:val="14"/>
        </w:rPr>
        <w:t xml:space="preserve"> Artículos 28, párrafo decimosexto, de la CPEUM; 5, párrafo primero, de la LFCE y 7, párrafo tercero, de la LFTR.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27C" w:rsidRPr="006618CF" w:rsidRDefault="00784B5D" w:rsidP="008303AB">
    <w:pPr>
      <w:pStyle w:val="Fechas"/>
      <w:rPr>
        <w:rFonts w:cs="Times New Roman"/>
      </w:rPr>
    </w:pPr>
    <w:r w:rsidRPr="006618CF">
      <w:rPr>
        <w:rFonts w:cs="Times New Roman"/>
      </w:rPr>
      <w:t>(Segunda Sección)</w:t>
    </w:r>
    <w:r w:rsidR="006F527C" w:rsidRPr="006618CF">
      <w:rPr>
        <w:rFonts w:cs="Times New Roman"/>
      </w:rPr>
      <w:tab/>
      <w:t>DIARIO OFICIAL</w:t>
    </w:r>
    <w:r w:rsidR="006F527C" w:rsidRPr="006618CF">
      <w:rPr>
        <w:rFonts w:cs="Times New Roman"/>
      </w:rPr>
      <w:tab/>
    </w:r>
    <w:proofErr w:type="gramStart"/>
    <w:r w:rsidR="006F527C" w:rsidRPr="006618CF">
      <w:rPr>
        <w:rFonts w:cs="Times New Roman"/>
      </w:rPr>
      <w:t>Martes</w:t>
    </w:r>
    <w:proofErr w:type="gramEnd"/>
    <w:r w:rsidR="006F527C" w:rsidRPr="006618CF">
      <w:rPr>
        <w:rFonts w:cs="Times New Roman"/>
      </w:rPr>
      <w:t xml:space="preserve"> 15 de agosto de 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27C" w:rsidRPr="006618CF" w:rsidRDefault="006F527C" w:rsidP="008303AB">
    <w:pPr>
      <w:pStyle w:val="Fechas"/>
      <w:rPr>
        <w:rFonts w:cs="Times New Roman"/>
      </w:rPr>
    </w:pPr>
    <w:r w:rsidRPr="006618CF">
      <w:rPr>
        <w:rFonts w:cs="Times New Roman"/>
      </w:rPr>
      <w:t>Martes 15 de agosto de 2017</w:t>
    </w:r>
    <w:r w:rsidRPr="006618CF">
      <w:rPr>
        <w:rFonts w:cs="Times New Roman"/>
      </w:rPr>
      <w:tab/>
      <w:t>DIARIO OFICIAL</w:t>
    </w:r>
    <w:r w:rsidRPr="006618CF">
      <w:rPr>
        <w:rFonts w:cs="Times New Roman"/>
      </w:rPr>
      <w:tab/>
    </w:r>
    <w:r w:rsidR="00784B5D" w:rsidRPr="006618CF">
      <w:rPr>
        <w:rFonts w:cs="Times New Roman"/>
      </w:rPr>
      <w:t>(Segunda Sección)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85"/>
    <w:rsid w:val="00007D5B"/>
    <w:rsid w:val="00023FDE"/>
    <w:rsid w:val="00025505"/>
    <w:rsid w:val="00030FA7"/>
    <w:rsid w:val="000468AF"/>
    <w:rsid w:val="00046AF3"/>
    <w:rsid w:val="00047AFF"/>
    <w:rsid w:val="000643A3"/>
    <w:rsid w:val="00066B5E"/>
    <w:rsid w:val="00070CDB"/>
    <w:rsid w:val="0008366A"/>
    <w:rsid w:val="00083B96"/>
    <w:rsid w:val="00085CFF"/>
    <w:rsid w:val="00090755"/>
    <w:rsid w:val="000934C4"/>
    <w:rsid w:val="000B42E5"/>
    <w:rsid w:val="000B698E"/>
    <w:rsid w:val="000C50D4"/>
    <w:rsid w:val="000C632A"/>
    <w:rsid w:val="000E6BF1"/>
    <w:rsid w:val="000F0FA3"/>
    <w:rsid w:val="000F3ABE"/>
    <w:rsid w:val="000F706A"/>
    <w:rsid w:val="0010703B"/>
    <w:rsid w:val="001303A7"/>
    <w:rsid w:val="00140A5C"/>
    <w:rsid w:val="00155A7E"/>
    <w:rsid w:val="001574EC"/>
    <w:rsid w:val="00163AE3"/>
    <w:rsid w:val="001642EF"/>
    <w:rsid w:val="00173E9D"/>
    <w:rsid w:val="001748E8"/>
    <w:rsid w:val="00176B02"/>
    <w:rsid w:val="00181964"/>
    <w:rsid w:val="00195422"/>
    <w:rsid w:val="001A1CAD"/>
    <w:rsid w:val="001A2BCE"/>
    <w:rsid w:val="001B1144"/>
    <w:rsid w:val="001B6981"/>
    <w:rsid w:val="001C1DC9"/>
    <w:rsid w:val="001E6CB1"/>
    <w:rsid w:val="001F09BB"/>
    <w:rsid w:val="001F6325"/>
    <w:rsid w:val="0020245C"/>
    <w:rsid w:val="002214D8"/>
    <w:rsid w:val="0025082C"/>
    <w:rsid w:val="00254852"/>
    <w:rsid w:val="00255299"/>
    <w:rsid w:val="00282554"/>
    <w:rsid w:val="00285BE5"/>
    <w:rsid w:val="00286668"/>
    <w:rsid w:val="00286818"/>
    <w:rsid w:val="00290296"/>
    <w:rsid w:val="0029033A"/>
    <w:rsid w:val="00291CA7"/>
    <w:rsid w:val="002940B6"/>
    <w:rsid w:val="002B00EE"/>
    <w:rsid w:val="002B127D"/>
    <w:rsid w:val="002B37B4"/>
    <w:rsid w:val="002B3857"/>
    <w:rsid w:val="002C05CB"/>
    <w:rsid w:val="002C3644"/>
    <w:rsid w:val="002D476D"/>
    <w:rsid w:val="002E0094"/>
    <w:rsid w:val="002F6279"/>
    <w:rsid w:val="002F666A"/>
    <w:rsid w:val="0030321A"/>
    <w:rsid w:val="00306951"/>
    <w:rsid w:val="00323864"/>
    <w:rsid w:val="0032394E"/>
    <w:rsid w:val="003264DE"/>
    <w:rsid w:val="00326B04"/>
    <w:rsid w:val="00330780"/>
    <w:rsid w:val="003340A4"/>
    <w:rsid w:val="00357A6B"/>
    <w:rsid w:val="0036410B"/>
    <w:rsid w:val="003656C6"/>
    <w:rsid w:val="00373DFE"/>
    <w:rsid w:val="0039202C"/>
    <w:rsid w:val="003958AA"/>
    <w:rsid w:val="003967FE"/>
    <w:rsid w:val="003A09A3"/>
    <w:rsid w:val="003A53A2"/>
    <w:rsid w:val="003B2214"/>
    <w:rsid w:val="003B46F2"/>
    <w:rsid w:val="003C5EB9"/>
    <w:rsid w:val="003D3A40"/>
    <w:rsid w:val="003D6457"/>
    <w:rsid w:val="003D6AB7"/>
    <w:rsid w:val="003E5783"/>
    <w:rsid w:val="003E7472"/>
    <w:rsid w:val="004010C8"/>
    <w:rsid w:val="00410B8C"/>
    <w:rsid w:val="00412ED6"/>
    <w:rsid w:val="004142D5"/>
    <w:rsid w:val="004273D0"/>
    <w:rsid w:val="0042779F"/>
    <w:rsid w:val="004352A9"/>
    <w:rsid w:val="00440349"/>
    <w:rsid w:val="004430D9"/>
    <w:rsid w:val="0044530C"/>
    <w:rsid w:val="00453D17"/>
    <w:rsid w:val="0046400A"/>
    <w:rsid w:val="00464085"/>
    <w:rsid w:val="004652D9"/>
    <w:rsid w:val="00465E99"/>
    <w:rsid w:val="00475BE2"/>
    <w:rsid w:val="00491FF9"/>
    <w:rsid w:val="004A7426"/>
    <w:rsid w:val="004B2F2C"/>
    <w:rsid w:val="004C174C"/>
    <w:rsid w:val="004C49C6"/>
    <w:rsid w:val="004D4A72"/>
    <w:rsid w:val="004E6B1F"/>
    <w:rsid w:val="004E77FB"/>
    <w:rsid w:val="004F3FE9"/>
    <w:rsid w:val="004F6559"/>
    <w:rsid w:val="00502367"/>
    <w:rsid w:val="00512CDB"/>
    <w:rsid w:val="00514993"/>
    <w:rsid w:val="00522551"/>
    <w:rsid w:val="00526356"/>
    <w:rsid w:val="00534337"/>
    <w:rsid w:val="00534A44"/>
    <w:rsid w:val="0053581A"/>
    <w:rsid w:val="00535845"/>
    <w:rsid w:val="0054345D"/>
    <w:rsid w:val="005438AB"/>
    <w:rsid w:val="00543991"/>
    <w:rsid w:val="0054733E"/>
    <w:rsid w:val="0055349C"/>
    <w:rsid w:val="00567317"/>
    <w:rsid w:val="005724B9"/>
    <w:rsid w:val="005A0268"/>
    <w:rsid w:val="005A0954"/>
    <w:rsid w:val="005C4019"/>
    <w:rsid w:val="005C75DE"/>
    <w:rsid w:val="005D3024"/>
    <w:rsid w:val="005D4388"/>
    <w:rsid w:val="005D7D14"/>
    <w:rsid w:val="005F4AC0"/>
    <w:rsid w:val="006231E1"/>
    <w:rsid w:val="00627360"/>
    <w:rsid w:val="00627D1A"/>
    <w:rsid w:val="006323D7"/>
    <w:rsid w:val="0063495E"/>
    <w:rsid w:val="00634C63"/>
    <w:rsid w:val="00656CFF"/>
    <w:rsid w:val="006618CF"/>
    <w:rsid w:val="00670946"/>
    <w:rsid w:val="006711A8"/>
    <w:rsid w:val="00674139"/>
    <w:rsid w:val="00681BC5"/>
    <w:rsid w:val="00686752"/>
    <w:rsid w:val="00691836"/>
    <w:rsid w:val="0069357B"/>
    <w:rsid w:val="00697B7C"/>
    <w:rsid w:val="006B7539"/>
    <w:rsid w:val="006C30AE"/>
    <w:rsid w:val="006D2E40"/>
    <w:rsid w:val="006E2487"/>
    <w:rsid w:val="006E4EE3"/>
    <w:rsid w:val="006E66EC"/>
    <w:rsid w:val="006F527C"/>
    <w:rsid w:val="006F785A"/>
    <w:rsid w:val="0070415B"/>
    <w:rsid w:val="00717A6D"/>
    <w:rsid w:val="00724703"/>
    <w:rsid w:val="00735E9D"/>
    <w:rsid w:val="00737435"/>
    <w:rsid w:val="00741ABD"/>
    <w:rsid w:val="00746FC8"/>
    <w:rsid w:val="0075057B"/>
    <w:rsid w:val="007570C1"/>
    <w:rsid w:val="007578BE"/>
    <w:rsid w:val="00784B5D"/>
    <w:rsid w:val="00793D07"/>
    <w:rsid w:val="00797AB4"/>
    <w:rsid w:val="00797DCB"/>
    <w:rsid w:val="007A0956"/>
    <w:rsid w:val="007D00B8"/>
    <w:rsid w:val="007D0C3B"/>
    <w:rsid w:val="007D286A"/>
    <w:rsid w:val="007D5806"/>
    <w:rsid w:val="00816C4D"/>
    <w:rsid w:val="00827CE1"/>
    <w:rsid w:val="008303AB"/>
    <w:rsid w:val="0083080F"/>
    <w:rsid w:val="00832E88"/>
    <w:rsid w:val="008412BC"/>
    <w:rsid w:val="00842BE6"/>
    <w:rsid w:val="00842FB8"/>
    <w:rsid w:val="008651ED"/>
    <w:rsid w:val="00875A59"/>
    <w:rsid w:val="00877B39"/>
    <w:rsid w:val="008918DC"/>
    <w:rsid w:val="008922B8"/>
    <w:rsid w:val="0089558E"/>
    <w:rsid w:val="008A0F8C"/>
    <w:rsid w:val="008A23F3"/>
    <w:rsid w:val="008B5BD2"/>
    <w:rsid w:val="008C46C1"/>
    <w:rsid w:val="008D06EA"/>
    <w:rsid w:val="008D17A5"/>
    <w:rsid w:val="008E35DF"/>
    <w:rsid w:val="008F5142"/>
    <w:rsid w:val="008F7A18"/>
    <w:rsid w:val="00913D77"/>
    <w:rsid w:val="009167A0"/>
    <w:rsid w:val="009200A2"/>
    <w:rsid w:val="009329FB"/>
    <w:rsid w:val="00945F33"/>
    <w:rsid w:val="00947152"/>
    <w:rsid w:val="00975511"/>
    <w:rsid w:val="009855BF"/>
    <w:rsid w:val="009932CA"/>
    <w:rsid w:val="009A7654"/>
    <w:rsid w:val="009C02DA"/>
    <w:rsid w:val="009E1274"/>
    <w:rsid w:val="009E1AC6"/>
    <w:rsid w:val="009E3B35"/>
    <w:rsid w:val="009E63EA"/>
    <w:rsid w:val="009F050F"/>
    <w:rsid w:val="00A31E9B"/>
    <w:rsid w:val="00A333DC"/>
    <w:rsid w:val="00A35A4B"/>
    <w:rsid w:val="00A53D31"/>
    <w:rsid w:val="00A7010C"/>
    <w:rsid w:val="00A73F8A"/>
    <w:rsid w:val="00A76032"/>
    <w:rsid w:val="00A8099D"/>
    <w:rsid w:val="00A81D62"/>
    <w:rsid w:val="00A84922"/>
    <w:rsid w:val="00A90AE8"/>
    <w:rsid w:val="00A971BB"/>
    <w:rsid w:val="00AA7550"/>
    <w:rsid w:val="00AB7088"/>
    <w:rsid w:val="00AC2AA2"/>
    <w:rsid w:val="00AD24D5"/>
    <w:rsid w:val="00AD54E0"/>
    <w:rsid w:val="00AE00D6"/>
    <w:rsid w:val="00B00632"/>
    <w:rsid w:val="00B073A2"/>
    <w:rsid w:val="00B14C29"/>
    <w:rsid w:val="00B16746"/>
    <w:rsid w:val="00B170E8"/>
    <w:rsid w:val="00B17DFA"/>
    <w:rsid w:val="00B3769E"/>
    <w:rsid w:val="00B63531"/>
    <w:rsid w:val="00B7008A"/>
    <w:rsid w:val="00B717B3"/>
    <w:rsid w:val="00B859B6"/>
    <w:rsid w:val="00B95E2F"/>
    <w:rsid w:val="00BB1CCD"/>
    <w:rsid w:val="00BB26D3"/>
    <w:rsid w:val="00BF091C"/>
    <w:rsid w:val="00C009E0"/>
    <w:rsid w:val="00C01B5D"/>
    <w:rsid w:val="00C0603C"/>
    <w:rsid w:val="00C258E4"/>
    <w:rsid w:val="00C5515A"/>
    <w:rsid w:val="00C563D2"/>
    <w:rsid w:val="00C7152E"/>
    <w:rsid w:val="00C72F0B"/>
    <w:rsid w:val="00C8415B"/>
    <w:rsid w:val="00C9060E"/>
    <w:rsid w:val="00C91B84"/>
    <w:rsid w:val="00C96371"/>
    <w:rsid w:val="00C97590"/>
    <w:rsid w:val="00CA0BAE"/>
    <w:rsid w:val="00CA2FDC"/>
    <w:rsid w:val="00CA3BBA"/>
    <w:rsid w:val="00CB318C"/>
    <w:rsid w:val="00CB6995"/>
    <w:rsid w:val="00CC0602"/>
    <w:rsid w:val="00CC1D6E"/>
    <w:rsid w:val="00CC32CE"/>
    <w:rsid w:val="00CC39A6"/>
    <w:rsid w:val="00CC71C5"/>
    <w:rsid w:val="00CD6850"/>
    <w:rsid w:val="00CE06BF"/>
    <w:rsid w:val="00CF0F97"/>
    <w:rsid w:val="00CF3B2E"/>
    <w:rsid w:val="00CF6193"/>
    <w:rsid w:val="00D04785"/>
    <w:rsid w:val="00D32C7D"/>
    <w:rsid w:val="00D34588"/>
    <w:rsid w:val="00D3478E"/>
    <w:rsid w:val="00D34D1C"/>
    <w:rsid w:val="00D36C73"/>
    <w:rsid w:val="00D42FD2"/>
    <w:rsid w:val="00D54C2F"/>
    <w:rsid w:val="00D60AAD"/>
    <w:rsid w:val="00D64953"/>
    <w:rsid w:val="00D87572"/>
    <w:rsid w:val="00DA0A97"/>
    <w:rsid w:val="00DB3001"/>
    <w:rsid w:val="00DB3F49"/>
    <w:rsid w:val="00DB4A71"/>
    <w:rsid w:val="00DC4962"/>
    <w:rsid w:val="00DE4C7A"/>
    <w:rsid w:val="00DF6036"/>
    <w:rsid w:val="00DF6BC3"/>
    <w:rsid w:val="00E01296"/>
    <w:rsid w:val="00E21F6A"/>
    <w:rsid w:val="00E30B22"/>
    <w:rsid w:val="00E3798A"/>
    <w:rsid w:val="00E42835"/>
    <w:rsid w:val="00E460F3"/>
    <w:rsid w:val="00E50177"/>
    <w:rsid w:val="00E5027B"/>
    <w:rsid w:val="00E5626A"/>
    <w:rsid w:val="00E76F3F"/>
    <w:rsid w:val="00E772E5"/>
    <w:rsid w:val="00E82585"/>
    <w:rsid w:val="00E82C85"/>
    <w:rsid w:val="00E8621C"/>
    <w:rsid w:val="00E90E7F"/>
    <w:rsid w:val="00EA0ABD"/>
    <w:rsid w:val="00EA4096"/>
    <w:rsid w:val="00EA46E7"/>
    <w:rsid w:val="00EA6075"/>
    <w:rsid w:val="00EB1636"/>
    <w:rsid w:val="00EB3C2A"/>
    <w:rsid w:val="00EE6353"/>
    <w:rsid w:val="00EF1962"/>
    <w:rsid w:val="00EF226B"/>
    <w:rsid w:val="00EF7E74"/>
    <w:rsid w:val="00F007E0"/>
    <w:rsid w:val="00F00937"/>
    <w:rsid w:val="00F0429A"/>
    <w:rsid w:val="00F049B3"/>
    <w:rsid w:val="00F22399"/>
    <w:rsid w:val="00F315C9"/>
    <w:rsid w:val="00F31F2D"/>
    <w:rsid w:val="00F42E31"/>
    <w:rsid w:val="00F43082"/>
    <w:rsid w:val="00F512E2"/>
    <w:rsid w:val="00F51E5E"/>
    <w:rsid w:val="00F621DE"/>
    <w:rsid w:val="00F64B32"/>
    <w:rsid w:val="00F70C4B"/>
    <w:rsid w:val="00F76B05"/>
    <w:rsid w:val="00F808C0"/>
    <w:rsid w:val="00F83712"/>
    <w:rsid w:val="00F84AC0"/>
    <w:rsid w:val="00F859B1"/>
    <w:rsid w:val="00F85CA3"/>
    <w:rsid w:val="00F95C77"/>
    <w:rsid w:val="00FA672D"/>
    <w:rsid w:val="00FB2AB3"/>
    <w:rsid w:val="00FC03A2"/>
    <w:rsid w:val="00FC3E3F"/>
    <w:rsid w:val="00FC5DD1"/>
    <w:rsid w:val="00FD0D2C"/>
    <w:rsid w:val="00FD44E8"/>
    <w:rsid w:val="00FD7200"/>
    <w:rsid w:val="00FE5F30"/>
    <w:rsid w:val="00FE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98C1B-AD5B-4782-8C66-AF30528B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010C8"/>
    <w:pPr>
      <w:keepNext/>
      <w:keepLines/>
      <w:spacing w:before="40" w:line="259" w:lineRule="auto"/>
      <w:outlineLvl w:val="2"/>
    </w:pPr>
    <w:rPr>
      <w:rFonts w:ascii="Cambria" w:eastAsia="MS Gothic" w:hAnsi="Cambria"/>
      <w:b/>
      <w:bCs/>
      <w:color w:val="4F81BD"/>
      <w:szCs w:val="20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paragraph" w:styleId="Textonotapie">
    <w:name w:val="footnote text"/>
    <w:basedOn w:val="Normal"/>
    <w:link w:val="TextonotapieCar"/>
    <w:rsid w:val="00E82C85"/>
    <w:pPr>
      <w:jc w:val="both"/>
    </w:pPr>
    <w:rPr>
      <w:rFonts w:ascii="ITA Avant Garde" w:hAnsi="ITA Avant Garde" w:cs="ITA Avant Garde"/>
      <w:sz w:val="16"/>
      <w:szCs w:val="20"/>
      <w:lang w:eastAsia="es-MX"/>
    </w:rPr>
  </w:style>
  <w:style w:type="character" w:customStyle="1" w:styleId="TextonotapieCar">
    <w:name w:val="Texto nota pie Car"/>
    <w:link w:val="Textonotapie"/>
    <w:rsid w:val="00E82C85"/>
    <w:rPr>
      <w:rFonts w:ascii="ITA Avant Garde" w:hAnsi="ITA Avant Garde" w:cs="ITA Avant Garde"/>
      <w:sz w:val="1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3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323D7"/>
    <w:rPr>
      <w:rFonts w:ascii="Segoe UI" w:hAnsi="Segoe UI" w:cs="Segoe UI"/>
      <w:sz w:val="18"/>
      <w:szCs w:val="18"/>
      <w:lang w:val="es-ES" w:eastAsia="es-ES"/>
    </w:rPr>
  </w:style>
  <w:style w:type="paragraph" w:customStyle="1" w:styleId="Sumario">
    <w:name w:val="Sumario"/>
    <w:basedOn w:val="Normal"/>
    <w:rsid w:val="006618CF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</w:rPr>
  </w:style>
  <w:style w:type="paragraph" w:customStyle="1" w:styleId="Secreta">
    <w:name w:val="Secreta"/>
    <w:basedOn w:val="Normal"/>
    <w:autoRedefine/>
    <w:rsid w:val="006618CF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4010C8"/>
    <w:rPr>
      <w:rFonts w:ascii="Cambria" w:eastAsia="MS Gothic" w:hAnsi="Cambria"/>
      <w:b/>
      <w:bCs/>
      <w:color w:val="4F81BD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gutierrez.MX07281\Desktop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1</TotalTime>
  <Pages>3</Pages>
  <Words>1327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Diario Oficial de la Federación</Company>
  <LinksUpToDate>false</LinksUpToDate>
  <CharactersWithSpaces>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DOF</dc:creator>
  <cp:keywords/>
  <dc:description/>
  <cp:lastModifiedBy>Maria del Consuelo Gonzalez Moreno</cp:lastModifiedBy>
  <cp:revision>3</cp:revision>
  <cp:lastPrinted>2017-08-14T21:16:00Z</cp:lastPrinted>
  <dcterms:created xsi:type="dcterms:W3CDTF">2017-08-17T16:22:00Z</dcterms:created>
  <dcterms:modified xsi:type="dcterms:W3CDTF">2017-08-21T21:54:00Z</dcterms:modified>
</cp:coreProperties>
</file>