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00" w:rsidRPr="004D1E74" w:rsidRDefault="009A2F00" w:rsidP="004D1E74">
      <w:pPr>
        <w:pStyle w:val="1TitPrin"/>
      </w:pPr>
      <w:r w:rsidRPr="004D1E74">
        <w:t>ACUERDO mediante el cual el Pleno del Instituto Federal de Telecomunicaciones aprueba su calendario anual de sesiones ordinarias y el calendario anual de labores para el año 2018 y principios de 2019.</w:t>
      </w:r>
    </w:p>
    <w:p w:rsidR="009A2F00" w:rsidRPr="00BD21DB" w:rsidRDefault="009A2F00" w:rsidP="00915FD8">
      <w:pPr>
        <w:pStyle w:val="Ttulo2"/>
      </w:pPr>
      <w:r w:rsidRPr="00BD21DB">
        <w:t>Al margen un logotipo, que dice: Instituto Federal de Telecomunicaciones.</w:t>
      </w:r>
    </w:p>
    <w:p w:rsidR="009A2F00" w:rsidRPr="000C16AC" w:rsidRDefault="009A2F00" w:rsidP="009C617A">
      <w:pPr>
        <w:pStyle w:val="Texto"/>
        <w:spacing w:line="222" w:lineRule="exact"/>
        <w:rPr>
          <w:color w:val="000000"/>
          <w:sz w:val="16"/>
          <w:szCs w:val="16"/>
        </w:rPr>
      </w:pPr>
      <w:r w:rsidRPr="000C16AC">
        <w:rPr>
          <w:color w:val="000000"/>
          <w:sz w:val="16"/>
          <w:szCs w:val="16"/>
        </w:rPr>
        <w:t>ACUERDO MEDIANTE EL CUAL EL PLENO DEL INSTITUTO FEDERAL DE TELECOMUNICACIONES APRUEBA SU CALENDARIO ANUAL DE SESIONES ORDINARIAS Y EL CALENDARIO ANUAL DE LABORES PARA EL AÑO 2018 Y PRINCIPIOS DE 2019.</w:t>
      </w:r>
    </w:p>
    <w:p w:rsidR="009A2F00" w:rsidRPr="000C16AC" w:rsidRDefault="009A2F00" w:rsidP="009C617A">
      <w:pPr>
        <w:pStyle w:val="Texto"/>
        <w:spacing w:line="222" w:lineRule="exact"/>
        <w:rPr>
          <w:color w:val="000000"/>
          <w:szCs w:val="22"/>
        </w:rPr>
      </w:pPr>
      <w:r w:rsidRPr="000C16AC">
        <w:rPr>
          <w:color w:val="000000"/>
          <w:szCs w:val="22"/>
        </w:rPr>
        <w:t xml:space="preserve">Con fundamento en los párrafos Décimo quinto, Décimo sexto y Vigésimo, fracción I, del artículo 28 de </w:t>
      </w:r>
      <w:smartTag w:uri="urn:schemas-microsoft-com:office:smarttags" w:element="PersonName">
        <w:smartTagPr>
          <w:attr w:name="ProductID" w:val="la Constituci￳n Pol￭tica"/>
        </w:smartTagPr>
        <w:r w:rsidRPr="000C16AC">
          <w:rPr>
            <w:color w:val="000000"/>
            <w:szCs w:val="22"/>
          </w:rPr>
          <w:t>la Constitución Política</w:t>
        </w:r>
      </w:smartTag>
      <w:r w:rsidRPr="000C16AC">
        <w:rPr>
          <w:color w:val="000000"/>
          <w:szCs w:val="22"/>
        </w:rPr>
        <w:t xml:space="preserve"> de los Estados Unidos Mexicanos; artículo 6, fracciones IV y VII de </w:t>
      </w:r>
      <w:smartTag w:uri="urn:schemas-microsoft-com:office:smarttags" w:element="PersonName">
        <w:smartTagPr>
          <w:attr w:name="ProductID" w:val="la Ley Federal"/>
        </w:smartTagPr>
        <w:r w:rsidRPr="000C16AC">
          <w:rPr>
            <w:color w:val="000000"/>
            <w:szCs w:val="22"/>
          </w:rPr>
          <w:t>la Ley Federal</w:t>
        </w:r>
      </w:smartTag>
      <w:r w:rsidRPr="000C16AC">
        <w:rPr>
          <w:color w:val="000000"/>
          <w:szCs w:val="22"/>
        </w:rPr>
        <w:t xml:space="preserve"> de Telecomunicaciones y Radiodifusión; artículo 28 de </w:t>
      </w:r>
      <w:smartTag w:uri="urn:schemas-microsoft-com:office:smarttags" w:element="PersonName">
        <w:smartTagPr>
          <w:attr w:name="ProductID" w:val="la Ley Federal"/>
        </w:smartTagPr>
        <w:r w:rsidRPr="000C16AC">
          <w:rPr>
            <w:color w:val="000000"/>
            <w:szCs w:val="22"/>
          </w:rPr>
          <w:t>la Ley Federal</w:t>
        </w:r>
      </w:smartTag>
      <w:r w:rsidRPr="000C16AC">
        <w:rPr>
          <w:color w:val="000000"/>
          <w:szCs w:val="22"/>
        </w:rPr>
        <w:t xml:space="preserve"> de Procedimiento Administrativo; artículos 114, 115 y 116 de </w:t>
      </w:r>
      <w:smartTag w:uri="urn:schemas-microsoft-com:office:smarttags" w:element="PersonName">
        <w:smartTagPr>
          <w:attr w:name="ProductID" w:val="la Ley Federal"/>
        </w:smartTagPr>
        <w:r w:rsidRPr="000C16AC">
          <w:rPr>
            <w:color w:val="000000"/>
            <w:szCs w:val="22"/>
          </w:rPr>
          <w:t>la Ley Federal</w:t>
        </w:r>
      </w:smartTag>
      <w:r w:rsidRPr="000C16AC">
        <w:rPr>
          <w:color w:val="000000"/>
          <w:szCs w:val="22"/>
        </w:rPr>
        <w:t xml:space="preserve"> de Competencia Económica; artículo 282 del Código Federal</w:t>
      </w:r>
      <w:r w:rsidR="00BD21DB">
        <w:rPr>
          <w:color w:val="000000"/>
          <w:szCs w:val="22"/>
        </w:rPr>
        <w:t xml:space="preserve"> </w:t>
      </w:r>
      <w:r w:rsidRPr="000C16AC">
        <w:rPr>
          <w:color w:val="000000"/>
          <w:szCs w:val="22"/>
        </w:rPr>
        <w:t xml:space="preserve">de Procedimientos Civiles; así como los artículos </w:t>
      </w:r>
      <w:r w:rsidRPr="000C16AC">
        <w:rPr>
          <w:szCs w:val="22"/>
        </w:rPr>
        <w:t xml:space="preserve">1, 3 y 12 </w:t>
      </w:r>
      <w:r w:rsidRPr="000C16AC">
        <w:rPr>
          <w:color w:val="000000"/>
          <w:szCs w:val="22"/>
        </w:rPr>
        <w:t xml:space="preserve">del Estatuto Orgánico del Instituto Federal de Telecomunicaciones (Estatuto Orgánico), publicado el 4 de septiembre de 2014 en el Diario Oficial de </w:t>
      </w:r>
      <w:smartTag w:uri="urn:schemas-microsoft-com:office:smarttags" w:element="PersonName">
        <w:smartTagPr>
          <w:attr w:name="ProductID" w:val="la Federaci￳n"/>
        </w:smartTagPr>
        <w:r w:rsidRPr="000C16AC">
          <w:rPr>
            <w:color w:val="000000"/>
            <w:szCs w:val="22"/>
          </w:rPr>
          <w:t>la Federación</w:t>
        </w:r>
      </w:smartTag>
      <w:r w:rsidRPr="000C16AC">
        <w:rPr>
          <w:color w:val="000000"/>
          <w:szCs w:val="22"/>
        </w:rPr>
        <w:t xml:space="preserve"> y modificado por Acuerdos publicados en el mismo medio oficial los días 17 de octubre de los años 2014 y 2016, respectivamente, así como el 20 de julio de 2017, el Pleno del Instituto Federal de Telecomunicaciones (Instituto), acuerda lo siguiente:</w:t>
      </w:r>
    </w:p>
    <w:p w:rsidR="009A2F00" w:rsidRPr="000C16AC" w:rsidRDefault="009A2F00" w:rsidP="009C617A">
      <w:pPr>
        <w:pStyle w:val="Texto"/>
        <w:spacing w:line="222" w:lineRule="exact"/>
        <w:rPr>
          <w:color w:val="000000"/>
          <w:szCs w:val="22"/>
        </w:rPr>
      </w:pPr>
      <w:r w:rsidRPr="000C16AC">
        <w:rPr>
          <w:b/>
          <w:color w:val="000000"/>
          <w:szCs w:val="22"/>
        </w:rPr>
        <w:t>PRIMERO.-</w:t>
      </w:r>
      <w:r w:rsidRPr="000C16AC">
        <w:rPr>
          <w:color w:val="000000"/>
          <w:szCs w:val="22"/>
        </w:rPr>
        <w:t xml:space="preserve"> Se aprueba el calendario anual de sesiones ordinarias del Pleno y el calendario anual de labores del Instituto para el año 2018 y principios del 2019.</w:t>
      </w:r>
    </w:p>
    <w:p w:rsidR="009A2F00" w:rsidRPr="000C16AC" w:rsidRDefault="009A2F00" w:rsidP="009C617A">
      <w:pPr>
        <w:pStyle w:val="Texto"/>
        <w:spacing w:line="222" w:lineRule="exact"/>
        <w:rPr>
          <w:color w:val="000000"/>
          <w:szCs w:val="22"/>
        </w:rPr>
      </w:pPr>
      <w:r w:rsidRPr="000C16AC">
        <w:rPr>
          <w:b/>
          <w:color w:val="000000"/>
          <w:szCs w:val="22"/>
        </w:rPr>
        <w:t>SEGUNDO.-</w:t>
      </w:r>
      <w:r w:rsidRPr="000C16AC">
        <w:rPr>
          <w:color w:val="000000"/>
          <w:szCs w:val="22"/>
        </w:rPr>
        <w:t xml:space="preserve"> Las sesiones ordinarias del Pleno del Instituto serán convocadas en los términos que señala el Estatuto Orgánico, celebrándose, al menos, las siguientes:</w:t>
      </w:r>
    </w:p>
    <w:tbl>
      <w:tblPr>
        <w:tblStyle w:val="Tablanormal2"/>
        <w:tblW w:w="8712" w:type="dxa"/>
        <w:tblLook w:val="0000" w:firstRow="0" w:lastRow="0" w:firstColumn="0" w:lastColumn="0" w:noHBand="0" w:noVBand="0"/>
        <w:tblCaption w:val="Sesiones ordinarias del Pleno del Instituto"/>
        <w:tblDescription w:val="Tabla de 2 columnas que relaciona las fechas en las que se realizarán sesiones ordinarias del Pleno del Instituto Federal de Telecomunicaciones."/>
      </w:tblPr>
      <w:tblGrid>
        <w:gridCol w:w="4692"/>
        <w:gridCol w:w="4020"/>
      </w:tblGrid>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noWrap/>
          </w:tcPr>
          <w:p w:rsidR="009A2F00" w:rsidRPr="000C16AC" w:rsidRDefault="009A2F00" w:rsidP="009C617A">
            <w:pPr>
              <w:pStyle w:val="Texto"/>
              <w:spacing w:line="222" w:lineRule="exact"/>
              <w:ind w:firstLine="0"/>
              <w:jc w:val="center"/>
              <w:rPr>
                <w:color w:val="000000"/>
                <w:szCs w:val="22"/>
              </w:rPr>
            </w:pPr>
            <w:bookmarkStart w:id="0" w:name="_GoBack"/>
            <w:r w:rsidRPr="000C16AC">
              <w:rPr>
                <w:color w:val="000000"/>
                <w:szCs w:val="22"/>
              </w:rPr>
              <w:t>17 de enero</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4 de julio</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31 de enero</w:t>
            </w:r>
          </w:p>
          <w:p w:rsidR="009A2F00" w:rsidRPr="000C16AC" w:rsidRDefault="009A2F00" w:rsidP="009C617A">
            <w:pPr>
              <w:pStyle w:val="Texto"/>
              <w:spacing w:line="222" w:lineRule="exact"/>
              <w:ind w:firstLine="0"/>
              <w:jc w:val="center"/>
              <w:rPr>
                <w:color w:val="000000"/>
                <w:szCs w:val="22"/>
              </w:rPr>
            </w:pPr>
            <w:r w:rsidRPr="000C16AC">
              <w:rPr>
                <w:szCs w:val="22"/>
              </w:rPr>
              <w:t>14 de febrero</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8 de agosto</w:t>
            </w:r>
          </w:p>
          <w:p w:rsidR="009A2F00" w:rsidRPr="000C16AC" w:rsidRDefault="009A2F00" w:rsidP="009C617A">
            <w:pPr>
              <w:pStyle w:val="Texto"/>
              <w:spacing w:line="222" w:lineRule="exact"/>
              <w:ind w:firstLine="0"/>
              <w:jc w:val="center"/>
              <w:rPr>
                <w:color w:val="000000"/>
                <w:szCs w:val="22"/>
              </w:rPr>
            </w:pPr>
            <w:r w:rsidRPr="000C16AC">
              <w:rPr>
                <w:color w:val="000000"/>
                <w:szCs w:val="22"/>
              </w:rPr>
              <w:t>22 de agosto</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28 de febrero</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5 de septiembre</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14 de marzo</w:t>
            </w:r>
          </w:p>
          <w:p w:rsidR="009A2F00" w:rsidRPr="000C16AC" w:rsidRDefault="009A2F00" w:rsidP="009C617A">
            <w:pPr>
              <w:pStyle w:val="Texto"/>
              <w:spacing w:line="222" w:lineRule="exact"/>
              <w:ind w:firstLine="0"/>
              <w:jc w:val="center"/>
              <w:rPr>
                <w:color w:val="000000"/>
                <w:szCs w:val="22"/>
              </w:rPr>
            </w:pPr>
            <w:r w:rsidRPr="000C16AC">
              <w:rPr>
                <w:color w:val="000000"/>
                <w:szCs w:val="22"/>
              </w:rPr>
              <w:t>11 de abril</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19 de septiembre</w:t>
            </w:r>
          </w:p>
          <w:p w:rsidR="009A2F00" w:rsidRPr="000C16AC" w:rsidRDefault="009A2F00" w:rsidP="009C617A">
            <w:pPr>
              <w:pStyle w:val="Texto"/>
              <w:spacing w:line="222" w:lineRule="exact"/>
              <w:ind w:firstLine="0"/>
              <w:jc w:val="center"/>
              <w:rPr>
                <w:color w:val="000000"/>
                <w:szCs w:val="22"/>
              </w:rPr>
            </w:pPr>
            <w:r w:rsidRPr="000C16AC">
              <w:rPr>
                <w:color w:val="000000"/>
                <w:szCs w:val="22"/>
              </w:rPr>
              <w:t>3 de octubre</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25 de abril</w:t>
            </w:r>
          </w:p>
          <w:p w:rsidR="009A2F00" w:rsidRPr="000C16AC" w:rsidRDefault="009A2F00" w:rsidP="009C617A">
            <w:pPr>
              <w:pStyle w:val="Texto"/>
              <w:spacing w:line="222" w:lineRule="exact"/>
              <w:ind w:firstLine="0"/>
              <w:jc w:val="center"/>
              <w:rPr>
                <w:color w:val="000000"/>
                <w:szCs w:val="22"/>
              </w:rPr>
            </w:pPr>
            <w:r w:rsidRPr="000C16AC">
              <w:rPr>
                <w:color w:val="000000"/>
                <w:szCs w:val="22"/>
              </w:rPr>
              <w:t>9 de mayo</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17 de octubre</w:t>
            </w:r>
          </w:p>
          <w:p w:rsidR="009A2F00" w:rsidRPr="000C16AC" w:rsidRDefault="009A2F00" w:rsidP="009C617A">
            <w:pPr>
              <w:pStyle w:val="Texto"/>
              <w:spacing w:line="222" w:lineRule="exact"/>
              <w:ind w:firstLine="0"/>
              <w:jc w:val="center"/>
              <w:rPr>
                <w:color w:val="000000"/>
                <w:szCs w:val="22"/>
              </w:rPr>
            </w:pPr>
            <w:r w:rsidRPr="000C16AC">
              <w:rPr>
                <w:color w:val="000000"/>
                <w:szCs w:val="22"/>
              </w:rPr>
              <w:t>31 de octubre</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69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23 de mayo</w:t>
            </w:r>
          </w:p>
          <w:p w:rsidR="009A2F00" w:rsidRDefault="009A2F00" w:rsidP="009C617A">
            <w:pPr>
              <w:pStyle w:val="Texto"/>
              <w:spacing w:line="222" w:lineRule="exact"/>
              <w:ind w:firstLine="0"/>
              <w:jc w:val="center"/>
              <w:rPr>
                <w:color w:val="000000"/>
                <w:szCs w:val="22"/>
              </w:rPr>
            </w:pPr>
            <w:r w:rsidRPr="000C16AC">
              <w:rPr>
                <w:color w:val="000000"/>
                <w:szCs w:val="22"/>
              </w:rPr>
              <w:t>6 de junio</w:t>
            </w:r>
          </w:p>
          <w:p w:rsidR="009A2F00" w:rsidRPr="000C16AC" w:rsidRDefault="009A2F00" w:rsidP="009C617A">
            <w:pPr>
              <w:pStyle w:val="Texto"/>
              <w:spacing w:line="222" w:lineRule="exact"/>
              <w:ind w:firstLine="0"/>
              <w:jc w:val="center"/>
              <w:rPr>
                <w:color w:val="000000"/>
                <w:szCs w:val="22"/>
              </w:rPr>
            </w:pPr>
            <w:r w:rsidRPr="000C16AC">
              <w:rPr>
                <w:color w:val="000000"/>
                <w:szCs w:val="22"/>
              </w:rPr>
              <w:t>20 de junio</w:t>
            </w:r>
          </w:p>
        </w:tc>
        <w:tc>
          <w:tcPr>
            <w:cnfStyle w:val="000001000000" w:firstRow="0" w:lastRow="0" w:firstColumn="0" w:lastColumn="0" w:oddVBand="0" w:evenVBand="1" w:oddHBand="0" w:evenHBand="0" w:firstRowFirstColumn="0" w:firstRowLastColumn="0" w:lastRowFirstColumn="0" w:lastRowLastColumn="0"/>
            <w:tcW w:w="4712" w:type="dxa"/>
            <w:tcBorders>
              <w:top w:val="nil"/>
              <w:left w:val="nil"/>
              <w:bottom w:val="nil"/>
              <w:right w:val="nil"/>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14 de noviembre</w:t>
            </w:r>
          </w:p>
          <w:p w:rsidR="009A2F00" w:rsidRPr="000C16AC" w:rsidRDefault="009A2F00" w:rsidP="009C617A">
            <w:pPr>
              <w:pStyle w:val="Texto"/>
              <w:spacing w:line="222" w:lineRule="exact"/>
              <w:ind w:firstLine="0"/>
              <w:jc w:val="center"/>
              <w:rPr>
                <w:szCs w:val="22"/>
              </w:rPr>
            </w:pPr>
            <w:r w:rsidRPr="000C16AC">
              <w:rPr>
                <w:szCs w:val="22"/>
              </w:rPr>
              <w:t>28 de noviembre</w:t>
            </w:r>
          </w:p>
          <w:p w:rsidR="009A2F00" w:rsidRPr="000C16AC" w:rsidRDefault="009A2F00" w:rsidP="009C617A">
            <w:pPr>
              <w:pStyle w:val="Texto"/>
              <w:spacing w:line="222" w:lineRule="exact"/>
              <w:ind w:firstLine="0"/>
              <w:jc w:val="center"/>
              <w:rPr>
                <w:color w:val="FF0000"/>
                <w:szCs w:val="22"/>
              </w:rPr>
            </w:pPr>
            <w:r w:rsidRPr="000C16AC">
              <w:rPr>
                <w:color w:val="000000"/>
                <w:szCs w:val="22"/>
              </w:rPr>
              <w:t>12 de diciembre</w:t>
            </w:r>
          </w:p>
        </w:tc>
      </w:tr>
    </w:tbl>
    <w:bookmarkEnd w:id="0"/>
    <w:p w:rsidR="009A2F00" w:rsidRDefault="009A2F00" w:rsidP="009C617A">
      <w:pPr>
        <w:pStyle w:val="Texto"/>
        <w:spacing w:line="222" w:lineRule="exact"/>
        <w:rPr>
          <w:color w:val="000000"/>
          <w:szCs w:val="22"/>
        </w:rPr>
      </w:pPr>
      <w:r w:rsidRPr="000C16AC">
        <w:rPr>
          <w:color w:val="000000"/>
          <w:szCs w:val="22"/>
        </w:rPr>
        <w:t>Lo anterior sin perjuicio de las demás sesiones ordinarias que se convoquen con al menos cinco días hábiles de anticipación.</w:t>
      </w:r>
    </w:p>
    <w:p w:rsidR="009A2F00" w:rsidRDefault="009A2F00" w:rsidP="009C617A">
      <w:pPr>
        <w:pStyle w:val="Texto"/>
        <w:spacing w:line="222" w:lineRule="exact"/>
        <w:rPr>
          <w:color w:val="000000"/>
          <w:szCs w:val="22"/>
        </w:rPr>
      </w:pPr>
      <w:r w:rsidRPr="000C16AC">
        <w:rPr>
          <w:b/>
          <w:color w:val="000000"/>
          <w:szCs w:val="22"/>
        </w:rPr>
        <w:t xml:space="preserve">TERCERO.- </w:t>
      </w:r>
      <w:r w:rsidRPr="000C16AC">
        <w:rPr>
          <w:color w:val="000000"/>
          <w:szCs w:val="22"/>
        </w:rPr>
        <w:t>Las actuaciones y diligencias del Instituto se practicarán en días y horas hábiles. Se consideran días hábiles todos los del año, excepto los sábados y domingos y aquéllos en los que conforme a este calendario se suspendan las labores en el Instituto.</w:t>
      </w:r>
    </w:p>
    <w:p w:rsidR="009A2F00" w:rsidRPr="000C16AC" w:rsidRDefault="009A2F00" w:rsidP="009C617A">
      <w:pPr>
        <w:pStyle w:val="Texto"/>
        <w:spacing w:line="222" w:lineRule="exact"/>
        <w:rPr>
          <w:color w:val="000000"/>
          <w:szCs w:val="22"/>
        </w:rPr>
      </w:pPr>
      <w:r w:rsidRPr="000C16AC">
        <w:rPr>
          <w:szCs w:val="22"/>
        </w:rPr>
        <w:t xml:space="preserve">Para efectos de lo dispuesto en el párrafo anterior, para la recepción de documentos en </w:t>
      </w:r>
      <w:smartTag w:uri="urn:schemas-microsoft-com:office:smarttags" w:element="PersonName">
        <w:smartTagPr>
          <w:attr w:name="ProductID" w:val="la Oficial￭a"/>
        </w:smartTagPr>
        <w:r w:rsidRPr="000C16AC">
          <w:rPr>
            <w:szCs w:val="22"/>
          </w:rPr>
          <w:t>la Oficialía</w:t>
        </w:r>
      </w:smartTag>
      <w:r w:rsidRPr="000C16AC">
        <w:rPr>
          <w:szCs w:val="22"/>
        </w:rPr>
        <w:t xml:space="preserve"> de Partes del Instituto, el horario será en los días hábiles de lunes a jueves de 9:00 a 18:30 horas y los días viernes de 9:00 a 15:00, en el domicilio ubicado en Insurgentes Sur número 1143, Colonia Nochebuena, Delegación Benito Juárez, C.P. 03720, Ciudad de México. El día de vencimiento de los plazos serán admitidas las promociones por transmisión electrónica después de concluido el horario de </w:t>
      </w:r>
      <w:smartTag w:uri="urn:schemas-microsoft-com:office:smarttags" w:element="PersonName">
        <w:smartTagPr>
          <w:attr w:name="ProductID" w:val="la Oficial￭a"/>
        </w:smartTagPr>
        <w:r w:rsidRPr="000C16AC">
          <w:rPr>
            <w:szCs w:val="22"/>
          </w:rPr>
          <w:t>la Oficialía</w:t>
        </w:r>
      </w:smartTag>
      <w:r w:rsidRPr="000C16AC">
        <w:rPr>
          <w:szCs w:val="22"/>
        </w:rPr>
        <w:t xml:space="preserve"> de Partes</w:t>
      </w:r>
      <w:r w:rsidRPr="000C16AC">
        <w:rPr>
          <w:color w:val="000000"/>
          <w:szCs w:val="22"/>
        </w:rPr>
        <w:t xml:space="preserve">, conforme al mecanismo que se encuentra publicado en el portal de </w:t>
      </w:r>
      <w:r w:rsidR="00297217" w:rsidRPr="000C16AC">
        <w:rPr>
          <w:color w:val="000000"/>
          <w:szCs w:val="22"/>
        </w:rPr>
        <w:t xml:space="preserve">Internet </w:t>
      </w:r>
      <w:r w:rsidRPr="000C16AC">
        <w:rPr>
          <w:color w:val="000000"/>
          <w:szCs w:val="22"/>
        </w:rPr>
        <w:t>del Instituto.</w:t>
      </w:r>
    </w:p>
    <w:p w:rsidR="009A2F00" w:rsidRPr="000C16AC" w:rsidRDefault="009A2F00" w:rsidP="009C617A">
      <w:pPr>
        <w:pStyle w:val="Texto"/>
        <w:spacing w:line="222" w:lineRule="exact"/>
        <w:rPr>
          <w:color w:val="000000"/>
          <w:szCs w:val="22"/>
        </w:rPr>
      </w:pPr>
      <w:r w:rsidRPr="000C16AC">
        <w:rPr>
          <w:b/>
          <w:color w:val="000000"/>
          <w:szCs w:val="22"/>
        </w:rPr>
        <w:t xml:space="preserve">CUARTO.- </w:t>
      </w:r>
      <w:r w:rsidRPr="000C16AC">
        <w:rPr>
          <w:color w:val="000000"/>
          <w:szCs w:val="22"/>
        </w:rPr>
        <w:t>Se suspenderán labores en el Instituto, además de los sábados y domingos, los</w:t>
      </w:r>
      <w:r w:rsidR="00BD21DB">
        <w:rPr>
          <w:color w:val="000000"/>
          <w:szCs w:val="22"/>
        </w:rPr>
        <w:t xml:space="preserve"> </w:t>
      </w:r>
      <w:r w:rsidRPr="000C16AC">
        <w:rPr>
          <w:color w:val="000000"/>
          <w:szCs w:val="22"/>
        </w:rPr>
        <w:t>siguientes días:</w:t>
      </w:r>
    </w:p>
    <w:tbl>
      <w:tblPr>
        <w:tblStyle w:val="Tablanormal2"/>
        <w:tblW w:w="8712" w:type="dxa"/>
        <w:tblBorders>
          <w:top w:val="none" w:sz="0" w:space="0" w:color="auto"/>
          <w:bottom w:val="none" w:sz="0" w:space="0" w:color="auto"/>
        </w:tblBorders>
        <w:tblLook w:val="0000" w:firstRow="0" w:lastRow="0" w:firstColumn="0" w:lastColumn="0" w:noHBand="0" w:noVBand="0"/>
        <w:tblCaption w:val="Suspensión de labores"/>
        <w:tblDescription w:val="Tabla de dos columnas que relaciona las fechas en las que el Instituto Federal de Telecomunicaciones suspendera labores."/>
      </w:tblPr>
      <w:tblGrid>
        <w:gridCol w:w="4888"/>
        <w:gridCol w:w="3824"/>
      </w:tblGrid>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888" w:type="dxa"/>
            <w:tcBorders>
              <w:left w:val="none" w:sz="0" w:space="0" w:color="auto"/>
              <w:right w:val="none" w:sz="0" w:space="0" w:color="auto"/>
            </w:tcBorders>
            <w:noWrap/>
          </w:tcPr>
          <w:p w:rsidR="009A2F00" w:rsidRPr="000C16AC" w:rsidRDefault="009A2F00" w:rsidP="009C617A">
            <w:pPr>
              <w:pStyle w:val="Texto"/>
              <w:spacing w:line="222" w:lineRule="exact"/>
              <w:ind w:firstLine="0"/>
              <w:jc w:val="center"/>
              <w:rPr>
                <w:color w:val="000000"/>
                <w:szCs w:val="22"/>
              </w:rPr>
            </w:pPr>
            <w:r w:rsidRPr="000C16AC">
              <w:rPr>
                <w:color w:val="000000"/>
                <w:szCs w:val="22"/>
              </w:rPr>
              <w:t>5 de febrero</w:t>
            </w:r>
          </w:p>
        </w:tc>
        <w:tc>
          <w:tcPr>
            <w:cnfStyle w:val="000001000000" w:firstRow="0" w:lastRow="0" w:firstColumn="0" w:lastColumn="0" w:oddVBand="0" w:evenVBand="1" w:oddHBand="0" w:evenHBand="0" w:firstRowFirstColumn="0" w:firstRowLastColumn="0" w:lastRowFirstColumn="0" w:lastRowLastColumn="0"/>
            <w:tcW w:w="4899" w:type="dxa"/>
            <w:tcBorders>
              <w:left w:val="none" w:sz="0" w:space="0" w:color="auto"/>
              <w:right w:val="none" w:sz="0" w:space="0" w:color="auto"/>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16 al 20 y del 23 al 27 de julio</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888" w:type="dxa"/>
            <w:tcBorders>
              <w:left w:val="none" w:sz="0" w:space="0" w:color="auto"/>
              <w:right w:val="none" w:sz="0" w:space="0" w:color="auto"/>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19 de marzo</w:t>
            </w:r>
          </w:p>
        </w:tc>
        <w:tc>
          <w:tcPr>
            <w:cnfStyle w:val="000001000000" w:firstRow="0" w:lastRow="0" w:firstColumn="0" w:lastColumn="0" w:oddVBand="0" w:evenVBand="1" w:oddHBand="0" w:evenHBand="0" w:firstRowFirstColumn="0" w:firstRowLastColumn="0" w:lastRowFirstColumn="0" w:lastRowLastColumn="0"/>
            <w:tcW w:w="4899" w:type="dxa"/>
            <w:tcBorders>
              <w:left w:val="none" w:sz="0" w:space="0" w:color="auto"/>
              <w:right w:val="none" w:sz="0" w:space="0" w:color="auto"/>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19 de noviembre</w:t>
            </w:r>
          </w:p>
        </w:tc>
      </w:tr>
      <w:tr w:rsidR="009A2F00" w:rsidRPr="000C16AC" w:rsidTr="004D1E74">
        <w:trPr>
          <w:trHeight w:val="20"/>
          <w:tblHeader/>
        </w:trPr>
        <w:tc>
          <w:tcPr>
            <w:cnfStyle w:val="000010000000" w:firstRow="0" w:lastRow="0" w:firstColumn="0" w:lastColumn="0" w:oddVBand="1" w:evenVBand="0" w:oddHBand="0" w:evenHBand="0" w:firstRowFirstColumn="0" w:firstRowLastColumn="0" w:lastRowFirstColumn="0" w:lastRowLastColumn="0"/>
            <w:tcW w:w="4888" w:type="dxa"/>
            <w:tcBorders>
              <w:left w:val="none" w:sz="0" w:space="0" w:color="auto"/>
              <w:right w:val="none" w:sz="0" w:space="0" w:color="auto"/>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26 al 30 de marzo</w:t>
            </w:r>
          </w:p>
          <w:p w:rsidR="009A2F00" w:rsidRPr="000C16AC" w:rsidRDefault="009A2F00" w:rsidP="009C617A">
            <w:pPr>
              <w:pStyle w:val="Texto"/>
              <w:spacing w:line="222" w:lineRule="exact"/>
              <w:ind w:firstLine="0"/>
              <w:jc w:val="center"/>
              <w:rPr>
                <w:color w:val="000000"/>
                <w:szCs w:val="22"/>
              </w:rPr>
            </w:pPr>
            <w:r w:rsidRPr="000C16AC">
              <w:rPr>
                <w:color w:val="000000"/>
                <w:szCs w:val="22"/>
              </w:rPr>
              <w:t>1 de mayo</w:t>
            </w:r>
          </w:p>
        </w:tc>
        <w:tc>
          <w:tcPr>
            <w:cnfStyle w:val="000001000000" w:firstRow="0" w:lastRow="0" w:firstColumn="0" w:lastColumn="0" w:oddVBand="0" w:evenVBand="1" w:oddHBand="0" w:evenHBand="0" w:firstRowFirstColumn="0" w:firstRowLastColumn="0" w:lastRowFirstColumn="0" w:lastRowLastColumn="0"/>
            <w:tcW w:w="4899" w:type="dxa"/>
            <w:tcBorders>
              <w:left w:val="none" w:sz="0" w:space="0" w:color="auto"/>
              <w:right w:val="none" w:sz="0" w:space="0" w:color="auto"/>
            </w:tcBorders>
          </w:tcPr>
          <w:p w:rsidR="009A2F00" w:rsidRPr="000C16AC" w:rsidRDefault="009A2F00" w:rsidP="009C617A">
            <w:pPr>
              <w:pStyle w:val="Texto"/>
              <w:spacing w:line="222" w:lineRule="exact"/>
              <w:ind w:firstLine="0"/>
              <w:jc w:val="center"/>
              <w:rPr>
                <w:color w:val="000000"/>
                <w:szCs w:val="22"/>
              </w:rPr>
            </w:pPr>
            <w:r w:rsidRPr="000C16AC">
              <w:rPr>
                <w:color w:val="000000"/>
                <w:szCs w:val="22"/>
              </w:rPr>
              <w:t>20, 21 y del 24 al 28 y 31 de diciembre</w:t>
            </w:r>
          </w:p>
          <w:p w:rsidR="009A2F00" w:rsidRPr="000C16AC" w:rsidRDefault="009A2F00" w:rsidP="009C617A">
            <w:pPr>
              <w:pStyle w:val="Texto"/>
              <w:spacing w:line="222" w:lineRule="exact"/>
              <w:ind w:firstLine="0"/>
              <w:jc w:val="center"/>
              <w:rPr>
                <w:color w:val="000000"/>
                <w:szCs w:val="22"/>
              </w:rPr>
            </w:pPr>
            <w:r w:rsidRPr="000C16AC">
              <w:rPr>
                <w:color w:val="000000"/>
                <w:szCs w:val="22"/>
              </w:rPr>
              <w:t>1 al 4 de enero de 2019</w:t>
            </w:r>
          </w:p>
        </w:tc>
      </w:tr>
    </w:tbl>
    <w:p w:rsidR="009A2F00" w:rsidRPr="000C16AC" w:rsidRDefault="009A2F00" w:rsidP="009C617A">
      <w:pPr>
        <w:pStyle w:val="Texto"/>
        <w:spacing w:line="222" w:lineRule="exact"/>
        <w:rPr>
          <w:color w:val="000000"/>
          <w:szCs w:val="22"/>
        </w:rPr>
      </w:pPr>
      <w:r w:rsidRPr="000C16AC">
        <w:rPr>
          <w:b/>
          <w:color w:val="000000"/>
          <w:szCs w:val="22"/>
        </w:rPr>
        <w:t>QUINTO.-</w:t>
      </w:r>
      <w:r w:rsidRPr="000C16AC">
        <w:rPr>
          <w:color w:val="000000"/>
          <w:szCs w:val="22"/>
        </w:rPr>
        <w:t xml:space="preserve"> El Pleno del Instituto podrá habilitar días y horas inhábiles cuando así lo requiera el asunto o diligencia de que se trate.</w:t>
      </w:r>
    </w:p>
    <w:p w:rsidR="009A2F00" w:rsidRDefault="009A2F00" w:rsidP="00560549">
      <w:pPr>
        <w:pStyle w:val="Texto"/>
        <w:spacing w:line="204" w:lineRule="exact"/>
        <w:rPr>
          <w:color w:val="000000"/>
          <w:szCs w:val="22"/>
        </w:rPr>
      </w:pPr>
      <w:r w:rsidRPr="000C16AC">
        <w:rPr>
          <w:color w:val="000000"/>
          <w:szCs w:val="22"/>
        </w:rPr>
        <w:lastRenderedPageBreak/>
        <w:t xml:space="preserve">Asimismo y dentro del ámbito de sus atribuciones, el Titular de </w:t>
      </w:r>
      <w:smartTag w:uri="urn:schemas-microsoft-com:office:smarttags" w:element="PersonName">
        <w:smartTagPr>
          <w:attr w:name="ProductID" w:val="la Autoridad Investigadora"/>
        </w:smartTagPr>
        <w:r w:rsidRPr="000C16AC">
          <w:rPr>
            <w:color w:val="000000"/>
            <w:szCs w:val="22"/>
          </w:rPr>
          <w:t>la Autoridad Investigadora</w:t>
        </w:r>
      </w:smartTag>
      <w:r w:rsidRPr="000C16AC">
        <w:rPr>
          <w:color w:val="000000"/>
          <w:szCs w:val="22"/>
        </w:rPr>
        <w:t>, así como</w:t>
      </w:r>
      <w:r w:rsidR="00BD21DB">
        <w:rPr>
          <w:color w:val="000000"/>
          <w:szCs w:val="22"/>
        </w:rPr>
        <w:t xml:space="preserve"> </w:t>
      </w:r>
      <w:r w:rsidRPr="000C16AC">
        <w:rPr>
          <w:color w:val="000000"/>
          <w:szCs w:val="22"/>
        </w:rPr>
        <w:t>las Direcciones Generales y las Direcciones Generales Adjuntas del Instituto, podrán habilitar días y horas inhábiles, cuando hubiere causa que lo exija.</w:t>
      </w:r>
    </w:p>
    <w:p w:rsidR="009A2F00" w:rsidRPr="000C16AC" w:rsidRDefault="009A2F00" w:rsidP="00560549">
      <w:pPr>
        <w:pStyle w:val="Texto"/>
        <w:spacing w:line="204" w:lineRule="exact"/>
        <w:rPr>
          <w:color w:val="000000"/>
          <w:szCs w:val="22"/>
        </w:rPr>
      </w:pPr>
      <w:r w:rsidRPr="000C16AC">
        <w:rPr>
          <w:b/>
          <w:color w:val="000000"/>
          <w:szCs w:val="22"/>
        </w:rPr>
        <w:t>SEXTO.-</w:t>
      </w:r>
      <w:r w:rsidRPr="000C16AC">
        <w:rPr>
          <w:color w:val="000000"/>
          <w:szCs w:val="22"/>
        </w:rPr>
        <w:t xml:space="preserve"> Para las contrataciones de adquisición de bienes, arrendamientos, servicios, obra pública y la consolidación y cierre del ejercicio presupuestal 2018, no se considerarán como inhábiles los días 16, 17, 18, 19, 20, 23, 24, 25, 26 y 27 de julio y 20, 21, 24, 26, 27, 28 y 31 de diciembre de 2018, así como 2, 3 y 4 de enero de 2019.</w:t>
      </w:r>
    </w:p>
    <w:p w:rsidR="009A2F00" w:rsidRPr="000C16AC" w:rsidRDefault="009A2F00" w:rsidP="00560549">
      <w:pPr>
        <w:pStyle w:val="Texto"/>
        <w:spacing w:line="204" w:lineRule="exact"/>
        <w:rPr>
          <w:color w:val="000000"/>
          <w:szCs w:val="22"/>
        </w:rPr>
      </w:pPr>
      <w:r w:rsidRPr="000C16AC">
        <w:rPr>
          <w:b/>
          <w:color w:val="000000"/>
          <w:szCs w:val="22"/>
        </w:rPr>
        <w:t>SÉPTIMO.-</w:t>
      </w:r>
      <w:r w:rsidRPr="000C16AC">
        <w:rPr>
          <w:color w:val="000000"/>
          <w:szCs w:val="22"/>
        </w:rPr>
        <w:t xml:space="preserve"> Publíquese en el Diario Oficial de </w:t>
      </w:r>
      <w:smartTag w:uri="urn:schemas-microsoft-com:office:smarttags" w:element="PersonName">
        <w:smartTagPr>
          <w:attr w:name="ProductID" w:val="la Federaci￳n"/>
        </w:smartTagPr>
        <w:r w:rsidRPr="000C16AC">
          <w:rPr>
            <w:color w:val="000000"/>
            <w:szCs w:val="22"/>
          </w:rPr>
          <w:t>la Federación</w:t>
        </w:r>
      </w:smartTag>
      <w:r w:rsidRPr="000C16AC">
        <w:rPr>
          <w:color w:val="000000"/>
          <w:szCs w:val="22"/>
        </w:rPr>
        <w:t xml:space="preserve"> para los efectos legales conducentes.</w:t>
      </w:r>
    </w:p>
    <w:p w:rsidR="009A2F00" w:rsidRPr="004D1E74" w:rsidRDefault="009A2F00" w:rsidP="004D1E74">
      <w:pPr>
        <w:pStyle w:val="Ttulo2"/>
        <w:jc w:val="center"/>
        <w:rPr>
          <w:rFonts w:ascii="Times New Roman" w:hAnsi="Times New Roman" w:cs="Times New Roman"/>
          <w:b/>
        </w:rPr>
      </w:pPr>
      <w:r w:rsidRPr="004D1E74">
        <w:rPr>
          <w:rFonts w:ascii="Times New Roman" w:hAnsi="Times New Roman" w:cs="Times New Roman"/>
          <w:b/>
        </w:rPr>
        <w:t>TRANSITORIO</w:t>
      </w:r>
    </w:p>
    <w:p w:rsidR="009A2F00" w:rsidRDefault="009A2F00" w:rsidP="00560549">
      <w:pPr>
        <w:pStyle w:val="Texto"/>
        <w:spacing w:line="204" w:lineRule="exact"/>
        <w:rPr>
          <w:color w:val="000000"/>
          <w:szCs w:val="22"/>
        </w:rPr>
      </w:pPr>
      <w:r w:rsidRPr="000C16AC">
        <w:rPr>
          <w:b/>
          <w:color w:val="000000"/>
          <w:szCs w:val="22"/>
        </w:rPr>
        <w:t>ÚNICO.-</w:t>
      </w:r>
      <w:r w:rsidRPr="000C16AC">
        <w:rPr>
          <w:color w:val="000000"/>
          <w:szCs w:val="22"/>
        </w:rPr>
        <w:t xml:space="preserve"> El presente Acuerdo entrará en vigor al día siguiente al de su publicación en el Diario Oficial de</w:t>
      </w:r>
      <w:r w:rsidR="00BD21DB">
        <w:rPr>
          <w:color w:val="000000"/>
          <w:szCs w:val="22"/>
        </w:rPr>
        <w:t xml:space="preserve"> </w:t>
      </w:r>
      <w:smartTag w:uri="urn:schemas-microsoft-com:office:smarttags" w:element="PersonName">
        <w:smartTagPr>
          <w:attr w:name="ProductID" w:val="la Federaci￳n."/>
        </w:smartTagPr>
        <w:r w:rsidRPr="000C16AC">
          <w:rPr>
            <w:color w:val="000000"/>
            <w:szCs w:val="22"/>
          </w:rPr>
          <w:t>la Federación.</w:t>
        </w:r>
      </w:smartTag>
    </w:p>
    <w:p w:rsidR="009C617A" w:rsidRPr="000C50E1" w:rsidRDefault="009C617A" w:rsidP="00560549">
      <w:pPr>
        <w:pStyle w:val="Texto"/>
        <w:spacing w:line="204" w:lineRule="exact"/>
      </w:pPr>
      <w:r>
        <w:t xml:space="preserve">El </w:t>
      </w:r>
      <w:r w:rsidRPr="000C50E1">
        <w:t>Comisionado Presidente</w:t>
      </w:r>
      <w:r>
        <w:t xml:space="preserve">, </w:t>
      </w:r>
      <w:r w:rsidRPr="000C50E1">
        <w:rPr>
          <w:b/>
        </w:rPr>
        <w:t>Gabriel Oswaldo Contreras Saldívar</w:t>
      </w:r>
      <w:r>
        <w:t xml:space="preserve">.- Rúbrica.- </w:t>
      </w:r>
      <w:smartTag w:uri="urn:schemas-microsoft-com:office:smarttags" w:element="PersonName">
        <w:smartTagPr>
          <w:attr w:name="ProductID" w:val="La Comisionada"/>
        </w:smartTagPr>
        <w:r>
          <w:t>L</w:t>
        </w:r>
        <w:r w:rsidR="00840B87">
          <w:t>a</w:t>
        </w:r>
        <w:r>
          <w:t xml:space="preserve"> </w:t>
        </w:r>
        <w:r w:rsidRPr="000C50E1">
          <w:t>Comisionad</w:t>
        </w:r>
        <w:r w:rsidR="00840B87">
          <w:t>a</w:t>
        </w:r>
      </w:smartTag>
      <w:r w:rsidR="00840B87">
        <w:t>,</w:t>
      </w:r>
      <w:r>
        <w:t xml:space="preserve"> </w:t>
      </w:r>
      <w:r w:rsidRPr="000C50E1">
        <w:rPr>
          <w:b/>
        </w:rPr>
        <w:t>Adriana Sofía Labardini Inzunza</w:t>
      </w:r>
      <w:r>
        <w:t>.-</w:t>
      </w:r>
      <w:r w:rsidR="00840B87">
        <w:t xml:space="preserve"> </w:t>
      </w:r>
      <w:smartTag w:uri="urn:schemas-microsoft-com:office:smarttags" w:element="PersonName">
        <w:smartTagPr>
          <w:attr w:name="ProductID" w:val="La Comisionada"/>
        </w:smartTagPr>
        <w:r w:rsidR="00840B87">
          <w:t>La Comisionada</w:t>
        </w:r>
      </w:smartTag>
      <w:r w:rsidR="00840B87">
        <w:t>,</w:t>
      </w:r>
      <w:r>
        <w:t xml:space="preserve"> </w:t>
      </w:r>
      <w:r w:rsidRPr="00C9477C">
        <w:rPr>
          <w:b/>
        </w:rPr>
        <w:t>María Elena Estavillo Flores</w:t>
      </w:r>
      <w:r>
        <w:t xml:space="preserve">.- Rúbrica.- </w:t>
      </w:r>
      <w:r w:rsidR="00840B87">
        <w:t xml:space="preserve">El Comisionado, </w:t>
      </w:r>
      <w:r w:rsidRPr="00C9477C">
        <w:rPr>
          <w:b/>
        </w:rPr>
        <w:t>Mario Germán Fromow Rangel</w:t>
      </w:r>
      <w:r>
        <w:t xml:space="preserve">.- Rúbrica.- </w:t>
      </w:r>
      <w:r w:rsidR="00A87AB9">
        <w:t>El Comisionado</w:t>
      </w:r>
      <w:r w:rsidR="00840B87">
        <w:t xml:space="preserve">, </w:t>
      </w:r>
      <w:r w:rsidRPr="00C9477C">
        <w:rPr>
          <w:b/>
        </w:rPr>
        <w:t>Adolfo Cuevas Teja</w:t>
      </w:r>
      <w:r>
        <w:t>.- Rúbrica.-</w:t>
      </w:r>
      <w:r w:rsidR="00840B87">
        <w:t xml:space="preserve"> El Comisionado,</w:t>
      </w:r>
      <w:r>
        <w:t xml:space="preserve"> </w:t>
      </w:r>
      <w:r w:rsidRPr="00C9477C">
        <w:rPr>
          <w:b/>
        </w:rPr>
        <w:t>Javier Juárez Mojica</w:t>
      </w:r>
      <w:r>
        <w:t xml:space="preserve">.- Rúbrica.- </w:t>
      </w:r>
      <w:r w:rsidR="00840B87">
        <w:t>El Comisionado,</w:t>
      </w:r>
      <w:r>
        <w:t xml:space="preserve"> </w:t>
      </w:r>
      <w:r w:rsidRPr="00C9477C">
        <w:rPr>
          <w:b/>
        </w:rPr>
        <w:t>Arturo Robles Rovalo</w:t>
      </w:r>
      <w:r>
        <w:t>.- Rúbrica.</w:t>
      </w:r>
    </w:p>
    <w:p w:rsidR="009A2F00" w:rsidRDefault="009A2F00" w:rsidP="00560549">
      <w:pPr>
        <w:pStyle w:val="Texto"/>
        <w:spacing w:line="204" w:lineRule="exact"/>
        <w:rPr>
          <w:szCs w:val="14"/>
        </w:rPr>
      </w:pPr>
      <w:r w:rsidRPr="000C16AC">
        <w:rPr>
          <w:szCs w:val="14"/>
        </w:rPr>
        <w:t>El presente Acuerdo fue aprobado por el Pleno del Instituto Federal de Telecomunicaciones en su LIII Sesión Ordinaria celebrada el 13 de diciembre de 2017, por unanimidad de votos de los Comisionados Gabriel Oswaldo Contreras Saldívar, Adriana Sofía Labardini Inzunza, María Elena Estavillo Flores, Mario Germán Fromow Rangel, Adolfo Cuevas Teja, Javier Juárez Mojica y Arturo Robles Rovalo; con fundamento en</w:t>
      </w:r>
      <w:r w:rsidR="00BD21DB">
        <w:rPr>
          <w:szCs w:val="14"/>
        </w:rPr>
        <w:t xml:space="preserve"> </w:t>
      </w:r>
      <w:r w:rsidRPr="000C16AC">
        <w:rPr>
          <w:szCs w:val="14"/>
        </w:rPr>
        <w:t xml:space="preserve">los párrafos vigésimo, fracciones I y III; y vigésimo primero, del artículo 28 de </w:t>
      </w:r>
      <w:smartTag w:uri="urn:schemas-microsoft-com:office:smarttags" w:element="PersonName">
        <w:smartTagPr>
          <w:attr w:name="ProductID" w:val="la Constituci￳n Pol￭tica"/>
        </w:smartTagPr>
        <w:r w:rsidRPr="000C16AC">
          <w:rPr>
            <w:szCs w:val="14"/>
          </w:rPr>
          <w:t>la Constitución Política</w:t>
        </w:r>
      </w:smartTag>
      <w:r w:rsidRPr="000C16AC">
        <w:rPr>
          <w:szCs w:val="14"/>
        </w:rPr>
        <w:t xml:space="preserve"> de los Estados Unidos Mexicanos; artículos 7, 16 y 45 de </w:t>
      </w:r>
      <w:smartTag w:uri="urn:schemas-microsoft-com:office:smarttags" w:element="PersonName">
        <w:smartTagPr>
          <w:attr w:name="ProductID" w:val="la Ley Federal"/>
        </w:smartTagPr>
        <w:r w:rsidRPr="000C16AC">
          <w:rPr>
            <w:szCs w:val="14"/>
          </w:rPr>
          <w:t>la Ley Federal</w:t>
        </w:r>
      </w:smartTag>
      <w:r w:rsidRPr="000C16AC">
        <w:rPr>
          <w:szCs w:val="14"/>
        </w:rPr>
        <w:t xml:space="preserve"> de Telecomunicaciones y Radiodifusión; así como en los artículos 1, 7, 8 y 12 del Estatuto Orgánico del Instituto Federal de Telecomunicaciones, mediante Acuerdo P/IFT/131217/882.</w:t>
      </w:r>
    </w:p>
    <w:p w:rsidR="009A2F00" w:rsidRDefault="009A2F00" w:rsidP="00560549">
      <w:pPr>
        <w:pStyle w:val="Texto"/>
        <w:spacing w:line="204" w:lineRule="exact"/>
        <w:rPr>
          <w:szCs w:val="24"/>
        </w:rPr>
      </w:pPr>
      <w:smartTag w:uri="urn:schemas-microsoft-com:office:smarttags" w:element="PersonName">
        <w:smartTagPr>
          <w:attr w:name="ProductID" w:val="La Comisionada Adriana"/>
        </w:smartTagPr>
        <w:r w:rsidRPr="000C16AC">
          <w:rPr>
            <w:szCs w:val="14"/>
          </w:rPr>
          <w:t>La Comisionada Adriana</w:t>
        </w:r>
      </w:smartTag>
      <w:r w:rsidRPr="000C16AC">
        <w:rPr>
          <w:szCs w:val="14"/>
        </w:rPr>
        <w:t xml:space="preserve"> Sofía Labardini Inzunza, previendo su ausencia justificada a la sesión, emitió</w:t>
      </w:r>
      <w:r w:rsidR="00BD21DB">
        <w:rPr>
          <w:szCs w:val="14"/>
        </w:rPr>
        <w:t xml:space="preserve"> </w:t>
      </w:r>
      <w:r w:rsidRPr="000C16AC">
        <w:rPr>
          <w:szCs w:val="14"/>
        </w:rPr>
        <w:t xml:space="preserve">su voto razonado por escrito, en términos de los artículos 45 tercer párrafo de </w:t>
      </w:r>
      <w:smartTag w:uri="urn:schemas-microsoft-com:office:smarttags" w:element="PersonName">
        <w:smartTagPr>
          <w:attr w:name="ProductID" w:val="la Ley Federal"/>
        </w:smartTagPr>
        <w:r w:rsidRPr="000C16AC">
          <w:rPr>
            <w:szCs w:val="14"/>
          </w:rPr>
          <w:t>la Ley Federal</w:t>
        </w:r>
      </w:smartTag>
      <w:r w:rsidRPr="000C16AC">
        <w:rPr>
          <w:szCs w:val="14"/>
        </w:rPr>
        <w:t xml:space="preserve"> de Telecomunicaciones y Radiodifusión, y 8 segundo párrafo del Estatuto Orgánico del Instituto Feder</w:t>
      </w:r>
      <w:r w:rsidR="009C617A">
        <w:rPr>
          <w:szCs w:val="14"/>
        </w:rPr>
        <w:t>al</w:t>
      </w:r>
      <w:r w:rsidR="00BD21DB">
        <w:rPr>
          <w:szCs w:val="14"/>
        </w:rPr>
        <w:t xml:space="preserve"> </w:t>
      </w:r>
      <w:r w:rsidRPr="000C16AC">
        <w:rPr>
          <w:szCs w:val="14"/>
        </w:rPr>
        <w:t>de Telecomunicaciones.</w:t>
      </w:r>
    </w:p>
    <w:p w:rsidR="00BD21DB" w:rsidRDefault="009A2F00" w:rsidP="009C617A">
      <w:pPr>
        <w:pStyle w:val="Texto"/>
        <w:jc w:val="right"/>
        <w:rPr>
          <w:b/>
        </w:rPr>
      </w:pPr>
      <w:r w:rsidRPr="007D6DF8">
        <w:rPr>
          <w:b/>
        </w:rPr>
        <w:t>(R.- 460677)</w:t>
      </w:r>
    </w:p>
    <w:sectPr w:rsidR="00BD21DB" w:rsidSect="00560549">
      <w:headerReference w:type="even" r:id="rId7"/>
      <w:headerReference w:type="default" r:id="rId8"/>
      <w:pgSz w:w="12240" w:h="15840" w:code="1"/>
      <w:pgMar w:top="1152" w:right="1699" w:bottom="1296" w:left="1699" w:header="706" w:footer="706"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2A" w:rsidRDefault="0080642A">
      <w:r>
        <w:separator/>
      </w:r>
    </w:p>
  </w:endnote>
  <w:endnote w:type="continuationSeparator" w:id="0">
    <w:p w:rsidR="0080642A" w:rsidRDefault="0080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A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2A" w:rsidRDefault="0080642A">
      <w:r>
        <w:separator/>
      </w:r>
    </w:p>
  </w:footnote>
  <w:footnote w:type="continuationSeparator" w:id="0">
    <w:p w:rsidR="0080642A" w:rsidRDefault="0080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AF" w:rsidRPr="00BD21DB" w:rsidRDefault="005822AF" w:rsidP="00AA5F66">
    <w:pPr>
      <w:pStyle w:val="Fechas"/>
      <w:rPr>
        <w:rFonts w:cs="Times New Roman"/>
      </w:rPr>
    </w:pPr>
    <w:r w:rsidRPr="00BD21DB">
      <w:rPr>
        <w:rFonts w:cs="Times New Roman"/>
      </w:rPr>
      <w:t xml:space="preserve"> (Primera Sección)</w:t>
    </w:r>
    <w:r w:rsidRPr="00BD21DB">
      <w:rPr>
        <w:rFonts w:cs="Times New Roman"/>
      </w:rPr>
      <w:tab/>
      <w:t>DIARIO OFICIAL</w:t>
    </w:r>
    <w:r w:rsidRPr="00BD21DB">
      <w:rPr>
        <w:rFonts w:cs="Times New Roman"/>
      </w:rPr>
      <w:tab/>
      <w:t>Miércoles 20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AF" w:rsidRPr="00BD21DB" w:rsidRDefault="005822AF" w:rsidP="00AA5F66">
    <w:pPr>
      <w:pStyle w:val="Fechas"/>
      <w:rPr>
        <w:rFonts w:cs="Times New Roman"/>
      </w:rPr>
    </w:pPr>
    <w:r w:rsidRPr="00BD21DB">
      <w:rPr>
        <w:rFonts w:cs="Times New Roman"/>
      </w:rPr>
      <w:t>Miércoles 20 de diciembre de 2017</w:t>
    </w:r>
    <w:r w:rsidRPr="00BD21DB">
      <w:rPr>
        <w:rFonts w:cs="Times New Roman"/>
      </w:rPr>
      <w:tab/>
      <w:t>DIARIO OFICIAL</w:t>
    </w:r>
    <w:r w:rsidRPr="00BD21DB">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449C47CD"/>
    <w:multiLevelType w:val="hybridMultilevel"/>
    <w:tmpl w:val="A37098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15"/>
    <w:rsid w:val="00007D5B"/>
    <w:rsid w:val="00023FDE"/>
    <w:rsid w:val="00025505"/>
    <w:rsid w:val="00030FA7"/>
    <w:rsid w:val="000468AF"/>
    <w:rsid w:val="00046AF3"/>
    <w:rsid w:val="000643A3"/>
    <w:rsid w:val="00070CDB"/>
    <w:rsid w:val="00076A4F"/>
    <w:rsid w:val="0008366A"/>
    <w:rsid w:val="00083B96"/>
    <w:rsid w:val="00085CFF"/>
    <w:rsid w:val="00090755"/>
    <w:rsid w:val="000934C4"/>
    <w:rsid w:val="000B42E5"/>
    <w:rsid w:val="000B698E"/>
    <w:rsid w:val="000C50D4"/>
    <w:rsid w:val="000E6BF1"/>
    <w:rsid w:val="000F0FA3"/>
    <w:rsid w:val="000F3ABE"/>
    <w:rsid w:val="000F706A"/>
    <w:rsid w:val="0010703B"/>
    <w:rsid w:val="001303A7"/>
    <w:rsid w:val="00140A5C"/>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246A"/>
    <w:rsid w:val="001E6179"/>
    <w:rsid w:val="001E6CB1"/>
    <w:rsid w:val="001F09BB"/>
    <w:rsid w:val="001F6325"/>
    <w:rsid w:val="0020245C"/>
    <w:rsid w:val="002214D8"/>
    <w:rsid w:val="002335BD"/>
    <w:rsid w:val="0025082C"/>
    <w:rsid w:val="00254852"/>
    <w:rsid w:val="00255299"/>
    <w:rsid w:val="002762BF"/>
    <w:rsid w:val="00282554"/>
    <w:rsid w:val="00285BE5"/>
    <w:rsid w:val="00286668"/>
    <w:rsid w:val="00286818"/>
    <w:rsid w:val="00290296"/>
    <w:rsid w:val="0029033A"/>
    <w:rsid w:val="00291CA7"/>
    <w:rsid w:val="002940B6"/>
    <w:rsid w:val="00297217"/>
    <w:rsid w:val="002B00EE"/>
    <w:rsid w:val="002B127D"/>
    <w:rsid w:val="002B37B4"/>
    <w:rsid w:val="002B3857"/>
    <w:rsid w:val="002B5EB9"/>
    <w:rsid w:val="002C3644"/>
    <w:rsid w:val="002D476D"/>
    <w:rsid w:val="002E0094"/>
    <w:rsid w:val="002F6279"/>
    <w:rsid w:val="002F666A"/>
    <w:rsid w:val="0030321A"/>
    <w:rsid w:val="003041C5"/>
    <w:rsid w:val="00306951"/>
    <w:rsid w:val="00321BF4"/>
    <w:rsid w:val="00323864"/>
    <w:rsid w:val="0032394E"/>
    <w:rsid w:val="003264DE"/>
    <w:rsid w:val="00326B04"/>
    <w:rsid w:val="00330780"/>
    <w:rsid w:val="003340A4"/>
    <w:rsid w:val="00357A6B"/>
    <w:rsid w:val="0036410B"/>
    <w:rsid w:val="003656C6"/>
    <w:rsid w:val="003660F7"/>
    <w:rsid w:val="00373DFE"/>
    <w:rsid w:val="0039202C"/>
    <w:rsid w:val="003958AA"/>
    <w:rsid w:val="003967FE"/>
    <w:rsid w:val="003A09A3"/>
    <w:rsid w:val="003A64BF"/>
    <w:rsid w:val="003B2214"/>
    <w:rsid w:val="003B46F2"/>
    <w:rsid w:val="003C5EB9"/>
    <w:rsid w:val="003D3A40"/>
    <w:rsid w:val="003D6457"/>
    <w:rsid w:val="003E3A57"/>
    <w:rsid w:val="003E5783"/>
    <w:rsid w:val="003E7472"/>
    <w:rsid w:val="00410B8C"/>
    <w:rsid w:val="00412ED6"/>
    <w:rsid w:val="004142D5"/>
    <w:rsid w:val="004250F5"/>
    <w:rsid w:val="004273D0"/>
    <w:rsid w:val="0042779F"/>
    <w:rsid w:val="004352A9"/>
    <w:rsid w:val="00440349"/>
    <w:rsid w:val="004511BA"/>
    <w:rsid w:val="00453D17"/>
    <w:rsid w:val="0046400A"/>
    <w:rsid w:val="00464085"/>
    <w:rsid w:val="004652D9"/>
    <w:rsid w:val="00465E99"/>
    <w:rsid w:val="00475BE2"/>
    <w:rsid w:val="00477715"/>
    <w:rsid w:val="0048718E"/>
    <w:rsid w:val="00491FF9"/>
    <w:rsid w:val="004A7426"/>
    <w:rsid w:val="004B2F2C"/>
    <w:rsid w:val="004C174C"/>
    <w:rsid w:val="004C49C6"/>
    <w:rsid w:val="004D1E74"/>
    <w:rsid w:val="004D4A72"/>
    <w:rsid w:val="004E6B1F"/>
    <w:rsid w:val="004E77FB"/>
    <w:rsid w:val="004F3FE9"/>
    <w:rsid w:val="004F6559"/>
    <w:rsid w:val="00502367"/>
    <w:rsid w:val="00512CDB"/>
    <w:rsid w:val="00514993"/>
    <w:rsid w:val="00522551"/>
    <w:rsid w:val="0052582F"/>
    <w:rsid w:val="00534337"/>
    <w:rsid w:val="00534A44"/>
    <w:rsid w:val="0053581A"/>
    <w:rsid w:val="00535845"/>
    <w:rsid w:val="00537A5C"/>
    <w:rsid w:val="0054345D"/>
    <w:rsid w:val="005438AB"/>
    <w:rsid w:val="00543991"/>
    <w:rsid w:val="0054733E"/>
    <w:rsid w:val="0055349C"/>
    <w:rsid w:val="00560549"/>
    <w:rsid w:val="00567317"/>
    <w:rsid w:val="005724B9"/>
    <w:rsid w:val="005822AF"/>
    <w:rsid w:val="005A0268"/>
    <w:rsid w:val="005A0954"/>
    <w:rsid w:val="005C278B"/>
    <w:rsid w:val="005C4019"/>
    <w:rsid w:val="005C75DE"/>
    <w:rsid w:val="005D3024"/>
    <w:rsid w:val="005D7D14"/>
    <w:rsid w:val="005F4AC0"/>
    <w:rsid w:val="006231E1"/>
    <w:rsid w:val="00627360"/>
    <w:rsid w:val="00627D1A"/>
    <w:rsid w:val="0063495E"/>
    <w:rsid w:val="00634C63"/>
    <w:rsid w:val="00656CFF"/>
    <w:rsid w:val="00670946"/>
    <w:rsid w:val="006711A8"/>
    <w:rsid w:val="00674139"/>
    <w:rsid w:val="00677C8F"/>
    <w:rsid w:val="00681BC5"/>
    <w:rsid w:val="00686752"/>
    <w:rsid w:val="00691836"/>
    <w:rsid w:val="0069357B"/>
    <w:rsid w:val="00697B7C"/>
    <w:rsid w:val="006A174B"/>
    <w:rsid w:val="006B134A"/>
    <w:rsid w:val="006B7539"/>
    <w:rsid w:val="006C30AE"/>
    <w:rsid w:val="006D2E40"/>
    <w:rsid w:val="006E2487"/>
    <w:rsid w:val="006E4EE3"/>
    <w:rsid w:val="006E66EC"/>
    <w:rsid w:val="006F32BD"/>
    <w:rsid w:val="006F785A"/>
    <w:rsid w:val="0070415B"/>
    <w:rsid w:val="00714BFA"/>
    <w:rsid w:val="00717A6D"/>
    <w:rsid w:val="00724703"/>
    <w:rsid w:val="00726C57"/>
    <w:rsid w:val="00735E9D"/>
    <w:rsid w:val="00737435"/>
    <w:rsid w:val="00741ABD"/>
    <w:rsid w:val="00741BE6"/>
    <w:rsid w:val="00746FC8"/>
    <w:rsid w:val="007570C1"/>
    <w:rsid w:val="007578BE"/>
    <w:rsid w:val="00793D07"/>
    <w:rsid w:val="00797AB4"/>
    <w:rsid w:val="007A0956"/>
    <w:rsid w:val="007D00B8"/>
    <w:rsid w:val="007D0C3B"/>
    <w:rsid w:val="007D286A"/>
    <w:rsid w:val="0080642A"/>
    <w:rsid w:val="00816C4D"/>
    <w:rsid w:val="00827CE1"/>
    <w:rsid w:val="0083080F"/>
    <w:rsid w:val="00832E88"/>
    <w:rsid w:val="00840B87"/>
    <w:rsid w:val="008412BC"/>
    <w:rsid w:val="00842BE6"/>
    <w:rsid w:val="00842FB8"/>
    <w:rsid w:val="008651ED"/>
    <w:rsid w:val="00875A59"/>
    <w:rsid w:val="00876525"/>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5FD8"/>
    <w:rsid w:val="009167A0"/>
    <w:rsid w:val="009200A2"/>
    <w:rsid w:val="009329FB"/>
    <w:rsid w:val="00945F33"/>
    <w:rsid w:val="00947152"/>
    <w:rsid w:val="00966139"/>
    <w:rsid w:val="00972BD7"/>
    <w:rsid w:val="00975511"/>
    <w:rsid w:val="009855BF"/>
    <w:rsid w:val="009932CA"/>
    <w:rsid w:val="009A2F00"/>
    <w:rsid w:val="009A4944"/>
    <w:rsid w:val="009A7654"/>
    <w:rsid w:val="009B0371"/>
    <w:rsid w:val="009C02DA"/>
    <w:rsid w:val="009C0398"/>
    <w:rsid w:val="009C617A"/>
    <w:rsid w:val="009E1274"/>
    <w:rsid w:val="009E1AC6"/>
    <w:rsid w:val="009E3B35"/>
    <w:rsid w:val="009E63EA"/>
    <w:rsid w:val="009F050F"/>
    <w:rsid w:val="00A1591D"/>
    <w:rsid w:val="00A27C24"/>
    <w:rsid w:val="00A31E9B"/>
    <w:rsid w:val="00A333DC"/>
    <w:rsid w:val="00A53D31"/>
    <w:rsid w:val="00A7010C"/>
    <w:rsid w:val="00A73F8A"/>
    <w:rsid w:val="00A76032"/>
    <w:rsid w:val="00A8099D"/>
    <w:rsid w:val="00A81D62"/>
    <w:rsid w:val="00A83644"/>
    <w:rsid w:val="00A84922"/>
    <w:rsid w:val="00A87AB9"/>
    <w:rsid w:val="00A90AE8"/>
    <w:rsid w:val="00A971BB"/>
    <w:rsid w:val="00AA5F66"/>
    <w:rsid w:val="00AA7550"/>
    <w:rsid w:val="00AB7088"/>
    <w:rsid w:val="00AC017B"/>
    <w:rsid w:val="00AC2AA2"/>
    <w:rsid w:val="00AD24D5"/>
    <w:rsid w:val="00AD410D"/>
    <w:rsid w:val="00AD54E0"/>
    <w:rsid w:val="00AE00D6"/>
    <w:rsid w:val="00B00632"/>
    <w:rsid w:val="00B073A2"/>
    <w:rsid w:val="00B14C29"/>
    <w:rsid w:val="00B16746"/>
    <w:rsid w:val="00B170E8"/>
    <w:rsid w:val="00B17DFA"/>
    <w:rsid w:val="00B3114F"/>
    <w:rsid w:val="00B34891"/>
    <w:rsid w:val="00B3769E"/>
    <w:rsid w:val="00B52ED8"/>
    <w:rsid w:val="00B63531"/>
    <w:rsid w:val="00B7008A"/>
    <w:rsid w:val="00B717B3"/>
    <w:rsid w:val="00B859B6"/>
    <w:rsid w:val="00BB1CCD"/>
    <w:rsid w:val="00BB26D3"/>
    <w:rsid w:val="00BD21DB"/>
    <w:rsid w:val="00BF091C"/>
    <w:rsid w:val="00BF0D43"/>
    <w:rsid w:val="00BF48A3"/>
    <w:rsid w:val="00C009E0"/>
    <w:rsid w:val="00C01B5D"/>
    <w:rsid w:val="00C258E4"/>
    <w:rsid w:val="00C32A8D"/>
    <w:rsid w:val="00C563D2"/>
    <w:rsid w:val="00C623C8"/>
    <w:rsid w:val="00C7152E"/>
    <w:rsid w:val="00C72F0B"/>
    <w:rsid w:val="00C8415B"/>
    <w:rsid w:val="00C9060E"/>
    <w:rsid w:val="00C91B84"/>
    <w:rsid w:val="00C96371"/>
    <w:rsid w:val="00C97590"/>
    <w:rsid w:val="00CA0BAE"/>
    <w:rsid w:val="00CA2FDC"/>
    <w:rsid w:val="00CA3BBA"/>
    <w:rsid w:val="00CA6737"/>
    <w:rsid w:val="00CB6995"/>
    <w:rsid w:val="00CC016D"/>
    <w:rsid w:val="00CC0602"/>
    <w:rsid w:val="00CC39A6"/>
    <w:rsid w:val="00CC71C5"/>
    <w:rsid w:val="00CD6850"/>
    <w:rsid w:val="00CE06BF"/>
    <w:rsid w:val="00CF3B2E"/>
    <w:rsid w:val="00CF6193"/>
    <w:rsid w:val="00D04785"/>
    <w:rsid w:val="00D32C7D"/>
    <w:rsid w:val="00D34588"/>
    <w:rsid w:val="00D3478E"/>
    <w:rsid w:val="00D34D1C"/>
    <w:rsid w:val="00D36C73"/>
    <w:rsid w:val="00D41792"/>
    <w:rsid w:val="00D42FD2"/>
    <w:rsid w:val="00D501B2"/>
    <w:rsid w:val="00D53F35"/>
    <w:rsid w:val="00D54C2F"/>
    <w:rsid w:val="00D550E6"/>
    <w:rsid w:val="00D60AAD"/>
    <w:rsid w:val="00D64953"/>
    <w:rsid w:val="00D71CCD"/>
    <w:rsid w:val="00D87572"/>
    <w:rsid w:val="00DA0A97"/>
    <w:rsid w:val="00DA78B8"/>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42E31"/>
    <w:rsid w:val="00F512E2"/>
    <w:rsid w:val="00F51E5E"/>
    <w:rsid w:val="00F6138A"/>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4D03"/>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9E7428C-41BF-47E0-A558-49E411F7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4D1E74"/>
    <w:pP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extocomentarioCar">
    <w:name w:val="Texto comentario Car"/>
    <w:link w:val="Textocomentario"/>
    <w:rsid w:val="00477715"/>
    <w:rPr>
      <w:rFonts w:ascii="CaAibri" w:hAnsi="CaAibri" w:cs="CaAibri"/>
    </w:rPr>
  </w:style>
  <w:style w:type="paragraph" w:styleId="Textocomentario">
    <w:name w:val="annotation text"/>
    <w:basedOn w:val="Normal"/>
    <w:link w:val="TextocomentarioCar"/>
    <w:rsid w:val="00477715"/>
    <w:pPr>
      <w:spacing w:after="160"/>
    </w:pPr>
    <w:rPr>
      <w:rFonts w:ascii="CaAibri" w:hAnsi="CaAibri" w:cs="CaAibri"/>
      <w:sz w:val="20"/>
      <w:szCs w:val="20"/>
      <w:lang w:val="es-MX" w:eastAsia="es-MX"/>
    </w:rPr>
  </w:style>
  <w:style w:type="table" w:styleId="Tablaconcuadrcula">
    <w:name w:val="Table Grid"/>
    <w:basedOn w:val="Tablanormal"/>
    <w:uiPriority w:val="59"/>
    <w:rsid w:val="00AA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78B"/>
    <w:rPr>
      <w:rFonts w:ascii="Segoe UI" w:hAnsi="Segoe UI" w:cs="Segoe UI"/>
      <w:sz w:val="18"/>
      <w:szCs w:val="18"/>
    </w:rPr>
  </w:style>
  <w:style w:type="character" w:customStyle="1" w:styleId="TextodegloboCar">
    <w:name w:val="Texto de globo Car"/>
    <w:link w:val="Textodeglobo"/>
    <w:uiPriority w:val="99"/>
    <w:semiHidden/>
    <w:rsid w:val="005C278B"/>
    <w:rPr>
      <w:rFonts w:ascii="Segoe UI" w:hAnsi="Segoe UI" w:cs="Segoe UI"/>
      <w:sz w:val="18"/>
      <w:szCs w:val="18"/>
      <w:lang w:val="es-ES" w:eastAsia="es-ES"/>
    </w:rPr>
  </w:style>
  <w:style w:type="paragraph" w:customStyle="1" w:styleId="Sumario">
    <w:name w:val="Sumario"/>
    <w:basedOn w:val="Normal"/>
    <w:rsid w:val="00BD21D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BD21DB"/>
    <w:pPr>
      <w:tabs>
        <w:tab w:val="right" w:leader="dot" w:pos="8100"/>
        <w:tab w:val="right" w:pos="8640"/>
      </w:tabs>
      <w:spacing w:line="334" w:lineRule="exact"/>
      <w:ind w:left="274" w:right="749"/>
      <w:jc w:val="both"/>
    </w:pPr>
    <w:rPr>
      <w:b/>
      <w:sz w:val="20"/>
      <w:szCs w:val="20"/>
      <w:u w:val="single"/>
      <w:lang w:val="es-ES_tradnl"/>
    </w:rPr>
  </w:style>
  <w:style w:type="paragraph" w:customStyle="1" w:styleId="1TitPrin">
    <w:name w:val="1TitPrin"/>
    <w:basedOn w:val="Ttulo1"/>
    <w:link w:val="1TitPrinCar"/>
    <w:autoRedefine/>
    <w:qFormat/>
    <w:rsid w:val="004D1E74"/>
    <w:pPr>
      <w:pBdr>
        <w:bottom w:val="none" w:sz="0" w:space="0" w:color="auto"/>
        <w:between w:val="none" w:sz="0" w:space="0" w:color="auto"/>
      </w:pBdr>
      <w:spacing w:before="0" w:afterLines="50" w:after="120" w:line="276" w:lineRule="auto"/>
    </w:pPr>
    <w:rPr>
      <w:rFonts w:eastAsia="Calibri" w:cs="Times New Roman"/>
      <w:color w:val="000000"/>
      <w:szCs w:val="18"/>
      <w:lang w:val="es-ES_tradnl"/>
    </w:rPr>
  </w:style>
  <w:style w:type="character" w:customStyle="1" w:styleId="1TitPrinCar">
    <w:name w:val="1TitPrin Car"/>
    <w:link w:val="1TitPrin"/>
    <w:rsid w:val="004D1E74"/>
    <w:rPr>
      <w:rFonts w:eastAsia="Calibri"/>
      <w:b/>
      <w:color w:val="000000"/>
      <w:sz w:val="18"/>
      <w:szCs w:val="18"/>
      <w:lang w:val="es-ES_tradnl" w:eastAsia="es-ES"/>
    </w:rPr>
  </w:style>
  <w:style w:type="table" w:styleId="Tablanormal2">
    <w:name w:val="Plain Table 2"/>
    <w:basedOn w:val="Tablanormal"/>
    <w:uiPriority w:val="42"/>
    <w:rsid w:val="004D1E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achecov\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9</TotalTime>
  <Pages>2</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4</cp:revision>
  <cp:lastPrinted>2017-12-15T01:28:00Z</cp:lastPrinted>
  <dcterms:created xsi:type="dcterms:W3CDTF">2017-12-28T16:47:00Z</dcterms:created>
  <dcterms:modified xsi:type="dcterms:W3CDTF">2018-01-12T20:50:00Z</dcterms:modified>
</cp:coreProperties>
</file>