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5A" w:rsidRPr="00C27C7B" w:rsidRDefault="0058665A" w:rsidP="0001358B">
      <w:pPr>
        <w:pStyle w:val="Ttulo1"/>
        <w:keepNext/>
        <w:keepLines/>
        <w:pBdr>
          <w:bottom w:val="none" w:sz="0" w:space="0" w:color="auto"/>
          <w:between w:val="none" w:sz="0" w:space="0" w:color="auto"/>
        </w:pBdr>
        <w:spacing w:before="240" w:after="240"/>
        <w:rPr>
          <w:rFonts w:cs="Times New Roman"/>
        </w:rPr>
      </w:pPr>
      <w:r w:rsidRPr="00C27C7B">
        <w:rPr>
          <w:rFonts w:cs="Times New Roman"/>
        </w:rPr>
        <w:t xml:space="preserve">ACUERDO mediante el cual el </w:t>
      </w:r>
      <w:r w:rsidR="00731430" w:rsidRPr="00C27C7B">
        <w:rPr>
          <w:rFonts w:cs="Times New Roman"/>
        </w:rPr>
        <w:t xml:space="preserve">Pleno </w:t>
      </w:r>
      <w:r w:rsidRPr="00C27C7B">
        <w:rPr>
          <w:rFonts w:cs="Times New Roman"/>
        </w:rPr>
        <w:t xml:space="preserve">del Instituto Federal de Telecomunicaciones delega en el </w:t>
      </w:r>
      <w:r w:rsidR="00731430" w:rsidRPr="00C27C7B">
        <w:rPr>
          <w:rFonts w:cs="Times New Roman"/>
        </w:rPr>
        <w:t xml:space="preserve">Titular </w:t>
      </w:r>
      <w:r w:rsidRPr="00C27C7B">
        <w:rPr>
          <w:rFonts w:cs="Times New Roman"/>
        </w:rPr>
        <w:t xml:space="preserve">de la </w:t>
      </w:r>
      <w:r w:rsidR="00731430" w:rsidRPr="00C27C7B">
        <w:rPr>
          <w:rFonts w:cs="Times New Roman"/>
        </w:rPr>
        <w:t xml:space="preserve">Unidad </w:t>
      </w:r>
      <w:r w:rsidRPr="00C27C7B">
        <w:rPr>
          <w:rFonts w:cs="Times New Roman"/>
        </w:rPr>
        <w:t xml:space="preserve">de </w:t>
      </w:r>
      <w:r w:rsidR="00731430" w:rsidRPr="00C27C7B">
        <w:rPr>
          <w:rFonts w:cs="Times New Roman"/>
        </w:rPr>
        <w:t xml:space="preserve">Política Regulatoria </w:t>
      </w:r>
      <w:r w:rsidRPr="00C27C7B">
        <w:rPr>
          <w:rFonts w:cs="Times New Roman"/>
        </w:rPr>
        <w:t xml:space="preserve">del propio </w:t>
      </w:r>
      <w:r w:rsidR="005D2232" w:rsidRPr="00C27C7B">
        <w:rPr>
          <w:rFonts w:cs="Times New Roman"/>
        </w:rPr>
        <w:t>Instituto</w:t>
      </w:r>
      <w:r w:rsidRPr="00C27C7B">
        <w:rPr>
          <w:rFonts w:cs="Times New Roman"/>
        </w:rPr>
        <w:t xml:space="preserve">, la facultad de ordenar la prestación de los servicios o el acceso a la infraestructura </w:t>
      </w:r>
      <w:r w:rsidRPr="0001358B">
        <w:rPr>
          <w:rFonts w:cs="Times New Roman"/>
          <w:szCs w:val="18"/>
        </w:rPr>
        <w:t>materia</w:t>
      </w:r>
      <w:r w:rsidRPr="00C27C7B">
        <w:rPr>
          <w:rFonts w:cs="Times New Roman"/>
        </w:rPr>
        <w:t xml:space="preserve"> de la controversia, con independencia de que el </w:t>
      </w:r>
      <w:r w:rsidR="005D2232" w:rsidRPr="00C27C7B">
        <w:rPr>
          <w:rFonts w:cs="Times New Roman"/>
        </w:rPr>
        <w:t xml:space="preserve">Instituto </w:t>
      </w:r>
      <w:r w:rsidRPr="00C27C7B">
        <w:rPr>
          <w:rFonts w:cs="Times New Roman"/>
        </w:rPr>
        <w:t>resuelva con posterioridad sobre las tarifas respectivas, a condición de que se le otorgue una garantía para asegurar el cumplimiento de las obligaciones contractuales.</w:t>
      </w:r>
    </w:p>
    <w:p w:rsidR="0058665A" w:rsidRPr="00C27C7B" w:rsidRDefault="0058665A" w:rsidP="003D4F83">
      <w:pPr>
        <w:pStyle w:val="Titulo2"/>
      </w:pPr>
      <w:r w:rsidRPr="00C27C7B">
        <w:t>Al margen un logotipo, que dice: Instituto Federal de Telecomunicaciones.</w:t>
      </w:r>
    </w:p>
    <w:p w:rsidR="0058665A" w:rsidRPr="0058665A" w:rsidRDefault="0058665A" w:rsidP="0001358B">
      <w:pPr>
        <w:pStyle w:val="Ttulo2"/>
        <w:spacing w:before="240" w:after="240"/>
        <w:rPr>
          <w:rFonts w:cs="Arial"/>
          <w:bCs/>
          <w:color w:val="000000"/>
          <w:sz w:val="16"/>
          <w:szCs w:val="16"/>
        </w:rPr>
      </w:pPr>
      <w:r w:rsidRPr="0058665A">
        <w:rPr>
          <w:rFonts w:cs="Arial"/>
          <w:bCs/>
          <w:color w:val="000000"/>
          <w:sz w:val="16"/>
          <w:szCs w:val="16"/>
        </w:rPr>
        <w:t xml:space="preserve">ACUERDO MEDIANTE EL CUAL EL PLENO DEL INSTITUTO FEDERAL DE TELECOMUNICACIONES DELEGA EN EL TITULAR DE LA UNIDAD DE POLÍTICA REGULATORIA DEL PROPIO INSTITUTO, LA FACULTAD DE ORDENAR LA PRESTACIÓN DE LOS SERVICIOS O EL ACCESO A LA INFRAESTRUCTURA MATERIA DE LA CONTROVERSIA, CON INDEPENDENCIA DE QUE EL </w:t>
      </w:r>
      <w:r w:rsidRPr="0001358B">
        <w:rPr>
          <w:rFonts w:eastAsiaTheme="majorEastAsia" w:cs="Arial"/>
          <w:kern w:val="2"/>
          <w:sz w:val="16"/>
          <w:szCs w:val="16"/>
          <w:lang w:val="es-MX" w:eastAsia="en-US"/>
        </w:rPr>
        <w:t>INSTITUTO</w:t>
      </w:r>
      <w:r w:rsidRPr="0058665A">
        <w:rPr>
          <w:rFonts w:cs="Arial"/>
          <w:bCs/>
          <w:color w:val="000000"/>
          <w:sz w:val="16"/>
          <w:szCs w:val="16"/>
        </w:rPr>
        <w:t xml:space="preserve"> RESUELVA CON POSTERIORIDAD SOBRE LAS TARIFAS RESPECTIVAS, A CONDICIÓN DE QUE SE LE OTORGUE UNA GARANTÍA PARA ASEGURAR EL CUMPLIMIENTO DE LAS OBLIGACIONES CONTRACTUALES</w:t>
      </w:r>
    </w:p>
    <w:p w:rsidR="0058665A" w:rsidRPr="0058665A" w:rsidRDefault="0058665A" w:rsidP="0058665A">
      <w:pPr>
        <w:spacing w:after="101" w:line="260"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El Pleno del Instituto Federal de Telecomunicaciones, con fundamento en los artículos 28, párrafos décimo quinto y décimo sexto de la Constitución Política de los Estados Unidos Mexicanos; 17, fracción XV y penúltimo párrafo de la Ley Federal de Telecomunicaciones y Radiodifusión, y 1, 4, fracciones I y V, inciso i), 6, fracción XXV, 18 último párrafo y 21 del Estatuto Orgánico del Instituto Federal de Telecomunicaciones, y</w:t>
      </w:r>
    </w:p>
    <w:p w:rsidR="0058665A" w:rsidRPr="0001358B" w:rsidRDefault="0058665A" w:rsidP="0001358B">
      <w:pPr>
        <w:pStyle w:val="Ttulo3"/>
        <w:spacing w:before="240" w:after="240"/>
        <w:jc w:val="center"/>
        <w:rPr>
          <w:rFonts w:ascii="Times New Roman" w:hAnsi="Times New Roman" w:cs="Times New Roman"/>
          <w:b/>
          <w:color w:val="000000" w:themeColor="text1"/>
          <w:sz w:val="18"/>
          <w:szCs w:val="18"/>
        </w:rPr>
      </w:pPr>
      <w:r w:rsidRPr="0001358B">
        <w:rPr>
          <w:rFonts w:ascii="Times New Roman" w:hAnsi="Times New Roman" w:cs="Times New Roman"/>
          <w:b/>
          <w:color w:val="000000" w:themeColor="text1"/>
          <w:sz w:val="18"/>
          <w:szCs w:val="18"/>
        </w:rPr>
        <w:t>CONSIDERANDO</w:t>
      </w:r>
    </w:p>
    <w:p w:rsidR="0058665A" w:rsidRPr="0058665A" w:rsidRDefault="0058665A" w:rsidP="0058665A">
      <w:pPr>
        <w:spacing w:after="101" w:line="260"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Que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58665A" w:rsidRPr="0001358B" w:rsidRDefault="0058665A" w:rsidP="002D2225">
      <w:pPr>
        <w:spacing w:after="101" w:line="262" w:lineRule="exact"/>
        <w:ind w:firstLine="288"/>
        <w:jc w:val="both"/>
        <w:rPr>
          <w:rFonts w:ascii="Arial" w:hAnsi="Arial" w:cs="Arial"/>
          <w:bCs/>
          <w:i/>
          <w:color w:val="000000"/>
          <w:sz w:val="18"/>
          <w:szCs w:val="20"/>
          <w:lang w:eastAsia="es-MX"/>
        </w:rPr>
      </w:pPr>
      <w:r w:rsidRPr="0001358B">
        <w:rPr>
          <w:rFonts w:ascii="Arial" w:hAnsi="Arial" w:cs="Arial"/>
          <w:bCs/>
          <w:i/>
          <w:color w:val="000000"/>
          <w:sz w:val="18"/>
          <w:szCs w:val="20"/>
          <w:lang w:eastAsia="es-MX"/>
        </w:rPr>
        <w:t>Que el 6 de marzo de 2014, el Pleno del Instituto aprobó la “</w:t>
      </w:r>
      <w:bookmarkStart w:id="0" w:name="_GoBack"/>
      <w:bookmarkEnd w:id="0"/>
      <w:r w:rsidRPr="0001358B">
        <w:rPr>
          <w:rFonts w:ascii="Arial" w:hAnsi="Arial" w:cs="Arial"/>
          <w:bCs/>
          <w:i/>
          <w:color w:val="000000"/>
          <w:sz w:val="18"/>
          <w:szCs w:val="20"/>
          <w:lang w:eastAsia="es-MX"/>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(Resolución AEPT), y la “RESOLUCIÓN MEDIANTE LA CUAL EL PLENO DEL INSTITUTO FEDERAL DE TELECOMUNICACIONES DETERMINA AL GRUPO DE INTERÉS ECONÓMICO DEL QUE FORMAN PARTE </w:t>
      </w:r>
      <w:r w:rsidRPr="0001358B">
        <w:rPr>
          <w:rFonts w:ascii="Arial" w:hAnsi="Arial" w:cs="Arial"/>
          <w:bCs/>
          <w:i/>
          <w:color w:val="000000"/>
          <w:sz w:val="18"/>
          <w:szCs w:val="20"/>
          <w:lang w:val="es-MX" w:eastAsia="es-MX"/>
        </w:rPr>
        <w:t xml:space="preserve">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w:t>
      </w:r>
      <w:r w:rsidRPr="0001358B">
        <w:rPr>
          <w:rFonts w:ascii="Arial" w:hAnsi="Arial" w:cs="Arial"/>
          <w:bCs/>
          <w:i/>
          <w:color w:val="000000"/>
          <w:sz w:val="18"/>
          <w:szCs w:val="20"/>
          <w:lang w:eastAsia="es-MX"/>
        </w:rPr>
        <w:t xml:space="preserve">COMO AGENTE ECONÓMICO PREPONDERANTE </w:t>
      </w:r>
      <w:r w:rsidRPr="0001358B">
        <w:rPr>
          <w:rFonts w:ascii="Arial" w:hAnsi="Arial" w:cs="Arial"/>
          <w:bCs/>
          <w:i/>
          <w:color w:val="000000"/>
          <w:sz w:val="18"/>
          <w:szCs w:val="20"/>
          <w:lang w:eastAsia="es-MX"/>
        </w:rPr>
        <w:lastRenderedPageBreak/>
        <w:t>EN EL SECTOR DE RADIODIFUSIÓN Y LE IMPONE LAS MEDIDAS NECESARIAS PARA EVITAR QUE SE AFECTE LA COMPETENCIA Y LA LIBRE CONCURRENCIA” (Resolución AEPR);</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 xml:space="preserve">Que las Medidas Septuagésima Quinta del Anexo 1, Sexagésima Segunda del Anexo 2 y Cuadragésima Tercera del Anexo 3 de la Resolución AEPT, y Vigésima Octava del Anexo 1 de la Resolución AEPR establecen que el Instituto podrá ordenar al Agente Económico Preponderante a otorgar la prestación de los servicios o el acceso a la infraestructura materia de la controversia, con independencia de que el Instituto resuelva con </w:t>
      </w:r>
      <w:proofErr w:type="gramStart"/>
      <w:r w:rsidRPr="0058665A">
        <w:rPr>
          <w:rFonts w:ascii="Arial" w:hAnsi="Arial" w:cs="Arial"/>
          <w:bCs/>
          <w:color w:val="000000"/>
          <w:sz w:val="18"/>
          <w:szCs w:val="20"/>
          <w:lang w:eastAsia="es-MX"/>
        </w:rPr>
        <w:t>posterioridad</w:t>
      </w:r>
      <w:proofErr w:type="gramEnd"/>
      <w:r w:rsidRPr="0058665A">
        <w:rPr>
          <w:rFonts w:ascii="Arial" w:hAnsi="Arial" w:cs="Arial"/>
          <w:bCs/>
          <w:color w:val="000000"/>
          <w:sz w:val="18"/>
          <w:szCs w:val="20"/>
          <w:lang w:eastAsia="es-MX"/>
        </w:rPr>
        <w:t xml:space="preserve"> sobre las tarifas respectivas, a condición de que se le otorgue una garantía para asegurar el cumplimiento de las obligaciones contractuales;</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Que en términos del artículo 17 de la Ley Federal de Telecomunicaciones y Radiodifusión, corresponde al Pleno determinar en el estatuto orgánico o mediante acuerdo delegatorio el ejercicio de las facultades a que se refiere dicho dispositivo legal, salvo aquellas que se consideren expresamente indelegables en términos de la fracción I del artículo en mención;</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Que la facultad para ordenar al Agente Económico Preponderante a otorgar la prestación de los servicios o el acceso a la infraestructura materia de la controversia, no se encuentra contemplada dentro de</w:t>
      </w:r>
      <w:r w:rsidR="00C27C7B">
        <w:rPr>
          <w:rFonts w:ascii="Arial" w:hAnsi="Arial" w:cs="Arial"/>
          <w:bCs/>
          <w:color w:val="000000"/>
          <w:sz w:val="18"/>
          <w:szCs w:val="20"/>
          <w:lang w:eastAsia="es-MX"/>
        </w:rPr>
        <w:t xml:space="preserve"> </w:t>
      </w:r>
      <w:r w:rsidRPr="0058665A">
        <w:rPr>
          <w:rFonts w:ascii="Arial" w:hAnsi="Arial" w:cs="Arial"/>
          <w:bCs/>
          <w:color w:val="000000"/>
          <w:sz w:val="18"/>
          <w:szCs w:val="20"/>
          <w:lang w:eastAsia="es-MX"/>
        </w:rPr>
        <w:t>las facultades indelegables en términos del artículo 17, fracción I de la Ley Federal de Telecomunicaciones</w:t>
      </w:r>
      <w:r w:rsidR="00C27C7B">
        <w:rPr>
          <w:rFonts w:ascii="Arial" w:hAnsi="Arial" w:cs="Arial"/>
          <w:bCs/>
          <w:color w:val="000000"/>
          <w:sz w:val="18"/>
          <w:szCs w:val="20"/>
          <w:lang w:eastAsia="es-MX"/>
        </w:rPr>
        <w:t xml:space="preserve"> </w:t>
      </w:r>
      <w:r w:rsidRPr="0058665A">
        <w:rPr>
          <w:rFonts w:ascii="Arial" w:hAnsi="Arial" w:cs="Arial"/>
          <w:bCs/>
          <w:color w:val="000000"/>
          <w:sz w:val="18"/>
          <w:szCs w:val="20"/>
          <w:lang w:eastAsia="es-MX"/>
        </w:rPr>
        <w:t>y Radiodifusión;</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Que entre otras facultades, la Unidad de Política Regulatoria lleva a cabo la sustanciación de los procedimientos para resolver los desacuerdos que se suscitan entre concesionarios, y</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Cs/>
          <w:color w:val="000000"/>
          <w:sz w:val="18"/>
          <w:szCs w:val="20"/>
          <w:lang w:eastAsia="es-MX"/>
        </w:rPr>
        <w:t>Que en tal sentido, con la finalidad de hacer expeditos este tipo de procedimientos en su tramitación y ordenar de forma oportuna la prestación de los servicios o el acceso a la infraestructura materia de la controversia, se estima necesario delegar en el Titular de la Unidad de Política Regulatoria la facultad prevista en las Medidas Septuagésima Quinta del Anexo 1, Sexagésima Segunda del Anexo 2 y Cuadragésima Tercera del Anexo 3 de la Resolución AEPT, y Vigésima Octava del Anexo 1 de la Resolución AEPR, consistente en ordenar al Agente Económico Preponderante a otorgar la prestación de los servicios o el acceso a la infraestructura materia de la controversia, así como para establecer la garantía para asegurar</w:t>
      </w:r>
      <w:r w:rsidR="00C27C7B">
        <w:rPr>
          <w:rFonts w:ascii="Arial" w:hAnsi="Arial" w:cs="Arial"/>
          <w:bCs/>
          <w:color w:val="000000"/>
          <w:sz w:val="18"/>
          <w:szCs w:val="20"/>
          <w:lang w:eastAsia="es-MX"/>
        </w:rPr>
        <w:t xml:space="preserve"> </w:t>
      </w:r>
      <w:r w:rsidRPr="0058665A">
        <w:rPr>
          <w:rFonts w:ascii="Arial" w:hAnsi="Arial" w:cs="Arial"/>
          <w:bCs/>
          <w:color w:val="000000"/>
          <w:sz w:val="18"/>
          <w:szCs w:val="20"/>
          <w:lang w:eastAsia="es-MX"/>
        </w:rPr>
        <w:t>el cumplimiento de las obligaciones contractuales, en virtud de lo cual el Pleno del Instituto emite el siguiente:</w:t>
      </w:r>
    </w:p>
    <w:p w:rsidR="0058665A" w:rsidRPr="0001358B" w:rsidRDefault="0058665A" w:rsidP="0001358B">
      <w:pPr>
        <w:pStyle w:val="Ttulo3"/>
        <w:spacing w:before="240" w:after="240"/>
        <w:jc w:val="center"/>
        <w:rPr>
          <w:rFonts w:ascii="Times New Roman" w:hAnsi="Times New Roman" w:cs="Times New Roman"/>
          <w:b/>
          <w:color w:val="000000" w:themeColor="text1"/>
          <w:sz w:val="18"/>
          <w:szCs w:val="18"/>
        </w:rPr>
      </w:pPr>
      <w:r w:rsidRPr="0001358B">
        <w:rPr>
          <w:rFonts w:ascii="Times New Roman" w:hAnsi="Times New Roman" w:cs="Times New Roman"/>
          <w:b/>
          <w:color w:val="000000" w:themeColor="text1"/>
          <w:sz w:val="18"/>
          <w:szCs w:val="18"/>
        </w:rPr>
        <w:t>ACUERDO</w:t>
      </w:r>
    </w:p>
    <w:p w:rsidR="0058665A" w:rsidRPr="0058665A" w:rsidRDefault="0058665A" w:rsidP="00731430">
      <w:pPr>
        <w:spacing w:after="101" w:line="254" w:lineRule="exact"/>
        <w:ind w:firstLine="288"/>
        <w:jc w:val="both"/>
        <w:rPr>
          <w:rFonts w:ascii="Arial" w:hAnsi="Arial" w:cs="Arial"/>
          <w:sz w:val="18"/>
          <w:szCs w:val="20"/>
          <w:lang w:eastAsia="es-MX"/>
        </w:rPr>
      </w:pPr>
      <w:r w:rsidRPr="0058665A">
        <w:rPr>
          <w:rFonts w:ascii="Arial" w:hAnsi="Arial" w:cs="Arial"/>
          <w:b/>
          <w:sz w:val="18"/>
          <w:szCs w:val="20"/>
          <w:lang w:eastAsia="es-MX"/>
        </w:rPr>
        <w:t xml:space="preserve">PRIMERO. </w:t>
      </w:r>
      <w:r w:rsidRPr="0058665A">
        <w:rPr>
          <w:rFonts w:ascii="Arial" w:hAnsi="Arial" w:cs="Arial"/>
          <w:bCs/>
          <w:color w:val="000000"/>
          <w:sz w:val="18"/>
          <w:szCs w:val="20"/>
          <w:lang w:eastAsia="es-MX"/>
        </w:rPr>
        <w:t>Se delega en el Titular de la Unidad de Política Regulatoria del Instituto, la facultad a que se refieren las Medidas Septuagésima Quinta del Anexo 1, Sexagésima Segunda del Anexo 2 y Cuadragésima Tercera del Anexo 3 de la Resolución AEPT, y Vigésima Octava del Anexo 1 de la Resolución AEPR, consistente en ordenar al agente económico preponderante a otorgar la prestación de los servicios o el acceso a la infraestructura materia de la controversia, así como para establecer la garantía que corresponda por la prestación de los servicios para asegurar el cumplimiento de las obligaciones contractuales.</w:t>
      </w:r>
    </w:p>
    <w:p w:rsidR="0058665A" w:rsidRPr="0058665A" w:rsidRDefault="0058665A" w:rsidP="00731430">
      <w:pPr>
        <w:spacing w:after="101" w:line="254" w:lineRule="exact"/>
        <w:ind w:firstLine="288"/>
        <w:jc w:val="both"/>
        <w:rPr>
          <w:rFonts w:ascii="Arial" w:hAnsi="Arial" w:cs="Arial"/>
          <w:bCs/>
          <w:color w:val="000000"/>
          <w:sz w:val="18"/>
          <w:szCs w:val="20"/>
          <w:lang w:eastAsia="es-MX"/>
        </w:rPr>
      </w:pPr>
      <w:r w:rsidRPr="0058665A">
        <w:rPr>
          <w:rFonts w:ascii="Arial" w:hAnsi="Arial" w:cs="Arial"/>
          <w:b/>
          <w:bCs/>
          <w:color w:val="000000"/>
          <w:sz w:val="18"/>
          <w:szCs w:val="20"/>
          <w:lang w:eastAsia="es-MX"/>
        </w:rPr>
        <w:t>SEGUNDO.</w:t>
      </w:r>
      <w:r w:rsidRPr="0058665A">
        <w:rPr>
          <w:rFonts w:ascii="Arial" w:hAnsi="Arial" w:cs="Arial"/>
          <w:bCs/>
          <w:color w:val="000000"/>
          <w:sz w:val="18"/>
          <w:szCs w:val="20"/>
          <w:lang w:eastAsia="es-MX"/>
        </w:rPr>
        <w:t xml:space="preserve"> La atribución que se delega por virtud del presente Acuerdo, se entenderá sin perjuicio de su ejercicio directo por parte del Pleno del Instituto Federal de Telecomunicaciones.</w:t>
      </w:r>
    </w:p>
    <w:p w:rsidR="0058665A" w:rsidRPr="0001358B" w:rsidRDefault="0058665A" w:rsidP="0001358B">
      <w:pPr>
        <w:pStyle w:val="Ttulo3"/>
        <w:spacing w:before="240" w:after="240"/>
        <w:jc w:val="center"/>
        <w:rPr>
          <w:rFonts w:ascii="Times New Roman" w:hAnsi="Times New Roman" w:cs="Times New Roman"/>
          <w:b/>
          <w:color w:val="000000" w:themeColor="text1"/>
          <w:sz w:val="18"/>
          <w:szCs w:val="18"/>
        </w:rPr>
      </w:pPr>
      <w:r w:rsidRPr="0001358B">
        <w:rPr>
          <w:rFonts w:ascii="Times New Roman" w:hAnsi="Times New Roman" w:cs="Times New Roman"/>
          <w:b/>
          <w:color w:val="000000" w:themeColor="text1"/>
          <w:sz w:val="18"/>
          <w:szCs w:val="18"/>
        </w:rPr>
        <w:t>TRANSITORIO</w:t>
      </w:r>
    </w:p>
    <w:p w:rsidR="0058665A" w:rsidRPr="0058665A" w:rsidRDefault="0058665A" w:rsidP="00731430">
      <w:pPr>
        <w:spacing w:after="101" w:line="254" w:lineRule="exact"/>
        <w:ind w:firstLine="288"/>
        <w:jc w:val="both"/>
        <w:rPr>
          <w:rFonts w:ascii="Arial" w:hAnsi="Arial" w:cs="Arial"/>
          <w:sz w:val="18"/>
          <w:szCs w:val="20"/>
          <w:lang w:eastAsia="es-MX"/>
        </w:rPr>
      </w:pPr>
      <w:r w:rsidRPr="0058665A">
        <w:rPr>
          <w:rFonts w:ascii="Arial" w:hAnsi="Arial" w:cs="Arial"/>
          <w:b/>
          <w:bCs/>
          <w:sz w:val="18"/>
          <w:szCs w:val="20"/>
          <w:lang w:eastAsia="es-MX"/>
        </w:rPr>
        <w:t>ÚNICO.-</w:t>
      </w:r>
      <w:r w:rsidRPr="0058665A">
        <w:rPr>
          <w:rFonts w:ascii="Arial" w:hAnsi="Arial" w:cs="Arial"/>
          <w:bCs/>
          <w:sz w:val="18"/>
          <w:szCs w:val="20"/>
          <w:lang w:eastAsia="es-MX"/>
        </w:rPr>
        <w:t xml:space="preserve"> El presente Acuerdo entrará en vigor el día siguiente al de su publicación en el Diario Oficial </w:t>
      </w:r>
      <w:r w:rsidR="00C27C7B">
        <w:rPr>
          <w:rFonts w:ascii="Arial" w:hAnsi="Arial" w:cs="Arial"/>
          <w:bCs/>
          <w:sz w:val="18"/>
          <w:szCs w:val="20"/>
          <w:lang w:eastAsia="es-MX"/>
        </w:rPr>
        <w:t xml:space="preserve"> </w:t>
      </w:r>
      <w:r w:rsidRPr="0058665A">
        <w:rPr>
          <w:rFonts w:ascii="Arial" w:hAnsi="Arial" w:cs="Arial"/>
          <w:bCs/>
          <w:sz w:val="18"/>
          <w:szCs w:val="20"/>
          <w:lang w:eastAsia="es-MX"/>
        </w:rPr>
        <w:t>de la Federación.</w:t>
      </w:r>
    </w:p>
    <w:p w:rsidR="0058665A" w:rsidRPr="0058665A" w:rsidRDefault="0058665A" w:rsidP="00731430">
      <w:pPr>
        <w:spacing w:after="101" w:line="254" w:lineRule="exact"/>
        <w:ind w:firstLine="288"/>
        <w:jc w:val="both"/>
        <w:rPr>
          <w:rFonts w:ascii="Arial" w:hAnsi="Arial" w:cs="Arial"/>
          <w:sz w:val="18"/>
          <w:szCs w:val="20"/>
          <w:lang w:eastAsia="es-MX"/>
        </w:rPr>
      </w:pPr>
      <w:r w:rsidRPr="0058665A">
        <w:rPr>
          <w:rFonts w:ascii="Arial" w:hAnsi="Arial" w:cs="Arial"/>
          <w:sz w:val="18"/>
          <w:szCs w:val="20"/>
          <w:lang w:val="es-ES_tradnl"/>
        </w:rPr>
        <w:t>El Comisionado</w:t>
      </w:r>
      <w:r w:rsidR="00731430" w:rsidRPr="00731430">
        <w:rPr>
          <w:rFonts w:ascii="Arial" w:hAnsi="Arial" w:cs="Arial"/>
          <w:sz w:val="18"/>
          <w:szCs w:val="20"/>
          <w:lang w:val="es-ES_tradnl"/>
        </w:rPr>
        <w:t xml:space="preserve"> </w:t>
      </w:r>
      <w:r w:rsidR="00731430" w:rsidRPr="0058665A">
        <w:rPr>
          <w:rFonts w:ascii="Arial" w:hAnsi="Arial" w:cs="Arial"/>
          <w:sz w:val="18"/>
          <w:szCs w:val="20"/>
          <w:lang w:val="es-ES_tradnl"/>
        </w:rPr>
        <w:t>Presidente</w:t>
      </w:r>
      <w:r w:rsidRPr="0058665A">
        <w:rPr>
          <w:rFonts w:ascii="Arial" w:hAnsi="Arial" w:cs="Arial"/>
          <w:sz w:val="18"/>
          <w:szCs w:val="20"/>
          <w:lang w:val="es-ES_tradnl"/>
        </w:rPr>
        <w:t xml:space="preserve">, </w:t>
      </w:r>
      <w:r w:rsidRPr="0058665A">
        <w:rPr>
          <w:rFonts w:ascii="Arial" w:hAnsi="Arial" w:cs="Arial"/>
          <w:b/>
          <w:sz w:val="18"/>
          <w:szCs w:val="20"/>
          <w:lang w:val="es-ES_tradnl"/>
        </w:rPr>
        <w:t>Gabriel Oswaldo Contreras Saldívar</w:t>
      </w:r>
      <w:r w:rsidRPr="0058665A">
        <w:rPr>
          <w:rFonts w:ascii="Arial" w:hAnsi="Arial" w:cs="Arial"/>
          <w:sz w:val="18"/>
          <w:szCs w:val="20"/>
          <w:lang w:val="es-ES_tradnl"/>
        </w:rPr>
        <w:t xml:space="preserve">.- Rúbrica.- </w:t>
      </w:r>
      <w:r w:rsidR="00731430">
        <w:rPr>
          <w:rFonts w:ascii="Arial" w:hAnsi="Arial" w:cs="Arial"/>
          <w:sz w:val="18"/>
          <w:szCs w:val="20"/>
          <w:lang w:val="es-ES_tradnl"/>
        </w:rPr>
        <w:t xml:space="preserve">Los </w:t>
      </w:r>
      <w:r w:rsidRPr="0058665A">
        <w:rPr>
          <w:rFonts w:ascii="Arial" w:hAnsi="Arial" w:cs="Arial"/>
          <w:sz w:val="18"/>
          <w:szCs w:val="20"/>
          <w:lang w:val="es-ES_tradnl"/>
        </w:rPr>
        <w:t>Comisionado</w:t>
      </w:r>
      <w:r w:rsidR="00731430">
        <w:rPr>
          <w:rFonts w:ascii="Arial" w:hAnsi="Arial" w:cs="Arial"/>
          <w:sz w:val="18"/>
          <w:szCs w:val="20"/>
          <w:lang w:val="es-ES_tradnl"/>
        </w:rPr>
        <w:t>s</w:t>
      </w:r>
      <w:r w:rsidR="00147718">
        <w:rPr>
          <w:rFonts w:ascii="Arial" w:hAnsi="Arial" w:cs="Arial"/>
          <w:sz w:val="18"/>
          <w:szCs w:val="20"/>
          <w:lang w:val="es-ES_tradnl"/>
        </w:rPr>
        <w:t>:</w:t>
      </w:r>
      <w:r w:rsidRPr="0058665A">
        <w:rPr>
          <w:rFonts w:ascii="Arial" w:hAnsi="Arial" w:cs="Arial"/>
          <w:sz w:val="18"/>
          <w:szCs w:val="20"/>
          <w:lang w:val="es-ES_tradnl"/>
        </w:rPr>
        <w:t xml:space="preserve"> </w:t>
      </w:r>
      <w:r w:rsidRPr="0058665A">
        <w:rPr>
          <w:rFonts w:ascii="Arial" w:hAnsi="Arial" w:cs="Arial"/>
          <w:b/>
          <w:sz w:val="18"/>
          <w:szCs w:val="20"/>
          <w:lang w:val="es-ES_tradnl"/>
        </w:rPr>
        <w:t>Ernesto Estrada González</w:t>
      </w:r>
      <w:r w:rsidRPr="0058665A">
        <w:rPr>
          <w:rFonts w:ascii="Arial" w:hAnsi="Arial" w:cs="Arial"/>
          <w:sz w:val="18"/>
          <w:szCs w:val="20"/>
          <w:lang w:val="es-ES_tradnl"/>
        </w:rPr>
        <w:t xml:space="preserve">, </w:t>
      </w:r>
      <w:r w:rsidRPr="0058665A">
        <w:rPr>
          <w:rFonts w:ascii="Arial" w:hAnsi="Arial" w:cs="Arial"/>
          <w:b/>
          <w:sz w:val="18"/>
          <w:szCs w:val="20"/>
          <w:lang w:val="es-ES_tradnl"/>
        </w:rPr>
        <w:t xml:space="preserve">Adriana Sofía </w:t>
      </w:r>
      <w:proofErr w:type="spellStart"/>
      <w:r w:rsidRPr="0058665A">
        <w:rPr>
          <w:rFonts w:ascii="Arial" w:hAnsi="Arial" w:cs="Arial"/>
          <w:b/>
          <w:sz w:val="18"/>
          <w:szCs w:val="20"/>
          <w:lang w:val="es-ES_tradnl"/>
        </w:rPr>
        <w:t>Labardini</w:t>
      </w:r>
      <w:proofErr w:type="spellEnd"/>
      <w:r w:rsidRPr="0058665A">
        <w:rPr>
          <w:rFonts w:ascii="Arial" w:hAnsi="Arial" w:cs="Arial"/>
          <w:b/>
          <w:sz w:val="18"/>
          <w:szCs w:val="20"/>
          <w:lang w:val="es-ES_tradnl"/>
        </w:rPr>
        <w:t xml:space="preserve"> </w:t>
      </w:r>
      <w:proofErr w:type="spellStart"/>
      <w:r w:rsidRPr="0058665A">
        <w:rPr>
          <w:rFonts w:ascii="Arial" w:hAnsi="Arial" w:cs="Arial"/>
          <w:b/>
          <w:sz w:val="18"/>
          <w:szCs w:val="20"/>
          <w:lang w:val="es-ES_tradnl"/>
        </w:rPr>
        <w:t>Inzunza</w:t>
      </w:r>
      <w:proofErr w:type="spellEnd"/>
      <w:r w:rsidRPr="0058665A">
        <w:rPr>
          <w:rFonts w:ascii="Arial" w:hAnsi="Arial" w:cs="Arial"/>
          <w:sz w:val="18"/>
          <w:szCs w:val="20"/>
          <w:lang w:val="es-ES_tradnl"/>
        </w:rPr>
        <w:t xml:space="preserve">, </w:t>
      </w:r>
      <w:r w:rsidRPr="0058665A">
        <w:rPr>
          <w:rFonts w:ascii="Arial" w:hAnsi="Arial" w:cs="Arial"/>
          <w:b/>
          <w:sz w:val="18"/>
          <w:szCs w:val="20"/>
          <w:lang w:val="es-ES_tradnl"/>
        </w:rPr>
        <w:t xml:space="preserve">María Elena </w:t>
      </w:r>
      <w:proofErr w:type="spellStart"/>
      <w:r w:rsidRPr="0058665A">
        <w:rPr>
          <w:rFonts w:ascii="Arial" w:hAnsi="Arial" w:cs="Arial"/>
          <w:b/>
          <w:sz w:val="18"/>
          <w:szCs w:val="20"/>
          <w:lang w:val="es-ES_tradnl"/>
        </w:rPr>
        <w:t>Estavillo</w:t>
      </w:r>
      <w:proofErr w:type="spellEnd"/>
      <w:r w:rsidRPr="0058665A">
        <w:rPr>
          <w:rFonts w:ascii="Arial" w:hAnsi="Arial" w:cs="Arial"/>
          <w:b/>
          <w:sz w:val="18"/>
          <w:szCs w:val="20"/>
          <w:lang w:val="es-ES_tradnl"/>
        </w:rPr>
        <w:t xml:space="preserve"> Flores</w:t>
      </w:r>
      <w:r w:rsidRPr="0058665A">
        <w:rPr>
          <w:rFonts w:ascii="Arial" w:hAnsi="Arial" w:cs="Arial"/>
          <w:sz w:val="18"/>
          <w:szCs w:val="20"/>
          <w:lang w:val="es-ES_tradnl"/>
        </w:rPr>
        <w:t xml:space="preserve">, </w:t>
      </w:r>
      <w:r w:rsidRPr="0058665A">
        <w:rPr>
          <w:rFonts w:ascii="Arial" w:hAnsi="Arial" w:cs="Arial"/>
          <w:b/>
          <w:sz w:val="18"/>
          <w:szCs w:val="20"/>
          <w:lang w:val="es-ES_tradnl"/>
        </w:rPr>
        <w:t xml:space="preserve">Mario Germán </w:t>
      </w:r>
      <w:proofErr w:type="spellStart"/>
      <w:r w:rsidRPr="0058665A">
        <w:rPr>
          <w:rFonts w:ascii="Arial" w:hAnsi="Arial" w:cs="Arial"/>
          <w:b/>
          <w:sz w:val="18"/>
          <w:szCs w:val="20"/>
          <w:lang w:val="es-ES_tradnl"/>
        </w:rPr>
        <w:t>Fromow</w:t>
      </w:r>
      <w:proofErr w:type="spellEnd"/>
      <w:r w:rsidRPr="0058665A">
        <w:rPr>
          <w:rFonts w:ascii="Arial" w:hAnsi="Arial" w:cs="Arial"/>
          <w:b/>
          <w:sz w:val="18"/>
          <w:szCs w:val="20"/>
          <w:lang w:val="es-ES_tradnl"/>
        </w:rPr>
        <w:t xml:space="preserve"> Rangel</w:t>
      </w:r>
      <w:r w:rsidRPr="0058665A">
        <w:rPr>
          <w:rFonts w:ascii="Arial" w:hAnsi="Arial" w:cs="Arial"/>
          <w:sz w:val="18"/>
          <w:szCs w:val="20"/>
          <w:lang w:val="es-ES_tradnl"/>
        </w:rPr>
        <w:t xml:space="preserve">, </w:t>
      </w:r>
      <w:r w:rsidRPr="0058665A">
        <w:rPr>
          <w:rFonts w:ascii="Arial" w:hAnsi="Arial" w:cs="Arial"/>
          <w:b/>
          <w:sz w:val="18"/>
          <w:szCs w:val="20"/>
          <w:lang w:val="es-ES_tradnl"/>
        </w:rPr>
        <w:t>Adolfo Cuevas Teja</w:t>
      </w:r>
      <w:r w:rsidRPr="0058665A">
        <w:rPr>
          <w:rFonts w:ascii="Arial" w:hAnsi="Arial" w:cs="Arial"/>
          <w:sz w:val="18"/>
          <w:szCs w:val="20"/>
          <w:lang w:val="es-ES_tradnl"/>
        </w:rPr>
        <w:t xml:space="preserve">, </w:t>
      </w:r>
      <w:r w:rsidRPr="0058665A">
        <w:rPr>
          <w:rFonts w:ascii="Arial" w:hAnsi="Arial" w:cs="Arial"/>
          <w:b/>
          <w:sz w:val="18"/>
          <w:szCs w:val="20"/>
          <w:lang w:val="es-ES_tradnl"/>
        </w:rPr>
        <w:t>Javier Juárez Mojica</w:t>
      </w:r>
      <w:r w:rsidRPr="0058665A">
        <w:rPr>
          <w:rFonts w:ascii="Arial" w:hAnsi="Arial" w:cs="Arial"/>
          <w:sz w:val="18"/>
          <w:szCs w:val="20"/>
          <w:lang w:val="es-ES_tradnl"/>
        </w:rPr>
        <w:t>.- Rúbrica</w:t>
      </w:r>
      <w:r w:rsidR="00731430">
        <w:rPr>
          <w:rFonts w:ascii="Arial" w:hAnsi="Arial" w:cs="Arial"/>
          <w:sz w:val="18"/>
          <w:szCs w:val="20"/>
          <w:lang w:val="es-ES_tradnl"/>
        </w:rPr>
        <w:t>s</w:t>
      </w:r>
      <w:r w:rsidRPr="0058665A">
        <w:rPr>
          <w:rFonts w:ascii="Arial" w:hAnsi="Arial" w:cs="Arial"/>
          <w:sz w:val="18"/>
          <w:szCs w:val="20"/>
          <w:lang w:val="es-ES_tradnl"/>
        </w:rPr>
        <w:t>.</w:t>
      </w:r>
    </w:p>
    <w:p w:rsidR="0058665A" w:rsidRPr="0058665A" w:rsidRDefault="0058665A" w:rsidP="00731430">
      <w:pPr>
        <w:spacing w:after="101" w:line="254" w:lineRule="exact"/>
        <w:ind w:firstLine="288"/>
        <w:jc w:val="both"/>
        <w:rPr>
          <w:rFonts w:ascii="Arial" w:hAnsi="Arial" w:cs="Arial"/>
          <w:sz w:val="18"/>
          <w:szCs w:val="20"/>
          <w:lang w:val="es-ES_tradnl"/>
        </w:rPr>
      </w:pPr>
      <w:r w:rsidRPr="0058665A">
        <w:rPr>
          <w:rFonts w:ascii="Arial" w:hAnsi="Arial" w:cs="Arial"/>
          <w:sz w:val="18"/>
          <w:szCs w:val="20"/>
        </w:rPr>
        <w:t xml:space="preserve">El presente Acuerdo fue aprobado por el Pleno del Instituto Federal de Telecomunicaciones en su XXXIX Sesión Ordinaria celebrada el 9 de noviembre </w:t>
      </w:r>
      <w:r w:rsidRPr="0058665A">
        <w:rPr>
          <w:rFonts w:ascii="Arial" w:hAnsi="Arial" w:cs="Arial"/>
          <w:sz w:val="18"/>
          <w:szCs w:val="20"/>
          <w:lang w:val="es-ES_tradnl"/>
        </w:rPr>
        <w:t xml:space="preserve">de 2016, por </w:t>
      </w:r>
      <w:r w:rsidRPr="0058665A">
        <w:rPr>
          <w:rFonts w:ascii="Arial" w:hAnsi="Arial" w:cs="Arial"/>
          <w:bCs/>
          <w:sz w:val="18"/>
          <w:szCs w:val="20"/>
          <w:lang w:val="es-ES_tradnl"/>
        </w:rPr>
        <w:t>unanimidad</w:t>
      </w:r>
      <w:r w:rsidRPr="0058665A">
        <w:rPr>
          <w:rFonts w:ascii="Arial" w:hAnsi="Arial" w:cs="Arial"/>
          <w:sz w:val="18"/>
          <w:szCs w:val="20"/>
          <w:lang w:val="es-ES_tradnl"/>
        </w:rPr>
        <w:t xml:space="preserve"> de votos de los Comisionados Gabriel Oswaldo Contreras Saldívar, Ernesto Estrada González, Adriana Sofía </w:t>
      </w:r>
      <w:proofErr w:type="spellStart"/>
      <w:r w:rsidRPr="0058665A">
        <w:rPr>
          <w:rFonts w:ascii="Arial" w:hAnsi="Arial" w:cs="Arial"/>
          <w:sz w:val="18"/>
          <w:szCs w:val="20"/>
          <w:lang w:val="es-ES_tradnl"/>
        </w:rPr>
        <w:t>Labardini</w:t>
      </w:r>
      <w:proofErr w:type="spellEnd"/>
      <w:r w:rsidRPr="0058665A">
        <w:rPr>
          <w:rFonts w:ascii="Arial" w:hAnsi="Arial" w:cs="Arial"/>
          <w:sz w:val="18"/>
          <w:szCs w:val="20"/>
          <w:lang w:val="es-ES_tradnl"/>
        </w:rPr>
        <w:t xml:space="preserve"> </w:t>
      </w:r>
      <w:proofErr w:type="spellStart"/>
      <w:r w:rsidRPr="0058665A">
        <w:rPr>
          <w:rFonts w:ascii="Arial" w:hAnsi="Arial" w:cs="Arial"/>
          <w:sz w:val="18"/>
          <w:szCs w:val="20"/>
          <w:lang w:val="es-ES_tradnl"/>
        </w:rPr>
        <w:t>Inzunza</w:t>
      </w:r>
      <w:proofErr w:type="spellEnd"/>
      <w:r w:rsidRPr="0058665A">
        <w:rPr>
          <w:rFonts w:ascii="Arial" w:hAnsi="Arial" w:cs="Arial"/>
          <w:sz w:val="18"/>
          <w:szCs w:val="20"/>
          <w:lang w:val="es-ES_tradnl"/>
        </w:rPr>
        <w:t xml:space="preserve">, María Elena </w:t>
      </w:r>
      <w:proofErr w:type="spellStart"/>
      <w:r w:rsidRPr="0058665A">
        <w:rPr>
          <w:rFonts w:ascii="Arial" w:hAnsi="Arial" w:cs="Arial"/>
          <w:sz w:val="18"/>
          <w:szCs w:val="20"/>
          <w:lang w:val="es-ES_tradnl"/>
        </w:rPr>
        <w:t>Estavillo</w:t>
      </w:r>
      <w:proofErr w:type="spellEnd"/>
      <w:r w:rsidRPr="0058665A">
        <w:rPr>
          <w:rFonts w:ascii="Arial" w:hAnsi="Arial" w:cs="Arial"/>
          <w:sz w:val="18"/>
          <w:szCs w:val="20"/>
          <w:lang w:val="es-ES_tradnl"/>
        </w:rPr>
        <w:t xml:space="preserve"> Flores, Mario Germán </w:t>
      </w:r>
      <w:proofErr w:type="spellStart"/>
      <w:r w:rsidRPr="0058665A">
        <w:rPr>
          <w:rFonts w:ascii="Arial" w:hAnsi="Arial" w:cs="Arial"/>
          <w:sz w:val="18"/>
          <w:szCs w:val="20"/>
          <w:lang w:val="es-ES_tradnl"/>
        </w:rPr>
        <w:t>Fromow</w:t>
      </w:r>
      <w:proofErr w:type="spellEnd"/>
      <w:r w:rsidRPr="0058665A">
        <w:rPr>
          <w:rFonts w:ascii="Arial" w:hAnsi="Arial" w:cs="Arial"/>
          <w:sz w:val="18"/>
          <w:szCs w:val="20"/>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w:t>
      </w:r>
      <w:r w:rsidRPr="0058665A">
        <w:rPr>
          <w:rFonts w:ascii="Arial" w:hAnsi="Arial" w:cs="Arial"/>
          <w:sz w:val="18"/>
          <w:szCs w:val="20"/>
          <w:lang w:val="es-ES_tradnl"/>
        </w:rPr>
        <w:lastRenderedPageBreak/>
        <w:t>los artículos 1, 7, 8 y 12 del Estatuto Orgánico del Instituto Federal de Telecomunicaciones, mediante Acuerdo P/IFT/091116/640.</w:t>
      </w:r>
    </w:p>
    <w:p w:rsidR="00C27C7B" w:rsidRDefault="0058665A" w:rsidP="0001358B">
      <w:pPr>
        <w:spacing w:after="101" w:line="216" w:lineRule="exact"/>
        <w:ind w:firstLine="288"/>
        <w:jc w:val="right"/>
        <w:rPr>
          <w:b/>
        </w:rPr>
      </w:pPr>
      <w:r w:rsidRPr="0058665A">
        <w:rPr>
          <w:rFonts w:ascii="Arial" w:hAnsi="Arial" w:cs="Arial"/>
          <w:b/>
          <w:sz w:val="18"/>
          <w:szCs w:val="20"/>
          <w:lang w:val="es-ES_tradnl"/>
        </w:rPr>
        <w:t>(R.- 442064)</w:t>
      </w:r>
    </w:p>
    <w:sectPr w:rsidR="00C27C7B" w:rsidSect="002D2225">
      <w:headerReference w:type="even" r:id="rId7"/>
      <w:headerReference w:type="default" r:id="rId8"/>
      <w:pgSz w:w="12240" w:h="15840" w:code="1"/>
      <w:pgMar w:top="1152" w:right="1699" w:bottom="1296" w:left="1699" w:header="706" w:footer="706"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48" w:rsidRDefault="00117848">
      <w:r>
        <w:separator/>
      </w:r>
    </w:p>
  </w:endnote>
  <w:endnote w:type="continuationSeparator" w:id="0">
    <w:p w:rsidR="00117848" w:rsidRDefault="0011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48" w:rsidRDefault="00117848">
      <w:r>
        <w:separator/>
      </w:r>
    </w:p>
  </w:footnote>
  <w:footnote w:type="continuationSeparator" w:id="0">
    <w:p w:rsidR="00117848" w:rsidRDefault="0011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7F" w:rsidRPr="00C27C7B" w:rsidRDefault="002D2225" w:rsidP="0001358B">
    <w:pPr>
      <w:pStyle w:val="Fechas"/>
    </w:pPr>
    <w:r w:rsidRPr="00C27C7B">
      <w:t xml:space="preserve"> (Tercera Sección)</w:t>
    </w:r>
    <w:r w:rsidR="00593B7F" w:rsidRPr="00C27C7B">
      <w:tab/>
      <w:t>DIARIO OFICIAL</w:t>
    </w:r>
    <w:r w:rsidR="00593B7F" w:rsidRPr="00C27C7B">
      <w:tab/>
    </w:r>
    <w:proofErr w:type="gramStart"/>
    <w:r w:rsidR="00593B7F" w:rsidRPr="00C27C7B">
      <w:t>Lunes</w:t>
    </w:r>
    <w:proofErr w:type="gramEnd"/>
    <w:r w:rsidR="00593B7F" w:rsidRPr="00C27C7B">
      <w:t xml:space="preserve"> 5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7F" w:rsidRPr="00C27C7B" w:rsidRDefault="00593B7F" w:rsidP="0001358B">
    <w:pPr>
      <w:pStyle w:val="Fechas"/>
    </w:pPr>
    <w:r w:rsidRPr="00C27C7B">
      <w:t>Lunes 5 de diciembre de 2016</w:t>
    </w:r>
    <w:r w:rsidRPr="00C27C7B">
      <w:tab/>
      <w:t>DIARIO OFICIAL</w:t>
    </w:r>
    <w:r w:rsidRPr="00C27C7B">
      <w:tab/>
    </w:r>
    <w:r w:rsidR="002D2225" w:rsidRPr="00C27C7B">
      <w:t>(Tercera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4F2E"/>
    <w:multiLevelType w:val="hybridMultilevel"/>
    <w:tmpl w:val="BF8010A8"/>
    <w:lvl w:ilvl="0" w:tplc="44248954">
      <w:numFmt w:val="bullet"/>
      <w:lvlText w:val=""/>
      <w:lvlJc w:val="left"/>
      <w:pPr>
        <w:ind w:left="996" w:hanging="42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C7F0915"/>
    <w:multiLevelType w:val="hybridMultilevel"/>
    <w:tmpl w:val="2B9A2B9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60351B77"/>
    <w:multiLevelType w:val="hybridMultilevel"/>
    <w:tmpl w:val="F1AA891E"/>
    <w:lvl w:ilvl="0" w:tplc="4424895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274F03"/>
    <w:multiLevelType w:val="hybridMultilevel"/>
    <w:tmpl w:val="6D3C33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F2"/>
    <w:rsid w:val="00007D5B"/>
    <w:rsid w:val="0001358B"/>
    <w:rsid w:val="00023FDE"/>
    <w:rsid w:val="00025505"/>
    <w:rsid w:val="00030FA7"/>
    <w:rsid w:val="000468AF"/>
    <w:rsid w:val="00046AF3"/>
    <w:rsid w:val="000643A3"/>
    <w:rsid w:val="00070CDB"/>
    <w:rsid w:val="0008366A"/>
    <w:rsid w:val="00083B96"/>
    <w:rsid w:val="00085CFF"/>
    <w:rsid w:val="00090755"/>
    <w:rsid w:val="000934C4"/>
    <w:rsid w:val="000B42E5"/>
    <w:rsid w:val="000B698E"/>
    <w:rsid w:val="000C50D4"/>
    <w:rsid w:val="000E3EAC"/>
    <w:rsid w:val="000E6BF1"/>
    <w:rsid w:val="000F0FA3"/>
    <w:rsid w:val="000F3ABE"/>
    <w:rsid w:val="000F706A"/>
    <w:rsid w:val="00104053"/>
    <w:rsid w:val="0010703B"/>
    <w:rsid w:val="00117848"/>
    <w:rsid w:val="001303A7"/>
    <w:rsid w:val="00137CE5"/>
    <w:rsid w:val="00140A5C"/>
    <w:rsid w:val="00147718"/>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6CB1"/>
    <w:rsid w:val="001F09BB"/>
    <w:rsid w:val="001F6325"/>
    <w:rsid w:val="0020245C"/>
    <w:rsid w:val="002214D8"/>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2225"/>
    <w:rsid w:val="002D476D"/>
    <w:rsid w:val="002E0094"/>
    <w:rsid w:val="002F6279"/>
    <w:rsid w:val="002F666A"/>
    <w:rsid w:val="0030321A"/>
    <w:rsid w:val="00306951"/>
    <w:rsid w:val="00323864"/>
    <w:rsid w:val="0032394E"/>
    <w:rsid w:val="003264DE"/>
    <w:rsid w:val="00326B04"/>
    <w:rsid w:val="00330780"/>
    <w:rsid w:val="003340A4"/>
    <w:rsid w:val="00347B05"/>
    <w:rsid w:val="00357A6B"/>
    <w:rsid w:val="0036410B"/>
    <w:rsid w:val="003656C6"/>
    <w:rsid w:val="00373DFE"/>
    <w:rsid w:val="0039202C"/>
    <w:rsid w:val="003958AA"/>
    <w:rsid w:val="003967FE"/>
    <w:rsid w:val="003A09A3"/>
    <w:rsid w:val="003B2214"/>
    <w:rsid w:val="003B46F2"/>
    <w:rsid w:val="003C5EB9"/>
    <w:rsid w:val="003D3A40"/>
    <w:rsid w:val="003D4F83"/>
    <w:rsid w:val="003D6457"/>
    <w:rsid w:val="003E5783"/>
    <w:rsid w:val="003E7472"/>
    <w:rsid w:val="00410B8C"/>
    <w:rsid w:val="00412ED6"/>
    <w:rsid w:val="004142D5"/>
    <w:rsid w:val="004273D0"/>
    <w:rsid w:val="0042779F"/>
    <w:rsid w:val="004352A9"/>
    <w:rsid w:val="00440349"/>
    <w:rsid w:val="00453D17"/>
    <w:rsid w:val="0046091E"/>
    <w:rsid w:val="0046400A"/>
    <w:rsid w:val="00464085"/>
    <w:rsid w:val="004652D9"/>
    <w:rsid w:val="00465E99"/>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34337"/>
    <w:rsid w:val="00534A44"/>
    <w:rsid w:val="0053581A"/>
    <w:rsid w:val="00535845"/>
    <w:rsid w:val="00541120"/>
    <w:rsid w:val="0054345D"/>
    <w:rsid w:val="005438AB"/>
    <w:rsid w:val="00543991"/>
    <w:rsid w:val="0054733E"/>
    <w:rsid w:val="0055349C"/>
    <w:rsid w:val="00567317"/>
    <w:rsid w:val="005724B9"/>
    <w:rsid w:val="0058665A"/>
    <w:rsid w:val="00593B7F"/>
    <w:rsid w:val="005A0268"/>
    <w:rsid w:val="005A0954"/>
    <w:rsid w:val="005C4019"/>
    <w:rsid w:val="005C75DE"/>
    <w:rsid w:val="005D2232"/>
    <w:rsid w:val="005D3024"/>
    <w:rsid w:val="005D7D14"/>
    <w:rsid w:val="005F4AC0"/>
    <w:rsid w:val="006231E1"/>
    <w:rsid w:val="00627360"/>
    <w:rsid w:val="00627D1A"/>
    <w:rsid w:val="0063495E"/>
    <w:rsid w:val="00634C63"/>
    <w:rsid w:val="00656CFF"/>
    <w:rsid w:val="00670946"/>
    <w:rsid w:val="006711A8"/>
    <w:rsid w:val="00674139"/>
    <w:rsid w:val="00681BC5"/>
    <w:rsid w:val="00686752"/>
    <w:rsid w:val="00687B61"/>
    <w:rsid w:val="00691836"/>
    <w:rsid w:val="0069357B"/>
    <w:rsid w:val="00697B7C"/>
    <w:rsid w:val="006B7539"/>
    <w:rsid w:val="006C30AE"/>
    <w:rsid w:val="006D2E40"/>
    <w:rsid w:val="006E2487"/>
    <w:rsid w:val="006E4EE3"/>
    <w:rsid w:val="006E66EC"/>
    <w:rsid w:val="006F785A"/>
    <w:rsid w:val="0070415B"/>
    <w:rsid w:val="00717A6D"/>
    <w:rsid w:val="00724703"/>
    <w:rsid w:val="00731430"/>
    <w:rsid w:val="007319EE"/>
    <w:rsid w:val="00732288"/>
    <w:rsid w:val="00735E9D"/>
    <w:rsid w:val="00737435"/>
    <w:rsid w:val="00741ABD"/>
    <w:rsid w:val="00746FC8"/>
    <w:rsid w:val="007570C1"/>
    <w:rsid w:val="007578BE"/>
    <w:rsid w:val="007926E3"/>
    <w:rsid w:val="00793D07"/>
    <w:rsid w:val="00797AB4"/>
    <w:rsid w:val="007A0956"/>
    <w:rsid w:val="007A5CA8"/>
    <w:rsid w:val="007D00B8"/>
    <w:rsid w:val="007D0C3B"/>
    <w:rsid w:val="007D286A"/>
    <w:rsid w:val="00816C4D"/>
    <w:rsid w:val="00827CE1"/>
    <w:rsid w:val="0083080F"/>
    <w:rsid w:val="00831CA9"/>
    <w:rsid w:val="00832E88"/>
    <w:rsid w:val="008412BC"/>
    <w:rsid w:val="00842BE6"/>
    <w:rsid w:val="00842FB8"/>
    <w:rsid w:val="008651ED"/>
    <w:rsid w:val="00875A59"/>
    <w:rsid w:val="00877B39"/>
    <w:rsid w:val="008918DC"/>
    <w:rsid w:val="008922B8"/>
    <w:rsid w:val="0089558E"/>
    <w:rsid w:val="008A0F8C"/>
    <w:rsid w:val="008A23F3"/>
    <w:rsid w:val="008B5BD2"/>
    <w:rsid w:val="008C46C1"/>
    <w:rsid w:val="008C7BDB"/>
    <w:rsid w:val="008D06EA"/>
    <w:rsid w:val="008D17A5"/>
    <w:rsid w:val="008E35DF"/>
    <w:rsid w:val="008F5142"/>
    <w:rsid w:val="008F7A18"/>
    <w:rsid w:val="00913D77"/>
    <w:rsid w:val="009167A0"/>
    <w:rsid w:val="009200A2"/>
    <w:rsid w:val="009329FB"/>
    <w:rsid w:val="00945F33"/>
    <w:rsid w:val="00947152"/>
    <w:rsid w:val="00975511"/>
    <w:rsid w:val="009845A6"/>
    <w:rsid w:val="009855BF"/>
    <w:rsid w:val="009932CA"/>
    <w:rsid w:val="009A7654"/>
    <w:rsid w:val="009C02DA"/>
    <w:rsid w:val="009E1274"/>
    <w:rsid w:val="009E1AC6"/>
    <w:rsid w:val="009E3B35"/>
    <w:rsid w:val="009E63EA"/>
    <w:rsid w:val="009F050F"/>
    <w:rsid w:val="00A23B2B"/>
    <w:rsid w:val="00A31E9B"/>
    <w:rsid w:val="00A333DC"/>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B00632"/>
    <w:rsid w:val="00B073A2"/>
    <w:rsid w:val="00B14C29"/>
    <w:rsid w:val="00B16746"/>
    <w:rsid w:val="00B170E8"/>
    <w:rsid w:val="00B179C2"/>
    <w:rsid w:val="00B17DFA"/>
    <w:rsid w:val="00B2116D"/>
    <w:rsid w:val="00B307D6"/>
    <w:rsid w:val="00B3769E"/>
    <w:rsid w:val="00B63531"/>
    <w:rsid w:val="00B7008A"/>
    <w:rsid w:val="00B717B3"/>
    <w:rsid w:val="00B72BAC"/>
    <w:rsid w:val="00B859B6"/>
    <w:rsid w:val="00BB1CCD"/>
    <w:rsid w:val="00BB26D3"/>
    <w:rsid w:val="00BF091C"/>
    <w:rsid w:val="00C009E0"/>
    <w:rsid w:val="00C01B5D"/>
    <w:rsid w:val="00C258E4"/>
    <w:rsid w:val="00C27C7B"/>
    <w:rsid w:val="00C563D2"/>
    <w:rsid w:val="00C7152E"/>
    <w:rsid w:val="00C72F0B"/>
    <w:rsid w:val="00C8415B"/>
    <w:rsid w:val="00C9060E"/>
    <w:rsid w:val="00C91B84"/>
    <w:rsid w:val="00C96371"/>
    <w:rsid w:val="00C97590"/>
    <w:rsid w:val="00CA0BAE"/>
    <w:rsid w:val="00CA2FDC"/>
    <w:rsid w:val="00CA3BBA"/>
    <w:rsid w:val="00CB4DB1"/>
    <w:rsid w:val="00CB6995"/>
    <w:rsid w:val="00CC0602"/>
    <w:rsid w:val="00CC39A6"/>
    <w:rsid w:val="00CC71C5"/>
    <w:rsid w:val="00CD6850"/>
    <w:rsid w:val="00CE06BF"/>
    <w:rsid w:val="00CF3B2E"/>
    <w:rsid w:val="00CF6193"/>
    <w:rsid w:val="00D04785"/>
    <w:rsid w:val="00D32C7D"/>
    <w:rsid w:val="00D34588"/>
    <w:rsid w:val="00D3478E"/>
    <w:rsid w:val="00D34D1C"/>
    <w:rsid w:val="00D36C73"/>
    <w:rsid w:val="00D42FD2"/>
    <w:rsid w:val="00D54C2F"/>
    <w:rsid w:val="00D60AAD"/>
    <w:rsid w:val="00D64953"/>
    <w:rsid w:val="00D83D30"/>
    <w:rsid w:val="00D87572"/>
    <w:rsid w:val="00DA0A97"/>
    <w:rsid w:val="00DB3001"/>
    <w:rsid w:val="00DB49B5"/>
    <w:rsid w:val="00DB4A71"/>
    <w:rsid w:val="00DC4962"/>
    <w:rsid w:val="00DD351E"/>
    <w:rsid w:val="00DE4C7A"/>
    <w:rsid w:val="00DF6036"/>
    <w:rsid w:val="00DF6BC3"/>
    <w:rsid w:val="00E01296"/>
    <w:rsid w:val="00E21F6A"/>
    <w:rsid w:val="00E30B22"/>
    <w:rsid w:val="00E37820"/>
    <w:rsid w:val="00E3798A"/>
    <w:rsid w:val="00E42835"/>
    <w:rsid w:val="00E45318"/>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4B32"/>
    <w:rsid w:val="00F70C4B"/>
    <w:rsid w:val="00F76B05"/>
    <w:rsid w:val="00F808C0"/>
    <w:rsid w:val="00F83712"/>
    <w:rsid w:val="00F84AC0"/>
    <w:rsid w:val="00F859B1"/>
    <w:rsid w:val="00F85CA3"/>
    <w:rsid w:val="00F95C77"/>
    <w:rsid w:val="00FA672D"/>
    <w:rsid w:val="00FA75F2"/>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0263F-C596-4AD5-A42A-AAA27D68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FA75F2"/>
    <w:pPr>
      <w:keepNext/>
      <w:keepLines/>
      <w:spacing w:before="40"/>
      <w:outlineLvl w:val="2"/>
    </w:pPr>
    <w:rPr>
      <w:rFonts w:ascii="Cambria" w:hAnsi="Cambria" w:cs="Cambria"/>
      <w:color w:val="00FFFF"/>
      <w:sz w:val="28"/>
      <w:szCs w:val="20"/>
      <w:lang w:val="es-MX" w:eastAsia="es-MX"/>
    </w:rPr>
  </w:style>
  <w:style w:type="paragraph" w:styleId="Ttulo4">
    <w:name w:val="heading 4"/>
    <w:basedOn w:val="Normal"/>
    <w:next w:val="Normal"/>
    <w:link w:val="Ttulo4Car"/>
    <w:qFormat/>
    <w:rsid w:val="00FA75F2"/>
    <w:pPr>
      <w:keepNext/>
      <w:keepLines/>
      <w:spacing w:before="40" w:line="259" w:lineRule="atLeast"/>
      <w:outlineLvl w:val="3"/>
    </w:pPr>
    <w:rPr>
      <w:rFonts w:ascii="Cambria" w:hAnsi="Cambria" w:cs="Cambria"/>
      <w:color w:val="00FFFF"/>
      <w:szCs w:val="20"/>
      <w:lang w:val="es-MX" w:eastAsia="es-MX"/>
    </w:rPr>
  </w:style>
  <w:style w:type="paragraph" w:styleId="Ttulo5">
    <w:name w:val="heading 5"/>
    <w:basedOn w:val="Normal"/>
    <w:next w:val="Normal"/>
    <w:link w:val="Ttulo5Car"/>
    <w:qFormat/>
    <w:rsid w:val="00FA75F2"/>
    <w:pPr>
      <w:keepNext/>
      <w:keepLines/>
      <w:spacing w:before="40" w:line="259" w:lineRule="atLeast"/>
      <w:outlineLvl w:val="4"/>
    </w:pPr>
    <w:rPr>
      <w:rFonts w:ascii="Cambria" w:hAnsi="Cambria" w:cs="Cambria"/>
      <w:caps/>
      <w:color w:val="00FFFF"/>
      <w:sz w:val="22"/>
      <w:szCs w:val="20"/>
      <w:lang w:val="es-MX" w:eastAsia="es-MX"/>
    </w:rPr>
  </w:style>
  <w:style w:type="paragraph" w:styleId="Ttulo6">
    <w:name w:val="heading 6"/>
    <w:basedOn w:val="Normal"/>
    <w:next w:val="Normal"/>
    <w:link w:val="Ttulo6Car"/>
    <w:qFormat/>
    <w:rsid w:val="00FA75F2"/>
    <w:pPr>
      <w:keepNext/>
      <w:keepLines/>
      <w:spacing w:before="40" w:line="259" w:lineRule="atLeast"/>
      <w:outlineLvl w:val="5"/>
    </w:pPr>
    <w:rPr>
      <w:rFonts w:ascii="Cambria" w:hAnsi="Cambria" w:cs="Cambria"/>
      <w:i/>
      <w:caps/>
      <w:color w:val="000080"/>
      <w:sz w:val="22"/>
      <w:szCs w:val="20"/>
      <w:lang w:val="es-MX" w:eastAsia="es-MX"/>
    </w:rPr>
  </w:style>
  <w:style w:type="paragraph" w:styleId="Ttulo7">
    <w:name w:val="heading 7"/>
    <w:basedOn w:val="Normal"/>
    <w:next w:val="Normal"/>
    <w:link w:val="Ttulo7Car"/>
    <w:qFormat/>
    <w:rsid w:val="00FA75F2"/>
    <w:pPr>
      <w:keepNext/>
      <w:keepLines/>
      <w:spacing w:before="40" w:line="259" w:lineRule="atLeast"/>
      <w:outlineLvl w:val="6"/>
    </w:pPr>
    <w:rPr>
      <w:rFonts w:ascii="Cambria" w:hAnsi="Cambria" w:cs="Cambria"/>
      <w:b/>
      <w:color w:val="000080"/>
      <w:sz w:val="22"/>
      <w:szCs w:val="20"/>
      <w:lang w:val="es-MX" w:eastAsia="es-MX"/>
    </w:rPr>
  </w:style>
  <w:style w:type="paragraph" w:styleId="Ttulo8">
    <w:name w:val="heading 8"/>
    <w:basedOn w:val="Normal"/>
    <w:next w:val="Normal"/>
    <w:link w:val="Ttulo8Car"/>
    <w:qFormat/>
    <w:rsid w:val="00FA75F2"/>
    <w:pPr>
      <w:keepNext/>
      <w:keepLines/>
      <w:spacing w:before="40" w:line="259" w:lineRule="atLeast"/>
      <w:outlineLvl w:val="7"/>
    </w:pPr>
    <w:rPr>
      <w:rFonts w:ascii="Cambria" w:hAnsi="Cambria" w:cs="Cambria"/>
      <w:b/>
      <w:i/>
      <w:color w:val="000080"/>
      <w:sz w:val="22"/>
      <w:szCs w:val="20"/>
      <w:lang w:val="es-MX" w:eastAsia="es-MX"/>
    </w:rPr>
  </w:style>
  <w:style w:type="paragraph" w:styleId="Ttulo9">
    <w:name w:val="heading 9"/>
    <w:basedOn w:val="Normal"/>
    <w:next w:val="Normal"/>
    <w:link w:val="Ttulo9Car"/>
    <w:qFormat/>
    <w:rsid w:val="00FA75F2"/>
    <w:pPr>
      <w:keepNext/>
      <w:keepLines/>
      <w:spacing w:before="40" w:line="259" w:lineRule="atLeast"/>
      <w:outlineLvl w:val="8"/>
    </w:pPr>
    <w:rPr>
      <w:rFonts w:ascii="Cambria" w:hAnsi="Cambria" w:cs="Cambria"/>
      <w:i/>
      <w:color w:val="000080"/>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FA75F2"/>
    <w:rPr>
      <w:rFonts w:ascii="Cambria" w:hAnsi="Cambria" w:cs="Cambria"/>
      <w:color w:val="00FFFF"/>
      <w:sz w:val="28"/>
    </w:rPr>
  </w:style>
  <w:style w:type="character" w:customStyle="1" w:styleId="Ttulo4Car">
    <w:name w:val="Título 4 Car"/>
    <w:link w:val="Ttulo4"/>
    <w:rsid w:val="00FA75F2"/>
    <w:rPr>
      <w:rFonts w:ascii="Cambria" w:hAnsi="Cambria" w:cs="Cambria"/>
      <w:color w:val="00FFFF"/>
      <w:sz w:val="24"/>
    </w:rPr>
  </w:style>
  <w:style w:type="character" w:customStyle="1" w:styleId="Ttulo5Car">
    <w:name w:val="Título 5 Car"/>
    <w:link w:val="Ttulo5"/>
    <w:rsid w:val="00FA75F2"/>
    <w:rPr>
      <w:rFonts w:ascii="Cambria" w:hAnsi="Cambria" w:cs="Cambria"/>
      <w:caps/>
      <w:color w:val="00FFFF"/>
      <w:sz w:val="22"/>
    </w:rPr>
  </w:style>
  <w:style w:type="character" w:customStyle="1" w:styleId="Ttulo6Car">
    <w:name w:val="Título 6 Car"/>
    <w:link w:val="Ttulo6"/>
    <w:rsid w:val="00FA75F2"/>
    <w:rPr>
      <w:rFonts w:ascii="Cambria" w:hAnsi="Cambria" w:cs="Cambria"/>
      <w:i/>
      <w:caps/>
      <w:color w:val="000080"/>
      <w:sz w:val="22"/>
    </w:rPr>
  </w:style>
  <w:style w:type="character" w:customStyle="1" w:styleId="Ttulo7Car">
    <w:name w:val="Título 7 Car"/>
    <w:link w:val="Ttulo7"/>
    <w:rsid w:val="00FA75F2"/>
    <w:rPr>
      <w:rFonts w:ascii="Cambria" w:hAnsi="Cambria" w:cs="Cambria"/>
      <w:b/>
      <w:color w:val="000080"/>
      <w:sz w:val="22"/>
    </w:rPr>
  </w:style>
  <w:style w:type="character" w:customStyle="1" w:styleId="Ttulo8Car">
    <w:name w:val="Título 8 Car"/>
    <w:link w:val="Ttulo8"/>
    <w:rsid w:val="00FA75F2"/>
    <w:rPr>
      <w:rFonts w:ascii="Cambria" w:hAnsi="Cambria" w:cs="Cambria"/>
      <w:b/>
      <w:i/>
      <w:color w:val="000080"/>
      <w:sz w:val="22"/>
    </w:rPr>
  </w:style>
  <w:style w:type="character" w:customStyle="1" w:styleId="Ttulo9Car">
    <w:name w:val="Título 9 Car"/>
    <w:link w:val="Ttulo9"/>
    <w:rsid w:val="00FA75F2"/>
    <w:rPr>
      <w:rFonts w:ascii="Cambria" w:hAnsi="Cambria" w:cs="Cambria"/>
      <w:i/>
      <w:color w:val="000080"/>
      <w:sz w:val="22"/>
    </w:rPr>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1358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FA75F2"/>
    <w:rPr>
      <w:sz w:val="20"/>
      <w:szCs w:val="20"/>
      <w:lang w:val="es-MX" w:eastAsia="es-MX"/>
    </w:rPr>
  </w:style>
  <w:style w:type="character" w:customStyle="1" w:styleId="TextocomentarioCar">
    <w:name w:val="Texto comentario Car"/>
    <w:basedOn w:val="Fuentedeprrafopredeter"/>
    <w:link w:val="Textocomentario"/>
    <w:rsid w:val="00FA75F2"/>
  </w:style>
  <w:style w:type="paragraph" w:styleId="Textonotapie">
    <w:name w:val="footnote text"/>
    <w:basedOn w:val="Normal"/>
    <w:link w:val="TextonotapieCar"/>
    <w:rsid w:val="00FA75F2"/>
    <w:rPr>
      <w:rFonts w:ascii="Arial" w:hAnsi="Arial" w:cs="Arial"/>
      <w:sz w:val="20"/>
      <w:szCs w:val="20"/>
      <w:lang w:val="es-MX" w:eastAsia="es-MX"/>
    </w:rPr>
  </w:style>
  <w:style w:type="character" w:customStyle="1" w:styleId="TextonotapieCar">
    <w:name w:val="Texto nota pie Car"/>
    <w:link w:val="Textonotapie"/>
    <w:rsid w:val="00FA75F2"/>
    <w:rPr>
      <w:rFonts w:ascii="Arial" w:hAnsi="Arial" w:cs="Arial"/>
    </w:rPr>
  </w:style>
  <w:style w:type="paragraph" w:customStyle="1" w:styleId="estilo30">
    <w:name w:val="estilo30"/>
    <w:basedOn w:val="Normal"/>
    <w:rsid w:val="00FA75F2"/>
    <w:pPr>
      <w:spacing w:before="100" w:after="100"/>
    </w:pPr>
    <w:rPr>
      <w:szCs w:val="20"/>
      <w:lang w:val="es-MX" w:eastAsia="es-MX"/>
    </w:rPr>
  </w:style>
  <w:style w:type="paragraph" w:styleId="NormalWeb">
    <w:name w:val="Normal (Web)"/>
    <w:basedOn w:val="Normal"/>
    <w:rsid w:val="00FA75F2"/>
    <w:pPr>
      <w:spacing w:before="100" w:after="100"/>
    </w:pPr>
    <w:rPr>
      <w:szCs w:val="20"/>
      <w:lang w:val="es-MX" w:eastAsia="es-MX"/>
    </w:rPr>
  </w:style>
  <w:style w:type="paragraph" w:customStyle="1" w:styleId="Textonormal">
    <w:name w:val="Texto normal"/>
    <w:basedOn w:val="Normal"/>
    <w:rsid w:val="00FA75F2"/>
    <w:pPr>
      <w:jc w:val="both"/>
    </w:pPr>
    <w:rPr>
      <w:rFonts w:ascii="Arial" w:hAnsi="Arial" w:cs="Arial"/>
      <w:sz w:val="22"/>
      <w:szCs w:val="20"/>
      <w:lang w:val="es-MX" w:eastAsia="es-MX"/>
    </w:rPr>
  </w:style>
  <w:style w:type="paragraph" w:customStyle="1" w:styleId="Textodebloque1">
    <w:name w:val="Texto de bloque1"/>
    <w:basedOn w:val="Normal"/>
    <w:rsid w:val="00FA75F2"/>
    <w:pPr>
      <w:tabs>
        <w:tab w:val="left" w:pos="8910"/>
      </w:tabs>
      <w:ind w:left="720" w:right="720"/>
      <w:jc w:val="both"/>
    </w:pPr>
    <w:rPr>
      <w:rFonts w:ascii="Arial" w:hAnsi="Arial" w:cs="Arial"/>
      <w:szCs w:val="20"/>
      <w:lang w:val="es-MX" w:eastAsia="es-MX"/>
    </w:rPr>
  </w:style>
  <w:style w:type="paragraph" w:customStyle="1" w:styleId="Sangra2detindependiente1">
    <w:name w:val="Sangría 2 de t. independiente1"/>
    <w:basedOn w:val="Normal"/>
    <w:rsid w:val="00FA75F2"/>
    <w:pPr>
      <w:ind w:left="708"/>
      <w:jc w:val="both"/>
    </w:pPr>
    <w:rPr>
      <w:rFonts w:ascii="Arial" w:hAnsi="Arial" w:cs="Arial"/>
      <w:sz w:val="22"/>
      <w:szCs w:val="20"/>
      <w:lang w:val="es-MX" w:eastAsia="es-MX"/>
    </w:rPr>
  </w:style>
  <w:style w:type="paragraph" w:customStyle="1" w:styleId="Textodeglobo1">
    <w:name w:val="Texto de globo1"/>
    <w:basedOn w:val="Normal"/>
    <w:rsid w:val="00FA75F2"/>
    <w:rPr>
      <w:rFonts w:ascii="Tahoma" w:hAnsi="Tahoma" w:cs="Tahoma"/>
      <w:sz w:val="16"/>
      <w:szCs w:val="20"/>
      <w:lang w:val="es-MX" w:eastAsia="es-MX"/>
    </w:rPr>
  </w:style>
  <w:style w:type="paragraph" w:customStyle="1" w:styleId="Textoindependiente21">
    <w:name w:val="Texto independiente 21"/>
    <w:basedOn w:val="Normal"/>
    <w:rsid w:val="00FA75F2"/>
    <w:pPr>
      <w:spacing w:after="120" w:line="480" w:lineRule="atLeast"/>
    </w:pPr>
    <w:rPr>
      <w:rFonts w:ascii="Arial" w:hAnsi="Arial" w:cs="Arial"/>
      <w:szCs w:val="20"/>
      <w:lang w:val="es-MX" w:eastAsia="es-MX"/>
    </w:rPr>
  </w:style>
  <w:style w:type="paragraph" w:customStyle="1" w:styleId="Textoindependiente31">
    <w:name w:val="Texto independiente 31"/>
    <w:basedOn w:val="Normal"/>
    <w:rsid w:val="00FA75F2"/>
    <w:pPr>
      <w:spacing w:after="120"/>
    </w:pPr>
    <w:rPr>
      <w:rFonts w:ascii="Arial" w:hAnsi="Arial" w:cs="Arial"/>
      <w:sz w:val="16"/>
      <w:szCs w:val="20"/>
      <w:lang w:val="es-MX" w:eastAsia="es-MX"/>
    </w:rPr>
  </w:style>
  <w:style w:type="paragraph" w:styleId="Puesto">
    <w:name w:val="Title"/>
    <w:basedOn w:val="Normal"/>
    <w:next w:val="Normal"/>
    <w:link w:val="PuestoCar"/>
    <w:qFormat/>
    <w:rsid w:val="00FA75F2"/>
    <w:pPr>
      <w:spacing w:line="204" w:lineRule="atLeast"/>
    </w:pPr>
    <w:rPr>
      <w:rFonts w:ascii="Cambria" w:hAnsi="Cambria" w:cs="Cambria"/>
      <w:caps/>
      <w:color w:val="008080"/>
      <w:spacing w:val="-15"/>
      <w:sz w:val="72"/>
      <w:szCs w:val="20"/>
      <w:lang w:val="es-MX" w:eastAsia="es-MX"/>
    </w:rPr>
  </w:style>
  <w:style w:type="character" w:customStyle="1" w:styleId="PuestoCar">
    <w:name w:val="Puesto Car"/>
    <w:link w:val="Puesto"/>
    <w:rsid w:val="00FA75F2"/>
    <w:rPr>
      <w:rFonts w:ascii="Cambria" w:hAnsi="Cambria" w:cs="Cambria"/>
      <w:caps/>
      <w:color w:val="008080"/>
      <w:spacing w:val="-15"/>
      <w:sz w:val="72"/>
    </w:rPr>
  </w:style>
  <w:style w:type="paragraph" w:styleId="Prrafodelista">
    <w:name w:val="List Paragraph"/>
    <w:basedOn w:val="Normal"/>
    <w:qFormat/>
    <w:rsid w:val="00FA75F2"/>
    <w:pPr>
      <w:spacing w:after="160" w:line="259" w:lineRule="atLeast"/>
      <w:ind w:left="720"/>
    </w:pPr>
    <w:rPr>
      <w:rFonts w:ascii="Calibri" w:hAnsi="Calibri" w:cs="Calibri"/>
      <w:sz w:val="22"/>
      <w:szCs w:val="20"/>
      <w:lang w:val="es-MX" w:eastAsia="es-MX"/>
    </w:rPr>
  </w:style>
  <w:style w:type="paragraph" w:customStyle="1" w:styleId="Text">
    <w:name w:val="Text"/>
    <w:basedOn w:val="Normal"/>
    <w:rsid w:val="00FA75F2"/>
    <w:pPr>
      <w:spacing w:after="240"/>
    </w:pPr>
    <w:rPr>
      <w:rFonts w:ascii="Arial" w:hAnsi="Arial" w:cs="Arial"/>
      <w:b/>
      <w:szCs w:val="20"/>
      <w:lang w:val="es-ES_tradnl" w:eastAsia="es-MX"/>
    </w:rPr>
  </w:style>
  <w:style w:type="paragraph" w:customStyle="1" w:styleId="wText">
    <w:name w:val="wText"/>
    <w:basedOn w:val="Normal"/>
    <w:rsid w:val="00FA75F2"/>
    <w:pPr>
      <w:spacing w:after="240"/>
      <w:jc w:val="both"/>
    </w:pPr>
    <w:rPr>
      <w:szCs w:val="20"/>
      <w:lang w:val="es-ES_tradnl" w:eastAsia="es-MX"/>
    </w:rPr>
  </w:style>
  <w:style w:type="paragraph" w:customStyle="1" w:styleId="Asuntodelcomentario1">
    <w:name w:val="Asunto del comentario1"/>
    <w:basedOn w:val="Textocomentario"/>
    <w:next w:val="Textocomentario"/>
    <w:rsid w:val="00FA75F2"/>
    <w:rPr>
      <w:rFonts w:ascii="Arial" w:hAnsi="Arial" w:cs="Arial"/>
      <w:b/>
    </w:rPr>
  </w:style>
  <w:style w:type="paragraph" w:customStyle="1" w:styleId="ListParagraph1">
    <w:name w:val="List Paragraph1"/>
    <w:basedOn w:val="Normal"/>
    <w:rsid w:val="00FA75F2"/>
    <w:pPr>
      <w:spacing w:line="100" w:lineRule="atLeast"/>
    </w:pPr>
    <w:rPr>
      <w:sz w:val="20"/>
      <w:szCs w:val="20"/>
      <w:lang w:eastAsia="es-MX"/>
    </w:rPr>
  </w:style>
  <w:style w:type="paragraph" w:customStyle="1" w:styleId="BodyText21">
    <w:name w:val="Body Text 21"/>
    <w:basedOn w:val="Normal"/>
    <w:rsid w:val="00FA75F2"/>
    <w:pPr>
      <w:spacing w:line="100" w:lineRule="atLeast"/>
    </w:pPr>
    <w:rPr>
      <w:sz w:val="20"/>
      <w:szCs w:val="20"/>
      <w:lang w:eastAsia="es-MX"/>
    </w:rPr>
  </w:style>
  <w:style w:type="paragraph" w:customStyle="1" w:styleId="textodenotaalfinal">
    <w:name w:val="texto de nota al final"/>
    <w:basedOn w:val="Normal"/>
    <w:rsid w:val="00FA75F2"/>
    <w:rPr>
      <w:rFonts w:ascii="Calibri" w:hAnsi="Calibri" w:cs="Calibri"/>
      <w:sz w:val="20"/>
      <w:szCs w:val="20"/>
      <w:lang w:val="es-MX" w:eastAsia="es-MX"/>
    </w:rPr>
  </w:style>
  <w:style w:type="paragraph" w:customStyle="1" w:styleId="Mapadeldocumento1">
    <w:name w:val="Mapa del documento1"/>
    <w:basedOn w:val="Normal"/>
    <w:rsid w:val="00FA75F2"/>
    <w:rPr>
      <w:rFonts w:ascii="Lucida Grande" w:hAnsi="Lucida Grande" w:cs="Lucida Grande"/>
      <w:szCs w:val="20"/>
      <w:lang w:val="es-MX" w:eastAsia="es-MX"/>
    </w:rPr>
  </w:style>
  <w:style w:type="paragraph" w:customStyle="1" w:styleId="ttulo">
    <w:name w:val="título"/>
    <w:basedOn w:val="Normal"/>
    <w:next w:val="Normal"/>
    <w:rsid w:val="00FA75F2"/>
    <w:pPr>
      <w:spacing w:after="160"/>
    </w:pPr>
    <w:rPr>
      <w:rFonts w:ascii="Calibri" w:hAnsi="Calibri" w:cs="Calibri"/>
      <w:b/>
      <w:smallCaps/>
      <w:color w:val="008080"/>
      <w:sz w:val="22"/>
      <w:szCs w:val="20"/>
      <w:lang w:val="es-MX" w:eastAsia="es-MX"/>
    </w:rPr>
  </w:style>
  <w:style w:type="paragraph" w:styleId="Subttulo">
    <w:name w:val="Subtitle"/>
    <w:basedOn w:val="Normal"/>
    <w:next w:val="Normal"/>
    <w:link w:val="SubttuloCar"/>
    <w:qFormat/>
    <w:rsid w:val="00FA75F2"/>
    <w:pPr>
      <w:spacing w:after="240"/>
    </w:pPr>
    <w:rPr>
      <w:rFonts w:ascii="Cambria" w:hAnsi="Cambria" w:cs="Cambria"/>
      <w:color w:val="C0C0C0"/>
      <w:sz w:val="28"/>
      <w:szCs w:val="20"/>
      <w:lang w:val="es-MX" w:eastAsia="es-MX"/>
    </w:rPr>
  </w:style>
  <w:style w:type="character" w:customStyle="1" w:styleId="SubttuloCar">
    <w:name w:val="Subtítulo Car"/>
    <w:link w:val="Subttulo"/>
    <w:rsid w:val="00FA75F2"/>
    <w:rPr>
      <w:rFonts w:ascii="Cambria" w:hAnsi="Cambria" w:cs="Cambria"/>
      <w:color w:val="C0C0C0"/>
      <w:sz w:val="28"/>
    </w:rPr>
  </w:style>
  <w:style w:type="paragraph" w:styleId="Cita">
    <w:name w:val="Quote"/>
    <w:basedOn w:val="Normal"/>
    <w:next w:val="Normal"/>
    <w:link w:val="CitaCar"/>
    <w:qFormat/>
    <w:rsid w:val="00FA75F2"/>
    <w:pPr>
      <w:spacing w:before="120" w:after="120" w:line="259" w:lineRule="atLeast"/>
      <w:ind w:left="720"/>
    </w:pPr>
    <w:rPr>
      <w:rFonts w:ascii="Calibri" w:hAnsi="Calibri" w:cs="Calibri"/>
      <w:color w:val="008080"/>
      <w:szCs w:val="20"/>
      <w:lang w:val="es-MX" w:eastAsia="es-MX"/>
    </w:rPr>
  </w:style>
  <w:style w:type="character" w:customStyle="1" w:styleId="CitaCar">
    <w:name w:val="Cita Car"/>
    <w:link w:val="Cita"/>
    <w:rsid w:val="00FA75F2"/>
    <w:rPr>
      <w:rFonts w:ascii="Calibri" w:hAnsi="Calibri" w:cs="Calibri"/>
      <w:color w:val="008080"/>
      <w:sz w:val="24"/>
    </w:rPr>
  </w:style>
  <w:style w:type="paragraph" w:styleId="Citadestacada">
    <w:name w:val="Intense Quote"/>
    <w:basedOn w:val="Normal"/>
    <w:next w:val="Normal"/>
    <w:link w:val="CitadestacadaCar"/>
    <w:qFormat/>
    <w:rsid w:val="00FA75F2"/>
    <w:pPr>
      <w:spacing w:before="100" w:after="240"/>
      <w:ind w:left="720"/>
      <w:jc w:val="center"/>
    </w:pPr>
    <w:rPr>
      <w:rFonts w:ascii="Cambria" w:hAnsi="Cambria" w:cs="Cambria"/>
      <w:color w:val="008080"/>
      <w:spacing w:val="-5"/>
      <w:sz w:val="32"/>
      <w:szCs w:val="20"/>
      <w:lang w:val="es-MX" w:eastAsia="es-MX"/>
    </w:rPr>
  </w:style>
  <w:style w:type="character" w:customStyle="1" w:styleId="CitadestacadaCar">
    <w:name w:val="Cita destacada Car"/>
    <w:link w:val="Citadestacada"/>
    <w:rsid w:val="00FA75F2"/>
    <w:rPr>
      <w:rFonts w:ascii="Cambria" w:hAnsi="Cambria" w:cs="Cambria"/>
      <w:color w:val="008080"/>
      <w:spacing w:val="-5"/>
      <w:sz w:val="32"/>
    </w:rPr>
  </w:style>
  <w:style w:type="paragraph" w:styleId="TtulodeTDC">
    <w:name w:val="TOC Heading"/>
    <w:basedOn w:val="Ttulo1"/>
    <w:next w:val="Normal"/>
    <w:qFormat/>
    <w:rsid w:val="00FA75F2"/>
    <w:pPr>
      <w:keepNext/>
      <w:keepLines/>
      <w:pBdr>
        <w:bottom w:val="none" w:sz="0" w:space="0" w:color="auto"/>
        <w:between w:val="none" w:sz="0" w:space="0" w:color="auto"/>
      </w:pBdr>
      <w:spacing w:before="400" w:after="40"/>
      <w:jc w:val="left"/>
    </w:pPr>
    <w:rPr>
      <w:rFonts w:ascii="Cambria" w:hAnsi="Cambria" w:cs="Cambria"/>
      <w:b w:val="0"/>
      <w:color w:val="000080"/>
      <w:sz w:val="36"/>
      <w:szCs w:val="20"/>
      <w:lang w:val="es-MX" w:eastAsia="es-MX"/>
    </w:rPr>
  </w:style>
  <w:style w:type="paragraph" w:customStyle="1" w:styleId="Sumario">
    <w:name w:val="Sumario"/>
    <w:basedOn w:val="Normal"/>
    <w:rsid w:val="00C27C7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27C7B"/>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1Car">
    <w:name w:val="Título 1 Car"/>
    <w:basedOn w:val="Fuentedeprrafopredeter"/>
    <w:link w:val="Ttulo1"/>
    <w:uiPriority w:val="9"/>
    <w:rsid w:val="0001358B"/>
    <w:rPr>
      <w:rFonts w:cs="CG Palacio (WN)"/>
      <w:b/>
      <w:sz w:val="18"/>
      <w:szCs w:val="24"/>
      <w:lang w:val="es-ES" w:eastAsia="es-ES"/>
    </w:rPr>
  </w:style>
  <w:style w:type="character" w:customStyle="1" w:styleId="Ttulo2Car">
    <w:name w:val="Título 2 Car"/>
    <w:basedOn w:val="Fuentedeprrafopredeter"/>
    <w:link w:val="Ttulo2"/>
    <w:uiPriority w:val="9"/>
    <w:rsid w:val="0001358B"/>
    <w:rPr>
      <w:rFonts w:ascii="Arial" w:hAnsi="Arial" w:cs="Helv"/>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1</Pages>
  <Words>1320</Words>
  <Characters>7262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5</cp:revision>
  <cp:lastPrinted>2016-11-23T22:28:00Z</cp:lastPrinted>
  <dcterms:created xsi:type="dcterms:W3CDTF">2016-12-05T15:42:00Z</dcterms:created>
  <dcterms:modified xsi:type="dcterms:W3CDTF">2016-12-05T15:46:00Z</dcterms:modified>
</cp:coreProperties>
</file>