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CA" w:rsidRPr="005B12CA" w:rsidRDefault="005B12CA" w:rsidP="005B12CA">
      <w:pPr>
        <w:spacing w:after="0" w:line="240" w:lineRule="auto"/>
        <w:jc w:val="center"/>
        <w:rPr>
          <w:rFonts w:ascii="Times New Roman" w:eastAsia="Times New Roman" w:hAnsi="Times New Roman" w:cs="Times New Roman"/>
          <w:b/>
          <w:sz w:val="28"/>
          <w:szCs w:val="28"/>
          <w:lang w:val="es-ES_tradnl" w:eastAsia="es-MX"/>
        </w:rPr>
      </w:pPr>
      <w:r w:rsidRPr="005B12CA">
        <w:rPr>
          <w:rFonts w:ascii="Times New Roman" w:eastAsia="Times New Roman" w:hAnsi="Times New Roman" w:cs="Times New Roman"/>
          <w:b/>
          <w:sz w:val="28"/>
          <w:szCs w:val="28"/>
          <w:lang w:val="es-ES_tradnl" w:eastAsia="es-MX"/>
        </w:rPr>
        <w:t>INSTITUTO FEDERAL DE TELECOMUNICACIONES</w:t>
      </w:r>
    </w:p>
    <w:p w:rsidR="005B12CA" w:rsidRPr="005B12CA" w:rsidRDefault="005B12CA" w:rsidP="005B12CA">
      <w:pPr>
        <w:pBdr>
          <w:bottom w:val="single" w:sz="12" w:space="1" w:color="auto"/>
        </w:pBdr>
        <w:spacing w:before="120" w:after="0" w:line="240" w:lineRule="auto"/>
        <w:jc w:val="both"/>
        <w:outlineLvl w:val="0"/>
        <w:rPr>
          <w:rFonts w:ascii="Times New Roman" w:eastAsia="Times New Roman" w:hAnsi="Times New Roman" w:cs="Times New Roman"/>
          <w:b/>
          <w:sz w:val="18"/>
          <w:szCs w:val="18"/>
          <w:lang w:eastAsia="es-MX"/>
        </w:rPr>
      </w:pPr>
      <w:r w:rsidRPr="005B12CA">
        <w:rPr>
          <w:rFonts w:ascii="Times New Roman" w:eastAsia="Times New Roman" w:hAnsi="Times New Roman" w:cs="Times New Roman"/>
          <w:b/>
          <w:sz w:val="18"/>
          <w:szCs w:val="18"/>
          <w:lang w:eastAsia="es-MX"/>
        </w:rPr>
        <w:t>ACUERDO mediante el cual el Pleno del Instituto Federal de Telecomunicaciones modifica el Programa Anual de Uso y Aprovechamiento de Bandas de Frecuencias 2017.</w:t>
      </w:r>
    </w:p>
    <w:p w:rsidR="005B12CA" w:rsidRPr="005B12CA" w:rsidRDefault="005B12CA" w:rsidP="005B12CA">
      <w:pPr>
        <w:pBdr>
          <w:top w:val="double" w:sz="6" w:space="1" w:color="auto"/>
        </w:pBdr>
        <w:spacing w:after="101" w:line="240" w:lineRule="auto"/>
        <w:jc w:val="both"/>
        <w:outlineLvl w:val="1"/>
        <w:rPr>
          <w:rFonts w:ascii="Arial" w:eastAsia="Times New Roman" w:hAnsi="Arial" w:cs="Arial"/>
          <w:sz w:val="18"/>
          <w:szCs w:val="20"/>
          <w:lang w:eastAsia="es-ES"/>
        </w:rPr>
      </w:pPr>
      <w:r w:rsidRPr="005B12CA">
        <w:rPr>
          <w:rFonts w:ascii="Arial" w:eastAsia="Times New Roman" w:hAnsi="Arial" w:cs="Arial"/>
          <w:sz w:val="18"/>
          <w:szCs w:val="20"/>
          <w:lang w:eastAsia="es-ES"/>
        </w:rPr>
        <w:t>Al margen un logotipo, que dice: Instituto Federal de Telecomunicaciones.</w:t>
      </w:r>
    </w:p>
    <w:p w:rsidR="005B12CA" w:rsidRPr="00711B86" w:rsidRDefault="005B12CA" w:rsidP="00711B86">
      <w:pPr>
        <w:pStyle w:val="Titulo2"/>
        <w:ind w:firstLine="706"/>
      </w:pPr>
      <w:r w:rsidRPr="00711B86">
        <w:t>ACUERDO MEDIANTE EL CUAL EL PLENO DEL INSTITUTO FEDERAL DE TELECOMUNICACIONES MODIFICA EL PROGRAMA ANUAL DE USO Y APROVECHAMIENTO DE BANDAS DE FRECUENCIAS 2017.</w:t>
      </w:r>
    </w:p>
    <w:p w:rsidR="005B12CA" w:rsidRPr="00711B86" w:rsidRDefault="005B12CA" w:rsidP="00711B86">
      <w:pPr>
        <w:pStyle w:val="Ttulo3"/>
        <w:keepNext/>
        <w:keepLines/>
        <w:pBdr>
          <w:top w:val="none" w:sz="0" w:space="0" w:color="auto"/>
          <w:left w:val="none" w:sz="0" w:space="0" w:color="auto"/>
          <w:bottom w:val="none" w:sz="0" w:space="0" w:color="auto"/>
          <w:right w:val="none" w:sz="0" w:space="0" w:color="auto"/>
          <w:between w:val="none" w:sz="0" w:space="0" w:color="auto"/>
        </w:pBdr>
        <w:spacing w:before="40" w:line="259" w:lineRule="auto"/>
        <w:ind w:left="0" w:firstLine="0"/>
        <w:rPr>
          <w:rFonts w:ascii="Times New Roman" w:eastAsia="MS Gothic" w:hAnsi="Times New Roman" w:cs="Times New Roman"/>
          <w:bCs/>
          <w:color w:val="000000" w:themeColor="text1"/>
          <w:sz w:val="18"/>
          <w:szCs w:val="18"/>
          <w:lang w:eastAsia="en-US"/>
        </w:rPr>
      </w:pPr>
      <w:r w:rsidRPr="00711B86">
        <w:rPr>
          <w:rFonts w:ascii="Times New Roman" w:eastAsia="MS Gothic" w:hAnsi="Times New Roman" w:cs="Times New Roman"/>
          <w:bCs/>
          <w:color w:val="000000" w:themeColor="text1"/>
          <w:sz w:val="18"/>
          <w:szCs w:val="18"/>
          <w:lang w:eastAsia="en-US"/>
        </w:rPr>
        <w:t>ANTECEDENTES</w:t>
      </w:r>
    </w:p>
    <w:p w:rsidR="005B12CA" w:rsidRPr="005B12CA" w:rsidRDefault="005B12CA" w:rsidP="005B12CA">
      <w:pPr>
        <w:tabs>
          <w:tab w:val="left" w:pos="720"/>
        </w:tabs>
        <w:spacing w:after="101" w:line="222" w:lineRule="exact"/>
        <w:ind w:left="720" w:hanging="432"/>
        <w:jc w:val="both"/>
        <w:rPr>
          <w:rFonts w:ascii="Arial" w:eastAsia="Times New Roman" w:hAnsi="Arial" w:cs="Arial"/>
          <w:sz w:val="18"/>
          <w:szCs w:val="18"/>
          <w:lang w:val="es-ES" w:eastAsia="es-ES"/>
        </w:rPr>
      </w:pPr>
      <w:r w:rsidRPr="005B12CA">
        <w:rPr>
          <w:rFonts w:ascii="Arial" w:eastAsia="Times New Roman" w:hAnsi="Arial" w:cs="Arial"/>
          <w:b/>
          <w:sz w:val="18"/>
          <w:szCs w:val="18"/>
          <w:lang w:val="es-ES" w:eastAsia="es-ES"/>
        </w:rPr>
        <w:t>I.</w:t>
      </w:r>
      <w:r w:rsidRPr="005B12CA">
        <w:rPr>
          <w:rFonts w:ascii="Arial" w:eastAsia="Times New Roman" w:hAnsi="Arial" w:cs="Arial"/>
          <w:b/>
          <w:sz w:val="18"/>
          <w:szCs w:val="18"/>
          <w:lang w:val="es-ES" w:eastAsia="es-ES"/>
        </w:rPr>
        <w:tab/>
      </w:r>
      <w:r w:rsidRPr="005B12CA">
        <w:rPr>
          <w:rFonts w:ascii="Arial" w:eastAsia="Times New Roman" w:hAnsi="Arial" w:cs="Arial"/>
          <w:sz w:val="18"/>
          <w:szCs w:val="18"/>
          <w:lang w:val="es-ES" w:eastAsia="es-ES"/>
        </w:rPr>
        <w:t xml:space="preserve">El 11 de junio de 2013 se publicó en el Diario Oficial de </w:t>
      </w:r>
      <w:smartTag w:uri="urn:schemas-microsoft-com:office:smarttags" w:element="PersonName">
        <w:smartTagPr>
          <w:attr w:name="ProductID" w:val="La Federaci￳n"/>
        </w:smartTagPr>
        <w:r w:rsidRPr="005B12CA">
          <w:rPr>
            <w:rFonts w:ascii="Arial" w:eastAsia="Times New Roman" w:hAnsi="Arial" w:cs="Arial"/>
            <w:sz w:val="18"/>
            <w:szCs w:val="18"/>
            <w:lang w:val="es-ES" w:eastAsia="es-ES"/>
          </w:rPr>
          <w:t>la Federación</w:t>
        </w:r>
      </w:smartTag>
      <w:r w:rsidRPr="005B12CA">
        <w:rPr>
          <w:rFonts w:ascii="Arial" w:eastAsia="Times New Roman" w:hAnsi="Arial" w:cs="Arial"/>
          <w:sz w:val="18"/>
          <w:szCs w:val="18"/>
          <w:lang w:val="es-ES" w:eastAsia="es-ES"/>
        </w:rPr>
        <w:t xml:space="preserve"> (DOF) el “DECRETO por el que se reforman y adicionan diversas disposiciones de los artículos 6o., 7o., 27, 28, 73, 78, 94 y 105 de </w:t>
      </w:r>
      <w:smartTag w:uri="urn:schemas-microsoft-com:office:smarttags" w:element="PersonName">
        <w:smartTagPr>
          <w:attr w:name="ProductID" w:val="la Constituci￳n Pol￭tica"/>
        </w:smartTagPr>
        <w:r w:rsidRPr="005B12CA">
          <w:rPr>
            <w:rFonts w:ascii="Arial" w:eastAsia="Times New Roman" w:hAnsi="Arial" w:cs="Arial"/>
            <w:sz w:val="18"/>
            <w:szCs w:val="18"/>
            <w:lang w:val="es-ES" w:eastAsia="es-ES"/>
          </w:rPr>
          <w:t>la Constitución Política</w:t>
        </w:r>
      </w:smartTag>
      <w:r w:rsidRPr="005B12CA">
        <w:rPr>
          <w:rFonts w:ascii="Arial" w:eastAsia="Times New Roman" w:hAnsi="Arial" w:cs="Arial"/>
          <w:sz w:val="18"/>
          <w:szCs w:val="18"/>
          <w:lang w:val="es-ES" w:eastAsia="es-ES"/>
        </w:rPr>
        <w:t xml:space="preserve"> de los Estados Unidos Mexicanos, en materia de telecomunicaciones”, mediante el cual se creó al Instituto Federal de Telecomunicaciones (Instituto) como un órgano autónomo, con personalidad jurídica y patrimonio propio.</w:t>
      </w:r>
    </w:p>
    <w:p w:rsidR="005B12CA" w:rsidRPr="005B12CA" w:rsidRDefault="005B12CA" w:rsidP="005B12CA">
      <w:pPr>
        <w:tabs>
          <w:tab w:val="left" w:pos="720"/>
        </w:tabs>
        <w:spacing w:after="101" w:line="222" w:lineRule="exact"/>
        <w:ind w:left="720" w:hanging="432"/>
        <w:jc w:val="both"/>
        <w:rPr>
          <w:rFonts w:ascii="Arial" w:eastAsia="Times New Roman" w:hAnsi="Arial" w:cs="Arial"/>
          <w:sz w:val="18"/>
          <w:szCs w:val="18"/>
          <w:lang w:val="es-ES" w:eastAsia="es-ES"/>
        </w:rPr>
      </w:pPr>
      <w:r w:rsidRPr="005B12CA">
        <w:rPr>
          <w:rFonts w:ascii="Arial" w:eastAsia="Times New Roman" w:hAnsi="Arial" w:cs="Arial"/>
          <w:b/>
          <w:sz w:val="18"/>
          <w:szCs w:val="18"/>
          <w:lang w:val="es-ES" w:eastAsia="es-ES"/>
        </w:rPr>
        <w:t>II.</w:t>
      </w:r>
      <w:r w:rsidRPr="005B12CA">
        <w:rPr>
          <w:rFonts w:ascii="Arial" w:eastAsia="Times New Roman" w:hAnsi="Arial" w:cs="Arial"/>
          <w:b/>
          <w:sz w:val="18"/>
          <w:szCs w:val="18"/>
          <w:lang w:val="es-ES" w:eastAsia="es-ES"/>
        </w:rPr>
        <w:tab/>
      </w:r>
      <w:r w:rsidRPr="005B12CA">
        <w:rPr>
          <w:rFonts w:ascii="Arial" w:eastAsia="Times New Roman" w:hAnsi="Arial" w:cs="Arial"/>
          <w:sz w:val="18"/>
          <w:szCs w:val="18"/>
          <w:lang w:val="es-ES" w:eastAsia="es-ES"/>
        </w:rPr>
        <w:t xml:space="preserve">El 14 de julio de 2014 se publicó en el DOF el “DECRETO por el que se expiden </w:t>
      </w:r>
      <w:smartTag w:uri="urn:schemas-microsoft-com:office:smarttags" w:element="PersonName">
        <w:smartTagPr>
          <w:attr w:name="ProductID" w:val="la Ley Federal"/>
        </w:smartTagPr>
        <w:r w:rsidRPr="005B12CA">
          <w:rPr>
            <w:rFonts w:ascii="Arial" w:eastAsia="Times New Roman" w:hAnsi="Arial" w:cs="Arial"/>
            <w:sz w:val="18"/>
            <w:szCs w:val="18"/>
            <w:lang w:val="es-ES" w:eastAsia="es-ES"/>
          </w:rPr>
          <w:t>la Ley Federal</w:t>
        </w:r>
      </w:smartTag>
      <w:r w:rsidRPr="005B12CA">
        <w:rPr>
          <w:rFonts w:ascii="Arial" w:eastAsia="Times New Roman" w:hAnsi="Arial" w:cs="Arial"/>
          <w:sz w:val="18"/>
          <w:szCs w:val="18"/>
          <w:lang w:val="es-ES" w:eastAsia="es-ES"/>
        </w:rPr>
        <w:t xml:space="preserve"> de Telecomunicaciones y Radiodifusión, y </w:t>
      </w:r>
      <w:smartTag w:uri="urn:schemas-microsoft-com:office:smarttags" w:element="PersonName">
        <w:smartTagPr>
          <w:attr w:name="ProductID" w:val="la Ley"/>
        </w:smartTagPr>
        <w:r w:rsidRPr="005B12CA">
          <w:rPr>
            <w:rFonts w:ascii="Arial" w:eastAsia="Times New Roman" w:hAnsi="Arial" w:cs="Arial"/>
            <w:sz w:val="18"/>
            <w:szCs w:val="18"/>
            <w:lang w:val="es-ES" w:eastAsia="es-ES"/>
          </w:rPr>
          <w:t>la Ley</w:t>
        </w:r>
      </w:smartTag>
      <w:r w:rsidRPr="005B12CA">
        <w:rPr>
          <w:rFonts w:ascii="Arial" w:eastAsia="Times New Roman" w:hAnsi="Arial" w:cs="Arial"/>
          <w:sz w:val="18"/>
          <w:szCs w:val="18"/>
          <w:lang w:val="es-ES" w:eastAsia="es-ES"/>
        </w:rPr>
        <w:t xml:space="preserve"> del Sistema Público de Radiodifusión del Estado Mexicano; y se reforman, adicionan y derogan diversas disposiciones en materia de telecomunicaciones y radiodifusión”, el cual entró en vigor el 13 de agosto de 2014.</w:t>
      </w:r>
    </w:p>
    <w:p w:rsidR="005B12CA" w:rsidRPr="005B12CA" w:rsidRDefault="005B12CA" w:rsidP="005B12CA">
      <w:pPr>
        <w:tabs>
          <w:tab w:val="left" w:pos="720"/>
        </w:tabs>
        <w:spacing w:after="101" w:line="222" w:lineRule="exact"/>
        <w:ind w:left="720" w:hanging="432"/>
        <w:jc w:val="both"/>
        <w:rPr>
          <w:rFonts w:ascii="Arial" w:eastAsia="Times New Roman" w:hAnsi="Arial" w:cs="Arial"/>
          <w:sz w:val="18"/>
          <w:szCs w:val="18"/>
          <w:lang w:val="es-ES" w:eastAsia="es-ES"/>
        </w:rPr>
      </w:pPr>
      <w:r w:rsidRPr="005B12CA">
        <w:rPr>
          <w:rFonts w:ascii="Arial" w:eastAsia="Times New Roman" w:hAnsi="Arial" w:cs="Arial"/>
          <w:b/>
          <w:sz w:val="18"/>
          <w:szCs w:val="18"/>
          <w:lang w:val="es-ES" w:eastAsia="es-ES"/>
        </w:rPr>
        <w:t>III.</w:t>
      </w:r>
      <w:r w:rsidRPr="005B12CA">
        <w:rPr>
          <w:rFonts w:ascii="Arial" w:eastAsia="Times New Roman" w:hAnsi="Arial" w:cs="Arial"/>
          <w:b/>
          <w:sz w:val="18"/>
          <w:szCs w:val="18"/>
          <w:lang w:val="es-ES" w:eastAsia="es-ES"/>
        </w:rPr>
        <w:tab/>
      </w:r>
      <w:r w:rsidRPr="005B12CA">
        <w:rPr>
          <w:rFonts w:ascii="Arial" w:eastAsia="Times New Roman" w:hAnsi="Arial" w:cs="Arial"/>
          <w:sz w:val="18"/>
          <w:szCs w:val="18"/>
          <w:lang w:val="es-ES" w:eastAsia="es-ES"/>
        </w:rPr>
        <w:t>El 4 de septiembre de 2014 se publicó en el DOF el Estatuto Orgánico del Instituto Federal de Telecomunicaciones (Estatuto Orgánico), el cual entró en vigor el 26 de septiembre de 2014, y fue modificado mediante publicaciones en el medio de difusión citado, el 17 de octubre de 2014 y el 17 de octubre de 2016.</w:t>
      </w:r>
    </w:p>
    <w:p w:rsidR="005B12CA" w:rsidRPr="005B12CA" w:rsidRDefault="005B12CA" w:rsidP="005B12CA">
      <w:pPr>
        <w:tabs>
          <w:tab w:val="left" w:pos="720"/>
        </w:tabs>
        <w:spacing w:after="101" w:line="222" w:lineRule="exact"/>
        <w:ind w:left="720" w:hanging="432"/>
        <w:jc w:val="both"/>
        <w:rPr>
          <w:rFonts w:ascii="Arial" w:eastAsia="Times New Roman" w:hAnsi="Arial" w:cs="Arial"/>
          <w:sz w:val="18"/>
          <w:szCs w:val="18"/>
          <w:lang w:val="es-ES" w:eastAsia="es-ES"/>
        </w:rPr>
      </w:pPr>
      <w:r w:rsidRPr="005B12CA">
        <w:rPr>
          <w:rFonts w:ascii="Arial" w:eastAsia="Times New Roman" w:hAnsi="Arial" w:cs="Arial"/>
          <w:b/>
          <w:sz w:val="18"/>
          <w:szCs w:val="18"/>
          <w:lang w:val="es-ES" w:eastAsia="es-ES"/>
        </w:rPr>
        <w:t>IV.</w:t>
      </w:r>
      <w:r w:rsidRPr="005B12CA">
        <w:rPr>
          <w:rFonts w:ascii="Arial" w:eastAsia="Times New Roman" w:hAnsi="Arial" w:cs="Arial"/>
          <w:b/>
          <w:sz w:val="18"/>
          <w:szCs w:val="18"/>
          <w:lang w:val="es-ES" w:eastAsia="es-ES"/>
        </w:rPr>
        <w:tab/>
      </w:r>
      <w:r w:rsidRPr="005B12CA">
        <w:rPr>
          <w:rFonts w:ascii="Arial" w:eastAsia="Times New Roman" w:hAnsi="Arial" w:cs="Arial"/>
          <w:sz w:val="18"/>
          <w:szCs w:val="18"/>
          <w:lang w:val="es-ES" w:eastAsia="es-ES"/>
        </w:rPr>
        <w:t xml:space="preserve">El 17 de marzo de 2016 el Pleno del Instituto aprobó en su VIII Sesión Ordinaria, el “ACUERDO mediante el cual el Pleno del Instituto Federal de Telecomunicaciones expide </w:t>
      </w:r>
      <w:smartTag w:uri="urn:schemas-microsoft-com:office:smarttags" w:element="PersonName">
        <w:smartTagPr>
          <w:attr w:name="ProductID" w:val="la Disposici￳n T￩cnica"/>
        </w:smartTagPr>
        <w:r w:rsidRPr="005B12CA">
          <w:rPr>
            <w:rFonts w:ascii="Arial" w:eastAsia="Times New Roman" w:hAnsi="Arial" w:cs="Arial"/>
            <w:sz w:val="18"/>
            <w:szCs w:val="18"/>
            <w:lang w:val="es-ES" w:eastAsia="es-ES"/>
          </w:rPr>
          <w:t>la Disposición Técnica</w:t>
        </w:r>
      </w:smartTag>
      <w:r w:rsidRPr="005B12CA">
        <w:rPr>
          <w:rFonts w:ascii="Arial" w:eastAsia="Times New Roman" w:hAnsi="Arial" w:cs="Arial"/>
          <w:sz w:val="18"/>
          <w:szCs w:val="18"/>
          <w:lang w:val="es-ES" w:eastAsia="es-ES"/>
        </w:rPr>
        <w:t xml:space="preserve"> IFT-002-2016, Especificaciones y requerimientos para la instalación y operación de las estaciones de radiodifusión sonora en frecuencia modulada en la banda de 88 MHz a 108 MHz” (Disposición Técnica IFT-002-2016), publicada en el DOF el 5 de abril de 2016, misma que entró en vigor el 5 de mayo de 2016.</w:t>
      </w:r>
    </w:p>
    <w:p w:rsidR="005B12CA" w:rsidRPr="005B12CA" w:rsidRDefault="005B12CA" w:rsidP="005B12CA">
      <w:pPr>
        <w:tabs>
          <w:tab w:val="left" w:pos="720"/>
        </w:tabs>
        <w:spacing w:after="101" w:line="222" w:lineRule="exact"/>
        <w:ind w:left="720" w:hanging="432"/>
        <w:jc w:val="both"/>
        <w:rPr>
          <w:rFonts w:ascii="Arial" w:eastAsia="Times New Roman" w:hAnsi="Arial" w:cs="Arial"/>
          <w:sz w:val="18"/>
          <w:szCs w:val="18"/>
          <w:lang w:val="es-ES" w:eastAsia="es-ES"/>
        </w:rPr>
      </w:pPr>
      <w:r w:rsidRPr="005B12CA">
        <w:rPr>
          <w:rFonts w:ascii="Arial" w:eastAsia="Times New Roman" w:hAnsi="Arial" w:cs="Arial"/>
          <w:b/>
          <w:sz w:val="18"/>
          <w:szCs w:val="18"/>
          <w:lang w:val="es-ES" w:eastAsia="es-ES"/>
        </w:rPr>
        <w:t>V.</w:t>
      </w:r>
      <w:r w:rsidRPr="005B12CA">
        <w:rPr>
          <w:rFonts w:ascii="Arial" w:eastAsia="Times New Roman" w:hAnsi="Arial" w:cs="Arial"/>
          <w:b/>
          <w:sz w:val="18"/>
          <w:szCs w:val="18"/>
          <w:lang w:val="es-ES" w:eastAsia="es-ES"/>
        </w:rPr>
        <w:tab/>
      </w:r>
      <w:r w:rsidRPr="005B12CA">
        <w:rPr>
          <w:rFonts w:ascii="Arial" w:eastAsia="Times New Roman" w:hAnsi="Arial" w:cs="Arial"/>
          <w:sz w:val="18"/>
          <w:szCs w:val="18"/>
          <w:lang w:val="es-ES" w:eastAsia="es-ES"/>
        </w:rPr>
        <w:t xml:space="preserve">El 1 de septiembre de 2016 el Pleno del Instituto aprobó en su XXVII Sesión Ordinaria el “ACUERDO mediante el cual el Pleno del Instituto Federal de Telecomunicaciones aprueba el Plan de </w:t>
      </w:r>
      <w:smartTag w:uri="urn:schemas-microsoft-com:office:smarttags" w:element="PersonName">
        <w:smartTagPr>
          <w:attr w:name="ProductID" w:val="la Banda"/>
        </w:smartTagPr>
        <w:r w:rsidRPr="005B12CA">
          <w:rPr>
            <w:rFonts w:ascii="Arial" w:eastAsia="Times New Roman" w:hAnsi="Arial" w:cs="Arial"/>
            <w:sz w:val="18"/>
            <w:szCs w:val="18"/>
            <w:lang w:val="es-ES" w:eastAsia="es-ES"/>
          </w:rPr>
          <w:t>la Banda</w:t>
        </w:r>
      </w:smartTag>
      <w:r w:rsidRPr="005B12CA">
        <w:rPr>
          <w:rFonts w:ascii="Arial" w:eastAsia="Times New Roman" w:hAnsi="Arial" w:cs="Arial"/>
          <w:sz w:val="18"/>
          <w:szCs w:val="18"/>
          <w:lang w:val="es-ES" w:eastAsia="es-ES"/>
        </w:rPr>
        <w:t xml:space="preserve"> 806-824/851-869 MHz y aprueba la propuesta de cambio de bandas de frecuencias a las personas físicas o morales, que sean titulares de derecho sobre el uso, aprovechamiento y explotación de </w:t>
      </w:r>
      <w:smartTag w:uri="urn:schemas-microsoft-com:office:smarttags" w:element="PersonName">
        <w:smartTagPr>
          <w:attr w:name="ProductID" w:val="la Banda"/>
        </w:smartTagPr>
        <w:r w:rsidRPr="005B12CA">
          <w:rPr>
            <w:rFonts w:ascii="Arial" w:eastAsia="Times New Roman" w:hAnsi="Arial" w:cs="Arial"/>
            <w:sz w:val="18"/>
            <w:szCs w:val="18"/>
            <w:lang w:val="es-ES" w:eastAsia="es-ES"/>
          </w:rPr>
          <w:t>la Banda</w:t>
        </w:r>
      </w:smartTag>
      <w:r w:rsidRPr="005B12CA">
        <w:rPr>
          <w:rFonts w:ascii="Arial" w:eastAsia="Times New Roman" w:hAnsi="Arial" w:cs="Arial"/>
          <w:sz w:val="18"/>
          <w:szCs w:val="18"/>
          <w:lang w:val="es-ES" w:eastAsia="es-ES"/>
        </w:rPr>
        <w:t xml:space="preserve"> de Frecuencias 806-824/851-869 MHz.”(Plan de </w:t>
      </w:r>
      <w:smartTag w:uri="urn:schemas-microsoft-com:office:smarttags" w:element="PersonName">
        <w:smartTagPr>
          <w:attr w:name="ProductID" w:val="la Banda"/>
        </w:smartTagPr>
        <w:r w:rsidRPr="005B12CA">
          <w:rPr>
            <w:rFonts w:ascii="Arial" w:eastAsia="Times New Roman" w:hAnsi="Arial" w:cs="Arial"/>
            <w:sz w:val="18"/>
            <w:szCs w:val="18"/>
            <w:lang w:val="es-ES" w:eastAsia="es-ES"/>
          </w:rPr>
          <w:t>la Banda</w:t>
        </w:r>
      </w:smartTag>
      <w:r w:rsidRPr="005B12CA">
        <w:rPr>
          <w:rFonts w:ascii="Arial" w:eastAsia="Times New Roman" w:hAnsi="Arial" w:cs="Arial"/>
          <w:sz w:val="18"/>
          <w:szCs w:val="18"/>
          <w:lang w:val="es-ES" w:eastAsia="es-ES"/>
        </w:rPr>
        <w:t xml:space="preserve"> 806-824/851-869 MHz), mismo que fue publicado en el DOF el 13 de septiembre de 2016.</w:t>
      </w:r>
    </w:p>
    <w:p w:rsidR="005B12CA" w:rsidRPr="005B12CA" w:rsidRDefault="005B12CA" w:rsidP="005B12CA">
      <w:pPr>
        <w:tabs>
          <w:tab w:val="left" w:pos="720"/>
        </w:tabs>
        <w:spacing w:after="101" w:line="222" w:lineRule="exact"/>
        <w:ind w:left="720" w:hanging="432"/>
        <w:jc w:val="both"/>
        <w:rPr>
          <w:rFonts w:ascii="Arial" w:eastAsia="Times New Roman" w:hAnsi="Arial" w:cs="Arial"/>
          <w:sz w:val="18"/>
          <w:szCs w:val="18"/>
          <w:lang w:val="es-ES" w:eastAsia="es-ES"/>
        </w:rPr>
      </w:pPr>
      <w:r w:rsidRPr="005B12CA">
        <w:rPr>
          <w:rFonts w:ascii="Arial" w:eastAsia="Times New Roman" w:hAnsi="Arial" w:cs="Arial"/>
          <w:b/>
          <w:sz w:val="18"/>
          <w:szCs w:val="18"/>
          <w:lang w:val="es-ES" w:eastAsia="es-ES"/>
        </w:rPr>
        <w:t>VI.</w:t>
      </w:r>
      <w:r w:rsidRPr="005B12CA">
        <w:rPr>
          <w:rFonts w:ascii="Arial" w:eastAsia="Times New Roman" w:hAnsi="Arial" w:cs="Arial"/>
          <w:b/>
          <w:sz w:val="18"/>
          <w:szCs w:val="18"/>
          <w:lang w:val="es-ES" w:eastAsia="es-ES"/>
        </w:rPr>
        <w:tab/>
      </w:r>
      <w:r w:rsidRPr="005B12CA">
        <w:rPr>
          <w:rFonts w:ascii="Arial" w:eastAsia="Times New Roman" w:hAnsi="Arial" w:cs="Arial"/>
          <w:sz w:val="18"/>
          <w:szCs w:val="18"/>
          <w:lang w:val="es-ES" w:eastAsia="es-ES"/>
        </w:rPr>
        <w:t>El 8 de noviembre de 2016 se publicó en el DOF el Programa Anual de Uso y Aprovechamiento de Bandas de Frecuencias 2017 (Programa 2017).</w:t>
      </w:r>
    </w:p>
    <w:p w:rsidR="005B12CA" w:rsidRPr="005B12CA" w:rsidRDefault="005B12CA" w:rsidP="005B12CA">
      <w:pPr>
        <w:tabs>
          <w:tab w:val="left" w:pos="720"/>
        </w:tabs>
        <w:spacing w:after="101" w:line="222" w:lineRule="exact"/>
        <w:ind w:left="720" w:hanging="432"/>
        <w:jc w:val="both"/>
        <w:rPr>
          <w:rFonts w:ascii="Arial" w:eastAsia="Times New Roman" w:hAnsi="Arial" w:cs="Arial"/>
          <w:sz w:val="18"/>
          <w:szCs w:val="18"/>
          <w:lang w:val="es-ES" w:eastAsia="es-ES"/>
        </w:rPr>
      </w:pPr>
      <w:r w:rsidRPr="005B12CA">
        <w:rPr>
          <w:rFonts w:ascii="Arial" w:eastAsia="Times New Roman" w:hAnsi="Arial" w:cs="Arial"/>
          <w:b/>
          <w:sz w:val="18"/>
          <w:szCs w:val="18"/>
          <w:lang w:val="es-ES" w:eastAsia="es-ES"/>
        </w:rPr>
        <w:t>VII.</w:t>
      </w:r>
      <w:r w:rsidRPr="005B12CA">
        <w:rPr>
          <w:rFonts w:ascii="Arial" w:eastAsia="Times New Roman" w:hAnsi="Arial" w:cs="Arial"/>
          <w:b/>
          <w:sz w:val="18"/>
          <w:szCs w:val="18"/>
          <w:lang w:val="es-ES" w:eastAsia="es-ES"/>
        </w:rPr>
        <w:tab/>
      </w:r>
      <w:r w:rsidRPr="005B12CA">
        <w:rPr>
          <w:rFonts w:ascii="Arial" w:eastAsia="Times New Roman" w:hAnsi="Arial" w:cs="Arial"/>
          <w:sz w:val="18"/>
          <w:szCs w:val="18"/>
          <w:lang w:val="es-ES" w:eastAsia="es-ES"/>
        </w:rPr>
        <w:t xml:space="preserve">De conformidad con el TERCER Transitorio del Programa 2017, se valoraron las solicitudes de inclusión de bandas de frecuencias y coberturas geográficas adicionales o distintas a las contempladas en el Programa 2017 recibidas a partir del 6 de agosto de 2016 y aquellas comprendidas dentro del periodo establecido en el artículo 61 de </w:t>
      </w:r>
      <w:smartTag w:uri="urn:schemas-microsoft-com:office:smarttags" w:element="PersonName">
        <w:smartTagPr>
          <w:attr w:name="ProductID" w:val="la Ley Federal"/>
        </w:smartTagPr>
        <w:r w:rsidRPr="005B12CA">
          <w:rPr>
            <w:rFonts w:ascii="Arial" w:eastAsia="Times New Roman" w:hAnsi="Arial" w:cs="Arial"/>
            <w:sz w:val="18"/>
            <w:szCs w:val="18"/>
            <w:lang w:val="es-ES" w:eastAsia="es-ES"/>
          </w:rPr>
          <w:t>la Ley Federal</w:t>
        </w:r>
      </w:smartTag>
      <w:r w:rsidRPr="005B12CA">
        <w:rPr>
          <w:rFonts w:ascii="Arial" w:eastAsia="Times New Roman" w:hAnsi="Arial" w:cs="Arial"/>
          <w:sz w:val="18"/>
          <w:szCs w:val="18"/>
          <w:lang w:val="es-ES" w:eastAsia="es-ES"/>
        </w:rPr>
        <w:t xml:space="preserve"> de Telecomunicaciones y Radiodifusión (Ley), esto es, del 9 de noviembre al 21 de diciembre de 2016.</w:t>
      </w:r>
    </w:p>
    <w:p w:rsidR="005B12CA" w:rsidRPr="005B12CA" w:rsidRDefault="005B12CA" w:rsidP="005B12CA">
      <w:pPr>
        <w:tabs>
          <w:tab w:val="left" w:pos="720"/>
        </w:tabs>
        <w:spacing w:after="101" w:line="222" w:lineRule="exact"/>
        <w:ind w:left="720" w:hanging="432"/>
        <w:jc w:val="both"/>
        <w:rPr>
          <w:rFonts w:ascii="Arial" w:eastAsia="Times New Roman" w:hAnsi="Arial" w:cs="Arial"/>
          <w:sz w:val="18"/>
          <w:szCs w:val="18"/>
          <w:lang w:val="es-ES" w:eastAsia="es-ES"/>
        </w:rPr>
      </w:pPr>
      <w:r w:rsidRPr="005B12CA">
        <w:rPr>
          <w:rFonts w:ascii="Arial" w:eastAsia="Times New Roman" w:hAnsi="Arial" w:cs="Arial"/>
          <w:b/>
          <w:sz w:val="18"/>
          <w:szCs w:val="18"/>
          <w:lang w:val="es-ES" w:eastAsia="es-ES"/>
        </w:rPr>
        <w:t>VIII.</w:t>
      </w:r>
      <w:r w:rsidRPr="005B12CA">
        <w:rPr>
          <w:rFonts w:ascii="Arial" w:eastAsia="Times New Roman" w:hAnsi="Arial" w:cs="Arial"/>
          <w:b/>
          <w:sz w:val="18"/>
          <w:szCs w:val="18"/>
          <w:lang w:val="es-ES" w:eastAsia="es-ES"/>
        </w:rPr>
        <w:tab/>
      </w:r>
      <w:r w:rsidRPr="005B12CA">
        <w:rPr>
          <w:rFonts w:ascii="Arial" w:eastAsia="Times New Roman" w:hAnsi="Arial" w:cs="Arial"/>
          <w:sz w:val="18"/>
          <w:szCs w:val="18"/>
          <w:lang w:val="es-ES" w:eastAsia="es-ES"/>
        </w:rPr>
        <w:t xml:space="preserve">El 6 de enero de 2017 </w:t>
      </w:r>
      <w:smartTag w:uri="urn:schemas-microsoft-com:office:smarttags" w:element="PersonName">
        <w:smartTagPr>
          <w:attr w:name="ProductID" w:val="la Unidad"/>
        </w:smartTagPr>
        <w:r w:rsidRPr="005B12CA">
          <w:rPr>
            <w:rFonts w:ascii="Arial" w:eastAsia="Times New Roman" w:hAnsi="Arial" w:cs="Arial"/>
            <w:sz w:val="18"/>
            <w:szCs w:val="18"/>
            <w:lang w:val="es-ES" w:eastAsia="es-ES"/>
          </w:rPr>
          <w:t>la Unidad</w:t>
        </w:r>
      </w:smartTag>
      <w:r w:rsidRPr="005B12CA">
        <w:rPr>
          <w:rFonts w:ascii="Arial" w:eastAsia="Times New Roman" w:hAnsi="Arial" w:cs="Arial"/>
          <w:sz w:val="18"/>
          <w:szCs w:val="18"/>
          <w:lang w:val="es-ES" w:eastAsia="es-ES"/>
        </w:rPr>
        <w:t xml:space="preserve"> de Competencia Económica del Instituto envió a </w:t>
      </w:r>
      <w:smartTag w:uri="urn:schemas-microsoft-com:office:smarttags" w:element="PersonName">
        <w:smartTagPr>
          <w:attr w:name="ProductID" w:val="la Unidad"/>
        </w:smartTagPr>
        <w:r w:rsidRPr="005B12CA">
          <w:rPr>
            <w:rFonts w:ascii="Arial" w:eastAsia="Times New Roman" w:hAnsi="Arial" w:cs="Arial"/>
            <w:sz w:val="18"/>
            <w:szCs w:val="18"/>
            <w:lang w:val="es-ES" w:eastAsia="es-ES"/>
          </w:rPr>
          <w:t>la Unidad</w:t>
        </w:r>
      </w:smartTag>
      <w:r w:rsidRPr="005B12CA">
        <w:rPr>
          <w:rFonts w:ascii="Arial" w:eastAsia="Times New Roman" w:hAnsi="Arial" w:cs="Arial"/>
          <w:sz w:val="18"/>
          <w:szCs w:val="18"/>
          <w:lang w:val="es-ES" w:eastAsia="es-ES"/>
        </w:rPr>
        <w:t xml:space="preserve"> de Espectro Radioeléctrico el oficio IFT/226/UCE-DG-CCON/003/2017 mediante el cual solicita que se valore la inclusión de frecuencias para el servicio de radiodifusión sonora en programas anuales  de uso y aprovechamiento de bandas de frecuencias, en localidades en donde se tienen indicios de altos niveles de acumulación de espectro radioeléctrico por parte de un mismo agente económico.</w:t>
      </w:r>
    </w:p>
    <w:p w:rsidR="005B12CA" w:rsidRPr="005B12CA" w:rsidRDefault="005B12CA" w:rsidP="005B12CA">
      <w:pPr>
        <w:spacing w:after="101" w:line="222" w:lineRule="exact"/>
        <w:ind w:firstLine="288"/>
        <w:jc w:val="both"/>
        <w:rPr>
          <w:rFonts w:ascii="Arial" w:eastAsia="Times New Roman" w:hAnsi="Arial" w:cs="Arial"/>
          <w:color w:val="000000"/>
          <w:sz w:val="18"/>
          <w:lang w:val="es-ES" w:eastAsia="es-ES"/>
        </w:rPr>
      </w:pPr>
      <w:r w:rsidRPr="005B12CA">
        <w:rPr>
          <w:rFonts w:ascii="Arial" w:eastAsia="Times New Roman" w:hAnsi="Arial" w:cs="Arial"/>
          <w:color w:val="000000"/>
          <w:sz w:val="18"/>
          <w:lang w:val="es-ES" w:eastAsia="es-ES"/>
        </w:rPr>
        <w:t>En virtud de los antecedentes señalados y,</w:t>
      </w:r>
    </w:p>
    <w:p w:rsidR="005B12CA" w:rsidRPr="00711B86" w:rsidRDefault="005B12CA" w:rsidP="00711B86">
      <w:pPr>
        <w:pStyle w:val="Ttulo3"/>
        <w:keepNext/>
        <w:keepLines/>
        <w:pBdr>
          <w:top w:val="none" w:sz="0" w:space="0" w:color="auto"/>
          <w:left w:val="none" w:sz="0" w:space="0" w:color="auto"/>
          <w:bottom w:val="none" w:sz="0" w:space="0" w:color="auto"/>
          <w:right w:val="none" w:sz="0" w:space="0" w:color="auto"/>
          <w:between w:val="none" w:sz="0" w:space="0" w:color="auto"/>
        </w:pBdr>
        <w:spacing w:before="40" w:line="259" w:lineRule="auto"/>
        <w:ind w:left="0" w:firstLine="0"/>
        <w:rPr>
          <w:rFonts w:ascii="Times New Roman" w:eastAsia="MS Gothic" w:hAnsi="Times New Roman" w:cs="Times New Roman"/>
          <w:bCs/>
          <w:color w:val="000000" w:themeColor="text1"/>
          <w:sz w:val="18"/>
          <w:szCs w:val="18"/>
          <w:lang w:eastAsia="en-US"/>
        </w:rPr>
      </w:pPr>
      <w:r w:rsidRPr="00711B86">
        <w:rPr>
          <w:rFonts w:ascii="Times New Roman" w:eastAsia="MS Gothic" w:hAnsi="Times New Roman" w:cs="Times New Roman"/>
          <w:bCs/>
          <w:color w:val="000000" w:themeColor="text1"/>
          <w:sz w:val="18"/>
          <w:szCs w:val="18"/>
          <w:lang w:eastAsia="en-US"/>
        </w:rPr>
        <w:t>CONSIDERANDO</w:t>
      </w:r>
    </w:p>
    <w:p w:rsidR="005B12CA" w:rsidRPr="005B12CA" w:rsidRDefault="005B12CA" w:rsidP="005B12CA">
      <w:pPr>
        <w:spacing w:after="101" w:line="222" w:lineRule="exact"/>
        <w:ind w:firstLine="288"/>
        <w:jc w:val="both"/>
        <w:rPr>
          <w:rFonts w:ascii="Arial" w:eastAsia="Times New Roman" w:hAnsi="Arial" w:cs="Arial"/>
          <w:sz w:val="18"/>
          <w:lang w:val="es-ES" w:eastAsia="es-ES"/>
        </w:rPr>
      </w:pPr>
      <w:r w:rsidRPr="005B12CA">
        <w:rPr>
          <w:rFonts w:ascii="Arial" w:eastAsia="Times New Roman" w:hAnsi="Arial" w:cs="Arial"/>
          <w:b/>
          <w:caps/>
          <w:sz w:val="18"/>
          <w:lang w:val="es-ES" w:eastAsia="es-ES"/>
        </w:rPr>
        <w:t xml:space="preserve">Primero. </w:t>
      </w:r>
      <w:r w:rsidRPr="005B12CA">
        <w:rPr>
          <w:rFonts w:ascii="Arial" w:eastAsia="Times New Roman" w:hAnsi="Arial" w:cs="Arial"/>
          <w:b/>
          <w:sz w:val="18"/>
          <w:lang w:val="es-ES" w:eastAsia="es-ES"/>
        </w:rPr>
        <w:t>Competencia del Instituto</w:t>
      </w:r>
      <w:r w:rsidRPr="005B12CA">
        <w:rPr>
          <w:rFonts w:ascii="Arial" w:eastAsia="Times New Roman" w:hAnsi="Arial" w:cs="Arial"/>
          <w:sz w:val="18"/>
          <w:lang w:val="es-ES" w:eastAsia="es-ES"/>
        </w:rPr>
        <w:t>.</w:t>
      </w:r>
      <w:r w:rsidRPr="005B12CA">
        <w:rPr>
          <w:rFonts w:ascii="Arial" w:eastAsia="Times New Roman" w:hAnsi="Arial" w:cs="Arial"/>
          <w:b/>
          <w:sz w:val="18"/>
          <w:lang w:val="es-ES" w:eastAsia="es-ES"/>
        </w:rPr>
        <w:t xml:space="preserve"> </w:t>
      </w:r>
      <w:r w:rsidRPr="005B12CA">
        <w:rPr>
          <w:rFonts w:ascii="Arial" w:eastAsia="Times New Roman" w:hAnsi="Arial" w:cs="Arial"/>
          <w:sz w:val="18"/>
          <w:lang w:val="es-ES" w:eastAsia="es-ES"/>
        </w:rPr>
        <w:t xml:space="preserve">De conformidad con lo dispuesto en los artículos 6o., párrafo tercero y Apartado B, fracción III; 27, párrafos cuarto y sexto y 28, párrafos décimo primero, décimo quinto, décimo sexto, décimo séptimo y décimo octavo de </w:t>
      </w:r>
      <w:smartTag w:uri="urn:schemas-microsoft-com:office:smarttags" w:element="PersonName">
        <w:smartTagPr>
          <w:attr w:name="ProductID" w:val="la Constituci￳n Pol￭tica"/>
        </w:smartTagPr>
        <w:r w:rsidRPr="005B12CA">
          <w:rPr>
            <w:rFonts w:ascii="Arial" w:eastAsia="Times New Roman" w:hAnsi="Arial" w:cs="Arial"/>
            <w:sz w:val="18"/>
            <w:lang w:val="es-ES" w:eastAsia="es-ES"/>
          </w:rPr>
          <w:t>la Constitución Política</w:t>
        </w:r>
      </w:smartTag>
      <w:r w:rsidRPr="005B12CA">
        <w:rPr>
          <w:rFonts w:ascii="Arial" w:eastAsia="Times New Roman" w:hAnsi="Arial" w:cs="Arial"/>
          <w:sz w:val="18"/>
          <w:lang w:val="es-ES" w:eastAsia="es-ES"/>
        </w:rPr>
        <w:t xml:space="preserve"> de los Estados Unidos Mexicanos (Constitución); 1, 2, 7 y 15 fracción VI, 16, 17 fracción I, 54, 59, 60 y 61 de </w:t>
      </w:r>
      <w:smartTag w:uri="urn:schemas-microsoft-com:office:smarttags" w:element="PersonName">
        <w:smartTagPr>
          <w:attr w:name="ProductID" w:val="la Ley"/>
        </w:smartTagPr>
        <w:r w:rsidRPr="005B12CA">
          <w:rPr>
            <w:rFonts w:ascii="Arial" w:eastAsia="Times New Roman" w:hAnsi="Arial" w:cs="Arial"/>
            <w:sz w:val="18"/>
            <w:lang w:val="es-ES" w:eastAsia="es-ES"/>
          </w:rPr>
          <w:t>la Ley</w:t>
        </w:r>
      </w:smartTag>
      <w:r w:rsidRPr="005B12CA">
        <w:rPr>
          <w:rFonts w:ascii="Arial" w:eastAsia="Times New Roman" w:hAnsi="Arial" w:cs="Arial"/>
          <w:sz w:val="18"/>
          <w:lang w:val="es-ES" w:eastAsia="es-ES"/>
        </w:rPr>
        <w:t>,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rsidR="005B12CA" w:rsidRPr="005B12CA" w:rsidRDefault="005B12CA" w:rsidP="005B12CA">
      <w:pPr>
        <w:spacing w:after="101" w:line="225" w:lineRule="exact"/>
        <w:ind w:firstLine="288"/>
        <w:jc w:val="both"/>
        <w:rPr>
          <w:rFonts w:ascii="Arial" w:eastAsia="Times New Roman" w:hAnsi="Arial" w:cs="Arial"/>
          <w:sz w:val="18"/>
          <w:lang w:val="es-ES" w:eastAsia="es-ES"/>
        </w:rPr>
      </w:pPr>
      <w:r w:rsidRPr="005B12CA">
        <w:rPr>
          <w:rFonts w:ascii="Arial" w:eastAsia="Times New Roman" w:hAnsi="Arial" w:cs="Arial"/>
          <w:sz w:val="18"/>
          <w:lang w:val="es-ES" w:eastAsia="es-ES"/>
        </w:rPr>
        <w:lastRenderedPageBreak/>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rsidR="005B12CA" w:rsidRPr="005B12CA" w:rsidRDefault="005B12CA" w:rsidP="005B12CA">
      <w:pPr>
        <w:spacing w:after="101" w:line="225" w:lineRule="exact"/>
        <w:ind w:firstLine="288"/>
        <w:jc w:val="both"/>
        <w:rPr>
          <w:rFonts w:ascii="Arial" w:eastAsia="Times New Roman" w:hAnsi="Arial" w:cs="Arial"/>
          <w:sz w:val="18"/>
          <w:lang w:val="es-ES" w:eastAsia="es-ES"/>
        </w:rPr>
      </w:pPr>
      <w:r w:rsidRPr="005B12CA">
        <w:rPr>
          <w:rFonts w:ascii="Arial" w:eastAsia="Times New Roman" w:hAnsi="Arial" w:cs="Arial"/>
          <w:sz w:val="18"/>
          <w:lang w:val="es-ES" w:eastAsia="es-ES"/>
        </w:rPr>
        <w:t>En ese sentido, como órgano máximo de gobierno del Instituto, el Pleno resulta competente para emitir el presente Acuerdo.</w:t>
      </w:r>
    </w:p>
    <w:p w:rsidR="005B12CA" w:rsidRPr="005B12CA" w:rsidRDefault="005B12CA" w:rsidP="005B12CA">
      <w:pPr>
        <w:spacing w:after="101" w:line="225" w:lineRule="exact"/>
        <w:ind w:firstLine="288"/>
        <w:jc w:val="both"/>
        <w:rPr>
          <w:rFonts w:ascii="Arial" w:eastAsia="Times New Roman" w:hAnsi="Arial" w:cs="Arial"/>
          <w:sz w:val="18"/>
          <w:lang w:val="es-ES" w:eastAsia="es-ES"/>
        </w:rPr>
      </w:pPr>
      <w:r w:rsidRPr="005B12CA">
        <w:rPr>
          <w:rFonts w:ascii="Arial" w:eastAsia="Times New Roman" w:hAnsi="Arial" w:cs="Arial"/>
          <w:b/>
          <w:caps/>
          <w:sz w:val="18"/>
          <w:lang w:eastAsia="es-ES"/>
        </w:rPr>
        <w:t xml:space="preserve">Segundo. </w:t>
      </w:r>
      <w:r w:rsidRPr="005B12CA">
        <w:rPr>
          <w:rFonts w:ascii="Arial" w:eastAsia="Times New Roman" w:hAnsi="Arial" w:cs="Arial"/>
          <w:b/>
          <w:sz w:val="18"/>
          <w:lang w:eastAsia="es-ES"/>
        </w:rPr>
        <w:t>Marco Normativo del Programa Anual de Uso y Aprovechamiento de Bandas de Frecuencias 2017 (Programa 2017).</w:t>
      </w:r>
      <w:r w:rsidRPr="005B12CA">
        <w:rPr>
          <w:rFonts w:ascii="Arial" w:eastAsia="Times New Roman" w:hAnsi="Arial" w:cs="Arial"/>
          <w:sz w:val="18"/>
          <w:lang w:val="es-ES" w:eastAsia="es-ES"/>
        </w:rPr>
        <w:t xml:space="preserve"> Los artículos 6o. y 7o. de </w:t>
      </w:r>
      <w:smartTag w:uri="urn:schemas-microsoft-com:office:smarttags" w:element="PersonName">
        <w:smartTagPr>
          <w:attr w:name="ProductID" w:val="la Constituci￳n"/>
        </w:smartTagPr>
        <w:r w:rsidRPr="005B12CA">
          <w:rPr>
            <w:rFonts w:ascii="Arial" w:eastAsia="Times New Roman" w:hAnsi="Arial" w:cs="Arial"/>
            <w:sz w:val="18"/>
            <w:lang w:val="es-ES" w:eastAsia="es-ES"/>
          </w:rPr>
          <w:t>la Constitución</w:t>
        </w:r>
      </w:smartTag>
      <w:r w:rsidRPr="005B12CA">
        <w:rPr>
          <w:rFonts w:ascii="Arial" w:eastAsia="Times New Roman" w:hAnsi="Arial" w:cs="Arial"/>
          <w:sz w:val="18"/>
          <w:lang w:val="es-ES" w:eastAsia="es-ES"/>
        </w:rPr>
        <w:t xml:space="preserve"> prevén, entre otros, el derecho humano al acceso a la información, al acceso a los servicios públicos de interés general de radiodifusión y telecomunicaciones y la libertad de expresión, respecto de los cuales el Estado procurará generar condiciones de calidad y competencia efectiva, pluralidad e integración de la población a la sociedad de la información en su prestación, al indicar:</w:t>
      </w:r>
    </w:p>
    <w:p w:rsidR="005B12CA" w:rsidRPr="005B12CA" w:rsidRDefault="005B12CA" w:rsidP="005B12CA">
      <w:pPr>
        <w:spacing w:after="101" w:line="225"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b/>
          <w:color w:val="000000"/>
          <w:sz w:val="18"/>
          <w:szCs w:val="18"/>
          <w:lang w:val="es-ES" w:eastAsia="es-ES"/>
        </w:rPr>
        <w:t>“Artículo 6o.</w:t>
      </w:r>
      <w:r w:rsidRPr="005B12CA">
        <w:rPr>
          <w:rFonts w:ascii="Arial" w:eastAsia="Times New Roman" w:hAnsi="Arial" w:cs="Arial"/>
          <w:color w:val="000000"/>
          <w:sz w:val="18"/>
          <w:szCs w:val="18"/>
          <w:lang w:val="es-ES" w:eastAsia="es-ES"/>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5B12CA" w:rsidRPr="005B12CA" w:rsidRDefault="005B12CA" w:rsidP="005B12CA">
      <w:pPr>
        <w:spacing w:after="101" w:line="225"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color w:val="000000"/>
          <w:sz w:val="18"/>
          <w:szCs w:val="18"/>
          <w:lang w:val="es-ES" w:eastAsia="es-ES"/>
        </w:rPr>
        <w:t>Toda persona tiene derecho al libre acceso a información plural y oportuna, así como a buscar, recibir y difundir información e ideas de toda índole por cualquier medio de expresión.</w:t>
      </w:r>
    </w:p>
    <w:p w:rsidR="005B12CA" w:rsidRPr="005B12CA" w:rsidRDefault="005B12CA" w:rsidP="005B12CA">
      <w:pPr>
        <w:spacing w:after="101" w:line="225"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color w:val="000000"/>
          <w:sz w:val="18"/>
          <w:szCs w:val="18"/>
          <w:lang w:val="es-ES" w:eastAsia="es-ES"/>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5B12CA" w:rsidRPr="005B12CA" w:rsidRDefault="005B12CA" w:rsidP="005B12CA">
      <w:pPr>
        <w:spacing w:after="101" w:line="225"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color w:val="000000"/>
          <w:sz w:val="18"/>
          <w:szCs w:val="18"/>
          <w:lang w:val="es-ES" w:eastAsia="es-ES"/>
        </w:rPr>
        <w:t>[…]</w:t>
      </w:r>
    </w:p>
    <w:p w:rsidR="005B12CA" w:rsidRPr="005B12CA" w:rsidRDefault="005B12CA" w:rsidP="005B12CA">
      <w:pPr>
        <w:spacing w:after="101" w:line="225" w:lineRule="exact"/>
        <w:ind w:left="720" w:right="720"/>
        <w:jc w:val="both"/>
        <w:rPr>
          <w:rFonts w:ascii="Arial" w:eastAsia="Times New Roman" w:hAnsi="Arial" w:cs="Arial"/>
          <w:b/>
          <w:color w:val="000000"/>
          <w:sz w:val="18"/>
          <w:szCs w:val="18"/>
          <w:lang w:val="es-ES" w:eastAsia="es-ES"/>
        </w:rPr>
      </w:pPr>
      <w:r w:rsidRPr="005B12CA">
        <w:rPr>
          <w:rFonts w:ascii="Arial" w:eastAsia="Times New Roman" w:hAnsi="Arial" w:cs="Arial"/>
          <w:b/>
          <w:color w:val="000000"/>
          <w:sz w:val="18"/>
          <w:szCs w:val="18"/>
          <w:lang w:val="es-ES" w:eastAsia="es-ES"/>
        </w:rPr>
        <w:t>B. En materia de radiodifusión y telecomunicaciones:</w:t>
      </w:r>
    </w:p>
    <w:p w:rsidR="005B12CA" w:rsidRPr="005B12CA" w:rsidRDefault="005B12CA" w:rsidP="005B12CA">
      <w:pPr>
        <w:spacing w:after="101" w:line="225"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color w:val="000000"/>
          <w:sz w:val="18"/>
          <w:szCs w:val="18"/>
          <w:lang w:val="es-ES" w:eastAsia="es-ES"/>
        </w:rPr>
        <w:t>[…]</w:t>
      </w:r>
    </w:p>
    <w:p w:rsidR="005B12CA" w:rsidRPr="005B12CA" w:rsidRDefault="005B12CA" w:rsidP="005B12CA">
      <w:pPr>
        <w:spacing w:after="101" w:line="225"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b/>
          <w:color w:val="000000"/>
          <w:sz w:val="18"/>
          <w:szCs w:val="18"/>
          <w:lang w:val="es-ES" w:eastAsia="es-ES"/>
        </w:rPr>
        <w:t>II.</w:t>
      </w:r>
      <w:r w:rsidRPr="005B12CA">
        <w:rPr>
          <w:rFonts w:ascii="Arial" w:eastAsia="Times New Roman" w:hAnsi="Arial" w:cs="Arial"/>
          <w:color w:val="000000"/>
          <w:sz w:val="18"/>
          <w:szCs w:val="18"/>
          <w:lang w:val="es-ES" w:eastAsia="es-ES"/>
        </w:rPr>
        <w:t xml:space="preserve">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5B12CA" w:rsidRPr="005B12CA" w:rsidRDefault="005B12CA" w:rsidP="005B12CA">
      <w:pPr>
        <w:spacing w:after="101" w:line="225"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b/>
          <w:color w:val="000000"/>
          <w:sz w:val="18"/>
          <w:szCs w:val="18"/>
          <w:lang w:val="es-ES" w:eastAsia="es-ES"/>
        </w:rPr>
        <w:t>III.</w:t>
      </w:r>
      <w:r w:rsidRPr="005B12CA">
        <w:rPr>
          <w:rFonts w:ascii="Arial" w:eastAsia="Times New Roman" w:hAnsi="Arial" w:cs="Arial"/>
          <w:color w:val="000000"/>
          <w:sz w:val="18"/>
          <w:szCs w:val="18"/>
          <w:lang w:val="es-ES" w:eastAsia="es-ES"/>
        </w:rPr>
        <w:t xml:space="preserve">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5B12CA" w:rsidRPr="005B12CA" w:rsidRDefault="005B12CA" w:rsidP="005B12CA">
      <w:pPr>
        <w:spacing w:after="101" w:line="225"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color w:val="000000"/>
          <w:sz w:val="18"/>
          <w:szCs w:val="18"/>
          <w:lang w:val="es-ES" w:eastAsia="es-ES"/>
        </w:rPr>
        <w:t>[…]”</w:t>
      </w:r>
    </w:p>
    <w:p w:rsidR="005B12CA" w:rsidRPr="005B12CA" w:rsidRDefault="005B12CA" w:rsidP="005B12CA">
      <w:pPr>
        <w:spacing w:after="101" w:line="225"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b/>
          <w:color w:val="000000"/>
          <w:sz w:val="18"/>
          <w:szCs w:val="18"/>
          <w:lang w:val="es-ES" w:eastAsia="es-ES"/>
        </w:rPr>
        <w:t>“Artículo 7o.</w:t>
      </w:r>
      <w:r w:rsidRPr="005B12CA">
        <w:rPr>
          <w:rFonts w:ascii="Arial" w:eastAsia="Times New Roman" w:hAnsi="Arial" w:cs="Arial"/>
          <w:color w:val="000000"/>
          <w:sz w:val="18"/>
          <w:szCs w:val="18"/>
          <w:lang w:val="es-ES" w:eastAsia="es-ES"/>
        </w:rPr>
        <w:t xml:space="preserv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5B12CA" w:rsidRPr="005B12CA" w:rsidRDefault="005B12CA" w:rsidP="005B12CA">
      <w:pPr>
        <w:spacing w:after="101" w:line="225"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color w:val="000000"/>
          <w:sz w:val="18"/>
          <w:szCs w:val="18"/>
          <w:lang w:val="es-ES" w:eastAsia="es-ES"/>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rsidR="005B12CA" w:rsidRPr="005B12CA" w:rsidRDefault="005B12CA" w:rsidP="005B12CA">
      <w:pPr>
        <w:spacing w:after="101" w:line="225" w:lineRule="exact"/>
        <w:ind w:firstLine="288"/>
        <w:jc w:val="both"/>
        <w:rPr>
          <w:rFonts w:ascii="Arial" w:eastAsia="Times New Roman" w:hAnsi="Arial" w:cs="Arial"/>
          <w:sz w:val="18"/>
          <w:szCs w:val="20"/>
          <w:lang w:val="es-ES" w:eastAsia="es-ES"/>
        </w:rPr>
      </w:pPr>
      <w:r w:rsidRPr="005B12CA">
        <w:rPr>
          <w:rFonts w:ascii="Arial" w:eastAsia="Times New Roman" w:hAnsi="Arial" w:cs="Arial"/>
          <w:sz w:val="18"/>
          <w:szCs w:val="20"/>
          <w:lang w:val="es-ES" w:eastAsia="es-ES"/>
        </w:rPr>
        <w:t xml:space="preserve">Por su parte, el artículo 27 de </w:t>
      </w:r>
      <w:smartTag w:uri="urn:schemas-microsoft-com:office:smarttags" w:element="PersonName">
        <w:smartTagPr>
          <w:attr w:name="ProductID" w:val="la Constituci￳n"/>
        </w:smartTagPr>
        <w:r w:rsidRPr="005B12CA">
          <w:rPr>
            <w:rFonts w:ascii="Arial" w:eastAsia="Times New Roman" w:hAnsi="Arial" w:cs="Arial"/>
            <w:sz w:val="18"/>
            <w:szCs w:val="20"/>
            <w:lang w:val="es-ES" w:eastAsia="es-ES"/>
          </w:rPr>
          <w:t>la Constitución</w:t>
        </w:r>
      </w:smartTag>
      <w:r w:rsidRPr="005B12CA">
        <w:rPr>
          <w:rFonts w:ascii="Arial" w:eastAsia="Times New Roman" w:hAnsi="Arial" w:cs="Arial"/>
          <w:sz w:val="18"/>
          <w:szCs w:val="20"/>
          <w:lang w:val="es-ES" w:eastAsia="es-ES"/>
        </w:rPr>
        <w:t xml:space="preserve"> establece, en lo conducente, que corresponde a </w:t>
      </w:r>
      <w:smartTag w:uri="urn:schemas-microsoft-com:office:smarttags" w:element="PersonName">
        <w:smartTagPr>
          <w:attr w:name="ProductID" w:val="la Naci￳n"/>
        </w:smartTagPr>
        <w:r w:rsidRPr="005B12CA">
          <w:rPr>
            <w:rFonts w:ascii="Arial" w:eastAsia="Times New Roman" w:hAnsi="Arial" w:cs="Arial"/>
            <w:sz w:val="18"/>
            <w:szCs w:val="20"/>
            <w:lang w:val="es-ES" w:eastAsia="es-ES"/>
          </w:rPr>
          <w:t>la Nación</w:t>
        </w:r>
      </w:smartTag>
      <w:r w:rsidRPr="005B12CA">
        <w:rPr>
          <w:rFonts w:ascii="Arial" w:eastAsia="Times New Roman" w:hAnsi="Arial" w:cs="Arial"/>
          <w:sz w:val="18"/>
          <w:szCs w:val="20"/>
          <w:lang w:val="es-ES" w:eastAsia="es-ES"/>
        </w:rPr>
        <w:t xml:space="preserve">  el dominio directo del espacio situado sobre el territorio nacional, y dado que las ondas electromagnéticas del espectro radioeléctrico pueden propagarse en dicho espacio, su explotación, el uso o el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rsidR="005B12CA" w:rsidRPr="005B12CA" w:rsidRDefault="005B12CA" w:rsidP="005B12CA">
      <w:pPr>
        <w:spacing w:after="101" w:line="240" w:lineRule="exact"/>
        <w:ind w:firstLine="288"/>
        <w:jc w:val="both"/>
        <w:rPr>
          <w:rFonts w:ascii="Arial" w:eastAsia="Times New Roman" w:hAnsi="Arial" w:cs="Arial"/>
          <w:color w:val="000000"/>
          <w:sz w:val="18"/>
          <w:lang w:val="es-ES" w:eastAsia="es-ES"/>
        </w:rPr>
      </w:pPr>
      <w:r w:rsidRPr="005B12CA">
        <w:rPr>
          <w:rFonts w:ascii="Arial" w:eastAsia="Times New Roman" w:hAnsi="Arial" w:cs="Arial"/>
          <w:color w:val="000000"/>
          <w:sz w:val="18"/>
          <w:lang w:val="es-ES" w:eastAsia="es-ES"/>
        </w:rPr>
        <w:t xml:space="preserve">En este contexto, el artículo 28 de </w:t>
      </w:r>
      <w:smartTag w:uri="urn:schemas-microsoft-com:office:smarttags" w:element="PersonName">
        <w:smartTagPr>
          <w:attr w:name="ProductID" w:val="la Constituci￳n"/>
        </w:smartTagPr>
        <w:r w:rsidRPr="005B12CA">
          <w:rPr>
            <w:rFonts w:ascii="Arial" w:eastAsia="Times New Roman" w:hAnsi="Arial" w:cs="Arial"/>
            <w:color w:val="000000"/>
            <w:sz w:val="18"/>
            <w:lang w:val="es-ES" w:eastAsia="es-ES"/>
          </w:rPr>
          <w:t>la Constitución</w:t>
        </w:r>
      </w:smartTag>
      <w:r w:rsidRPr="005B12CA">
        <w:rPr>
          <w:rFonts w:ascii="Arial" w:eastAsia="Times New Roman" w:hAnsi="Arial" w:cs="Arial"/>
          <w:color w:val="000000"/>
          <w:sz w:val="18"/>
          <w:lang w:val="es-ES" w:eastAsia="es-ES"/>
        </w:rPr>
        <w:t xml:space="preserve"> establece lo siguiente:</w:t>
      </w:r>
    </w:p>
    <w:p w:rsidR="005B12CA" w:rsidRPr="005B12CA" w:rsidRDefault="005B12CA" w:rsidP="005B12CA">
      <w:pPr>
        <w:spacing w:after="101" w:line="240" w:lineRule="exact"/>
        <w:ind w:left="720" w:right="720"/>
        <w:jc w:val="both"/>
        <w:rPr>
          <w:rFonts w:ascii="Arial" w:eastAsia="Times New Roman" w:hAnsi="Arial" w:cs="Arial"/>
          <w:b/>
          <w:color w:val="000000"/>
          <w:sz w:val="18"/>
          <w:szCs w:val="18"/>
          <w:lang w:val="es-ES" w:eastAsia="es-ES"/>
        </w:rPr>
      </w:pPr>
      <w:r w:rsidRPr="005B12CA">
        <w:rPr>
          <w:rFonts w:ascii="Arial" w:eastAsia="Times New Roman" w:hAnsi="Arial" w:cs="Arial"/>
          <w:color w:val="000000"/>
          <w:sz w:val="18"/>
          <w:szCs w:val="18"/>
          <w:lang w:val="es-ES" w:eastAsia="es-ES"/>
        </w:rPr>
        <w:lastRenderedPageBreak/>
        <w:t>“</w:t>
      </w:r>
      <w:r w:rsidRPr="005B12CA">
        <w:rPr>
          <w:rFonts w:ascii="Arial" w:eastAsia="Times New Roman" w:hAnsi="Arial" w:cs="Arial"/>
          <w:b/>
          <w:color w:val="000000"/>
          <w:sz w:val="18"/>
          <w:szCs w:val="18"/>
          <w:lang w:val="es-ES" w:eastAsia="es-ES"/>
        </w:rPr>
        <w:t>Artículo 28.</w:t>
      </w:r>
    </w:p>
    <w:p w:rsidR="005B12CA" w:rsidRPr="005B12CA" w:rsidRDefault="005B12CA" w:rsidP="005B12CA">
      <w:pPr>
        <w:spacing w:after="101" w:line="240"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color w:val="000000"/>
          <w:sz w:val="18"/>
          <w:szCs w:val="18"/>
          <w:lang w:val="es-ES" w:eastAsia="es-ES"/>
        </w:rPr>
        <w:t>[…]</w:t>
      </w:r>
    </w:p>
    <w:p w:rsidR="005B12CA" w:rsidRPr="005B12CA" w:rsidRDefault="005B12CA" w:rsidP="005B12CA">
      <w:pPr>
        <w:spacing w:after="101" w:line="240"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color w:val="000000"/>
          <w:sz w:val="18"/>
          <w:szCs w:val="18"/>
          <w:lang w:val="es-ES" w:eastAsia="es-ES"/>
        </w:rPr>
        <w:t xml:space="preserve">El Estado, sujetándose a las leyes, podrá en casos de interés general, concesionar la prestación de servicios públicos o la explotación, uso y aprovechamiento de bienes de dominio de </w:t>
      </w:r>
      <w:smartTag w:uri="urn:schemas-microsoft-com:office:smarttags" w:element="PersonName">
        <w:smartTagPr>
          <w:attr w:name="ProductID" w:val="La Federaci￳n"/>
        </w:smartTagPr>
        <w:r w:rsidRPr="005B12CA">
          <w:rPr>
            <w:rFonts w:ascii="Arial" w:eastAsia="Times New Roman" w:hAnsi="Arial" w:cs="Arial"/>
            <w:color w:val="000000"/>
            <w:sz w:val="18"/>
            <w:szCs w:val="18"/>
            <w:lang w:val="es-ES" w:eastAsia="es-ES"/>
          </w:rPr>
          <w:t>la Federación</w:t>
        </w:r>
      </w:smartTag>
      <w:r w:rsidRPr="005B12CA">
        <w:rPr>
          <w:rFonts w:ascii="Arial" w:eastAsia="Times New Roman" w:hAnsi="Arial" w:cs="Arial"/>
          <w:color w:val="000000"/>
          <w:sz w:val="18"/>
          <w:szCs w:val="18"/>
          <w:lang w:val="es-ES" w:eastAsia="es-ES"/>
        </w:rPr>
        <w:t>,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rsidR="005B12CA" w:rsidRPr="005B12CA" w:rsidRDefault="005B12CA" w:rsidP="005B12CA">
      <w:pPr>
        <w:spacing w:after="101" w:line="240"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color w:val="000000"/>
          <w:sz w:val="18"/>
          <w:szCs w:val="18"/>
          <w:lang w:val="es-ES" w:eastAsia="es-ES"/>
        </w:rPr>
        <w:t>[…]</w:t>
      </w:r>
    </w:p>
    <w:p w:rsidR="005B12CA" w:rsidRPr="005B12CA" w:rsidRDefault="005B12CA" w:rsidP="005B12CA">
      <w:pPr>
        <w:spacing w:after="101" w:line="240" w:lineRule="exact"/>
        <w:ind w:left="720" w:right="720"/>
        <w:jc w:val="both"/>
        <w:rPr>
          <w:rFonts w:ascii="Arial" w:eastAsia="Times New Roman" w:hAnsi="Arial" w:cs="Arial"/>
          <w:sz w:val="18"/>
          <w:szCs w:val="20"/>
          <w:lang w:val="es-ES" w:eastAsia="es-ES"/>
        </w:rPr>
      </w:pPr>
      <w:r w:rsidRPr="005B12CA">
        <w:rPr>
          <w:rFonts w:ascii="Arial" w:eastAsia="Times New Roman" w:hAnsi="Arial" w:cs="Arial"/>
          <w:sz w:val="18"/>
          <w:szCs w:val="20"/>
          <w:lang w:val="es-ES" w:eastAsia="es-ES"/>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rsidR="005B12CA" w:rsidRPr="005B12CA" w:rsidRDefault="005B12CA" w:rsidP="005B12CA">
      <w:pPr>
        <w:spacing w:after="101" w:line="240"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color w:val="000000"/>
          <w:sz w:val="18"/>
          <w:szCs w:val="18"/>
          <w:lang w:val="es-ES" w:eastAsia="es-ES"/>
        </w:rPr>
        <w:t>[…]”</w:t>
      </w:r>
    </w:p>
    <w:p w:rsidR="005B12CA" w:rsidRPr="005B12CA" w:rsidRDefault="005B12CA" w:rsidP="005B12CA">
      <w:pPr>
        <w:spacing w:after="101" w:line="240" w:lineRule="exact"/>
        <w:ind w:firstLine="288"/>
        <w:jc w:val="both"/>
        <w:rPr>
          <w:rFonts w:ascii="Arial" w:eastAsia="Times New Roman" w:hAnsi="Arial" w:cs="Arial"/>
          <w:sz w:val="18"/>
          <w:lang w:val="es-ES" w:eastAsia="es-ES"/>
        </w:rPr>
      </w:pPr>
      <w:r w:rsidRPr="005B12CA">
        <w:rPr>
          <w:rFonts w:ascii="Arial" w:eastAsia="Times New Roman" w:hAnsi="Arial" w:cs="Arial"/>
          <w:sz w:val="18"/>
          <w:lang w:val="es-ES" w:eastAsia="es-ES"/>
        </w:rPr>
        <w:t xml:space="preserve">De lo anterior se desprende que el Estado podrá, sujetándose a las leyes, concesionar mediante licitación pública o asignación directa la prestación de servicios públicos o la explotación, uso y aprovechamiento de bienes de dominio de </w:t>
      </w:r>
      <w:smartTag w:uri="urn:schemas-microsoft-com:office:smarttags" w:element="PersonName">
        <w:smartTagPr>
          <w:attr w:name="ProductID" w:val="La Federaci￳n"/>
        </w:smartTagPr>
        <w:r w:rsidRPr="005B12CA">
          <w:rPr>
            <w:rFonts w:ascii="Arial" w:eastAsia="Times New Roman" w:hAnsi="Arial" w:cs="Arial"/>
            <w:sz w:val="18"/>
            <w:lang w:val="es-ES" w:eastAsia="es-ES"/>
          </w:rPr>
          <w:t>la Federación</w:t>
        </w:r>
      </w:smartTag>
      <w:r w:rsidRPr="005B12CA">
        <w:rPr>
          <w:rFonts w:ascii="Arial" w:eastAsia="Times New Roman" w:hAnsi="Arial" w:cs="Arial"/>
          <w:sz w:val="18"/>
          <w:lang w:val="es-ES" w:eastAsia="es-ES"/>
        </w:rPr>
        <w:t>, como lo es en la especie el espectro radioeléctrico.</w:t>
      </w:r>
    </w:p>
    <w:p w:rsidR="005B12CA" w:rsidRPr="005B12CA" w:rsidRDefault="005B12CA" w:rsidP="005B12CA">
      <w:pPr>
        <w:spacing w:after="101" w:line="240" w:lineRule="exact"/>
        <w:ind w:firstLine="288"/>
        <w:jc w:val="both"/>
        <w:rPr>
          <w:rFonts w:ascii="Arial" w:eastAsia="Times New Roman" w:hAnsi="Arial" w:cs="Arial"/>
          <w:color w:val="000000"/>
          <w:sz w:val="18"/>
          <w:lang w:val="es-ES" w:eastAsia="es-ES"/>
        </w:rPr>
      </w:pPr>
      <w:r w:rsidRPr="005B12CA">
        <w:rPr>
          <w:rFonts w:ascii="Arial" w:eastAsia="Times New Roman" w:hAnsi="Arial" w:cs="Arial"/>
          <w:color w:val="000000"/>
          <w:sz w:val="18"/>
          <w:lang w:val="es-ES" w:eastAsia="es-ES"/>
        </w:rPr>
        <w:t xml:space="preserve">Al respecto, la fracción I del artículo 55 de </w:t>
      </w:r>
      <w:smartTag w:uri="urn:schemas-microsoft-com:office:smarttags" w:element="PersonName">
        <w:smartTagPr>
          <w:attr w:name="ProductID" w:val="la Ley"/>
        </w:smartTagPr>
        <w:r w:rsidRPr="005B12CA">
          <w:rPr>
            <w:rFonts w:ascii="Arial" w:eastAsia="Times New Roman" w:hAnsi="Arial" w:cs="Arial"/>
            <w:color w:val="000000"/>
            <w:sz w:val="18"/>
            <w:lang w:val="es-ES" w:eastAsia="es-ES"/>
          </w:rPr>
          <w:t>la Ley</w:t>
        </w:r>
      </w:smartTag>
      <w:r w:rsidRPr="005B12CA">
        <w:rPr>
          <w:rFonts w:ascii="Arial" w:eastAsia="Times New Roman" w:hAnsi="Arial" w:cs="Arial"/>
          <w:color w:val="000000"/>
          <w:sz w:val="18"/>
          <w:lang w:val="es-ES" w:eastAsia="es-ES"/>
        </w:rPr>
        <w:t xml:space="preserve"> establece lo siguiente:</w:t>
      </w:r>
    </w:p>
    <w:p w:rsidR="005B12CA" w:rsidRPr="005B12CA" w:rsidRDefault="005B12CA" w:rsidP="005B12CA">
      <w:pPr>
        <w:spacing w:after="101" w:line="240"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color w:val="000000"/>
          <w:sz w:val="18"/>
          <w:szCs w:val="18"/>
          <w:lang w:val="es-ES" w:eastAsia="es-ES"/>
        </w:rPr>
        <w:t>“</w:t>
      </w:r>
      <w:r w:rsidRPr="005B12CA">
        <w:rPr>
          <w:rFonts w:ascii="Arial" w:eastAsia="Times New Roman" w:hAnsi="Arial" w:cs="Arial"/>
          <w:b/>
          <w:color w:val="000000"/>
          <w:sz w:val="18"/>
          <w:szCs w:val="18"/>
          <w:lang w:val="es-ES" w:eastAsia="es-ES"/>
        </w:rPr>
        <w:t>Artículo 55.</w:t>
      </w:r>
      <w:r w:rsidRPr="005B12CA">
        <w:rPr>
          <w:rFonts w:ascii="Arial" w:eastAsia="Times New Roman" w:hAnsi="Arial" w:cs="Arial"/>
          <w:color w:val="000000"/>
          <w:sz w:val="18"/>
          <w:szCs w:val="18"/>
          <w:lang w:val="es-ES" w:eastAsia="es-ES"/>
        </w:rPr>
        <w:t xml:space="preserve"> Las bandas de frecuencia del espectro radioeléctrico se clasificarán de acuerdo con lo siguiente:</w:t>
      </w:r>
    </w:p>
    <w:p w:rsidR="005B12CA" w:rsidRPr="005B12CA" w:rsidRDefault="005B12CA" w:rsidP="005B12CA">
      <w:pPr>
        <w:spacing w:after="101" w:line="240"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color w:val="000000"/>
          <w:sz w:val="18"/>
          <w:szCs w:val="18"/>
          <w:lang w:val="es-ES" w:eastAsia="es-ES"/>
        </w:rPr>
        <w:t>(…)</w:t>
      </w:r>
    </w:p>
    <w:p w:rsidR="005B12CA" w:rsidRPr="005B12CA" w:rsidRDefault="005B12CA" w:rsidP="005B12CA">
      <w:pPr>
        <w:spacing w:after="101" w:line="240" w:lineRule="exact"/>
        <w:ind w:left="720" w:right="720"/>
        <w:jc w:val="both"/>
        <w:rPr>
          <w:rFonts w:ascii="Arial" w:eastAsia="Times New Roman" w:hAnsi="Arial" w:cs="Arial"/>
          <w:sz w:val="18"/>
          <w:szCs w:val="18"/>
          <w:lang w:val="es-ES" w:eastAsia="es-ES"/>
        </w:rPr>
      </w:pPr>
      <w:r w:rsidRPr="005B12CA">
        <w:rPr>
          <w:rFonts w:ascii="Arial" w:eastAsia="Times New Roman" w:hAnsi="Arial" w:cs="Arial"/>
          <w:b/>
          <w:sz w:val="18"/>
          <w:szCs w:val="18"/>
          <w:lang w:val="es-ES" w:eastAsia="es-ES"/>
        </w:rPr>
        <w:t>I. Espectro determinado:</w:t>
      </w:r>
      <w:r w:rsidRPr="005B12CA">
        <w:rPr>
          <w:rFonts w:ascii="Arial" w:eastAsia="Times New Roman" w:hAnsi="Arial" w:cs="Arial"/>
          <w:sz w:val="18"/>
          <w:szCs w:val="18"/>
          <w:lang w:val="es-ES" w:eastAsia="es-ES"/>
        </w:rPr>
        <w:t xml:space="preserve"> Son aquellas bandas de frecuencia que pueden ser utilizadas para los servicios atribuidos en el Cuadro Nacional de Atribución de Frecuencias; a través de concesiones para uso comercial, social, privado y público, definidas en el artículo 67;</w:t>
      </w:r>
    </w:p>
    <w:p w:rsidR="005B12CA" w:rsidRPr="005B12CA" w:rsidRDefault="005B12CA" w:rsidP="005B12CA">
      <w:pPr>
        <w:spacing w:after="101" w:line="240"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color w:val="000000"/>
          <w:sz w:val="18"/>
          <w:szCs w:val="18"/>
          <w:lang w:val="es-ES" w:eastAsia="es-ES"/>
        </w:rPr>
        <w:t>[…]”</w:t>
      </w:r>
    </w:p>
    <w:p w:rsidR="005B12CA" w:rsidRPr="005B12CA" w:rsidRDefault="005B12CA" w:rsidP="005B12CA">
      <w:pPr>
        <w:spacing w:after="101" w:line="240" w:lineRule="exact"/>
        <w:ind w:firstLine="288"/>
        <w:jc w:val="both"/>
        <w:rPr>
          <w:rFonts w:ascii="Arial" w:eastAsia="Times New Roman" w:hAnsi="Arial" w:cs="Arial"/>
          <w:color w:val="000000"/>
          <w:sz w:val="18"/>
          <w:lang w:val="es-ES" w:eastAsia="es-ES"/>
        </w:rPr>
      </w:pPr>
      <w:r w:rsidRPr="005B12CA">
        <w:rPr>
          <w:rFonts w:ascii="Arial" w:eastAsia="Times New Roman" w:hAnsi="Arial" w:cs="Arial"/>
          <w:color w:val="000000"/>
          <w:sz w:val="18"/>
          <w:lang w:val="es-ES" w:eastAsia="es-ES"/>
        </w:rPr>
        <w:t xml:space="preserve">En esta tesitura, en caso de que un interesado pretenda usar, aprovechar y/o explotar bandas de frecuencias de espectro determinado, deberá obtener una concesión para tal propósito, de conformidad con lo previsto en el artículo 76 de </w:t>
      </w:r>
      <w:smartTag w:uri="urn:schemas-microsoft-com:office:smarttags" w:element="PersonName">
        <w:smartTagPr>
          <w:attr w:name="ProductID" w:val="la Ley"/>
        </w:smartTagPr>
        <w:r w:rsidRPr="005B12CA">
          <w:rPr>
            <w:rFonts w:ascii="Arial" w:eastAsia="Times New Roman" w:hAnsi="Arial" w:cs="Arial"/>
            <w:color w:val="000000"/>
            <w:sz w:val="18"/>
            <w:lang w:val="es-ES" w:eastAsia="es-ES"/>
          </w:rPr>
          <w:t>la Ley</w:t>
        </w:r>
      </w:smartTag>
      <w:r w:rsidRPr="005B12CA">
        <w:rPr>
          <w:rFonts w:ascii="Arial" w:eastAsia="Times New Roman" w:hAnsi="Arial" w:cs="Arial"/>
          <w:color w:val="000000"/>
          <w:sz w:val="18"/>
          <w:lang w:val="es-ES" w:eastAsia="es-ES"/>
        </w:rPr>
        <w:t>, mismo que señala:</w:t>
      </w:r>
    </w:p>
    <w:p w:rsidR="005B12CA" w:rsidRPr="005B12CA" w:rsidRDefault="005B12CA" w:rsidP="005B12CA">
      <w:pPr>
        <w:spacing w:after="101" w:line="240"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color w:val="000000"/>
          <w:sz w:val="18"/>
          <w:szCs w:val="18"/>
          <w:lang w:val="es-ES" w:eastAsia="es-ES"/>
        </w:rPr>
        <w:t>“</w:t>
      </w:r>
      <w:r w:rsidRPr="005B12CA">
        <w:rPr>
          <w:rFonts w:ascii="Arial" w:eastAsia="Times New Roman" w:hAnsi="Arial" w:cs="Arial"/>
          <w:b/>
          <w:color w:val="000000"/>
          <w:sz w:val="18"/>
          <w:szCs w:val="18"/>
          <w:lang w:val="es-ES" w:eastAsia="es-ES"/>
        </w:rPr>
        <w:t>Artículo 76.</w:t>
      </w:r>
      <w:r w:rsidRPr="005B12CA">
        <w:rPr>
          <w:rFonts w:ascii="Arial" w:eastAsia="Times New Roman" w:hAnsi="Arial" w:cs="Arial"/>
          <w:color w:val="000000"/>
          <w:sz w:val="18"/>
          <w:szCs w:val="18"/>
          <w:lang w:val="es-ES" w:eastAsia="es-ES"/>
        </w:rPr>
        <w:t xml:space="preserve"> De acuerdo con sus fines, las concesiones a que se refiere este capítulo serán:</w:t>
      </w:r>
    </w:p>
    <w:p w:rsidR="005B12CA" w:rsidRPr="005B12CA" w:rsidRDefault="005B12CA" w:rsidP="005B12CA">
      <w:pPr>
        <w:spacing w:after="101" w:line="240"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b/>
          <w:color w:val="000000"/>
          <w:sz w:val="18"/>
          <w:szCs w:val="18"/>
          <w:lang w:val="es-ES" w:eastAsia="es-ES"/>
        </w:rPr>
        <w:t>I. Para uso comercial:</w:t>
      </w:r>
      <w:r w:rsidRPr="005B12CA">
        <w:rPr>
          <w:rFonts w:ascii="Arial" w:eastAsia="Times New Roman" w:hAnsi="Arial" w:cs="Arial"/>
          <w:color w:val="000000"/>
          <w:sz w:val="18"/>
          <w:szCs w:val="18"/>
          <w:lang w:val="es-ES" w:eastAsia="es-ES"/>
        </w:rPr>
        <w:t xml:space="preserve"> Confiere el derecho a personas físicas o morales para usar, aprovechar y explotar bandas de frecuencias del espectro radioeléctrico de uso determinado y para la ocupación y explotación de recursos orbitales, con fines de lucro;</w:t>
      </w:r>
    </w:p>
    <w:p w:rsidR="005B12CA" w:rsidRPr="005B12CA" w:rsidRDefault="005B12CA" w:rsidP="005B12CA">
      <w:pPr>
        <w:spacing w:after="101" w:line="240"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b/>
          <w:color w:val="000000"/>
          <w:sz w:val="18"/>
          <w:szCs w:val="18"/>
          <w:lang w:val="es-ES" w:eastAsia="es-ES"/>
        </w:rPr>
        <w:t xml:space="preserve">II. Para uso público: </w:t>
      </w:r>
      <w:r w:rsidRPr="005B12CA">
        <w:rPr>
          <w:rFonts w:ascii="Arial" w:eastAsia="Times New Roman" w:hAnsi="Arial" w:cs="Arial"/>
          <w:color w:val="000000"/>
          <w:sz w:val="18"/>
          <w:szCs w:val="18"/>
          <w:lang w:val="es-ES" w:eastAsia="es-ES"/>
        </w:rPr>
        <w:t xml:space="preserve">Confiere el derecho a los Poderes de </w:t>
      </w:r>
      <w:smartTag w:uri="urn:schemas-microsoft-com:office:smarttags" w:element="PersonName">
        <w:smartTagPr>
          <w:attr w:name="ProductID" w:val="la Uni￳n"/>
        </w:smartTagPr>
        <w:r w:rsidRPr="005B12CA">
          <w:rPr>
            <w:rFonts w:ascii="Arial" w:eastAsia="Times New Roman" w:hAnsi="Arial" w:cs="Arial"/>
            <w:color w:val="000000"/>
            <w:sz w:val="18"/>
            <w:szCs w:val="18"/>
            <w:lang w:val="es-ES" w:eastAsia="es-ES"/>
          </w:rPr>
          <w:t>la Unión</w:t>
        </w:r>
      </w:smartTag>
      <w:r w:rsidRPr="005B12CA">
        <w:rPr>
          <w:rFonts w:ascii="Arial" w:eastAsia="Times New Roman" w:hAnsi="Arial" w:cs="Arial"/>
          <w:color w:val="000000"/>
          <w:sz w:val="18"/>
          <w:szCs w:val="18"/>
          <w:lang w:val="es-ES" w:eastAsia="es-ES"/>
        </w:rPr>
        <w:t>,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p>
    <w:p w:rsidR="005B12CA" w:rsidRPr="005B12CA" w:rsidRDefault="005B12CA" w:rsidP="005B12CA">
      <w:pPr>
        <w:spacing w:after="101" w:line="246"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color w:val="000000"/>
          <w:sz w:val="18"/>
          <w:szCs w:val="18"/>
          <w:lang w:val="es-ES" w:eastAsia="es-ES"/>
        </w:rPr>
        <w:lastRenderedPageBreak/>
        <w:t>Bajo este tipo de concesiones se incluyen a los concesionarios o permisionarios de servicios públicos, distintos a los de telecomunicaciones o de radiodifusión, cuando éstas sean necesarias para la operación y seguridad del servicio de que se trate.</w:t>
      </w:r>
    </w:p>
    <w:p w:rsidR="005B12CA" w:rsidRPr="005B12CA" w:rsidRDefault="005B12CA" w:rsidP="005B12CA">
      <w:pPr>
        <w:spacing w:after="101" w:line="246"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color w:val="000000"/>
          <w:sz w:val="18"/>
          <w:szCs w:val="18"/>
          <w:lang w:val="es-ES" w:eastAsia="es-ES"/>
        </w:rPr>
        <w:t>En este tipo de concesiones no se podrán usar, aprovechar o explotar con fines de lucro, bandas de frecuencias del espectro radioeléctrico de uso determinado o para la ocupación o explotación de recursos orbitales, de lo contrario deberán obtener una concesión para uso comercial;</w:t>
      </w:r>
    </w:p>
    <w:p w:rsidR="005B12CA" w:rsidRPr="005B12CA" w:rsidRDefault="005B12CA" w:rsidP="005B12CA">
      <w:pPr>
        <w:spacing w:after="101" w:line="246"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b/>
          <w:color w:val="000000"/>
          <w:sz w:val="18"/>
          <w:szCs w:val="18"/>
          <w:lang w:val="es-ES" w:eastAsia="es-ES"/>
        </w:rPr>
        <w:t>III. Para uso privado:</w:t>
      </w:r>
      <w:r w:rsidRPr="005B12CA">
        <w:rPr>
          <w:rFonts w:ascii="Arial" w:eastAsia="Times New Roman" w:hAnsi="Arial" w:cs="Arial"/>
          <w:color w:val="000000"/>
          <w:sz w:val="18"/>
          <w:szCs w:val="18"/>
          <w:lang w:val="es-ES" w:eastAsia="es-ES"/>
        </w:rPr>
        <w:t xml:space="preserve"> Confiere el derecho para usar y aprovechar bandas de frecuencias del espectro radioeléctrico de uso determinado o para la ocupación y explotación de recursos orbitales, con propósitos de:</w:t>
      </w:r>
    </w:p>
    <w:p w:rsidR="005B12CA" w:rsidRPr="005B12CA" w:rsidRDefault="005B12CA" w:rsidP="005B12CA">
      <w:pPr>
        <w:spacing w:after="101" w:line="246"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color w:val="000000"/>
          <w:sz w:val="18"/>
          <w:szCs w:val="18"/>
          <w:lang w:val="es-ES" w:eastAsia="es-ES"/>
        </w:rPr>
        <w:t>a) Comunicación privada, o</w:t>
      </w:r>
    </w:p>
    <w:p w:rsidR="005B12CA" w:rsidRPr="005B12CA" w:rsidRDefault="005B12CA" w:rsidP="005B12CA">
      <w:pPr>
        <w:spacing w:after="101" w:line="246"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color w:val="000000"/>
          <w:sz w:val="18"/>
          <w:szCs w:val="18"/>
          <w:lang w:val="es-ES" w:eastAsia="es-ES"/>
        </w:rPr>
        <w:t>b) Experimentación, comprobación de viabilidad técnica y económica de tecnologías en desarrollo, pruebas temporales de equipo o radioaficionados, así como para satisfacer necesidades de comunicación para embajadas o misiones diplomáticas que visiten el país.</w:t>
      </w:r>
    </w:p>
    <w:p w:rsidR="005B12CA" w:rsidRPr="005B12CA" w:rsidRDefault="005B12CA" w:rsidP="005B12CA">
      <w:pPr>
        <w:spacing w:after="101" w:line="246"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color w:val="000000"/>
          <w:sz w:val="18"/>
          <w:szCs w:val="18"/>
          <w:lang w:val="es-ES" w:eastAsia="es-ES"/>
        </w:rPr>
        <w:t>En este tipo de concesiones no se confiere el derecho de usar, aprovechar y explotar comercialmente bandas de frecuencias del espectro radioeléctrico de uso determinado ni de ocupar y explotar recursos orbitales, y</w:t>
      </w:r>
    </w:p>
    <w:p w:rsidR="005B12CA" w:rsidRPr="005B12CA" w:rsidRDefault="005B12CA" w:rsidP="005B12CA">
      <w:pPr>
        <w:spacing w:after="101" w:line="246"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b/>
          <w:color w:val="000000"/>
          <w:sz w:val="18"/>
          <w:szCs w:val="18"/>
          <w:lang w:val="es-ES" w:eastAsia="es-ES"/>
        </w:rPr>
        <w:t>IV. Para uso social:</w:t>
      </w:r>
      <w:r w:rsidRPr="005B12CA">
        <w:rPr>
          <w:rFonts w:ascii="Arial" w:eastAsia="Times New Roman" w:hAnsi="Arial" w:cs="Arial"/>
          <w:color w:val="000000"/>
          <w:sz w:val="18"/>
          <w:szCs w:val="18"/>
          <w:lang w:val="es-ES" w:eastAsia="es-ES"/>
        </w:rPr>
        <w:t xml:space="preserve"> 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 Quedan comprendidos en esta categoría los medios comunitarios e indígenas referidos en el artículo 67, fracción IV, así como las instituciones de educación superior de carácter privado.”</w:t>
      </w:r>
    </w:p>
    <w:p w:rsidR="005B12CA" w:rsidRPr="005B12CA" w:rsidRDefault="005B12CA" w:rsidP="005B12CA">
      <w:pPr>
        <w:spacing w:after="101" w:line="246" w:lineRule="exact"/>
        <w:ind w:firstLine="288"/>
        <w:jc w:val="both"/>
        <w:rPr>
          <w:rFonts w:ascii="Arial" w:eastAsia="Times New Roman" w:hAnsi="Arial" w:cs="Arial"/>
          <w:color w:val="000000"/>
          <w:sz w:val="18"/>
          <w:lang w:val="es-ES" w:eastAsia="es-ES"/>
        </w:rPr>
      </w:pPr>
      <w:r w:rsidRPr="005B12CA">
        <w:rPr>
          <w:rFonts w:ascii="Arial" w:eastAsia="Times New Roman" w:hAnsi="Arial" w:cs="Arial"/>
          <w:color w:val="000000"/>
          <w:sz w:val="18"/>
          <w:lang w:val="es-ES" w:eastAsia="es-ES"/>
        </w:rPr>
        <w:t xml:space="preserve">Ahora bien, el artículo 59 de </w:t>
      </w:r>
      <w:smartTag w:uri="urn:schemas-microsoft-com:office:smarttags" w:element="PersonName">
        <w:smartTagPr>
          <w:attr w:name="ProductID" w:val="la Ley"/>
        </w:smartTagPr>
        <w:r w:rsidRPr="005B12CA">
          <w:rPr>
            <w:rFonts w:ascii="Arial" w:eastAsia="Times New Roman" w:hAnsi="Arial" w:cs="Arial"/>
            <w:color w:val="000000"/>
            <w:sz w:val="18"/>
            <w:lang w:val="es-ES" w:eastAsia="es-ES"/>
          </w:rPr>
          <w:t>la Ley</w:t>
        </w:r>
      </w:smartTag>
      <w:r w:rsidRPr="005B12CA">
        <w:rPr>
          <w:rFonts w:ascii="Arial" w:eastAsia="Times New Roman" w:hAnsi="Arial" w:cs="Arial"/>
          <w:color w:val="000000"/>
          <w:sz w:val="18"/>
          <w:lang w:val="es-ES" w:eastAsia="es-ES"/>
        </w:rPr>
        <w:t xml:space="preserve"> señala que el Instituto expedirá, a más tardar el treinta y uno de diciembre de cada año, un programa con las frecuencias o bandas de frecuencias de espectro determinado que serán objeto de licitación o que podrán asignarse directamente. Para tal efecto, el Instituto aprobó el Programa 2017, el cual fue publicado en el DOF el 8 de noviembre de 2016.</w:t>
      </w:r>
    </w:p>
    <w:p w:rsidR="005B12CA" w:rsidRPr="005B12CA" w:rsidRDefault="005B12CA" w:rsidP="005B12CA">
      <w:pPr>
        <w:spacing w:after="101" w:line="246" w:lineRule="exact"/>
        <w:ind w:firstLine="288"/>
        <w:jc w:val="both"/>
        <w:rPr>
          <w:rFonts w:ascii="Arial" w:eastAsia="Times New Roman" w:hAnsi="Arial" w:cs="Arial"/>
          <w:color w:val="000000"/>
          <w:sz w:val="18"/>
          <w:lang w:val="es-ES" w:eastAsia="es-ES"/>
        </w:rPr>
      </w:pPr>
      <w:r w:rsidRPr="005B12CA">
        <w:rPr>
          <w:rFonts w:ascii="Arial" w:eastAsia="Times New Roman" w:hAnsi="Arial" w:cs="Arial"/>
          <w:color w:val="000000"/>
          <w:sz w:val="18"/>
          <w:lang w:val="es-ES" w:eastAsia="es-ES"/>
        </w:rPr>
        <w:t xml:space="preserve">Por otro lado, los artículos 60 y 61 de </w:t>
      </w:r>
      <w:smartTag w:uri="urn:schemas-microsoft-com:office:smarttags" w:element="PersonName">
        <w:smartTagPr>
          <w:attr w:name="ProductID" w:val="la Ley"/>
        </w:smartTagPr>
        <w:r w:rsidRPr="005B12CA">
          <w:rPr>
            <w:rFonts w:ascii="Arial" w:eastAsia="Times New Roman" w:hAnsi="Arial" w:cs="Arial"/>
            <w:color w:val="000000"/>
            <w:sz w:val="18"/>
            <w:lang w:val="es-ES" w:eastAsia="es-ES"/>
          </w:rPr>
          <w:t>la Ley</w:t>
        </w:r>
      </w:smartTag>
      <w:r w:rsidRPr="005B12CA">
        <w:rPr>
          <w:rFonts w:ascii="Arial" w:eastAsia="Times New Roman" w:hAnsi="Arial" w:cs="Arial"/>
          <w:color w:val="000000"/>
          <w:sz w:val="18"/>
          <w:lang w:val="es-ES" w:eastAsia="es-ES"/>
        </w:rPr>
        <w:t xml:space="preserve"> establecen lo siguiente:</w:t>
      </w:r>
    </w:p>
    <w:p w:rsidR="005B12CA" w:rsidRPr="005B12CA" w:rsidRDefault="005B12CA" w:rsidP="005B12CA">
      <w:pPr>
        <w:spacing w:after="101" w:line="246" w:lineRule="exact"/>
        <w:ind w:left="720" w:right="720"/>
        <w:jc w:val="both"/>
        <w:rPr>
          <w:rFonts w:ascii="Arial" w:eastAsia="Times New Roman" w:hAnsi="Arial" w:cs="Arial"/>
          <w:color w:val="000000"/>
          <w:sz w:val="18"/>
          <w:szCs w:val="18"/>
          <w:lang w:val="es-ES" w:eastAsia="es-ES"/>
        </w:rPr>
      </w:pPr>
      <w:r w:rsidRPr="005B12CA">
        <w:rPr>
          <w:rFonts w:ascii="Arial" w:eastAsia="Times New Roman" w:hAnsi="Arial" w:cs="Arial"/>
          <w:color w:val="000000"/>
          <w:sz w:val="18"/>
          <w:szCs w:val="18"/>
          <w:lang w:val="es-ES" w:eastAsia="es-ES"/>
        </w:rPr>
        <w:t>“</w:t>
      </w:r>
      <w:r w:rsidRPr="005B12CA">
        <w:rPr>
          <w:rFonts w:ascii="Arial" w:eastAsia="Times New Roman" w:hAnsi="Arial" w:cs="Arial"/>
          <w:b/>
          <w:color w:val="000000"/>
          <w:sz w:val="18"/>
          <w:szCs w:val="18"/>
          <w:lang w:val="es-ES" w:eastAsia="es-ES"/>
        </w:rPr>
        <w:t>Artículo 60.</w:t>
      </w:r>
      <w:r w:rsidRPr="005B12CA">
        <w:rPr>
          <w:rFonts w:ascii="Arial" w:eastAsia="Times New Roman" w:hAnsi="Arial" w:cs="Arial"/>
          <w:color w:val="000000"/>
          <w:sz w:val="18"/>
          <w:szCs w:val="18"/>
          <w:lang w:val="es-ES" w:eastAsia="es-ES"/>
        </w:rPr>
        <w:t xml:space="preserve"> El programa anual de uso y aprovechamiento de bandas de frecuencias deberá atender los siguientes criterios:</w:t>
      </w:r>
    </w:p>
    <w:p w:rsidR="005B12CA" w:rsidRPr="005B12CA" w:rsidRDefault="005B12CA" w:rsidP="005B12CA">
      <w:pPr>
        <w:spacing w:after="101" w:line="246" w:lineRule="exact"/>
        <w:ind w:left="1152" w:right="720" w:hanging="432"/>
        <w:jc w:val="both"/>
        <w:rPr>
          <w:rFonts w:ascii="Arial" w:eastAsia="Times New Roman" w:hAnsi="Arial" w:cs="Arial"/>
          <w:sz w:val="18"/>
          <w:szCs w:val="18"/>
          <w:lang w:val="es-ES" w:eastAsia="es-ES"/>
        </w:rPr>
      </w:pPr>
      <w:r w:rsidRPr="005B12CA">
        <w:rPr>
          <w:rFonts w:ascii="Arial" w:eastAsia="Times New Roman" w:hAnsi="Arial" w:cs="Arial"/>
          <w:b/>
          <w:sz w:val="18"/>
          <w:szCs w:val="18"/>
          <w:lang w:val="es-ES" w:eastAsia="es-ES"/>
        </w:rPr>
        <w:t>I.</w:t>
      </w:r>
      <w:r w:rsidRPr="005B12CA">
        <w:rPr>
          <w:rFonts w:ascii="Arial" w:eastAsia="Times New Roman" w:hAnsi="Arial" w:cs="Arial"/>
          <w:b/>
          <w:sz w:val="18"/>
          <w:szCs w:val="18"/>
          <w:lang w:val="es-ES" w:eastAsia="es-ES"/>
        </w:rPr>
        <w:tab/>
        <w:t>Valorar las solicitudes</w:t>
      </w:r>
      <w:r w:rsidRPr="005B12CA">
        <w:rPr>
          <w:rFonts w:ascii="Arial" w:eastAsia="Times New Roman" w:hAnsi="Arial" w:cs="Arial"/>
          <w:sz w:val="18"/>
          <w:szCs w:val="18"/>
          <w:lang w:val="es-ES" w:eastAsia="es-ES"/>
        </w:rPr>
        <w:t xml:space="preserve"> de bandas de frecuencia, categoría, modalidades de uso y coberturas geográficas que le hayan sido presentadas por los interesados;</w:t>
      </w:r>
    </w:p>
    <w:p w:rsidR="005B12CA" w:rsidRPr="005B12CA" w:rsidRDefault="005B12CA" w:rsidP="005B12CA">
      <w:pPr>
        <w:spacing w:after="101" w:line="246" w:lineRule="exact"/>
        <w:ind w:left="1152" w:right="720" w:hanging="432"/>
        <w:jc w:val="both"/>
        <w:rPr>
          <w:rFonts w:ascii="Arial" w:eastAsia="Times New Roman" w:hAnsi="Arial" w:cs="Arial"/>
          <w:sz w:val="18"/>
          <w:szCs w:val="18"/>
          <w:lang w:val="es-ES" w:eastAsia="es-ES"/>
        </w:rPr>
      </w:pPr>
      <w:r w:rsidRPr="005B12CA">
        <w:rPr>
          <w:rFonts w:ascii="Arial" w:eastAsia="Times New Roman" w:hAnsi="Arial" w:cs="Arial"/>
          <w:b/>
          <w:sz w:val="18"/>
          <w:szCs w:val="18"/>
          <w:lang w:val="es-ES" w:eastAsia="es-ES"/>
        </w:rPr>
        <w:t>II.</w:t>
      </w:r>
      <w:r w:rsidRPr="005B12CA">
        <w:rPr>
          <w:rFonts w:ascii="Arial" w:eastAsia="Times New Roman" w:hAnsi="Arial" w:cs="Arial"/>
          <w:b/>
          <w:sz w:val="18"/>
          <w:szCs w:val="18"/>
          <w:lang w:val="es-ES" w:eastAsia="es-ES"/>
        </w:rPr>
        <w:tab/>
      </w:r>
      <w:r w:rsidRPr="005B12CA">
        <w:rPr>
          <w:rFonts w:ascii="Arial" w:eastAsia="Times New Roman" w:hAnsi="Arial" w:cs="Arial"/>
          <w:sz w:val="18"/>
          <w:szCs w:val="18"/>
          <w:lang w:val="es-ES" w:eastAsia="es-ES"/>
        </w:rPr>
        <w:t xml:space="preserve">Propiciar el </w:t>
      </w:r>
      <w:r w:rsidRPr="005B12CA">
        <w:rPr>
          <w:rFonts w:ascii="Arial" w:eastAsia="Times New Roman" w:hAnsi="Arial" w:cs="Arial"/>
          <w:b/>
          <w:sz w:val="18"/>
          <w:szCs w:val="18"/>
          <w:lang w:val="es-ES" w:eastAsia="es-ES"/>
        </w:rPr>
        <w:t>uso eficiente del espectro radioeléctrico</w:t>
      </w:r>
      <w:r w:rsidRPr="005B12CA">
        <w:rPr>
          <w:rFonts w:ascii="Arial" w:eastAsia="Times New Roman" w:hAnsi="Arial" w:cs="Arial"/>
          <w:sz w:val="18"/>
          <w:szCs w:val="18"/>
          <w:lang w:val="es-ES" w:eastAsia="es-ES"/>
        </w:rPr>
        <w:t>, el beneficio del público usuario, el desarrollo de la competencia y la diversidad e introducción de nuevos servicios de telecomunicaciones y radiodifusión, y</w:t>
      </w:r>
    </w:p>
    <w:p w:rsidR="005B12CA" w:rsidRPr="005B12CA" w:rsidRDefault="005B12CA" w:rsidP="005B12CA">
      <w:pPr>
        <w:spacing w:after="101" w:line="246" w:lineRule="exact"/>
        <w:ind w:left="1152" w:right="720" w:hanging="432"/>
        <w:jc w:val="both"/>
        <w:rPr>
          <w:rFonts w:ascii="Arial" w:eastAsia="Times New Roman" w:hAnsi="Arial" w:cs="Arial"/>
          <w:sz w:val="18"/>
          <w:szCs w:val="18"/>
          <w:lang w:val="es-ES" w:eastAsia="es-ES"/>
        </w:rPr>
      </w:pPr>
      <w:r w:rsidRPr="005B12CA">
        <w:rPr>
          <w:rFonts w:ascii="Arial" w:eastAsia="Times New Roman" w:hAnsi="Arial" w:cs="Arial"/>
          <w:b/>
          <w:sz w:val="18"/>
          <w:szCs w:val="18"/>
          <w:lang w:val="es-ES" w:eastAsia="es-ES"/>
        </w:rPr>
        <w:t>III.</w:t>
      </w:r>
      <w:r w:rsidRPr="005B12CA">
        <w:rPr>
          <w:rFonts w:ascii="Arial" w:eastAsia="Times New Roman" w:hAnsi="Arial" w:cs="Arial"/>
          <w:b/>
          <w:sz w:val="18"/>
          <w:szCs w:val="18"/>
          <w:lang w:val="es-ES" w:eastAsia="es-ES"/>
        </w:rPr>
        <w:tab/>
      </w:r>
      <w:r w:rsidRPr="005B12CA">
        <w:rPr>
          <w:rFonts w:ascii="Arial" w:eastAsia="Times New Roman" w:hAnsi="Arial" w:cs="Arial"/>
          <w:sz w:val="18"/>
          <w:szCs w:val="18"/>
          <w:lang w:val="es-ES" w:eastAsia="es-ES"/>
        </w:rPr>
        <w:t xml:space="preserve">Promover la </w:t>
      </w:r>
      <w:r w:rsidRPr="005B12CA">
        <w:rPr>
          <w:rFonts w:ascii="Arial" w:eastAsia="Times New Roman" w:hAnsi="Arial" w:cs="Arial"/>
          <w:b/>
          <w:sz w:val="18"/>
          <w:szCs w:val="18"/>
          <w:lang w:val="es-ES" w:eastAsia="es-ES"/>
        </w:rPr>
        <w:t>convergencia de redes y servicios</w:t>
      </w:r>
      <w:r w:rsidRPr="005B12CA">
        <w:rPr>
          <w:rFonts w:ascii="Arial" w:eastAsia="Times New Roman" w:hAnsi="Arial" w:cs="Arial"/>
          <w:sz w:val="18"/>
          <w:szCs w:val="18"/>
          <w:lang w:val="es-ES" w:eastAsia="es-ES"/>
        </w:rPr>
        <w:t xml:space="preserve"> para lograr la eficiencia en el uso de infraestructura y la innovación en el desarrollo de aplicaciones.”</w:t>
      </w:r>
    </w:p>
    <w:p w:rsidR="005B12CA" w:rsidRPr="005B12CA" w:rsidRDefault="005B12CA" w:rsidP="005B12CA">
      <w:pPr>
        <w:spacing w:after="101" w:line="246" w:lineRule="exact"/>
        <w:ind w:left="720" w:right="720"/>
        <w:jc w:val="both"/>
        <w:rPr>
          <w:rFonts w:ascii="Arial" w:eastAsia="Times New Roman" w:hAnsi="Arial" w:cs="Arial"/>
          <w:color w:val="000000"/>
          <w:sz w:val="18"/>
          <w:szCs w:val="20"/>
          <w:lang w:val="es-ES" w:eastAsia="es-ES"/>
        </w:rPr>
      </w:pPr>
      <w:r w:rsidRPr="005B12CA">
        <w:rPr>
          <w:rFonts w:ascii="Arial" w:eastAsia="Times New Roman" w:hAnsi="Arial" w:cs="Arial"/>
          <w:color w:val="000000"/>
          <w:sz w:val="18"/>
          <w:szCs w:val="18"/>
          <w:lang w:val="es-ES" w:eastAsia="es-ES"/>
        </w:rPr>
        <w:t>“</w:t>
      </w:r>
      <w:r w:rsidRPr="005B12CA">
        <w:rPr>
          <w:rFonts w:ascii="Arial" w:eastAsia="Times New Roman" w:hAnsi="Arial" w:cs="Arial"/>
          <w:b/>
          <w:color w:val="000000"/>
          <w:sz w:val="18"/>
          <w:szCs w:val="18"/>
          <w:lang w:val="es-ES" w:eastAsia="es-ES"/>
        </w:rPr>
        <w:t>Artículo 61.</w:t>
      </w:r>
      <w:r w:rsidRPr="005B12CA">
        <w:rPr>
          <w:rFonts w:ascii="Arial" w:eastAsia="Times New Roman" w:hAnsi="Arial" w:cs="Arial"/>
          <w:color w:val="000000"/>
          <w:sz w:val="18"/>
          <w:szCs w:val="18"/>
          <w:lang w:val="es-ES" w:eastAsia="es-ES"/>
        </w:rPr>
        <w:t xml:space="preserve"> Cualquier interesado podrá solicitar, dentro de los treinta días hábiles siguientes a la publicación del programa anual de uso y aprovechamiento de bandas de frecuencias, que se incluyan bandas de frecuencia y coberturas geográficas adicionales o distintas a las ahí contempladas. </w:t>
      </w:r>
      <w:r w:rsidRPr="005B12CA">
        <w:rPr>
          <w:rFonts w:ascii="Arial" w:eastAsia="Times New Roman" w:hAnsi="Arial" w:cs="Arial"/>
          <w:b/>
          <w:color w:val="000000"/>
          <w:sz w:val="18"/>
          <w:szCs w:val="18"/>
          <w:lang w:val="es-ES" w:eastAsia="es-ES"/>
        </w:rPr>
        <w:t>En estos casos, la autoridad resolverá lo conducente en un plazo que no excederá de treinta días hábiles contados a partir del vencimiento del plazo anterior.</w:t>
      </w:r>
      <w:r w:rsidRPr="005B12CA">
        <w:rPr>
          <w:rFonts w:ascii="Arial" w:eastAsia="Times New Roman" w:hAnsi="Arial" w:cs="Arial"/>
          <w:color w:val="000000"/>
          <w:sz w:val="18"/>
          <w:szCs w:val="20"/>
          <w:lang w:val="es-ES" w:eastAsia="es-ES"/>
        </w:rPr>
        <w:t>”</w:t>
      </w:r>
    </w:p>
    <w:p w:rsidR="005B12CA" w:rsidRPr="005B12CA" w:rsidRDefault="005B12CA" w:rsidP="005B12CA">
      <w:pPr>
        <w:spacing w:after="101" w:line="246" w:lineRule="exact"/>
        <w:ind w:firstLine="288"/>
        <w:jc w:val="both"/>
        <w:rPr>
          <w:rFonts w:ascii="Arial" w:eastAsia="Times New Roman" w:hAnsi="Arial" w:cs="Arial"/>
          <w:color w:val="000000"/>
          <w:sz w:val="18"/>
          <w:lang w:val="es-ES" w:eastAsia="es-ES"/>
        </w:rPr>
      </w:pPr>
      <w:r w:rsidRPr="005B12CA">
        <w:rPr>
          <w:rFonts w:ascii="Arial" w:eastAsia="Times New Roman" w:hAnsi="Arial" w:cs="Arial"/>
          <w:color w:val="000000"/>
          <w:sz w:val="18"/>
          <w:lang w:val="es-ES" w:eastAsia="es-ES"/>
        </w:rPr>
        <w:t>En este sentido, el 21 de diciembre de 2016 concluyó el periodo para presentar ante el Instituto solicitudes de inclusión de bandas de frecuencia y coberturas geográficas adicionales o distintas a las contempladas en el Programa 2017.</w:t>
      </w:r>
    </w:p>
    <w:p w:rsidR="005B12CA" w:rsidRPr="005B12CA" w:rsidRDefault="005B12CA" w:rsidP="005B12CA">
      <w:pPr>
        <w:spacing w:after="101" w:line="246" w:lineRule="exact"/>
        <w:ind w:firstLine="288"/>
        <w:jc w:val="both"/>
        <w:rPr>
          <w:rFonts w:ascii="Arial" w:eastAsia="Times New Roman" w:hAnsi="Arial" w:cs="Arial"/>
          <w:color w:val="000000"/>
          <w:sz w:val="18"/>
          <w:lang w:val="es-ES" w:eastAsia="es-ES"/>
        </w:rPr>
      </w:pPr>
      <w:r w:rsidRPr="005B12CA">
        <w:rPr>
          <w:rFonts w:ascii="Arial" w:eastAsia="Times New Roman" w:hAnsi="Arial" w:cs="Arial"/>
          <w:color w:val="000000"/>
          <w:sz w:val="18"/>
          <w:lang w:val="es-ES" w:eastAsia="es-ES"/>
        </w:rPr>
        <w:t>Derivado de lo anterior, el Instituto, dentro del plazo de 30 días hábiles siguientes al 21 de diciembre de 2016, realizó el análisis respectivo de cada una de las solicitudes de inclusión presentadas</w:t>
      </w:r>
      <w:r w:rsidRPr="005B12CA">
        <w:rPr>
          <w:rFonts w:ascii="Arial" w:eastAsia="Times New Roman" w:hAnsi="Arial" w:cs="Arial"/>
          <w:b/>
          <w:color w:val="000000"/>
          <w:sz w:val="18"/>
          <w:lang w:val="es-ES" w:eastAsia="es-ES"/>
        </w:rPr>
        <w:t>.</w:t>
      </w:r>
    </w:p>
    <w:p w:rsidR="005B12CA" w:rsidRPr="005B12CA" w:rsidRDefault="005B12CA" w:rsidP="005B12CA">
      <w:pPr>
        <w:spacing w:after="101" w:line="232" w:lineRule="exact"/>
        <w:ind w:firstLine="288"/>
        <w:jc w:val="both"/>
        <w:rPr>
          <w:rFonts w:ascii="Arial" w:eastAsia="Times New Roman" w:hAnsi="Arial" w:cs="Arial"/>
          <w:sz w:val="18"/>
          <w:lang w:val="es-ES" w:eastAsia="es-ES"/>
        </w:rPr>
      </w:pPr>
      <w:r w:rsidRPr="005B12CA">
        <w:rPr>
          <w:rFonts w:ascii="Arial" w:eastAsia="Times New Roman" w:hAnsi="Arial" w:cs="Arial"/>
          <w:b/>
          <w:caps/>
          <w:sz w:val="18"/>
          <w:lang w:eastAsia="es-ES"/>
        </w:rPr>
        <w:lastRenderedPageBreak/>
        <w:t xml:space="preserve">Tercero. </w:t>
      </w:r>
      <w:r w:rsidRPr="005B12CA">
        <w:rPr>
          <w:rFonts w:ascii="Arial" w:eastAsia="Times New Roman" w:hAnsi="Arial" w:cs="Arial"/>
          <w:b/>
          <w:sz w:val="18"/>
          <w:lang w:eastAsia="es-ES"/>
        </w:rPr>
        <w:t>Criterios para la modificación del Programa Anual de Uso y Aprovechamiento de Bandas de Frecuencias 2017.</w:t>
      </w:r>
      <w:r w:rsidRPr="005B12CA">
        <w:rPr>
          <w:rFonts w:ascii="Arial" w:eastAsia="Times New Roman" w:hAnsi="Arial" w:cs="Arial"/>
          <w:b/>
          <w:sz w:val="18"/>
          <w:lang w:val="es-ES" w:eastAsia="es-ES"/>
        </w:rPr>
        <w:t xml:space="preserve"> </w:t>
      </w:r>
      <w:r w:rsidRPr="005B12CA">
        <w:rPr>
          <w:rFonts w:ascii="Arial" w:eastAsia="Times New Roman" w:hAnsi="Arial" w:cs="Arial"/>
          <w:sz w:val="18"/>
          <w:lang w:val="es-ES" w:eastAsia="es-ES"/>
        </w:rPr>
        <w:t xml:space="preserve">En atención a lo previsto en el artículo 60 de </w:t>
      </w:r>
      <w:smartTag w:uri="urn:schemas-microsoft-com:office:smarttags" w:element="PersonName">
        <w:smartTagPr>
          <w:attr w:name="ProductID" w:val="la Ley"/>
        </w:smartTagPr>
        <w:r w:rsidRPr="005B12CA">
          <w:rPr>
            <w:rFonts w:ascii="Arial" w:eastAsia="Times New Roman" w:hAnsi="Arial" w:cs="Arial"/>
            <w:sz w:val="18"/>
            <w:lang w:val="es-ES" w:eastAsia="es-ES"/>
          </w:rPr>
          <w:t>la Ley</w:t>
        </w:r>
      </w:smartTag>
      <w:r w:rsidRPr="005B12CA">
        <w:rPr>
          <w:rFonts w:ascii="Arial" w:eastAsia="Times New Roman" w:hAnsi="Arial" w:cs="Arial"/>
          <w:sz w:val="18"/>
          <w:lang w:val="es-ES" w:eastAsia="es-ES"/>
        </w:rPr>
        <w:t>, para la elaboración del Programa 2017 el Instituto atiende los criterios siguientes:</w:t>
      </w:r>
    </w:p>
    <w:p w:rsidR="005B12CA" w:rsidRPr="005B12CA" w:rsidRDefault="005B12CA" w:rsidP="005B12CA">
      <w:pPr>
        <w:tabs>
          <w:tab w:val="left" w:pos="720"/>
        </w:tabs>
        <w:spacing w:after="101" w:line="232" w:lineRule="exact"/>
        <w:ind w:left="720" w:hanging="432"/>
        <w:jc w:val="both"/>
        <w:rPr>
          <w:rFonts w:ascii="Arial" w:eastAsia="Times New Roman" w:hAnsi="Arial" w:cs="Arial"/>
          <w:b/>
          <w:sz w:val="18"/>
          <w:szCs w:val="18"/>
          <w:lang w:val="es-ES" w:eastAsia="es-ES"/>
        </w:rPr>
      </w:pPr>
      <w:r w:rsidRPr="005B12CA">
        <w:rPr>
          <w:rFonts w:ascii="Arial" w:eastAsia="Times New Roman" w:hAnsi="Arial" w:cs="Arial"/>
          <w:b/>
          <w:sz w:val="18"/>
          <w:szCs w:val="18"/>
          <w:lang w:val="es-ES" w:eastAsia="es-ES"/>
        </w:rPr>
        <w:t>I.</w:t>
      </w:r>
      <w:r w:rsidRPr="005B12CA">
        <w:rPr>
          <w:rFonts w:ascii="Arial" w:eastAsia="Times New Roman" w:hAnsi="Arial" w:cs="Arial"/>
          <w:b/>
          <w:sz w:val="18"/>
          <w:szCs w:val="18"/>
          <w:lang w:val="es-ES" w:eastAsia="es-ES"/>
        </w:rPr>
        <w:tab/>
        <w:t>Valoración las solicitudes de bandas de frecuencia, categoría, modalidades de uso y coberturas geográficas presentadas por los interesados.</w:t>
      </w:r>
    </w:p>
    <w:p w:rsidR="005B12CA" w:rsidRPr="005B12CA" w:rsidRDefault="005B12CA" w:rsidP="005B12CA">
      <w:pPr>
        <w:tabs>
          <w:tab w:val="left" w:pos="720"/>
        </w:tabs>
        <w:spacing w:after="101" w:line="232" w:lineRule="exact"/>
        <w:ind w:left="720" w:hanging="432"/>
        <w:jc w:val="both"/>
        <w:rPr>
          <w:rFonts w:ascii="Arial" w:eastAsia="Times New Roman" w:hAnsi="Arial" w:cs="Arial"/>
          <w:color w:val="000000"/>
          <w:sz w:val="18"/>
          <w:szCs w:val="18"/>
          <w:lang w:val="es-ES" w:eastAsia="es-ES"/>
        </w:rPr>
      </w:pPr>
      <w:r w:rsidRPr="005B12CA">
        <w:rPr>
          <w:rFonts w:ascii="Arial" w:eastAsia="Times New Roman" w:hAnsi="Arial" w:cs="Arial"/>
          <w:color w:val="000000"/>
          <w:sz w:val="18"/>
          <w:szCs w:val="18"/>
          <w:lang w:val="es-ES" w:eastAsia="es-ES"/>
        </w:rPr>
        <w:tab/>
        <w:t>Para este efecto, las solicitudes de inclusión recibidas a partir del 6 de agosto de 2016</w:t>
      </w:r>
      <w:r w:rsidRPr="005B12CA">
        <w:rPr>
          <w:rFonts w:ascii="Arial" w:eastAsia="Times New Roman" w:hAnsi="Arial" w:cs="Arial"/>
          <w:sz w:val="18"/>
          <w:szCs w:val="18"/>
          <w:vertAlign w:val="superscript"/>
          <w:lang w:val="es-ES" w:eastAsia="es-ES"/>
        </w:rPr>
        <w:footnoteReference w:id="1"/>
      </w:r>
      <w:r w:rsidRPr="005B12CA">
        <w:rPr>
          <w:rFonts w:ascii="Arial" w:eastAsia="Times New Roman" w:hAnsi="Arial" w:cs="Arial"/>
          <w:color w:val="000000"/>
          <w:sz w:val="18"/>
          <w:szCs w:val="18"/>
          <w:lang w:val="es-ES" w:eastAsia="es-ES"/>
        </w:rPr>
        <w:t xml:space="preserve"> y hasta el 21 de diciembre de 2016, se resumen en la tabla siguiente:</w:t>
      </w:r>
    </w:p>
    <w:tbl>
      <w:tblPr>
        <w:tblStyle w:val="Tablaconcuadrcula"/>
        <w:tblW w:w="7407" w:type="dxa"/>
        <w:jc w:val="center"/>
        <w:tblLayout w:type="fixed"/>
        <w:tblLook w:val="0000" w:firstRow="0" w:lastRow="0" w:firstColumn="0" w:lastColumn="0" w:noHBand="0" w:noVBand="0"/>
        <w:tblCaption w:val="Solicitudes de inclusión"/>
        <w:tblDescription w:val="La tabla contiene la valoración las solicitudes de bandas de frecuencia, categoría, modalidades de uso y coberturas geográficas presentadas por los interesados."/>
      </w:tblPr>
      <w:tblGrid>
        <w:gridCol w:w="1538"/>
        <w:gridCol w:w="2152"/>
        <w:gridCol w:w="2430"/>
        <w:gridCol w:w="1287"/>
      </w:tblGrid>
      <w:tr w:rsidR="005B12CA" w:rsidRPr="005B12CA" w:rsidTr="00711B86">
        <w:trPr>
          <w:trHeight w:val="20"/>
          <w:tblHeader/>
          <w:jc w:val="center"/>
        </w:trPr>
        <w:tc>
          <w:tcPr>
            <w:tcW w:w="3690" w:type="dxa"/>
            <w:gridSpan w:val="2"/>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Servicio</w:t>
            </w:r>
          </w:p>
        </w:tc>
        <w:tc>
          <w:tcPr>
            <w:tcW w:w="2430" w:type="dxa"/>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Modalidad de Uso</w:t>
            </w:r>
          </w:p>
        </w:tc>
        <w:tc>
          <w:tcPr>
            <w:tcW w:w="1287" w:type="dxa"/>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Total</w:t>
            </w:r>
          </w:p>
        </w:tc>
      </w:tr>
      <w:tr w:rsidR="005B12CA" w:rsidRPr="005B12CA" w:rsidTr="00711B86">
        <w:trPr>
          <w:trHeight w:val="20"/>
          <w:jc w:val="center"/>
        </w:trPr>
        <w:tc>
          <w:tcPr>
            <w:tcW w:w="3690" w:type="dxa"/>
            <w:gridSpan w:val="2"/>
            <w:vMerge w:val="restart"/>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Telecomunicaciones</w:t>
            </w:r>
          </w:p>
        </w:tc>
        <w:tc>
          <w:tcPr>
            <w:tcW w:w="2430"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Comercial</w:t>
            </w:r>
          </w:p>
        </w:tc>
        <w:tc>
          <w:tcPr>
            <w:tcW w:w="1287"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8</w:t>
            </w:r>
          </w:p>
        </w:tc>
      </w:tr>
      <w:tr w:rsidR="005B12CA" w:rsidRPr="005B12CA" w:rsidTr="00711B86">
        <w:trPr>
          <w:trHeight w:val="20"/>
          <w:jc w:val="center"/>
        </w:trPr>
        <w:tc>
          <w:tcPr>
            <w:tcW w:w="3690" w:type="dxa"/>
            <w:gridSpan w:val="2"/>
            <w:vMerge/>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b/>
                <w:sz w:val="16"/>
                <w:szCs w:val="16"/>
                <w:lang w:val="es-ES" w:eastAsia="es-ES"/>
              </w:rPr>
            </w:pPr>
          </w:p>
        </w:tc>
        <w:tc>
          <w:tcPr>
            <w:tcW w:w="2430"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Privado a)</w:t>
            </w:r>
            <w:r w:rsidRPr="005B12CA">
              <w:rPr>
                <w:rFonts w:ascii="Arial" w:eastAsia="Times New Roman" w:hAnsi="Arial" w:cs="Arial"/>
                <w:sz w:val="18"/>
                <w:szCs w:val="20"/>
                <w:vertAlign w:val="superscript"/>
                <w:lang w:val="es-ES" w:eastAsia="es-ES"/>
              </w:rPr>
              <w:footnoteReference w:id="2"/>
            </w:r>
          </w:p>
        </w:tc>
        <w:tc>
          <w:tcPr>
            <w:tcW w:w="1287"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5</w:t>
            </w:r>
          </w:p>
        </w:tc>
      </w:tr>
      <w:tr w:rsidR="005B12CA" w:rsidRPr="005B12CA" w:rsidTr="00711B86">
        <w:trPr>
          <w:trHeight w:val="20"/>
          <w:jc w:val="center"/>
        </w:trPr>
        <w:tc>
          <w:tcPr>
            <w:tcW w:w="3690" w:type="dxa"/>
            <w:gridSpan w:val="2"/>
            <w:vMerge/>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b/>
                <w:sz w:val="16"/>
                <w:szCs w:val="16"/>
                <w:lang w:val="es-ES" w:eastAsia="es-ES"/>
              </w:rPr>
            </w:pPr>
          </w:p>
        </w:tc>
        <w:tc>
          <w:tcPr>
            <w:tcW w:w="2430"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Social</w:t>
            </w:r>
          </w:p>
        </w:tc>
        <w:tc>
          <w:tcPr>
            <w:tcW w:w="1287"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w:t>
            </w:r>
          </w:p>
        </w:tc>
      </w:tr>
      <w:tr w:rsidR="005B12CA" w:rsidRPr="005B12CA" w:rsidTr="00711B86">
        <w:trPr>
          <w:trHeight w:val="20"/>
          <w:jc w:val="center"/>
        </w:trPr>
        <w:tc>
          <w:tcPr>
            <w:tcW w:w="3690" w:type="dxa"/>
            <w:gridSpan w:val="2"/>
            <w:shd w:val="clear" w:color="auto" w:fill="A6A6A6" w:themeFill="background1" w:themeFillShade="A6"/>
          </w:tcPr>
          <w:p w:rsidR="005B12CA" w:rsidRPr="005B12CA" w:rsidRDefault="00711B86" w:rsidP="00711B86">
            <w:pPr>
              <w:spacing w:line="232" w:lineRule="exact"/>
              <w:jc w:val="center"/>
              <w:rPr>
                <w:rFonts w:ascii="Arial" w:eastAsia="Times New Roman" w:hAnsi="Arial" w:cs="Arial"/>
                <w:b/>
                <w:sz w:val="16"/>
                <w:szCs w:val="16"/>
                <w:lang w:val="es-ES" w:eastAsia="es-ES"/>
              </w:rPr>
            </w:pPr>
            <w:r>
              <w:rPr>
                <w:rFonts w:ascii="Arial" w:eastAsia="Times New Roman" w:hAnsi="Arial" w:cs="Arial"/>
                <w:b/>
                <w:sz w:val="16"/>
                <w:szCs w:val="16"/>
                <w:lang w:val="es-ES" w:eastAsia="es-ES"/>
              </w:rPr>
              <w:t>.</w:t>
            </w:r>
          </w:p>
        </w:tc>
        <w:tc>
          <w:tcPr>
            <w:tcW w:w="2430"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No Especifica</w:t>
            </w:r>
          </w:p>
        </w:tc>
        <w:tc>
          <w:tcPr>
            <w:tcW w:w="1287"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2</w:t>
            </w:r>
          </w:p>
        </w:tc>
      </w:tr>
      <w:tr w:rsidR="005B12CA" w:rsidRPr="005B12CA" w:rsidTr="00711B86">
        <w:trPr>
          <w:trHeight w:val="20"/>
          <w:jc w:val="center"/>
        </w:trPr>
        <w:tc>
          <w:tcPr>
            <w:tcW w:w="1538" w:type="dxa"/>
            <w:vMerge w:val="restart"/>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b/>
                <w:sz w:val="16"/>
                <w:szCs w:val="16"/>
                <w:lang w:val="es-ES" w:eastAsia="es-ES"/>
              </w:rPr>
              <w:t>Radiodifusión</w:t>
            </w:r>
          </w:p>
        </w:tc>
        <w:tc>
          <w:tcPr>
            <w:tcW w:w="2152" w:type="dxa"/>
            <w:vMerge w:val="restart"/>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TDT</w:t>
            </w:r>
          </w:p>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(Televisión Digital Terrestre)</w:t>
            </w:r>
          </w:p>
        </w:tc>
        <w:tc>
          <w:tcPr>
            <w:tcW w:w="2430"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Comercial</w:t>
            </w:r>
          </w:p>
        </w:tc>
        <w:tc>
          <w:tcPr>
            <w:tcW w:w="1287"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3</w:t>
            </w:r>
          </w:p>
        </w:tc>
      </w:tr>
      <w:tr w:rsidR="005B12CA" w:rsidRPr="005B12CA" w:rsidTr="00711B86">
        <w:trPr>
          <w:trHeight w:val="20"/>
          <w:jc w:val="center"/>
        </w:trPr>
        <w:tc>
          <w:tcPr>
            <w:tcW w:w="1538" w:type="dxa"/>
            <w:vMerge/>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b/>
                <w:sz w:val="16"/>
                <w:szCs w:val="16"/>
                <w:lang w:val="es-ES" w:eastAsia="es-ES"/>
              </w:rPr>
            </w:pPr>
          </w:p>
        </w:tc>
        <w:tc>
          <w:tcPr>
            <w:tcW w:w="2152" w:type="dxa"/>
            <w:vMerge/>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b/>
                <w:sz w:val="16"/>
                <w:szCs w:val="16"/>
                <w:lang w:val="es-ES" w:eastAsia="es-ES"/>
              </w:rPr>
            </w:pPr>
          </w:p>
        </w:tc>
        <w:tc>
          <w:tcPr>
            <w:tcW w:w="2430"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Público</w:t>
            </w:r>
          </w:p>
        </w:tc>
        <w:tc>
          <w:tcPr>
            <w:tcW w:w="1287"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80</w:t>
            </w:r>
          </w:p>
        </w:tc>
      </w:tr>
      <w:tr w:rsidR="005B12CA" w:rsidRPr="005B12CA" w:rsidTr="00711B86">
        <w:trPr>
          <w:trHeight w:val="20"/>
          <w:jc w:val="center"/>
        </w:trPr>
        <w:tc>
          <w:tcPr>
            <w:tcW w:w="1538" w:type="dxa"/>
            <w:vMerge/>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b/>
                <w:sz w:val="16"/>
                <w:szCs w:val="16"/>
                <w:lang w:val="es-ES" w:eastAsia="es-ES"/>
              </w:rPr>
            </w:pPr>
          </w:p>
        </w:tc>
        <w:tc>
          <w:tcPr>
            <w:tcW w:w="2152" w:type="dxa"/>
            <w:vMerge/>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b/>
                <w:sz w:val="16"/>
                <w:szCs w:val="16"/>
                <w:lang w:val="es-ES" w:eastAsia="es-ES"/>
              </w:rPr>
            </w:pPr>
          </w:p>
        </w:tc>
        <w:tc>
          <w:tcPr>
            <w:tcW w:w="2430"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Social</w:t>
            </w:r>
          </w:p>
        </w:tc>
        <w:tc>
          <w:tcPr>
            <w:tcW w:w="1287"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6</w:t>
            </w:r>
          </w:p>
        </w:tc>
      </w:tr>
      <w:tr w:rsidR="005B12CA" w:rsidRPr="005B12CA" w:rsidTr="00711B86">
        <w:trPr>
          <w:trHeight w:val="20"/>
          <w:jc w:val="center"/>
        </w:trPr>
        <w:tc>
          <w:tcPr>
            <w:tcW w:w="1538" w:type="dxa"/>
            <w:vMerge/>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b/>
                <w:sz w:val="16"/>
                <w:szCs w:val="16"/>
                <w:lang w:val="es-ES" w:eastAsia="es-ES"/>
              </w:rPr>
            </w:pPr>
          </w:p>
        </w:tc>
        <w:tc>
          <w:tcPr>
            <w:tcW w:w="2152" w:type="dxa"/>
            <w:vMerge w:val="restart"/>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FM</w:t>
            </w:r>
          </w:p>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(Frecuencia Modulada)</w:t>
            </w:r>
          </w:p>
        </w:tc>
        <w:tc>
          <w:tcPr>
            <w:tcW w:w="2430"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Comercial</w:t>
            </w:r>
          </w:p>
        </w:tc>
        <w:tc>
          <w:tcPr>
            <w:tcW w:w="1287"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479</w:t>
            </w:r>
          </w:p>
        </w:tc>
      </w:tr>
      <w:tr w:rsidR="005B12CA" w:rsidRPr="005B12CA" w:rsidTr="00711B86">
        <w:trPr>
          <w:trHeight w:val="20"/>
          <w:jc w:val="center"/>
        </w:trPr>
        <w:tc>
          <w:tcPr>
            <w:tcW w:w="1538" w:type="dxa"/>
            <w:vMerge/>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b/>
                <w:sz w:val="16"/>
                <w:szCs w:val="16"/>
                <w:lang w:val="es-ES" w:eastAsia="es-ES"/>
              </w:rPr>
            </w:pPr>
          </w:p>
        </w:tc>
        <w:tc>
          <w:tcPr>
            <w:tcW w:w="2152" w:type="dxa"/>
            <w:vMerge/>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b/>
                <w:sz w:val="16"/>
                <w:szCs w:val="16"/>
                <w:lang w:val="es-ES" w:eastAsia="es-ES"/>
              </w:rPr>
            </w:pPr>
          </w:p>
        </w:tc>
        <w:tc>
          <w:tcPr>
            <w:tcW w:w="2430"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Público</w:t>
            </w:r>
          </w:p>
        </w:tc>
        <w:tc>
          <w:tcPr>
            <w:tcW w:w="1287"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99</w:t>
            </w:r>
          </w:p>
        </w:tc>
      </w:tr>
      <w:tr w:rsidR="005B12CA" w:rsidRPr="005B12CA" w:rsidTr="00711B86">
        <w:trPr>
          <w:trHeight w:val="20"/>
          <w:jc w:val="center"/>
        </w:trPr>
        <w:tc>
          <w:tcPr>
            <w:tcW w:w="1538" w:type="dxa"/>
            <w:vMerge/>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b/>
                <w:sz w:val="16"/>
                <w:szCs w:val="16"/>
                <w:lang w:val="es-ES" w:eastAsia="es-ES"/>
              </w:rPr>
            </w:pPr>
          </w:p>
        </w:tc>
        <w:tc>
          <w:tcPr>
            <w:tcW w:w="2152" w:type="dxa"/>
            <w:vMerge/>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b/>
                <w:sz w:val="16"/>
                <w:szCs w:val="16"/>
                <w:lang w:val="es-ES" w:eastAsia="es-ES"/>
              </w:rPr>
            </w:pPr>
          </w:p>
        </w:tc>
        <w:tc>
          <w:tcPr>
            <w:tcW w:w="2430"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Social</w:t>
            </w:r>
          </w:p>
        </w:tc>
        <w:tc>
          <w:tcPr>
            <w:tcW w:w="1287"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152</w:t>
            </w:r>
          </w:p>
        </w:tc>
      </w:tr>
      <w:tr w:rsidR="005B12CA" w:rsidRPr="005B12CA" w:rsidTr="00711B86">
        <w:trPr>
          <w:trHeight w:val="20"/>
          <w:jc w:val="center"/>
        </w:trPr>
        <w:tc>
          <w:tcPr>
            <w:tcW w:w="1538" w:type="dxa"/>
            <w:vMerge/>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b/>
                <w:sz w:val="16"/>
                <w:szCs w:val="16"/>
                <w:lang w:val="es-ES" w:eastAsia="es-ES"/>
              </w:rPr>
            </w:pPr>
          </w:p>
        </w:tc>
        <w:tc>
          <w:tcPr>
            <w:tcW w:w="2152" w:type="dxa"/>
            <w:vMerge/>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b/>
                <w:sz w:val="16"/>
                <w:szCs w:val="16"/>
                <w:lang w:val="es-ES" w:eastAsia="es-ES"/>
              </w:rPr>
            </w:pPr>
          </w:p>
        </w:tc>
        <w:tc>
          <w:tcPr>
            <w:tcW w:w="2430"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Privado</w:t>
            </w:r>
          </w:p>
        </w:tc>
        <w:tc>
          <w:tcPr>
            <w:tcW w:w="1287"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w:t>
            </w:r>
          </w:p>
        </w:tc>
      </w:tr>
      <w:tr w:rsidR="005B12CA" w:rsidRPr="005B12CA" w:rsidTr="00711B86">
        <w:trPr>
          <w:trHeight w:val="20"/>
          <w:jc w:val="center"/>
        </w:trPr>
        <w:tc>
          <w:tcPr>
            <w:tcW w:w="1538" w:type="dxa"/>
            <w:vMerge/>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b/>
                <w:sz w:val="16"/>
                <w:szCs w:val="16"/>
                <w:lang w:val="es-ES" w:eastAsia="es-ES"/>
              </w:rPr>
            </w:pPr>
          </w:p>
        </w:tc>
        <w:tc>
          <w:tcPr>
            <w:tcW w:w="2152" w:type="dxa"/>
            <w:vMerge/>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b/>
                <w:sz w:val="16"/>
                <w:szCs w:val="16"/>
                <w:lang w:val="es-ES" w:eastAsia="es-ES"/>
              </w:rPr>
            </w:pPr>
          </w:p>
        </w:tc>
        <w:tc>
          <w:tcPr>
            <w:tcW w:w="2430"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No Especifica</w:t>
            </w:r>
          </w:p>
        </w:tc>
        <w:tc>
          <w:tcPr>
            <w:tcW w:w="1287"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w:t>
            </w:r>
          </w:p>
        </w:tc>
      </w:tr>
      <w:tr w:rsidR="005B12CA" w:rsidRPr="005B12CA" w:rsidTr="00711B86">
        <w:trPr>
          <w:trHeight w:val="20"/>
          <w:jc w:val="center"/>
        </w:trPr>
        <w:tc>
          <w:tcPr>
            <w:tcW w:w="1538" w:type="dxa"/>
            <w:vMerge/>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b/>
                <w:sz w:val="16"/>
                <w:szCs w:val="16"/>
                <w:lang w:val="es-ES" w:eastAsia="es-ES"/>
              </w:rPr>
            </w:pPr>
          </w:p>
        </w:tc>
        <w:tc>
          <w:tcPr>
            <w:tcW w:w="2152" w:type="dxa"/>
            <w:vMerge w:val="restart"/>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AM</w:t>
            </w:r>
          </w:p>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(Amplitud Modulada)</w:t>
            </w:r>
          </w:p>
        </w:tc>
        <w:tc>
          <w:tcPr>
            <w:tcW w:w="2430"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Comercial</w:t>
            </w:r>
          </w:p>
        </w:tc>
        <w:tc>
          <w:tcPr>
            <w:tcW w:w="1287"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43</w:t>
            </w:r>
          </w:p>
        </w:tc>
      </w:tr>
      <w:tr w:rsidR="005B12CA" w:rsidRPr="005B12CA" w:rsidTr="00711B86">
        <w:trPr>
          <w:trHeight w:val="20"/>
          <w:jc w:val="center"/>
        </w:trPr>
        <w:tc>
          <w:tcPr>
            <w:tcW w:w="1538" w:type="dxa"/>
            <w:vMerge/>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b/>
                <w:sz w:val="16"/>
                <w:szCs w:val="16"/>
                <w:lang w:val="es-ES" w:eastAsia="es-ES"/>
              </w:rPr>
            </w:pPr>
          </w:p>
        </w:tc>
        <w:tc>
          <w:tcPr>
            <w:tcW w:w="2152" w:type="dxa"/>
            <w:vMerge/>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b/>
                <w:sz w:val="16"/>
                <w:szCs w:val="16"/>
                <w:lang w:val="es-ES" w:eastAsia="es-ES"/>
              </w:rPr>
            </w:pPr>
          </w:p>
        </w:tc>
        <w:tc>
          <w:tcPr>
            <w:tcW w:w="2430"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Público</w:t>
            </w:r>
          </w:p>
        </w:tc>
        <w:tc>
          <w:tcPr>
            <w:tcW w:w="1287"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4</w:t>
            </w:r>
          </w:p>
        </w:tc>
      </w:tr>
      <w:tr w:rsidR="005B12CA" w:rsidRPr="005B12CA" w:rsidTr="00711B86">
        <w:trPr>
          <w:trHeight w:val="20"/>
          <w:jc w:val="center"/>
        </w:trPr>
        <w:tc>
          <w:tcPr>
            <w:tcW w:w="1538" w:type="dxa"/>
            <w:vMerge/>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b/>
                <w:sz w:val="16"/>
                <w:szCs w:val="16"/>
                <w:lang w:val="es-ES" w:eastAsia="es-ES"/>
              </w:rPr>
            </w:pPr>
          </w:p>
        </w:tc>
        <w:tc>
          <w:tcPr>
            <w:tcW w:w="2152" w:type="dxa"/>
            <w:vMerge/>
            <w:shd w:val="clear" w:color="auto" w:fill="A6A6A6" w:themeFill="background1" w:themeFillShade="A6"/>
          </w:tcPr>
          <w:p w:rsidR="005B12CA" w:rsidRPr="005B12CA" w:rsidRDefault="005B12CA" w:rsidP="00711B86">
            <w:pPr>
              <w:spacing w:line="232" w:lineRule="exact"/>
              <w:jc w:val="center"/>
              <w:rPr>
                <w:rFonts w:ascii="Arial" w:eastAsia="Times New Roman" w:hAnsi="Arial" w:cs="Arial"/>
                <w:b/>
                <w:sz w:val="16"/>
                <w:szCs w:val="16"/>
                <w:lang w:val="es-ES" w:eastAsia="es-ES"/>
              </w:rPr>
            </w:pPr>
          </w:p>
        </w:tc>
        <w:tc>
          <w:tcPr>
            <w:tcW w:w="2430"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Social</w:t>
            </w:r>
          </w:p>
        </w:tc>
        <w:tc>
          <w:tcPr>
            <w:tcW w:w="1287" w:type="dxa"/>
          </w:tcPr>
          <w:p w:rsidR="005B12CA" w:rsidRPr="005B12CA" w:rsidRDefault="005B12CA" w:rsidP="00711B86">
            <w:pPr>
              <w:spacing w:line="232"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16</w:t>
            </w:r>
          </w:p>
        </w:tc>
      </w:tr>
    </w:tbl>
    <w:p w:rsidR="005B12CA" w:rsidRPr="005B12CA" w:rsidRDefault="005B12CA" w:rsidP="004A714B">
      <w:pPr>
        <w:tabs>
          <w:tab w:val="left" w:pos="720"/>
        </w:tabs>
        <w:spacing w:before="240" w:after="101" w:line="232" w:lineRule="exact"/>
        <w:ind w:left="720" w:hanging="432"/>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ab/>
        <w:t>Cabe señalar que en la valoración de las solicitudes de inclusión de bandas de frecuencias éstas fueron tomadas en cuenta únicamente para determinar las frecuencias o bandas de frecuencias a incluirse en el Programa 2017 con sus modificaciones, por lo cual no implican por sí mismas una solicitud de concesión, ni el otorgamiento de un título de concesión o una preferencia para la obtención del mismo. Para tal efecto, deberán observarse los requisitos que exige la normatividad aplicable, así como los plazos establecidos en el Programa 2017 con sus modificaciones.</w:t>
      </w:r>
    </w:p>
    <w:p w:rsidR="005B12CA" w:rsidRPr="005B12CA" w:rsidRDefault="005B12CA" w:rsidP="005B12CA">
      <w:pPr>
        <w:tabs>
          <w:tab w:val="left" w:pos="720"/>
        </w:tabs>
        <w:spacing w:after="101" w:line="232" w:lineRule="exact"/>
        <w:ind w:left="720" w:hanging="432"/>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ab/>
        <w:t xml:space="preserve">La valoración de las solicitudes referidas, realizadas por </w:t>
      </w:r>
      <w:smartTag w:uri="urn:schemas-microsoft-com:office:smarttags" w:element="PersonName">
        <w:smartTagPr>
          <w:attr w:name="ProductID" w:val="la Unidad"/>
        </w:smartTagPr>
        <w:r w:rsidRPr="005B12CA">
          <w:rPr>
            <w:rFonts w:ascii="Arial" w:eastAsia="Times New Roman" w:hAnsi="Arial" w:cs="Arial"/>
            <w:sz w:val="18"/>
            <w:szCs w:val="18"/>
            <w:lang w:val="es-ES" w:eastAsia="es-ES"/>
          </w:rPr>
          <w:t>la Unidad</w:t>
        </w:r>
      </w:smartTag>
      <w:r w:rsidRPr="005B12CA">
        <w:rPr>
          <w:rFonts w:ascii="Arial" w:eastAsia="Times New Roman" w:hAnsi="Arial" w:cs="Arial"/>
          <w:sz w:val="18"/>
          <w:szCs w:val="18"/>
          <w:lang w:val="es-ES" w:eastAsia="es-ES"/>
        </w:rPr>
        <w:t xml:space="preserve"> de Espectro Radioeléctrico del Instituto, se encuentra contenida en el </w:t>
      </w:r>
      <w:r w:rsidRPr="005B12CA">
        <w:rPr>
          <w:rFonts w:ascii="Arial" w:eastAsia="Times New Roman" w:hAnsi="Arial" w:cs="Arial"/>
          <w:b/>
          <w:sz w:val="18"/>
          <w:szCs w:val="18"/>
          <w:lang w:val="es-ES" w:eastAsia="es-ES"/>
        </w:rPr>
        <w:t>Anexo Dos</w:t>
      </w:r>
      <w:r w:rsidRPr="005B12CA">
        <w:rPr>
          <w:rFonts w:ascii="Arial" w:eastAsia="Times New Roman" w:hAnsi="Arial" w:cs="Arial"/>
          <w:sz w:val="18"/>
          <w:szCs w:val="18"/>
          <w:lang w:val="es-ES" w:eastAsia="es-ES"/>
        </w:rPr>
        <w:t xml:space="preserve"> del presente Acuerdo, el cual forma parte integral del mismo.</w:t>
      </w:r>
    </w:p>
    <w:p w:rsidR="005B12CA" w:rsidRPr="005B12CA" w:rsidRDefault="005B12CA" w:rsidP="005B12CA">
      <w:pPr>
        <w:tabs>
          <w:tab w:val="left" w:pos="720"/>
        </w:tabs>
        <w:spacing w:after="101" w:line="232" w:lineRule="exact"/>
        <w:ind w:left="720" w:hanging="432"/>
        <w:jc w:val="both"/>
        <w:rPr>
          <w:rFonts w:ascii="Arial" w:eastAsia="Times New Roman" w:hAnsi="Arial" w:cs="Arial"/>
          <w:b/>
          <w:sz w:val="18"/>
          <w:szCs w:val="18"/>
          <w:lang w:val="es-ES" w:eastAsia="es-ES"/>
        </w:rPr>
      </w:pPr>
      <w:r w:rsidRPr="005B12CA">
        <w:rPr>
          <w:rFonts w:ascii="Arial" w:eastAsia="Times New Roman" w:hAnsi="Arial" w:cs="Arial"/>
          <w:b/>
          <w:sz w:val="18"/>
          <w:szCs w:val="18"/>
          <w:lang w:val="es-ES" w:eastAsia="es-ES"/>
        </w:rPr>
        <w:t>II.</w:t>
      </w:r>
      <w:r w:rsidRPr="005B12CA">
        <w:rPr>
          <w:rFonts w:ascii="Arial" w:eastAsia="Times New Roman" w:hAnsi="Arial" w:cs="Arial"/>
          <w:b/>
          <w:sz w:val="18"/>
          <w:szCs w:val="18"/>
          <w:lang w:val="es-ES" w:eastAsia="es-ES"/>
        </w:rPr>
        <w:tab/>
        <w:t>Propiciar el uso eficiente del espectro radioeléctrico, beneficio del público usuario, desarrollo de la competencia y diversidad e introducción de nuevos servicios de telecomunicaciones y radiodifusión.</w:t>
      </w:r>
    </w:p>
    <w:p w:rsidR="005B12CA" w:rsidRPr="005B12CA" w:rsidRDefault="005B12CA" w:rsidP="005B12CA">
      <w:pPr>
        <w:tabs>
          <w:tab w:val="left" w:pos="720"/>
        </w:tabs>
        <w:spacing w:after="101" w:line="232" w:lineRule="exact"/>
        <w:ind w:left="720" w:hanging="432"/>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ab/>
        <w:t>Con la finalidad de acceder a recursos informativos de diversa índole y de promover el desarrollo social, económico y cultural del público en general, los países requieren de una infraestructura que promueva la conectividad y el acceso a diferentes servicios de telecomunicaciones y radiodifusión.</w:t>
      </w:r>
    </w:p>
    <w:p w:rsidR="005B12CA" w:rsidRPr="005B12CA" w:rsidRDefault="005B12CA" w:rsidP="005B12CA">
      <w:pPr>
        <w:tabs>
          <w:tab w:val="left" w:pos="720"/>
        </w:tabs>
        <w:spacing w:after="101" w:line="232" w:lineRule="exact"/>
        <w:ind w:left="720" w:hanging="432"/>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ab/>
        <w:t>Particularmente, en lo tocante a los servicios referidos en el párrafo anterior, es de vital relevancia facilitar el acceso al espectro radioeléctrico, al tratarse de un insumo esencial que debe ser utilizado de la forma más efectiva y eficiente posible.</w:t>
      </w:r>
    </w:p>
    <w:p w:rsidR="005B12CA" w:rsidRPr="005B12CA" w:rsidRDefault="005B12CA" w:rsidP="005B12CA">
      <w:pPr>
        <w:tabs>
          <w:tab w:val="left" w:pos="720"/>
        </w:tabs>
        <w:spacing w:after="101" w:line="232" w:lineRule="exact"/>
        <w:ind w:left="720" w:hanging="432"/>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ab/>
        <w:t>El incremento progresivo en la demanda de conectividad y acceso a servicios de telecomunicaciones y radiodifusión propicia el desarrollo de nuevas tecnologías que hacen uso del espectro, por lo cual es indispensable contar con los recursos espectrales suficientes que permitan satisfacer dicha demanda, mediante la ejecución de acciones y procedimientos que deriven en una adecuada gestión y administración de dicho recurso natural.</w:t>
      </w:r>
    </w:p>
    <w:p w:rsidR="005B12CA" w:rsidRPr="005B12CA" w:rsidRDefault="005B12CA" w:rsidP="005B12CA">
      <w:pPr>
        <w:tabs>
          <w:tab w:val="left" w:pos="720"/>
        </w:tabs>
        <w:spacing w:after="101" w:line="232" w:lineRule="exact"/>
        <w:ind w:left="720" w:hanging="432"/>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ab/>
        <w:t xml:space="preserve">Con el </w:t>
      </w:r>
      <w:proofErr w:type="spellStart"/>
      <w:r w:rsidRPr="005B12CA">
        <w:rPr>
          <w:rFonts w:ascii="Arial" w:eastAsia="Times New Roman" w:hAnsi="Arial" w:cs="Arial"/>
          <w:sz w:val="18"/>
          <w:szCs w:val="18"/>
          <w:lang w:val="es-ES" w:eastAsia="es-ES"/>
        </w:rPr>
        <w:t>concesionamiento</w:t>
      </w:r>
      <w:proofErr w:type="spellEnd"/>
      <w:r w:rsidRPr="005B12CA">
        <w:rPr>
          <w:rFonts w:ascii="Arial" w:eastAsia="Times New Roman" w:hAnsi="Arial" w:cs="Arial"/>
          <w:sz w:val="18"/>
          <w:szCs w:val="18"/>
          <w:lang w:val="es-ES" w:eastAsia="es-ES"/>
        </w:rPr>
        <w:t xml:space="preserve"> de bandas de frecuencias del espectro radioeléctrico se pretende que los interesados en obtener una concesión encuentren la posibilidad de realizar las inversiones y acciones </w:t>
      </w:r>
      <w:r w:rsidRPr="005B12CA">
        <w:rPr>
          <w:rFonts w:ascii="Arial" w:eastAsia="Times New Roman" w:hAnsi="Arial" w:cs="Arial"/>
          <w:sz w:val="18"/>
          <w:szCs w:val="18"/>
          <w:lang w:val="es-ES" w:eastAsia="es-ES"/>
        </w:rPr>
        <w:lastRenderedPageBreak/>
        <w:t>necesarias para el despliegue de infraestructura de telecomunicaciones y radiodifusión, de tal manera que se ofrezcan servicios a la sociedad en las condiciones que aseguren el uso apropiado del recurso espectral.</w:t>
      </w:r>
    </w:p>
    <w:p w:rsidR="005B12CA" w:rsidRPr="005B12CA" w:rsidRDefault="005B12CA" w:rsidP="005B12CA">
      <w:pPr>
        <w:tabs>
          <w:tab w:val="left" w:pos="720"/>
        </w:tabs>
        <w:spacing w:after="101" w:line="232" w:lineRule="exact"/>
        <w:ind w:left="720" w:hanging="432"/>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ab/>
        <w:t>El Programa 2017 con sus modificaciones pretende contribuir a la creación de mayor infraestructura para ampliar la cobertura y mejorar la calidad de los servicios públicos de telecomunicaciones y de radiodifusión. Asimismo, a través de la inclusión de bandas de frecuencias en el Programa 2017 con sus modificaciones, se busca propiciar que la eficiencia en el uso y explotación del espectro radioeléctrico se oriente a otorgar el máximo beneficio a los usuarios finales de los servicios de telecomunicaciones y radiodifusión, al menor costo posible para ellos, atendiendo necesidades  de demanda, cobertura y calidad.</w:t>
      </w:r>
    </w:p>
    <w:p w:rsidR="005B12CA" w:rsidRPr="005B12CA" w:rsidRDefault="005B12CA" w:rsidP="005B12CA">
      <w:pPr>
        <w:tabs>
          <w:tab w:val="left" w:pos="720"/>
        </w:tabs>
        <w:spacing w:after="101" w:line="232" w:lineRule="exact"/>
        <w:ind w:left="720" w:hanging="432"/>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ab/>
        <w:t>Por otro lado, se pretende que los recursos espectrales que se hagan disponibles con la ejecución del Programa 2017 con sus modificaciones contribuyan a la eliminación de barreras a la competencia y la libre concurrencia, al dar acceso a un insumo esencial en los sectores de telecomunicaciones y de radiodifusión, así como a promover la diversidad y pluralidad de la información radiodifundida, de modo que actores sociales y públicos puedan también divulgar contenidos radiofónicos o audiovisuales de carácter educativo, científico, cultural, comunitario o de pueblos indígenas, diversificando las voces que se radiodifunden y abriendo la puerta a nuevas redes de telecomunicaciones que, sin fines de lucro, conecten o comuniquen a universidades, comunidades o pueblos indígenas, contribuyendo a su desarrollo y su acceso a la sociedad de la información.</w:t>
      </w:r>
    </w:p>
    <w:p w:rsidR="005B12CA" w:rsidRPr="005B12CA" w:rsidRDefault="005B12CA" w:rsidP="005B12CA">
      <w:pPr>
        <w:tabs>
          <w:tab w:val="left" w:pos="720"/>
        </w:tabs>
        <w:spacing w:after="101" w:line="232" w:lineRule="exact"/>
        <w:ind w:left="720" w:hanging="432"/>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ab/>
        <w:t>La previsión de bandas de frecuencias permite al Estado que la sociedad tenga la posibilidad de contar con mayor disponibilidad espectral, lo que en el caso de radiodifusión podría traducirse en una mayor diversidad y pluralidad de contenidos. Dicho de otro modo, el Estado debe velar por la adecuada utilización de las bandas de frecuencia del espectro radioeléctrico para la prestación de los servicios públicos de interés general de telecomunicaciones y radiodifusión, a través de disposiciones que garanticen su uso, aprovechamiento y/o explotación de manera racional, equitativa, eficaz y eficiente.</w:t>
      </w:r>
    </w:p>
    <w:p w:rsidR="005B12CA" w:rsidRPr="005B12CA" w:rsidRDefault="005B12CA" w:rsidP="005B12CA">
      <w:pPr>
        <w:tabs>
          <w:tab w:val="left" w:pos="720"/>
        </w:tabs>
        <w:spacing w:after="101" w:line="232" w:lineRule="exact"/>
        <w:ind w:left="720" w:hanging="432"/>
        <w:jc w:val="both"/>
        <w:rPr>
          <w:rFonts w:ascii="Arial" w:eastAsia="Times New Roman" w:hAnsi="Arial" w:cs="Arial"/>
          <w:sz w:val="18"/>
          <w:szCs w:val="18"/>
          <w:lang w:val="es-ES_tradnl" w:eastAsia="es-ES"/>
        </w:rPr>
      </w:pPr>
      <w:r w:rsidRPr="005B12CA">
        <w:rPr>
          <w:rFonts w:ascii="Arial" w:eastAsia="Times New Roman" w:hAnsi="Arial" w:cs="Arial"/>
          <w:sz w:val="18"/>
          <w:szCs w:val="18"/>
          <w:lang w:val="es-ES_tradnl" w:eastAsia="es-ES"/>
        </w:rPr>
        <w:tab/>
        <w:t xml:space="preserve">Ahora bien, con el objeto de propiciar una mayor eficiencia en el uso del espectro radioeléctrico, así como mejorar la calidad en la prestación del servicio público de radiodifusión sonora, el Instituto buscará privilegiar la implementación de la transición de la radiodifusión sonora analógica a la digital. Es pertinente mencionar que </w:t>
      </w:r>
      <w:smartTag w:uri="urn:schemas-microsoft-com:office:smarttags" w:element="PersonName">
        <w:smartTagPr>
          <w:attr w:name="ProductID" w:val="la Disposici￳n T￩cnica"/>
        </w:smartTagPr>
        <w:r w:rsidRPr="005B12CA">
          <w:rPr>
            <w:rFonts w:ascii="Arial" w:eastAsia="Times New Roman" w:hAnsi="Arial" w:cs="Arial"/>
            <w:sz w:val="18"/>
            <w:szCs w:val="18"/>
            <w:lang w:val="es-ES_tradnl" w:eastAsia="es-ES"/>
          </w:rPr>
          <w:t>la Disposición Técnica</w:t>
        </w:r>
      </w:smartTag>
      <w:r w:rsidRPr="005B12CA">
        <w:rPr>
          <w:rFonts w:ascii="Arial" w:eastAsia="Times New Roman" w:hAnsi="Arial" w:cs="Arial"/>
          <w:sz w:val="18"/>
          <w:szCs w:val="18"/>
          <w:lang w:val="es-ES_tradnl" w:eastAsia="es-ES"/>
        </w:rPr>
        <w:t xml:space="preserve"> IFT-002-2016 contempla parámetros técnicos para la operación de estaciones híbridas (analógica/digital) y su convivencia con las estaciones meramente analógicas, proporcionando así certidumbre técnica y jurídica a las mismas.</w:t>
      </w:r>
    </w:p>
    <w:p w:rsidR="005B12CA" w:rsidRPr="005B12CA" w:rsidRDefault="005B12CA" w:rsidP="005B12CA">
      <w:pPr>
        <w:tabs>
          <w:tab w:val="left" w:pos="720"/>
        </w:tabs>
        <w:spacing w:after="101" w:line="232" w:lineRule="exact"/>
        <w:ind w:left="720" w:hanging="432"/>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ab/>
        <w:t>De todo lo anterior se desprende que las diferentes medidas que buscan la suficiencia de espectro radioeléctrico son piedra angular para el despliegue de redes inalámbricas y de sistemas de radiodifusión capaces de proveer tanto servicios tradicionales, como de nueva generación; de tal forma que dichos servicios se encuentren al alcance de una mayor parte de la población en un ambiente de competencia y calidad.</w:t>
      </w:r>
    </w:p>
    <w:p w:rsidR="005B12CA" w:rsidRPr="005B12CA" w:rsidRDefault="005B12CA" w:rsidP="005B12CA">
      <w:pPr>
        <w:tabs>
          <w:tab w:val="left" w:pos="720"/>
        </w:tabs>
        <w:spacing w:after="101" w:line="232" w:lineRule="exact"/>
        <w:ind w:left="720" w:hanging="432"/>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ab/>
        <w:t>Por otra parte, el Instituto, en el ejercicio de sus facultades en materia de competencia, al analizar solicitudes que involucran derechos de uso de espectro radioeléctrico para usos comerciales en la prestación de servicios de radiodifusión sonora en FM, ha identificado localidades adicionales a las originalmente previstas en el Programa 2017 en las que existe disponibilidad espectral y que su inclusión en el Programa 2017 con sus modificaciones favorecerán la eliminación de barreras a la entrada de nuevos participantes y a la expansión de los ya establecidos, que favorezcan el fortalecimiento de condiciones de competencia en la provisión del servicio de radiodifusión sonora para usos comerciales.</w:t>
      </w:r>
    </w:p>
    <w:p w:rsidR="005B12CA" w:rsidRPr="005B12CA" w:rsidRDefault="005B12CA" w:rsidP="005B12CA">
      <w:pPr>
        <w:tabs>
          <w:tab w:val="left" w:pos="720"/>
        </w:tabs>
        <w:spacing w:after="101" w:line="232" w:lineRule="exact"/>
        <w:ind w:left="720" w:hanging="432"/>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ab/>
        <w:t>Esta determinación se basa en la información disponible de los niveles de acumulación de frecuencias en esas localidades, conforme a las siguientes consideraciones:</w:t>
      </w:r>
    </w:p>
    <w:p w:rsidR="005B12CA" w:rsidRPr="005B12CA" w:rsidRDefault="005B12CA" w:rsidP="00192567">
      <w:pPr>
        <w:numPr>
          <w:ilvl w:val="0"/>
          <w:numId w:val="1"/>
        </w:numPr>
        <w:spacing w:after="101" w:line="240" w:lineRule="exact"/>
        <w:ind w:left="1080"/>
        <w:jc w:val="both"/>
        <w:rPr>
          <w:rFonts w:ascii="Arial" w:eastAsia="Times New Roman" w:hAnsi="Arial" w:cs="Arial"/>
          <w:sz w:val="18"/>
          <w:szCs w:val="20"/>
          <w:lang w:val="es-ES" w:eastAsia="es-ES"/>
        </w:rPr>
      </w:pPr>
      <w:r w:rsidRPr="005B12CA">
        <w:rPr>
          <w:rFonts w:ascii="Arial" w:eastAsia="Times New Roman" w:hAnsi="Arial" w:cs="Arial"/>
          <w:sz w:val="18"/>
          <w:szCs w:val="20"/>
          <w:lang w:val="es-ES" w:eastAsia="es-ES"/>
        </w:rPr>
        <w:t>La tenencia y acumulación de espectro radioeléctrico se determina por agentes económicos, hasta su dimensión de grupos de interés económico (GIE).</w:t>
      </w:r>
      <w:r w:rsidRPr="005B12CA">
        <w:rPr>
          <w:rFonts w:ascii="Arial" w:eastAsia="Times New Roman" w:hAnsi="Arial" w:cs="Arial"/>
          <w:sz w:val="18"/>
          <w:szCs w:val="20"/>
          <w:vertAlign w:val="superscript"/>
          <w:lang w:val="es-ES" w:eastAsia="es-ES"/>
        </w:rPr>
        <w:footnoteReference w:id="3"/>
      </w:r>
      <w:r w:rsidRPr="005B12CA">
        <w:rPr>
          <w:rFonts w:ascii="Arial" w:eastAsia="Times New Roman" w:hAnsi="Arial" w:cs="Arial"/>
          <w:sz w:val="18"/>
          <w:szCs w:val="20"/>
          <w:lang w:val="es-ES" w:eastAsia="es-ES"/>
        </w:rPr>
        <w:t xml:space="preserve"> En cada una de esas localidades se identifica la existencia de un agente económico que, en términos del número de estaciones supera </w:t>
      </w:r>
      <w:r w:rsidRPr="005B12CA">
        <w:rPr>
          <w:rFonts w:ascii="Arial" w:eastAsia="Times New Roman" w:hAnsi="Arial" w:cs="Arial"/>
          <w:sz w:val="18"/>
          <w:szCs w:val="20"/>
          <w:lang w:val="es-ES" w:eastAsia="es-ES"/>
        </w:rPr>
        <w:lastRenderedPageBreak/>
        <w:t>significativamente la participación de los demás participantes en la localidad, al presentar una participación superior al 35% (treinta y cinco por ciento), además que controla directa y/o indirectamente los niveles de audiencia (share).</w:t>
      </w:r>
      <w:r w:rsidRPr="005B12CA">
        <w:rPr>
          <w:rFonts w:ascii="Arial" w:eastAsia="Times New Roman" w:hAnsi="Arial" w:cs="Arial"/>
          <w:sz w:val="18"/>
          <w:szCs w:val="20"/>
          <w:vertAlign w:val="superscript"/>
          <w:lang w:val="es-ES" w:eastAsia="es-ES"/>
        </w:rPr>
        <w:footnoteReference w:id="4"/>
      </w:r>
    </w:p>
    <w:p w:rsidR="005B12CA" w:rsidRPr="005B12CA" w:rsidRDefault="005B12CA" w:rsidP="00192567">
      <w:pPr>
        <w:numPr>
          <w:ilvl w:val="0"/>
          <w:numId w:val="1"/>
        </w:numPr>
        <w:spacing w:after="101" w:line="240" w:lineRule="exact"/>
        <w:ind w:left="1080"/>
        <w:jc w:val="both"/>
        <w:rPr>
          <w:rFonts w:ascii="Arial" w:eastAsia="Times New Roman" w:hAnsi="Arial" w:cs="Arial"/>
          <w:sz w:val="18"/>
          <w:szCs w:val="20"/>
          <w:lang w:val="es-ES" w:eastAsia="es-ES"/>
        </w:rPr>
      </w:pPr>
      <w:r w:rsidRPr="005B12CA">
        <w:rPr>
          <w:rFonts w:ascii="Arial" w:eastAsia="Times New Roman" w:hAnsi="Arial" w:cs="Arial"/>
          <w:sz w:val="18"/>
          <w:szCs w:val="20"/>
          <w:lang w:val="es-ES" w:eastAsia="es-ES"/>
        </w:rPr>
        <w:t>El número de estaciones constituye un indicador de los niveles de acumulación de espectro radioeléctrico -el insumo que constituye el medio de transmisión- y, en consecuencia, para decidir sobre la inclusión de frecuencias en los programas de uso y aprovechamiento de bandas de frecuencia.</w:t>
      </w:r>
    </w:p>
    <w:p w:rsidR="005B12CA" w:rsidRPr="005B12CA" w:rsidRDefault="005B12CA" w:rsidP="00192567">
      <w:pPr>
        <w:numPr>
          <w:ilvl w:val="0"/>
          <w:numId w:val="1"/>
        </w:numPr>
        <w:spacing w:after="101" w:line="240" w:lineRule="exact"/>
        <w:ind w:left="1080"/>
        <w:jc w:val="both"/>
        <w:rPr>
          <w:rFonts w:ascii="Arial" w:eastAsia="Times New Roman" w:hAnsi="Arial" w:cs="Arial"/>
          <w:sz w:val="18"/>
          <w:szCs w:val="20"/>
          <w:lang w:val="es-ES" w:eastAsia="es-ES"/>
        </w:rPr>
      </w:pPr>
      <w:r w:rsidRPr="005B12CA">
        <w:rPr>
          <w:rFonts w:ascii="Arial" w:eastAsia="Times New Roman" w:hAnsi="Arial" w:cs="Arial"/>
          <w:sz w:val="18"/>
          <w:szCs w:val="20"/>
          <w:lang w:val="es-ES" w:eastAsia="es-ES"/>
        </w:rPr>
        <w:t>Las participaciones medidas en términos de audiencia son indicativas de las condiciones de competencia en los mercados locales donde se ofrecen servicios comerciales. Este indicador permite evaluar los niveles de concentración de los agentes económicos ya establecidos  (i.e. negocios en marcha), por lo que sirve de referencia, pues el efecto de agregar una frecuencia adicional a la oferta de espectro radioeléctrico dependerá del desempeño que el concesionario que, en su caso, la explote tenga en la provisión del servicio.</w:t>
      </w:r>
    </w:p>
    <w:p w:rsidR="005B12CA" w:rsidRPr="005B12CA" w:rsidRDefault="005B12CA" w:rsidP="00192567">
      <w:pPr>
        <w:numPr>
          <w:ilvl w:val="0"/>
          <w:numId w:val="1"/>
        </w:numPr>
        <w:spacing w:after="101" w:line="240" w:lineRule="exact"/>
        <w:ind w:left="1080"/>
        <w:jc w:val="both"/>
        <w:rPr>
          <w:rFonts w:ascii="Arial" w:eastAsia="Times New Roman" w:hAnsi="Arial" w:cs="Arial"/>
          <w:sz w:val="18"/>
          <w:szCs w:val="20"/>
          <w:lang w:val="es-ES" w:eastAsia="es-ES"/>
        </w:rPr>
      </w:pPr>
      <w:r w:rsidRPr="005B12CA">
        <w:rPr>
          <w:rFonts w:ascii="Arial" w:eastAsia="Times New Roman" w:hAnsi="Arial" w:cs="Arial"/>
          <w:sz w:val="18"/>
          <w:szCs w:val="20"/>
          <w:lang w:val="es-ES" w:eastAsia="es-ES"/>
        </w:rPr>
        <w:t xml:space="preserve">Los índices de concentración </w:t>
      </w:r>
      <w:proofErr w:type="spellStart"/>
      <w:r w:rsidRPr="005B12CA">
        <w:rPr>
          <w:rFonts w:ascii="Arial" w:eastAsia="Times New Roman" w:hAnsi="Arial" w:cs="Arial"/>
          <w:sz w:val="18"/>
          <w:szCs w:val="20"/>
          <w:lang w:val="es-ES" w:eastAsia="es-ES"/>
        </w:rPr>
        <w:t>Herfindahl</w:t>
      </w:r>
      <w:proofErr w:type="spellEnd"/>
      <w:r w:rsidRPr="005B12CA">
        <w:rPr>
          <w:rFonts w:ascii="Arial" w:eastAsia="Times New Roman" w:hAnsi="Arial" w:cs="Arial"/>
          <w:sz w:val="18"/>
          <w:szCs w:val="20"/>
          <w:lang w:val="es-ES" w:eastAsia="es-ES"/>
        </w:rPr>
        <w:t xml:space="preserve"> - </w:t>
      </w:r>
      <w:proofErr w:type="spellStart"/>
      <w:r w:rsidRPr="005B12CA">
        <w:rPr>
          <w:rFonts w:ascii="Arial" w:eastAsia="Times New Roman" w:hAnsi="Arial" w:cs="Arial"/>
          <w:sz w:val="18"/>
          <w:szCs w:val="20"/>
          <w:lang w:val="es-ES" w:eastAsia="es-ES"/>
        </w:rPr>
        <w:t>Hirschman</w:t>
      </w:r>
      <w:proofErr w:type="spellEnd"/>
      <w:r w:rsidRPr="005B12CA">
        <w:rPr>
          <w:rFonts w:ascii="Arial" w:eastAsia="Times New Roman" w:hAnsi="Arial" w:cs="Arial"/>
          <w:sz w:val="18"/>
          <w:szCs w:val="20"/>
          <w:lang w:val="es-ES" w:eastAsia="es-ES"/>
        </w:rPr>
        <w:t xml:space="preserve"> (IHH) estimados reportan niveles superiores a los 3,000 (tres mil) puntos que, en la práctica decisoria del Instituto, se consideran indicios de un alto grado de concentración.</w:t>
      </w:r>
      <w:r w:rsidRPr="005B12CA">
        <w:rPr>
          <w:rFonts w:ascii="Arial" w:eastAsia="Times New Roman" w:hAnsi="Arial" w:cs="Arial"/>
          <w:sz w:val="18"/>
          <w:szCs w:val="20"/>
          <w:vertAlign w:val="superscript"/>
          <w:lang w:val="es-ES" w:eastAsia="es-ES"/>
        </w:rPr>
        <w:footnoteReference w:id="5"/>
      </w:r>
    </w:p>
    <w:p w:rsidR="005B12CA" w:rsidRPr="005B12CA" w:rsidRDefault="005B12CA" w:rsidP="00192567">
      <w:pPr>
        <w:numPr>
          <w:ilvl w:val="0"/>
          <w:numId w:val="1"/>
        </w:numPr>
        <w:spacing w:after="101" w:line="240" w:lineRule="exact"/>
        <w:ind w:left="1080"/>
        <w:jc w:val="both"/>
        <w:rPr>
          <w:rFonts w:ascii="Arial" w:eastAsia="Times New Roman" w:hAnsi="Arial" w:cs="Arial"/>
          <w:sz w:val="18"/>
          <w:szCs w:val="20"/>
          <w:lang w:val="es-ES" w:eastAsia="es-ES"/>
        </w:rPr>
      </w:pPr>
      <w:r w:rsidRPr="005B12CA">
        <w:rPr>
          <w:rFonts w:ascii="Arial" w:eastAsia="Times New Roman" w:hAnsi="Arial" w:cs="Arial"/>
          <w:sz w:val="18"/>
          <w:szCs w:val="20"/>
          <w:lang w:val="es-ES" w:eastAsia="es-ES"/>
        </w:rPr>
        <w:t>En la práctica decisoria previa, el Pleno del Instituto ha identificado la existencia de significativas barreras a la entrada y a la expansión en los servicios de radiodifusión sonora comercial que incluyen pero no se limitan a la falta de disponibilidad de espectro radioeléctrico.</w:t>
      </w:r>
      <w:r w:rsidRPr="005B12CA">
        <w:rPr>
          <w:rFonts w:ascii="Arial" w:eastAsia="Times New Roman" w:hAnsi="Arial" w:cs="Arial"/>
          <w:sz w:val="18"/>
          <w:szCs w:val="20"/>
          <w:vertAlign w:val="superscript"/>
          <w:lang w:val="es-ES" w:eastAsia="es-ES"/>
        </w:rPr>
        <w:footnoteReference w:id="6"/>
      </w:r>
      <w:r w:rsidRPr="005B12CA">
        <w:rPr>
          <w:rFonts w:ascii="Arial" w:eastAsia="Times New Roman" w:hAnsi="Arial" w:cs="Arial"/>
          <w:sz w:val="18"/>
          <w:szCs w:val="20"/>
          <w:lang w:val="es-ES" w:eastAsia="es-ES"/>
        </w:rPr>
        <w:t xml:space="preserve"> Lo anterior, debido a que constituye un insumo necesario para prestar servicios de radiodifusión para diversos usos alternativos (i.e. comercial, público, privado y social) y que es finito, tiene una disponibilidad limitada y su asignación es viable para un número limitado de solicitantes.</w:t>
      </w:r>
    </w:p>
    <w:p w:rsidR="005B12CA" w:rsidRPr="005B12CA" w:rsidRDefault="005B12CA" w:rsidP="005B12CA">
      <w:pPr>
        <w:tabs>
          <w:tab w:val="left" w:pos="720"/>
        </w:tabs>
        <w:spacing w:after="101" w:line="240" w:lineRule="exact"/>
        <w:ind w:left="1080" w:hanging="360"/>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ab/>
        <w:t>La acumulación importante de frecuencias por parte de un mismo agente económico, aunado a la falta de disponibilidad de espectro radioeléctrico que favorezca la entrada de nuevos participantes o la expansión de las operaciones de otros participantes, pueden constituir condiciones adversas al proceso de competencia y libre concurrencia en los servicios de radiodifusión sonora comercial en las localidades identificadas.</w:t>
      </w:r>
    </w:p>
    <w:p w:rsidR="005B12CA" w:rsidRPr="005B12CA" w:rsidRDefault="005B12CA" w:rsidP="005B12CA">
      <w:pPr>
        <w:tabs>
          <w:tab w:val="left" w:pos="720"/>
        </w:tabs>
        <w:spacing w:after="101" w:line="240" w:lineRule="exact"/>
        <w:ind w:left="720" w:hanging="432"/>
        <w:jc w:val="both"/>
        <w:rPr>
          <w:rFonts w:ascii="Arial" w:eastAsia="Times New Roman" w:hAnsi="Arial" w:cs="Arial"/>
          <w:b/>
          <w:sz w:val="18"/>
          <w:szCs w:val="18"/>
          <w:lang w:val="es-ES" w:eastAsia="es-ES"/>
        </w:rPr>
      </w:pPr>
      <w:r w:rsidRPr="005B12CA">
        <w:rPr>
          <w:rFonts w:ascii="Arial" w:eastAsia="Times New Roman" w:hAnsi="Arial" w:cs="Arial"/>
          <w:b/>
          <w:sz w:val="18"/>
          <w:szCs w:val="18"/>
          <w:lang w:val="es-ES" w:eastAsia="es-ES"/>
        </w:rPr>
        <w:t>III.</w:t>
      </w:r>
      <w:r w:rsidRPr="005B12CA">
        <w:rPr>
          <w:rFonts w:ascii="Arial" w:eastAsia="Times New Roman" w:hAnsi="Arial" w:cs="Arial"/>
          <w:b/>
          <w:sz w:val="18"/>
          <w:szCs w:val="18"/>
          <w:lang w:val="es-ES" w:eastAsia="es-ES"/>
        </w:rPr>
        <w:tab/>
        <w:t>Promoción de la convergencia de redes y servicios para lograr la eficiencia en el uso de infraestructura e innovación en el desarrollo de aplicaciones.</w:t>
      </w:r>
    </w:p>
    <w:p w:rsidR="005B12CA" w:rsidRPr="005B12CA" w:rsidRDefault="005B12CA" w:rsidP="005B12CA">
      <w:pPr>
        <w:tabs>
          <w:tab w:val="left" w:pos="720"/>
        </w:tabs>
        <w:spacing w:after="101" w:line="240" w:lineRule="exact"/>
        <w:ind w:left="720" w:hanging="432"/>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ab/>
        <w:t>La convergencia de las redes y sistemas empleados en la prestación de los servicios de telecomunicaciones y de radiodifusión ha acelerado la demanda de acceso a información y contenidos.</w:t>
      </w:r>
    </w:p>
    <w:p w:rsidR="005B12CA" w:rsidRPr="005B12CA" w:rsidRDefault="005B12CA" w:rsidP="005B12CA">
      <w:pPr>
        <w:tabs>
          <w:tab w:val="left" w:pos="720"/>
        </w:tabs>
        <w:spacing w:after="101" w:line="234" w:lineRule="exact"/>
        <w:ind w:left="720" w:hanging="432"/>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ab/>
        <w:t>El Programa 2017 con sus modificaciones busca hacer disponibles bandas de frecuencias y canales en porciones del espectro idóneas para la prestación de servicios para la sociedad, como comunicaciones móviles rurales y radiodifusión, entre otros.</w:t>
      </w:r>
    </w:p>
    <w:p w:rsidR="005B12CA" w:rsidRPr="005B12CA" w:rsidRDefault="005B12CA" w:rsidP="005B12CA">
      <w:pPr>
        <w:tabs>
          <w:tab w:val="left" w:pos="720"/>
        </w:tabs>
        <w:spacing w:after="101" w:line="234" w:lineRule="exact"/>
        <w:ind w:left="720" w:hanging="432"/>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ab/>
        <w:t xml:space="preserve">En todos los casos, las bandas de frecuencia deberán ser empleadas con apego a los servicios de radiocomunicaciones a los que se encuentran atribuidas en el Cuadro Nacional de Atribución  </w:t>
      </w:r>
      <w:r w:rsidRPr="005B12CA">
        <w:rPr>
          <w:rFonts w:ascii="Arial" w:eastAsia="Times New Roman" w:hAnsi="Arial" w:cs="Arial"/>
          <w:spacing w:val="-2"/>
          <w:sz w:val="18"/>
          <w:szCs w:val="18"/>
          <w:lang w:val="es-ES" w:eastAsia="es-ES"/>
        </w:rPr>
        <w:t>de Frecuencias, así como a la normatividad aplicable, permitiendo en todos los casos la prestación de</w:t>
      </w:r>
      <w:r w:rsidRPr="005B12CA">
        <w:rPr>
          <w:rFonts w:ascii="Arial" w:eastAsia="Times New Roman" w:hAnsi="Arial" w:cs="Arial"/>
          <w:sz w:val="18"/>
          <w:szCs w:val="18"/>
          <w:lang w:val="es-ES" w:eastAsia="es-ES"/>
        </w:rPr>
        <w:t xml:space="preserve"> </w:t>
      </w:r>
      <w:r w:rsidRPr="005B12CA">
        <w:rPr>
          <w:rFonts w:ascii="Arial" w:eastAsia="Times New Roman" w:hAnsi="Arial" w:cs="Arial"/>
          <w:sz w:val="18"/>
          <w:szCs w:val="18"/>
          <w:lang w:val="es-ES" w:eastAsia="es-ES"/>
        </w:rPr>
        <w:lastRenderedPageBreak/>
        <w:t>servicios en convergencia plena, siempre que la coexistencia electromagnética lo permita y en atención a la viabilidad tecnológica asociada a cada una de éstas.</w:t>
      </w:r>
    </w:p>
    <w:p w:rsidR="005B12CA" w:rsidRPr="005B12CA" w:rsidRDefault="005B12CA" w:rsidP="005B12CA">
      <w:pPr>
        <w:tabs>
          <w:tab w:val="left" w:pos="720"/>
        </w:tabs>
        <w:spacing w:after="101" w:line="234" w:lineRule="exact"/>
        <w:ind w:left="720" w:hanging="432"/>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ab/>
        <w:t>Una infraestructura de telecomunicaciones y radiodifusión desarrollada y convergente que dé soporte a las tecnologías de la información y las comunicaciones, adaptadas a las condiciones regionales, nacionales y locales, promoverá el progreso económico y social de los países, así como el bienestar de sus habitantes.</w:t>
      </w:r>
    </w:p>
    <w:p w:rsidR="005B12CA" w:rsidRPr="005B12CA" w:rsidRDefault="005B12CA" w:rsidP="005B12CA">
      <w:pPr>
        <w:tabs>
          <w:tab w:val="left" w:pos="720"/>
        </w:tabs>
        <w:spacing w:after="101" w:line="234" w:lineRule="exact"/>
        <w:ind w:left="720" w:hanging="432"/>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ab/>
        <w:t>La disponibilidad de espectro radioeléctrico incidirá directa y favorablemente en el despliegue de infraestructura por medio de la cual se haga viable el uso, aprovechamiento y explotación de tal recurso de manera eficiente. En este sentido, los concesionarios podrán hacer uso de las tecnologías de punta que permitan la provisión de servicios de alta calidad, a la vez que se promueva el uso más eficiente del recurso espectral.</w:t>
      </w:r>
    </w:p>
    <w:p w:rsidR="005B12CA" w:rsidRPr="005B12CA" w:rsidRDefault="005B12CA" w:rsidP="005B12CA">
      <w:pPr>
        <w:tabs>
          <w:tab w:val="left" w:pos="720"/>
        </w:tabs>
        <w:spacing w:after="101" w:line="234" w:lineRule="exact"/>
        <w:ind w:left="720" w:hanging="432"/>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ab/>
        <w:t xml:space="preserve">Asimismo, a través de las concesiones asociadas a la prestación de servicios de radiodifusión, en su caso, será posible prestar servicios de radiodifusión digital y poder acceder, de conformidad con lo dispuesto por </w:t>
      </w:r>
      <w:smartTag w:uri="urn:schemas-microsoft-com:office:smarttags" w:element="PersonName">
        <w:smartTagPr>
          <w:attr w:name="ProductID" w:val="la Ley"/>
        </w:smartTagPr>
        <w:r w:rsidRPr="005B12CA">
          <w:rPr>
            <w:rFonts w:ascii="Arial" w:eastAsia="Times New Roman" w:hAnsi="Arial" w:cs="Arial"/>
            <w:sz w:val="18"/>
            <w:szCs w:val="18"/>
            <w:lang w:val="es-ES" w:eastAsia="es-ES"/>
          </w:rPr>
          <w:t>la Ley</w:t>
        </w:r>
      </w:smartTag>
      <w:r w:rsidRPr="005B12CA">
        <w:rPr>
          <w:rFonts w:ascii="Arial" w:eastAsia="Times New Roman" w:hAnsi="Arial" w:cs="Arial"/>
          <w:sz w:val="18"/>
          <w:szCs w:val="18"/>
          <w:lang w:val="es-ES" w:eastAsia="es-ES"/>
        </w:rPr>
        <w:t>, a la multiprogramación, para hacer un uso eficiente de los canales de transmisión, al tiempo de proveer mayor diversidad programática para los usuarios finales, con servicios de alta calidad.</w:t>
      </w:r>
    </w:p>
    <w:p w:rsidR="005B12CA" w:rsidRPr="005B12CA" w:rsidRDefault="005B12CA" w:rsidP="005B12CA">
      <w:pPr>
        <w:spacing w:after="101" w:line="234" w:lineRule="exact"/>
        <w:ind w:firstLine="288"/>
        <w:jc w:val="both"/>
        <w:rPr>
          <w:rFonts w:ascii="Arial" w:eastAsia="Times New Roman" w:hAnsi="Arial" w:cs="Arial"/>
          <w:sz w:val="18"/>
          <w:lang w:val="es-ES" w:eastAsia="es-ES"/>
        </w:rPr>
      </w:pPr>
      <w:r w:rsidRPr="005B12CA">
        <w:rPr>
          <w:rFonts w:ascii="Arial" w:eastAsia="Times New Roman" w:hAnsi="Arial" w:cs="Arial"/>
          <w:sz w:val="18"/>
          <w:lang w:val="es-ES" w:eastAsia="es-ES"/>
        </w:rPr>
        <w:t xml:space="preserve">Una vez abordados los criterios señalados en el artículo 60 de </w:t>
      </w:r>
      <w:smartTag w:uri="urn:schemas-microsoft-com:office:smarttags" w:element="PersonName">
        <w:smartTagPr>
          <w:attr w:name="ProductID" w:val="la Ley"/>
        </w:smartTagPr>
        <w:r w:rsidRPr="005B12CA">
          <w:rPr>
            <w:rFonts w:ascii="Arial" w:eastAsia="Times New Roman" w:hAnsi="Arial" w:cs="Arial"/>
            <w:sz w:val="18"/>
            <w:lang w:val="es-ES" w:eastAsia="es-ES"/>
          </w:rPr>
          <w:t>la Ley</w:t>
        </w:r>
      </w:smartTag>
      <w:r w:rsidRPr="005B12CA">
        <w:rPr>
          <w:rFonts w:ascii="Arial" w:eastAsia="Times New Roman" w:hAnsi="Arial" w:cs="Arial"/>
          <w:sz w:val="18"/>
          <w:lang w:val="es-ES" w:eastAsia="es-ES"/>
        </w:rPr>
        <w:t>, es indudable que el Instituto da cabal cumplimiento a los presupuestos legales previstos por el legislador para la emisión de los programas anuales de bandas, a través de plena identificación, descripción y valoración de éstos en el presente Acuerdo.</w:t>
      </w:r>
    </w:p>
    <w:p w:rsidR="005B12CA" w:rsidRPr="005B12CA" w:rsidRDefault="005B12CA" w:rsidP="005B12CA">
      <w:pPr>
        <w:spacing w:after="101" w:line="234" w:lineRule="exact"/>
        <w:ind w:firstLine="288"/>
        <w:jc w:val="both"/>
        <w:rPr>
          <w:rFonts w:ascii="Arial" w:eastAsia="Times New Roman" w:hAnsi="Arial" w:cs="Arial"/>
          <w:b/>
          <w:sz w:val="18"/>
          <w:lang w:val="es-ES" w:eastAsia="es-ES"/>
        </w:rPr>
      </w:pPr>
      <w:r w:rsidRPr="005B12CA">
        <w:rPr>
          <w:rFonts w:ascii="Arial" w:eastAsia="Times New Roman" w:hAnsi="Arial" w:cs="Arial"/>
          <w:b/>
          <w:caps/>
          <w:sz w:val="18"/>
          <w:lang w:eastAsia="es-ES"/>
        </w:rPr>
        <w:t xml:space="preserve">Cuarto. </w:t>
      </w:r>
      <w:r w:rsidRPr="005B12CA">
        <w:rPr>
          <w:rFonts w:ascii="Arial" w:eastAsia="Times New Roman" w:hAnsi="Arial" w:cs="Arial"/>
          <w:b/>
          <w:sz w:val="18"/>
          <w:lang w:eastAsia="es-ES"/>
        </w:rPr>
        <w:t>Justificación de las bandas de frecuencias incluidas en el Programa 2017.</w:t>
      </w:r>
    </w:p>
    <w:p w:rsidR="005B12CA" w:rsidRPr="005B12CA" w:rsidRDefault="005B12CA" w:rsidP="005B12CA">
      <w:pPr>
        <w:spacing w:after="101" w:line="234" w:lineRule="exact"/>
        <w:ind w:firstLine="288"/>
        <w:jc w:val="both"/>
        <w:rPr>
          <w:rFonts w:ascii="Arial" w:eastAsia="Times New Roman" w:hAnsi="Arial" w:cs="Arial"/>
          <w:sz w:val="18"/>
          <w:lang w:val="es-ES" w:eastAsia="es-ES"/>
        </w:rPr>
      </w:pPr>
      <w:r w:rsidRPr="005B12CA">
        <w:rPr>
          <w:rFonts w:ascii="Arial" w:eastAsia="Times New Roman" w:hAnsi="Arial" w:cs="Arial"/>
          <w:sz w:val="18"/>
          <w:lang w:val="es-ES" w:eastAsia="es-ES"/>
        </w:rPr>
        <w:t>La emisión del Programa 2017 con sus modificaciones se ajusta estrictamente a la estrategia de planificación del espectro, con base en la regulación nacional e internacional, el contexto actual de las bandas de frecuencias en nuestro país, el estado de estandarización, las tecnologías disponibles y el nivel de adopción de dichas tecnologías a nivel internacional.</w:t>
      </w:r>
    </w:p>
    <w:p w:rsidR="005B12CA" w:rsidRPr="005B12CA" w:rsidRDefault="005B12CA" w:rsidP="005B12CA">
      <w:pPr>
        <w:spacing w:after="101" w:line="234" w:lineRule="exact"/>
        <w:ind w:firstLine="288"/>
        <w:jc w:val="both"/>
        <w:rPr>
          <w:rFonts w:ascii="Arial" w:eastAsia="Times New Roman" w:hAnsi="Arial" w:cs="Arial"/>
          <w:sz w:val="18"/>
          <w:lang w:val="es-ES" w:eastAsia="es-ES"/>
        </w:rPr>
      </w:pPr>
      <w:r w:rsidRPr="005B12CA">
        <w:rPr>
          <w:rFonts w:ascii="Arial" w:eastAsia="Times New Roman" w:hAnsi="Arial" w:cs="Arial"/>
          <w:sz w:val="18"/>
          <w:lang w:val="es-ES" w:eastAsia="es-ES"/>
        </w:rPr>
        <w:t>Las bandas de frecuencias contempladas en el Programa 2017, en relación a los servicios de telecomunicaciones</w:t>
      </w:r>
      <w:r w:rsidRPr="005B12CA">
        <w:rPr>
          <w:rFonts w:ascii="Arial" w:eastAsia="Times New Roman" w:hAnsi="Arial" w:cs="Arial"/>
          <w:sz w:val="18"/>
          <w:szCs w:val="20"/>
          <w:vertAlign w:val="superscript"/>
          <w:lang w:val="es-ES" w:eastAsia="es-ES"/>
        </w:rPr>
        <w:footnoteReference w:id="7"/>
      </w:r>
      <w:r w:rsidRPr="005B12CA">
        <w:rPr>
          <w:rFonts w:ascii="Arial" w:eastAsia="Times New Roman" w:hAnsi="Arial" w:cs="Arial"/>
          <w:sz w:val="18"/>
          <w:lang w:val="es-ES" w:eastAsia="es-ES"/>
        </w:rPr>
        <w:t xml:space="preserve"> son: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Caption w:val="Bandas de frecuencias contempladas en el Programa 2017 para Telecomunicaciones"/>
        <w:tblDescription w:val="En una tabla de 2 columnas y 4 filas, se proporciona una relación de las modalidades de uso de bandas de frecuencia."/>
      </w:tblPr>
      <w:tblGrid>
        <w:gridCol w:w="3265"/>
        <w:gridCol w:w="4957"/>
      </w:tblGrid>
      <w:tr w:rsidR="005B12CA" w:rsidRPr="005B12CA" w:rsidTr="004A714B">
        <w:trPr>
          <w:jc w:val="center"/>
        </w:trPr>
        <w:tc>
          <w:tcPr>
            <w:tcW w:w="3265" w:type="dxa"/>
            <w:shd w:val="pct40" w:color="auto" w:fill="auto"/>
          </w:tcPr>
          <w:p w:rsidR="005B12CA" w:rsidRPr="005B12CA" w:rsidRDefault="005B12CA" w:rsidP="005B12CA">
            <w:pPr>
              <w:spacing w:after="101" w:line="234"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Banda</w:t>
            </w:r>
          </w:p>
        </w:tc>
        <w:tc>
          <w:tcPr>
            <w:tcW w:w="4957" w:type="dxa"/>
            <w:shd w:val="pct40" w:color="auto" w:fill="auto"/>
          </w:tcPr>
          <w:p w:rsidR="005B12CA" w:rsidRPr="005B12CA" w:rsidRDefault="005B12CA" w:rsidP="005B12CA">
            <w:pPr>
              <w:spacing w:after="101" w:line="234"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Modalidad de uso</w:t>
            </w:r>
          </w:p>
        </w:tc>
      </w:tr>
      <w:tr w:rsidR="005B12CA" w:rsidRPr="005B12CA" w:rsidTr="004A714B">
        <w:trPr>
          <w:jc w:val="center"/>
        </w:trPr>
        <w:tc>
          <w:tcPr>
            <w:tcW w:w="3265" w:type="dxa"/>
            <w:shd w:val="clear" w:color="auto" w:fill="C0C0C0"/>
          </w:tcPr>
          <w:p w:rsidR="005B12CA" w:rsidRPr="005B12CA" w:rsidRDefault="005B12CA" w:rsidP="005B12CA">
            <w:pPr>
              <w:spacing w:after="101" w:line="234" w:lineRule="exact"/>
              <w:jc w:val="both"/>
              <w:rPr>
                <w:rFonts w:ascii="Arial" w:eastAsia="Times New Roman" w:hAnsi="Arial" w:cs="Arial"/>
                <w:b/>
                <w:sz w:val="16"/>
                <w:szCs w:val="16"/>
                <w:lang w:val="es-ES" w:eastAsia="es-ES"/>
              </w:rPr>
            </w:pPr>
            <w:r w:rsidRPr="005B12CA">
              <w:rPr>
                <w:rFonts w:ascii="Arial" w:eastAsia="Times New Roman" w:hAnsi="Arial" w:cs="Arial"/>
                <w:sz w:val="16"/>
                <w:szCs w:val="16"/>
                <w:lang w:val="es-ES" w:eastAsia="es-ES"/>
              </w:rPr>
              <w:t>415 – 420/425 – 430 MHz</w:t>
            </w:r>
          </w:p>
        </w:tc>
        <w:tc>
          <w:tcPr>
            <w:tcW w:w="4957" w:type="dxa"/>
            <w:shd w:val="clear" w:color="auto" w:fill="C0C0C0"/>
          </w:tcPr>
          <w:p w:rsidR="005B12CA" w:rsidRPr="005B12CA" w:rsidRDefault="005B12CA" w:rsidP="005B12CA">
            <w:pPr>
              <w:spacing w:after="101" w:line="234" w:lineRule="exact"/>
              <w:jc w:val="center"/>
              <w:rPr>
                <w:rFonts w:ascii="Arial" w:eastAsia="Times New Roman" w:hAnsi="Arial" w:cs="Arial"/>
                <w:b/>
                <w:sz w:val="16"/>
                <w:szCs w:val="16"/>
                <w:lang w:val="es-ES" w:eastAsia="es-ES"/>
              </w:rPr>
            </w:pPr>
            <w:r w:rsidRPr="005B12CA">
              <w:rPr>
                <w:rFonts w:ascii="Arial" w:eastAsia="Times New Roman" w:hAnsi="Arial" w:cs="Arial"/>
                <w:sz w:val="16"/>
                <w:szCs w:val="16"/>
                <w:lang w:val="es-ES" w:eastAsia="es-ES"/>
              </w:rPr>
              <w:t>Público</w:t>
            </w:r>
          </w:p>
        </w:tc>
      </w:tr>
      <w:tr w:rsidR="005B12CA" w:rsidRPr="005B12CA" w:rsidTr="004A714B">
        <w:trPr>
          <w:jc w:val="center"/>
        </w:trPr>
        <w:tc>
          <w:tcPr>
            <w:tcW w:w="3265" w:type="dxa"/>
          </w:tcPr>
          <w:p w:rsidR="005B12CA" w:rsidRPr="005B12CA" w:rsidRDefault="005B12CA" w:rsidP="005B12CA">
            <w:pPr>
              <w:spacing w:after="101" w:line="234" w:lineRule="exact"/>
              <w:jc w:val="both"/>
              <w:rPr>
                <w:rFonts w:ascii="Arial" w:eastAsia="Times New Roman" w:hAnsi="Arial" w:cs="Arial"/>
                <w:b/>
                <w:sz w:val="16"/>
                <w:szCs w:val="16"/>
                <w:lang w:val="es-ES" w:eastAsia="es-ES"/>
              </w:rPr>
            </w:pPr>
            <w:r w:rsidRPr="005B12CA">
              <w:rPr>
                <w:rFonts w:ascii="Arial" w:eastAsia="Times New Roman" w:hAnsi="Arial" w:cs="Arial"/>
                <w:sz w:val="16"/>
                <w:szCs w:val="16"/>
                <w:lang w:val="es-ES" w:eastAsia="es-ES"/>
              </w:rPr>
              <w:t>806 – 814/851 – 859 MHz</w:t>
            </w:r>
          </w:p>
        </w:tc>
        <w:tc>
          <w:tcPr>
            <w:tcW w:w="4957" w:type="dxa"/>
          </w:tcPr>
          <w:p w:rsidR="005B12CA" w:rsidRPr="005B12CA" w:rsidRDefault="005B12CA" w:rsidP="005B12CA">
            <w:pPr>
              <w:spacing w:after="101" w:line="23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Público</w:t>
            </w:r>
          </w:p>
        </w:tc>
      </w:tr>
      <w:tr w:rsidR="005B12CA" w:rsidRPr="005B12CA" w:rsidTr="004A714B">
        <w:trPr>
          <w:jc w:val="center"/>
        </w:trPr>
        <w:tc>
          <w:tcPr>
            <w:tcW w:w="3265" w:type="dxa"/>
            <w:shd w:val="clear" w:color="auto" w:fill="C0C0C0"/>
          </w:tcPr>
          <w:p w:rsidR="005B12CA" w:rsidRPr="005B12CA" w:rsidRDefault="005B12CA" w:rsidP="005B12CA">
            <w:pPr>
              <w:spacing w:after="101" w:line="234" w:lineRule="exact"/>
              <w:jc w:val="both"/>
              <w:rPr>
                <w:rFonts w:ascii="Arial" w:eastAsia="Times New Roman" w:hAnsi="Arial" w:cs="Arial"/>
                <w:b/>
                <w:sz w:val="16"/>
                <w:szCs w:val="16"/>
                <w:lang w:val="es-ES" w:eastAsia="es-ES"/>
              </w:rPr>
            </w:pPr>
            <w:r w:rsidRPr="005B12CA">
              <w:rPr>
                <w:rFonts w:ascii="Arial" w:eastAsia="Times New Roman" w:hAnsi="Arial" w:cs="Arial"/>
                <w:sz w:val="16"/>
                <w:szCs w:val="16"/>
                <w:lang w:val="es-ES" w:eastAsia="es-ES"/>
              </w:rPr>
              <w:t>824 – 849/869 – 894 MHz</w:t>
            </w:r>
          </w:p>
        </w:tc>
        <w:tc>
          <w:tcPr>
            <w:tcW w:w="4957" w:type="dxa"/>
            <w:shd w:val="clear" w:color="auto" w:fill="C0C0C0"/>
          </w:tcPr>
          <w:p w:rsidR="005B12CA" w:rsidRPr="005B12CA" w:rsidRDefault="005B12CA" w:rsidP="005B12CA">
            <w:pPr>
              <w:spacing w:after="101" w:line="23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Social</w:t>
            </w:r>
          </w:p>
        </w:tc>
      </w:tr>
    </w:tbl>
    <w:p w:rsidR="005B12CA" w:rsidRPr="005B12CA" w:rsidRDefault="005B12CA" w:rsidP="004A714B">
      <w:pPr>
        <w:spacing w:before="240" w:line="234" w:lineRule="exact"/>
        <w:ind w:firstLine="288"/>
        <w:jc w:val="both"/>
        <w:rPr>
          <w:rFonts w:ascii="Arial" w:eastAsia="Times New Roman" w:hAnsi="Arial" w:cs="Arial"/>
          <w:sz w:val="18"/>
          <w:lang w:val="es-ES" w:eastAsia="es-ES"/>
        </w:rPr>
      </w:pPr>
      <w:r w:rsidRPr="005B12CA">
        <w:rPr>
          <w:rFonts w:ascii="Arial" w:eastAsia="Times New Roman" w:hAnsi="Arial" w:cs="Arial"/>
          <w:sz w:val="18"/>
          <w:lang w:val="es-ES" w:eastAsia="es-ES"/>
        </w:rPr>
        <w:t>Las bandas de frecuencias contempladas en el Programa 2017, en relación al servicio de radiodifusión</w:t>
      </w:r>
      <w:r w:rsidRPr="005B12CA">
        <w:rPr>
          <w:rFonts w:ascii="Arial" w:eastAsia="Times New Roman" w:hAnsi="Arial" w:cs="Arial"/>
          <w:sz w:val="18"/>
          <w:szCs w:val="20"/>
          <w:vertAlign w:val="superscript"/>
          <w:lang w:val="es-ES" w:eastAsia="es-ES"/>
        </w:rPr>
        <w:footnoteReference w:id="8"/>
      </w:r>
      <w:r w:rsidRPr="005B12CA">
        <w:rPr>
          <w:rFonts w:ascii="Arial" w:eastAsia="Times New Roman" w:hAnsi="Arial" w:cs="Arial"/>
          <w:sz w:val="18"/>
          <w:lang w:val="es-ES" w:eastAsia="es-ES"/>
        </w:rPr>
        <w:t xml:space="preserve"> son: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Caption w:val="Bandas de frecuencias contempladas en el Programa 2017 para Radiodifusión"/>
        <w:tblDescription w:val="En una tabla de 3 columnas y 4 filas, se proporciona una relación de las modalidades y servisios de bandas de frecuencia."/>
      </w:tblPr>
      <w:tblGrid>
        <w:gridCol w:w="1802"/>
        <w:gridCol w:w="3305"/>
        <w:gridCol w:w="3605"/>
      </w:tblGrid>
      <w:tr w:rsidR="005B12CA" w:rsidRPr="005B12CA" w:rsidTr="004A714B">
        <w:tc>
          <w:tcPr>
            <w:tcW w:w="1701" w:type="dxa"/>
            <w:shd w:val="pct40" w:color="auto" w:fill="auto"/>
            <w:vAlign w:val="center"/>
          </w:tcPr>
          <w:p w:rsidR="005B12CA" w:rsidRPr="005B12CA" w:rsidRDefault="005B12CA" w:rsidP="005B12CA">
            <w:pPr>
              <w:spacing w:after="101" w:line="234"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Servicio</w:t>
            </w:r>
          </w:p>
        </w:tc>
        <w:tc>
          <w:tcPr>
            <w:tcW w:w="3119" w:type="dxa"/>
            <w:shd w:val="pct40" w:color="auto" w:fill="auto"/>
            <w:vAlign w:val="center"/>
          </w:tcPr>
          <w:p w:rsidR="005B12CA" w:rsidRPr="005B12CA" w:rsidRDefault="005B12CA" w:rsidP="005B12CA">
            <w:pPr>
              <w:spacing w:after="101" w:line="234"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Banda</w:t>
            </w:r>
          </w:p>
        </w:tc>
        <w:tc>
          <w:tcPr>
            <w:tcW w:w="3402" w:type="dxa"/>
            <w:shd w:val="pct40" w:color="auto" w:fill="auto"/>
            <w:vAlign w:val="center"/>
          </w:tcPr>
          <w:p w:rsidR="005B12CA" w:rsidRPr="005B12CA" w:rsidRDefault="005B12CA" w:rsidP="005B12CA">
            <w:pPr>
              <w:spacing w:after="101" w:line="234"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Modalidad de uso</w:t>
            </w:r>
          </w:p>
        </w:tc>
      </w:tr>
      <w:tr w:rsidR="005B12CA" w:rsidRPr="005B12CA" w:rsidTr="004A714B">
        <w:tc>
          <w:tcPr>
            <w:tcW w:w="1701" w:type="dxa"/>
            <w:shd w:val="clear" w:color="auto" w:fill="C0C0C0"/>
            <w:vAlign w:val="center"/>
          </w:tcPr>
          <w:p w:rsidR="005B12CA" w:rsidRPr="005B12CA" w:rsidRDefault="005B12CA" w:rsidP="005B12CA">
            <w:pPr>
              <w:spacing w:after="101" w:line="234" w:lineRule="exact"/>
              <w:jc w:val="center"/>
              <w:rPr>
                <w:rFonts w:ascii="Arial" w:eastAsia="Times New Roman" w:hAnsi="Arial" w:cs="Arial"/>
                <w:b/>
                <w:sz w:val="16"/>
                <w:szCs w:val="16"/>
                <w:lang w:val="es-ES" w:eastAsia="es-ES"/>
              </w:rPr>
            </w:pPr>
            <w:r w:rsidRPr="005B12CA">
              <w:rPr>
                <w:rFonts w:ascii="Arial" w:eastAsia="Times New Roman" w:hAnsi="Arial" w:cs="Arial"/>
                <w:sz w:val="16"/>
                <w:szCs w:val="16"/>
                <w:lang w:val="es-ES" w:eastAsia="es-ES"/>
              </w:rPr>
              <w:t>TDT</w:t>
            </w:r>
          </w:p>
        </w:tc>
        <w:tc>
          <w:tcPr>
            <w:tcW w:w="3119" w:type="dxa"/>
            <w:shd w:val="clear" w:color="auto" w:fill="C0C0C0"/>
            <w:vAlign w:val="center"/>
          </w:tcPr>
          <w:p w:rsidR="005B12CA" w:rsidRPr="005B12CA" w:rsidRDefault="005B12CA" w:rsidP="005B12CA">
            <w:pPr>
              <w:spacing w:after="101" w:line="23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174 - 216 MHz (VHF)</w:t>
            </w:r>
          </w:p>
          <w:p w:rsidR="005B12CA" w:rsidRPr="005B12CA" w:rsidRDefault="005B12CA" w:rsidP="005B12CA">
            <w:pPr>
              <w:spacing w:after="101" w:line="23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470 – 608 MHz (UHF)</w:t>
            </w:r>
          </w:p>
        </w:tc>
        <w:tc>
          <w:tcPr>
            <w:tcW w:w="3402" w:type="dxa"/>
            <w:shd w:val="clear" w:color="auto" w:fill="C0C0C0"/>
            <w:vAlign w:val="center"/>
          </w:tcPr>
          <w:p w:rsidR="005B12CA" w:rsidRPr="005B12CA" w:rsidRDefault="005B12CA" w:rsidP="005B12CA">
            <w:pPr>
              <w:spacing w:after="101" w:line="23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Público, Social</w:t>
            </w:r>
          </w:p>
        </w:tc>
      </w:tr>
      <w:tr w:rsidR="005B12CA" w:rsidRPr="005B12CA" w:rsidTr="004A714B">
        <w:tc>
          <w:tcPr>
            <w:tcW w:w="1701" w:type="dxa"/>
            <w:vAlign w:val="center"/>
          </w:tcPr>
          <w:p w:rsidR="005B12CA" w:rsidRPr="005B12CA" w:rsidRDefault="005B12CA" w:rsidP="005B12CA">
            <w:pPr>
              <w:spacing w:after="101" w:line="234" w:lineRule="exact"/>
              <w:jc w:val="center"/>
              <w:rPr>
                <w:rFonts w:ascii="Arial" w:eastAsia="Times New Roman" w:hAnsi="Arial" w:cs="Arial"/>
                <w:b/>
                <w:sz w:val="16"/>
                <w:szCs w:val="16"/>
                <w:lang w:val="es-ES" w:eastAsia="es-ES"/>
              </w:rPr>
            </w:pPr>
            <w:r w:rsidRPr="005B12CA">
              <w:rPr>
                <w:rFonts w:ascii="Arial" w:eastAsia="Times New Roman" w:hAnsi="Arial" w:cs="Arial"/>
                <w:sz w:val="16"/>
                <w:szCs w:val="16"/>
                <w:lang w:val="es-ES" w:eastAsia="es-ES"/>
              </w:rPr>
              <w:t>FM</w:t>
            </w:r>
          </w:p>
        </w:tc>
        <w:tc>
          <w:tcPr>
            <w:tcW w:w="3119" w:type="dxa"/>
            <w:vAlign w:val="center"/>
          </w:tcPr>
          <w:p w:rsidR="005B12CA" w:rsidRPr="005B12CA" w:rsidRDefault="005B12CA" w:rsidP="005B12CA">
            <w:pPr>
              <w:spacing w:after="101" w:line="23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88 – 108 MHz</w:t>
            </w:r>
          </w:p>
        </w:tc>
        <w:tc>
          <w:tcPr>
            <w:tcW w:w="3402" w:type="dxa"/>
            <w:vAlign w:val="center"/>
          </w:tcPr>
          <w:p w:rsidR="005B12CA" w:rsidRPr="005B12CA" w:rsidRDefault="005B12CA" w:rsidP="005B12CA">
            <w:pPr>
              <w:spacing w:after="101" w:line="23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Comercial, Público, Social</w:t>
            </w:r>
          </w:p>
        </w:tc>
      </w:tr>
      <w:tr w:rsidR="005B12CA" w:rsidRPr="005B12CA" w:rsidTr="004A714B">
        <w:tc>
          <w:tcPr>
            <w:tcW w:w="1701" w:type="dxa"/>
            <w:shd w:val="clear" w:color="auto" w:fill="C0C0C0"/>
            <w:vAlign w:val="center"/>
          </w:tcPr>
          <w:p w:rsidR="005B12CA" w:rsidRPr="005B12CA" w:rsidRDefault="005B12CA" w:rsidP="005B12CA">
            <w:pPr>
              <w:spacing w:after="101" w:line="234" w:lineRule="exact"/>
              <w:jc w:val="center"/>
              <w:rPr>
                <w:rFonts w:ascii="Arial" w:eastAsia="Times New Roman" w:hAnsi="Arial" w:cs="Arial"/>
                <w:b/>
                <w:sz w:val="16"/>
                <w:szCs w:val="16"/>
                <w:lang w:val="es-ES" w:eastAsia="es-ES"/>
              </w:rPr>
            </w:pPr>
            <w:r w:rsidRPr="005B12CA">
              <w:rPr>
                <w:rFonts w:ascii="Arial" w:eastAsia="Times New Roman" w:hAnsi="Arial" w:cs="Arial"/>
                <w:sz w:val="16"/>
                <w:szCs w:val="16"/>
                <w:lang w:val="es-ES" w:eastAsia="es-ES"/>
              </w:rPr>
              <w:t>AM</w:t>
            </w:r>
          </w:p>
        </w:tc>
        <w:tc>
          <w:tcPr>
            <w:tcW w:w="3119" w:type="dxa"/>
            <w:shd w:val="clear" w:color="auto" w:fill="C0C0C0"/>
            <w:vAlign w:val="center"/>
          </w:tcPr>
          <w:p w:rsidR="005B12CA" w:rsidRPr="005B12CA" w:rsidRDefault="005B12CA" w:rsidP="005B12CA">
            <w:pPr>
              <w:spacing w:after="101" w:line="23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535 – 1705 kHz</w:t>
            </w:r>
          </w:p>
        </w:tc>
        <w:tc>
          <w:tcPr>
            <w:tcW w:w="3402" w:type="dxa"/>
            <w:shd w:val="clear" w:color="auto" w:fill="C0C0C0"/>
            <w:vAlign w:val="center"/>
          </w:tcPr>
          <w:p w:rsidR="005B12CA" w:rsidRPr="005B12CA" w:rsidRDefault="005B12CA" w:rsidP="005B12CA">
            <w:pPr>
              <w:spacing w:after="101" w:line="23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Comercial, Público, Social</w:t>
            </w:r>
          </w:p>
        </w:tc>
      </w:tr>
    </w:tbl>
    <w:p w:rsidR="005B12CA" w:rsidRPr="005B12CA" w:rsidRDefault="005B12CA" w:rsidP="005B12CA">
      <w:pPr>
        <w:spacing w:after="101" w:line="14" w:lineRule="exact"/>
        <w:ind w:firstLine="288"/>
        <w:jc w:val="both"/>
        <w:rPr>
          <w:rFonts w:ascii="Arial" w:eastAsia="Times New Roman" w:hAnsi="Arial" w:cs="Arial"/>
          <w:color w:val="000000"/>
          <w:sz w:val="18"/>
          <w:lang w:val="es-ES_tradnl" w:eastAsia="es-ES"/>
        </w:rPr>
      </w:pPr>
    </w:p>
    <w:p w:rsidR="005B12CA" w:rsidRPr="005B12CA" w:rsidRDefault="005B12CA" w:rsidP="005B12CA">
      <w:pPr>
        <w:spacing w:after="101" w:line="226" w:lineRule="exact"/>
        <w:ind w:firstLine="288"/>
        <w:jc w:val="both"/>
        <w:rPr>
          <w:rFonts w:ascii="Arial" w:eastAsia="Times New Roman" w:hAnsi="Arial" w:cs="Arial"/>
          <w:b/>
          <w:sz w:val="18"/>
          <w:lang w:val="es-ES" w:eastAsia="es-ES"/>
        </w:rPr>
      </w:pPr>
      <w:r w:rsidRPr="005B12CA">
        <w:rPr>
          <w:rFonts w:ascii="Arial" w:eastAsia="Times New Roman" w:hAnsi="Arial" w:cs="Arial"/>
          <w:b/>
          <w:sz w:val="18"/>
          <w:lang w:val="es-ES" w:eastAsia="es-ES"/>
        </w:rPr>
        <w:t>1. TELECOMUNICACIONES.</w:t>
      </w:r>
    </w:p>
    <w:p w:rsidR="005B12CA" w:rsidRPr="005B12CA" w:rsidRDefault="005B12CA" w:rsidP="005B12CA">
      <w:pPr>
        <w:spacing w:after="101" w:line="226" w:lineRule="exact"/>
        <w:ind w:firstLine="288"/>
        <w:jc w:val="both"/>
        <w:rPr>
          <w:rFonts w:ascii="Arial" w:eastAsia="Times New Roman" w:hAnsi="Arial" w:cs="Arial"/>
          <w:sz w:val="18"/>
          <w:lang w:val="es-ES" w:eastAsia="es-ES"/>
        </w:rPr>
      </w:pPr>
      <w:r w:rsidRPr="005B12CA">
        <w:rPr>
          <w:rFonts w:ascii="Arial" w:eastAsia="Times New Roman" w:hAnsi="Arial" w:cs="Arial"/>
          <w:sz w:val="18"/>
          <w:lang w:val="es-ES" w:eastAsia="es-ES"/>
        </w:rPr>
        <w:t xml:space="preserve">El artículo 61 de </w:t>
      </w:r>
      <w:smartTag w:uri="urn:schemas-microsoft-com:office:smarttags" w:element="PersonName">
        <w:smartTagPr>
          <w:attr w:name="ProductID" w:val="la Ley"/>
        </w:smartTagPr>
        <w:r w:rsidRPr="005B12CA">
          <w:rPr>
            <w:rFonts w:ascii="Arial" w:eastAsia="Times New Roman" w:hAnsi="Arial" w:cs="Arial"/>
            <w:sz w:val="18"/>
            <w:lang w:val="es-ES" w:eastAsia="es-ES"/>
          </w:rPr>
          <w:t>la Ley</w:t>
        </w:r>
      </w:smartTag>
      <w:r w:rsidRPr="005B12CA">
        <w:rPr>
          <w:rFonts w:ascii="Arial" w:eastAsia="Times New Roman" w:hAnsi="Arial" w:cs="Arial"/>
          <w:sz w:val="18"/>
          <w:lang w:val="es-ES" w:eastAsia="es-ES"/>
        </w:rPr>
        <w:t xml:space="preserve"> dispone que cualquier interesado podrá solicitar, dentro de los treinta días hábiles siguientes a la publicación del programa, que se incluyan bandas de frecuencia y coberturas geográficas adicionales o distintas a las ahí contempladas. En este sentido, hasta el 21 de diciembre de 2016 se recibieron ante este Instituto diversas solicitudes de inclusión de frecuencias y coberturas adicionales o distintas a las contempladas en el Programa 2017.</w:t>
      </w:r>
    </w:p>
    <w:p w:rsidR="005B12CA" w:rsidRPr="005B12CA" w:rsidRDefault="005B12CA" w:rsidP="005B12CA">
      <w:pPr>
        <w:spacing w:after="101" w:line="226" w:lineRule="exact"/>
        <w:ind w:firstLine="288"/>
        <w:jc w:val="both"/>
        <w:rPr>
          <w:rFonts w:ascii="Arial" w:eastAsia="Times New Roman" w:hAnsi="Arial" w:cs="Arial"/>
          <w:sz w:val="18"/>
          <w:lang w:val="es-ES" w:eastAsia="es-ES"/>
        </w:rPr>
      </w:pPr>
      <w:r w:rsidRPr="005B12CA">
        <w:rPr>
          <w:rFonts w:ascii="Arial" w:eastAsia="Times New Roman" w:hAnsi="Arial" w:cs="Arial"/>
          <w:sz w:val="18"/>
          <w:lang w:val="es-ES" w:eastAsia="es-ES"/>
        </w:rPr>
        <w:lastRenderedPageBreak/>
        <w:t>Ahora bien, el artículo citado mandata que el Instituto resolverá lo conducente en un plazo que no excederá de treinta días hábiles, contados a partir del vencimiento del plazo anterior.</w:t>
      </w:r>
    </w:p>
    <w:p w:rsidR="005B12CA" w:rsidRPr="005B12CA" w:rsidRDefault="005B12CA" w:rsidP="005B12CA">
      <w:pPr>
        <w:spacing w:after="101" w:line="226" w:lineRule="exact"/>
        <w:ind w:firstLine="288"/>
        <w:jc w:val="both"/>
        <w:rPr>
          <w:rFonts w:ascii="Arial" w:eastAsia="Times New Roman" w:hAnsi="Arial" w:cs="Arial"/>
          <w:sz w:val="18"/>
          <w:lang w:val="es-ES" w:eastAsia="es-ES"/>
        </w:rPr>
      </w:pPr>
      <w:r w:rsidRPr="005B12CA">
        <w:rPr>
          <w:rFonts w:ascii="Arial" w:eastAsia="Times New Roman" w:hAnsi="Arial" w:cs="Arial"/>
          <w:sz w:val="18"/>
          <w:lang w:val="es-ES" w:eastAsia="es-ES"/>
        </w:rPr>
        <w:t xml:space="preserve">En tal contexto, derivado del análisis y evaluación realizados por </w:t>
      </w:r>
      <w:smartTag w:uri="urn:schemas-microsoft-com:office:smarttags" w:element="PersonName">
        <w:smartTagPr>
          <w:attr w:name="ProductID" w:val="la Unidad"/>
        </w:smartTagPr>
        <w:r w:rsidRPr="005B12CA">
          <w:rPr>
            <w:rFonts w:ascii="Arial" w:eastAsia="Times New Roman" w:hAnsi="Arial" w:cs="Arial"/>
            <w:sz w:val="18"/>
            <w:lang w:val="es-ES" w:eastAsia="es-ES"/>
          </w:rPr>
          <w:t>la Unidad</w:t>
        </w:r>
      </w:smartTag>
      <w:r w:rsidRPr="005B12CA">
        <w:rPr>
          <w:rFonts w:ascii="Arial" w:eastAsia="Times New Roman" w:hAnsi="Arial" w:cs="Arial"/>
          <w:sz w:val="18"/>
          <w:lang w:val="es-ES" w:eastAsia="es-ES"/>
        </w:rPr>
        <w:t xml:space="preserve"> de Espectro Radioeléctrico del Instituto sobre cada una de las solicitudes de inclusión recibidas, se advirtió que algunas de ellas resultaban técnicamente no factibles. En otros escenarios, se advirtió que existían diversas condiciones o restricciones que impedían su incorporación en los términos solicitados.</w:t>
      </w:r>
    </w:p>
    <w:p w:rsidR="005B12CA" w:rsidRPr="005B12CA" w:rsidRDefault="005B12CA" w:rsidP="005B12CA">
      <w:pPr>
        <w:spacing w:after="101" w:line="226" w:lineRule="exact"/>
        <w:ind w:firstLine="288"/>
        <w:jc w:val="both"/>
        <w:rPr>
          <w:rFonts w:ascii="Arial" w:eastAsia="Times New Roman" w:hAnsi="Arial" w:cs="Arial"/>
          <w:sz w:val="18"/>
          <w:lang w:val="es-ES" w:eastAsia="es-ES"/>
        </w:rPr>
      </w:pPr>
      <w:r w:rsidRPr="005B12CA">
        <w:rPr>
          <w:rFonts w:ascii="Arial" w:eastAsia="Times New Roman" w:hAnsi="Arial" w:cs="Arial"/>
          <w:sz w:val="18"/>
          <w:lang w:val="es-ES" w:eastAsia="es-ES"/>
        </w:rPr>
        <w:t xml:space="preserve">En el Anexo 2 denominado </w:t>
      </w:r>
      <w:r w:rsidRPr="005B12CA">
        <w:rPr>
          <w:rFonts w:ascii="Arial" w:eastAsia="Times New Roman" w:hAnsi="Arial" w:cs="Arial"/>
          <w:sz w:val="18"/>
          <w:u w:val="single"/>
          <w:lang w:val="es-ES" w:eastAsia="es-ES"/>
        </w:rPr>
        <w:t>“Valoración de solicitudes presentadas por los interesados para el Programa Anual de Uso y Aprovechamiento de Bandas de Frecuencias 2017 (Programa 2017)”</w:t>
      </w:r>
      <w:r w:rsidRPr="005B12CA">
        <w:rPr>
          <w:rFonts w:ascii="Arial" w:eastAsia="Times New Roman" w:hAnsi="Arial" w:cs="Arial"/>
          <w:sz w:val="18"/>
          <w:lang w:val="es-ES" w:eastAsia="es-ES"/>
        </w:rPr>
        <w:t xml:space="preserve"> se detallan las valoraciones para cada una de las manifestaciones de interés para incluir frecuencias o coberturas distintas o adicionales a las consideradas en el Programa 2017. A continuación se da una explicación general de las frecuencias contempladas en el Programa 2017.</w:t>
      </w:r>
    </w:p>
    <w:p w:rsidR="005B12CA" w:rsidRPr="005B12CA" w:rsidRDefault="005B12CA" w:rsidP="005B12CA">
      <w:pPr>
        <w:spacing w:after="101" w:line="226" w:lineRule="exact"/>
        <w:ind w:left="864" w:hanging="576"/>
        <w:jc w:val="both"/>
        <w:rPr>
          <w:rFonts w:ascii="Arial" w:eastAsia="Times New Roman" w:hAnsi="Arial" w:cs="Arial"/>
          <w:b/>
          <w:sz w:val="18"/>
          <w:lang w:val="es-ES" w:eastAsia="es-ES"/>
        </w:rPr>
      </w:pPr>
      <w:r w:rsidRPr="005B12CA">
        <w:rPr>
          <w:rFonts w:ascii="Arial" w:eastAsia="Times New Roman" w:hAnsi="Arial" w:cs="Arial"/>
          <w:b/>
          <w:sz w:val="18"/>
          <w:lang w:val="es-ES" w:eastAsia="es-ES"/>
        </w:rPr>
        <w:t>1.1</w:t>
      </w:r>
      <w:r w:rsidRPr="005B12CA">
        <w:rPr>
          <w:rFonts w:ascii="Arial" w:eastAsia="Times New Roman" w:hAnsi="Arial" w:cs="Arial"/>
          <w:b/>
          <w:sz w:val="18"/>
          <w:lang w:val="es-ES" w:eastAsia="es-ES"/>
        </w:rPr>
        <w:tab/>
        <w:t>Uso Público.</w:t>
      </w:r>
    </w:p>
    <w:p w:rsidR="005B12CA" w:rsidRPr="005B12CA" w:rsidRDefault="005B12CA" w:rsidP="005B12CA">
      <w:pPr>
        <w:spacing w:after="101" w:line="226"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Para el servicio público de telecomunicaciones, el Programa 2017 considera la inclusión de bandas de frecuencias, en consistencia con los correspondientes programas 2015 y 2016 y de conformidad con el esquema de reordenamiento señalado en el Plan para </w:t>
      </w:r>
      <w:smartTag w:uri="urn:schemas-microsoft-com:office:smarttags" w:element="PersonName">
        <w:smartTagPr>
          <w:attr w:name="ProductID" w:val="la Banda"/>
        </w:smartTagPr>
        <w:r w:rsidRPr="005B12CA">
          <w:rPr>
            <w:rFonts w:ascii="Arial" w:eastAsia="Times New Roman" w:hAnsi="Arial" w:cs="Arial"/>
            <w:sz w:val="18"/>
            <w:lang w:val="es-ES" w:eastAsia="es-ES"/>
          </w:rPr>
          <w:t>la Banda</w:t>
        </w:r>
      </w:smartTag>
      <w:r w:rsidRPr="005B12CA">
        <w:rPr>
          <w:rFonts w:ascii="Arial" w:eastAsia="Times New Roman" w:hAnsi="Arial" w:cs="Arial"/>
          <w:sz w:val="18"/>
          <w:lang w:val="es-ES" w:eastAsia="es-ES"/>
        </w:rPr>
        <w:t xml:space="preserve"> 806-824/851-869 MHz. Lo anterior, con el objeto de que los interesados tengan conocimiento que existe disponibilidad espectral para uso público en estas bandas de frecuencias, en atención a la importancia de los servicios que en ellas se pueden prestar.</w:t>
      </w:r>
    </w:p>
    <w:p w:rsidR="005B12CA" w:rsidRPr="005B12CA" w:rsidRDefault="005B12CA" w:rsidP="005B12CA">
      <w:pPr>
        <w:spacing w:after="101" w:line="226" w:lineRule="exact"/>
        <w:ind w:left="864" w:hanging="576"/>
        <w:jc w:val="both"/>
        <w:rPr>
          <w:rFonts w:ascii="Arial" w:eastAsia="Times New Roman" w:hAnsi="Arial" w:cs="Arial"/>
          <w:b/>
          <w:sz w:val="18"/>
          <w:lang w:val="es-ES" w:eastAsia="es-ES"/>
        </w:rPr>
      </w:pPr>
      <w:r w:rsidRPr="005B12CA">
        <w:rPr>
          <w:rFonts w:ascii="Arial" w:eastAsia="Times New Roman" w:hAnsi="Arial" w:cs="Arial"/>
          <w:b/>
          <w:sz w:val="18"/>
          <w:lang w:val="es-ES" w:eastAsia="es-ES"/>
        </w:rPr>
        <w:tab/>
        <w:t>1.1.1 Banda 415-420/425-430 MHz.</w:t>
      </w:r>
    </w:p>
    <w:p w:rsidR="005B12CA" w:rsidRPr="005B12CA" w:rsidRDefault="005B12CA" w:rsidP="005B12CA">
      <w:pPr>
        <w:spacing w:after="101" w:line="226" w:lineRule="exact"/>
        <w:ind w:left="864" w:hanging="576"/>
        <w:jc w:val="both"/>
        <w:rPr>
          <w:rFonts w:ascii="Arial" w:eastAsia="Times New Roman" w:hAnsi="Arial" w:cs="Arial"/>
          <w:color w:val="000000"/>
          <w:sz w:val="18"/>
          <w:lang w:val="es-ES" w:eastAsia="es-ES"/>
        </w:rPr>
      </w:pPr>
      <w:r w:rsidRPr="005B12CA">
        <w:rPr>
          <w:rFonts w:ascii="Arial" w:eastAsia="Times New Roman" w:hAnsi="Arial" w:cs="Arial"/>
          <w:color w:val="000000"/>
          <w:sz w:val="18"/>
          <w:lang w:val="es-ES" w:eastAsia="es-ES"/>
        </w:rPr>
        <w:tab/>
        <w:t xml:space="preserve">En consistencia con lo anterior, el Programa 2017 con sus modificaciones contempla la inclusión para uso público de la banda de 415-420/425-430 MHz para la operación de sistemas de radiocomunicación especializada de flotillas (comunicación de banda angosta también conocida como radio </w:t>
      </w:r>
      <w:proofErr w:type="spellStart"/>
      <w:r w:rsidRPr="005B12CA">
        <w:rPr>
          <w:rFonts w:ascii="Arial" w:eastAsia="Times New Roman" w:hAnsi="Arial" w:cs="Arial"/>
          <w:color w:val="000000"/>
          <w:sz w:val="18"/>
          <w:lang w:val="es-ES" w:eastAsia="es-ES"/>
        </w:rPr>
        <w:t>troncalizado</w:t>
      </w:r>
      <w:proofErr w:type="spellEnd"/>
      <w:r w:rsidRPr="005B12CA">
        <w:rPr>
          <w:rFonts w:ascii="Arial" w:eastAsia="Times New Roman" w:hAnsi="Arial" w:cs="Arial"/>
          <w:color w:val="000000"/>
          <w:sz w:val="18"/>
          <w:lang w:val="es-ES" w:eastAsia="es-ES"/>
        </w:rPr>
        <w:t xml:space="preserve"> o </w:t>
      </w:r>
      <w:proofErr w:type="spellStart"/>
      <w:r w:rsidRPr="005B12CA">
        <w:rPr>
          <w:rFonts w:ascii="Arial" w:eastAsia="Times New Roman" w:hAnsi="Arial" w:cs="Arial"/>
          <w:color w:val="000000"/>
          <w:sz w:val="18"/>
          <w:lang w:val="es-ES" w:eastAsia="es-ES"/>
        </w:rPr>
        <w:t>trunking</w:t>
      </w:r>
      <w:proofErr w:type="spellEnd"/>
      <w:r w:rsidRPr="005B12CA">
        <w:rPr>
          <w:rFonts w:ascii="Arial" w:eastAsia="Times New Roman" w:hAnsi="Arial" w:cs="Arial"/>
          <w:color w:val="000000"/>
          <w:sz w:val="18"/>
          <w:lang w:val="es-ES" w:eastAsia="es-ES"/>
        </w:rPr>
        <w:t>), teniendo como referencia que se cuenta con soluciones tecnológicas disponibles y que esta banda está identificada en el Cuadro Nacional de Atribución de Frecuencias específicamente para este uso</w:t>
      </w:r>
      <w:r w:rsidRPr="005B12CA">
        <w:rPr>
          <w:rFonts w:ascii="Arial" w:eastAsia="Times New Roman" w:hAnsi="Arial" w:cs="Arial"/>
          <w:sz w:val="18"/>
          <w:szCs w:val="20"/>
          <w:vertAlign w:val="superscript"/>
          <w:lang w:val="es-ES" w:eastAsia="es-ES"/>
        </w:rPr>
        <w:footnoteReference w:id="9"/>
      </w:r>
      <w:r w:rsidRPr="005B12CA">
        <w:rPr>
          <w:rFonts w:ascii="Arial" w:eastAsia="Times New Roman" w:hAnsi="Arial" w:cs="Arial"/>
          <w:color w:val="000000"/>
          <w:sz w:val="18"/>
          <w:lang w:val="es-ES" w:eastAsia="es-ES"/>
        </w:rPr>
        <w:t xml:space="preserve"> y, además, no ha sido identificada por </w:t>
      </w:r>
      <w:smartTag w:uri="urn:schemas-microsoft-com:office:smarttags" w:element="PersonName">
        <w:smartTagPr>
          <w:attr w:name="ProductID" w:val="la Uni￳n Internacional"/>
        </w:smartTagPr>
        <w:r w:rsidRPr="005B12CA">
          <w:rPr>
            <w:rFonts w:ascii="Arial" w:eastAsia="Times New Roman" w:hAnsi="Arial" w:cs="Arial"/>
            <w:color w:val="000000"/>
            <w:sz w:val="18"/>
            <w:lang w:val="es-ES" w:eastAsia="es-ES"/>
          </w:rPr>
          <w:t>la Unión Internacional</w:t>
        </w:r>
      </w:smartTag>
      <w:r w:rsidRPr="005B12CA">
        <w:rPr>
          <w:rFonts w:ascii="Arial" w:eastAsia="Times New Roman" w:hAnsi="Arial" w:cs="Arial"/>
          <w:color w:val="000000"/>
          <w:sz w:val="18"/>
          <w:lang w:val="es-ES" w:eastAsia="es-ES"/>
        </w:rPr>
        <w:t xml:space="preserve"> de Telecomunicaciones para el despliegue de Telecomunicaciones Móviles Internacionales (IMT- International Mobile </w:t>
      </w:r>
      <w:proofErr w:type="spellStart"/>
      <w:r w:rsidRPr="005B12CA">
        <w:rPr>
          <w:rFonts w:ascii="Arial" w:eastAsia="Times New Roman" w:hAnsi="Arial" w:cs="Arial"/>
          <w:color w:val="000000"/>
          <w:sz w:val="18"/>
          <w:lang w:val="es-ES" w:eastAsia="es-ES"/>
        </w:rPr>
        <w:t>Telecommunications</w:t>
      </w:r>
      <w:proofErr w:type="spellEnd"/>
      <w:r w:rsidRPr="005B12CA">
        <w:rPr>
          <w:rFonts w:ascii="Arial" w:eastAsia="Times New Roman" w:hAnsi="Arial" w:cs="Arial"/>
          <w:color w:val="000000"/>
          <w:sz w:val="18"/>
          <w:lang w:val="es-ES" w:eastAsia="es-ES"/>
        </w:rPr>
        <w:t>, por sus siglas en inglés).</w:t>
      </w:r>
    </w:p>
    <w:p w:rsidR="005B12CA" w:rsidRPr="005B12CA" w:rsidRDefault="005B12CA" w:rsidP="005B12CA">
      <w:pPr>
        <w:spacing w:after="101" w:line="226"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La banda </w:t>
      </w:r>
      <w:r w:rsidRPr="005B12CA">
        <w:rPr>
          <w:rFonts w:ascii="Arial" w:eastAsia="Times New Roman" w:hAnsi="Arial" w:cs="Arial"/>
          <w:color w:val="000000"/>
          <w:sz w:val="18"/>
          <w:lang w:val="es-ES" w:eastAsia="es-ES"/>
        </w:rPr>
        <w:t>415-420/425-430 MHz</w:t>
      </w:r>
      <w:r w:rsidRPr="005B12CA">
        <w:rPr>
          <w:rFonts w:ascii="Arial" w:eastAsia="Times New Roman" w:hAnsi="Arial" w:cs="Arial"/>
          <w:sz w:val="18"/>
          <w:lang w:val="es-ES" w:eastAsia="es-ES"/>
        </w:rPr>
        <w:t xml:space="preserve"> actualmente es utilizada por diversos sistemas de radiocomunicación fija y móvil pertenecientes a diferentes entidades gubernamentales, así como también por sistemas empleados para la prestación del servicio móvil de radiocomunicación especializada de flotillas y sistemas de radiocomunicación privada</w:t>
      </w:r>
      <w:r w:rsidRPr="005B12CA">
        <w:rPr>
          <w:rFonts w:ascii="Arial" w:eastAsia="Times New Roman" w:hAnsi="Arial" w:cs="Arial"/>
          <w:color w:val="000000"/>
          <w:sz w:val="18"/>
          <w:lang w:val="es-ES" w:eastAsia="es-ES"/>
        </w:rPr>
        <w:t>.</w:t>
      </w:r>
    </w:p>
    <w:p w:rsidR="005B12CA" w:rsidRPr="005B12CA" w:rsidRDefault="005B12CA" w:rsidP="005B12CA">
      <w:pPr>
        <w:spacing w:after="101" w:line="226"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En este sentido, el </w:t>
      </w:r>
      <w:proofErr w:type="spellStart"/>
      <w:r w:rsidRPr="005B12CA">
        <w:rPr>
          <w:rFonts w:ascii="Arial" w:eastAsia="Times New Roman" w:hAnsi="Arial" w:cs="Arial"/>
          <w:sz w:val="18"/>
          <w:lang w:val="es-ES" w:eastAsia="es-ES"/>
        </w:rPr>
        <w:t>concesionamiento</w:t>
      </w:r>
      <w:proofErr w:type="spellEnd"/>
      <w:r w:rsidRPr="005B12CA">
        <w:rPr>
          <w:rFonts w:ascii="Arial" w:eastAsia="Times New Roman" w:hAnsi="Arial" w:cs="Arial"/>
          <w:sz w:val="18"/>
          <w:lang w:val="es-ES" w:eastAsia="es-ES"/>
        </w:rPr>
        <w:t xml:space="preserve"> para uso público de la banda de frecuencias 415-420/425-430 MHz, en su caso, se llevará a cabo en atención a las solicitudes que sean recibidas en el Instituto, y se encontrará sujeto a los resultados del proceso de reordenamiento de esta banda de frecuencias.</w:t>
      </w:r>
    </w:p>
    <w:p w:rsidR="005B12CA" w:rsidRPr="005B12CA" w:rsidRDefault="005B12CA" w:rsidP="005B12CA">
      <w:pPr>
        <w:spacing w:after="101" w:line="226" w:lineRule="exact"/>
        <w:ind w:left="864" w:hanging="576"/>
        <w:jc w:val="both"/>
        <w:rPr>
          <w:rFonts w:ascii="Arial" w:eastAsia="Times New Roman" w:hAnsi="Arial" w:cs="Arial"/>
          <w:b/>
          <w:sz w:val="18"/>
          <w:lang w:val="es-ES" w:eastAsia="es-ES"/>
        </w:rPr>
      </w:pPr>
      <w:r w:rsidRPr="005B12CA">
        <w:rPr>
          <w:rFonts w:ascii="Arial" w:eastAsia="Times New Roman" w:hAnsi="Arial" w:cs="Arial"/>
          <w:b/>
          <w:sz w:val="18"/>
          <w:lang w:val="es-ES" w:eastAsia="es-ES"/>
        </w:rPr>
        <w:tab/>
        <w:t>1.1.2 Banda 806-814/851-859 MHz.</w:t>
      </w:r>
    </w:p>
    <w:p w:rsidR="005B12CA" w:rsidRPr="005B12CA" w:rsidRDefault="005B12CA" w:rsidP="005B12CA">
      <w:pPr>
        <w:spacing w:after="101" w:line="226"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El presente Programa 2017 con sus modificaciones, en consistencia con los programas de bandas de frecuencias que lo precedieron, contempla la inclusión para uso público de diversas porciones de espectro que se encuentran disponibles dentro del segmento 806-814/851-859 MHz para aplicaciones de radio </w:t>
      </w:r>
      <w:proofErr w:type="spellStart"/>
      <w:r w:rsidRPr="005B12CA">
        <w:rPr>
          <w:rFonts w:ascii="Arial" w:eastAsia="Times New Roman" w:hAnsi="Arial" w:cs="Arial"/>
          <w:sz w:val="18"/>
          <w:lang w:val="es-ES" w:eastAsia="es-ES"/>
        </w:rPr>
        <w:t>troncalizado</w:t>
      </w:r>
      <w:proofErr w:type="spellEnd"/>
      <w:r w:rsidRPr="005B12CA">
        <w:rPr>
          <w:rFonts w:ascii="Arial" w:eastAsia="Times New Roman" w:hAnsi="Arial" w:cs="Arial"/>
          <w:sz w:val="18"/>
          <w:lang w:val="es-ES" w:eastAsia="es-ES"/>
        </w:rPr>
        <w:t xml:space="preserve"> para seguridad pública y para aplicaciones de misión crítica para seguridad pública.</w:t>
      </w:r>
    </w:p>
    <w:p w:rsidR="005B12CA" w:rsidRPr="005B12CA" w:rsidRDefault="005B12CA" w:rsidP="005B12CA">
      <w:pPr>
        <w:spacing w:after="101" w:line="226"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Actualmente, la banda de frecuencias 806-821/851-866 MHz es empleada por diversos concesionarios públicos y comerciales para servicios </w:t>
      </w:r>
      <w:proofErr w:type="spellStart"/>
      <w:r w:rsidRPr="005B12CA">
        <w:rPr>
          <w:rFonts w:ascii="Arial" w:eastAsia="Times New Roman" w:hAnsi="Arial" w:cs="Arial"/>
          <w:sz w:val="18"/>
          <w:lang w:val="es-ES" w:eastAsia="es-ES"/>
        </w:rPr>
        <w:t>troncalizados</w:t>
      </w:r>
      <w:proofErr w:type="spellEnd"/>
      <w:r w:rsidRPr="005B12CA">
        <w:rPr>
          <w:rFonts w:ascii="Arial" w:eastAsia="Times New Roman" w:hAnsi="Arial" w:cs="Arial"/>
          <w:sz w:val="18"/>
          <w:lang w:val="es-ES" w:eastAsia="es-ES"/>
        </w:rPr>
        <w:t>. Adicionalmente, en el segmento 821-824/866-869 MHz operan diversos sistemas estatales y municipales de seguridad pública.</w:t>
      </w:r>
    </w:p>
    <w:p w:rsidR="005B12CA" w:rsidRPr="005B12CA" w:rsidRDefault="005B12CA" w:rsidP="005B12CA">
      <w:pPr>
        <w:spacing w:after="101" w:line="228"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Ahora bien, será a través de la propuesta de cambio de bandas de frecuencias a las personas físicas o morales titulares de derechos sobre el uso, aprovechamiento y explotación de la banda de frecuencias 806-824/851-869 MHz que se lleve a cabo el reordenamiento establecido en el Plan  de </w:t>
      </w:r>
      <w:smartTag w:uri="urn:schemas-microsoft-com:office:smarttags" w:element="PersonName">
        <w:smartTagPr>
          <w:attr w:name="ProductID" w:val="la Banda"/>
        </w:smartTagPr>
        <w:r w:rsidRPr="005B12CA">
          <w:rPr>
            <w:rFonts w:ascii="Arial" w:eastAsia="Times New Roman" w:hAnsi="Arial" w:cs="Arial"/>
            <w:sz w:val="18"/>
            <w:lang w:val="es-ES" w:eastAsia="es-ES"/>
          </w:rPr>
          <w:t>la Banda</w:t>
        </w:r>
      </w:smartTag>
      <w:r w:rsidRPr="005B12CA">
        <w:rPr>
          <w:rFonts w:ascii="Arial" w:eastAsia="Times New Roman" w:hAnsi="Arial" w:cs="Arial"/>
          <w:sz w:val="18"/>
          <w:lang w:val="es-ES" w:eastAsia="es-ES"/>
        </w:rPr>
        <w:t xml:space="preserve"> </w:t>
      </w:r>
      <w:r w:rsidRPr="005B12CA">
        <w:rPr>
          <w:rFonts w:ascii="Arial" w:eastAsia="Times New Roman" w:hAnsi="Arial" w:cs="Arial"/>
          <w:color w:val="000000"/>
          <w:sz w:val="18"/>
          <w:lang w:val="es-ES" w:eastAsia="es-ES"/>
        </w:rPr>
        <w:t>806-824/851-869 MHz</w:t>
      </w:r>
      <w:r w:rsidRPr="005B12CA">
        <w:rPr>
          <w:rFonts w:ascii="Arial" w:eastAsia="Times New Roman" w:hAnsi="Arial" w:cs="Arial"/>
          <w:sz w:val="18"/>
          <w:lang w:val="es-ES" w:eastAsia="es-ES"/>
        </w:rPr>
        <w:t>,</w:t>
      </w:r>
      <w:r w:rsidRPr="005B12CA">
        <w:rPr>
          <w:rFonts w:ascii="Arial" w:eastAsia="Times New Roman" w:hAnsi="Arial" w:cs="Arial"/>
          <w:sz w:val="18"/>
          <w:szCs w:val="20"/>
          <w:vertAlign w:val="superscript"/>
          <w:lang w:val="es-ES" w:eastAsia="es-ES"/>
        </w:rPr>
        <w:footnoteReference w:id="10"/>
      </w:r>
      <w:r w:rsidRPr="005B12CA">
        <w:rPr>
          <w:rFonts w:ascii="Arial" w:eastAsia="Times New Roman" w:hAnsi="Arial" w:cs="Arial"/>
          <w:sz w:val="18"/>
          <w:lang w:val="es-ES" w:eastAsia="es-ES"/>
        </w:rPr>
        <w:t xml:space="preserve"> mismo que, entre otras acciones, implica la migración de los sistemas comerciales que operan actualmente en la banda 806-821/851-866 MHz hacia la banda </w:t>
      </w:r>
      <w:r w:rsidRPr="005B12CA">
        <w:rPr>
          <w:rFonts w:ascii="Arial" w:eastAsia="Times New Roman" w:hAnsi="Arial" w:cs="Arial"/>
          <w:sz w:val="18"/>
          <w:lang w:val="es-ES" w:eastAsia="es-ES"/>
        </w:rPr>
        <w:lastRenderedPageBreak/>
        <w:t>410-415/420-425 MHz, con el fin de posibilitar la introducción de servicios de banda ancha móvil en el rango 814-849/859-894 MHz.</w:t>
      </w:r>
    </w:p>
    <w:p w:rsidR="005B12CA" w:rsidRPr="005B12CA" w:rsidRDefault="005B12CA" w:rsidP="005B12CA">
      <w:pPr>
        <w:spacing w:after="101" w:line="228"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En este sentido, dentro del citado proceso de reordenamiento se contempla el otorgamiento de concesiones de uso público para aplicaciones de misión crítica y seguridad pública en el segmento 806-814/851-859 MHz, con el fin de reubicar a los sistemas de misión crítica y de seguridad pública estatales y municipales que actualmente operan en el segmento 821-824/866-869 MHz.</w:t>
      </w:r>
    </w:p>
    <w:p w:rsidR="005B12CA" w:rsidRPr="005B12CA" w:rsidRDefault="005B12CA" w:rsidP="005B12CA">
      <w:pPr>
        <w:spacing w:after="101" w:line="228" w:lineRule="exact"/>
        <w:ind w:left="864" w:hanging="576"/>
        <w:jc w:val="both"/>
        <w:rPr>
          <w:rFonts w:ascii="Arial" w:eastAsia="Times New Roman" w:hAnsi="Arial" w:cs="Arial"/>
          <w:b/>
          <w:sz w:val="18"/>
          <w:lang w:val="es-ES" w:eastAsia="es-ES"/>
        </w:rPr>
      </w:pPr>
      <w:r w:rsidRPr="005B12CA">
        <w:rPr>
          <w:rFonts w:ascii="Arial" w:eastAsia="Times New Roman" w:hAnsi="Arial" w:cs="Arial"/>
          <w:b/>
          <w:sz w:val="18"/>
          <w:lang w:val="es-ES" w:eastAsia="es-ES"/>
        </w:rPr>
        <w:t>1.2</w:t>
      </w:r>
      <w:r w:rsidRPr="005B12CA">
        <w:rPr>
          <w:rFonts w:ascii="Arial" w:eastAsia="Times New Roman" w:hAnsi="Arial" w:cs="Arial"/>
          <w:b/>
          <w:sz w:val="18"/>
          <w:lang w:val="es-ES" w:eastAsia="es-ES"/>
        </w:rPr>
        <w:tab/>
        <w:t>Uso Social.</w:t>
      </w:r>
    </w:p>
    <w:p w:rsidR="005B12CA" w:rsidRPr="005B12CA" w:rsidRDefault="005B12CA" w:rsidP="005B12CA">
      <w:pPr>
        <w:spacing w:after="101" w:line="228" w:lineRule="exact"/>
        <w:ind w:left="864" w:hanging="576"/>
        <w:jc w:val="both"/>
        <w:rPr>
          <w:rFonts w:ascii="Arial" w:eastAsia="Times New Roman" w:hAnsi="Arial" w:cs="Arial"/>
          <w:b/>
          <w:sz w:val="18"/>
          <w:lang w:val="es-ES" w:eastAsia="es-ES"/>
        </w:rPr>
      </w:pPr>
      <w:r w:rsidRPr="005B12CA">
        <w:rPr>
          <w:rFonts w:ascii="Arial" w:eastAsia="Times New Roman" w:hAnsi="Arial" w:cs="Arial"/>
          <w:b/>
          <w:sz w:val="18"/>
          <w:lang w:val="es-ES" w:eastAsia="es-ES"/>
        </w:rPr>
        <w:tab/>
        <w:t>1.2.1 Banda 824-849/869-894 MHz.</w:t>
      </w:r>
    </w:p>
    <w:p w:rsidR="005B12CA" w:rsidRPr="005B12CA" w:rsidRDefault="005B12CA" w:rsidP="005B12CA">
      <w:pPr>
        <w:spacing w:after="101" w:line="228"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El Programa 2017, en consistencia con los correspondientes programa 2015 y Programa 2016, contempla la inclusión de diversas porciones de espectro para uso social que se encuentran disponibles dentro del segmento conocido como la banda celular 850 MHz y que es la comprendida entre 824-849 MHz, para el enlace ascendente y entre 869-894 MHz, para el enlace descendente. Lo anterior, con el objeto de que los interesados tengan conocimiento que existe disponibilidad espectral para uso social en esta banda de frecuencias, en atención a la importancia de los servicios que en ella se pueden prestar.</w:t>
      </w:r>
    </w:p>
    <w:p w:rsidR="005B12CA" w:rsidRPr="005B12CA" w:rsidRDefault="005B12CA" w:rsidP="005B12CA">
      <w:pPr>
        <w:spacing w:after="101" w:line="228"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A continuación se ilustra la disponibilidad por región:</w:t>
      </w:r>
    </w:p>
    <w:p w:rsidR="005B12CA" w:rsidRPr="005B12CA" w:rsidRDefault="005B12CA" w:rsidP="005B12CA">
      <w:pPr>
        <w:spacing w:after="70" w:line="240" w:lineRule="auto"/>
        <w:jc w:val="both"/>
        <w:rPr>
          <w:rFonts w:ascii="Arial" w:eastAsia="Times New Roman" w:hAnsi="Arial" w:cs="Arial"/>
          <w:sz w:val="18"/>
          <w:lang w:val="es-ES" w:eastAsia="es-ES"/>
        </w:rPr>
      </w:pPr>
      <w:r w:rsidRPr="005B12CA">
        <w:rPr>
          <w:rFonts w:ascii="Arial" w:eastAsia="Times New Roman" w:hAnsi="Arial" w:cs="Arial"/>
          <w:sz w:val="18"/>
          <w:lang w:val="es-ES" w:eastAsia="es-ES"/>
        </w:rPr>
        <w:tab/>
      </w:r>
      <w:r w:rsidRPr="005B12CA">
        <w:rPr>
          <w:rFonts w:ascii="Arial" w:eastAsia="Times New Roman" w:hAnsi="Arial" w:cs="Arial"/>
          <w:noProof/>
          <w:sz w:val="18"/>
          <w:lang w:eastAsia="es-MX"/>
        </w:rPr>
        <w:drawing>
          <wp:inline distT="0" distB="0" distL="0" distR="0">
            <wp:extent cx="5610225" cy="3390900"/>
            <wp:effectExtent l="0" t="0" r="9525" b="0"/>
            <wp:docPr id="2" name="Imagen 2" descr="DISPONIBILIDAD POR REGIÓN DE LA BANDA 824-849/869-894 MHZ&#10;" title="Uso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3390900"/>
                    </a:xfrm>
                    <a:prstGeom prst="rect">
                      <a:avLst/>
                    </a:prstGeom>
                    <a:noFill/>
                    <a:ln>
                      <a:noFill/>
                    </a:ln>
                  </pic:spPr>
                </pic:pic>
              </a:graphicData>
            </a:graphic>
          </wp:inline>
        </w:drawing>
      </w:r>
    </w:p>
    <w:p w:rsidR="005B12CA" w:rsidRPr="005B12CA" w:rsidRDefault="005B12CA" w:rsidP="005B12CA">
      <w:pPr>
        <w:spacing w:after="101" w:line="240"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Como se puede observar, la segmentación resultante de las porciones disponibles no permite la conformación de bloques amplios que pudieran favorecer la provisión de servicios de banda ancha. Aun considerando tales porciones como ampliación a los segmentos ya concesionados, se prevé que tal acción no generaría incentivos para su explotación para fines comerciales.</w:t>
      </w:r>
    </w:p>
    <w:p w:rsidR="005B12CA" w:rsidRPr="005B12CA" w:rsidRDefault="005B12CA" w:rsidP="005B12CA">
      <w:pPr>
        <w:spacing w:after="101" w:line="240"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Es en este sentido que, para el aprovechamiento de tales porciones de espectro, se propone en el Programa 2017 con sus modificaciones que los segmentos disponibles sean concesionados para la provisión de servicios de conectividad, los cuales podrían satisfacer las necesidades inmediatas de contar con el servicio de telefonía básica, sistema de mensajes cortos y transmisión de datos  de baja velocidad</w:t>
      </w:r>
      <w:r w:rsidRPr="005B12CA">
        <w:rPr>
          <w:rFonts w:ascii="Arial" w:eastAsia="Times New Roman" w:hAnsi="Arial" w:cs="Arial"/>
          <w:sz w:val="18"/>
          <w:szCs w:val="20"/>
          <w:vertAlign w:val="superscript"/>
          <w:lang w:val="es-ES" w:eastAsia="es-ES"/>
        </w:rPr>
        <w:footnoteReference w:id="11"/>
      </w:r>
      <w:r w:rsidRPr="005B12CA">
        <w:rPr>
          <w:rFonts w:ascii="Arial" w:eastAsia="Times New Roman" w:hAnsi="Arial" w:cs="Arial"/>
          <w:sz w:val="18"/>
          <w:lang w:val="es-ES" w:eastAsia="es-ES"/>
        </w:rPr>
        <w:t>.</w:t>
      </w:r>
    </w:p>
    <w:p w:rsidR="005B12CA" w:rsidRPr="005B12CA" w:rsidRDefault="005B12CA" w:rsidP="005B12CA">
      <w:pPr>
        <w:spacing w:after="101" w:line="240"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Tales servicios, por su propia naturaleza, no son demandantes de altas capacidades de red y por lo tanto su operación puede ser satisfecha aun con porciones limitadas y/o dispersas de espectro.</w:t>
      </w:r>
    </w:p>
    <w:p w:rsidR="005B12CA" w:rsidRPr="005B12CA" w:rsidRDefault="005B12CA" w:rsidP="005B12CA">
      <w:pPr>
        <w:spacing w:after="101" w:line="240"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lastRenderedPageBreak/>
        <w:tab/>
        <w:t>Cabe destacar que el otorgamiento de las concesiones de uso social en esta banda podrá darse siempre y cuando los parámetros técnicos de operación de las redes que las utilicen cumplan con la condición de no causar interferencias perjudiciales a otras redes o servicios en la misma u otras bandas de frecuencias, conforme al Cuadro Nacional de Atribución de Frecuencias vigente y la normatividad aplicable.</w:t>
      </w:r>
    </w:p>
    <w:p w:rsidR="005B12CA" w:rsidRPr="005B12CA" w:rsidRDefault="005B12CA" w:rsidP="005B12CA">
      <w:pPr>
        <w:spacing w:after="101" w:line="240"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Lo anterior sin perjuicio de que los segmentos de espectro aquí descritos pudieran en un futuro ser objeto de inclusión para uso comercial en un Programa Anual de Uso y Aprovechamiento de Bandas de Frecuencias, fuera de las localidades en las que, en su caso, se concesionen para Uso Social conforme al Programa 2017 con sus modificaciones, o hayan sido concesionadas conforme a programas anteriores.</w:t>
      </w:r>
    </w:p>
    <w:p w:rsidR="005B12CA" w:rsidRPr="005B12CA" w:rsidRDefault="005B12CA" w:rsidP="005B12CA">
      <w:pPr>
        <w:spacing w:after="101" w:line="240" w:lineRule="exact"/>
        <w:ind w:firstLine="288"/>
        <w:jc w:val="both"/>
        <w:rPr>
          <w:rFonts w:ascii="Arial" w:eastAsia="Times New Roman" w:hAnsi="Arial" w:cs="Arial"/>
          <w:b/>
          <w:sz w:val="18"/>
          <w:lang w:val="es-ES" w:eastAsia="es-ES"/>
        </w:rPr>
      </w:pPr>
      <w:r w:rsidRPr="005B12CA">
        <w:rPr>
          <w:rFonts w:ascii="Arial" w:eastAsia="Times New Roman" w:hAnsi="Arial" w:cs="Arial"/>
          <w:b/>
          <w:sz w:val="18"/>
          <w:lang w:val="es-ES" w:eastAsia="es-ES"/>
        </w:rPr>
        <w:t>2.</w:t>
      </w:r>
      <w:r w:rsidRPr="005B12CA">
        <w:rPr>
          <w:rFonts w:ascii="Arial" w:eastAsia="Times New Roman" w:hAnsi="Arial" w:cs="Arial"/>
          <w:b/>
          <w:sz w:val="18"/>
          <w:lang w:val="es-ES" w:eastAsia="es-ES"/>
        </w:rPr>
        <w:tab/>
        <w:t>RADIODIFUSIÓN.</w:t>
      </w:r>
    </w:p>
    <w:p w:rsidR="005B12CA" w:rsidRPr="005B12CA" w:rsidRDefault="005B12CA" w:rsidP="005B12CA">
      <w:pPr>
        <w:spacing w:after="101" w:line="240"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El artículo 61 de </w:t>
      </w:r>
      <w:smartTag w:uri="urn:schemas-microsoft-com:office:smarttags" w:element="PersonName">
        <w:smartTagPr>
          <w:attr w:name="ProductID" w:val="la Ley"/>
        </w:smartTagPr>
        <w:r w:rsidRPr="005B12CA">
          <w:rPr>
            <w:rFonts w:ascii="Arial" w:eastAsia="Times New Roman" w:hAnsi="Arial" w:cs="Arial"/>
            <w:sz w:val="18"/>
            <w:lang w:val="es-ES" w:eastAsia="es-ES"/>
          </w:rPr>
          <w:t>la Ley</w:t>
        </w:r>
      </w:smartTag>
      <w:r w:rsidRPr="005B12CA">
        <w:rPr>
          <w:rFonts w:ascii="Arial" w:eastAsia="Times New Roman" w:hAnsi="Arial" w:cs="Arial"/>
          <w:sz w:val="18"/>
          <w:lang w:val="es-ES" w:eastAsia="es-ES"/>
        </w:rPr>
        <w:t xml:space="preserve"> dispone que cualquier interesado podrá solicitar, dentro de los treinta días hábiles siguientes a la publicación del programa, que se incluyan bandas de frecuencia y coberturas geográficas adicionales o distintas a las ahí contempladas. En este sentido, hasta el 21 de diciembre de 2016 se recibieron ante este Instituto diversas solicitudes de inclusión de frecuencias y coberturas adicionales o distintas a las contempladas en el Programa 2017.</w:t>
      </w:r>
    </w:p>
    <w:p w:rsidR="005B12CA" w:rsidRPr="005B12CA" w:rsidRDefault="005B12CA" w:rsidP="005B12CA">
      <w:pPr>
        <w:spacing w:after="101" w:line="240"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Ahora bien, el artículo citado mandata que el Instituto resolverá lo conducente en un plazo que no excederá de treinta días hábiles, contados a partir del vencimiento del plazo anterior.</w:t>
      </w:r>
    </w:p>
    <w:p w:rsidR="005B12CA" w:rsidRPr="005B12CA" w:rsidRDefault="005B12CA" w:rsidP="005B12CA">
      <w:pPr>
        <w:spacing w:after="101" w:line="240"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En tal contexto, derivado del análisis y evaluación realizados por </w:t>
      </w:r>
      <w:smartTag w:uri="urn:schemas-microsoft-com:office:smarttags" w:element="PersonName">
        <w:smartTagPr>
          <w:attr w:name="ProductID" w:val="la Unidad"/>
        </w:smartTagPr>
        <w:r w:rsidRPr="005B12CA">
          <w:rPr>
            <w:rFonts w:ascii="Arial" w:eastAsia="Times New Roman" w:hAnsi="Arial" w:cs="Arial"/>
            <w:sz w:val="18"/>
            <w:lang w:val="es-ES" w:eastAsia="es-ES"/>
          </w:rPr>
          <w:t>la Unidad</w:t>
        </w:r>
      </w:smartTag>
      <w:r w:rsidRPr="005B12CA">
        <w:rPr>
          <w:rFonts w:ascii="Arial" w:eastAsia="Times New Roman" w:hAnsi="Arial" w:cs="Arial"/>
          <w:sz w:val="18"/>
          <w:lang w:val="es-ES" w:eastAsia="es-ES"/>
        </w:rPr>
        <w:t xml:space="preserve"> de Espectro Radioeléctrico del Instituto sobre cada una de las solicitudes de inclusión recibidas, se advirtió que algunas de ellas resultaban técnicamente no factibles. En otros escenarios, se advirtió que existían diversas condiciones o restricciones que impedían su incorporación en los términos solicitados. Y en otros casos, se determinó que era procedente su inclusión para efectos de su asignación a través de los procedimientos legales conducentes, en función del uso que les otorga el presente instrumento programático.</w:t>
      </w:r>
    </w:p>
    <w:p w:rsidR="005B12CA" w:rsidRPr="005B12CA" w:rsidRDefault="005B12CA" w:rsidP="005B12CA">
      <w:pPr>
        <w:spacing w:after="101" w:line="240"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En el Anexo 2 denominado </w:t>
      </w:r>
      <w:r w:rsidRPr="005B12CA">
        <w:rPr>
          <w:rFonts w:ascii="Arial" w:eastAsia="Times New Roman" w:hAnsi="Arial" w:cs="Arial"/>
          <w:sz w:val="18"/>
          <w:u w:val="single"/>
          <w:lang w:val="es-ES" w:eastAsia="es-ES"/>
        </w:rPr>
        <w:t>“Valoración de solicitudes presentadas por los interesados para el Programa Anual de Uso y Aprovechamiento de Bandas de Frecuencias 2017 (Programa 2017)”</w:t>
      </w:r>
      <w:r w:rsidRPr="005B12CA">
        <w:rPr>
          <w:rFonts w:ascii="Arial" w:eastAsia="Times New Roman" w:hAnsi="Arial" w:cs="Arial"/>
          <w:sz w:val="18"/>
          <w:lang w:val="es-ES" w:eastAsia="es-ES"/>
        </w:rPr>
        <w:t xml:space="preserve"> se detallan las valoraciones para cada una de las manifestaciones de interés para incluir frecuencias o coberturas distintas o adicionales a las consideradas en el Programa 2017. En los apartados siguientes se presenta una explicación general de las frecuencias o canales que fueron incluidos en el Programa 2017 con sus modificaciones para los servicios de radiodifusión de televisión, radiodifusión sonora en FM y radiodifusión sonora en AM.</w:t>
      </w:r>
    </w:p>
    <w:p w:rsidR="005B12CA" w:rsidRPr="005B12CA" w:rsidRDefault="005B12CA" w:rsidP="005B12CA">
      <w:pPr>
        <w:spacing w:after="101" w:line="240"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En esta tesitura, las nuevas frecuencias incorporadas al Programa 2017 con sus modificaciones son producto de la valoración de las solicitudes de inclusión de frecuencias de acuerdo con su categoría, modalidades de uso y coberturas geográficas presentadas por los interesados en las que se determinó que no existían impedimentos técnicos o regulatorios que condicionaran o restringieran su incorporación.</w:t>
      </w:r>
    </w:p>
    <w:p w:rsidR="005B12CA" w:rsidRPr="005B12CA" w:rsidRDefault="005B12CA" w:rsidP="005B12CA">
      <w:pPr>
        <w:spacing w:after="101" w:line="240"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Por otra parte, como se señala en la fracción II del considerando Tercero y el antecedente VIII de este Acuerdo, el Instituto, en el ejercicio de sus funciones al analizar solicitudes que involucran concesiones de espectro radioeléctrico, y con base en la información proporcionada por </w:t>
      </w:r>
      <w:smartTag w:uri="urn:schemas-microsoft-com:office:smarttags" w:element="PersonName">
        <w:smartTagPr>
          <w:attr w:name="ProductID" w:val="la Unidad"/>
        </w:smartTagPr>
        <w:r w:rsidRPr="005B12CA">
          <w:rPr>
            <w:rFonts w:ascii="Arial" w:eastAsia="Times New Roman" w:hAnsi="Arial" w:cs="Arial"/>
            <w:sz w:val="18"/>
            <w:lang w:val="es-ES" w:eastAsia="es-ES"/>
          </w:rPr>
          <w:t>la Unidad</w:t>
        </w:r>
      </w:smartTag>
      <w:r w:rsidRPr="005B12CA">
        <w:rPr>
          <w:rFonts w:ascii="Arial" w:eastAsia="Times New Roman" w:hAnsi="Arial" w:cs="Arial"/>
          <w:sz w:val="18"/>
          <w:lang w:val="es-ES" w:eastAsia="es-ES"/>
        </w:rPr>
        <w:t xml:space="preserve"> de Competencia Económica del Instituto a que se refiere al antecedente VIII, se han identificado 71 localidades (67 para </w:t>
      </w:r>
      <w:smartTag w:uri="urn:schemas-microsoft-com:office:smarttags" w:element="PersonName">
        <w:smartTagPr>
          <w:attr w:name="ProductID" w:val="la Banda"/>
        </w:smartTagPr>
        <w:r w:rsidRPr="005B12CA">
          <w:rPr>
            <w:rFonts w:ascii="Arial" w:eastAsia="Times New Roman" w:hAnsi="Arial" w:cs="Arial"/>
            <w:sz w:val="18"/>
            <w:lang w:val="es-ES" w:eastAsia="es-ES"/>
          </w:rPr>
          <w:t>la Banda</w:t>
        </w:r>
      </w:smartTag>
      <w:r w:rsidRPr="005B12CA">
        <w:rPr>
          <w:rFonts w:ascii="Arial" w:eastAsia="Times New Roman" w:hAnsi="Arial" w:cs="Arial"/>
          <w:sz w:val="18"/>
          <w:lang w:val="es-ES" w:eastAsia="es-ES"/>
        </w:rPr>
        <w:t xml:space="preserve"> de FM y 4 en </w:t>
      </w:r>
      <w:smartTag w:uri="urn:schemas-microsoft-com:office:smarttags" w:element="PersonName">
        <w:smartTagPr>
          <w:attr w:name="ProductID" w:val="la Banda AM"/>
        </w:smartTagPr>
        <w:r w:rsidRPr="005B12CA">
          <w:rPr>
            <w:rFonts w:ascii="Arial" w:eastAsia="Times New Roman" w:hAnsi="Arial" w:cs="Arial"/>
            <w:sz w:val="18"/>
            <w:lang w:val="es-ES" w:eastAsia="es-ES"/>
          </w:rPr>
          <w:t>la Banda AM</w:t>
        </w:r>
      </w:smartTag>
      <w:r w:rsidRPr="005B12CA">
        <w:rPr>
          <w:rFonts w:ascii="Arial" w:eastAsia="Times New Roman" w:hAnsi="Arial" w:cs="Arial"/>
          <w:sz w:val="18"/>
          <w:lang w:val="es-ES" w:eastAsia="es-ES"/>
        </w:rPr>
        <w:t>) en las que existen indicios de altos niveles de concentración, en términos del número de estaciones o niveles de audiencia tratándose de concesiones comerciales, principalmente en la banda FM, de las cuales</w:t>
      </w:r>
      <w:r w:rsidRPr="005B12CA">
        <w:rPr>
          <w:rFonts w:ascii="Arial" w:eastAsia="Times New Roman" w:hAnsi="Arial" w:cs="Arial"/>
          <w:sz w:val="18"/>
          <w:szCs w:val="20"/>
          <w:vertAlign w:val="superscript"/>
          <w:lang w:val="es-ES" w:eastAsia="es-ES"/>
        </w:rPr>
        <w:footnoteReference w:id="12"/>
      </w:r>
      <w:r w:rsidRPr="005B12CA">
        <w:rPr>
          <w:rFonts w:ascii="Arial" w:eastAsia="Times New Roman" w:hAnsi="Arial" w:cs="Arial"/>
          <w:sz w:val="18"/>
          <w:lang w:val="es-ES" w:eastAsia="es-ES"/>
        </w:rPr>
        <w:t>:</w:t>
      </w:r>
    </w:p>
    <w:p w:rsidR="005B12CA" w:rsidRPr="005B12CA" w:rsidRDefault="005B12CA" w:rsidP="005B12CA">
      <w:pPr>
        <w:spacing w:after="101" w:line="240" w:lineRule="exact"/>
        <w:ind w:left="1699" w:hanging="432"/>
        <w:jc w:val="both"/>
        <w:rPr>
          <w:rFonts w:ascii="Arial" w:eastAsia="Times New Roman" w:hAnsi="Arial" w:cs="Arial"/>
          <w:sz w:val="18"/>
          <w:lang w:val="es-ES" w:eastAsia="es-ES"/>
        </w:rPr>
      </w:pPr>
      <w:r w:rsidRPr="005B12CA">
        <w:rPr>
          <w:rFonts w:ascii="Arial" w:eastAsia="Times New Roman" w:hAnsi="Arial" w:cs="Arial"/>
          <w:sz w:val="18"/>
          <w:lang w:val="es-ES" w:eastAsia="es-ES"/>
        </w:rPr>
        <w:t>(a)</w:t>
      </w:r>
      <w:r w:rsidRPr="005B12CA">
        <w:rPr>
          <w:rFonts w:ascii="Arial" w:eastAsia="Times New Roman" w:hAnsi="Arial" w:cs="Arial"/>
          <w:sz w:val="18"/>
          <w:lang w:val="es-ES" w:eastAsia="es-ES"/>
        </w:rPr>
        <w:tab/>
        <w:t xml:space="preserve">En 12 localidades para </w:t>
      </w:r>
      <w:smartTag w:uri="urn:schemas-microsoft-com:office:smarttags" w:element="PersonName">
        <w:smartTagPr>
          <w:attr w:name="ProductID" w:val="la Banda"/>
        </w:smartTagPr>
        <w:r w:rsidRPr="005B12CA">
          <w:rPr>
            <w:rFonts w:ascii="Arial" w:eastAsia="Times New Roman" w:hAnsi="Arial" w:cs="Arial"/>
            <w:sz w:val="18"/>
            <w:lang w:val="es-ES" w:eastAsia="es-ES"/>
          </w:rPr>
          <w:t>la Banda</w:t>
        </w:r>
      </w:smartTag>
      <w:r w:rsidRPr="005B12CA">
        <w:rPr>
          <w:rFonts w:ascii="Arial" w:eastAsia="Times New Roman" w:hAnsi="Arial" w:cs="Arial"/>
          <w:sz w:val="18"/>
          <w:lang w:val="es-ES" w:eastAsia="es-ES"/>
        </w:rPr>
        <w:t xml:space="preserve"> de FM no se cuenta con disponibilidad espectral;</w:t>
      </w:r>
    </w:p>
    <w:p w:rsidR="005B12CA" w:rsidRPr="005B12CA" w:rsidRDefault="005B12CA" w:rsidP="005B12CA">
      <w:pPr>
        <w:spacing w:after="101" w:line="240" w:lineRule="exact"/>
        <w:ind w:left="1699" w:hanging="432"/>
        <w:jc w:val="both"/>
        <w:rPr>
          <w:rFonts w:ascii="Arial" w:eastAsia="Times New Roman" w:hAnsi="Arial" w:cs="Arial"/>
          <w:sz w:val="18"/>
          <w:lang w:val="es-ES" w:eastAsia="es-ES"/>
        </w:rPr>
      </w:pPr>
      <w:r w:rsidRPr="005B12CA">
        <w:rPr>
          <w:rFonts w:ascii="Arial" w:eastAsia="Times New Roman" w:hAnsi="Arial" w:cs="Arial"/>
          <w:sz w:val="18"/>
          <w:lang w:val="es-ES" w:eastAsia="es-ES"/>
        </w:rPr>
        <w:t>(b)</w:t>
      </w:r>
      <w:r w:rsidRPr="005B12CA">
        <w:rPr>
          <w:rFonts w:ascii="Arial" w:eastAsia="Times New Roman" w:hAnsi="Arial" w:cs="Arial"/>
          <w:sz w:val="18"/>
          <w:lang w:val="es-ES" w:eastAsia="es-ES"/>
        </w:rPr>
        <w:tab/>
        <w:t xml:space="preserve">En 36 localidades para </w:t>
      </w:r>
      <w:smartTag w:uri="urn:schemas-microsoft-com:office:smarttags" w:element="PersonName">
        <w:smartTagPr>
          <w:attr w:name="ProductID" w:val="la Banda"/>
        </w:smartTagPr>
        <w:r w:rsidRPr="005B12CA">
          <w:rPr>
            <w:rFonts w:ascii="Arial" w:eastAsia="Times New Roman" w:hAnsi="Arial" w:cs="Arial"/>
            <w:sz w:val="18"/>
            <w:lang w:val="es-ES" w:eastAsia="es-ES"/>
          </w:rPr>
          <w:t>la Banda</w:t>
        </w:r>
      </w:smartTag>
      <w:r w:rsidRPr="005B12CA">
        <w:rPr>
          <w:rFonts w:ascii="Arial" w:eastAsia="Times New Roman" w:hAnsi="Arial" w:cs="Arial"/>
          <w:sz w:val="18"/>
          <w:lang w:val="es-ES" w:eastAsia="es-ES"/>
        </w:rPr>
        <w:t xml:space="preserve"> de FM no se cuenta con suficiencia espectral;</w:t>
      </w:r>
    </w:p>
    <w:p w:rsidR="005B12CA" w:rsidRPr="005B12CA" w:rsidRDefault="005B12CA" w:rsidP="005B12CA">
      <w:pPr>
        <w:spacing w:after="101" w:line="224" w:lineRule="exact"/>
        <w:ind w:left="1699" w:hanging="432"/>
        <w:jc w:val="both"/>
        <w:rPr>
          <w:rFonts w:ascii="Arial" w:eastAsia="Times New Roman" w:hAnsi="Arial" w:cs="Arial"/>
          <w:sz w:val="18"/>
          <w:lang w:val="es-ES" w:eastAsia="es-ES"/>
        </w:rPr>
      </w:pPr>
      <w:r w:rsidRPr="005B12CA">
        <w:rPr>
          <w:rFonts w:ascii="Arial" w:eastAsia="Times New Roman" w:hAnsi="Arial" w:cs="Arial"/>
          <w:sz w:val="18"/>
          <w:lang w:val="es-ES" w:eastAsia="es-ES"/>
        </w:rPr>
        <w:t>(c)</w:t>
      </w:r>
      <w:r w:rsidRPr="005B12CA">
        <w:rPr>
          <w:rFonts w:ascii="Arial" w:eastAsia="Times New Roman" w:hAnsi="Arial" w:cs="Arial"/>
          <w:sz w:val="18"/>
          <w:lang w:val="es-ES" w:eastAsia="es-ES"/>
        </w:rPr>
        <w:tab/>
        <w:t xml:space="preserve">10 localidades para </w:t>
      </w:r>
      <w:smartTag w:uri="urn:schemas-microsoft-com:office:smarttags" w:element="PersonName">
        <w:smartTagPr>
          <w:attr w:name="ProductID" w:val="la Banda"/>
        </w:smartTagPr>
        <w:r w:rsidRPr="005B12CA">
          <w:rPr>
            <w:rFonts w:ascii="Arial" w:eastAsia="Times New Roman" w:hAnsi="Arial" w:cs="Arial"/>
            <w:sz w:val="18"/>
            <w:lang w:val="es-ES" w:eastAsia="es-ES"/>
          </w:rPr>
          <w:t>la Banda</w:t>
        </w:r>
      </w:smartTag>
      <w:r w:rsidRPr="005B12CA">
        <w:rPr>
          <w:rFonts w:ascii="Arial" w:eastAsia="Times New Roman" w:hAnsi="Arial" w:cs="Arial"/>
          <w:sz w:val="18"/>
          <w:lang w:val="es-ES" w:eastAsia="es-ES"/>
        </w:rPr>
        <w:t xml:space="preserve"> de FM ya se encuentran previstas en un Programa Anual de Bandas de Frecuencias, cuyo procedimiento de Licitación se encuentra aún en proceso;</w:t>
      </w:r>
    </w:p>
    <w:p w:rsidR="005B12CA" w:rsidRPr="005B12CA" w:rsidRDefault="005B12CA" w:rsidP="005B12CA">
      <w:pPr>
        <w:spacing w:after="101" w:line="224" w:lineRule="exact"/>
        <w:ind w:left="1699" w:hanging="432"/>
        <w:jc w:val="both"/>
        <w:rPr>
          <w:rFonts w:ascii="Arial" w:eastAsia="Times New Roman" w:hAnsi="Arial" w:cs="Arial"/>
          <w:sz w:val="18"/>
          <w:lang w:val="es-ES" w:eastAsia="es-ES"/>
        </w:rPr>
      </w:pPr>
      <w:r w:rsidRPr="005B12CA">
        <w:rPr>
          <w:rFonts w:ascii="Arial" w:eastAsia="Times New Roman" w:hAnsi="Arial" w:cs="Arial"/>
          <w:sz w:val="18"/>
          <w:lang w:val="es-ES" w:eastAsia="es-ES"/>
        </w:rPr>
        <w:lastRenderedPageBreak/>
        <w:t>(d)</w:t>
      </w:r>
      <w:r w:rsidRPr="005B12CA">
        <w:rPr>
          <w:rFonts w:ascii="Arial" w:eastAsia="Times New Roman" w:hAnsi="Arial" w:cs="Arial"/>
          <w:sz w:val="18"/>
          <w:lang w:val="es-ES" w:eastAsia="es-ES"/>
        </w:rPr>
        <w:tab/>
        <w:t xml:space="preserve">Se considera viable la inclusión al Programa 2017 con sus modificaciones de 9 localidades para </w:t>
      </w:r>
      <w:smartTag w:uri="urn:schemas-microsoft-com:office:smarttags" w:element="PersonName">
        <w:smartTagPr>
          <w:attr w:name="ProductID" w:val="la Banda"/>
        </w:smartTagPr>
        <w:r w:rsidRPr="005B12CA">
          <w:rPr>
            <w:rFonts w:ascii="Arial" w:eastAsia="Times New Roman" w:hAnsi="Arial" w:cs="Arial"/>
            <w:sz w:val="18"/>
            <w:lang w:val="es-ES" w:eastAsia="es-ES"/>
          </w:rPr>
          <w:t>la Banda</w:t>
        </w:r>
      </w:smartTag>
      <w:r w:rsidRPr="005B12CA">
        <w:rPr>
          <w:rFonts w:ascii="Arial" w:eastAsia="Times New Roman" w:hAnsi="Arial" w:cs="Arial"/>
          <w:sz w:val="18"/>
          <w:lang w:val="es-ES" w:eastAsia="es-ES"/>
        </w:rPr>
        <w:t xml:space="preserve"> de FM, y</w:t>
      </w:r>
    </w:p>
    <w:p w:rsidR="005B12CA" w:rsidRPr="005B12CA" w:rsidRDefault="005B12CA" w:rsidP="005B12CA">
      <w:pPr>
        <w:spacing w:after="101" w:line="224" w:lineRule="exact"/>
        <w:ind w:left="1699" w:hanging="432"/>
        <w:jc w:val="both"/>
        <w:rPr>
          <w:rFonts w:ascii="Arial" w:eastAsia="Times New Roman" w:hAnsi="Arial" w:cs="Arial"/>
          <w:sz w:val="18"/>
          <w:lang w:val="es-ES" w:eastAsia="es-ES"/>
        </w:rPr>
      </w:pPr>
      <w:r w:rsidRPr="005B12CA">
        <w:rPr>
          <w:rFonts w:ascii="Arial" w:eastAsia="Times New Roman" w:hAnsi="Arial" w:cs="Arial"/>
          <w:sz w:val="18"/>
          <w:lang w:val="es-ES" w:eastAsia="es-ES"/>
        </w:rPr>
        <w:t>(e)</w:t>
      </w:r>
      <w:r w:rsidRPr="005B12CA">
        <w:rPr>
          <w:rFonts w:ascii="Arial" w:eastAsia="Times New Roman" w:hAnsi="Arial" w:cs="Arial"/>
          <w:sz w:val="18"/>
          <w:lang w:val="es-ES" w:eastAsia="es-ES"/>
        </w:rPr>
        <w:tab/>
        <w:t xml:space="preserve">4 localidades para la banda de AM requieren coordinación con </w:t>
      </w:r>
      <w:smartTag w:uri="urn:schemas-microsoft-com:office:smarttags" w:element="PersonName">
        <w:smartTagPr>
          <w:attr w:name="ProductID" w:val="la FCC."/>
        </w:smartTagPr>
        <w:r w:rsidRPr="005B12CA">
          <w:rPr>
            <w:rFonts w:ascii="Arial" w:eastAsia="Times New Roman" w:hAnsi="Arial" w:cs="Arial"/>
            <w:sz w:val="18"/>
            <w:lang w:val="es-ES" w:eastAsia="es-ES"/>
          </w:rPr>
          <w:t>la FCC.</w:t>
        </w:r>
      </w:smartTag>
    </w:p>
    <w:p w:rsidR="005B12CA" w:rsidRPr="005B12CA" w:rsidRDefault="005B12CA" w:rsidP="005B12CA">
      <w:pPr>
        <w:spacing w:after="101" w:line="224"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La inclusión de esas 9 localidades para radio sonora FM con fines comerciales en el Programa 2017 con modificaciones y su posterior asignación mediante licitaciones que permitan a los interesados competir por ellas, además de atender la solicitud manifestada, contribuiría al objetivo de eliminar barreras a la entrada e incidir favorablemente en las condiciones de competencia y libre concurrencia.</w:t>
      </w:r>
    </w:p>
    <w:p w:rsidR="005B12CA" w:rsidRPr="005B12CA" w:rsidRDefault="005B12CA" w:rsidP="005B12CA">
      <w:pPr>
        <w:spacing w:after="101" w:line="224"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Atendiendo las consideraciones previstas en el presente numeral, en el Programa 2017 con sus modificaciones se incluyen las frecuencias siguientes: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Caption w:val="Frecuencias que incluye el Programa 2017"/>
        <w:tblDescription w:val="En una tabla a manera de diagrama, que contiene de 5 columnas, se hace referencia al Servicio de Radiodifusión en las modalidades TDT, FM y AM su inclusión en el Programa 2017, tanto para la modalidad comercial como pública."/>
      </w:tblPr>
      <w:tblGrid>
        <w:gridCol w:w="1332"/>
        <w:gridCol w:w="588"/>
        <w:gridCol w:w="1415"/>
        <w:gridCol w:w="1277"/>
        <w:gridCol w:w="1494"/>
        <w:gridCol w:w="999"/>
      </w:tblGrid>
      <w:tr w:rsidR="005B12CA" w:rsidRPr="005B12CA" w:rsidTr="004A714B">
        <w:trPr>
          <w:trHeight w:val="20"/>
          <w:tblHeader/>
          <w:jc w:val="center"/>
        </w:trPr>
        <w:tc>
          <w:tcPr>
            <w:tcW w:w="1920" w:type="dxa"/>
            <w:gridSpan w:val="2"/>
            <w:shd w:val="pct40" w:color="auto" w:fill="auto"/>
            <w:vAlign w:val="center"/>
          </w:tcPr>
          <w:p w:rsidR="005B12CA" w:rsidRPr="005B12CA" w:rsidRDefault="005B12CA" w:rsidP="005B12CA">
            <w:pPr>
              <w:spacing w:after="101" w:line="224"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Servicio</w:t>
            </w:r>
          </w:p>
        </w:tc>
        <w:tc>
          <w:tcPr>
            <w:tcW w:w="1415" w:type="dxa"/>
            <w:shd w:val="pct40" w:color="auto" w:fill="auto"/>
            <w:vAlign w:val="center"/>
          </w:tcPr>
          <w:p w:rsidR="005B12CA" w:rsidRPr="005B12CA" w:rsidRDefault="005B12CA" w:rsidP="005B12CA">
            <w:pPr>
              <w:spacing w:after="101" w:line="224"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Modalidad de Uso</w:t>
            </w:r>
          </w:p>
        </w:tc>
        <w:tc>
          <w:tcPr>
            <w:tcW w:w="1277" w:type="dxa"/>
            <w:shd w:val="pct40" w:color="auto" w:fill="auto"/>
            <w:vAlign w:val="center"/>
          </w:tcPr>
          <w:p w:rsidR="005B12CA" w:rsidRPr="005B12CA" w:rsidRDefault="005B12CA" w:rsidP="005B12CA">
            <w:pPr>
              <w:spacing w:after="101" w:line="224"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Incluidas en el Programa 2017</w:t>
            </w:r>
          </w:p>
        </w:tc>
        <w:tc>
          <w:tcPr>
            <w:tcW w:w="1494" w:type="dxa"/>
            <w:shd w:val="pct40" w:color="auto" w:fill="auto"/>
            <w:vAlign w:val="center"/>
          </w:tcPr>
          <w:p w:rsidR="005B12CA" w:rsidRPr="005B12CA" w:rsidRDefault="005B12CA" w:rsidP="005B12CA">
            <w:pPr>
              <w:spacing w:after="101" w:line="224"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 xml:space="preserve">Incluidas en </w:t>
            </w:r>
            <w:smartTag w:uri="urn:schemas-microsoft-com:office:smarttags" w:element="PersonName">
              <w:smartTagPr>
                <w:attr w:name="ProductID" w:val="la Modificaci￳n"/>
              </w:smartTagPr>
              <w:r w:rsidRPr="005B12CA">
                <w:rPr>
                  <w:rFonts w:ascii="Arial" w:eastAsia="Times New Roman" w:hAnsi="Arial" w:cs="Arial"/>
                  <w:b/>
                  <w:sz w:val="16"/>
                  <w:szCs w:val="16"/>
                  <w:lang w:val="es-ES" w:eastAsia="es-ES"/>
                </w:rPr>
                <w:t>la Modificación</w:t>
              </w:r>
            </w:smartTag>
            <w:r w:rsidRPr="005B12CA">
              <w:rPr>
                <w:rFonts w:ascii="Arial" w:eastAsia="Times New Roman" w:hAnsi="Arial" w:cs="Arial"/>
                <w:b/>
                <w:sz w:val="16"/>
                <w:szCs w:val="16"/>
                <w:lang w:val="es-ES" w:eastAsia="es-ES"/>
              </w:rPr>
              <w:t xml:space="preserve"> al Programa 2017</w:t>
            </w:r>
          </w:p>
        </w:tc>
        <w:tc>
          <w:tcPr>
            <w:tcW w:w="999" w:type="dxa"/>
            <w:shd w:val="pct40" w:color="auto" w:fill="auto"/>
            <w:vAlign w:val="center"/>
          </w:tcPr>
          <w:p w:rsidR="005B12CA" w:rsidRPr="005B12CA" w:rsidRDefault="005B12CA" w:rsidP="005B12CA">
            <w:pPr>
              <w:spacing w:after="101" w:line="224"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Total</w:t>
            </w:r>
          </w:p>
        </w:tc>
      </w:tr>
      <w:tr w:rsidR="005B12CA" w:rsidRPr="005B12CA" w:rsidTr="004A714B">
        <w:trPr>
          <w:trHeight w:val="20"/>
          <w:jc w:val="center"/>
        </w:trPr>
        <w:tc>
          <w:tcPr>
            <w:tcW w:w="1332" w:type="dxa"/>
            <w:vMerge w:val="restart"/>
            <w:shd w:val="clear" w:color="auto" w:fill="C0C0C0"/>
            <w:vAlign w:val="center"/>
          </w:tcPr>
          <w:p w:rsidR="005B12CA" w:rsidRPr="005B12CA" w:rsidRDefault="005B12CA" w:rsidP="005B12CA">
            <w:pPr>
              <w:spacing w:after="101" w:line="224"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Radiodifusión</w:t>
            </w:r>
          </w:p>
        </w:tc>
        <w:tc>
          <w:tcPr>
            <w:tcW w:w="588" w:type="dxa"/>
            <w:vMerge w:val="restart"/>
            <w:shd w:val="clear" w:color="auto" w:fill="C0C0C0"/>
            <w:vAlign w:val="center"/>
          </w:tcPr>
          <w:p w:rsidR="005B12CA" w:rsidRPr="005B12CA" w:rsidRDefault="005B12CA" w:rsidP="005B12CA">
            <w:pPr>
              <w:spacing w:after="101" w:line="224"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TDT</w:t>
            </w:r>
          </w:p>
        </w:tc>
        <w:tc>
          <w:tcPr>
            <w:tcW w:w="1415" w:type="dxa"/>
            <w:shd w:val="clear" w:color="auto" w:fill="C0C0C0"/>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Comercial</w:t>
            </w:r>
          </w:p>
        </w:tc>
        <w:tc>
          <w:tcPr>
            <w:tcW w:w="1277" w:type="dxa"/>
            <w:shd w:val="clear" w:color="auto" w:fill="C0C0C0"/>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0</w:t>
            </w:r>
          </w:p>
        </w:tc>
        <w:tc>
          <w:tcPr>
            <w:tcW w:w="1494" w:type="dxa"/>
            <w:shd w:val="clear" w:color="auto" w:fill="C0C0C0"/>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0</w:t>
            </w:r>
          </w:p>
        </w:tc>
        <w:tc>
          <w:tcPr>
            <w:tcW w:w="999" w:type="dxa"/>
            <w:shd w:val="clear" w:color="auto" w:fill="C0C0C0"/>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0</w:t>
            </w:r>
          </w:p>
        </w:tc>
      </w:tr>
      <w:tr w:rsidR="005B12CA" w:rsidRPr="005B12CA" w:rsidTr="004A714B">
        <w:trPr>
          <w:trHeight w:val="20"/>
          <w:jc w:val="center"/>
        </w:trPr>
        <w:tc>
          <w:tcPr>
            <w:tcW w:w="1332" w:type="dxa"/>
            <w:vMerge/>
            <w:vAlign w:val="center"/>
          </w:tcPr>
          <w:p w:rsidR="005B12CA" w:rsidRPr="005B12CA" w:rsidRDefault="005B12CA" w:rsidP="005B12CA">
            <w:pPr>
              <w:spacing w:after="101" w:line="224" w:lineRule="exact"/>
              <w:jc w:val="center"/>
              <w:rPr>
                <w:rFonts w:ascii="Arial" w:eastAsia="Times New Roman" w:hAnsi="Arial" w:cs="Arial"/>
                <w:b/>
                <w:sz w:val="16"/>
                <w:szCs w:val="16"/>
                <w:lang w:val="es-ES" w:eastAsia="es-ES"/>
              </w:rPr>
            </w:pPr>
          </w:p>
        </w:tc>
        <w:tc>
          <w:tcPr>
            <w:tcW w:w="588" w:type="dxa"/>
            <w:vMerge/>
            <w:vAlign w:val="center"/>
          </w:tcPr>
          <w:p w:rsidR="005B12CA" w:rsidRPr="005B12CA" w:rsidRDefault="005B12CA" w:rsidP="005B12CA">
            <w:pPr>
              <w:spacing w:after="101" w:line="224" w:lineRule="exact"/>
              <w:jc w:val="center"/>
              <w:rPr>
                <w:rFonts w:ascii="Arial" w:eastAsia="Times New Roman" w:hAnsi="Arial" w:cs="Arial"/>
                <w:b/>
                <w:sz w:val="16"/>
                <w:szCs w:val="16"/>
                <w:lang w:val="es-ES" w:eastAsia="es-ES"/>
              </w:rPr>
            </w:pPr>
          </w:p>
        </w:tc>
        <w:tc>
          <w:tcPr>
            <w:tcW w:w="1415" w:type="dxa"/>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Público</w:t>
            </w:r>
          </w:p>
        </w:tc>
        <w:tc>
          <w:tcPr>
            <w:tcW w:w="1277" w:type="dxa"/>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w:t>
            </w:r>
          </w:p>
        </w:tc>
        <w:tc>
          <w:tcPr>
            <w:tcW w:w="1494" w:type="dxa"/>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9</w:t>
            </w:r>
          </w:p>
        </w:tc>
        <w:tc>
          <w:tcPr>
            <w:tcW w:w="999" w:type="dxa"/>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10</w:t>
            </w:r>
          </w:p>
        </w:tc>
      </w:tr>
      <w:tr w:rsidR="005B12CA" w:rsidRPr="005B12CA" w:rsidTr="004A714B">
        <w:trPr>
          <w:trHeight w:val="20"/>
          <w:jc w:val="center"/>
        </w:trPr>
        <w:tc>
          <w:tcPr>
            <w:tcW w:w="1332" w:type="dxa"/>
            <w:vMerge/>
            <w:shd w:val="clear" w:color="auto" w:fill="C0C0C0"/>
            <w:vAlign w:val="center"/>
          </w:tcPr>
          <w:p w:rsidR="005B12CA" w:rsidRPr="005B12CA" w:rsidRDefault="005B12CA" w:rsidP="005B12CA">
            <w:pPr>
              <w:spacing w:after="101" w:line="224" w:lineRule="exact"/>
              <w:jc w:val="center"/>
              <w:rPr>
                <w:rFonts w:ascii="Arial" w:eastAsia="Times New Roman" w:hAnsi="Arial" w:cs="Arial"/>
                <w:b/>
                <w:sz w:val="16"/>
                <w:szCs w:val="16"/>
                <w:lang w:val="es-ES" w:eastAsia="es-ES"/>
              </w:rPr>
            </w:pPr>
          </w:p>
        </w:tc>
        <w:tc>
          <w:tcPr>
            <w:tcW w:w="588" w:type="dxa"/>
            <w:vMerge/>
            <w:shd w:val="clear" w:color="auto" w:fill="C0C0C0"/>
            <w:vAlign w:val="center"/>
          </w:tcPr>
          <w:p w:rsidR="005B12CA" w:rsidRPr="005B12CA" w:rsidRDefault="005B12CA" w:rsidP="005B12CA">
            <w:pPr>
              <w:spacing w:after="101" w:line="224" w:lineRule="exact"/>
              <w:jc w:val="center"/>
              <w:rPr>
                <w:rFonts w:ascii="Arial" w:eastAsia="Times New Roman" w:hAnsi="Arial" w:cs="Arial"/>
                <w:b/>
                <w:sz w:val="16"/>
                <w:szCs w:val="16"/>
                <w:lang w:val="es-ES" w:eastAsia="es-ES"/>
              </w:rPr>
            </w:pPr>
          </w:p>
        </w:tc>
        <w:tc>
          <w:tcPr>
            <w:tcW w:w="1415" w:type="dxa"/>
            <w:shd w:val="clear" w:color="auto" w:fill="C0C0C0"/>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Social</w:t>
            </w:r>
          </w:p>
        </w:tc>
        <w:tc>
          <w:tcPr>
            <w:tcW w:w="1277" w:type="dxa"/>
            <w:shd w:val="clear" w:color="auto" w:fill="C0C0C0"/>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5</w:t>
            </w:r>
          </w:p>
        </w:tc>
        <w:tc>
          <w:tcPr>
            <w:tcW w:w="1494" w:type="dxa"/>
            <w:shd w:val="clear" w:color="auto" w:fill="C0C0C0"/>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5</w:t>
            </w:r>
          </w:p>
        </w:tc>
        <w:tc>
          <w:tcPr>
            <w:tcW w:w="999" w:type="dxa"/>
            <w:shd w:val="clear" w:color="auto" w:fill="C0C0C0"/>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10</w:t>
            </w:r>
          </w:p>
        </w:tc>
      </w:tr>
      <w:tr w:rsidR="005B12CA" w:rsidRPr="005B12CA" w:rsidTr="004A714B">
        <w:trPr>
          <w:trHeight w:val="20"/>
          <w:jc w:val="center"/>
        </w:trPr>
        <w:tc>
          <w:tcPr>
            <w:tcW w:w="1332" w:type="dxa"/>
            <w:vMerge/>
            <w:vAlign w:val="center"/>
          </w:tcPr>
          <w:p w:rsidR="005B12CA" w:rsidRPr="005B12CA" w:rsidRDefault="005B12CA" w:rsidP="005B12CA">
            <w:pPr>
              <w:spacing w:after="101" w:line="224" w:lineRule="exact"/>
              <w:jc w:val="center"/>
              <w:rPr>
                <w:rFonts w:ascii="Arial" w:eastAsia="Times New Roman" w:hAnsi="Arial" w:cs="Arial"/>
                <w:b/>
                <w:sz w:val="16"/>
                <w:szCs w:val="16"/>
                <w:lang w:val="es-ES" w:eastAsia="es-ES"/>
              </w:rPr>
            </w:pPr>
          </w:p>
        </w:tc>
        <w:tc>
          <w:tcPr>
            <w:tcW w:w="588" w:type="dxa"/>
            <w:vMerge w:val="restart"/>
            <w:vAlign w:val="center"/>
          </w:tcPr>
          <w:p w:rsidR="005B12CA" w:rsidRPr="005B12CA" w:rsidRDefault="005B12CA" w:rsidP="005B12CA">
            <w:pPr>
              <w:spacing w:after="101" w:line="224"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FM</w:t>
            </w:r>
          </w:p>
        </w:tc>
        <w:tc>
          <w:tcPr>
            <w:tcW w:w="1415" w:type="dxa"/>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Comercial</w:t>
            </w:r>
          </w:p>
        </w:tc>
        <w:tc>
          <w:tcPr>
            <w:tcW w:w="1277" w:type="dxa"/>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9</w:t>
            </w:r>
          </w:p>
        </w:tc>
        <w:tc>
          <w:tcPr>
            <w:tcW w:w="1494" w:type="dxa"/>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18</w:t>
            </w:r>
          </w:p>
        </w:tc>
        <w:tc>
          <w:tcPr>
            <w:tcW w:w="999" w:type="dxa"/>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27</w:t>
            </w:r>
          </w:p>
        </w:tc>
      </w:tr>
      <w:tr w:rsidR="005B12CA" w:rsidRPr="005B12CA" w:rsidTr="004A714B">
        <w:trPr>
          <w:trHeight w:val="20"/>
          <w:jc w:val="center"/>
        </w:trPr>
        <w:tc>
          <w:tcPr>
            <w:tcW w:w="1332" w:type="dxa"/>
            <w:vMerge/>
            <w:shd w:val="clear" w:color="auto" w:fill="C0C0C0"/>
            <w:vAlign w:val="center"/>
          </w:tcPr>
          <w:p w:rsidR="005B12CA" w:rsidRPr="005B12CA" w:rsidRDefault="005B12CA" w:rsidP="005B12CA">
            <w:pPr>
              <w:spacing w:after="101" w:line="224" w:lineRule="exact"/>
              <w:jc w:val="center"/>
              <w:rPr>
                <w:rFonts w:ascii="Arial" w:eastAsia="Times New Roman" w:hAnsi="Arial" w:cs="Arial"/>
                <w:b/>
                <w:sz w:val="16"/>
                <w:szCs w:val="16"/>
                <w:lang w:val="es-ES" w:eastAsia="es-ES"/>
              </w:rPr>
            </w:pPr>
          </w:p>
        </w:tc>
        <w:tc>
          <w:tcPr>
            <w:tcW w:w="588" w:type="dxa"/>
            <w:vMerge/>
            <w:shd w:val="clear" w:color="auto" w:fill="C0C0C0"/>
            <w:vAlign w:val="center"/>
          </w:tcPr>
          <w:p w:rsidR="005B12CA" w:rsidRPr="005B12CA" w:rsidRDefault="005B12CA" w:rsidP="005B12CA">
            <w:pPr>
              <w:spacing w:after="101" w:line="224" w:lineRule="exact"/>
              <w:jc w:val="center"/>
              <w:rPr>
                <w:rFonts w:ascii="Arial" w:eastAsia="Times New Roman" w:hAnsi="Arial" w:cs="Arial"/>
                <w:b/>
                <w:sz w:val="16"/>
                <w:szCs w:val="16"/>
                <w:lang w:val="es-ES" w:eastAsia="es-ES"/>
              </w:rPr>
            </w:pPr>
          </w:p>
        </w:tc>
        <w:tc>
          <w:tcPr>
            <w:tcW w:w="1415" w:type="dxa"/>
            <w:shd w:val="clear" w:color="auto" w:fill="C0C0C0"/>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Público</w:t>
            </w:r>
          </w:p>
        </w:tc>
        <w:tc>
          <w:tcPr>
            <w:tcW w:w="1277" w:type="dxa"/>
            <w:shd w:val="clear" w:color="auto" w:fill="C0C0C0"/>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4</w:t>
            </w:r>
          </w:p>
        </w:tc>
        <w:tc>
          <w:tcPr>
            <w:tcW w:w="1494" w:type="dxa"/>
            <w:shd w:val="clear" w:color="auto" w:fill="C0C0C0"/>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20</w:t>
            </w:r>
          </w:p>
        </w:tc>
        <w:tc>
          <w:tcPr>
            <w:tcW w:w="999" w:type="dxa"/>
            <w:shd w:val="clear" w:color="auto" w:fill="C0C0C0"/>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24</w:t>
            </w:r>
          </w:p>
        </w:tc>
      </w:tr>
      <w:tr w:rsidR="005B12CA" w:rsidRPr="005B12CA" w:rsidTr="004A714B">
        <w:trPr>
          <w:trHeight w:val="20"/>
          <w:jc w:val="center"/>
        </w:trPr>
        <w:tc>
          <w:tcPr>
            <w:tcW w:w="1332" w:type="dxa"/>
            <w:vMerge/>
            <w:vAlign w:val="center"/>
          </w:tcPr>
          <w:p w:rsidR="005B12CA" w:rsidRPr="005B12CA" w:rsidRDefault="005B12CA" w:rsidP="005B12CA">
            <w:pPr>
              <w:spacing w:after="101" w:line="224" w:lineRule="exact"/>
              <w:jc w:val="center"/>
              <w:rPr>
                <w:rFonts w:ascii="Arial" w:eastAsia="Times New Roman" w:hAnsi="Arial" w:cs="Arial"/>
                <w:b/>
                <w:sz w:val="16"/>
                <w:szCs w:val="16"/>
                <w:lang w:val="es-ES" w:eastAsia="es-ES"/>
              </w:rPr>
            </w:pPr>
          </w:p>
        </w:tc>
        <w:tc>
          <w:tcPr>
            <w:tcW w:w="588" w:type="dxa"/>
            <w:vMerge/>
            <w:vAlign w:val="center"/>
          </w:tcPr>
          <w:p w:rsidR="005B12CA" w:rsidRPr="005B12CA" w:rsidRDefault="005B12CA" w:rsidP="005B12CA">
            <w:pPr>
              <w:spacing w:after="101" w:line="224" w:lineRule="exact"/>
              <w:jc w:val="center"/>
              <w:rPr>
                <w:rFonts w:ascii="Arial" w:eastAsia="Times New Roman" w:hAnsi="Arial" w:cs="Arial"/>
                <w:b/>
                <w:sz w:val="16"/>
                <w:szCs w:val="16"/>
                <w:lang w:val="es-ES" w:eastAsia="es-ES"/>
              </w:rPr>
            </w:pPr>
          </w:p>
        </w:tc>
        <w:tc>
          <w:tcPr>
            <w:tcW w:w="1415" w:type="dxa"/>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Social</w:t>
            </w:r>
          </w:p>
        </w:tc>
        <w:tc>
          <w:tcPr>
            <w:tcW w:w="1277" w:type="dxa"/>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13</w:t>
            </w:r>
          </w:p>
        </w:tc>
        <w:tc>
          <w:tcPr>
            <w:tcW w:w="1494" w:type="dxa"/>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17</w:t>
            </w:r>
          </w:p>
        </w:tc>
        <w:tc>
          <w:tcPr>
            <w:tcW w:w="999" w:type="dxa"/>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30</w:t>
            </w:r>
          </w:p>
        </w:tc>
      </w:tr>
      <w:tr w:rsidR="005B12CA" w:rsidRPr="005B12CA" w:rsidTr="004A714B">
        <w:trPr>
          <w:trHeight w:val="20"/>
          <w:jc w:val="center"/>
        </w:trPr>
        <w:tc>
          <w:tcPr>
            <w:tcW w:w="1332" w:type="dxa"/>
            <w:vMerge/>
            <w:shd w:val="clear" w:color="auto" w:fill="C0C0C0"/>
            <w:vAlign w:val="center"/>
          </w:tcPr>
          <w:p w:rsidR="005B12CA" w:rsidRPr="005B12CA" w:rsidRDefault="005B12CA" w:rsidP="005B12CA">
            <w:pPr>
              <w:spacing w:after="101" w:line="224" w:lineRule="exact"/>
              <w:jc w:val="center"/>
              <w:rPr>
                <w:rFonts w:ascii="Arial" w:eastAsia="Times New Roman" w:hAnsi="Arial" w:cs="Arial"/>
                <w:b/>
                <w:sz w:val="16"/>
                <w:szCs w:val="16"/>
                <w:lang w:val="es-ES" w:eastAsia="es-ES"/>
              </w:rPr>
            </w:pPr>
          </w:p>
        </w:tc>
        <w:tc>
          <w:tcPr>
            <w:tcW w:w="588" w:type="dxa"/>
            <w:vMerge w:val="restart"/>
            <w:shd w:val="clear" w:color="auto" w:fill="C0C0C0"/>
            <w:vAlign w:val="center"/>
          </w:tcPr>
          <w:p w:rsidR="005B12CA" w:rsidRPr="005B12CA" w:rsidRDefault="005B12CA" w:rsidP="005B12CA">
            <w:pPr>
              <w:spacing w:after="101" w:line="224"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AM</w:t>
            </w:r>
          </w:p>
        </w:tc>
        <w:tc>
          <w:tcPr>
            <w:tcW w:w="1415" w:type="dxa"/>
            <w:shd w:val="clear" w:color="auto" w:fill="C0C0C0"/>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Comercial</w:t>
            </w:r>
          </w:p>
        </w:tc>
        <w:tc>
          <w:tcPr>
            <w:tcW w:w="1277" w:type="dxa"/>
            <w:shd w:val="clear" w:color="auto" w:fill="C0C0C0"/>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0</w:t>
            </w:r>
          </w:p>
        </w:tc>
        <w:tc>
          <w:tcPr>
            <w:tcW w:w="1494" w:type="dxa"/>
            <w:shd w:val="clear" w:color="auto" w:fill="C0C0C0"/>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30</w:t>
            </w:r>
          </w:p>
        </w:tc>
        <w:tc>
          <w:tcPr>
            <w:tcW w:w="999" w:type="dxa"/>
            <w:shd w:val="clear" w:color="auto" w:fill="C0C0C0"/>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30</w:t>
            </w:r>
          </w:p>
        </w:tc>
      </w:tr>
      <w:tr w:rsidR="005B12CA" w:rsidRPr="005B12CA" w:rsidTr="004A714B">
        <w:trPr>
          <w:trHeight w:val="20"/>
          <w:jc w:val="center"/>
        </w:trPr>
        <w:tc>
          <w:tcPr>
            <w:tcW w:w="1332" w:type="dxa"/>
            <w:vMerge/>
            <w:vAlign w:val="center"/>
          </w:tcPr>
          <w:p w:rsidR="005B12CA" w:rsidRPr="005B12CA" w:rsidRDefault="005B12CA" w:rsidP="005B12CA">
            <w:pPr>
              <w:spacing w:after="101" w:line="224" w:lineRule="exact"/>
              <w:jc w:val="center"/>
              <w:rPr>
                <w:rFonts w:ascii="Arial" w:eastAsia="Times New Roman" w:hAnsi="Arial" w:cs="Arial"/>
                <w:b/>
                <w:sz w:val="16"/>
                <w:szCs w:val="16"/>
                <w:lang w:val="es-ES" w:eastAsia="es-ES"/>
              </w:rPr>
            </w:pPr>
          </w:p>
        </w:tc>
        <w:tc>
          <w:tcPr>
            <w:tcW w:w="588" w:type="dxa"/>
            <w:vMerge/>
            <w:vAlign w:val="center"/>
          </w:tcPr>
          <w:p w:rsidR="005B12CA" w:rsidRPr="005B12CA" w:rsidRDefault="005B12CA" w:rsidP="005B12CA">
            <w:pPr>
              <w:spacing w:after="101" w:line="224" w:lineRule="exact"/>
              <w:jc w:val="center"/>
              <w:rPr>
                <w:rFonts w:ascii="Arial" w:eastAsia="Times New Roman" w:hAnsi="Arial" w:cs="Arial"/>
                <w:b/>
                <w:sz w:val="16"/>
                <w:szCs w:val="16"/>
                <w:lang w:val="es-ES" w:eastAsia="es-ES"/>
              </w:rPr>
            </w:pPr>
          </w:p>
        </w:tc>
        <w:tc>
          <w:tcPr>
            <w:tcW w:w="1415" w:type="dxa"/>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Público</w:t>
            </w:r>
          </w:p>
        </w:tc>
        <w:tc>
          <w:tcPr>
            <w:tcW w:w="1277" w:type="dxa"/>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2</w:t>
            </w:r>
          </w:p>
        </w:tc>
        <w:tc>
          <w:tcPr>
            <w:tcW w:w="1494" w:type="dxa"/>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4</w:t>
            </w:r>
          </w:p>
        </w:tc>
        <w:tc>
          <w:tcPr>
            <w:tcW w:w="999" w:type="dxa"/>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6</w:t>
            </w:r>
          </w:p>
        </w:tc>
      </w:tr>
      <w:tr w:rsidR="005B12CA" w:rsidRPr="005B12CA" w:rsidTr="004A714B">
        <w:trPr>
          <w:trHeight w:val="20"/>
          <w:jc w:val="center"/>
        </w:trPr>
        <w:tc>
          <w:tcPr>
            <w:tcW w:w="1332" w:type="dxa"/>
            <w:vMerge/>
            <w:shd w:val="clear" w:color="auto" w:fill="C0C0C0"/>
            <w:vAlign w:val="center"/>
          </w:tcPr>
          <w:p w:rsidR="005B12CA" w:rsidRPr="005B12CA" w:rsidRDefault="005B12CA" w:rsidP="005B12CA">
            <w:pPr>
              <w:spacing w:after="101" w:line="224" w:lineRule="exact"/>
              <w:jc w:val="center"/>
              <w:rPr>
                <w:rFonts w:ascii="Arial" w:eastAsia="Times New Roman" w:hAnsi="Arial" w:cs="Arial"/>
                <w:b/>
                <w:sz w:val="16"/>
                <w:szCs w:val="16"/>
                <w:lang w:val="es-ES" w:eastAsia="es-ES"/>
              </w:rPr>
            </w:pPr>
          </w:p>
        </w:tc>
        <w:tc>
          <w:tcPr>
            <w:tcW w:w="588" w:type="dxa"/>
            <w:vMerge/>
            <w:shd w:val="clear" w:color="auto" w:fill="C0C0C0"/>
            <w:vAlign w:val="center"/>
          </w:tcPr>
          <w:p w:rsidR="005B12CA" w:rsidRPr="005B12CA" w:rsidRDefault="005B12CA" w:rsidP="005B12CA">
            <w:pPr>
              <w:spacing w:after="101" w:line="224" w:lineRule="exact"/>
              <w:jc w:val="center"/>
              <w:rPr>
                <w:rFonts w:ascii="Arial" w:eastAsia="Times New Roman" w:hAnsi="Arial" w:cs="Arial"/>
                <w:b/>
                <w:sz w:val="16"/>
                <w:szCs w:val="16"/>
                <w:lang w:val="es-ES" w:eastAsia="es-ES"/>
              </w:rPr>
            </w:pPr>
          </w:p>
        </w:tc>
        <w:tc>
          <w:tcPr>
            <w:tcW w:w="1415" w:type="dxa"/>
            <w:shd w:val="clear" w:color="auto" w:fill="C0C0C0"/>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Social</w:t>
            </w:r>
          </w:p>
        </w:tc>
        <w:tc>
          <w:tcPr>
            <w:tcW w:w="1277" w:type="dxa"/>
            <w:shd w:val="clear" w:color="auto" w:fill="C0C0C0"/>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18</w:t>
            </w:r>
          </w:p>
        </w:tc>
        <w:tc>
          <w:tcPr>
            <w:tcW w:w="1494" w:type="dxa"/>
            <w:shd w:val="clear" w:color="auto" w:fill="C0C0C0"/>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9</w:t>
            </w:r>
          </w:p>
        </w:tc>
        <w:tc>
          <w:tcPr>
            <w:tcW w:w="999" w:type="dxa"/>
            <w:shd w:val="clear" w:color="auto" w:fill="C0C0C0"/>
            <w:vAlign w:val="center"/>
          </w:tcPr>
          <w:p w:rsidR="005B12CA" w:rsidRPr="005B12CA" w:rsidRDefault="005B12CA" w:rsidP="005B12CA">
            <w:pPr>
              <w:spacing w:after="101" w:line="22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27</w:t>
            </w:r>
          </w:p>
        </w:tc>
      </w:tr>
    </w:tbl>
    <w:p w:rsidR="005B12CA" w:rsidRPr="005B12CA" w:rsidRDefault="005B12CA" w:rsidP="004A714B">
      <w:pPr>
        <w:spacing w:before="240" w:after="101" w:line="224" w:lineRule="exact"/>
        <w:ind w:left="864" w:hanging="576"/>
        <w:jc w:val="both"/>
        <w:rPr>
          <w:rFonts w:ascii="Arial" w:eastAsia="Times New Roman" w:hAnsi="Arial" w:cs="Arial"/>
          <w:b/>
          <w:sz w:val="18"/>
          <w:lang w:val="es-ES" w:eastAsia="es-ES"/>
        </w:rPr>
      </w:pPr>
      <w:r w:rsidRPr="005B12CA">
        <w:rPr>
          <w:rFonts w:ascii="Arial" w:eastAsia="Times New Roman" w:hAnsi="Arial" w:cs="Arial"/>
          <w:b/>
          <w:sz w:val="18"/>
          <w:lang w:val="es-ES" w:eastAsia="es-ES"/>
        </w:rPr>
        <w:t>2.1</w:t>
      </w:r>
      <w:r w:rsidRPr="005B12CA">
        <w:rPr>
          <w:rFonts w:ascii="Arial" w:eastAsia="Times New Roman" w:hAnsi="Arial" w:cs="Arial"/>
          <w:b/>
          <w:sz w:val="18"/>
          <w:lang w:val="es-ES" w:eastAsia="es-ES"/>
        </w:rPr>
        <w:tab/>
        <w:t>Televisión Digital Terrestre.</w:t>
      </w:r>
    </w:p>
    <w:p w:rsidR="005B12CA" w:rsidRPr="005B12CA" w:rsidRDefault="005B12CA" w:rsidP="005B12CA">
      <w:pPr>
        <w:spacing w:after="101" w:line="224" w:lineRule="exact"/>
        <w:ind w:left="864" w:hanging="576"/>
        <w:jc w:val="both"/>
        <w:rPr>
          <w:rFonts w:ascii="Arial" w:eastAsia="Times New Roman" w:hAnsi="Arial" w:cs="Arial"/>
          <w:b/>
          <w:sz w:val="18"/>
          <w:lang w:val="es-ES" w:eastAsia="es-ES"/>
        </w:rPr>
      </w:pPr>
      <w:r w:rsidRPr="005B12CA">
        <w:rPr>
          <w:rFonts w:ascii="Arial" w:eastAsia="Times New Roman" w:hAnsi="Arial" w:cs="Arial"/>
          <w:b/>
          <w:sz w:val="18"/>
          <w:lang w:val="es-ES" w:eastAsia="es-ES"/>
        </w:rPr>
        <w:tab/>
        <w:t>2.1.1 Uso Comercial.</w:t>
      </w:r>
    </w:p>
    <w:p w:rsidR="005B12CA" w:rsidRPr="005B12CA" w:rsidRDefault="005B12CA" w:rsidP="005B12CA">
      <w:pPr>
        <w:spacing w:after="101" w:line="224"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El Decreto de Reforma Constitucional estableció en la fracción II del artículo Octavo Transitorio un plazo no mayor de 180 días naturales a partir de su integración para que el Instituto publicase las bases y convocatorias para licitar nuevas concesiones de frecuencias de televisión radiodifundida que deberán ser agrupadas a efecto de formar por lo menos dos nuevas cadenas de televisión con cobertura nacional.</w:t>
      </w:r>
    </w:p>
    <w:p w:rsidR="005B12CA" w:rsidRPr="005B12CA" w:rsidRDefault="005B12CA" w:rsidP="005B12CA">
      <w:pPr>
        <w:spacing w:after="101" w:line="224"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En cumplimiento a lo anterior, el Instituto llevó a cabo el procedimiento de licitación respectivo, para lo cual el 6 de marzo de 2014 el Pleno del Instituto aprobó </w:t>
      </w:r>
      <w:smartTag w:uri="urn:schemas-microsoft-com:office:smarttags" w:element="PersonName">
        <w:smartTagPr>
          <w:attr w:name="ProductID" w:val="la Convocatoria"/>
        </w:smartTagPr>
        <w:r w:rsidRPr="005B12CA">
          <w:rPr>
            <w:rFonts w:ascii="Arial" w:eastAsia="Times New Roman" w:hAnsi="Arial" w:cs="Arial"/>
            <w:sz w:val="18"/>
            <w:lang w:val="es-ES" w:eastAsia="es-ES"/>
          </w:rPr>
          <w:t>la Convocatoria</w:t>
        </w:r>
      </w:smartTag>
      <w:r w:rsidRPr="005B12CA">
        <w:rPr>
          <w:rFonts w:ascii="Arial" w:eastAsia="Times New Roman" w:hAnsi="Arial" w:cs="Arial"/>
          <w:sz w:val="18"/>
          <w:lang w:val="es-ES" w:eastAsia="es-ES"/>
        </w:rPr>
        <w:t xml:space="preserve"> y las Bases a </w:t>
      </w:r>
      <w:smartTag w:uri="urn:schemas-microsoft-com:office:smarttags" w:element="PersonName">
        <w:smartTagPr>
          <w:attr w:name="ProductID" w:val="la Licitaci￳n P￺blica"/>
        </w:smartTagPr>
        <w:r w:rsidRPr="005B12CA">
          <w:rPr>
            <w:rFonts w:ascii="Arial" w:eastAsia="Times New Roman" w:hAnsi="Arial" w:cs="Arial"/>
            <w:sz w:val="18"/>
            <w:lang w:val="es-ES" w:eastAsia="es-ES"/>
          </w:rPr>
          <w:t>la Licitación Pública</w:t>
        </w:r>
      </w:smartTag>
      <w:r w:rsidRPr="005B12CA">
        <w:rPr>
          <w:rFonts w:ascii="Arial" w:eastAsia="Times New Roman" w:hAnsi="Arial" w:cs="Arial"/>
          <w:sz w:val="18"/>
          <w:lang w:val="es-ES" w:eastAsia="es-ES"/>
        </w:rPr>
        <w:t xml:space="preserve"> para Concesionar el Uso, Aprovechamiento y Explotación Comercial de Canales de Transmisión para </w:t>
      </w:r>
      <w:smartTag w:uri="urn:schemas-microsoft-com:office:smarttags" w:element="PersonName">
        <w:smartTagPr>
          <w:attr w:name="ProductID" w:val="la Prestaci￳n"/>
        </w:smartTagPr>
        <w:r w:rsidRPr="005B12CA">
          <w:rPr>
            <w:rFonts w:ascii="Arial" w:eastAsia="Times New Roman" w:hAnsi="Arial" w:cs="Arial"/>
            <w:sz w:val="18"/>
            <w:lang w:val="es-ES" w:eastAsia="es-ES"/>
          </w:rPr>
          <w:t>la Prestación</w:t>
        </w:r>
      </w:smartTag>
      <w:r w:rsidRPr="005B12CA">
        <w:rPr>
          <w:rFonts w:ascii="Arial" w:eastAsia="Times New Roman" w:hAnsi="Arial" w:cs="Arial"/>
          <w:sz w:val="18"/>
          <w:lang w:val="es-ES" w:eastAsia="es-ES"/>
        </w:rPr>
        <w:t xml:space="preserve"> del Servicio Público de Televisión Radiodifundida Digital, a efecto de formar dos Cadenas Nacionales en los Estados Unidos Mexicanos (Licitación No. IFT-1), las cuales con posterioridad fueron modificadas por el Pleno, </w:t>
      </w:r>
      <w:smartTag w:uri="urn:schemas-microsoft-com:office:smarttags" w:element="PersonName">
        <w:smartTagPr>
          <w:attr w:name="ProductID" w:val="la Convocatoria"/>
        </w:smartTagPr>
        <w:r w:rsidRPr="005B12CA">
          <w:rPr>
            <w:rFonts w:ascii="Arial" w:eastAsia="Times New Roman" w:hAnsi="Arial" w:cs="Arial"/>
            <w:sz w:val="18"/>
            <w:lang w:val="es-ES" w:eastAsia="es-ES"/>
          </w:rPr>
          <w:t>la Convocatoria</w:t>
        </w:r>
      </w:smartTag>
      <w:r w:rsidRPr="005B12CA">
        <w:rPr>
          <w:rFonts w:ascii="Arial" w:eastAsia="Times New Roman" w:hAnsi="Arial" w:cs="Arial"/>
          <w:sz w:val="18"/>
          <w:lang w:val="es-ES" w:eastAsia="es-ES"/>
        </w:rPr>
        <w:t xml:space="preserve"> mediante Acuerdo de 12 de junio de 2014 y las Bases mediante Acuerdos de 12 de junio de 2014 y 24 de septiembre  </w:t>
      </w:r>
      <w:r w:rsidRPr="005B12CA">
        <w:rPr>
          <w:rFonts w:ascii="Arial" w:eastAsia="Times New Roman" w:hAnsi="Arial" w:cs="Arial"/>
          <w:spacing w:val="-2"/>
          <w:sz w:val="18"/>
          <w:lang w:val="es-ES" w:eastAsia="es-ES"/>
        </w:rPr>
        <w:t>de 2014. Como resultado del proceso licitatorio, uno de los concursos se declaró desierto a través de</w:t>
      </w:r>
      <w:r w:rsidRPr="005B12CA">
        <w:rPr>
          <w:rFonts w:ascii="Arial" w:eastAsia="Times New Roman" w:hAnsi="Arial" w:cs="Arial"/>
          <w:sz w:val="18"/>
          <w:lang w:val="es-ES" w:eastAsia="es-ES"/>
        </w:rPr>
        <w:t xml:space="preserve"> Acuerdo de Pleno P/IFT/EXT/130415/82, del 13 de abril de 2015, quedando sin asignar 123 canales de televisión digital terrestre (TDT) que cubren potencialmente en su conjunto a cerca del 92% de la población.</w:t>
      </w:r>
    </w:p>
    <w:p w:rsidR="005B12CA" w:rsidRPr="005B12CA" w:rsidRDefault="005B12CA" w:rsidP="005B12CA">
      <w:pPr>
        <w:spacing w:after="101" w:line="224"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En este sentido, si bien el Instituto ya ha cumplido cabalmente con el mandato constitucional de licitar dos cadenas nacionales de televisión, se consideró oportuno, a fin de contar con una mayor oferta de contenidos en televisión abierta y de conformidad con el artículo 6o. de </w:t>
      </w:r>
      <w:smartTag w:uri="urn:schemas-microsoft-com:office:smarttags" w:element="PersonName">
        <w:smartTagPr>
          <w:attr w:name="ProductID" w:val="la Constituci￳n"/>
        </w:smartTagPr>
        <w:r w:rsidRPr="005B12CA">
          <w:rPr>
            <w:rFonts w:ascii="Arial" w:eastAsia="Times New Roman" w:hAnsi="Arial" w:cs="Arial"/>
            <w:sz w:val="18"/>
            <w:lang w:val="es-ES" w:eastAsia="es-ES"/>
          </w:rPr>
          <w:t>la Constitución</w:t>
        </w:r>
      </w:smartTag>
      <w:r w:rsidRPr="005B12CA">
        <w:rPr>
          <w:rFonts w:ascii="Arial" w:eastAsia="Times New Roman" w:hAnsi="Arial" w:cs="Arial"/>
          <w:sz w:val="18"/>
          <w:lang w:val="es-ES" w:eastAsia="es-ES"/>
        </w:rPr>
        <w:t>, incluir en el Programa Anual de Uso y Aprovechamiento de Bandas de Frecuencias 2016 (Programa 2016) con sus modificaciones 123 zonas de cobertura de TDT asociadas a igual número canales en las bandas de VHF y UHF.</w:t>
      </w:r>
    </w:p>
    <w:p w:rsidR="005B12CA" w:rsidRPr="005B12CA" w:rsidRDefault="005B12CA" w:rsidP="005B12CA">
      <w:pPr>
        <w:spacing w:after="101" w:line="226"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Por ello, se publicó en el DOF de 25 de noviembre de 2016, la “CONVOCATORIA A </w:t>
      </w:r>
      <w:smartTag w:uri="urn:schemas-microsoft-com:office:smarttags" w:element="PersonName">
        <w:smartTagPr>
          <w:attr w:name="ProductID" w:val="la Licitaci￳n P￺blica"/>
        </w:smartTagPr>
        <w:r w:rsidRPr="005B12CA">
          <w:rPr>
            <w:rFonts w:ascii="Arial" w:eastAsia="Times New Roman" w:hAnsi="Arial" w:cs="Arial"/>
            <w:sz w:val="18"/>
            <w:lang w:val="es-ES" w:eastAsia="es-ES"/>
          </w:rPr>
          <w:t>LA LICITACIÓN PÚBLICA</w:t>
        </w:r>
      </w:smartTag>
      <w:r w:rsidRPr="005B12CA">
        <w:rPr>
          <w:rFonts w:ascii="Arial" w:eastAsia="Times New Roman" w:hAnsi="Arial" w:cs="Arial"/>
          <w:sz w:val="18"/>
          <w:lang w:val="es-ES" w:eastAsia="es-ES"/>
        </w:rPr>
        <w:t xml:space="preserve"> PARA CONCESIONAR EL USO, APROVECHAMIENTO Y EXPLOTACIÓN COMERCIAL DE 148 CANALES DE TRANSMISIÓN PARA </w:t>
      </w:r>
      <w:smartTag w:uri="urn:schemas-microsoft-com:office:smarttags" w:element="PersonName">
        <w:smartTagPr>
          <w:attr w:name="ProductID" w:val="LA PRESTACIￓN DEL"/>
        </w:smartTagPr>
        <w:r w:rsidRPr="005B12CA">
          <w:rPr>
            <w:rFonts w:ascii="Arial" w:eastAsia="Times New Roman" w:hAnsi="Arial" w:cs="Arial"/>
            <w:sz w:val="18"/>
            <w:lang w:val="es-ES" w:eastAsia="es-ES"/>
          </w:rPr>
          <w:t>LA PRESTACIÓN DEL</w:t>
        </w:r>
      </w:smartTag>
      <w:r w:rsidRPr="005B12CA">
        <w:rPr>
          <w:rFonts w:ascii="Arial" w:eastAsia="Times New Roman" w:hAnsi="Arial" w:cs="Arial"/>
          <w:sz w:val="18"/>
          <w:lang w:val="es-ES" w:eastAsia="es-ES"/>
        </w:rPr>
        <w:t xml:space="preserve"> SERVICIO PÚBLICO DE TELEVISIÓN RADIODIFUNDIDA DIGITAL (LICITACIÓN No. IFT-6)” y en la misma fecha en el Portal </w:t>
      </w:r>
      <w:r w:rsidRPr="005B12CA">
        <w:rPr>
          <w:rFonts w:ascii="Arial" w:eastAsia="Times New Roman" w:hAnsi="Arial" w:cs="Arial"/>
          <w:sz w:val="18"/>
          <w:lang w:val="es-ES" w:eastAsia="es-ES"/>
        </w:rPr>
        <w:lastRenderedPageBreak/>
        <w:t xml:space="preserve">del Instituto las Bases de </w:t>
      </w:r>
      <w:smartTag w:uri="urn:schemas-microsoft-com:office:smarttags" w:element="PersonName">
        <w:smartTagPr>
          <w:attr w:name="ProductID" w:val="la Licitaci￳n No."/>
        </w:smartTagPr>
        <w:r w:rsidRPr="005B12CA">
          <w:rPr>
            <w:rFonts w:ascii="Arial" w:eastAsia="Times New Roman" w:hAnsi="Arial" w:cs="Arial"/>
            <w:sz w:val="18"/>
            <w:lang w:val="es-ES" w:eastAsia="es-ES"/>
          </w:rPr>
          <w:t>la Licitación No.</w:t>
        </w:r>
      </w:smartTag>
      <w:r w:rsidRPr="005B12CA">
        <w:rPr>
          <w:rFonts w:ascii="Arial" w:eastAsia="Times New Roman" w:hAnsi="Arial" w:cs="Arial"/>
          <w:sz w:val="18"/>
          <w:lang w:val="es-ES" w:eastAsia="es-ES"/>
        </w:rPr>
        <w:t xml:space="preserve"> IFT-6. Dicho procedimiento, en términos del Calendario de Actividades de sus Bases se prevé que concluya en diciembre de 2017.</w:t>
      </w:r>
    </w:p>
    <w:p w:rsidR="005B12CA" w:rsidRPr="005B12CA" w:rsidRDefault="005B12CA" w:rsidP="005B12CA">
      <w:pPr>
        <w:spacing w:after="101" w:line="226"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El proceso antes descrito vuelve inconveniente el realizar procesos adicionales de licitación de canales comerciales de televisión radiodifundida durante 2017.</w:t>
      </w:r>
    </w:p>
    <w:p w:rsidR="005B12CA" w:rsidRPr="005B12CA" w:rsidRDefault="005B12CA" w:rsidP="005B12CA">
      <w:pPr>
        <w:spacing w:after="101" w:line="226" w:lineRule="exact"/>
        <w:ind w:left="864" w:hanging="576"/>
        <w:jc w:val="both"/>
        <w:rPr>
          <w:rFonts w:ascii="Arial" w:eastAsia="Times New Roman" w:hAnsi="Arial" w:cs="Arial"/>
          <w:b/>
          <w:sz w:val="18"/>
          <w:lang w:val="es-ES" w:eastAsia="es-ES"/>
        </w:rPr>
      </w:pPr>
      <w:r w:rsidRPr="005B12CA">
        <w:rPr>
          <w:rFonts w:ascii="Arial" w:eastAsia="Times New Roman" w:hAnsi="Arial" w:cs="Arial"/>
          <w:b/>
          <w:sz w:val="18"/>
          <w:lang w:val="es-ES" w:eastAsia="es-ES"/>
        </w:rPr>
        <w:tab/>
        <w:t>2.1.2 Uso Público.</w:t>
      </w:r>
    </w:p>
    <w:p w:rsidR="005B12CA" w:rsidRPr="005B12CA" w:rsidRDefault="005B12CA" w:rsidP="005B12CA">
      <w:pPr>
        <w:spacing w:after="101" w:line="226"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El Programa 2017 con sus modificaciones contempla la inclusión de canales de TDT solicitados por un ente público atendiendo a la disponibilidad espectral, asociada en muchos casos a la liberación de canales analógicos derivados del proceso de transición a </w:t>
      </w:r>
      <w:smartTag w:uri="urn:schemas-microsoft-com:office:smarttags" w:element="PersonName">
        <w:smartTagPr>
          <w:attr w:name="ProductID" w:val="la TDT."/>
        </w:smartTagPr>
        <w:r w:rsidRPr="005B12CA">
          <w:rPr>
            <w:rFonts w:ascii="Arial" w:eastAsia="Times New Roman" w:hAnsi="Arial" w:cs="Arial"/>
            <w:sz w:val="18"/>
            <w:lang w:val="es-ES" w:eastAsia="es-ES"/>
          </w:rPr>
          <w:t>la TDT.</w:t>
        </w:r>
      </w:smartTag>
    </w:p>
    <w:p w:rsidR="005B12CA" w:rsidRPr="005B12CA" w:rsidRDefault="005B12CA" w:rsidP="005B12CA">
      <w:pPr>
        <w:spacing w:after="101" w:line="226"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En este contexto, con el fin de poder llevar a cabo el reordenamiento de los más de 200 canales de televisión radiodifundida digital que aún operan en el país en la banda de UHF por arriba del canal 37, para que lo hagan por debajo de ese canal, en cumplimiento a lo establecido en el Programa de Trabajo para Reordenar el Espectro Radioeléctrico a Estaciones de Radio y Televisión, emitido por el Instituto; así como la posible saturación de la banda UHF, en ciertas localidades o regiones el canal se establecerá en la banda VHF, salvo que se requiera coordinación internacional, en cuyo caso se asignará en la banda UHF. Lo anterior, sin perjuicio de las facultades del Instituto de cambiar una frecuencia o banda de frecuencia, en términos del artículo 105 de </w:t>
      </w:r>
      <w:smartTag w:uri="urn:schemas-microsoft-com:office:smarttags" w:element="PersonName">
        <w:smartTagPr>
          <w:attr w:name="ProductID" w:val="la Ley."/>
        </w:smartTagPr>
        <w:r w:rsidRPr="005B12CA">
          <w:rPr>
            <w:rFonts w:ascii="Arial" w:eastAsia="Times New Roman" w:hAnsi="Arial" w:cs="Arial"/>
            <w:sz w:val="18"/>
            <w:lang w:val="es-ES" w:eastAsia="es-ES"/>
          </w:rPr>
          <w:t>la Ley.</w:t>
        </w:r>
      </w:smartTag>
    </w:p>
    <w:p w:rsidR="005B12CA" w:rsidRPr="005B12CA" w:rsidRDefault="005B12CA" w:rsidP="005B12CA">
      <w:pPr>
        <w:spacing w:after="101" w:line="226"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Para el servicio de TDT para uso público, además de contemplar frecuencias solicitadas por entes públicos que por su interés y naturaleza requieren la inclusión de una frecuencia en una localidad determinada, se contempla la inclusión de zonas de cobertura estatales, cuya cobertura está definida por la delimitación geográfica de </w:t>
      </w:r>
      <w:smartTag w:uri="urn:schemas-microsoft-com:office:smarttags" w:element="PersonName">
        <w:smartTagPr>
          <w:attr w:name="ProductID" w:val="la Entidad Federativa"/>
        </w:smartTagPr>
        <w:r w:rsidRPr="005B12CA">
          <w:rPr>
            <w:rFonts w:ascii="Arial" w:eastAsia="Times New Roman" w:hAnsi="Arial" w:cs="Arial"/>
            <w:sz w:val="18"/>
            <w:lang w:val="es-ES" w:eastAsia="es-ES"/>
          </w:rPr>
          <w:t>la Entidad Federativa</w:t>
        </w:r>
      </w:smartTag>
      <w:r w:rsidRPr="005B12CA">
        <w:rPr>
          <w:rFonts w:ascii="Arial" w:eastAsia="Times New Roman" w:hAnsi="Arial" w:cs="Arial"/>
          <w:sz w:val="18"/>
          <w:lang w:val="es-ES" w:eastAsia="es-ES"/>
        </w:rPr>
        <w:t xml:space="preserve"> correspondiente, tomando en consideración las manifestaciones de sistemas de radiodifusión estatales y Gobiernos de las Entidades Federativas, y previendo que la prestación del servicio llegue a la mayor cantidad de localidades del Estado. Con ello se pretende lograr mayor eficiencia administrativa, tanto para el Instituto como para el concesionario, en virtud de que el concesionario podrá prestar el servicio en distintas localidades del Estado a través de una sola concesión y la autorización de equipos complementarios, sin tener que solicitar la inclusión de frecuencias adicionales en futuros programas anuales de bandas de frecuencias.</w:t>
      </w:r>
    </w:p>
    <w:p w:rsidR="005B12CA" w:rsidRPr="005B12CA" w:rsidRDefault="005B12CA" w:rsidP="005B12CA">
      <w:pPr>
        <w:spacing w:after="101" w:line="226" w:lineRule="exact"/>
        <w:ind w:left="864" w:hanging="576"/>
        <w:jc w:val="both"/>
        <w:rPr>
          <w:rFonts w:ascii="Arial" w:eastAsia="Times New Roman" w:hAnsi="Arial" w:cs="Arial"/>
          <w:b/>
          <w:sz w:val="18"/>
          <w:lang w:val="es-ES" w:eastAsia="es-ES"/>
        </w:rPr>
      </w:pPr>
      <w:r w:rsidRPr="005B12CA">
        <w:rPr>
          <w:rFonts w:ascii="Arial" w:eastAsia="Times New Roman" w:hAnsi="Arial" w:cs="Arial"/>
          <w:b/>
          <w:sz w:val="18"/>
          <w:lang w:val="es-ES" w:eastAsia="es-ES"/>
        </w:rPr>
        <w:tab/>
        <w:t>2.1.3 Uso Social.</w:t>
      </w:r>
    </w:p>
    <w:p w:rsidR="005B12CA" w:rsidRPr="005B12CA" w:rsidRDefault="005B12CA" w:rsidP="005B12CA">
      <w:pPr>
        <w:spacing w:after="101" w:line="226"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El servicio público de radiodifusión es un componente fundamental de la sociedad de la información, y tiene efectos notables sobre la población, al generar tendencias y ser un importante instrumento para el goce de los derechos humanos de libertad de expresión y de acceso a la información, así como coadyuvar en el goce al derecho a la educación, a la salud y a la libertad de culto, entre muchos otros.</w:t>
      </w:r>
    </w:p>
    <w:p w:rsidR="005B12CA" w:rsidRPr="005B12CA" w:rsidRDefault="005B12CA" w:rsidP="005B12CA">
      <w:pPr>
        <w:spacing w:after="101" w:line="226"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Por lo tanto, considerando que la finalidad de las concesiones de espectro radioeléctrico para uso social deben tener propósitos culturales, científicos, educativos o a la comunidad, sin fines de lucro, se consideró la incorporación de canales de TDT en el Programa 2017 con sus modificaciones en consistencia con el Programa 2017.</w:t>
      </w:r>
    </w:p>
    <w:p w:rsidR="005B12CA" w:rsidRPr="005B12CA" w:rsidRDefault="005B12CA" w:rsidP="005B12CA">
      <w:pPr>
        <w:spacing w:after="101" w:line="226"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En este contexto, con el fin de poder llevar a cabo el reordenamiento de los más de 200 canales de televisión radiodifundida digital que aún operan en el país en la banda de UHF por arriba del canal 37, para que lo hagan por debajo de ese canal, en cumplimiento a lo establecido en el Programa de Trabajo para Reordenar el Espectro Radioeléctrico a Estaciones de Radio y Televisión, emitido por el Instituto; así como la posible saturación de la banda UHF, el canal se establecerá en la banda VHF, salvo que se requiera coordinación internacional, en cuyo caso se asignará en la banda UHF. Lo anterior sin perjuicio de las facultades del Instituto de cambiar una frecuencia o banda de frecuencia, en términos del artículo 105 de </w:t>
      </w:r>
      <w:smartTag w:uri="urn:schemas-microsoft-com:office:smarttags" w:element="PersonName">
        <w:smartTagPr>
          <w:attr w:name="ProductID" w:val="la Ley."/>
        </w:smartTagPr>
        <w:r w:rsidRPr="005B12CA">
          <w:rPr>
            <w:rFonts w:ascii="Arial" w:eastAsia="Times New Roman" w:hAnsi="Arial" w:cs="Arial"/>
            <w:sz w:val="18"/>
            <w:lang w:val="es-ES" w:eastAsia="es-ES"/>
          </w:rPr>
          <w:t>la Ley.</w:t>
        </w:r>
      </w:smartTag>
    </w:p>
    <w:p w:rsidR="005B12CA" w:rsidRPr="005B12CA" w:rsidRDefault="005B12CA" w:rsidP="005B12CA">
      <w:pPr>
        <w:spacing w:after="101" w:line="226" w:lineRule="exact"/>
        <w:ind w:left="864" w:hanging="576"/>
        <w:jc w:val="both"/>
        <w:rPr>
          <w:rFonts w:ascii="Arial" w:eastAsia="Times New Roman" w:hAnsi="Arial" w:cs="Arial"/>
          <w:b/>
          <w:sz w:val="18"/>
          <w:lang w:val="es-ES" w:eastAsia="es-ES"/>
        </w:rPr>
      </w:pPr>
      <w:r w:rsidRPr="005B12CA">
        <w:rPr>
          <w:rFonts w:ascii="Arial" w:eastAsia="Times New Roman" w:hAnsi="Arial" w:cs="Arial"/>
          <w:b/>
          <w:sz w:val="18"/>
          <w:lang w:val="es-ES" w:eastAsia="es-ES"/>
        </w:rPr>
        <w:t>2.2</w:t>
      </w:r>
      <w:r w:rsidRPr="005B12CA">
        <w:rPr>
          <w:rFonts w:ascii="Arial" w:eastAsia="Times New Roman" w:hAnsi="Arial" w:cs="Arial"/>
          <w:b/>
          <w:sz w:val="18"/>
          <w:lang w:val="es-ES" w:eastAsia="es-ES"/>
        </w:rPr>
        <w:tab/>
        <w:t>Frecuencia Modulada.</w:t>
      </w:r>
    </w:p>
    <w:p w:rsidR="005B12CA" w:rsidRPr="005B12CA" w:rsidRDefault="005B12CA" w:rsidP="005B12CA">
      <w:pPr>
        <w:spacing w:after="101" w:line="226"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Se incluyen en el Programa 2017 con sus modificaciones frecuencias para las modalidades de uso comercial, público y social, derivadas de la valoración de las solicitudes de inclusión presentadas por los interesados en el periodo comprendido entre el 6 de agosto de 2016 y el 21 de diciembre de 2016. El Instituto realizó la valoración de las solicitudes de inclusión atendiendo a lo previsto por </w:t>
      </w:r>
      <w:smartTag w:uri="urn:schemas-microsoft-com:office:smarttags" w:element="PersonName">
        <w:smartTagPr>
          <w:attr w:name="ProductID" w:val="la Disposici￳n T￩cnica"/>
        </w:smartTagPr>
        <w:r w:rsidRPr="005B12CA">
          <w:rPr>
            <w:rFonts w:ascii="Arial" w:eastAsia="Times New Roman" w:hAnsi="Arial" w:cs="Arial"/>
            <w:sz w:val="18"/>
            <w:lang w:val="es-ES" w:eastAsia="es-ES"/>
          </w:rPr>
          <w:t>la Disposición Técnica</w:t>
        </w:r>
      </w:smartTag>
      <w:r w:rsidRPr="005B12CA">
        <w:rPr>
          <w:rFonts w:ascii="Arial" w:eastAsia="Times New Roman" w:hAnsi="Arial" w:cs="Arial"/>
          <w:sz w:val="18"/>
          <w:lang w:val="es-ES" w:eastAsia="es-ES"/>
        </w:rPr>
        <w:t xml:space="preserve"> IFT-002-2016, misma que es de carácter técnico y de aplicación obligatoria para la instalación y operación de las estaciones de radiodifusión sonora en frecuencia modulada, en la banda de frecuencias de 88 MHz a 108 MHz, concesionadas y autorizadas en los Estados Unidos Mexicanos.</w:t>
      </w:r>
    </w:p>
    <w:p w:rsidR="005B12CA" w:rsidRPr="005B12CA" w:rsidRDefault="005B12CA" w:rsidP="005B12CA">
      <w:pPr>
        <w:spacing w:after="80" w:line="216"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lastRenderedPageBreak/>
        <w:tab/>
        <w:t xml:space="preserve">Por otro lado, para la modalidad de uso comercial se incorporaron 9 localidades en las que </w:t>
      </w:r>
      <w:smartTag w:uri="urn:schemas-microsoft-com:office:smarttags" w:element="PersonName">
        <w:smartTagPr>
          <w:attr w:name="ProductID" w:val="la Unidad"/>
        </w:smartTagPr>
        <w:r w:rsidRPr="005B12CA">
          <w:rPr>
            <w:rFonts w:ascii="Arial" w:eastAsia="Times New Roman" w:hAnsi="Arial" w:cs="Arial"/>
            <w:sz w:val="18"/>
            <w:lang w:val="es-ES" w:eastAsia="es-ES"/>
          </w:rPr>
          <w:t>la Unidad</w:t>
        </w:r>
      </w:smartTag>
      <w:r w:rsidRPr="005B12CA">
        <w:rPr>
          <w:rFonts w:ascii="Arial" w:eastAsia="Times New Roman" w:hAnsi="Arial" w:cs="Arial"/>
          <w:sz w:val="18"/>
          <w:lang w:val="es-ES" w:eastAsia="es-ES"/>
        </w:rPr>
        <w:t xml:space="preserve"> de Competencia Económica determinó que existen indicios de altos niveles de concentración, en términos del número de estaciones o niveles de audiencia tratándose  de concesiones comerciales, por lo que su inclusión contribuirá a eliminar barreras a la entrada  e incidir favorablemente en las condiciones de competencia y libre concurrencia.</w:t>
      </w:r>
    </w:p>
    <w:p w:rsidR="005B12CA" w:rsidRPr="005B12CA" w:rsidRDefault="005B12CA" w:rsidP="005B12CA">
      <w:pPr>
        <w:spacing w:after="80" w:line="216"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Además, a fin de garantizar la continuidad del servicio público de radiodifusión se adicionaron en la modificación al Programa 2017, para la modalidad de uso público 7 localidades y para la modalidad de uso social una localidad, que estarán sujetas a la resolución de las prórrogas que se indican en el Anexo 1 del presente.</w:t>
      </w:r>
    </w:p>
    <w:p w:rsidR="005B12CA" w:rsidRPr="005B12CA" w:rsidRDefault="005B12CA" w:rsidP="005B12CA">
      <w:pPr>
        <w:spacing w:after="80" w:line="216" w:lineRule="exact"/>
        <w:ind w:left="864" w:hanging="576"/>
        <w:jc w:val="both"/>
        <w:rPr>
          <w:rFonts w:ascii="Arial" w:eastAsia="Times New Roman" w:hAnsi="Arial" w:cs="Arial"/>
          <w:position w:val="11"/>
          <w:sz w:val="18"/>
          <w:szCs w:val="16"/>
          <w:lang w:val="es-ES" w:eastAsia="es-ES"/>
        </w:rPr>
      </w:pPr>
      <w:r w:rsidRPr="005B12CA">
        <w:rPr>
          <w:rFonts w:ascii="Arial" w:eastAsia="Times New Roman" w:hAnsi="Arial" w:cs="Arial"/>
          <w:sz w:val="18"/>
          <w:lang w:val="es-ES" w:eastAsia="es-ES"/>
        </w:rPr>
        <w:tab/>
        <w:t xml:space="preserve">Asimismo, se tomó en cuenta el estado actual de la banda, esto es, las localidades sobre las que aún se encuentran pendientes los procesos de licitación previstos en el Programa 2015 y en el Programa 2016, localidades donde la disponibilidad de frecuencias se encuentra en la parte reservada de la banda de FM para concesiones de uso social comunitarias e indígenas (entre 106 y 108 MHz) o, en su caso, existen frecuencias disponibles en la parte reservada de la banda, pero que no pueden ser objeto del Programa, toda vez que se debe de garantizar lo establecido en el artículo 90 de </w:t>
      </w:r>
      <w:smartTag w:uri="urn:schemas-microsoft-com:office:smarttags" w:element="PersonName">
        <w:smartTagPr>
          <w:attr w:name="ProductID" w:val="la Ley"/>
        </w:smartTagPr>
        <w:r w:rsidRPr="005B12CA">
          <w:rPr>
            <w:rFonts w:ascii="Arial" w:eastAsia="Times New Roman" w:hAnsi="Arial" w:cs="Arial"/>
            <w:sz w:val="18"/>
            <w:lang w:val="es-ES" w:eastAsia="es-ES"/>
          </w:rPr>
          <w:t>la Ley</w:t>
        </w:r>
      </w:smartTag>
      <w:r w:rsidRPr="005B12CA">
        <w:rPr>
          <w:rFonts w:ascii="Arial" w:eastAsia="Times New Roman" w:hAnsi="Arial" w:cs="Arial"/>
          <w:sz w:val="18"/>
          <w:lang w:val="es-ES" w:eastAsia="es-ES"/>
        </w:rPr>
        <w:t xml:space="preserve">; localidades donde la disponibilidad de frecuencias es menor que las solicitudes de permiso que se encuentran en trámite o bien, donde aún existe un mayor número de estaciones de radio en AM que las disponibles en FM, y que por tanto no pudieron transitar, en términos del “Acuerdo por el que se establecen los requisitos para llevar a cabo el cambio de frecuencias autorizadas para prestar el Servicio de Radio y que operan en </w:t>
      </w:r>
      <w:smartTag w:uri="urn:schemas-microsoft-com:office:smarttags" w:element="PersonName">
        <w:smartTagPr>
          <w:attr w:name="ProductID" w:val="la Banda"/>
        </w:smartTagPr>
        <w:r w:rsidRPr="005B12CA">
          <w:rPr>
            <w:rFonts w:ascii="Arial" w:eastAsia="Times New Roman" w:hAnsi="Arial" w:cs="Arial"/>
            <w:sz w:val="18"/>
            <w:lang w:val="es-ES" w:eastAsia="es-ES"/>
          </w:rPr>
          <w:t>la Banda</w:t>
        </w:r>
      </w:smartTag>
      <w:r w:rsidRPr="005B12CA">
        <w:rPr>
          <w:rFonts w:ascii="Arial" w:eastAsia="Times New Roman" w:hAnsi="Arial" w:cs="Arial"/>
          <w:sz w:val="18"/>
          <w:lang w:val="es-ES" w:eastAsia="es-ES"/>
        </w:rPr>
        <w:t xml:space="preserve"> de Amplitud Modulada, a fin de optimizar el Uso, Aprovechamiento y Explotación de un Bien del Dominio público en transición a </w:t>
      </w:r>
      <w:smartTag w:uri="urn:schemas-microsoft-com:office:smarttags" w:element="PersonName">
        <w:smartTagPr>
          <w:attr w:name="ProductID" w:val="la Radio Digital"/>
        </w:smartTagPr>
        <w:r w:rsidRPr="005B12CA">
          <w:rPr>
            <w:rFonts w:ascii="Arial" w:eastAsia="Times New Roman" w:hAnsi="Arial" w:cs="Arial"/>
            <w:sz w:val="18"/>
            <w:lang w:val="es-ES" w:eastAsia="es-ES"/>
          </w:rPr>
          <w:t>la Radio Digital</w:t>
        </w:r>
      </w:smartTag>
      <w:r w:rsidRPr="005B12CA">
        <w:rPr>
          <w:rFonts w:ascii="Arial" w:eastAsia="Times New Roman" w:hAnsi="Arial" w:cs="Arial"/>
          <w:sz w:val="18"/>
          <w:lang w:val="es-ES" w:eastAsia="es-ES"/>
        </w:rPr>
        <w:t>”.</w:t>
      </w:r>
    </w:p>
    <w:p w:rsidR="005B12CA" w:rsidRPr="005B12CA" w:rsidRDefault="005B12CA" w:rsidP="005B12CA">
      <w:pPr>
        <w:spacing w:after="80" w:line="216"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Cabe hacer mención, que en el Programa 2017 en la tabla 2.2.2.2 para la modalidad de uso público, se incluyó con el numeral 3 la localidad de Linares, Nuevo León. Sin embargo, derivado de una solicitud de inclusión presentada para la localidad de </w:t>
      </w:r>
      <w:proofErr w:type="spellStart"/>
      <w:r w:rsidRPr="005B12CA">
        <w:rPr>
          <w:rFonts w:ascii="Arial" w:eastAsia="Times New Roman" w:hAnsi="Arial" w:cs="Arial"/>
          <w:sz w:val="18"/>
          <w:lang w:val="es-ES" w:eastAsia="es-ES"/>
        </w:rPr>
        <w:t>Hualahuises</w:t>
      </w:r>
      <w:proofErr w:type="spellEnd"/>
      <w:r w:rsidRPr="005B12CA">
        <w:rPr>
          <w:rFonts w:ascii="Arial" w:eastAsia="Times New Roman" w:hAnsi="Arial" w:cs="Arial"/>
          <w:sz w:val="18"/>
          <w:lang w:val="es-ES" w:eastAsia="es-ES"/>
        </w:rPr>
        <w:t xml:space="preserve">, localizada aprox. a 11 km en línea de vista de la localidad de Linares, de la misma Entidad Federativa, se determinó que dicha localidad sería cubierta por la estación clase A de Linares, con un radio de cobertura de 24 Km conforme </w:t>
      </w:r>
      <w:smartTag w:uri="urn:schemas-microsoft-com:office:smarttags" w:element="PersonName">
        <w:smartTagPr>
          <w:attr w:name="ProductID" w:val="la Disposici￳n T￩cnica"/>
        </w:smartTagPr>
        <w:r w:rsidRPr="005B12CA">
          <w:rPr>
            <w:rFonts w:ascii="Arial" w:eastAsia="Times New Roman" w:hAnsi="Arial" w:cs="Arial"/>
            <w:sz w:val="18"/>
            <w:lang w:val="es-ES" w:eastAsia="es-ES"/>
          </w:rPr>
          <w:t>la Disposición Técnica</w:t>
        </w:r>
      </w:smartTag>
      <w:r w:rsidRPr="005B12CA">
        <w:rPr>
          <w:rFonts w:ascii="Arial" w:eastAsia="Times New Roman" w:hAnsi="Arial" w:cs="Arial"/>
          <w:sz w:val="18"/>
          <w:lang w:val="es-ES" w:eastAsia="es-ES"/>
        </w:rPr>
        <w:t xml:space="preserve"> IFT-002-2016. Por lo tanto, por la cercanía entre ambas localidades es procedente la inclusión a la modificación del Programa 2017 como Linares, </w:t>
      </w:r>
      <w:proofErr w:type="spellStart"/>
      <w:r w:rsidRPr="005B12CA">
        <w:rPr>
          <w:rFonts w:ascii="Arial" w:eastAsia="Times New Roman" w:hAnsi="Arial" w:cs="Arial"/>
          <w:sz w:val="18"/>
          <w:lang w:val="es-ES" w:eastAsia="es-ES"/>
        </w:rPr>
        <w:t>Hualahuises</w:t>
      </w:r>
      <w:proofErr w:type="spellEnd"/>
      <w:r w:rsidRPr="005B12CA">
        <w:rPr>
          <w:rFonts w:ascii="Arial" w:eastAsia="Times New Roman" w:hAnsi="Arial" w:cs="Arial"/>
          <w:sz w:val="18"/>
          <w:lang w:val="es-ES" w:eastAsia="es-ES"/>
        </w:rPr>
        <w:t>, Nuevo León.</w:t>
      </w:r>
    </w:p>
    <w:p w:rsidR="005B12CA" w:rsidRPr="005B12CA" w:rsidRDefault="005B12CA" w:rsidP="005B12CA">
      <w:pPr>
        <w:spacing w:after="80" w:line="216" w:lineRule="exact"/>
        <w:ind w:left="864" w:hanging="576"/>
        <w:jc w:val="both"/>
        <w:rPr>
          <w:rFonts w:ascii="Arial" w:eastAsia="Times New Roman" w:hAnsi="Arial" w:cs="Arial"/>
          <w:b/>
          <w:sz w:val="18"/>
          <w:lang w:val="es-ES" w:eastAsia="es-ES"/>
        </w:rPr>
      </w:pPr>
      <w:r w:rsidRPr="005B12CA">
        <w:rPr>
          <w:rFonts w:ascii="Arial" w:eastAsia="Times New Roman" w:hAnsi="Arial" w:cs="Arial"/>
          <w:b/>
          <w:sz w:val="18"/>
          <w:lang w:val="es-ES" w:eastAsia="es-ES"/>
        </w:rPr>
        <w:t>2.3</w:t>
      </w:r>
      <w:r w:rsidRPr="005B12CA">
        <w:rPr>
          <w:rFonts w:ascii="Arial" w:eastAsia="Times New Roman" w:hAnsi="Arial" w:cs="Arial"/>
          <w:b/>
          <w:sz w:val="18"/>
          <w:lang w:val="es-ES" w:eastAsia="es-ES"/>
        </w:rPr>
        <w:tab/>
        <w:t>Amplitud Modulada.</w:t>
      </w:r>
    </w:p>
    <w:p w:rsidR="005B12CA" w:rsidRPr="005B12CA" w:rsidRDefault="005B12CA" w:rsidP="005B12CA">
      <w:pPr>
        <w:spacing w:after="80" w:line="216"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En el Programa 2017 con sus modificaciones se incluyen frecuencias para modalidades de uso comercial, público y social, derivadas de la valoración de las solicitudes de inclusión presentadas por los interesados en el periodo comprendido entre el 6 de agosto de 2016 y hasta el 21 de diciembre de 2016.</w:t>
      </w:r>
    </w:p>
    <w:p w:rsidR="005B12CA" w:rsidRPr="005B12CA" w:rsidRDefault="005B12CA" w:rsidP="005B12CA">
      <w:pPr>
        <w:spacing w:after="80" w:line="216"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Para tal efecto, el Instituto realizó dicha valoración atendiendo lo previsto por la “Disposición Técnica IFT-001-2015: Especificaciones y requerimientos para la instalación y operación de las estaciones de radiodifusión sonora en amplitud modulada en la banda de 535 kHz a 1705 kHz</w:t>
      </w:r>
      <w:r w:rsidRPr="005B12CA">
        <w:rPr>
          <w:rFonts w:ascii="Arial" w:eastAsia="Times New Roman" w:hAnsi="Arial" w:cs="Arial"/>
          <w:sz w:val="18"/>
          <w:szCs w:val="20"/>
          <w:vertAlign w:val="superscript"/>
          <w:lang w:val="es-ES" w:eastAsia="es-ES"/>
        </w:rPr>
        <w:footnoteReference w:id="13"/>
      </w:r>
      <w:r w:rsidRPr="005B12CA">
        <w:rPr>
          <w:rFonts w:ascii="Arial" w:eastAsia="Times New Roman" w:hAnsi="Arial" w:cs="Arial"/>
          <w:sz w:val="18"/>
          <w:lang w:val="es-ES" w:eastAsia="es-ES"/>
        </w:rPr>
        <w:t>”, publicada en el DOF el 31 de agosto de 2015, así como el estado actual de uso del espectro en las localidades solicitadas.</w:t>
      </w:r>
    </w:p>
    <w:p w:rsidR="005B12CA" w:rsidRPr="005B12CA" w:rsidRDefault="005B12CA" w:rsidP="005B12CA">
      <w:pPr>
        <w:spacing w:after="80" w:line="216" w:lineRule="exact"/>
        <w:ind w:left="864" w:hanging="576"/>
        <w:jc w:val="both"/>
        <w:rPr>
          <w:rFonts w:ascii="Arial" w:eastAsia="Times New Roman" w:hAnsi="Arial" w:cs="Arial"/>
          <w:b/>
          <w:sz w:val="18"/>
          <w:lang w:val="es-ES" w:eastAsia="es-ES"/>
        </w:rPr>
      </w:pPr>
      <w:r w:rsidRPr="005B12CA">
        <w:rPr>
          <w:rFonts w:ascii="Arial" w:eastAsia="Times New Roman" w:hAnsi="Arial" w:cs="Arial"/>
          <w:b/>
          <w:sz w:val="18"/>
          <w:lang w:val="es-ES" w:eastAsia="es-ES"/>
        </w:rPr>
        <w:t>2.4</w:t>
      </w:r>
      <w:r w:rsidRPr="005B12CA">
        <w:rPr>
          <w:rFonts w:ascii="Arial" w:eastAsia="Times New Roman" w:hAnsi="Arial" w:cs="Arial"/>
          <w:b/>
          <w:sz w:val="18"/>
          <w:lang w:val="es-ES" w:eastAsia="es-ES"/>
        </w:rPr>
        <w:tab/>
        <w:t>Reserva para estaciones de radiodifusión sonora comunitarias e indígenas.</w:t>
      </w:r>
    </w:p>
    <w:p w:rsidR="005B12CA" w:rsidRPr="005B12CA" w:rsidRDefault="005B12CA" w:rsidP="005B12CA">
      <w:pPr>
        <w:spacing w:after="80" w:line="216"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Para el otorgamiento de concesiones de radiodifusión sonora para uso social comunitarias e indígenas, el artículo 90 de </w:t>
      </w:r>
      <w:smartTag w:uri="urn:schemas-microsoft-com:office:smarttags" w:element="PersonName">
        <w:smartTagPr>
          <w:attr w:name="ProductID" w:val="la Ley"/>
        </w:smartTagPr>
        <w:r w:rsidRPr="005B12CA">
          <w:rPr>
            <w:rFonts w:ascii="Arial" w:eastAsia="Times New Roman" w:hAnsi="Arial" w:cs="Arial"/>
            <w:sz w:val="18"/>
            <w:lang w:val="es-ES" w:eastAsia="es-ES"/>
          </w:rPr>
          <w:t>la Ley</w:t>
        </w:r>
      </w:smartTag>
      <w:r w:rsidRPr="005B12CA">
        <w:rPr>
          <w:rFonts w:ascii="Arial" w:eastAsia="Times New Roman" w:hAnsi="Arial" w:cs="Arial"/>
          <w:sz w:val="18"/>
          <w:lang w:val="es-ES" w:eastAsia="es-ES"/>
        </w:rPr>
        <w:t xml:space="preserve"> prevé segmentos reservados de las bandas de radiodifusión sonora en AM y en FM al señalar:</w:t>
      </w:r>
    </w:p>
    <w:p w:rsidR="005B12CA" w:rsidRPr="005B12CA" w:rsidRDefault="005B12CA" w:rsidP="005B12CA">
      <w:pPr>
        <w:spacing w:after="80" w:line="216" w:lineRule="exact"/>
        <w:ind w:left="1152" w:right="720"/>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w:t>
      </w:r>
      <w:r w:rsidRPr="005B12CA">
        <w:rPr>
          <w:rFonts w:ascii="Arial" w:eastAsia="Times New Roman" w:hAnsi="Arial" w:cs="Arial"/>
          <w:b/>
          <w:sz w:val="18"/>
          <w:szCs w:val="18"/>
          <w:lang w:val="es-ES" w:eastAsia="es-ES"/>
        </w:rPr>
        <w:t>Artículo 90</w:t>
      </w:r>
      <w:r w:rsidRPr="005B12CA">
        <w:rPr>
          <w:rFonts w:ascii="Arial" w:eastAsia="Times New Roman" w:hAnsi="Arial" w:cs="Arial"/>
          <w:sz w:val="18"/>
          <w:szCs w:val="18"/>
          <w:lang w:val="es-ES" w:eastAsia="es-ES"/>
        </w:rPr>
        <w:t>.</w:t>
      </w:r>
    </w:p>
    <w:p w:rsidR="005B12CA" w:rsidRPr="005B12CA" w:rsidRDefault="005B12CA" w:rsidP="005B12CA">
      <w:pPr>
        <w:spacing w:after="80" w:line="216" w:lineRule="exact"/>
        <w:ind w:left="1152" w:right="720"/>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w:t>
      </w:r>
    </w:p>
    <w:p w:rsidR="005B12CA" w:rsidRPr="005B12CA" w:rsidRDefault="005B12CA" w:rsidP="005B12CA">
      <w:pPr>
        <w:spacing w:after="80" w:line="216" w:lineRule="exact"/>
        <w:ind w:left="1152" w:right="720"/>
        <w:jc w:val="both"/>
        <w:rPr>
          <w:rFonts w:ascii="Arial" w:eastAsia="Times New Roman" w:hAnsi="Arial" w:cs="Arial"/>
          <w:sz w:val="18"/>
          <w:szCs w:val="18"/>
          <w:lang w:val="es-ES" w:eastAsia="es-ES"/>
        </w:rPr>
      </w:pPr>
      <w:r w:rsidRPr="005B12CA">
        <w:rPr>
          <w:rFonts w:ascii="Arial" w:eastAsia="Times New Roman" w:hAnsi="Arial" w:cs="Arial"/>
          <w:b/>
          <w:sz w:val="18"/>
          <w:szCs w:val="18"/>
          <w:lang w:val="es-ES" w:eastAsia="es-ES"/>
        </w:rPr>
        <w:t>El Instituto deberá reservar para estaciones de radio FM comunitarias e indígenas el diez por ciento de la banda de radiodifusión sonora de FM, que va de los 88 a los 108 MHz.</w:t>
      </w:r>
      <w:r w:rsidRPr="005B12CA">
        <w:rPr>
          <w:rFonts w:ascii="Arial" w:eastAsia="Times New Roman" w:hAnsi="Arial" w:cs="Arial"/>
          <w:sz w:val="18"/>
          <w:szCs w:val="18"/>
          <w:lang w:val="es-ES" w:eastAsia="es-ES"/>
        </w:rPr>
        <w:t xml:space="preserve"> </w:t>
      </w:r>
      <w:r w:rsidRPr="005B12CA">
        <w:rPr>
          <w:rFonts w:ascii="Arial" w:eastAsia="Times New Roman" w:hAnsi="Arial" w:cs="Arial"/>
          <w:b/>
          <w:sz w:val="18"/>
          <w:szCs w:val="18"/>
          <w:lang w:val="es-ES" w:eastAsia="es-ES"/>
        </w:rPr>
        <w:t>Dicho porcentaje se concesionará en la parte alta de la referida banda.</w:t>
      </w:r>
    </w:p>
    <w:p w:rsidR="005B12CA" w:rsidRPr="005B12CA" w:rsidRDefault="005B12CA" w:rsidP="005B12CA">
      <w:pPr>
        <w:spacing w:after="101" w:line="241" w:lineRule="exact"/>
        <w:ind w:left="1152" w:right="720"/>
        <w:jc w:val="both"/>
        <w:rPr>
          <w:rFonts w:ascii="Arial" w:eastAsia="Times New Roman" w:hAnsi="Arial" w:cs="Arial"/>
          <w:sz w:val="18"/>
          <w:szCs w:val="18"/>
          <w:lang w:val="es-ES" w:eastAsia="es-ES"/>
        </w:rPr>
      </w:pPr>
      <w:r w:rsidRPr="005B12CA">
        <w:rPr>
          <w:rFonts w:ascii="Arial" w:eastAsia="Times New Roman" w:hAnsi="Arial" w:cs="Arial"/>
          <w:b/>
          <w:sz w:val="18"/>
          <w:szCs w:val="18"/>
          <w:lang w:val="es-ES" w:eastAsia="es-ES"/>
        </w:rPr>
        <w:t>El Instituto podrá otorgar concesiones para estaciones de radio AM, comunitarias e indígenas, en el segmento de la banda del espectro radioeléctrico ampliada que va de los 1605 a los 1705 KHz</w:t>
      </w:r>
      <w:r w:rsidRPr="005B12CA">
        <w:rPr>
          <w:rFonts w:ascii="Arial" w:eastAsia="Times New Roman" w:hAnsi="Arial" w:cs="Arial"/>
          <w:sz w:val="18"/>
          <w:szCs w:val="18"/>
          <w:lang w:val="es-ES" w:eastAsia="es-ES"/>
        </w:rPr>
        <w:t xml:space="preserve">. Lo anterior, sin perjuicio de que el Instituto pueda </w:t>
      </w:r>
      <w:r w:rsidRPr="005B12CA">
        <w:rPr>
          <w:rFonts w:ascii="Arial" w:eastAsia="Times New Roman" w:hAnsi="Arial" w:cs="Arial"/>
          <w:sz w:val="18"/>
          <w:szCs w:val="18"/>
          <w:lang w:val="es-ES" w:eastAsia="es-ES"/>
        </w:rPr>
        <w:lastRenderedPageBreak/>
        <w:t>otorgar concesiones de uso público, comercial o social, que no sean comunitarias o indígenas, en el resto del segmento de AM.</w:t>
      </w:r>
    </w:p>
    <w:p w:rsidR="005B12CA" w:rsidRPr="005B12CA" w:rsidRDefault="005B12CA" w:rsidP="005B12CA">
      <w:pPr>
        <w:spacing w:after="101" w:line="241" w:lineRule="exact"/>
        <w:ind w:left="1152" w:right="720"/>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w:t>
      </w:r>
    </w:p>
    <w:p w:rsidR="005B12CA" w:rsidRPr="005B12CA" w:rsidRDefault="005B12CA" w:rsidP="005B12CA">
      <w:pPr>
        <w:spacing w:after="101" w:line="241"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A partir de lo establecido en el artículo transcrito, se interpreta que el segmento de reserva para FM es de 2 MHz. En el caso de radiodifusión sonora en AM derivado del texto de </w:t>
      </w:r>
      <w:smartTag w:uri="urn:schemas-microsoft-com:office:smarttags" w:element="PersonName">
        <w:smartTagPr>
          <w:attr w:name="ProductID" w:val="la Ley"/>
        </w:smartTagPr>
        <w:r w:rsidRPr="005B12CA">
          <w:rPr>
            <w:rFonts w:ascii="Arial" w:eastAsia="Times New Roman" w:hAnsi="Arial" w:cs="Arial"/>
            <w:sz w:val="18"/>
            <w:lang w:val="es-ES" w:eastAsia="es-ES"/>
          </w:rPr>
          <w:t>la Ley</w:t>
        </w:r>
      </w:smartTag>
      <w:r w:rsidRPr="005B12CA">
        <w:rPr>
          <w:rFonts w:ascii="Arial" w:eastAsia="Times New Roman" w:hAnsi="Arial" w:cs="Arial"/>
          <w:sz w:val="18"/>
          <w:lang w:val="es-ES" w:eastAsia="es-ES"/>
        </w:rPr>
        <w:t>, se desprende que la banda de reserva va de los 1605 a los 1705 kHz.</w:t>
      </w:r>
    </w:p>
    <w:p w:rsidR="005B12CA" w:rsidRPr="005B12CA" w:rsidRDefault="005B12CA" w:rsidP="005B12CA">
      <w:pPr>
        <w:spacing w:after="101" w:line="241" w:lineRule="exact"/>
        <w:ind w:left="864" w:hanging="576"/>
        <w:jc w:val="both"/>
        <w:rPr>
          <w:rFonts w:ascii="Arial" w:eastAsia="Times New Roman" w:hAnsi="Arial" w:cs="Arial"/>
          <w:sz w:val="18"/>
          <w:szCs w:val="20"/>
          <w:lang w:val="es-ES" w:eastAsia="es-ES"/>
        </w:rPr>
      </w:pPr>
      <w:r w:rsidRPr="005B12CA">
        <w:rPr>
          <w:rFonts w:ascii="Arial" w:eastAsia="Times New Roman" w:hAnsi="Arial" w:cs="Arial"/>
          <w:b/>
          <w:sz w:val="18"/>
          <w:szCs w:val="20"/>
          <w:lang w:val="es-ES" w:eastAsia="es-ES"/>
        </w:rPr>
        <w:tab/>
      </w:r>
      <w:r w:rsidRPr="005B12CA">
        <w:rPr>
          <w:rFonts w:ascii="Arial" w:eastAsia="Times New Roman" w:hAnsi="Arial" w:cs="Arial"/>
          <w:sz w:val="18"/>
          <w:szCs w:val="20"/>
          <w:lang w:val="es-ES" w:eastAsia="es-ES"/>
        </w:rPr>
        <w:t>En este contexto, dentro de los plazos previstos para tal efecto, los interesados en obtener concesiones de radiodifusión sonora de uso social comunitarias e indígenas podrán solicitarlas en la reserva de ley.</w:t>
      </w:r>
    </w:p>
    <w:p w:rsidR="005B12CA" w:rsidRPr="005B12CA" w:rsidRDefault="005B12CA" w:rsidP="005B12CA">
      <w:pPr>
        <w:spacing w:after="101" w:line="241"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Ahora bien, en caso de que no exista disponibilidad en la reserva correspondiente, el Instituto verificará si existe disponibilidad en el resto de la banda de que se trate, procurando asignar hasta un número igual a la cantidad de espacios ocupados por estaciones que no sean comunitarias e indígenas, que ya se encuentren operando en el segmento de reserva.</w:t>
      </w:r>
    </w:p>
    <w:p w:rsidR="005B12CA" w:rsidRPr="005B12CA" w:rsidRDefault="005B12CA" w:rsidP="005B12CA">
      <w:pPr>
        <w:spacing w:after="101" w:line="241"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De esta manera, se cumple con lo establecido en el artículo 2o. de </w:t>
      </w:r>
      <w:smartTag w:uri="urn:schemas-microsoft-com:office:smarttags" w:element="PersonName">
        <w:smartTagPr>
          <w:attr w:name="ProductID" w:val="la Constituci￳n"/>
        </w:smartTagPr>
        <w:r w:rsidRPr="005B12CA">
          <w:rPr>
            <w:rFonts w:ascii="Arial" w:eastAsia="Times New Roman" w:hAnsi="Arial" w:cs="Arial"/>
            <w:sz w:val="18"/>
            <w:lang w:val="es-ES" w:eastAsia="es-ES"/>
          </w:rPr>
          <w:t>la Constitución</w:t>
        </w:r>
      </w:smartTag>
      <w:r w:rsidRPr="005B12CA">
        <w:rPr>
          <w:rFonts w:ascii="Arial" w:eastAsia="Times New Roman" w:hAnsi="Arial" w:cs="Arial"/>
          <w:sz w:val="18"/>
          <w:lang w:val="es-ES" w:eastAsia="es-ES"/>
        </w:rPr>
        <w:t xml:space="preserve"> que establece lo siguiente:</w:t>
      </w:r>
    </w:p>
    <w:p w:rsidR="005B12CA" w:rsidRPr="005B12CA" w:rsidRDefault="005B12CA" w:rsidP="005B12CA">
      <w:pPr>
        <w:spacing w:after="101" w:line="241" w:lineRule="exact"/>
        <w:ind w:left="1152" w:right="720"/>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w:t>
      </w:r>
      <w:r w:rsidRPr="005B12CA">
        <w:rPr>
          <w:rFonts w:ascii="Arial" w:eastAsia="Times New Roman" w:hAnsi="Arial" w:cs="Arial"/>
          <w:b/>
          <w:sz w:val="18"/>
          <w:szCs w:val="18"/>
          <w:lang w:val="es-ES" w:eastAsia="es-ES"/>
        </w:rPr>
        <w:t>Artículo 2o.</w:t>
      </w:r>
      <w:r w:rsidRPr="005B12CA">
        <w:rPr>
          <w:rFonts w:ascii="Arial" w:eastAsia="Times New Roman" w:hAnsi="Arial" w:cs="Arial"/>
          <w:sz w:val="18"/>
          <w:szCs w:val="18"/>
          <w:lang w:val="es-ES" w:eastAsia="es-ES"/>
        </w:rPr>
        <w:t xml:space="preserve"> </w:t>
      </w:r>
      <w:smartTag w:uri="urn:schemas-microsoft-com:office:smarttags" w:element="PersonName">
        <w:smartTagPr>
          <w:attr w:name="ProductID" w:val="La Naci￳n Mexicana"/>
        </w:smartTagPr>
        <w:r w:rsidRPr="005B12CA">
          <w:rPr>
            <w:rFonts w:ascii="Arial" w:eastAsia="Times New Roman" w:hAnsi="Arial" w:cs="Arial"/>
            <w:sz w:val="18"/>
            <w:szCs w:val="18"/>
            <w:lang w:val="es-ES" w:eastAsia="es-ES"/>
          </w:rPr>
          <w:t>La Nación Mexicana</w:t>
        </w:r>
      </w:smartTag>
      <w:r w:rsidRPr="005B12CA">
        <w:rPr>
          <w:rFonts w:ascii="Arial" w:eastAsia="Times New Roman" w:hAnsi="Arial" w:cs="Arial"/>
          <w:sz w:val="18"/>
          <w:szCs w:val="18"/>
          <w:lang w:val="es-ES" w:eastAsia="es-ES"/>
        </w:rPr>
        <w:t xml:space="preserve"> es única e indivisible.</w:t>
      </w:r>
    </w:p>
    <w:p w:rsidR="005B12CA" w:rsidRPr="005B12CA" w:rsidRDefault="005B12CA" w:rsidP="005B12CA">
      <w:pPr>
        <w:spacing w:after="101" w:line="241" w:lineRule="exact"/>
        <w:ind w:left="1152" w:right="720"/>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w:t>
      </w:r>
    </w:p>
    <w:p w:rsidR="005B12CA" w:rsidRPr="005B12CA" w:rsidRDefault="005B12CA" w:rsidP="005B12CA">
      <w:pPr>
        <w:spacing w:after="101" w:line="241" w:lineRule="exact"/>
        <w:ind w:left="1152" w:right="720"/>
        <w:jc w:val="both"/>
        <w:rPr>
          <w:rFonts w:ascii="Arial" w:eastAsia="Times New Roman" w:hAnsi="Arial" w:cs="Arial"/>
          <w:b/>
          <w:sz w:val="18"/>
          <w:szCs w:val="18"/>
          <w:u w:val="single"/>
          <w:lang w:val="es-ES" w:eastAsia="es-ES"/>
        </w:rPr>
      </w:pPr>
      <w:r w:rsidRPr="005B12CA">
        <w:rPr>
          <w:rFonts w:ascii="Arial" w:eastAsia="Times New Roman" w:hAnsi="Arial" w:cs="Arial"/>
          <w:sz w:val="18"/>
          <w:szCs w:val="18"/>
          <w:lang w:val="es-ES" w:eastAsia="es-ES"/>
        </w:rPr>
        <w:t xml:space="preserve">B. </w:t>
      </w:r>
      <w:smartTag w:uri="urn:schemas-microsoft-com:office:smarttags" w:element="PersonName">
        <w:smartTagPr>
          <w:attr w:name="ProductID" w:val="La Federaci￳n"/>
        </w:smartTagPr>
        <w:r w:rsidRPr="005B12CA">
          <w:rPr>
            <w:rFonts w:ascii="Arial" w:eastAsia="Times New Roman" w:hAnsi="Arial" w:cs="Arial"/>
            <w:sz w:val="18"/>
            <w:szCs w:val="18"/>
            <w:lang w:val="es-ES" w:eastAsia="es-ES"/>
          </w:rPr>
          <w:t>La Federación</w:t>
        </w:r>
      </w:smartTag>
      <w:r w:rsidRPr="005B12CA">
        <w:rPr>
          <w:rFonts w:ascii="Arial" w:eastAsia="Times New Roman" w:hAnsi="Arial" w:cs="Arial"/>
          <w:sz w:val="18"/>
          <w:szCs w:val="18"/>
          <w:lang w:val="es-ES" w:eastAsia="es-ES"/>
        </w:rPr>
        <w:t xml:space="preserve">, los Estados y los Municipios, para promover la igualdad de oportunidades de los indígenas y eliminar cualquier práctica discriminatoria, </w:t>
      </w:r>
      <w:r w:rsidRPr="005B12CA">
        <w:rPr>
          <w:rFonts w:ascii="Arial" w:eastAsia="Times New Roman" w:hAnsi="Arial" w:cs="Arial"/>
          <w:b/>
          <w:sz w:val="18"/>
          <w:szCs w:val="18"/>
          <w:u w:val="single"/>
          <w:lang w:val="es-ES" w:eastAsia="es-ES"/>
        </w:rPr>
        <w:t>establecerán las instituciones y determinarán las políticas necesarias para garantizar la vigencia de los derechos de los indígenas y el desarrollo integral de sus pueblos y comunidades, las cuales deberán ser diseñadas y operadas conjuntamente con ellos.</w:t>
      </w:r>
    </w:p>
    <w:p w:rsidR="005B12CA" w:rsidRPr="005B12CA" w:rsidRDefault="005B12CA" w:rsidP="005B12CA">
      <w:pPr>
        <w:spacing w:after="101" w:line="241" w:lineRule="exact"/>
        <w:ind w:left="1152" w:right="720"/>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w:t>
      </w:r>
    </w:p>
    <w:p w:rsidR="005B12CA" w:rsidRPr="005B12CA" w:rsidRDefault="005B12CA" w:rsidP="005B12CA">
      <w:pPr>
        <w:spacing w:after="101" w:line="241" w:lineRule="exact"/>
        <w:ind w:left="1152" w:right="720"/>
        <w:jc w:val="both"/>
        <w:rPr>
          <w:rFonts w:ascii="Arial" w:eastAsia="Times New Roman" w:hAnsi="Arial" w:cs="Arial"/>
          <w:b/>
          <w:sz w:val="18"/>
          <w:szCs w:val="18"/>
          <w:lang w:val="es-ES" w:eastAsia="es-ES"/>
        </w:rPr>
      </w:pPr>
      <w:r w:rsidRPr="005B12CA">
        <w:rPr>
          <w:rFonts w:ascii="Arial" w:eastAsia="Times New Roman" w:hAnsi="Arial" w:cs="Arial"/>
          <w:b/>
          <w:sz w:val="18"/>
          <w:szCs w:val="18"/>
          <w:lang w:val="es-ES" w:eastAsia="es-ES"/>
        </w:rPr>
        <w:t>VI.</w:t>
      </w:r>
      <w:r w:rsidRPr="005B12CA">
        <w:rPr>
          <w:rFonts w:ascii="Arial" w:eastAsia="Times New Roman" w:hAnsi="Arial" w:cs="Arial"/>
          <w:sz w:val="18"/>
          <w:szCs w:val="18"/>
          <w:lang w:val="es-ES" w:eastAsia="es-ES"/>
        </w:rPr>
        <w:t xml:space="preserve"> Extender la red de comunicaciones que permita la integración de las comunidades, mediante la construcción y ampliación de vías de comunicación y telecomunicación. </w:t>
      </w:r>
      <w:r w:rsidRPr="005B12CA">
        <w:rPr>
          <w:rFonts w:ascii="Arial" w:eastAsia="Times New Roman" w:hAnsi="Arial" w:cs="Arial"/>
          <w:b/>
          <w:sz w:val="18"/>
          <w:szCs w:val="18"/>
          <w:lang w:val="es-ES" w:eastAsia="es-ES"/>
        </w:rPr>
        <w:t>Establecer condiciones para que los pueblos y las comunidades indígenas puedan adquirir, operar y administrar medios de comunicación, en los términos que las leyes de la materia determinen”.</w:t>
      </w:r>
    </w:p>
    <w:p w:rsidR="005B12CA" w:rsidRPr="005B12CA" w:rsidRDefault="005B12CA" w:rsidP="005B12CA">
      <w:pPr>
        <w:spacing w:after="101" w:line="241"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Así, en poblaciones en las que actualmente no existe disponibilidad espectral en el segmento de reserva, en virtud de encontrarse concesiones vigentes otorgadas a estaciones no comunitarias o indígenas, se reconoce y dota de eficacia el derecho establecido en el mandato de </w:t>
      </w:r>
      <w:smartTag w:uri="urn:schemas-microsoft-com:office:smarttags" w:element="PersonName">
        <w:smartTagPr>
          <w:attr w:name="ProductID" w:val="la Ley"/>
        </w:smartTagPr>
        <w:r w:rsidRPr="005B12CA">
          <w:rPr>
            <w:rFonts w:ascii="Arial" w:eastAsia="Times New Roman" w:hAnsi="Arial" w:cs="Arial"/>
            <w:sz w:val="18"/>
            <w:lang w:val="es-ES" w:eastAsia="es-ES"/>
          </w:rPr>
          <w:t>la Ley</w:t>
        </w:r>
      </w:smartTag>
      <w:r w:rsidRPr="005B12CA">
        <w:rPr>
          <w:rFonts w:ascii="Arial" w:eastAsia="Times New Roman" w:hAnsi="Arial" w:cs="Arial"/>
          <w:sz w:val="18"/>
          <w:lang w:val="es-ES" w:eastAsia="es-ES"/>
        </w:rPr>
        <w:t>, analizando la disponibilidad espectral fuera de la reserva.</w:t>
      </w:r>
    </w:p>
    <w:p w:rsidR="005B12CA" w:rsidRPr="005B12CA" w:rsidRDefault="005B12CA" w:rsidP="005B12CA">
      <w:pPr>
        <w:spacing w:after="101" w:line="241"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Independientemente de lo anterior, y en una interpretación pro </w:t>
      </w:r>
      <w:proofErr w:type="spellStart"/>
      <w:r w:rsidRPr="005B12CA">
        <w:rPr>
          <w:rFonts w:ascii="Arial" w:eastAsia="Times New Roman" w:hAnsi="Arial" w:cs="Arial"/>
          <w:sz w:val="18"/>
          <w:lang w:val="es-ES" w:eastAsia="es-ES"/>
        </w:rPr>
        <w:t>personae</w:t>
      </w:r>
      <w:proofErr w:type="spellEnd"/>
      <w:r w:rsidRPr="005B12CA">
        <w:rPr>
          <w:rFonts w:ascii="Arial" w:eastAsia="Times New Roman" w:hAnsi="Arial" w:cs="Arial"/>
          <w:sz w:val="18"/>
          <w:lang w:val="es-ES" w:eastAsia="es-ES"/>
        </w:rPr>
        <w:t xml:space="preserve"> del artículo 90 de </w:t>
      </w:r>
      <w:smartTag w:uri="urn:schemas-microsoft-com:office:smarttags" w:element="PersonName">
        <w:smartTagPr>
          <w:attr w:name="ProductID" w:val="la Ley"/>
        </w:smartTagPr>
        <w:r w:rsidRPr="005B12CA">
          <w:rPr>
            <w:rFonts w:ascii="Arial" w:eastAsia="Times New Roman" w:hAnsi="Arial" w:cs="Arial"/>
            <w:sz w:val="18"/>
            <w:lang w:val="es-ES" w:eastAsia="es-ES"/>
          </w:rPr>
          <w:t>la Ley</w:t>
        </w:r>
      </w:smartTag>
      <w:r w:rsidRPr="005B12CA">
        <w:rPr>
          <w:rFonts w:ascii="Arial" w:eastAsia="Times New Roman" w:hAnsi="Arial" w:cs="Arial"/>
          <w:sz w:val="18"/>
          <w:lang w:val="es-ES" w:eastAsia="es-ES"/>
        </w:rPr>
        <w:t>, los interesados en obtener concesiones para uso social comunitarias e indígenas podrán también solicitar concesiones para prestar el servicio de radiodifusión sonora en el resto de las bandas de FM y AM, conforme a las frecuencias publicadas en el Programa 2017 con sus modificaciones para uso social en los rangos de frecuencias siguientes:</w:t>
      </w:r>
    </w:p>
    <w:p w:rsidR="005B12CA" w:rsidRPr="005B12CA" w:rsidRDefault="005B12CA" w:rsidP="005B12CA">
      <w:pPr>
        <w:spacing w:after="101" w:line="241" w:lineRule="exact"/>
        <w:ind w:left="1267"/>
        <w:jc w:val="both"/>
        <w:rPr>
          <w:rFonts w:ascii="Arial" w:eastAsia="Times New Roman" w:hAnsi="Arial" w:cs="Arial"/>
          <w:sz w:val="18"/>
          <w:lang w:val="es-ES" w:eastAsia="es-ES"/>
        </w:rPr>
      </w:pPr>
      <w:r w:rsidRPr="005B12CA">
        <w:rPr>
          <w:rFonts w:ascii="Arial" w:eastAsia="Times New Roman" w:hAnsi="Arial" w:cs="Arial"/>
          <w:sz w:val="18"/>
          <w:lang w:val="es-ES" w:eastAsia="es-ES"/>
        </w:rPr>
        <w:t>a) Radiodifusión sonora en frecuencia modulada: 88 MHz a 106 MHz.</w:t>
      </w:r>
    </w:p>
    <w:p w:rsidR="005B12CA" w:rsidRPr="005B12CA" w:rsidRDefault="005B12CA" w:rsidP="005B12CA">
      <w:pPr>
        <w:spacing w:after="101" w:line="241" w:lineRule="exact"/>
        <w:ind w:left="1267"/>
        <w:jc w:val="both"/>
        <w:rPr>
          <w:rFonts w:ascii="Arial" w:eastAsia="Times New Roman" w:hAnsi="Arial" w:cs="Arial"/>
          <w:b/>
          <w:sz w:val="18"/>
          <w:lang w:val="es-ES" w:eastAsia="es-ES"/>
        </w:rPr>
      </w:pPr>
      <w:r w:rsidRPr="005B12CA">
        <w:rPr>
          <w:rFonts w:ascii="Arial" w:eastAsia="Times New Roman" w:hAnsi="Arial" w:cs="Arial"/>
          <w:sz w:val="18"/>
          <w:lang w:val="es-ES" w:eastAsia="es-ES"/>
        </w:rPr>
        <w:t>b) Radiodifusión sonora en amplitud modulada: 535 kHz a 1,605 kHz.</w:t>
      </w:r>
    </w:p>
    <w:p w:rsidR="005B12CA" w:rsidRPr="005B12CA" w:rsidRDefault="005B12CA" w:rsidP="005B12CA">
      <w:pPr>
        <w:spacing w:after="101" w:line="241"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Lo anterior, como se ha señalado, atendiendo al principio interpretativo pro </w:t>
      </w:r>
      <w:proofErr w:type="spellStart"/>
      <w:r w:rsidRPr="005B12CA">
        <w:rPr>
          <w:rFonts w:ascii="Arial" w:eastAsia="Times New Roman" w:hAnsi="Arial" w:cs="Arial"/>
          <w:sz w:val="18"/>
          <w:lang w:val="es-ES" w:eastAsia="es-ES"/>
        </w:rPr>
        <w:t>personae</w:t>
      </w:r>
      <w:proofErr w:type="spellEnd"/>
      <w:r w:rsidRPr="005B12CA">
        <w:rPr>
          <w:rFonts w:ascii="Arial" w:eastAsia="Times New Roman" w:hAnsi="Arial" w:cs="Arial"/>
          <w:sz w:val="18"/>
          <w:lang w:val="es-ES" w:eastAsia="es-ES"/>
        </w:rPr>
        <w:t xml:space="preserve"> contenido en el párrafo segundo del artículo 1o. de </w:t>
      </w:r>
      <w:smartTag w:uri="urn:schemas-microsoft-com:office:smarttags" w:element="PersonName">
        <w:smartTagPr>
          <w:attr w:name="ProductID" w:val="la Constituci￳n"/>
        </w:smartTagPr>
        <w:r w:rsidRPr="005B12CA">
          <w:rPr>
            <w:rFonts w:ascii="Arial" w:eastAsia="Times New Roman" w:hAnsi="Arial" w:cs="Arial"/>
            <w:sz w:val="18"/>
            <w:lang w:val="es-ES" w:eastAsia="es-ES"/>
          </w:rPr>
          <w:t>la Constitución</w:t>
        </w:r>
      </w:smartTag>
      <w:r w:rsidRPr="005B12CA">
        <w:rPr>
          <w:rFonts w:ascii="Arial" w:eastAsia="Times New Roman" w:hAnsi="Arial" w:cs="Arial"/>
          <w:sz w:val="18"/>
          <w:lang w:val="es-ES" w:eastAsia="es-ES"/>
        </w:rPr>
        <w:t>, en virtud del cual debe acudirse a la norma más amplia o a la interpretación más extensiva cuando se trate de reconocer derechos protegidos e, inversamente, a la norma o a la interpretación más restringida si pretenden establecerse restricciones permanentes al ejercicio de los derechos o su suspensión extraordinaria, lo cual tiene una manifestación en la preferencia interpretativa que más optimice un derecho fundamental.</w:t>
      </w:r>
    </w:p>
    <w:p w:rsidR="005B12CA" w:rsidRPr="005B12CA" w:rsidRDefault="005B12CA" w:rsidP="005B12CA">
      <w:pPr>
        <w:spacing w:after="101" w:line="241"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De esta manera, en cumplimiento a lo dispuesto por el artículo 6o. de </w:t>
      </w:r>
      <w:smartTag w:uri="urn:schemas-microsoft-com:office:smarttags" w:element="PersonName">
        <w:smartTagPr>
          <w:attr w:name="ProductID" w:val="la Constituci￳n"/>
        </w:smartTagPr>
        <w:r w:rsidRPr="005B12CA">
          <w:rPr>
            <w:rFonts w:ascii="Arial" w:eastAsia="Times New Roman" w:hAnsi="Arial" w:cs="Arial"/>
            <w:sz w:val="18"/>
            <w:lang w:val="es-ES" w:eastAsia="es-ES"/>
          </w:rPr>
          <w:t>la Constitución</w:t>
        </w:r>
      </w:smartTag>
      <w:r w:rsidRPr="005B12CA">
        <w:rPr>
          <w:rFonts w:ascii="Arial" w:eastAsia="Times New Roman" w:hAnsi="Arial" w:cs="Arial"/>
          <w:sz w:val="18"/>
          <w:lang w:val="es-ES" w:eastAsia="es-ES"/>
        </w:rPr>
        <w:t xml:space="preserve">, se garantiza que el servicio de radiodifusión, como servicio público de interés general, sea prestado en </w:t>
      </w:r>
      <w:r w:rsidRPr="005B12CA">
        <w:rPr>
          <w:rFonts w:ascii="Arial" w:eastAsia="Times New Roman" w:hAnsi="Arial" w:cs="Arial"/>
          <w:sz w:val="18"/>
          <w:lang w:val="es-ES" w:eastAsia="es-ES"/>
        </w:rPr>
        <w:lastRenderedPageBreak/>
        <w:t xml:space="preserve">condiciones de competencia y calidad y brinde los beneficios de la cultura a toda la población, preservando la pluralidad y la veracidad de la información, así como el fomento de los valores de la identidad nacional, contribuyendo a los fines establecidos en el artículo 3o. de </w:t>
      </w:r>
      <w:smartTag w:uri="urn:schemas-microsoft-com:office:smarttags" w:element="PersonName">
        <w:smartTagPr>
          <w:attr w:name="ProductID" w:val="la Constituci￳n."/>
        </w:smartTagPr>
        <w:r w:rsidRPr="005B12CA">
          <w:rPr>
            <w:rFonts w:ascii="Arial" w:eastAsia="Times New Roman" w:hAnsi="Arial" w:cs="Arial"/>
            <w:sz w:val="18"/>
            <w:lang w:val="es-ES" w:eastAsia="es-ES"/>
          </w:rPr>
          <w:t>la Constitución.</w:t>
        </w:r>
      </w:smartTag>
    </w:p>
    <w:p w:rsidR="005B12CA" w:rsidRPr="005B12CA" w:rsidRDefault="005B12CA" w:rsidP="005B12CA">
      <w:pPr>
        <w:spacing w:after="101" w:line="241"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Sirve de apoyo a lo anterior el criterio establecido por </w:t>
      </w:r>
      <w:smartTag w:uri="urn:schemas-microsoft-com:office:smarttags" w:element="PersonName">
        <w:smartTagPr>
          <w:attr w:name="ProductID" w:val="la Primera Sala"/>
        </w:smartTagPr>
        <w:r w:rsidRPr="005B12CA">
          <w:rPr>
            <w:rFonts w:ascii="Arial" w:eastAsia="Times New Roman" w:hAnsi="Arial" w:cs="Arial"/>
            <w:sz w:val="18"/>
            <w:lang w:val="es-ES" w:eastAsia="es-ES"/>
          </w:rPr>
          <w:t>la Primera Sala</w:t>
        </w:r>
      </w:smartTag>
      <w:r w:rsidRPr="005B12CA">
        <w:rPr>
          <w:rFonts w:ascii="Arial" w:eastAsia="Times New Roman" w:hAnsi="Arial" w:cs="Arial"/>
          <w:sz w:val="18"/>
          <w:lang w:val="es-ES" w:eastAsia="es-ES"/>
        </w:rPr>
        <w:t xml:space="preserve"> de </w:t>
      </w:r>
      <w:smartTag w:uri="urn:schemas-microsoft-com:office:smarttags" w:element="PersonName">
        <w:smartTagPr>
          <w:attr w:name="ProductID" w:val="la Suprema Corte"/>
        </w:smartTagPr>
        <w:r w:rsidRPr="005B12CA">
          <w:rPr>
            <w:rFonts w:ascii="Arial" w:eastAsia="Times New Roman" w:hAnsi="Arial" w:cs="Arial"/>
            <w:sz w:val="18"/>
            <w:lang w:val="es-ES" w:eastAsia="es-ES"/>
          </w:rPr>
          <w:t>la Suprema Corte</w:t>
        </w:r>
      </w:smartTag>
      <w:r w:rsidRPr="005B12CA">
        <w:rPr>
          <w:rFonts w:ascii="Arial" w:eastAsia="Times New Roman" w:hAnsi="Arial" w:cs="Arial"/>
          <w:sz w:val="18"/>
          <w:lang w:val="es-ES" w:eastAsia="es-ES"/>
        </w:rPr>
        <w:t xml:space="preserve"> de Justicia de </w:t>
      </w:r>
      <w:smartTag w:uri="urn:schemas-microsoft-com:office:smarttags" w:element="PersonName">
        <w:smartTagPr>
          <w:attr w:name="ProductID" w:val="la Naci￳n"/>
        </w:smartTagPr>
        <w:r w:rsidRPr="005B12CA">
          <w:rPr>
            <w:rFonts w:ascii="Arial" w:eastAsia="Times New Roman" w:hAnsi="Arial" w:cs="Arial"/>
            <w:sz w:val="18"/>
            <w:lang w:val="es-ES" w:eastAsia="es-ES"/>
          </w:rPr>
          <w:t>la Nación</w:t>
        </w:r>
      </w:smartTag>
      <w:r w:rsidRPr="005B12CA">
        <w:rPr>
          <w:rFonts w:ascii="Arial" w:eastAsia="Times New Roman" w:hAnsi="Arial" w:cs="Arial"/>
          <w:sz w:val="18"/>
          <w:lang w:val="es-ES" w:eastAsia="es-ES"/>
        </w:rPr>
        <w:t xml:space="preserve"> en su tesis aislada de la décima época, publicada en el Semanario Judicial de </w:t>
      </w:r>
      <w:smartTag w:uri="urn:schemas-microsoft-com:office:smarttags" w:element="PersonName">
        <w:smartTagPr>
          <w:attr w:name="ProductID" w:val="La Federaci￳n"/>
        </w:smartTagPr>
        <w:r w:rsidRPr="005B12CA">
          <w:rPr>
            <w:rFonts w:ascii="Arial" w:eastAsia="Times New Roman" w:hAnsi="Arial" w:cs="Arial"/>
            <w:sz w:val="18"/>
            <w:lang w:val="es-ES" w:eastAsia="es-ES"/>
          </w:rPr>
          <w:t>la Federación</w:t>
        </w:r>
      </w:smartTag>
      <w:r w:rsidRPr="005B12CA">
        <w:rPr>
          <w:rFonts w:ascii="Arial" w:eastAsia="Times New Roman" w:hAnsi="Arial" w:cs="Arial"/>
          <w:sz w:val="18"/>
          <w:lang w:val="es-ES" w:eastAsia="es-ES"/>
        </w:rPr>
        <w:t xml:space="preserve"> y su Gaceta, Libro V, Febrero de 2012, Tomo 1, Tesis 1a. XXVI/2012, página 659, que reza al tenor literal siguiente:</w:t>
      </w:r>
    </w:p>
    <w:p w:rsidR="005B12CA" w:rsidRPr="005B12CA" w:rsidRDefault="005B12CA" w:rsidP="005B12CA">
      <w:pPr>
        <w:spacing w:after="101" w:line="241" w:lineRule="exact"/>
        <w:ind w:left="1152" w:right="720"/>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w:t>
      </w:r>
      <w:r w:rsidRPr="005B12CA">
        <w:rPr>
          <w:rFonts w:ascii="Arial" w:eastAsia="Times New Roman" w:hAnsi="Arial" w:cs="Arial"/>
          <w:b/>
          <w:sz w:val="18"/>
          <w:szCs w:val="18"/>
          <w:lang w:val="es-ES" w:eastAsia="es-ES"/>
        </w:rPr>
        <w:t xml:space="preserve">PRINCIPIO PRO PERSONAE. EL CONTENIDO Y ALCANCE DE LOS DERECHOS HUMANOS DEBEN ANALIZARSE A PARTIR DE AQUÉL. </w:t>
      </w:r>
      <w:r w:rsidRPr="005B12CA">
        <w:rPr>
          <w:rFonts w:ascii="Arial" w:eastAsia="Times New Roman" w:hAnsi="Arial" w:cs="Arial"/>
          <w:sz w:val="18"/>
          <w:szCs w:val="18"/>
          <w:lang w:val="es-ES" w:eastAsia="es-ES"/>
        </w:rPr>
        <w:t xml:space="preserve">El segundo párrafo del artículo 1o. de </w:t>
      </w:r>
      <w:smartTag w:uri="urn:schemas-microsoft-com:office:smarttags" w:element="PersonName">
        <w:smartTagPr>
          <w:attr w:name="ProductID" w:val="la Constituci￳n Pol￭tica"/>
        </w:smartTagPr>
        <w:r w:rsidRPr="005B12CA">
          <w:rPr>
            <w:rFonts w:ascii="Arial" w:eastAsia="Times New Roman" w:hAnsi="Arial" w:cs="Arial"/>
            <w:sz w:val="18"/>
            <w:szCs w:val="18"/>
            <w:lang w:val="es-ES" w:eastAsia="es-ES"/>
          </w:rPr>
          <w:t>la Constitución Política</w:t>
        </w:r>
      </w:smartTag>
      <w:r w:rsidRPr="005B12CA">
        <w:rPr>
          <w:rFonts w:ascii="Arial" w:eastAsia="Times New Roman" w:hAnsi="Arial" w:cs="Arial"/>
          <w:sz w:val="18"/>
          <w:szCs w:val="18"/>
          <w:lang w:val="es-ES" w:eastAsia="es-ES"/>
        </w:rPr>
        <w:t xml:space="preserve"> de los Estados Unidos Mexicanos, exige que las normas relativas a los derechos humanos se interpretarán de conformidad con la propia Constitución y con los tratados internacionales de los que México es parte, de forma que favorezca ampliamente a las personas, lo que se traduce en la obligación de analizar el contenido y alcance de tales derechos a partir del principio pro </w:t>
      </w:r>
      <w:proofErr w:type="spellStart"/>
      <w:r w:rsidRPr="005B12CA">
        <w:rPr>
          <w:rFonts w:ascii="Arial" w:eastAsia="Times New Roman" w:hAnsi="Arial" w:cs="Arial"/>
          <w:sz w:val="18"/>
          <w:szCs w:val="18"/>
          <w:lang w:val="es-ES" w:eastAsia="es-ES"/>
        </w:rPr>
        <w:t>personae</w:t>
      </w:r>
      <w:proofErr w:type="spellEnd"/>
      <w:r w:rsidRPr="005B12CA">
        <w:rPr>
          <w:rFonts w:ascii="Arial" w:eastAsia="Times New Roman" w:hAnsi="Arial" w:cs="Arial"/>
          <w:sz w:val="18"/>
          <w:szCs w:val="18"/>
          <w:lang w:val="es-ES" w:eastAsia="es-ES"/>
        </w:rPr>
        <w:t xml:space="preserve"> que es un criterio hermenéutico que informa todo el Derecho Internacional de los Derechos Humanos, en virtud del cual debe acudirse a la norma más amplia, o a la interpretación más extensiva cuando se trata de reconocer derechos protegidos,  e inversamente, a la norma o a la interpretación más restringida cuando se trata de establecer restricciones permanentes al ejercicio de los derechos o de su suspensión extraordinaria, es decir, dicho principio permite, por un lado, definir la plataforma de interpretación de los derechos humanos y, por otro, otorga un sentido protector a favor de la persona humana, pues ante la existencia de varias posibilidades de solución a un mismo problema, obliga a optar por la que protege en términos más amplios. Esto implica acudir a la norma jurídica que consagre el derecho más extenso y, por el contrario, al precepto legal más restrictivo si se trata de conocer las limitaciones legítimas que pueden establecerse a su ejercicio. Por tanto, la aplicación del principio pro </w:t>
      </w:r>
      <w:proofErr w:type="spellStart"/>
      <w:r w:rsidRPr="005B12CA">
        <w:rPr>
          <w:rFonts w:ascii="Arial" w:eastAsia="Times New Roman" w:hAnsi="Arial" w:cs="Arial"/>
          <w:sz w:val="18"/>
          <w:szCs w:val="18"/>
          <w:lang w:val="es-ES" w:eastAsia="es-ES"/>
        </w:rPr>
        <w:t>personae</w:t>
      </w:r>
      <w:proofErr w:type="spellEnd"/>
      <w:r w:rsidRPr="005B12CA">
        <w:rPr>
          <w:rFonts w:ascii="Arial" w:eastAsia="Times New Roman" w:hAnsi="Arial" w:cs="Arial"/>
          <w:sz w:val="18"/>
          <w:szCs w:val="18"/>
          <w:lang w:val="es-ES" w:eastAsia="es-ES"/>
        </w:rPr>
        <w:t xml:space="preserve"> en el análisis de los derechos humanos es un componente esencial que debe utilizarse imperiosamente en el establecimiento e interpretación de normas relacionadas con la protección de la persona, a efecto de lograr su adecuada protección y el desarrollo de la jurisprudencia emitida en la materia, de manera que represente el estándar mínimo a partir del cual deben entenderse las obligaciones estatales en este rubro.</w:t>
      </w:r>
    </w:p>
    <w:p w:rsidR="005B12CA" w:rsidRPr="005B12CA" w:rsidRDefault="005B12CA" w:rsidP="005B12CA">
      <w:pPr>
        <w:spacing w:after="101" w:line="241" w:lineRule="exact"/>
        <w:ind w:left="1152" w:right="720"/>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 xml:space="preserve">Amparo directo en revisión 2424/2011. Ma. Guadalupe Ruiz </w:t>
      </w:r>
      <w:proofErr w:type="spellStart"/>
      <w:r w:rsidRPr="005B12CA">
        <w:rPr>
          <w:rFonts w:ascii="Arial" w:eastAsia="Times New Roman" w:hAnsi="Arial" w:cs="Arial"/>
          <w:sz w:val="18"/>
          <w:szCs w:val="18"/>
          <w:lang w:val="es-ES" w:eastAsia="es-ES"/>
        </w:rPr>
        <w:t>Dena</w:t>
      </w:r>
      <w:proofErr w:type="spellEnd"/>
      <w:r w:rsidRPr="005B12CA">
        <w:rPr>
          <w:rFonts w:ascii="Arial" w:eastAsia="Times New Roman" w:hAnsi="Arial" w:cs="Arial"/>
          <w:sz w:val="18"/>
          <w:szCs w:val="18"/>
          <w:lang w:val="es-ES" w:eastAsia="es-ES"/>
        </w:rPr>
        <w:t xml:space="preserve">. 18 de enero de 2012. Cinco votos. Ponente: José Ramón Cossío Díaz. Secretaria: Teresita del Niño Jesús </w:t>
      </w:r>
      <w:proofErr w:type="spellStart"/>
      <w:r w:rsidRPr="005B12CA">
        <w:rPr>
          <w:rFonts w:ascii="Arial" w:eastAsia="Times New Roman" w:hAnsi="Arial" w:cs="Arial"/>
          <w:sz w:val="18"/>
          <w:szCs w:val="18"/>
          <w:lang w:val="es-ES" w:eastAsia="es-ES"/>
        </w:rPr>
        <w:t>Lúcia</w:t>
      </w:r>
      <w:proofErr w:type="spellEnd"/>
      <w:r w:rsidRPr="005B12CA">
        <w:rPr>
          <w:rFonts w:ascii="Arial" w:eastAsia="Times New Roman" w:hAnsi="Arial" w:cs="Arial"/>
          <w:sz w:val="18"/>
          <w:szCs w:val="18"/>
          <w:lang w:val="es-ES" w:eastAsia="es-ES"/>
        </w:rPr>
        <w:t xml:space="preserve"> Segovia”</w:t>
      </w:r>
    </w:p>
    <w:p w:rsidR="005B12CA" w:rsidRPr="005B12CA" w:rsidRDefault="005B12CA" w:rsidP="005B12CA">
      <w:pPr>
        <w:spacing w:after="101" w:line="241" w:lineRule="exact"/>
        <w:ind w:firstLine="288"/>
        <w:jc w:val="both"/>
        <w:rPr>
          <w:rFonts w:ascii="Arial" w:eastAsia="Times New Roman" w:hAnsi="Arial" w:cs="Arial"/>
          <w:sz w:val="18"/>
          <w:lang w:val="es-ES" w:eastAsia="es-ES"/>
        </w:rPr>
      </w:pPr>
      <w:r w:rsidRPr="005B12CA">
        <w:rPr>
          <w:rFonts w:ascii="Arial" w:eastAsia="Times New Roman" w:hAnsi="Arial" w:cs="Arial"/>
          <w:b/>
          <w:caps/>
          <w:sz w:val="18"/>
          <w:lang w:eastAsia="es-ES"/>
        </w:rPr>
        <w:t xml:space="preserve">Quinto. </w:t>
      </w:r>
      <w:r w:rsidRPr="005B12CA">
        <w:rPr>
          <w:rFonts w:ascii="Arial" w:eastAsia="Times New Roman" w:hAnsi="Arial" w:cs="Arial"/>
          <w:b/>
          <w:sz w:val="18"/>
          <w:lang w:eastAsia="es-ES"/>
        </w:rPr>
        <w:t>Plazos.</w:t>
      </w:r>
      <w:r w:rsidRPr="005B12CA">
        <w:rPr>
          <w:rFonts w:ascii="Arial" w:eastAsia="Times New Roman" w:hAnsi="Arial" w:cs="Arial"/>
          <w:sz w:val="18"/>
          <w:lang w:val="es-ES" w:eastAsia="es-ES"/>
        </w:rPr>
        <w:t xml:space="preserve"> </w:t>
      </w:r>
      <w:smartTag w:uri="urn:schemas-microsoft-com:office:smarttags" w:element="PersonName">
        <w:smartTagPr>
          <w:attr w:name="ProductID" w:val="la Ley"/>
        </w:smartTagPr>
        <w:r w:rsidRPr="005B12CA">
          <w:rPr>
            <w:rFonts w:ascii="Arial" w:eastAsia="Times New Roman" w:hAnsi="Arial" w:cs="Arial"/>
            <w:sz w:val="18"/>
            <w:lang w:val="es-ES" w:eastAsia="es-ES"/>
          </w:rPr>
          <w:t>La Ley</w:t>
        </w:r>
      </w:smartTag>
      <w:r w:rsidRPr="005B12CA">
        <w:rPr>
          <w:rFonts w:ascii="Arial" w:eastAsia="Times New Roman" w:hAnsi="Arial" w:cs="Arial"/>
          <w:sz w:val="18"/>
          <w:lang w:val="es-ES" w:eastAsia="es-ES"/>
        </w:rPr>
        <w:t xml:space="preserve"> prevé el establecimiento de plazos a los que estará sujeta la presentación de las solicitudes para el otorgamiento de concesiones de uso público y social para la prestación de servicios de radiodifusión, de conformidad con sus artículos 86 y 87, que establecen:</w:t>
      </w:r>
    </w:p>
    <w:p w:rsidR="005B12CA" w:rsidRPr="005B12CA" w:rsidRDefault="005B12CA" w:rsidP="005B12CA">
      <w:pPr>
        <w:spacing w:after="101" w:line="241" w:lineRule="exact"/>
        <w:ind w:left="1152" w:right="720"/>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w:t>
      </w:r>
      <w:r w:rsidRPr="005B12CA">
        <w:rPr>
          <w:rFonts w:ascii="Arial" w:eastAsia="Times New Roman" w:hAnsi="Arial" w:cs="Arial"/>
          <w:b/>
          <w:sz w:val="18"/>
          <w:szCs w:val="18"/>
          <w:lang w:val="es-ES" w:eastAsia="es-ES"/>
        </w:rPr>
        <w:t>Artículo 86</w:t>
      </w:r>
      <w:r w:rsidRPr="005B12CA">
        <w:rPr>
          <w:rFonts w:ascii="Arial" w:eastAsia="Times New Roman" w:hAnsi="Arial" w:cs="Arial"/>
          <w:sz w:val="18"/>
          <w:szCs w:val="18"/>
          <w:lang w:val="es-ES" w:eastAsia="es-ES"/>
        </w:rPr>
        <w:t xml:space="preserve">. Los interesados en obtener una concesión sobre el espectro radioeléctrico para uso público para prestar el servicio de radiodifusión, presentarán solicitud en la que deberán cumplir los requisitos establecidos en el artículo 85 de esta Ley, </w:t>
      </w:r>
      <w:r w:rsidRPr="005B12CA">
        <w:rPr>
          <w:rFonts w:ascii="Arial" w:eastAsia="Times New Roman" w:hAnsi="Arial" w:cs="Arial"/>
          <w:b/>
          <w:sz w:val="18"/>
          <w:szCs w:val="18"/>
          <w:lang w:val="es-ES" w:eastAsia="es-ES"/>
        </w:rPr>
        <w:t>dentro del plazo establecido en el programa anual de uso y aprovechamiento de bandas de frecuencias</w:t>
      </w:r>
      <w:r w:rsidRPr="005B12CA">
        <w:rPr>
          <w:rFonts w:ascii="Arial" w:eastAsia="Times New Roman" w:hAnsi="Arial" w:cs="Arial"/>
          <w:sz w:val="18"/>
          <w:szCs w:val="18"/>
          <w:lang w:val="es-ES" w:eastAsia="es-ES"/>
        </w:rPr>
        <w:t>.</w:t>
      </w:r>
    </w:p>
    <w:p w:rsidR="005B12CA" w:rsidRPr="005B12CA" w:rsidRDefault="005B12CA" w:rsidP="005B12CA">
      <w:pPr>
        <w:spacing w:after="101" w:line="241" w:lineRule="exact"/>
        <w:ind w:left="1152" w:right="720"/>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w:t>
      </w:r>
    </w:p>
    <w:p w:rsidR="005B12CA" w:rsidRPr="005B12CA" w:rsidRDefault="005B12CA" w:rsidP="005B12CA">
      <w:pPr>
        <w:spacing w:after="101" w:line="241" w:lineRule="exact"/>
        <w:ind w:left="1152" w:right="720"/>
        <w:jc w:val="both"/>
        <w:rPr>
          <w:rFonts w:ascii="Arial" w:eastAsia="Times New Roman" w:hAnsi="Arial" w:cs="Arial"/>
          <w:sz w:val="18"/>
          <w:szCs w:val="18"/>
          <w:lang w:val="es-ES" w:eastAsia="es-ES"/>
        </w:rPr>
      </w:pPr>
      <w:r w:rsidRPr="005B12CA">
        <w:rPr>
          <w:rFonts w:ascii="Arial" w:eastAsia="Times New Roman" w:hAnsi="Arial" w:cs="Arial"/>
          <w:b/>
          <w:sz w:val="18"/>
          <w:szCs w:val="18"/>
          <w:lang w:val="es-ES" w:eastAsia="es-ES"/>
        </w:rPr>
        <w:t>“Artículo 87.</w:t>
      </w:r>
      <w:r w:rsidRPr="005B12CA">
        <w:rPr>
          <w:rFonts w:ascii="Arial" w:eastAsia="Times New Roman" w:hAnsi="Arial" w:cs="Arial"/>
          <w:sz w:val="18"/>
          <w:szCs w:val="18"/>
          <w:lang w:val="es-ES" w:eastAsia="es-ES"/>
        </w:rPr>
        <w:t xml:space="preserve"> Los interesados en obtener una concesión sobre el espectro radioeléctrico para uso social para prestar el servicio de radiodifusión, deberán presentar los requisitos establecidos en el artículo 85 de esta Ley, </w:t>
      </w:r>
      <w:r w:rsidRPr="005B12CA">
        <w:rPr>
          <w:rFonts w:ascii="Arial" w:eastAsia="Times New Roman" w:hAnsi="Arial" w:cs="Arial"/>
          <w:b/>
          <w:sz w:val="18"/>
          <w:szCs w:val="18"/>
          <w:lang w:val="es-ES" w:eastAsia="es-ES"/>
        </w:rPr>
        <w:t>dentro del plazo establecido en el programa anual de uso y aprovechamiento de bandas de frecuencias.</w:t>
      </w:r>
    </w:p>
    <w:p w:rsidR="005B12CA" w:rsidRPr="005B12CA" w:rsidRDefault="005B12CA" w:rsidP="005B12CA">
      <w:pPr>
        <w:spacing w:after="101" w:line="241" w:lineRule="exact"/>
        <w:ind w:left="1152" w:right="720"/>
        <w:jc w:val="both"/>
        <w:rPr>
          <w:rFonts w:ascii="Arial" w:eastAsia="Times New Roman" w:hAnsi="Arial" w:cs="Arial"/>
          <w:sz w:val="18"/>
          <w:szCs w:val="18"/>
          <w:lang w:val="es-ES" w:eastAsia="es-ES"/>
        </w:rPr>
      </w:pPr>
      <w:r w:rsidRPr="005B12CA">
        <w:rPr>
          <w:rFonts w:ascii="Arial" w:eastAsia="Times New Roman" w:hAnsi="Arial" w:cs="Arial"/>
          <w:sz w:val="18"/>
          <w:szCs w:val="18"/>
          <w:lang w:val="es-ES" w:eastAsia="es-ES"/>
        </w:rPr>
        <w:t>[…]”</w:t>
      </w:r>
    </w:p>
    <w:p w:rsidR="005B12CA" w:rsidRPr="005B12CA" w:rsidRDefault="005B12CA" w:rsidP="005B12CA">
      <w:pPr>
        <w:spacing w:after="101" w:line="229" w:lineRule="exact"/>
        <w:ind w:firstLine="288"/>
        <w:jc w:val="both"/>
        <w:rPr>
          <w:rFonts w:ascii="Arial" w:eastAsia="Times New Roman" w:hAnsi="Arial" w:cs="Arial"/>
          <w:sz w:val="18"/>
          <w:lang w:val="es-ES" w:eastAsia="es-ES"/>
        </w:rPr>
      </w:pPr>
      <w:r w:rsidRPr="005B12CA">
        <w:rPr>
          <w:rFonts w:ascii="Arial" w:eastAsia="Times New Roman" w:hAnsi="Arial" w:cs="Arial"/>
          <w:sz w:val="18"/>
          <w:lang w:val="es-ES" w:eastAsia="es-ES"/>
        </w:rPr>
        <w:t>Acorde a lo dispuesto en los preceptos transcritos, se desprende que el Instituto debe fijar los plazos para la presentación de solicitudes por parte de los interesados en obtener concesiones sobre el espectro radioeléctrico para uso público y uso social en materia de radiodifusión.</w:t>
      </w:r>
    </w:p>
    <w:p w:rsidR="005B12CA" w:rsidRPr="005B12CA" w:rsidRDefault="005B12CA" w:rsidP="005B12CA">
      <w:pPr>
        <w:spacing w:after="101" w:line="229" w:lineRule="exact"/>
        <w:ind w:firstLine="288"/>
        <w:jc w:val="both"/>
        <w:rPr>
          <w:rFonts w:ascii="Arial" w:eastAsia="Times New Roman" w:hAnsi="Arial" w:cs="Arial"/>
          <w:sz w:val="18"/>
          <w:lang w:val="es-ES" w:eastAsia="es-ES"/>
        </w:rPr>
      </w:pPr>
      <w:r w:rsidRPr="005B12CA">
        <w:rPr>
          <w:rFonts w:ascii="Arial" w:eastAsia="Times New Roman" w:hAnsi="Arial" w:cs="Arial"/>
          <w:sz w:val="18"/>
          <w:lang w:val="es-ES" w:eastAsia="es-ES"/>
        </w:rPr>
        <w:lastRenderedPageBreak/>
        <w:t xml:space="preserve">Ahora bien, para las solicitudes de concesión de uso público y social para servicios de telecomunicaciones, esto es, distintas de las previstas en los artículos 86 y 87, así como para uso privado (artículo 76 fracción III, inciso b de </w:t>
      </w:r>
      <w:smartTag w:uri="urn:schemas-microsoft-com:office:smarttags" w:element="PersonName">
        <w:smartTagPr>
          <w:attr w:name="ProductID" w:val="la Ley"/>
        </w:smartTagPr>
        <w:r w:rsidRPr="005B12CA">
          <w:rPr>
            <w:rFonts w:ascii="Arial" w:eastAsia="Times New Roman" w:hAnsi="Arial" w:cs="Arial"/>
            <w:sz w:val="18"/>
            <w:lang w:val="es-ES" w:eastAsia="es-ES"/>
          </w:rPr>
          <w:t>la Ley</w:t>
        </w:r>
      </w:smartTag>
      <w:r w:rsidRPr="005B12CA">
        <w:rPr>
          <w:rFonts w:ascii="Arial" w:eastAsia="Times New Roman" w:hAnsi="Arial" w:cs="Arial"/>
          <w:sz w:val="18"/>
          <w:lang w:val="es-ES" w:eastAsia="es-ES"/>
        </w:rPr>
        <w:t>), la presentación de solicitudes de concesión por parte de los interesados no está supeditada a un plazo determinado, por lo cual podrá hacerse en cualquier momento dentro del calendario anual de labores del Instituto.</w:t>
      </w:r>
    </w:p>
    <w:p w:rsidR="005B12CA" w:rsidRPr="005B12CA" w:rsidRDefault="005B12CA" w:rsidP="005B12CA">
      <w:pPr>
        <w:spacing w:after="101" w:line="229" w:lineRule="exact"/>
        <w:ind w:firstLine="288"/>
        <w:jc w:val="both"/>
        <w:rPr>
          <w:rFonts w:ascii="Arial" w:eastAsia="Times New Roman" w:hAnsi="Arial" w:cs="Arial"/>
          <w:sz w:val="18"/>
          <w:lang w:val="es-ES" w:eastAsia="es-ES"/>
        </w:rPr>
      </w:pPr>
      <w:r w:rsidRPr="005B12CA">
        <w:rPr>
          <w:rFonts w:ascii="Arial" w:eastAsia="Times New Roman" w:hAnsi="Arial" w:cs="Arial"/>
          <w:sz w:val="18"/>
          <w:lang w:val="es-ES" w:eastAsia="es-ES"/>
        </w:rPr>
        <w:t xml:space="preserve">Asimismo, se deberá prever el establecimiento de los mecanismos de coordinación para identificar las necesidades de utilización de espectro radioeléctrico para uso público, en términos de la fracción VII del artículo 8 de los Lineamientos Generales para el Otorgamiento de Concesiones a que se refiere el Título Cuarto de </w:t>
      </w:r>
      <w:smartTag w:uri="urn:schemas-microsoft-com:office:smarttags" w:element="PersonName">
        <w:smartTagPr>
          <w:attr w:name="ProductID" w:val="la Ley Federal"/>
        </w:smartTagPr>
        <w:r w:rsidRPr="005B12CA">
          <w:rPr>
            <w:rFonts w:ascii="Arial" w:eastAsia="Times New Roman" w:hAnsi="Arial" w:cs="Arial"/>
            <w:sz w:val="18"/>
            <w:lang w:val="es-ES" w:eastAsia="es-ES"/>
          </w:rPr>
          <w:t>la Ley Federal</w:t>
        </w:r>
      </w:smartTag>
      <w:r w:rsidRPr="005B12CA">
        <w:rPr>
          <w:rFonts w:ascii="Arial" w:eastAsia="Times New Roman" w:hAnsi="Arial" w:cs="Arial"/>
          <w:sz w:val="18"/>
          <w:lang w:val="es-ES" w:eastAsia="es-ES"/>
        </w:rPr>
        <w:t xml:space="preserve"> de Telecomunicaciones y Radiodifusión, publicados en el DOF el 24 de julio de 2015.</w:t>
      </w:r>
    </w:p>
    <w:p w:rsidR="005B12CA" w:rsidRPr="005B12CA" w:rsidRDefault="005B12CA" w:rsidP="005B12CA">
      <w:pPr>
        <w:spacing w:after="101" w:line="229" w:lineRule="exact"/>
        <w:ind w:firstLine="288"/>
        <w:jc w:val="both"/>
        <w:rPr>
          <w:rFonts w:ascii="Arial" w:eastAsia="Times New Roman" w:hAnsi="Arial" w:cs="Arial"/>
          <w:sz w:val="18"/>
          <w:lang w:val="es-ES" w:eastAsia="es-ES"/>
        </w:rPr>
      </w:pPr>
      <w:r w:rsidRPr="005B12CA">
        <w:rPr>
          <w:rFonts w:ascii="Arial" w:eastAsia="Times New Roman" w:hAnsi="Arial" w:cs="Arial"/>
          <w:sz w:val="18"/>
          <w:lang w:val="es-ES" w:eastAsia="es-ES"/>
        </w:rPr>
        <w:t xml:space="preserve">Por lo expuesto, con fundamento en los artículos 1o., 2o., 6o., 7o., 27, párrafos cuarto y sexto y 28, párrafo décimo quinto, décimo sexto, décimo séptimo y décimo octavo de </w:t>
      </w:r>
      <w:smartTag w:uri="urn:schemas-microsoft-com:office:smarttags" w:element="PersonName">
        <w:smartTagPr>
          <w:attr w:name="ProductID" w:val="la Constituci￳n Pol￭tica"/>
        </w:smartTagPr>
        <w:r w:rsidRPr="005B12CA">
          <w:rPr>
            <w:rFonts w:ascii="Arial" w:eastAsia="Times New Roman" w:hAnsi="Arial" w:cs="Arial"/>
            <w:sz w:val="18"/>
            <w:lang w:val="es-ES" w:eastAsia="es-ES"/>
          </w:rPr>
          <w:t>la Constitución Política</w:t>
        </w:r>
      </w:smartTag>
      <w:r w:rsidRPr="005B12CA">
        <w:rPr>
          <w:rFonts w:ascii="Arial" w:eastAsia="Times New Roman" w:hAnsi="Arial" w:cs="Arial"/>
          <w:sz w:val="18"/>
          <w:lang w:val="es-ES" w:eastAsia="es-ES"/>
        </w:rPr>
        <w:t xml:space="preserve"> de los Estados Unidos Mexicanos; 7, 15, fracción VI, 16, 17, fracciones I y XV, 54, 55, 56, 59, 60 y 61 de </w:t>
      </w:r>
      <w:smartTag w:uri="urn:schemas-microsoft-com:office:smarttags" w:element="PersonName">
        <w:smartTagPr>
          <w:attr w:name="ProductID" w:val="la Ley Federal"/>
        </w:smartTagPr>
        <w:r w:rsidRPr="005B12CA">
          <w:rPr>
            <w:rFonts w:ascii="Arial" w:eastAsia="Times New Roman" w:hAnsi="Arial" w:cs="Arial"/>
            <w:sz w:val="18"/>
            <w:lang w:val="es-ES" w:eastAsia="es-ES"/>
          </w:rPr>
          <w:t>la Ley Federal</w:t>
        </w:r>
      </w:smartTag>
      <w:r w:rsidRPr="005B12CA">
        <w:rPr>
          <w:rFonts w:ascii="Arial" w:eastAsia="Times New Roman" w:hAnsi="Arial" w:cs="Arial"/>
          <w:sz w:val="18"/>
          <w:lang w:val="es-ES" w:eastAsia="es-ES"/>
        </w:rPr>
        <w:t xml:space="preserve"> de Telecomunicaciones y Radiodifusión y 1, 4 fracción I, 6, fracciones I y XXXVII, del Estatuto Orgánico del Instituto Federal de Telecomunicaciones; el Pleno del Instituto emite el siguiente:</w:t>
      </w:r>
    </w:p>
    <w:p w:rsidR="005B12CA" w:rsidRPr="005B12CA" w:rsidRDefault="005B12CA" w:rsidP="005B12CA">
      <w:pPr>
        <w:spacing w:after="101" w:line="229" w:lineRule="exact"/>
        <w:jc w:val="center"/>
        <w:rPr>
          <w:rFonts w:ascii="Times New Roman" w:eastAsia="Times New Roman" w:hAnsi="Times New Roman" w:cs="Times New Roman"/>
          <w:b/>
          <w:sz w:val="18"/>
          <w:szCs w:val="20"/>
          <w:lang w:val="es-ES_tradnl" w:eastAsia="es-ES"/>
        </w:rPr>
      </w:pPr>
      <w:r w:rsidRPr="005B12CA">
        <w:rPr>
          <w:rFonts w:ascii="Times New Roman" w:eastAsia="Times New Roman" w:hAnsi="Times New Roman" w:cs="Times New Roman"/>
          <w:b/>
          <w:sz w:val="18"/>
          <w:szCs w:val="20"/>
          <w:lang w:val="es-ES_tradnl" w:eastAsia="es-ES"/>
        </w:rPr>
        <w:t>ACUERDO</w:t>
      </w:r>
    </w:p>
    <w:p w:rsidR="005B12CA" w:rsidRPr="005B12CA" w:rsidRDefault="005B12CA" w:rsidP="005B12CA">
      <w:pPr>
        <w:spacing w:after="101" w:line="229" w:lineRule="exact"/>
        <w:ind w:firstLine="288"/>
        <w:jc w:val="both"/>
        <w:rPr>
          <w:rFonts w:ascii="Arial" w:eastAsia="Times New Roman" w:hAnsi="Arial" w:cs="Arial"/>
          <w:sz w:val="18"/>
          <w:lang w:val="es-ES" w:eastAsia="es-ES"/>
        </w:rPr>
      </w:pPr>
      <w:r w:rsidRPr="005B12CA">
        <w:rPr>
          <w:rFonts w:ascii="Arial" w:eastAsia="Times New Roman" w:hAnsi="Arial" w:cs="Arial"/>
          <w:b/>
          <w:caps/>
          <w:sz w:val="18"/>
          <w:lang w:val="es-ES" w:eastAsia="es-ES"/>
        </w:rPr>
        <w:t xml:space="preserve">Primero. </w:t>
      </w:r>
      <w:r w:rsidRPr="005B12CA">
        <w:rPr>
          <w:rFonts w:ascii="Arial" w:eastAsia="Times New Roman" w:hAnsi="Arial" w:cs="Arial"/>
          <w:sz w:val="18"/>
          <w:lang w:val="es-ES" w:eastAsia="es-ES"/>
        </w:rPr>
        <w:t xml:space="preserve">Se modifica el Programa Anual de Uso y Aprovechamiento de Bandas de Frecuencias 2017, publicado en el DOF en 8 de noviembre de 2016, con base en los considerandos </w:t>
      </w:r>
      <w:r w:rsidRPr="005B12CA">
        <w:rPr>
          <w:rFonts w:ascii="Arial" w:eastAsia="Times New Roman" w:hAnsi="Arial" w:cs="Arial"/>
          <w:b/>
          <w:sz w:val="18"/>
          <w:lang w:val="es-ES" w:eastAsia="es-ES"/>
        </w:rPr>
        <w:t xml:space="preserve">TERCERO, CUARTO </w:t>
      </w:r>
      <w:r w:rsidRPr="005B12CA">
        <w:rPr>
          <w:rFonts w:ascii="Arial" w:eastAsia="Times New Roman" w:hAnsi="Arial" w:cs="Arial"/>
          <w:sz w:val="18"/>
          <w:lang w:val="es-ES" w:eastAsia="es-ES"/>
        </w:rPr>
        <w:t xml:space="preserve">y </w:t>
      </w:r>
      <w:r w:rsidRPr="005B12CA">
        <w:rPr>
          <w:rFonts w:ascii="Arial" w:eastAsia="Times New Roman" w:hAnsi="Arial" w:cs="Arial"/>
          <w:b/>
          <w:sz w:val="18"/>
          <w:lang w:val="es-ES" w:eastAsia="es-ES"/>
        </w:rPr>
        <w:t>QUINTO</w:t>
      </w:r>
      <w:r w:rsidRPr="005B12CA">
        <w:rPr>
          <w:rFonts w:ascii="Arial" w:eastAsia="Times New Roman" w:hAnsi="Arial" w:cs="Arial"/>
          <w:sz w:val="18"/>
          <w:lang w:val="es-ES" w:eastAsia="es-ES"/>
        </w:rPr>
        <w:t xml:space="preserve"> del presente Acuerdo, en los términos siguientes:</w:t>
      </w:r>
    </w:p>
    <w:p w:rsidR="005B12CA" w:rsidRPr="005B12CA" w:rsidRDefault="005B12CA" w:rsidP="00192567">
      <w:pPr>
        <w:numPr>
          <w:ilvl w:val="0"/>
          <w:numId w:val="2"/>
        </w:numPr>
        <w:spacing w:after="101" w:line="229" w:lineRule="exact"/>
        <w:ind w:left="648"/>
        <w:jc w:val="both"/>
        <w:rPr>
          <w:rFonts w:ascii="Arial" w:eastAsia="Times New Roman" w:hAnsi="Arial" w:cs="Arial"/>
          <w:sz w:val="18"/>
          <w:lang w:val="es-ES" w:eastAsia="es-ES"/>
        </w:rPr>
      </w:pPr>
      <w:r w:rsidRPr="005B12CA">
        <w:rPr>
          <w:rFonts w:ascii="Arial" w:eastAsia="Times New Roman" w:hAnsi="Arial" w:cs="Arial"/>
          <w:sz w:val="18"/>
          <w:lang w:val="es-ES" w:eastAsia="es-ES"/>
        </w:rPr>
        <w:t xml:space="preserve">Se </w:t>
      </w:r>
      <w:r w:rsidRPr="005B12CA">
        <w:rPr>
          <w:rFonts w:ascii="Arial" w:eastAsia="Times New Roman" w:hAnsi="Arial" w:cs="Arial"/>
          <w:b/>
          <w:sz w:val="18"/>
          <w:lang w:val="es-ES" w:eastAsia="es-ES"/>
        </w:rPr>
        <w:t xml:space="preserve">MODIFICAN </w:t>
      </w:r>
      <w:r w:rsidRPr="005B12CA">
        <w:rPr>
          <w:rFonts w:ascii="Arial" w:eastAsia="Times New Roman" w:hAnsi="Arial" w:cs="Arial"/>
          <w:sz w:val="18"/>
          <w:lang w:val="es-ES" w:eastAsia="es-ES"/>
        </w:rPr>
        <w:t>parcialmente,</w:t>
      </w:r>
      <w:r w:rsidRPr="005B12CA">
        <w:rPr>
          <w:rFonts w:ascii="Arial" w:eastAsia="Times New Roman" w:hAnsi="Arial" w:cs="Arial"/>
          <w:b/>
          <w:sz w:val="18"/>
          <w:lang w:val="es-ES" w:eastAsia="es-ES"/>
        </w:rPr>
        <w:t xml:space="preserve"> </w:t>
      </w:r>
      <w:smartTag w:uri="urn:schemas-microsoft-com:office:smarttags" w:element="PersonName">
        <w:smartTagPr>
          <w:attr w:name="ProductID" w:val="la Tabla"/>
        </w:smartTagPr>
        <w:r w:rsidRPr="005B12CA">
          <w:rPr>
            <w:rFonts w:ascii="Arial" w:eastAsia="Times New Roman" w:hAnsi="Arial" w:cs="Arial"/>
            <w:sz w:val="18"/>
            <w:lang w:val="es-ES" w:eastAsia="es-ES"/>
          </w:rPr>
          <w:t>la Tabla</w:t>
        </w:r>
      </w:smartTag>
      <w:r w:rsidRPr="005B12CA">
        <w:rPr>
          <w:rFonts w:ascii="Arial" w:eastAsia="Times New Roman" w:hAnsi="Arial" w:cs="Arial"/>
          <w:sz w:val="18"/>
          <w:lang w:val="es-ES" w:eastAsia="es-ES"/>
        </w:rPr>
        <w:t xml:space="preserve"> de Frecuencias TDT contenida en el punto 2.2.1.1 para concesiones de uso público; parcialmente,</w:t>
      </w:r>
      <w:r w:rsidRPr="005B12CA">
        <w:rPr>
          <w:rFonts w:ascii="Arial" w:eastAsia="Times New Roman" w:hAnsi="Arial" w:cs="Arial"/>
          <w:b/>
          <w:sz w:val="18"/>
          <w:lang w:val="es-ES" w:eastAsia="es-ES"/>
        </w:rPr>
        <w:t xml:space="preserve"> </w:t>
      </w:r>
      <w:smartTag w:uri="urn:schemas-microsoft-com:office:smarttags" w:element="PersonName">
        <w:smartTagPr>
          <w:attr w:name="ProductID" w:val="la Tabla"/>
        </w:smartTagPr>
        <w:r w:rsidRPr="005B12CA">
          <w:rPr>
            <w:rFonts w:ascii="Arial" w:eastAsia="Times New Roman" w:hAnsi="Arial" w:cs="Arial"/>
            <w:sz w:val="18"/>
            <w:lang w:val="es-ES" w:eastAsia="es-ES"/>
          </w:rPr>
          <w:t>la</w:t>
        </w:r>
        <w:r w:rsidRPr="005B12CA">
          <w:rPr>
            <w:rFonts w:ascii="Arial" w:eastAsia="Times New Roman" w:hAnsi="Arial" w:cs="Arial"/>
            <w:b/>
            <w:sz w:val="18"/>
            <w:lang w:val="es-ES" w:eastAsia="es-ES"/>
          </w:rPr>
          <w:t xml:space="preserve"> </w:t>
        </w:r>
        <w:r w:rsidRPr="005B12CA">
          <w:rPr>
            <w:rFonts w:ascii="Arial" w:eastAsia="Times New Roman" w:hAnsi="Arial" w:cs="Arial"/>
            <w:sz w:val="18"/>
            <w:lang w:val="es-ES" w:eastAsia="es-ES"/>
          </w:rPr>
          <w:t>Tabla</w:t>
        </w:r>
      </w:smartTag>
      <w:r w:rsidRPr="005B12CA">
        <w:rPr>
          <w:rFonts w:ascii="Arial" w:eastAsia="Times New Roman" w:hAnsi="Arial" w:cs="Arial"/>
          <w:sz w:val="18"/>
          <w:lang w:val="es-ES" w:eastAsia="es-ES"/>
        </w:rPr>
        <w:t xml:space="preserve"> de Frecuencias TDT contenida en el punto 2.2.1.2 para concesiones de uso social; parcialmente, </w:t>
      </w:r>
      <w:smartTag w:uri="urn:schemas-microsoft-com:office:smarttags" w:element="PersonName">
        <w:smartTagPr>
          <w:attr w:name="ProductID" w:val="la Tabla"/>
        </w:smartTagPr>
        <w:r w:rsidRPr="005B12CA">
          <w:rPr>
            <w:rFonts w:ascii="Arial" w:eastAsia="Times New Roman" w:hAnsi="Arial" w:cs="Arial"/>
            <w:sz w:val="18"/>
            <w:lang w:val="es-ES" w:eastAsia="es-ES"/>
          </w:rPr>
          <w:t>la</w:t>
        </w:r>
        <w:r w:rsidRPr="005B12CA">
          <w:rPr>
            <w:rFonts w:ascii="Arial" w:eastAsia="Times New Roman" w:hAnsi="Arial" w:cs="Arial"/>
            <w:b/>
            <w:sz w:val="18"/>
            <w:lang w:val="es-ES" w:eastAsia="es-ES"/>
          </w:rPr>
          <w:t xml:space="preserve"> </w:t>
        </w:r>
        <w:r w:rsidRPr="005B12CA">
          <w:rPr>
            <w:rFonts w:ascii="Arial" w:eastAsia="Times New Roman" w:hAnsi="Arial" w:cs="Arial"/>
            <w:sz w:val="18"/>
            <w:lang w:val="es-ES" w:eastAsia="es-ES"/>
          </w:rPr>
          <w:t>Tabla</w:t>
        </w:r>
      </w:smartTag>
      <w:r w:rsidRPr="005B12CA">
        <w:rPr>
          <w:rFonts w:ascii="Arial" w:eastAsia="Times New Roman" w:hAnsi="Arial" w:cs="Arial"/>
          <w:sz w:val="18"/>
          <w:lang w:val="es-ES" w:eastAsia="es-ES"/>
        </w:rPr>
        <w:t xml:space="preserve"> de Frecuencias FM contenida en el punto 2.2.2.1 para concesiones de uso comercial; parcialmente, </w:t>
      </w:r>
      <w:smartTag w:uri="urn:schemas-microsoft-com:office:smarttags" w:element="PersonName">
        <w:smartTagPr>
          <w:attr w:name="ProductID" w:val="la Tabla"/>
        </w:smartTagPr>
        <w:r w:rsidRPr="005B12CA">
          <w:rPr>
            <w:rFonts w:ascii="Arial" w:eastAsia="Times New Roman" w:hAnsi="Arial" w:cs="Arial"/>
            <w:sz w:val="18"/>
            <w:lang w:val="es-ES" w:eastAsia="es-ES"/>
          </w:rPr>
          <w:t>la</w:t>
        </w:r>
        <w:r w:rsidRPr="005B12CA">
          <w:rPr>
            <w:rFonts w:ascii="Arial" w:eastAsia="Times New Roman" w:hAnsi="Arial" w:cs="Arial"/>
            <w:b/>
            <w:sz w:val="18"/>
            <w:lang w:val="es-ES" w:eastAsia="es-ES"/>
          </w:rPr>
          <w:t xml:space="preserve"> </w:t>
        </w:r>
        <w:r w:rsidRPr="005B12CA">
          <w:rPr>
            <w:rFonts w:ascii="Arial" w:eastAsia="Times New Roman" w:hAnsi="Arial" w:cs="Arial"/>
            <w:sz w:val="18"/>
            <w:lang w:val="es-ES" w:eastAsia="es-ES"/>
          </w:rPr>
          <w:t>Tabla</w:t>
        </w:r>
      </w:smartTag>
      <w:r w:rsidRPr="005B12CA">
        <w:rPr>
          <w:rFonts w:ascii="Arial" w:eastAsia="Times New Roman" w:hAnsi="Arial" w:cs="Arial"/>
          <w:sz w:val="18"/>
          <w:lang w:val="es-ES" w:eastAsia="es-ES"/>
        </w:rPr>
        <w:t xml:space="preserve"> de Frecuencias FM contenida en el punto 2.2.2.2 para concesiones de uso público; parcialmente, </w:t>
      </w:r>
      <w:smartTag w:uri="urn:schemas-microsoft-com:office:smarttags" w:element="PersonName">
        <w:smartTagPr>
          <w:attr w:name="ProductID" w:val="la Tabla"/>
        </w:smartTagPr>
        <w:r w:rsidRPr="005B12CA">
          <w:rPr>
            <w:rFonts w:ascii="Arial" w:eastAsia="Times New Roman" w:hAnsi="Arial" w:cs="Arial"/>
            <w:sz w:val="18"/>
            <w:lang w:val="es-ES" w:eastAsia="es-ES"/>
          </w:rPr>
          <w:t>la</w:t>
        </w:r>
        <w:r w:rsidRPr="005B12CA">
          <w:rPr>
            <w:rFonts w:ascii="Arial" w:eastAsia="Times New Roman" w:hAnsi="Arial" w:cs="Arial"/>
            <w:b/>
            <w:sz w:val="18"/>
            <w:lang w:val="es-ES" w:eastAsia="es-ES"/>
          </w:rPr>
          <w:t xml:space="preserve"> </w:t>
        </w:r>
        <w:r w:rsidRPr="005B12CA">
          <w:rPr>
            <w:rFonts w:ascii="Arial" w:eastAsia="Times New Roman" w:hAnsi="Arial" w:cs="Arial"/>
            <w:sz w:val="18"/>
            <w:lang w:val="es-ES" w:eastAsia="es-ES"/>
          </w:rPr>
          <w:t>Tabla</w:t>
        </w:r>
      </w:smartTag>
      <w:r w:rsidRPr="005B12CA">
        <w:rPr>
          <w:rFonts w:ascii="Arial" w:eastAsia="Times New Roman" w:hAnsi="Arial" w:cs="Arial"/>
          <w:sz w:val="18"/>
          <w:lang w:val="es-ES" w:eastAsia="es-ES"/>
        </w:rPr>
        <w:t xml:space="preserve"> de Frecuencias FM contenida en el punto 2.2.2.3 para concesiones de uso social; parcialmente, </w:t>
      </w:r>
      <w:smartTag w:uri="urn:schemas-microsoft-com:office:smarttags" w:element="PersonName">
        <w:smartTagPr>
          <w:attr w:name="ProductID" w:val="la Tabla"/>
        </w:smartTagPr>
        <w:r w:rsidRPr="005B12CA">
          <w:rPr>
            <w:rFonts w:ascii="Arial" w:eastAsia="Times New Roman" w:hAnsi="Arial" w:cs="Arial"/>
            <w:sz w:val="18"/>
            <w:lang w:val="es-ES" w:eastAsia="es-ES"/>
          </w:rPr>
          <w:t>la</w:t>
        </w:r>
        <w:r w:rsidRPr="005B12CA">
          <w:rPr>
            <w:rFonts w:ascii="Arial" w:eastAsia="Times New Roman" w:hAnsi="Arial" w:cs="Arial"/>
            <w:b/>
            <w:sz w:val="18"/>
            <w:lang w:val="es-ES" w:eastAsia="es-ES"/>
          </w:rPr>
          <w:t xml:space="preserve"> </w:t>
        </w:r>
        <w:r w:rsidRPr="005B12CA">
          <w:rPr>
            <w:rFonts w:ascii="Arial" w:eastAsia="Times New Roman" w:hAnsi="Arial" w:cs="Arial"/>
            <w:sz w:val="18"/>
            <w:lang w:val="es-ES" w:eastAsia="es-ES"/>
          </w:rPr>
          <w:t>Tabla</w:t>
        </w:r>
      </w:smartTag>
      <w:r w:rsidRPr="005B12CA">
        <w:rPr>
          <w:rFonts w:ascii="Arial" w:eastAsia="Times New Roman" w:hAnsi="Arial" w:cs="Arial"/>
          <w:sz w:val="18"/>
          <w:lang w:val="es-ES" w:eastAsia="es-ES"/>
        </w:rPr>
        <w:t xml:space="preserve"> de Frecuencias AM contenida en el punto 2.2.3.1 para concesiones de uso público; parcialmente, </w:t>
      </w:r>
      <w:smartTag w:uri="urn:schemas-microsoft-com:office:smarttags" w:element="PersonName">
        <w:smartTagPr>
          <w:attr w:name="ProductID" w:val="la Tabla"/>
        </w:smartTagPr>
        <w:r w:rsidRPr="005B12CA">
          <w:rPr>
            <w:rFonts w:ascii="Arial" w:eastAsia="Times New Roman" w:hAnsi="Arial" w:cs="Arial"/>
            <w:sz w:val="18"/>
            <w:lang w:val="es-ES" w:eastAsia="es-ES"/>
          </w:rPr>
          <w:t>la</w:t>
        </w:r>
        <w:r w:rsidRPr="005B12CA">
          <w:rPr>
            <w:rFonts w:ascii="Arial" w:eastAsia="Times New Roman" w:hAnsi="Arial" w:cs="Arial"/>
            <w:b/>
            <w:sz w:val="18"/>
            <w:lang w:val="es-ES" w:eastAsia="es-ES"/>
          </w:rPr>
          <w:t xml:space="preserve"> </w:t>
        </w:r>
        <w:r w:rsidRPr="005B12CA">
          <w:rPr>
            <w:rFonts w:ascii="Arial" w:eastAsia="Times New Roman" w:hAnsi="Arial" w:cs="Arial"/>
            <w:sz w:val="18"/>
            <w:lang w:val="es-ES" w:eastAsia="es-ES"/>
          </w:rPr>
          <w:t>Tabla</w:t>
        </w:r>
      </w:smartTag>
      <w:r w:rsidRPr="005B12CA">
        <w:rPr>
          <w:rFonts w:ascii="Arial" w:eastAsia="Times New Roman" w:hAnsi="Arial" w:cs="Arial"/>
          <w:sz w:val="18"/>
          <w:lang w:val="es-ES" w:eastAsia="es-ES"/>
        </w:rPr>
        <w:t xml:space="preserve"> de Frecuencias AM contenida en el punto 2.2.3.2 para concesiones de uso social; en su totalidad, del punto 3.3 se modifica la tabla en cuanto a las fechas y los numerales.</w:t>
      </w:r>
    </w:p>
    <w:p w:rsidR="005B12CA" w:rsidRPr="005B12CA" w:rsidRDefault="005B12CA" w:rsidP="00192567">
      <w:pPr>
        <w:numPr>
          <w:ilvl w:val="0"/>
          <w:numId w:val="2"/>
        </w:numPr>
        <w:spacing w:after="101" w:line="229" w:lineRule="exact"/>
        <w:ind w:left="648"/>
        <w:jc w:val="both"/>
        <w:rPr>
          <w:rFonts w:ascii="Arial" w:eastAsia="Times New Roman" w:hAnsi="Arial" w:cs="Arial"/>
          <w:sz w:val="18"/>
          <w:lang w:val="es-ES" w:eastAsia="es-ES"/>
        </w:rPr>
      </w:pPr>
      <w:r w:rsidRPr="005B12CA">
        <w:rPr>
          <w:rFonts w:ascii="Arial" w:eastAsia="Times New Roman" w:hAnsi="Arial" w:cs="Arial"/>
          <w:b/>
          <w:sz w:val="18"/>
          <w:lang w:val="es-ES" w:eastAsia="es-ES"/>
        </w:rPr>
        <w:t>Se ADICIONA,</w:t>
      </w:r>
      <w:r w:rsidRPr="005B12CA">
        <w:rPr>
          <w:rFonts w:ascii="Arial" w:eastAsia="Times New Roman" w:hAnsi="Arial" w:cs="Arial"/>
          <w:sz w:val="18"/>
          <w:lang w:val="es-ES" w:eastAsia="es-ES"/>
        </w:rPr>
        <w:t xml:space="preserve"> </w:t>
      </w:r>
      <w:smartTag w:uri="urn:schemas-microsoft-com:office:smarttags" w:element="PersonName">
        <w:smartTagPr>
          <w:attr w:name="ProductID" w:val="la Tabla"/>
        </w:smartTagPr>
        <w:r w:rsidRPr="005B12CA">
          <w:rPr>
            <w:rFonts w:ascii="Arial" w:eastAsia="Times New Roman" w:hAnsi="Arial" w:cs="Arial"/>
            <w:sz w:val="18"/>
            <w:lang w:val="es-ES" w:eastAsia="es-ES"/>
          </w:rPr>
          <w:t>la</w:t>
        </w:r>
        <w:r w:rsidRPr="005B12CA">
          <w:rPr>
            <w:rFonts w:ascii="Arial" w:eastAsia="Times New Roman" w:hAnsi="Arial" w:cs="Arial"/>
            <w:b/>
            <w:sz w:val="18"/>
            <w:lang w:val="es-ES" w:eastAsia="es-ES"/>
          </w:rPr>
          <w:t xml:space="preserve"> </w:t>
        </w:r>
        <w:r w:rsidRPr="005B12CA">
          <w:rPr>
            <w:rFonts w:ascii="Arial" w:eastAsia="Times New Roman" w:hAnsi="Arial" w:cs="Arial"/>
            <w:sz w:val="18"/>
            <w:lang w:val="es-ES" w:eastAsia="es-ES"/>
          </w:rPr>
          <w:t>Tabla</w:t>
        </w:r>
      </w:smartTag>
      <w:r w:rsidRPr="005B12CA">
        <w:rPr>
          <w:rFonts w:ascii="Arial" w:eastAsia="Times New Roman" w:hAnsi="Arial" w:cs="Arial"/>
          <w:sz w:val="18"/>
          <w:lang w:val="es-ES" w:eastAsia="es-ES"/>
        </w:rPr>
        <w:t xml:space="preserve"> de Frecuencias AM contenida en el punto 2.2.3.3 para concesiones de uso comercial.</w:t>
      </w:r>
    </w:p>
    <w:p w:rsidR="005B12CA" w:rsidRPr="005B12CA" w:rsidRDefault="005B12CA" w:rsidP="005B12CA">
      <w:pPr>
        <w:spacing w:after="101" w:line="229" w:lineRule="exact"/>
        <w:ind w:firstLine="288"/>
        <w:jc w:val="both"/>
        <w:rPr>
          <w:rFonts w:ascii="Arial" w:eastAsia="Times New Roman" w:hAnsi="Arial" w:cs="Arial"/>
          <w:sz w:val="18"/>
          <w:lang w:val="es-ES" w:eastAsia="es-ES"/>
        </w:rPr>
      </w:pPr>
      <w:r w:rsidRPr="005B12CA">
        <w:rPr>
          <w:rFonts w:ascii="Arial" w:eastAsia="Times New Roman" w:hAnsi="Arial" w:cs="Arial"/>
          <w:b/>
          <w:caps/>
          <w:sz w:val="18"/>
          <w:lang w:val="es-ES" w:eastAsia="es-ES"/>
        </w:rPr>
        <w:t xml:space="preserve">Segundo. </w:t>
      </w:r>
      <w:r w:rsidRPr="005B12CA">
        <w:rPr>
          <w:rFonts w:ascii="Arial" w:eastAsia="Times New Roman" w:hAnsi="Arial" w:cs="Arial"/>
          <w:sz w:val="18"/>
          <w:lang w:val="es-ES" w:eastAsia="es-ES"/>
        </w:rPr>
        <w:t xml:space="preserve">Publíquese en el Diario Oficial de </w:t>
      </w:r>
      <w:smartTag w:uri="urn:schemas-microsoft-com:office:smarttags" w:element="PersonName">
        <w:smartTagPr>
          <w:attr w:name="ProductID" w:val="La Federaci￳n"/>
        </w:smartTagPr>
        <w:r w:rsidRPr="005B12CA">
          <w:rPr>
            <w:rFonts w:ascii="Arial" w:eastAsia="Times New Roman" w:hAnsi="Arial" w:cs="Arial"/>
            <w:sz w:val="18"/>
            <w:lang w:val="es-ES" w:eastAsia="es-ES"/>
          </w:rPr>
          <w:t>la Federación</w:t>
        </w:r>
      </w:smartTag>
      <w:r w:rsidRPr="005B12CA">
        <w:rPr>
          <w:rFonts w:ascii="Arial" w:eastAsia="Times New Roman" w:hAnsi="Arial" w:cs="Arial"/>
          <w:sz w:val="18"/>
          <w:lang w:val="es-ES" w:eastAsia="es-ES"/>
        </w:rPr>
        <w:t xml:space="preserve"> la versión integral del Programa Anual de Uso y Aprovechamiento de Bandas de Frecuencias 2017 con sus modificaciones.</w:t>
      </w:r>
    </w:p>
    <w:p w:rsidR="005B12CA" w:rsidRPr="005B12CA" w:rsidRDefault="005B12CA" w:rsidP="005B12CA">
      <w:pPr>
        <w:spacing w:after="101" w:line="229" w:lineRule="exact"/>
        <w:ind w:firstLine="288"/>
        <w:jc w:val="both"/>
        <w:rPr>
          <w:rFonts w:ascii="Arial" w:eastAsia="Times New Roman" w:hAnsi="Arial" w:cs="Arial"/>
          <w:sz w:val="18"/>
          <w:lang w:val="es-ES" w:eastAsia="es-ES"/>
        </w:rPr>
      </w:pPr>
      <w:r w:rsidRPr="005B12CA">
        <w:rPr>
          <w:rFonts w:ascii="Arial" w:eastAsia="Times New Roman" w:hAnsi="Arial" w:cs="Arial"/>
          <w:b/>
          <w:caps/>
          <w:sz w:val="18"/>
          <w:lang w:val="es-ES" w:eastAsia="es-ES"/>
        </w:rPr>
        <w:t xml:space="preserve">Tercero. </w:t>
      </w:r>
      <w:r w:rsidRPr="005B12CA">
        <w:rPr>
          <w:rFonts w:ascii="Arial" w:eastAsia="Times New Roman" w:hAnsi="Arial" w:cs="Arial"/>
          <w:sz w:val="18"/>
          <w:lang w:val="es-ES" w:eastAsia="es-ES"/>
        </w:rPr>
        <w:t>Publíquese en el portal de Internet del Instituto (www.ift.org.mx</w:t>
      </w:r>
      <w:r w:rsidRPr="005B12CA">
        <w:rPr>
          <w:rFonts w:ascii="Arial" w:eastAsia="Times New Roman" w:hAnsi="Arial" w:cs="Arial"/>
          <w:sz w:val="18"/>
          <w:lang w:eastAsia="es-ES"/>
        </w:rPr>
        <w:t>)</w:t>
      </w:r>
      <w:r w:rsidRPr="005B12CA">
        <w:rPr>
          <w:rFonts w:ascii="Arial" w:eastAsia="Times New Roman" w:hAnsi="Arial" w:cs="Arial"/>
          <w:sz w:val="18"/>
          <w:lang w:val="es-ES" w:eastAsia="es-ES"/>
        </w:rPr>
        <w:t xml:space="preserve"> el presente Acuerdo, la versión integral del Programa Anual de Uso y Aprovechamiento de Bandas de Frecuencias 2017 con sus modificaciones </w:t>
      </w:r>
      <w:r w:rsidRPr="005B12CA">
        <w:rPr>
          <w:rFonts w:ascii="Arial" w:eastAsia="Times New Roman" w:hAnsi="Arial" w:cs="Arial"/>
          <w:b/>
          <w:sz w:val="18"/>
          <w:lang w:val="es-ES" w:eastAsia="es-ES"/>
        </w:rPr>
        <w:t xml:space="preserve">(Anexo Uno) </w:t>
      </w:r>
      <w:r w:rsidRPr="005B12CA">
        <w:rPr>
          <w:rFonts w:ascii="Arial" w:eastAsia="Times New Roman" w:hAnsi="Arial" w:cs="Arial"/>
          <w:sz w:val="18"/>
          <w:lang w:val="es-ES" w:eastAsia="es-ES"/>
        </w:rPr>
        <w:t xml:space="preserve">y </w:t>
      </w:r>
      <w:smartTag w:uri="urn:schemas-microsoft-com:office:smarttags" w:element="PersonName">
        <w:smartTagPr>
          <w:attr w:name="ProductID" w:val="la Valoraci￳n"/>
        </w:smartTagPr>
        <w:r w:rsidRPr="005B12CA">
          <w:rPr>
            <w:rFonts w:ascii="Arial" w:eastAsia="Times New Roman" w:hAnsi="Arial" w:cs="Arial"/>
            <w:sz w:val="18"/>
            <w:lang w:val="es-ES" w:eastAsia="es-ES"/>
          </w:rPr>
          <w:t>la Valoración</w:t>
        </w:r>
      </w:smartTag>
      <w:r w:rsidRPr="005B12CA">
        <w:rPr>
          <w:rFonts w:ascii="Arial" w:eastAsia="Times New Roman" w:hAnsi="Arial" w:cs="Arial"/>
          <w:sz w:val="18"/>
          <w:lang w:val="es-ES" w:eastAsia="es-ES"/>
        </w:rPr>
        <w:t xml:space="preserve"> de las Solicitudes de Inclusión presentadas del 6 de agosto de 2016 al 21 de diciembre de 2016 </w:t>
      </w:r>
      <w:r w:rsidRPr="005B12CA">
        <w:rPr>
          <w:rFonts w:ascii="Arial" w:eastAsia="Times New Roman" w:hAnsi="Arial" w:cs="Arial"/>
          <w:b/>
          <w:sz w:val="18"/>
          <w:lang w:val="es-ES" w:eastAsia="es-ES"/>
        </w:rPr>
        <w:t>(Anexo Dos).</w:t>
      </w:r>
    </w:p>
    <w:p w:rsidR="005B12CA" w:rsidRPr="005B12CA" w:rsidRDefault="005B12CA" w:rsidP="005B12CA">
      <w:pPr>
        <w:spacing w:after="101" w:line="229" w:lineRule="exact"/>
        <w:ind w:firstLine="288"/>
        <w:jc w:val="both"/>
        <w:rPr>
          <w:rFonts w:ascii="Arial" w:eastAsia="Times New Roman" w:hAnsi="Arial" w:cs="Arial"/>
          <w:sz w:val="18"/>
          <w:lang w:val="es-ES" w:eastAsia="es-ES"/>
        </w:rPr>
      </w:pPr>
      <w:r w:rsidRPr="005B12CA">
        <w:rPr>
          <w:rFonts w:ascii="Arial" w:eastAsia="Times New Roman" w:hAnsi="Arial" w:cs="Arial"/>
          <w:b/>
          <w:caps/>
          <w:sz w:val="18"/>
          <w:lang w:val="es-ES" w:eastAsia="es-ES"/>
        </w:rPr>
        <w:t xml:space="preserve">Cuarto. </w:t>
      </w:r>
      <w:r w:rsidRPr="005B12CA">
        <w:rPr>
          <w:rFonts w:ascii="Arial" w:eastAsia="Times New Roman" w:hAnsi="Arial" w:cs="Arial"/>
          <w:sz w:val="18"/>
          <w:lang w:val="es-ES" w:eastAsia="es-ES"/>
        </w:rPr>
        <w:t>Los procedimientos de licitación establecidos en el Programa Anual de Uso y Aprovechamiento de Bandas de Frecuencias 2015 y el Programa Anual de Uso y Aprovechamiento de Bandas de Frecuencias 2016, continuarán su curso, con independencia de lo previsto en el Programa 2017 y sus modificaciones.</w:t>
      </w:r>
    </w:p>
    <w:p w:rsidR="005B12CA" w:rsidRPr="005B12CA" w:rsidRDefault="005B12CA" w:rsidP="005B12CA">
      <w:pPr>
        <w:spacing w:after="101" w:line="229" w:lineRule="exact"/>
        <w:ind w:firstLine="288"/>
        <w:jc w:val="both"/>
        <w:rPr>
          <w:rFonts w:ascii="Arial" w:eastAsia="Times New Roman" w:hAnsi="Arial" w:cs="Arial"/>
          <w:sz w:val="18"/>
          <w:lang w:val="es-ES_tradnl" w:eastAsia="es-ES"/>
        </w:rPr>
      </w:pPr>
      <w:r w:rsidRPr="005B12CA">
        <w:rPr>
          <w:rFonts w:ascii="Arial" w:eastAsia="Times New Roman" w:hAnsi="Arial" w:cs="Arial"/>
          <w:sz w:val="18"/>
          <w:lang w:val="es-ES_tradnl" w:eastAsia="es-ES"/>
        </w:rPr>
        <w:t xml:space="preserve">El Comisionado Presidente, </w:t>
      </w:r>
      <w:r w:rsidRPr="005B12CA">
        <w:rPr>
          <w:rFonts w:ascii="Arial" w:eastAsia="Times New Roman" w:hAnsi="Arial" w:cs="Arial"/>
          <w:b/>
          <w:sz w:val="18"/>
          <w:lang w:val="es-ES_tradnl" w:eastAsia="es-ES"/>
        </w:rPr>
        <w:t>Gabriel Oswaldo Contreras Saldívar</w:t>
      </w:r>
      <w:r w:rsidRPr="005B12CA">
        <w:rPr>
          <w:rFonts w:ascii="Arial" w:eastAsia="Times New Roman" w:hAnsi="Arial" w:cs="Arial"/>
          <w:sz w:val="18"/>
          <w:lang w:val="es-ES_tradnl" w:eastAsia="es-ES"/>
        </w:rPr>
        <w:t xml:space="preserve">.- Rúbrica.- Los Comisionados: </w:t>
      </w:r>
      <w:r w:rsidRPr="005B12CA">
        <w:rPr>
          <w:rFonts w:ascii="Arial" w:eastAsia="Times New Roman" w:hAnsi="Arial" w:cs="Arial"/>
          <w:b/>
          <w:sz w:val="18"/>
          <w:lang w:val="es-ES_tradnl" w:eastAsia="es-ES"/>
        </w:rPr>
        <w:t>Ernesto Estrada González</w:t>
      </w:r>
      <w:r w:rsidRPr="005B12CA">
        <w:rPr>
          <w:rFonts w:ascii="Arial" w:eastAsia="Times New Roman" w:hAnsi="Arial" w:cs="Arial"/>
          <w:sz w:val="18"/>
          <w:lang w:val="es-ES_tradnl" w:eastAsia="es-ES"/>
        </w:rPr>
        <w:t xml:space="preserve">, </w:t>
      </w:r>
      <w:r w:rsidRPr="005B12CA">
        <w:rPr>
          <w:rFonts w:ascii="Arial" w:eastAsia="Times New Roman" w:hAnsi="Arial" w:cs="Arial"/>
          <w:b/>
          <w:sz w:val="18"/>
          <w:lang w:val="es-ES_tradnl" w:eastAsia="es-ES"/>
        </w:rPr>
        <w:t xml:space="preserve">María Elena </w:t>
      </w:r>
      <w:proofErr w:type="spellStart"/>
      <w:r w:rsidRPr="005B12CA">
        <w:rPr>
          <w:rFonts w:ascii="Arial" w:eastAsia="Times New Roman" w:hAnsi="Arial" w:cs="Arial"/>
          <w:b/>
          <w:sz w:val="18"/>
          <w:lang w:val="es-ES_tradnl" w:eastAsia="es-ES"/>
        </w:rPr>
        <w:t>Estavillo</w:t>
      </w:r>
      <w:proofErr w:type="spellEnd"/>
      <w:r w:rsidRPr="005B12CA">
        <w:rPr>
          <w:rFonts w:ascii="Arial" w:eastAsia="Times New Roman" w:hAnsi="Arial" w:cs="Arial"/>
          <w:b/>
          <w:sz w:val="18"/>
          <w:lang w:val="es-ES_tradnl" w:eastAsia="es-ES"/>
        </w:rPr>
        <w:t xml:space="preserve"> Flores</w:t>
      </w:r>
      <w:r w:rsidRPr="005B12CA">
        <w:rPr>
          <w:rFonts w:ascii="Arial" w:eastAsia="Times New Roman" w:hAnsi="Arial" w:cs="Arial"/>
          <w:sz w:val="18"/>
          <w:lang w:val="es-ES_tradnl" w:eastAsia="es-ES"/>
        </w:rPr>
        <w:t xml:space="preserve">, </w:t>
      </w:r>
      <w:r w:rsidRPr="005B12CA">
        <w:rPr>
          <w:rFonts w:ascii="Arial" w:eastAsia="Times New Roman" w:hAnsi="Arial" w:cs="Arial"/>
          <w:b/>
          <w:sz w:val="18"/>
          <w:lang w:val="es-ES_tradnl" w:eastAsia="es-ES"/>
        </w:rPr>
        <w:t>Adolfo Cuevas Teja</w:t>
      </w:r>
      <w:r w:rsidRPr="005B12CA">
        <w:rPr>
          <w:rFonts w:ascii="Arial" w:eastAsia="Times New Roman" w:hAnsi="Arial" w:cs="Arial"/>
          <w:sz w:val="18"/>
          <w:lang w:val="es-ES_tradnl" w:eastAsia="es-ES"/>
        </w:rPr>
        <w:t xml:space="preserve">, </w:t>
      </w:r>
      <w:r w:rsidRPr="005B12CA">
        <w:rPr>
          <w:rFonts w:ascii="Arial" w:eastAsia="Times New Roman" w:hAnsi="Arial" w:cs="Arial"/>
          <w:b/>
          <w:sz w:val="18"/>
          <w:lang w:val="es-ES_tradnl" w:eastAsia="es-ES"/>
        </w:rPr>
        <w:t xml:space="preserve">Adriana Sofía </w:t>
      </w:r>
      <w:proofErr w:type="spellStart"/>
      <w:r w:rsidRPr="005B12CA">
        <w:rPr>
          <w:rFonts w:ascii="Arial" w:eastAsia="Times New Roman" w:hAnsi="Arial" w:cs="Arial"/>
          <w:b/>
          <w:sz w:val="18"/>
          <w:lang w:val="es-ES_tradnl" w:eastAsia="es-ES"/>
        </w:rPr>
        <w:t>Labardini</w:t>
      </w:r>
      <w:proofErr w:type="spellEnd"/>
      <w:r w:rsidRPr="005B12CA">
        <w:rPr>
          <w:rFonts w:ascii="Arial" w:eastAsia="Times New Roman" w:hAnsi="Arial" w:cs="Arial"/>
          <w:b/>
          <w:sz w:val="18"/>
          <w:lang w:val="es-ES_tradnl" w:eastAsia="es-ES"/>
        </w:rPr>
        <w:t xml:space="preserve"> </w:t>
      </w:r>
      <w:proofErr w:type="spellStart"/>
      <w:r w:rsidRPr="005B12CA">
        <w:rPr>
          <w:rFonts w:ascii="Arial" w:eastAsia="Times New Roman" w:hAnsi="Arial" w:cs="Arial"/>
          <w:b/>
          <w:sz w:val="18"/>
          <w:lang w:val="es-ES_tradnl" w:eastAsia="es-ES"/>
        </w:rPr>
        <w:t>Inzunza</w:t>
      </w:r>
      <w:proofErr w:type="spellEnd"/>
      <w:r w:rsidRPr="005B12CA">
        <w:rPr>
          <w:rFonts w:ascii="Arial" w:eastAsia="Times New Roman" w:hAnsi="Arial" w:cs="Arial"/>
          <w:sz w:val="18"/>
          <w:lang w:val="es-ES_tradnl" w:eastAsia="es-ES"/>
        </w:rPr>
        <w:t xml:space="preserve">, </w:t>
      </w:r>
      <w:r w:rsidRPr="005B12CA">
        <w:rPr>
          <w:rFonts w:ascii="Arial" w:eastAsia="Times New Roman" w:hAnsi="Arial" w:cs="Arial"/>
          <w:b/>
          <w:sz w:val="18"/>
          <w:lang w:val="es-ES_tradnl" w:eastAsia="es-ES"/>
        </w:rPr>
        <w:t xml:space="preserve">Mario Germán </w:t>
      </w:r>
      <w:proofErr w:type="spellStart"/>
      <w:r w:rsidRPr="005B12CA">
        <w:rPr>
          <w:rFonts w:ascii="Arial" w:eastAsia="Times New Roman" w:hAnsi="Arial" w:cs="Arial"/>
          <w:b/>
          <w:sz w:val="18"/>
          <w:lang w:val="es-ES_tradnl" w:eastAsia="es-ES"/>
        </w:rPr>
        <w:t>Fromow</w:t>
      </w:r>
      <w:proofErr w:type="spellEnd"/>
      <w:r w:rsidRPr="005B12CA">
        <w:rPr>
          <w:rFonts w:ascii="Arial" w:eastAsia="Times New Roman" w:hAnsi="Arial" w:cs="Arial"/>
          <w:b/>
          <w:sz w:val="18"/>
          <w:lang w:val="es-ES_tradnl" w:eastAsia="es-ES"/>
        </w:rPr>
        <w:t xml:space="preserve"> Rangel</w:t>
      </w:r>
      <w:r w:rsidRPr="005B12CA">
        <w:rPr>
          <w:rFonts w:ascii="Arial" w:eastAsia="Times New Roman" w:hAnsi="Arial" w:cs="Arial"/>
          <w:sz w:val="18"/>
          <w:lang w:val="es-ES_tradnl" w:eastAsia="es-ES"/>
        </w:rPr>
        <w:t xml:space="preserve">, </w:t>
      </w:r>
      <w:r w:rsidRPr="005B12CA">
        <w:rPr>
          <w:rFonts w:ascii="Arial" w:eastAsia="Times New Roman" w:hAnsi="Arial" w:cs="Arial"/>
          <w:b/>
          <w:sz w:val="18"/>
          <w:lang w:val="es-ES_tradnl" w:eastAsia="es-ES"/>
        </w:rPr>
        <w:t>Javier Juárez Mojica</w:t>
      </w:r>
      <w:r w:rsidRPr="005B12CA">
        <w:rPr>
          <w:rFonts w:ascii="Arial" w:eastAsia="Times New Roman" w:hAnsi="Arial" w:cs="Arial"/>
          <w:sz w:val="18"/>
          <w:lang w:val="es-ES_tradnl" w:eastAsia="es-ES"/>
        </w:rPr>
        <w:t>.- Rúbricas.</w:t>
      </w:r>
    </w:p>
    <w:p w:rsidR="004A714B" w:rsidRDefault="005B12CA" w:rsidP="005B12CA">
      <w:pPr>
        <w:spacing w:after="101" w:line="229" w:lineRule="exact"/>
        <w:ind w:firstLine="288"/>
        <w:jc w:val="both"/>
        <w:rPr>
          <w:rFonts w:ascii="Arial" w:eastAsia="Times New Roman" w:hAnsi="Arial" w:cs="Arial"/>
          <w:sz w:val="18"/>
          <w:szCs w:val="12"/>
          <w:lang w:val="es-ES" w:eastAsia="es-ES"/>
        </w:rPr>
      </w:pPr>
      <w:r w:rsidRPr="005B12CA">
        <w:rPr>
          <w:rFonts w:ascii="Arial" w:eastAsia="Times New Roman" w:hAnsi="Arial" w:cs="Arial"/>
          <w:sz w:val="18"/>
          <w:szCs w:val="12"/>
          <w:lang w:val="es-ES" w:eastAsia="es-ES"/>
        </w:rPr>
        <w:t xml:space="preserve">El presente Acuerdo fue aprobado por el Pleno del Instituto Federal de Telecomunicaciones en su V Sesión Ordinaria celebrada el 10 de febrero de 2017, por unanimidad de votos de los Comisionados Gabriel Oswaldo Contreras Saldívar, Ernesto Estrada González, Adriana Sofía </w:t>
      </w:r>
      <w:proofErr w:type="spellStart"/>
      <w:r w:rsidRPr="005B12CA">
        <w:rPr>
          <w:rFonts w:ascii="Arial" w:eastAsia="Times New Roman" w:hAnsi="Arial" w:cs="Arial"/>
          <w:sz w:val="18"/>
          <w:szCs w:val="12"/>
          <w:lang w:val="es-ES" w:eastAsia="es-ES"/>
        </w:rPr>
        <w:t>Labardini</w:t>
      </w:r>
      <w:proofErr w:type="spellEnd"/>
      <w:r w:rsidRPr="005B12CA">
        <w:rPr>
          <w:rFonts w:ascii="Arial" w:eastAsia="Times New Roman" w:hAnsi="Arial" w:cs="Arial"/>
          <w:sz w:val="18"/>
          <w:szCs w:val="12"/>
          <w:lang w:val="es-ES" w:eastAsia="es-ES"/>
        </w:rPr>
        <w:t xml:space="preserve"> </w:t>
      </w:r>
      <w:proofErr w:type="spellStart"/>
      <w:r w:rsidRPr="005B12CA">
        <w:rPr>
          <w:rFonts w:ascii="Arial" w:eastAsia="Times New Roman" w:hAnsi="Arial" w:cs="Arial"/>
          <w:sz w:val="18"/>
          <w:szCs w:val="12"/>
          <w:lang w:val="es-ES" w:eastAsia="es-ES"/>
        </w:rPr>
        <w:t>Inzunza</w:t>
      </w:r>
      <w:proofErr w:type="spellEnd"/>
      <w:r w:rsidRPr="005B12CA">
        <w:rPr>
          <w:rFonts w:ascii="Arial" w:eastAsia="Times New Roman" w:hAnsi="Arial" w:cs="Arial"/>
          <w:sz w:val="18"/>
          <w:szCs w:val="12"/>
          <w:lang w:val="es-ES" w:eastAsia="es-ES"/>
        </w:rPr>
        <w:t xml:space="preserve">, María Elena </w:t>
      </w:r>
      <w:proofErr w:type="spellStart"/>
      <w:r w:rsidRPr="005B12CA">
        <w:rPr>
          <w:rFonts w:ascii="Arial" w:eastAsia="Times New Roman" w:hAnsi="Arial" w:cs="Arial"/>
          <w:sz w:val="18"/>
          <w:szCs w:val="12"/>
          <w:lang w:val="es-ES" w:eastAsia="es-ES"/>
        </w:rPr>
        <w:t>Estavillo</w:t>
      </w:r>
      <w:proofErr w:type="spellEnd"/>
      <w:r w:rsidRPr="005B12CA">
        <w:rPr>
          <w:rFonts w:ascii="Arial" w:eastAsia="Times New Roman" w:hAnsi="Arial" w:cs="Arial"/>
          <w:sz w:val="18"/>
          <w:szCs w:val="12"/>
          <w:lang w:val="es-ES" w:eastAsia="es-ES"/>
        </w:rPr>
        <w:t xml:space="preserve"> Flores, Mario Germán </w:t>
      </w:r>
      <w:proofErr w:type="spellStart"/>
      <w:r w:rsidRPr="005B12CA">
        <w:rPr>
          <w:rFonts w:ascii="Arial" w:eastAsia="Times New Roman" w:hAnsi="Arial" w:cs="Arial"/>
          <w:sz w:val="18"/>
          <w:szCs w:val="12"/>
          <w:lang w:val="es-ES" w:eastAsia="es-ES"/>
        </w:rPr>
        <w:t>Fromow</w:t>
      </w:r>
      <w:proofErr w:type="spellEnd"/>
      <w:r w:rsidRPr="005B12CA">
        <w:rPr>
          <w:rFonts w:ascii="Arial" w:eastAsia="Times New Roman" w:hAnsi="Arial" w:cs="Arial"/>
          <w:sz w:val="18"/>
          <w:szCs w:val="12"/>
          <w:lang w:val="es-ES" w:eastAsia="es-ES"/>
        </w:rPr>
        <w:t xml:space="preserve"> Rangel, Adolfo Cuevas Teja y Javier Juárez Mojica; con fundamento en los párrafos vigésimo, fracciones I y III; y vigésimo primero, del artículo 28 de </w:t>
      </w:r>
      <w:smartTag w:uri="urn:schemas-microsoft-com:office:smarttags" w:element="PersonName">
        <w:smartTagPr>
          <w:attr w:name="ProductID" w:val="la Constituci￳n Pol￭tica"/>
        </w:smartTagPr>
        <w:r w:rsidRPr="005B12CA">
          <w:rPr>
            <w:rFonts w:ascii="Arial" w:eastAsia="Times New Roman" w:hAnsi="Arial" w:cs="Arial"/>
            <w:sz w:val="18"/>
            <w:szCs w:val="12"/>
            <w:lang w:val="es-ES" w:eastAsia="es-ES"/>
          </w:rPr>
          <w:t>la Constitución Política</w:t>
        </w:r>
      </w:smartTag>
      <w:r w:rsidRPr="005B12CA">
        <w:rPr>
          <w:rFonts w:ascii="Arial" w:eastAsia="Times New Roman" w:hAnsi="Arial" w:cs="Arial"/>
          <w:sz w:val="18"/>
          <w:szCs w:val="12"/>
          <w:lang w:val="es-ES" w:eastAsia="es-ES"/>
        </w:rPr>
        <w:t xml:space="preserve"> de los Estados Unidos Mexicanos; artículos 7, 16 y 45 de </w:t>
      </w:r>
      <w:smartTag w:uri="urn:schemas-microsoft-com:office:smarttags" w:element="PersonName">
        <w:smartTagPr>
          <w:attr w:name="ProductID" w:val="la Ley Federal"/>
        </w:smartTagPr>
        <w:r w:rsidRPr="005B12CA">
          <w:rPr>
            <w:rFonts w:ascii="Arial" w:eastAsia="Times New Roman" w:hAnsi="Arial" w:cs="Arial"/>
            <w:sz w:val="18"/>
            <w:szCs w:val="12"/>
            <w:lang w:val="es-ES" w:eastAsia="es-ES"/>
          </w:rPr>
          <w:t>la Ley Federal</w:t>
        </w:r>
      </w:smartTag>
      <w:r w:rsidRPr="005B12CA">
        <w:rPr>
          <w:rFonts w:ascii="Arial" w:eastAsia="Times New Roman" w:hAnsi="Arial" w:cs="Arial"/>
          <w:sz w:val="18"/>
          <w:szCs w:val="12"/>
          <w:lang w:val="es-ES" w:eastAsia="es-ES"/>
        </w:rPr>
        <w:t xml:space="preserve"> de Telecomunicaciones y Radiodifusión; así como en los artículos 1, 7, 8 y 12 del Estatuto Orgánico del Instituto Federal de Telecomunicaciones, mediante Acuerdo P/IFT/100217/81.</w:t>
      </w:r>
      <w:r w:rsidR="004A714B">
        <w:rPr>
          <w:rFonts w:ascii="Arial" w:eastAsia="Times New Roman" w:hAnsi="Arial" w:cs="Arial"/>
          <w:sz w:val="18"/>
          <w:szCs w:val="12"/>
          <w:lang w:val="es-ES" w:eastAsia="es-ES"/>
        </w:rPr>
        <w:br w:type="page"/>
      </w:r>
    </w:p>
    <w:p w:rsidR="005B12CA" w:rsidRPr="004A714B" w:rsidRDefault="005B12CA" w:rsidP="004A714B">
      <w:pPr>
        <w:pStyle w:val="Ttulo2"/>
        <w:keepNext/>
        <w:keepLines/>
        <w:pBdr>
          <w:top w:val="none" w:sz="0" w:space="0" w:color="auto"/>
          <w:between w:val="none" w:sz="0" w:space="0" w:color="auto"/>
        </w:pBdr>
        <w:spacing w:before="40" w:after="240" w:line="276" w:lineRule="auto"/>
        <w:ind w:right="53"/>
        <w:jc w:val="center"/>
        <w:rPr>
          <w:rFonts w:eastAsia="Calibri" w:cs="Arial"/>
          <w:b/>
          <w:color w:val="000000"/>
          <w:szCs w:val="18"/>
          <w:lang w:val="es-MX" w:eastAsia="en-US"/>
        </w:rPr>
      </w:pPr>
      <w:r w:rsidRPr="004A714B">
        <w:rPr>
          <w:rFonts w:eastAsia="Calibri" w:cs="Arial"/>
          <w:b/>
          <w:color w:val="000000"/>
          <w:szCs w:val="18"/>
          <w:lang w:val="es-MX" w:eastAsia="en-US"/>
        </w:rPr>
        <w:lastRenderedPageBreak/>
        <w:t>PROGRAMA ANUAL DE USO Y APROVECHAMIENTO DE BANDAS DE FRECUENCIAS 2017</w:t>
      </w:r>
    </w:p>
    <w:p w:rsidR="005B12CA" w:rsidRPr="005B12CA" w:rsidRDefault="005B12CA" w:rsidP="004A714B">
      <w:pPr>
        <w:pStyle w:val="Ttulo3"/>
        <w:keepNext/>
        <w:keepLines/>
        <w:pBdr>
          <w:top w:val="none" w:sz="0" w:space="0" w:color="auto"/>
          <w:left w:val="none" w:sz="0" w:space="0" w:color="auto"/>
          <w:bottom w:val="none" w:sz="0" w:space="0" w:color="auto"/>
          <w:right w:val="none" w:sz="0" w:space="0" w:color="auto"/>
          <w:between w:val="none" w:sz="0" w:space="0" w:color="auto"/>
        </w:pBdr>
        <w:spacing w:before="40" w:line="276" w:lineRule="auto"/>
        <w:ind w:left="0" w:firstLine="0"/>
        <w:rPr>
          <w:rFonts w:ascii="Arial" w:hAnsi="Arial" w:cs="Arial"/>
          <w:b w:val="0"/>
          <w:sz w:val="18"/>
          <w:lang w:val="es-ES" w:eastAsia="es-ES"/>
        </w:rPr>
      </w:pPr>
      <w:r w:rsidRPr="005B12CA">
        <w:rPr>
          <w:rFonts w:ascii="Arial" w:hAnsi="Arial" w:cs="Arial"/>
          <w:sz w:val="18"/>
          <w:lang w:val="es-ES" w:eastAsia="es-ES"/>
        </w:rPr>
        <w:t>CAPÍTULO 1</w:t>
      </w:r>
    </w:p>
    <w:p w:rsidR="005B12CA" w:rsidRPr="005B12CA" w:rsidRDefault="005B12CA" w:rsidP="005B12CA">
      <w:pPr>
        <w:spacing w:after="101" w:line="250" w:lineRule="exact"/>
        <w:jc w:val="center"/>
        <w:rPr>
          <w:rFonts w:ascii="Arial" w:eastAsia="Times New Roman" w:hAnsi="Arial" w:cs="Arial"/>
          <w:b/>
          <w:sz w:val="18"/>
          <w:lang w:val="es-ES" w:eastAsia="es-ES"/>
        </w:rPr>
      </w:pPr>
      <w:r w:rsidRPr="005B12CA">
        <w:rPr>
          <w:rFonts w:ascii="Arial" w:eastAsia="Times New Roman" w:hAnsi="Arial" w:cs="Arial"/>
          <w:b/>
          <w:sz w:val="18"/>
          <w:lang w:val="es-ES" w:eastAsia="es-ES"/>
        </w:rPr>
        <w:t>DISPOSICIONES GENERALES</w:t>
      </w:r>
    </w:p>
    <w:p w:rsidR="005B12CA" w:rsidRPr="005B12CA" w:rsidRDefault="005B12CA" w:rsidP="005B12CA">
      <w:pPr>
        <w:spacing w:after="101" w:line="250" w:lineRule="exact"/>
        <w:ind w:left="864" w:hanging="576"/>
        <w:jc w:val="both"/>
        <w:rPr>
          <w:rFonts w:ascii="Arial" w:eastAsia="Times New Roman" w:hAnsi="Arial" w:cs="Arial"/>
          <w:sz w:val="18"/>
          <w:lang w:val="es-ES" w:eastAsia="es-ES"/>
        </w:rPr>
      </w:pPr>
      <w:r w:rsidRPr="005B12CA">
        <w:rPr>
          <w:rFonts w:ascii="Arial" w:eastAsia="Times New Roman" w:hAnsi="Arial" w:cs="Arial"/>
          <w:b/>
          <w:sz w:val="18"/>
          <w:lang w:val="es-ES" w:eastAsia="es-ES"/>
        </w:rPr>
        <w:t>1.1.</w:t>
      </w:r>
      <w:r w:rsidRPr="005B12CA">
        <w:rPr>
          <w:rFonts w:ascii="Arial" w:eastAsia="Times New Roman" w:hAnsi="Arial" w:cs="Arial"/>
          <w:b/>
          <w:sz w:val="18"/>
          <w:lang w:val="es-ES" w:eastAsia="es-ES"/>
        </w:rPr>
        <w:tab/>
      </w:r>
      <w:r w:rsidRPr="005B12CA">
        <w:rPr>
          <w:rFonts w:ascii="Arial" w:eastAsia="Times New Roman" w:hAnsi="Arial" w:cs="Arial"/>
          <w:sz w:val="18"/>
          <w:lang w:val="es-ES" w:eastAsia="es-ES"/>
        </w:rPr>
        <w:t>El presente Programa Anual de Uso y Aprovechamiento de Bandas de Frecuencias 2017 (Programa 2017) tiene por objeto determinar las bandas de frecuencias de espectro determinado que serán objeto de licitación o que podrán asignarse directamente y se integra con los servicios que pueden prestarse a través de dichas Frecuencias o Bandas de Frecuencias, su Categoría, Modalidades de Uso y Coberturas Geográficas.</w:t>
      </w:r>
    </w:p>
    <w:p w:rsidR="005B12CA" w:rsidRPr="005B12CA" w:rsidRDefault="005B12CA" w:rsidP="005B12CA">
      <w:pPr>
        <w:spacing w:after="101" w:line="250" w:lineRule="exact"/>
        <w:ind w:left="864" w:hanging="576"/>
        <w:jc w:val="both"/>
        <w:rPr>
          <w:rFonts w:ascii="Arial" w:eastAsia="Times New Roman" w:hAnsi="Arial" w:cs="Arial"/>
          <w:sz w:val="18"/>
          <w:lang w:val="es-ES" w:eastAsia="es-ES"/>
        </w:rPr>
      </w:pPr>
      <w:r w:rsidRPr="005B12CA">
        <w:rPr>
          <w:rFonts w:ascii="Arial" w:eastAsia="Times New Roman" w:hAnsi="Arial" w:cs="Arial"/>
          <w:b/>
          <w:sz w:val="18"/>
          <w:lang w:val="es-ES" w:eastAsia="es-ES"/>
        </w:rPr>
        <w:t>1.2.</w:t>
      </w:r>
      <w:r w:rsidRPr="005B12CA">
        <w:rPr>
          <w:rFonts w:ascii="Arial" w:eastAsia="Times New Roman" w:hAnsi="Arial" w:cs="Arial"/>
          <w:b/>
          <w:sz w:val="18"/>
          <w:lang w:val="es-ES" w:eastAsia="es-ES"/>
        </w:rPr>
        <w:tab/>
      </w:r>
      <w:r w:rsidRPr="005B12CA">
        <w:rPr>
          <w:rFonts w:ascii="Arial" w:eastAsia="Times New Roman" w:hAnsi="Arial" w:cs="Arial"/>
          <w:sz w:val="18"/>
          <w:lang w:val="es-ES" w:eastAsia="es-ES"/>
        </w:rPr>
        <w:t>Para los efectos del Programa 2017, se entenderán por:</w:t>
      </w:r>
    </w:p>
    <w:p w:rsidR="005B12CA" w:rsidRPr="005B12CA" w:rsidRDefault="005B12CA" w:rsidP="005B12CA">
      <w:pPr>
        <w:spacing w:after="101" w:line="250" w:lineRule="exact"/>
        <w:ind w:left="1526" w:hanging="648"/>
        <w:jc w:val="both"/>
        <w:rPr>
          <w:rFonts w:ascii="Arial" w:eastAsia="Times New Roman" w:hAnsi="Arial" w:cs="Arial"/>
          <w:b/>
          <w:sz w:val="18"/>
          <w:lang w:val="es-ES" w:eastAsia="es-ES"/>
        </w:rPr>
      </w:pPr>
      <w:r w:rsidRPr="005B12CA">
        <w:rPr>
          <w:rFonts w:ascii="Arial" w:eastAsia="Times New Roman" w:hAnsi="Arial" w:cs="Arial"/>
          <w:b/>
          <w:sz w:val="18"/>
          <w:lang w:val="es-ES" w:eastAsia="es-ES"/>
        </w:rPr>
        <w:t>1.2.1.</w:t>
      </w:r>
      <w:r w:rsidRPr="005B12CA">
        <w:rPr>
          <w:rFonts w:ascii="Arial" w:eastAsia="Times New Roman" w:hAnsi="Arial" w:cs="Arial"/>
          <w:b/>
          <w:sz w:val="18"/>
          <w:lang w:val="es-ES" w:eastAsia="es-ES"/>
        </w:rPr>
        <w:tab/>
        <w:t>Atribución de una Banda de Frecuencias:</w:t>
      </w:r>
      <w:r w:rsidRPr="005B12CA">
        <w:rPr>
          <w:rFonts w:ascii="Arial" w:eastAsia="Times New Roman" w:hAnsi="Arial" w:cs="Arial"/>
          <w:sz w:val="18"/>
          <w:lang w:val="es-ES" w:eastAsia="es-ES"/>
        </w:rPr>
        <w:t xml:space="preserve"> Acto por el cual una Banda de Frecuencias determinada se destina al uso de uno o varios servicios de radiocomunicación, conforme al CNAF.</w:t>
      </w:r>
    </w:p>
    <w:p w:rsidR="005B12CA" w:rsidRPr="005B12CA" w:rsidRDefault="005B12CA" w:rsidP="005B12CA">
      <w:pPr>
        <w:spacing w:after="101" w:line="250" w:lineRule="exact"/>
        <w:ind w:left="1526" w:hanging="648"/>
        <w:jc w:val="both"/>
        <w:rPr>
          <w:rFonts w:ascii="Arial" w:eastAsia="Times New Roman" w:hAnsi="Arial" w:cs="Arial"/>
          <w:sz w:val="18"/>
          <w:lang w:val="es-ES" w:eastAsia="es-ES"/>
        </w:rPr>
      </w:pPr>
      <w:r w:rsidRPr="005B12CA">
        <w:rPr>
          <w:rFonts w:ascii="Arial" w:eastAsia="Times New Roman" w:hAnsi="Arial" w:cs="Arial"/>
          <w:b/>
          <w:sz w:val="18"/>
          <w:lang w:val="es-ES" w:eastAsia="es-ES"/>
        </w:rPr>
        <w:t>1.2.2.</w:t>
      </w:r>
      <w:r w:rsidRPr="005B12CA">
        <w:rPr>
          <w:rFonts w:ascii="Arial" w:eastAsia="Times New Roman" w:hAnsi="Arial" w:cs="Arial"/>
          <w:b/>
          <w:sz w:val="18"/>
          <w:lang w:val="es-ES" w:eastAsia="es-ES"/>
        </w:rPr>
        <w:tab/>
        <w:t>Banda de Frecuencias</w:t>
      </w:r>
      <w:r w:rsidRPr="005B12CA">
        <w:rPr>
          <w:rFonts w:ascii="Arial" w:eastAsia="Times New Roman" w:hAnsi="Arial" w:cs="Arial"/>
          <w:sz w:val="18"/>
          <w:lang w:val="es-ES" w:eastAsia="es-ES"/>
        </w:rPr>
        <w:t>: Porción del espectro radioeléctrico comprendido entre dos frecuencias determinadas.</w:t>
      </w:r>
    </w:p>
    <w:p w:rsidR="005B12CA" w:rsidRPr="005B12CA" w:rsidRDefault="005B12CA" w:rsidP="005B12CA">
      <w:pPr>
        <w:spacing w:after="101" w:line="250" w:lineRule="exact"/>
        <w:ind w:left="1526" w:hanging="648"/>
        <w:jc w:val="both"/>
        <w:rPr>
          <w:rFonts w:ascii="Arial" w:eastAsia="Times New Roman" w:hAnsi="Arial" w:cs="Arial"/>
          <w:b/>
          <w:sz w:val="18"/>
          <w:lang w:val="es-ES" w:eastAsia="es-ES"/>
        </w:rPr>
      </w:pPr>
      <w:r w:rsidRPr="005B12CA">
        <w:rPr>
          <w:rFonts w:ascii="Arial" w:eastAsia="Times New Roman" w:hAnsi="Arial" w:cs="Arial"/>
          <w:b/>
          <w:sz w:val="18"/>
          <w:lang w:val="es-ES" w:eastAsia="es-ES"/>
        </w:rPr>
        <w:t>1.2.3.</w:t>
      </w:r>
      <w:r w:rsidRPr="005B12CA">
        <w:rPr>
          <w:rFonts w:ascii="Arial" w:eastAsia="Times New Roman" w:hAnsi="Arial" w:cs="Arial"/>
          <w:b/>
          <w:sz w:val="18"/>
          <w:lang w:val="es-ES" w:eastAsia="es-ES"/>
        </w:rPr>
        <w:tab/>
        <w:t xml:space="preserve">CNAF: </w:t>
      </w:r>
      <w:r w:rsidRPr="005B12CA">
        <w:rPr>
          <w:rFonts w:ascii="Arial" w:eastAsia="Times New Roman" w:hAnsi="Arial" w:cs="Arial"/>
          <w:sz w:val="18"/>
          <w:lang w:val="es-ES" w:eastAsia="es-ES"/>
        </w:rPr>
        <w:t>Cuadro Nacional de Atribución de Frecuencias.</w:t>
      </w:r>
    </w:p>
    <w:p w:rsidR="005B12CA" w:rsidRPr="005B12CA" w:rsidRDefault="005B12CA" w:rsidP="005B12CA">
      <w:pPr>
        <w:spacing w:after="101" w:line="250" w:lineRule="exact"/>
        <w:ind w:left="1526" w:hanging="648"/>
        <w:jc w:val="both"/>
        <w:rPr>
          <w:rFonts w:ascii="Arial" w:eastAsia="Times New Roman" w:hAnsi="Arial" w:cs="Arial"/>
          <w:sz w:val="18"/>
          <w:lang w:val="es-ES" w:eastAsia="es-ES"/>
        </w:rPr>
      </w:pPr>
      <w:r w:rsidRPr="005B12CA">
        <w:rPr>
          <w:rFonts w:ascii="Arial" w:eastAsia="Times New Roman" w:hAnsi="Arial" w:cs="Arial"/>
          <w:b/>
          <w:sz w:val="18"/>
          <w:lang w:val="es-ES" w:eastAsia="es-ES"/>
        </w:rPr>
        <w:t>1.2.4.</w:t>
      </w:r>
      <w:r w:rsidRPr="005B12CA">
        <w:rPr>
          <w:rFonts w:ascii="Arial" w:eastAsia="Times New Roman" w:hAnsi="Arial" w:cs="Arial"/>
          <w:b/>
          <w:sz w:val="18"/>
          <w:lang w:val="es-ES" w:eastAsia="es-ES"/>
        </w:rPr>
        <w:tab/>
        <w:t xml:space="preserve">Instituto: </w:t>
      </w:r>
      <w:r w:rsidRPr="005B12CA">
        <w:rPr>
          <w:rFonts w:ascii="Arial" w:eastAsia="Times New Roman" w:hAnsi="Arial" w:cs="Arial"/>
          <w:sz w:val="18"/>
          <w:lang w:val="es-ES" w:eastAsia="es-ES"/>
        </w:rPr>
        <w:t>Instituto Federal de Telecomunicaciones.</w:t>
      </w:r>
    </w:p>
    <w:p w:rsidR="005B12CA" w:rsidRPr="005B12CA" w:rsidRDefault="005B12CA" w:rsidP="005B12CA">
      <w:pPr>
        <w:spacing w:after="101" w:line="250" w:lineRule="exact"/>
        <w:ind w:left="1526" w:hanging="648"/>
        <w:jc w:val="both"/>
        <w:rPr>
          <w:rFonts w:ascii="Arial" w:eastAsia="Times New Roman" w:hAnsi="Arial" w:cs="Arial"/>
          <w:sz w:val="18"/>
          <w:lang w:val="es-ES" w:eastAsia="es-ES"/>
        </w:rPr>
      </w:pPr>
      <w:r w:rsidRPr="005B12CA">
        <w:rPr>
          <w:rFonts w:ascii="Arial" w:eastAsia="Times New Roman" w:hAnsi="Arial" w:cs="Arial"/>
          <w:b/>
          <w:sz w:val="18"/>
          <w:lang w:val="es-ES" w:eastAsia="es-ES"/>
        </w:rPr>
        <w:t>1.2.5.</w:t>
      </w:r>
      <w:r w:rsidRPr="005B12CA">
        <w:rPr>
          <w:rFonts w:ascii="Arial" w:eastAsia="Times New Roman" w:hAnsi="Arial" w:cs="Arial"/>
          <w:b/>
          <w:sz w:val="18"/>
          <w:lang w:val="es-ES" w:eastAsia="es-ES"/>
        </w:rPr>
        <w:tab/>
        <w:t>Ley</w:t>
      </w:r>
      <w:r w:rsidRPr="005B12CA">
        <w:rPr>
          <w:rFonts w:ascii="Arial" w:eastAsia="Times New Roman" w:hAnsi="Arial" w:cs="Arial"/>
          <w:sz w:val="18"/>
          <w:lang w:val="es-ES" w:eastAsia="es-ES"/>
        </w:rPr>
        <w:t>: Ley Federal de Telecomunicaciones y Radiodifusión.</w:t>
      </w:r>
    </w:p>
    <w:p w:rsidR="005B12CA" w:rsidRPr="005B12CA" w:rsidRDefault="005B12CA" w:rsidP="005B12CA">
      <w:pPr>
        <w:spacing w:after="101" w:line="250" w:lineRule="exact"/>
        <w:ind w:left="1526" w:hanging="648"/>
        <w:jc w:val="both"/>
        <w:rPr>
          <w:rFonts w:ascii="Arial" w:eastAsia="Times New Roman" w:hAnsi="Arial" w:cs="Arial"/>
          <w:sz w:val="18"/>
          <w:lang w:val="es-ES" w:eastAsia="es-ES"/>
        </w:rPr>
      </w:pPr>
      <w:r w:rsidRPr="005B12CA">
        <w:rPr>
          <w:rFonts w:ascii="Arial" w:eastAsia="Times New Roman" w:hAnsi="Arial" w:cs="Arial"/>
          <w:b/>
          <w:sz w:val="18"/>
          <w:lang w:val="es-ES" w:eastAsia="es-ES"/>
        </w:rPr>
        <w:t>1.2.6.</w:t>
      </w:r>
      <w:r w:rsidRPr="005B12CA">
        <w:rPr>
          <w:rFonts w:ascii="Arial" w:eastAsia="Times New Roman" w:hAnsi="Arial" w:cs="Arial"/>
          <w:b/>
          <w:sz w:val="18"/>
          <w:lang w:val="es-ES" w:eastAsia="es-ES"/>
        </w:rPr>
        <w:tab/>
        <w:t>Modalidad de Uso:</w:t>
      </w:r>
      <w:r w:rsidRPr="005B12CA">
        <w:rPr>
          <w:rFonts w:ascii="Arial" w:eastAsia="Times New Roman" w:hAnsi="Arial" w:cs="Arial"/>
          <w:sz w:val="18"/>
          <w:lang w:val="es-ES" w:eastAsia="es-ES"/>
        </w:rPr>
        <w:t xml:space="preserve"> Las concesiones de espectro radioeléctrico se clasifican por su uso conforme al artículo 76 de </w:t>
      </w:r>
      <w:smartTag w:uri="urn:schemas-microsoft-com:office:smarttags" w:element="PersonName">
        <w:smartTagPr>
          <w:attr w:name="ProductID" w:val="la Ley"/>
        </w:smartTagPr>
        <w:r w:rsidRPr="005B12CA">
          <w:rPr>
            <w:rFonts w:ascii="Arial" w:eastAsia="Times New Roman" w:hAnsi="Arial" w:cs="Arial"/>
            <w:sz w:val="18"/>
            <w:lang w:val="es-ES" w:eastAsia="es-ES"/>
          </w:rPr>
          <w:t>la Ley</w:t>
        </w:r>
      </w:smartTag>
      <w:r w:rsidRPr="005B12CA">
        <w:rPr>
          <w:rFonts w:ascii="Arial" w:eastAsia="Times New Roman" w:hAnsi="Arial" w:cs="Arial"/>
          <w:sz w:val="18"/>
          <w:lang w:val="es-ES" w:eastAsia="es-ES"/>
        </w:rPr>
        <w:t>, el cual a la letra dice:</w:t>
      </w:r>
    </w:p>
    <w:p w:rsidR="005B12CA" w:rsidRPr="005B12CA" w:rsidRDefault="005B12CA" w:rsidP="005B12CA">
      <w:pPr>
        <w:spacing w:after="101" w:line="250" w:lineRule="exact"/>
        <w:ind w:left="1958" w:hanging="432"/>
        <w:jc w:val="both"/>
        <w:rPr>
          <w:rFonts w:ascii="Arial" w:eastAsia="Times New Roman" w:hAnsi="Arial" w:cs="Arial"/>
          <w:sz w:val="18"/>
          <w:szCs w:val="20"/>
          <w:lang w:val="es-ES" w:eastAsia="es-ES"/>
        </w:rPr>
      </w:pPr>
      <w:r w:rsidRPr="005B12CA">
        <w:rPr>
          <w:rFonts w:ascii="Arial" w:eastAsia="Times New Roman" w:hAnsi="Arial" w:cs="Arial"/>
          <w:sz w:val="18"/>
          <w:szCs w:val="20"/>
          <w:lang w:val="es-ES" w:eastAsia="es-ES"/>
        </w:rPr>
        <w:tab/>
        <w:t>“</w:t>
      </w:r>
      <w:r w:rsidRPr="005B12CA">
        <w:rPr>
          <w:rFonts w:ascii="Arial" w:eastAsia="Times New Roman" w:hAnsi="Arial" w:cs="Arial"/>
          <w:b/>
          <w:sz w:val="18"/>
          <w:szCs w:val="20"/>
          <w:lang w:val="es-ES" w:eastAsia="es-ES"/>
        </w:rPr>
        <w:t>Artículo 76.</w:t>
      </w:r>
      <w:r w:rsidRPr="005B12CA">
        <w:rPr>
          <w:rFonts w:ascii="Arial" w:eastAsia="Times New Roman" w:hAnsi="Arial" w:cs="Arial"/>
          <w:sz w:val="18"/>
          <w:szCs w:val="20"/>
          <w:lang w:val="es-ES" w:eastAsia="es-ES"/>
        </w:rPr>
        <w:t xml:space="preserve"> De acuerdo con sus fines, las concesiones a que se refiere este capítulo serán:</w:t>
      </w:r>
    </w:p>
    <w:p w:rsidR="005B12CA" w:rsidRPr="005B12CA" w:rsidRDefault="005B12CA" w:rsidP="005B12CA">
      <w:pPr>
        <w:spacing w:after="101" w:line="250" w:lineRule="exact"/>
        <w:ind w:left="1958" w:hanging="432"/>
        <w:jc w:val="both"/>
        <w:rPr>
          <w:rFonts w:ascii="Arial" w:eastAsia="Times New Roman" w:hAnsi="Arial" w:cs="Arial"/>
          <w:sz w:val="18"/>
          <w:szCs w:val="20"/>
          <w:lang w:val="es-ES" w:eastAsia="es-ES"/>
        </w:rPr>
      </w:pPr>
      <w:r w:rsidRPr="005B12CA">
        <w:rPr>
          <w:rFonts w:ascii="Arial" w:eastAsia="Times New Roman" w:hAnsi="Arial" w:cs="Arial"/>
          <w:b/>
          <w:sz w:val="18"/>
          <w:szCs w:val="20"/>
          <w:lang w:val="es-ES" w:eastAsia="es-ES"/>
        </w:rPr>
        <w:t>I.</w:t>
      </w:r>
      <w:r w:rsidRPr="005B12CA">
        <w:rPr>
          <w:rFonts w:ascii="Arial" w:eastAsia="Times New Roman" w:hAnsi="Arial" w:cs="Arial"/>
          <w:b/>
          <w:sz w:val="18"/>
          <w:szCs w:val="20"/>
          <w:lang w:val="es-ES" w:eastAsia="es-ES"/>
        </w:rPr>
        <w:tab/>
        <w:t xml:space="preserve">Para uso comercial: </w:t>
      </w:r>
      <w:r w:rsidRPr="005B12CA">
        <w:rPr>
          <w:rFonts w:ascii="Arial" w:eastAsia="Times New Roman" w:hAnsi="Arial" w:cs="Arial"/>
          <w:sz w:val="18"/>
          <w:szCs w:val="20"/>
          <w:lang w:val="es-ES" w:eastAsia="es-ES"/>
        </w:rPr>
        <w:t>Confiere el derecho a personas físicas o morales para usar, aprovechar y explotar bandas de frecuencias del espectro radioeléctrico de uso determinado y para la ocupación y explotación de recursos orbitales, con fines de lucro;</w:t>
      </w:r>
    </w:p>
    <w:p w:rsidR="005B12CA" w:rsidRPr="005B12CA" w:rsidRDefault="005B12CA" w:rsidP="005B12CA">
      <w:pPr>
        <w:spacing w:after="101" w:line="250" w:lineRule="exact"/>
        <w:ind w:left="1958" w:hanging="432"/>
        <w:jc w:val="both"/>
        <w:rPr>
          <w:rFonts w:ascii="Arial" w:eastAsia="Times New Roman" w:hAnsi="Arial" w:cs="Arial"/>
          <w:sz w:val="18"/>
          <w:szCs w:val="20"/>
          <w:lang w:val="es-ES" w:eastAsia="es-ES"/>
        </w:rPr>
      </w:pPr>
      <w:r w:rsidRPr="005B12CA">
        <w:rPr>
          <w:rFonts w:ascii="Arial" w:eastAsia="Times New Roman" w:hAnsi="Arial" w:cs="Arial"/>
          <w:b/>
          <w:sz w:val="18"/>
          <w:szCs w:val="20"/>
          <w:lang w:val="es-ES" w:eastAsia="es-ES"/>
        </w:rPr>
        <w:t>II.</w:t>
      </w:r>
      <w:r w:rsidRPr="005B12CA">
        <w:rPr>
          <w:rFonts w:ascii="Arial" w:eastAsia="Times New Roman" w:hAnsi="Arial" w:cs="Arial"/>
          <w:b/>
          <w:sz w:val="18"/>
          <w:szCs w:val="20"/>
          <w:lang w:val="es-ES" w:eastAsia="es-ES"/>
        </w:rPr>
        <w:tab/>
        <w:t>Para uso público:</w:t>
      </w:r>
      <w:r w:rsidRPr="005B12CA">
        <w:rPr>
          <w:rFonts w:ascii="Arial" w:eastAsia="Times New Roman" w:hAnsi="Arial" w:cs="Arial"/>
          <w:sz w:val="18"/>
          <w:szCs w:val="20"/>
          <w:lang w:val="es-ES" w:eastAsia="es-ES"/>
        </w:rPr>
        <w:t xml:space="preserve"> Confiere el derecho a los Poderes de </w:t>
      </w:r>
      <w:smartTag w:uri="urn:schemas-microsoft-com:office:smarttags" w:element="PersonName">
        <w:smartTagPr>
          <w:attr w:name="ProductID" w:val="la Uni￳n"/>
        </w:smartTagPr>
        <w:r w:rsidRPr="005B12CA">
          <w:rPr>
            <w:rFonts w:ascii="Arial" w:eastAsia="Times New Roman" w:hAnsi="Arial" w:cs="Arial"/>
            <w:sz w:val="18"/>
            <w:szCs w:val="20"/>
            <w:lang w:val="es-ES" w:eastAsia="es-ES"/>
          </w:rPr>
          <w:t>la Unión</w:t>
        </w:r>
      </w:smartTag>
      <w:r w:rsidRPr="005B12CA">
        <w:rPr>
          <w:rFonts w:ascii="Arial" w:eastAsia="Times New Roman" w:hAnsi="Arial" w:cs="Arial"/>
          <w:sz w:val="18"/>
          <w:szCs w:val="20"/>
          <w:lang w:val="es-ES" w:eastAsia="es-ES"/>
        </w:rPr>
        <w:t>,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p>
    <w:p w:rsidR="005B12CA" w:rsidRPr="005B12CA" w:rsidRDefault="005B12CA" w:rsidP="005B12CA">
      <w:pPr>
        <w:spacing w:after="101" w:line="250" w:lineRule="exact"/>
        <w:ind w:left="1958" w:hanging="432"/>
        <w:jc w:val="both"/>
        <w:rPr>
          <w:rFonts w:ascii="Arial" w:eastAsia="Times New Roman" w:hAnsi="Arial" w:cs="Arial"/>
          <w:sz w:val="18"/>
          <w:szCs w:val="20"/>
          <w:lang w:val="es-ES" w:eastAsia="es-ES"/>
        </w:rPr>
      </w:pPr>
      <w:r w:rsidRPr="005B12CA">
        <w:rPr>
          <w:rFonts w:ascii="Arial" w:eastAsia="Times New Roman" w:hAnsi="Arial" w:cs="Arial"/>
          <w:sz w:val="18"/>
          <w:szCs w:val="20"/>
          <w:lang w:val="es-ES" w:eastAsia="es-ES"/>
        </w:rPr>
        <w:tab/>
        <w:t>Bajo este tipo de concesiones se incluyen a los concesionarios o permisionarios de servicios públicos, distintos a los de telecomunicaciones o de radiodifusión, cuando éstas sean necesarias para la operación y seguridad del servicio de que se trate.</w:t>
      </w:r>
    </w:p>
    <w:p w:rsidR="005B12CA" w:rsidRPr="005B12CA" w:rsidRDefault="005B12CA" w:rsidP="005B12CA">
      <w:pPr>
        <w:spacing w:after="101" w:line="250" w:lineRule="exact"/>
        <w:ind w:left="1958" w:hanging="432"/>
        <w:jc w:val="both"/>
        <w:rPr>
          <w:rFonts w:ascii="Arial" w:eastAsia="Times New Roman" w:hAnsi="Arial" w:cs="Arial"/>
          <w:sz w:val="18"/>
          <w:szCs w:val="20"/>
          <w:lang w:val="es-ES" w:eastAsia="es-ES"/>
        </w:rPr>
      </w:pPr>
      <w:r w:rsidRPr="005B12CA">
        <w:rPr>
          <w:rFonts w:ascii="Arial" w:eastAsia="Times New Roman" w:hAnsi="Arial" w:cs="Arial"/>
          <w:sz w:val="18"/>
          <w:szCs w:val="20"/>
          <w:lang w:val="es-ES" w:eastAsia="es-ES"/>
        </w:rPr>
        <w:tab/>
        <w:t>En este tipo de concesiones no se podrán usar, aprovechar o explotar con fines de lucro, bandas de frecuencias del espectro radioeléctrico de uso determinado o para la ocupación o explotación de recursos orbitales, de lo contrario deberán obtener una concesión para uso comercial;</w:t>
      </w:r>
    </w:p>
    <w:p w:rsidR="005B12CA" w:rsidRPr="005B12CA" w:rsidRDefault="005B12CA" w:rsidP="005B12CA">
      <w:pPr>
        <w:spacing w:after="101" w:line="250" w:lineRule="exact"/>
        <w:ind w:left="1958" w:hanging="432"/>
        <w:jc w:val="both"/>
        <w:rPr>
          <w:rFonts w:ascii="Arial" w:eastAsia="Times New Roman" w:hAnsi="Arial" w:cs="Arial"/>
          <w:sz w:val="18"/>
          <w:szCs w:val="20"/>
          <w:lang w:val="es-ES" w:eastAsia="es-ES"/>
        </w:rPr>
      </w:pPr>
      <w:r w:rsidRPr="005B12CA">
        <w:rPr>
          <w:rFonts w:ascii="Arial" w:eastAsia="Times New Roman" w:hAnsi="Arial" w:cs="Arial"/>
          <w:b/>
          <w:sz w:val="18"/>
          <w:szCs w:val="20"/>
          <w:lang w:val="es-ES" w:eastAsia="es-ES"/>
        </w:rPr>
        <w:t>III.</w:t>
      </w:r>
      <w:r w:rsidRPr="005B12CA">
        <w:rPr>
          <w:rFonts w:ascii="Arial" w:eastAsia="Times New Roman" w:hAnsi="Arial" w:cs="Arial"/>
          <w:b/>
          <w:sz w:val="18"/>
          <w:szCs w:val="20"/>
          <w:lang w:val="es-ES" w:eastAsia="es-ES"/>
        </w:rPr>
        <w:tab/>
        <w:t>Para uso privado:</w:t>
      </w:r>
      <w:r w:rsidRPr="005B12CA">
        <w:rPr>
          <w:rFonts w:ascii="Arial" w:eastAsia="Times New Roman" w:hAnsi="Arial" w:cs="Arial"/>
          <w:sz w:val="18"/>
          <w:szCs w:val="20"/>
          <w:lang w:val="es-ES" w:eastAsia="es-ES"/>
        </w:rPr>
        <w:t xml:space="preserve"> Confiere el derecho para usar y aprovechar bandas de frecuencias del espectro radioeléctrico de uso determinado o para la ocupación y explotación de recursos orbitales, con propósitos de:</w:t>
      </w:r>
    </w:p>
    <w:p w:rsidR="005B12CA" w:rsidRPr="005B12CA" w:rsidRDefault="005B12CA" w:rsidP="005B12CA">
      <w:pPr>
        <w:spacing w:after="101" w:line="250" w:lineRule="exact"/>
        <w:ind w:left="1958" w:hanging="432"/>
        <w:jc w:val="both"/>
        <w:rPr>
          <w:rFonts w:ascii="Arial" w:eastAsia="Times New Roman" w:hAnsi="Arial" w:cs="Arial"/>
          <w:sz w:val="18"/>
          <w:szCs w:val="20"/>
          <w:lang w:val="es-ES" w:eastAsia="es-ES"/>
        </w:rPr>
      </w:pPr>
      <w:r w:rsidRPr="005B12CA">
        <w:rPr>
          <w:rFonts w:ascii="Arial" w:eastAsia="Times New Roman" w:hAnsi="Arial" w:cs="Arial"/>
          <w:sz w:val="18"/>
          <w:szCs w:val="20"/>
          <w:lang w:val="es-ES" w:eastAsia="es-ES"/>
        </w:rPr>
        <w:tab/>
      </w:r>
      <w:r w:rsidRPr="005B12CA">
        <w:rPr>
          <w:rFonts w:ascii="Arial" w:eastAsia="Times New Roman" w:hAnsi="Arial" w:cs="Arial"/>
          <w:b/>
          <w:sz w:val="18"/>
          <w:szCs w:val="20"/>
          <w:lang w:val="es-ES" w:eastAsia="es-ES"/>
        </w:rPr>
        <w:t>a)</w:t>
      </w:r>
      <w:r w:rsidRPr="005B12CA">
        <w:rPr>
          <w:rFonts w:ascii="Arial" w:eastAsia="Times New Roman" w:hAnsi="Arial" w:cs="Arial"/>
          <w:sz w:val="18"/>
          <w:szCs w:val="20"/>
          <w:lang w:val="es-ES" w:eastAsia="es-ES"/>
        </w:rPr>
        <w:t xml:space="preserve"> Comunicación privada, o</w:t>
      </w:r>
    </w:p>
    <w:p w:rsidR="005B12CA" w:rsidRPr="005B12CA" w:rsidRDefault="005B12CA" w:rsidP="005B12CA">
      <w:pPr>
        <w:spacing w:after="101" w:line="250" w:lineRule="exact"/>
        <w:ind w:left="1958" w:hanging="432"/>
        <w:jc w:val="both"/>
        <w:rPr>
          <w:rFonts w:ascii="Arial" w:eastAsia="Times New Roman" w:hAnsi="Arial" w:cs="Arial"/>
          <w:sz w:val="18"/>
          <w:szCs w:val="20"/>
          <w:lang w:val="es-ES" w:eastAsia="es-ES"/>
        </w:rPr>
      </w:pPr>
      <w:r w:rsidRPr="005B12CA">
        <w:rPr>
          <w:rFonts w:ascii="Arial" w:eastAsia="Times New Roman" w:hAnsi="Arial" w:cs="Arial"/>
          <w:sz w:val="18"/>
          <w:szCs w:val="20"/>
          <w:lang w:val="es-ES" w:eastAsia="es-ES"/>
        </w:rPr>
        <w:tab/>
      </w:r>
      <w:r w:rsidRPr="005B12CA">
        <w:rPr>
          <w:rFonts w:ascii="Arial" w:eastAsia="Times New Roman" w:hAnsi="Arial" w:cs="Arial"/>
          <w:b/>
          <w:sz w:val="18"/>
          <w:szCs w:val="20"/>
          <w:lang w:val="es-ES" w:eastAsia="es-ES"/>
        </w:rPr>
        <w:t>b)</w:t>
      </w:r>
      <w:r w:rsidRPr="005B12CA">
        <w:rPr>
          <w:rFonts w:ascii="Arial" w:eastAsia="Times New Roman" w:hAnsi="Arial" w:cs="Arial"/>
          <w:sz w:val="18"/>
          <w:szCs w:val="20"/>
          <w:lang w:val="es-ES" w:eastAsia="es-ES"/>
        </w:rPr>
        <w:t xml:space="preserve"> Experimentación, comprobación de viabilidad técnica y económica de tecnologías en desarrollo, pruebas temporales de equipo o radioaficionados, así como para satisfacer necesidades de comunicación para embajadas o misiones diplomáticas que visiten el país.</w:t>
      </w:r>
    </w:p>
    <w:p w:rsidR="005B12CA" w:rsidRPr="005B12CA" w:rsidRDefault="005B12CA" w:rsidP="005B12CA">
      <w:pPr>
        <w:spacing w:after="101" w:line="230" w:lineRule="exact"/>
        <w:ind w:left="1958" w:hanging="432"/>
        <w:jc w:val="both"/>
        <w:rPr>
          <w:rFonts w:ascii="Arial" w:eastAsia="Times New Roman" w:hAnsi="Arial" w:cs="Arial"/>
          <w:sz w:val="18"/>
          <w:szCs w:val="20"/>
          <w:lang w:val="es-ES" w:eastAsia="es-ES"/>
        </w:rPr>
      </w:pPr>
      <w:r w:rsidRPr="005B12CA">
        <w:rPr>
          <w:rFonts w:ascii="Arial" w:eastAsia="Times New Roman" w:hAnsi="Arial" w:cs="Arial"/>
          <w:sz w:val="18"/>
          <w:szCs w:val="20"/>
          <w:lang w:val="es-ES" w:eastAsia="es-ES"/>
        </w:rPr>
        <w:lastRenderedPageBreak/>
        <w:tab/>
        <w:t>En este tipo de concesiones no se confiere el derecho de usar, aprovechar y explotar comercialmente bandas de frecuencias del espectro radioeléctrico de uso determinado ni de ocupar y explotar recursos orbitales, y</w:t>
      </w:r>
    </w:p>
    <w:p w:rsidR="005B12CA" w:rsidRPr="005B12CA" w:rsidRDefault="005B12CA" w:rsidP="005B12CA">
      <w:pPr>
        <w:spacing w:after="101" w:line="230" w:lineRule="exact"/>
        <w:ind w:left="1958" w:hanging="432"/>
        <w:jc w:val="both"/>
        <w:rPr>
          <w:rFonts w:ascii="Arial" w:eastAsia="Times New Roman" w:hAnsi="Arial" w:cs="Arial"/>
          <w:sz w:val="18"/>
          <w:szCs w:val="20"/>
          <w:lang w:val="es-ES" w:eastAsia="es-ES"/>
        </w:rPr>
      </w:pPr>
      <w:r w:rsidRPr="005B12CA">
        <w:rPr>
          <w:rFonts w:ascii="Arial" w:eastAsia="Times New Roman" w:hAnsi="Arial" w:cs="Arial"/>
          <w:b/>
          <w:sz w:val="18"/>
          <w:szCs w:val="20"/>
          <w:lang w:val="es-ES" w:eastAsia="es-ES"/>
        </w:rPr>
        <w:t>IV.</w:t>
      </w:r>
      <w:r w:rsidRPr="005B12CA">
        <w:rPr>
          <w:rFonts w:ascii="Arial" w:eastAsia="Times New Roman" w:hAnsi="Arial" w:cs="Arial"/>
          <w:sz w:val="18"/>
          <w:szCs w:val="20"/>
          <w:lang w:val="es-ES" w:eastAsia="es-ES"/>
        </w:rPr>
        <w:tab/>
      </w:r>
      <w:r w:rsidRPr="005B12CA">
        <w:rPr>
          <w:rFonts w:ascii="Arial" w:eastAsia="Times New Roman" w:hAnsi="Arial" w:cs="Arial"/>
          <w:b/>
          <w:sz w:val="18"/>
          <w:szCs w:val="20"/>
          <w:lang w:val="es-ES" w:eastAsia="es-ES"/>
        </w:rPr>
        <w:t>Para uso social:</w:t>
      </w:r>
      <w:r w:rsidRPr="005B12CA">
        <w:rPr>
          <w:rFonts w:ascii="Arial" w:eastAsia="Times New Roman" w:hAnsi="Arial" w:cs="Arial"/>
          <w:sz w:val="18"/>
          <w:szCs w:val="20"/>
          <w:lang w:val="es-ES" w:eastAsia="es-ES"/>
        </w:rPr>
        <w:t xml:space="preserve"> 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 Quedan comprendidos en esta categoría los medios comunitarios e indígenas referidos en el artículo 67, fracción IV, así como las instituciones de educación superior de carácter privado.”</w:t>
      </w:r>
    </w:p>
    <w:p w:rsidR="005B12CA" w:rsidRPr="005B12CA" w:rsidRDefault="005B12CA" w:rsidP="005B12CA">
      <w:pPr>
        <w:spacing w:after="101" w:line="230" w:lineRule="exact"/>
        <w:ind w:firstLine="288"/>
        <w:jc w:val="both"/>
        <w:rPr>
          <w:rFonts w:ascii="Arial" w:eastAsia="Times New Roman" w:hAnsi="Arial" w:cs="Arial"/>
          <w:sz w:val="18"/>
          <w:lang w:val="es-ES" w:eastAsia="es-ES"/>
        </w:rPr>
      </w:pPr>
      <w:r w:rsidRPr="005B12CA">
        <w:rPr>
          <w:rFonts w:ascii="Arial" w:eastAsia="Times New Roman" w:hAnsi="Arial" w:cs="Arial"/>
          <w:sz w:val="18"/>
          <w:lang w:val="es-ES" w:eastAsia="es-ES"/>
        </w:rPr>
        <w:t xml:space="preserve">Los términos antes señalados pueden ser utilizados indistintamente en singular o plural. Los términos no definidos en el presente Programa 2017 tendrán el significado que les dé </w:t>
      </w:r>
      <w:smartTag w:uri="urn:schemas-microsoft-com:office:smarttags" w:element="PersonName">
        <w:smartTagPr>
          <w:attr w:name="ProductID" w:val="la Ley"/>
        </w:smartTagPr>
        <w:r w:rsidRPr="005B12CA">
          <w:rPr>
            <w:rFonts w:ascii="Arial" w:eastAsia="Times New Roman" w:hAnsi="Arial" w:cs="Arial"/>
            <w:sz w:val="18"/>
            <w:lang w:val="es-ES" w:eastAsia="es-ES"/>
          </w:rPr>
          <w:t>la Ley</w:t>
        </w:r>
      </w:smartTag>
      <w:r w:rsidRPr="005B12CA">
        <w:rPr>
          <w:rFonts w:ascii="Arial" w:eastAsia="Times New Roman" w:hAnsi="Arial" w:cs="Arial"/>
          <w:sz w:val="18"/>
          <w:lang w:val="es-ES" w:eastAsia="es-ES"/>
        </w:rPr>
        <w:t xml:space="preserve"> o la normatividad aplicable en la materia.</w:t>
      </w:r>
    </w:p>
    <w:p w:rsidR="005B12CA" w:rsidRPr="005B12CA" w:rsidRDefault="005B12CA" w:rsidP="004A714B">
      <w:pPr>
        <w:pStyle w:val="Ttulo3"/>
        <w:keepNext/>
        <w:keepLines/>
        <w:pBdr>
          <w:top w:val="none" w:sz="0" w:space="0" w:color="auto"/>
          <w:left w:val="none" w:sz="0" w:space="0" w:color="auto"/>
          <w:bottom w:val="none" w:sz="0" w:space="0" w:color="auto"/>
          <w:right w:val="none" w:sz="0" w:space="0" w:color="auto"/>
          <w:between w:val="none" w:sz="0" w:space="0" w:color="auto"/>
        </w:pBdr>
        <w:spacing w:before="40" w:line="276" w:lineRule="auto"/>
        <w:ind w:left="0" w:firstLine="0"/>
        <w:rPr>
          <w:rFonts w:ascii="Arial" w:hAnsi="Arial" w:cs="Arial"/>
          <w:b w:val="0"/>
          <w:sz w:val="18"/>
          <w:lang w:val="es-ES" w:eastAsia="es-ES"/>
        </w:rPr>
      </w:pPr>
      <w:r w:rsidRPr="005B12CA">
        <w:rPr>
          <w:rFonts w:ascii="Arial" w:hAnsi="Arial" w:cs="Arial"/>
          <w:sz w:val="18"/>
          <w:lang w:val="es-ES" w:eastAsia="es-ES"/>
        </w:rPr>
        <w:t>CAPÍTULO 2</w:t>
      </w:r>
    </w:p>
    <w:p w:rsidR="005B12CA" w:rsidRPr="005B12CA" w:rsidRDefault="005B12CA" w:rsidP="005B12CA">
      <w:pPr>
        <w:spacing w:after="101" w:line="230" w:lineRule="exact"/>
        <w:jc w:val="center"/>
        <w:rPr>
          <w:rFonts w:ascii="Arial" w:eastAsia="Times New Roman" w:hAnsi="Arial" w:cs="Arial"/>
          <w:b/>
          <w:sz w:val="18"/>
          <w:lang w:val="es-ES" w:eastAsia="es-ES"/>
        </w:rPr>
      </w:pPr>
      <w:r w:rsidRPr="005B12CA">
        <w:rPr>
          <w:rFonts w:ascii="Arial" w:eastAsia="Times New Roman" w:hAnsi="Arial" w:cs="Arial"/>
          <w:b/>
          <w:sz w:val="18"/>
          <w:lang w:val="es-ES" w:eastAsia="es-ES"/>
        </w:rPr>
        <w:t>BANDAS DE FRECUENCIAS DE ESPECTRO DETERMINADO</w:t>
      </w:r>
    </w:p>
    <w:p w:rsidR="005B12CA" w:rsidRPr="005B12CA" w:rsidRDefault="005B12CA" w:rsidP="005B12CA">
      <w:pPr>
        <w:spacing w:after="101" w:line="230" w:lineRule="exact"/>
        <w:jc w:val="center"/>
        <w:rPr>
          <w:rFonts w:ascii="Arial" w:eastAsia="Times New Roman" w:hAnsi="Arial" w:cs="Arial"/>
          <w:b/>
          <w:sz w:val="18"/>
          <w:lang w:val="es-ES" w:eastAsia="es-ES"/>
        </w:rPr>
      </w:pPr>
      <w:r w:rsidRPr="005B12CA">
        <w:rPr>
          <w:rFonts w:ascii="Arial" w:eastAsia="Times New Roman" w:hAnsi="Arial" w:cs="Arial"/>
          <w:b/>
          <w:sz w:val="18"/>
          <w:lang w:val="es-ES" w:eastAsia="es-ES"/>
        </w:rPr>
        <w:t>QUE SERÁN OBJETO DE LICITACIÓN O QUE PODRÁN ASIGNARSE DIRECTAMENTE</w:t>
      </w:r>
    </w:p>
    <w:p w:rsidR="005B12CA" w:rsidRPr="005B12CA" w:rsidRDefault="005B12CA" w:rsidP="005B12CA">
      <w:pPr>
        <w:spacing w:after="101" w:line="230" w:lineRule="exact"/>
        <w:ind w:firstLine="288"/>
        <w:jc w:val="both"/>
        <w:rPr>
          <w:rFonts w:ascii="Arial" w:eastAsia="Times New Roman" w:hAnsi="Arial" w:cs="Arial"/>
          <w:sz w:val="18"/>
          <w:lang w:val="es-ES" w:eastAsia="es-ES"/>
        </w:rPr>
      </w:pPr>
      <w:r w:rsidRPr="005B12CA">
        <w:rPr>
          <w:rFonts w:ascii="Arial" w:eastAsia="Times New Roman" w:hAnsi="Arial" w:cs="Arial"/>
          <w:sz w:val="18"/>
          <w:lang w:val="es-ES" w:eastAsia="es-ES"/>
        </w:rPr>
        <w:t>Las Bandas de Frecuencias de espectro determinado que son objeto del Programa 2017 son clasificadas conforme su Modalidad de Uso, así como a las características básicas asociadas a cada una, las que incluyen el servicio al que se destinan, la cobertura geográfica en la que éste se hará disponible, y la categoría del servicio de radiocomunicaciones al que se encuentra atribuida. Dichas Bandas de Frecuencias podrán ser concesionadas para Uso Comercial o Uso Privado con propósitos de comunicación privada vía licitación pública, o bien ser asignadas directamente únicamente para Uso Público, Uso Privado (artículo 76, fracción III, inciso b)</w:t>
      </w:r>
      <w:r w:rsidRPr="005B12CA">
        <w:rPr>
          <w:rFonts w:ascii="Arial" w:eastAsia="Times New Roman" w:hAnsi="Arial" w:cs="Arial"/>
          <w:sz w:val="18"/>
          <w:szCs w:val="20"/>
          <w:vertAlign w:val="superscript"/>
          <w:lang w:val="es-ES" w:eastAsia="es-ES"/>
        </w:rPr>
        <w:footnoteReference w:id="14"/>
      </w:r>
      <w:r w:rsidRPr="005B12CA">
        <w:rPr>
          <w:rFonts w:ascii="Arial" w:eastAsia="Times New Roman" w:hAnsi="Arial" w:cs="Arial"/>
          <w:sz w:val="18"/>
          <w:lang w:val="es-ES" w:eastAsia="es-ES"/>
        </w:rPr>
        <w:t xml:space="preserve"> o Uso Social.</w:t>
      </w:r>
    </w:p>
    <w:p w:rsidR="005B12CA" w:rsidRPr="005B12CA" w:rsidRDefault="005B12CA" w:rsidP="005B12CA">
      <w:pPr>
        <w:spacing w:after="101" w:line="230" w:lineRule="exact"/>
        <w:ind w:left="864" w:hanging="576"/>
        <w:jc w:val="both"/>
        <w:rPr>
          <w:rFonts w:ascii="Arial" w:eastAsia="Times New Roman" w:hAnsi="Arial" w:cs="Arial"/>
          <w:sz w:val="18"/>
          <w:lang w:val="es-ES" w:eastAsia="es-ES"/>
        </w:rPr>
      </w:pPr>
      <w:r w:rsidRPr="005B12CA">
        <w:rPr>
          <w:rFonts w:ascii="Arial" w:eastAsia="Times New Roman" w:hAnsi="Arial" w:cs="Arial"/>
          <w:b/>
          <w:sz w:val="18"/>
          <w:lang w:val="es-ES" w:eastAsia="es-ES"/>
        </w:rPr>
        <w:t>2.1.</w:t>
      </w:r>
      <w:r w:rsidRPr="005B12CA">
        <w:rPr>
          <w:rFonts w:ascii="Arial" w:eastAsia="Times New Roman" w:hAnsi="Arial" w:cs="Arial"/>
          <w:b/>
          <w:sz w:val="18"/>
          <w:lang w:val="es-ES" w:eastAsia="es-ES"/>
        </w:rPr>
        <w:tab/>
        <w:t>TELECOMUNICACIONES</w:t>
      </w:r>
    </w:p>
    <w:p w:rsidR="005B12CA" w:rsidRPr="005B12CA" w:rsidRDefault="005B12CA" w:rsidP="005B12CA">
      <w:pPr>
        <w:spacing w:after="101" w:line="230" w:lineRule="exact"/>
        <w:ind w:left="1526" w:hanging="648"/>
        <w:jc w:val="both"/>
        <w:rPr>
          <w:rFonts w:ascii="Arial" w:eastAsia="Times New Roman" w:hAnsi="Arial" w:cs="Arial"/>
          <w:b/>
          <w:sz w:val="18"/>
          <w:lang w:val="es-ES" w:eastAsia="es-ES"/>
        </w:rPr>
      </w:pPr>
      <w:r w:rsidRPr="005B12CA">
        <w:rPr>
          <w:rFonts w:ascii="Arial" w:eastAsia="Times New Roman" w:hAnsi="Arial" w:cs="Arial"/>
          <w:b/>
          <w:sz w:val="18"/>
          <w:lang w:val="es-ES" w:eastAsia="es-ES"/>
        </w:rPr>
        <w:t>2.1.1</w:t>
      </w:r>
      <w:r w:rsidRPr="005B12CA">
        <w:rPr>
          <w:rFonts w:ascii="Arial" w:eastAsia="Times New Roman" w:hAnsi="Arial" w:cs="Arial"/>
          <w:b/>
          <w:sz w:val="18"/>
          <w:lang w:val="es-ES" w:eastAsia="es-ES"/>
        </w:rPr>
        <w:tab/>
        <w:t>Para Uso Público</w:t>
      </w:r>
    </w:p>
    <w:tbl>
      <w:tblPr>
        <w:tblW w:w="8712" w:type="dxa"/>
        <w:tblInd w:w="144" w:type="dxa"/>
        <w:tblLayout w:type="fixed"/>
        <w:tblCellMar>
          <w:left w:w="72" w:type="dxa"/>
          <w:right w:w="72" w:type="dxa"/>
        </w:tblCellMar>
        <w:tblLook w:val="0000" w:firstRow="0" w:lastRow="0" w:firstColumn="0" w:lastColumn="0" w:noHBand="0" w:noVBand="0"/>
      </w:tblPr>
      <w:tblGrid>
        <w:gridCol w:w="2877"/>
        <w:gridCol w:w="5835"/>
      </w:tblGrid>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30"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Banda de Frecuencias:</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30"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415-420/425-430 MHz</w:t>
            </w:r>
          </w:p>
        </w:tc>
      </w:tr>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30"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Categoría de la Atribución:</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30"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MÓVIL salvo móvil aeronáutico a título Primario</w:t>
            </w:r>
          </w:p>
        </w:tc>
      </w:tr>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30"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Servicio:</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30"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 xml:space="preserve">Radio </w:t>
            </w:r>
            <w:proofErr w:type="spellStart"/>
            <w:r w:rsidRPr="005B12CA">
              <w:rPr>
                <w:rFonts w:ascii="Arial" w:eastAsia="Times New Roman" w:hAnsi="Arial" w:cs="Arial"/>
                <w:sz w:val="16"/>
                <w:szCs w:val="16"/>
                <w:lang w:val="es-ES" w:eastAsia="es-ES"/>
              </w:rPr>
              <w:t>troncalizado</w:t>
            </w:r>
            <w:proofErr w:type="spellEnd"/>
          </w:p>
        </w:tc>
      </w:tr>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30"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Cobertura Geográfica:</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30"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En todo el país por Estado, Municipio o Localidad</w:t>
            </w:r>
          </w:p>
        </w:tc>
      </w:tr>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30"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Consideraciones Adicionales:</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30"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 xml:space="preserve">Su </w:t>
            </w:r>
            <w:proofErr w:type="spellStart"/>
            <w:r w:rsidRPr="005B12CA">
              <w:rPr>
                <w:rFonts w:ascii="Arial" w:eastAsia="Times New Roman" w:hAnsi="Arial" w:cs="Arial"/>
                <w:sz w:val="16"/>
                <w:szCs w:val="16"/>
                <w:lang w:val="es-ES" w:eastAsia="es-ES"/>
              </w:rPr>
              <w:t>concesionamiento</w:t>
            </w:r>
            <w:proofErr w:type="spellEnd"/>
            <w:r w:rsidRPr="005B12CA">
              <w:rPr>
                <w:rFonts w:ascii="Arial" w:eastAsia="Times New Roman" w:hAnsi="Arial" w:cs="Arial"/>
                <w:sz w:val="16"/>
                <w:szCs w:val="16"/>
                <w:lang w:val="es-ES" w:eastAsia="es-ES"/>
              </w:rPr>
              <w:t xml:space="preserve"> se encontrará sujeto al proceso de reordenamiento de esta Banda de Frecuencias</w:t>
            </w:r>
          </w:p>
        </w:tc>
      </w:tr>
    </w:tbl>
    <w:p w:rsidR="005B12CA" w:rsidRPr="005B12CA" w:rsidRDefault="005B12CA" w:rsidP="005B12CA">
      <w:pPr>
        <w:spacing w:after="101" w:line="230" w:lineRule="exact"/>
        <w:ind w:firstLine="288"/>
        <w:jc w:val="both"/>
        <w:rPr>
          <w:rFonts w:ascii="Arial" w:eastAsia="Times New Roman" w:hAnsi="Arial" w:cs="Arial"/>
          <w:sz w:val="18"/>
          <w:lang w:val="es-ES" w:eastAsia="es-ES"/>
        </w:rPr>
      </w:pPr>
    </w:p>
    <w:tbl>
      <w:tblPr>
        <w:tblW w:w="8712" w:type="dxa"/>
        <w:tblInd w:w="144" w:type="dxa"/>
        <w:tblLayout w:type="fixed"/>
        <w:tblCellMar>
          <w:left w:w="72" w:type="dxa"/>
          <w:right w:w="72" w:type="dxa"/>
        </w:tblCellMar>
        <w:tblLook w:val="0000" w:firstRow="0" w:lastRow="0" w:firstColumn="0" w:lastColumn="0" w:noHBand="0" w:noVBand="0"/>
      </w:tblPr>
      <w:tblGrid>
        <w:gridCol w:w="2877"/>
        <w:gridCol w:w="5835"/>
      </w:tblGrid>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30"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Banda de Frecuencias:</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30"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806-814/851-859 MHz</w:t>
            </w:r>
            <w:r w:rsidRPr="005B12CA">
              <w:rPr>
                <w:rFonts w:ascii="Arial" w:eastAsia="Times New Roman" w:hAnsi="Arial" w:cs="Arial"/>
                <w:sz w:val="18"/>
                <w:szCs w:val="20"/>
                <w:vertAlign w:val="superscript"/>
                <w:lang w:val="es-ES" w:eastAsia="es-ES"/>
              </w:rPr>
              <w:footnoteReference w:id="15"/>
            </w:r>
          </w:p>
        </w:tc>
      </w:tr>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30"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Categoría de la Atribución:</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30"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MÓVIL a título Primario</w:t>
            </w:r>
          </w:p>
        </w:tc>
      </w:tr>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30"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Servicio:</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30"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 xml:space="preserve">Radio </w:t>
            </w:r>
            <w:proofErr w:type="spellStart"/>
            <w:r w:rsidRPr="005B12CA">
              <w:rPr>
                <w:rFonts w:ascii="Arial" w:eastAsia="Times New Roman" w:hAnsi="Arial" w:cs="Arial"/>
                <w:sz w:val="16"/>
                <w:szCs w:val="16"/>
                <w:lang w:val="es-ES" w:eastAsia="es-ES"/>
              </w:rPr>
              <w:t>troncalizado</w:t>
            </w:r>
            <w:proofErr w:type="spellEnd"/>
          </w:p>
        </w:tc>
      </w:tr>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30"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Cobertura Geográfica:</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30"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En todo el país por Estado, Municipio o Localidad</w:t>
            </w:r>
          </w:p>
        </w:tc>
      </w:tr>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30"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Consideraciones Adicionales:</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30"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 xml:space="preserve">Su </w:t>
            </w:r>
            <w:proofErr w:type="spellStart"/>
            <w:r w:rsidRPr="005B12CA">
              <w:rPr>
                <w:rFonts w:ascii="Arial" w:eastAsia="Times New Roman" w:hAnsi="Arial" w:cs="Arial"/>
                <w:sz w:val="16"/>
                <w:szCs w:val="16"/>
                <w:lang w:val="es-ES" w:eastAsia="es-ES"/>
              </w:rPr>
              <w:t>concesionamiento</w:t>
            </w:r>
            <w:proofErr w:type="spellEnd"/>
            <w:r w:rsidRPr="005B12CA">
              <w:rPr>
                <w:rFonts w:ascii="Arial" w:eastAsia="Times New Roman" w:hAnsi="Arial" w:cs="Arial"/>
                <w:sz w:val="16"/>
                <w:szCs w:val="16"/>
                <w:lang w:val="es-ES" w:eastAsia="es-ES"/>
              </w:rPr>
              <w:t xml:space="preserve"> se encontrará sujeto al proceso de reordenamiento de esta Banda de Frecuencias</w:t>
            </w:r>
            <w:r w:rsidRPr="005B12CA">
              <w:rPr>
                <w:rFonts w:ascii="Arial" w:eastAsia="Times New Roman" w:hAnsi="Arial" w:cs="Arial"/>
                <w:sz w:val="18"/>
                <w:szCs w:val="20"/>
                <w:vertAlign w:val="superscript"/>
                <w:lang w:val="es-ES" w:eastAsia="es-ES"/>
              </w:rPr>
              <w:footnoteReference w:id="16"/>
            </w:r>
          </w:p>
        </w:tc>
      </w:tr>
    </w:tbl>
    <w:p w:rsidR="005B12CA" w:rsidRPr="005B12CA" w:rsidRDefault="005B12CA" w:rsidP="005B12CA">
      <w:pPr>
        <w:spacing w:after="0" w:line="14" w:lineRule="exact"/>
        <w:ind w:firstLine="288"/>
        <w:jc w:val="both"/>
        <w:rPr>
          <w:rFonts w:ascii="Arial" w:eastAsia="Times New Roman" w:hAnsi="Arial" w:cs="Arial"/>
          <w:sz w:val="18"/>
          <w:lang w:val="es-ES" w:eastAsia="es-ES"/>
        </w:rPr>
      </w:pPr>
    </w:p>
    <w:p w:rsidR="005B12CA" w:rsidRPr="005B12CA" w:rsidRDefault="005B12CA" w:rsidP="005B12CA">
      <w:pPr>
        <w:spacing w:after="101" w:line="264" w:lineRule="exact"/>
        <w:ind w:left="1526" w:hanging="648"/>
        <w:jc w:val="both"/>
        <w:rPr>
          <w:rFonts w:ascii="Arial" w:eastAsia="Times New Roman" w:hAnsi="Arial" w:cs="Arial"/>
          <w:b/>
          <w:sz w:val="18"/>
          <w:lang w:val="es-ES" w:eastAsia="es-ES"/>
        </w:rPr>
      </w:pPr>
      <w:r w:rsidRPr="005B12CA">
        <w:rPr>
          <w:rFonts w:ascii="Arial" w:eastAsia="Times New Roman" w:hAnsi="Arial" w:cs="Arial"/>
          <w:b/>
          <w:sz w:val="18"/>
          <w:lang w:val="es-ES" w:eastAsia="es-ES"/>
        </w:rPr>
        <w:lastRenderedPageBreak/>
        <w:t>2.1.2</w:t>
      </w:r>
      <w:r w:rsidRPr="005B12CA">
        <w:rPr>
          <w:rFonts w:ascii="Arial" w:eastAsia="Times New Roman" w:hAnsi="Arial" w:cs="Arial"/>
          <w:b/>
          <w:sz w:val="18"/>
          <w:lang w:val="es-ES" w:eastAsia="es-ES"/>
        </w:rPr>
        <w:tab/>
        <w:t>Para Uso Social</w:t>
      </w:r>
    </w:p>
    <w:tbl>
      <w:tblPr>
        <w:tblW w:w="8712" w:type="dxa"/>
        <w:tblInd w:w="144" w:type="dxa"/>
        <w:tblLayout w:type="fixed"/>
        <w:tblCellMar>
          <w:left w:w="72" w:type="dxa"/>
          <w:right w:w="72" w:type="dxa"/>
        </w:tblCellMar>
        <w:tblLook w:val="0000" w:firstRow="0" w:lastRow="0" w:firstColumn="0" w:lastColumn="0" w:noHBand="0" w:noVBand="0"/>
      </w:tblPr>
      <w:tblGrid>
        <w:gridCol w:w="2877"/>
        <w:gridCol w:w="5835"/>
      </w:tblGrid>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64"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Banda de Frecuencias:</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64"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824-849/869-894 MHz</w:t>
            </w:r>
          </w:p>
        </w:tc>
      </w:tr>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64"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Categoría de la Atribución:</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64"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MÓVIL a título Primario</w:t>
            </w:r>
          </w:p>
        </w:tc>
      </w:tr>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64"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Servicio:</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64"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Comunicación móvil</w:t>
            </w:r>
          </w:p>
        </w:tc>
      </w:tr>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64"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Cobertura Geográfica:</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64"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Por localidad, conforme al espectro disponible en cada una de las localidades.</w:t>
            </w:r>
          </w:p>
        </w:tc>
      </w:tr>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64"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Consideraciones Adicionales:</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64" w:lineRule="exact"/>
              <w:jc w:val="both"/>
              <w:rPr>
                <w:rFonts w:ascii="Arial" w:eastAsia="Times New Roman" w:hAnsi="Arial" w:cs="Arial"/>
                <w:color w:val="000000"/>
                <w:sz w:val="16"/>
                <w:szCs w:val="16"/>
                <w:lang w:val="es-ES_tradnl" w:eastAsia="es-ES"/>
              </w:rPr>
            </w:pPr>
            <w:r w:rsidRPr="005B12CA">
              <w:rPr>
                <w:rFonts w:ascii="Arial" w:eastAsia="Times New Roman" w:hAnsi="Arial" w:cs="Arial"/>
                <w:sz w:val="16"/>
                <w:szCs w:val="16"/>
                <w:lang w:val="es-ES_tradnl" w:eastAsia="es-ES"/>
              </w:rPr>
              <w:t xml:space="preserve">La utilización de estos segmentos de espectro en concesiones de Uso Social estará disponible en las localidades </w:t>
            </w:r>
            <w:r w:rsidRPr="005B12CA">
              <w:rPr>
                <w:rFonts w:ascii="Arial" w:eastAsia="Times New Roman" w:hAnsi="Arial" w:cs="Arial"/>
                <w:color w:val="000000"/>
                <w:sz w:val="16"/>
                <w:szCs w:val="16"/>
                <w:lang w:val="es-ES_tradnl" w:eastAsia="es-ES"/>
              </w:rPr>
              <w:t>para las que se determine que existen condiciones de operación libres de interferencias perjudiciales a otras redes o servicios de telecomunicaciones, conforme al Cuadro Nacional de Atribución de Frecuencias vigente y a la normatividad aplicable.</w:t>
            </w:r>
          </w:p>
          <w:p w:rsidR="005B12CA" w:rsidRPr="005B12CA" w:rsidRDefault="005B12CA" w:rsidP="005B12CA">
            <w:pPr>
              <w:spacing w:after="101" w:line="264"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Lo anterior sin perjuicio de que los segmentos de espectro aquí descritos pudieran en un futuro ser objeto de inclusión para uso comercial en un Programa anual de Uso y aprovechamiento de Bandas de Frecuencias, ello, fuera de las localidades en las que en su caso se concesionen para Uso Social, conforme al Programa 2017 o hayan sido concesionadas conforme a programas anteriores.</w:t>
            </w:r>
          </w:p>
        </w:tc>
      </w:tr>
    </w:tbl>
    <w:p w:rsidR="005B12CA" w:rsidRPr="005B12CA" w:rsidRDefault="005B12CA" w:rsidP="005B12CA">
      <w:pPr>
        <w:spacing w:after="101" w:line="264" w:lineRule="exact"/>
        <w:ind w:firstLine="288"/>
        <w:jc w:val="both"/>
        <w:rPr>
          <w:rFonts w:ascii="Arial" w:eastAsia="Times New Roman" w:hAnsi="Arial" w:cs="Arial"/>
          <w:b/>
          <w:sz w:val="18"/>
          <w:lang w:val="es-ES" w:eastAsia="es-ES"/>
        </w:rPr>
      </w:pPr>
    </w:p>
    <w:p w:rsidR="005B12CA" w:rsidRPr="005B12CA" w:rsidRDefault="005B12CA" w:rsidP="005B12CA">
      <w:pPr>
        <w:spacing w:after="101" w:line="264" w:lineRule="exact"/>
        <w:ind w:left="864" w:hanging="576"/>
        <w:jc w:val="both"/>
        <w:rPr>
          <w:rFonts w:ascii="Arial" w:eastAsia="Times New Roman" w:hAnsi="Arial" w:cs="Arial"/>
          <w:b/>
          <w:sz w:val="18"/>
          <w:lang w:val="es-ES" w:eastAsia="es-ES"/>
        </w:rPr>
      </w:pPr>
      <w:r w:rsidRPr="005B12CA">
        <w:rPr>
          <w:rFonts w:ascii="Arial" w:eastAsia="Times New Roman" w:hAnsi="Arial" w:cs="Arial"/>
          <w:b/>
          <w:sz w:val="18"/>
          <w:lang w:val="es-ES" w:eastAsia="es-ES"/>
        </w:rPr>
        <w:t>2.2.</w:t>
      </w:r>
      <w:r w:rsidRPr="005B12CA">
        <w:rPr>
          <w:rFonts w:ascii="Arial" w:eastAsia="Times New Roman" w:hAnsi="Arial" w:cs="Arial"/>
          <w:b/>
          <w:sz w:val="18"/>
          <w:lang w:val="es-ES" w:eastAsia="es-ES"/>
        </w:rPr>
        <w:tab/>
        <w:t>RADIODIFUSIÓN</w:t>
      </w:r>
    </w:p>
    <w:p w:rsidR="005B12CA" w:rsidRPr="005B12CA" w:rsidRDefault="005B12CA" w:rsidP="005B12CA">
      <w:pPr>
        <w:spacing w:after="101" w:line="264" w:lineRule="exact"/>
        <w:ind w:left="1526" w:hanging="648"/>
        <w:jc w:val="both"/>
        <w:rPr>
          <w:rFonts w:ascii="Arial" w:eastAsia="Times New Roman" w:hAnsi="Arial" w:cs="Arial"/>
          <w:b/>
          <w:sz w:val="18"/>
          <w:lang w:val="es-ES" w:eastAsia="es-ES"/>
        </w:rPr>
      </w:pPr>
      <w:r w:rsidRPr="005B12CA">
        <w:rPr>
          <w:rFonts w:ascii="Arial" w:eastAsia="Times New Roman" w:hAnsi="Arial" w:cs="Arial"/>
          <w:b/>
          <w:sz w:val="18"/>
          <w:lang w:val="es-ES" w:eastAsia="es-ES"/>
        </w:rPr>
        <w:t>2.2.1</w:t>
      </w:r>
      <w:r w:rsidRPr="005B12CA">
        <w:rPr>
          <w:rFonts w:ascii="Arial" w:eastAsia="Times New Roman" w:hAnsi="Arial" w:cs="Arial"/>
          <w:b/>
          <w:sz w:val="18"/>
          <w:lang w:val="es-ES" w:eastAsia="es-ES"/>
        </w:rPr>
        <w:tab/>
        <w:t>Televisión Digital Terrestre (TDT)</w:t>
      </w:r>
    </w:p>
    <w:tbl>
      <w:tblPr>
        <w:tblW w:w="8712" w:type="dxa"/>
        <w:tblInd w:w="144" w:type="dxa"/>
        <w:tblLayout w:type="fixed"/>
        <w:tblCellMar>
          <w:left w:w="72" w:type="dxa"/>
          <w:right w:w="72" w:type="dxa"/>
        </w:tblCellMar>
        <w:tblLook w:val="0000" w:firstRow="0" w:lastRow="0" w:firstColumn="0" w:lastColumn="0" w:noHBand="0" w:noVBand="0"/>
      </w:tblPr>
      <w:tblGrid>
        <w:gridCol w:w="2877"/>
        <w:gridCol w:w="5835"/>
      </w:tblGrid>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64"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Banda de Frecuencias:</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64"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174-216 MHz (VHF) o 470-608 MHz (UHF)</w:t>
            </w:r>
          </w:p>
        </w:tc>
      </w:tr>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64"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Categoría de la Atribución:</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64"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RADIODIFUSIÓN a título primario</w:t>
            </w:r>
          </w:p>
        </w:tc>
      </w:tr>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64"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Servicio:</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64"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Televisión Digital Terrestre</w:t>
            </w:r>
          </w:p>
        </w:tc>
      </w:tr>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64"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Cobertura Geográfica:</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64"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Por zona de cobertura con una o más localidades principales a servir.</w:t>
            </w:r>
          </w:p>
        </w:tc>
      </w:tr>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64"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Consideraciones Adicionales:</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64"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Las coordenadas geográficas indicadas son únicamente como referencia; la ubicación de las estaciones quedará sujeta a la autorización de los proyectos que los concesionarios presenten al Instituto.</w:t>
            </w:r>
          </w:p>
        </w:tc>
      </w:tr>
    </w:tbl>
    <w:p w:rsidR="005B12CA" w:rsidRPr="005B12CA" w:rsidRDefault="005B12CA" w:rsidP="005B12CA">
      <w:pPr>
        <w:spacing w:after="101" w:line="264" w:lineRule="exact"/>
        <w:ind w:firstLine="288"/>
        <w:jc w:val="both"/>
        <w:rPr>
          <w:rFonts w:ascii="Arial" w:eastAsia="Times New Roman" w:hAnsi="Arial" w:cs="Arial"/>
          <w:b/>
          <w:sz w:val="18"/>
          <w:lang w:val="es-ES" w:eastAsia="es-ES"/>
        </w:rPr>
      </w:pPr>
    </w:p>
    <w:p w:rsidR="005B12CA" w:rsidRPr="005B12CA" w:rsidRDefault="005B12CA" w:rsidP="005B12CA">
      <w:pPr>
        <w:spacing w:after="101" w:line="264" w:lineRule="exact"/>
        <w:ind w:left="1526" w:hanging="648"/>
        <w:jc w:val="both"/>
        <w:rPr>
          <w:rFonts w:ascii="Arial" w:eastAsia="Times New Roman" w:hAnsi="Arial" w:cs="Arial"/>
          <w:b/>
          <w:sz w:val="18"/>
          <w:lang w:val="es-ES" w:eastAsia="es-ES"/>
        </w:rPr>
      </w:pPr>
      <w:r w:rsidRPr="005B12CA">
        <w:rPr>
          <w:rFonts w:ascii="Arial" w:eastAsia="Times New Roman" w:hAnsi="Arial" w:cs="Arial"/>
          <w:b/>
          <w:sz w:val="18"/>
          <w:lang w:val="es-ES" w:eastAsia="es-ES"/>
        </w:rPr>
        <w:t>2.2.1.1</w:t>
      </w:r>
      <w:r w:rsidRPr="005B12CA">
        <w:rPr>
          <w:rFonts w:ascii="Arial" w:eastAsia="Times New Roman" w:hAnsi="Arial" w:cs="Arial"/>
          <w:b/>
          <w:sz w:val="18"/>
          <w:lang w:val="es-ES" w:eastAsia="es-ES"/>
        </w:rPr>
        <w:tab/>
        <w:t>TDT - Uso Público</w:t>
      </w:r>
    </w:p>
    <w:tbl>
      <w:tblPr>
        <w:tblW w:w="8712" w:type="dxa"/>
        <w:tblInd w:w="144" w:type="dxa"/>
        <w:tblLayout w:type="fixed"/>
        <w:tblCellMar>
          <w:left w:w="72" w:type="dxa"/>
          <w:right w:w="72" w:type="dxa"/>
        </w:tblCellMar>
        <w:tblLook w:val="0000" w:firstRow="0" w:lastRow="0" w:firstColumn="0" w:lastColumn="0" w:noHBand="0" w:noVBand="0"/>
      </w:tblPr>
      <w:tblGrid>
        <w:gridCol w:w="444"/>
        <w:gridCol w:w="2785"/>
        <w:gridCol w:w="1129"/>
        <w:gridCol w:w="1547"/>
        <w:gridCol w:w="1547"/>
        <w:gridCol w:w="1260"/>
      </w:tblGrid>
      <w:tr w:rsidR="005B12CA" w:rsidRPr="005B12CA" w:rsidTr="004A714B">
        <w:trPr>
          <w:trHeight w:val="20"/>
        </w:trPr>
        <w:tc>
          <w:tcPr>
            <w:tcW w:w="444"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64"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No</w:t>
            </w:r>
          </w:p>
        </w:tc>
        <w:tc>
          <w:tcPr>
            <w:tcW w:w="2785"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64"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Localidad(es) principal(es) a servir</w:t>
            </w:r>
          </w:p>
        </w:tc>
        <w:tc>
          <w:tcPr>
            <w:tcW w:w="1129"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64"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Estado</w:t>
            </w:r>
          </w:p>
        </w:tc>
        <w:tc>
          <w:tcPr>
            <w:tcW w:w="3094"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4"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Coordenadas Geográficas de Referencia</w:t>
            </w:r>
          </w:p>
        </w:tc>
        <w:tc>
          <w:tcPr>
            <w:tcW w:w="1260"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64"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Radio de Cobertura Máximo (km)</w:t>
            </w:r>
          </w:p>
        </w:tc>
      </w:tr>
      <w:tr w:rsidR="005B12CA" w:rsidRPr="005B12CA" w:rsidTr="004A714B">
        <w:trPr>
          <w:trHeight w:val="20"/>
        </w:trPr>
        <w:tc>
          <w:tcPr>
            <w:tcW w:w="444"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4" w:lineRule="exact"/>
              <w:jc w:val="center"/>
              <w:rPr>
                <w:rFonts w:ascii="Arial" w:eastAsia="Times New Roman" w:hAnsi="Arial" w:cs="Arial"/>
                <w:b/>
                <w:sz w:val="16"/>
                <w:szCs w:val="16"/>
                <w:lang w:val="es-ES" w:eastAsia="es-ES"/>
              </w:rPr>
            </w:pPr>
          </w:p>
        </w:tc>
        <w:tc>
          <w:tcPr>
            <w:tcW w:w="2785"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4" w:lineRule="exact"/>
              <w:jc w:val="center"/>
              <w:rPr>
                <w:rFonts w:ascii="Arial" w:eastAsia="Times New Roman" w:hAnsi="Arial" w:cs="Arial"/>
                <w:b/>
                <w:sz w:val="16"/>
                <w:szCs w:val="16"/>
                <w:lang w:val="es-ES" w:eastAsia="es-ES"/>
              </w:rPr>
            </w:pPr>
          </w:p>
        </w:tc>
        <w:tc>
          <w:tcPr>
            <w:tcW w:w="1129"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4" w:lineRule="exact"/>
              <w:jc w:val="center"/>
              <w:rPr>
                <w:rFonts w:ascii="Arial" w:eastAsia="Times New Roman" w:hAnsi="Arial" w:cs="Arial"/>
                <w:b/>
                <w:sz w:val="16"/>
                <w:szCs w:val="16"/>
                <w:lang w:val="es-ES" w:eastAsia="es-ES"/>
              </w:rPr>
            </w:pPr>
          </w:p>
        </w:tc>
        <w:tc>
          <w:tcPr>
            <w:tcW w:w="1547" w:type="dxa"/>
            <w:tcBorders>
              <w:top w:val="single" w:sz="6" w:space="0" w:color="auto"/>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4"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Latitud Norte (GGMMSS.SS)</w:t>
            </w:r>
          </w:p>
        </w:tc>
        <w:tc>
          <w:tcPr>
            <w:tcW w:w="1547" w:type="dxa"/>
            <w:tcBorders>
              <w:top w:val="single" w:sz="6" w:space="0" w:color="auto"/>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4"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Longitud Oeste (GGMMSS.SS)</w:t>
            </w:r>
          </w:p>
        </w:tc>
        <w:tc>
          <w:tcPr>
            <w:tcW w:w="1260"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4" w:lineRule="exact"/>
              <w:jc w:val="center"/>
              <w:rPr>
                <w:rFonts w:ascii="Arial" w:eastAsia="Times New Roman" w:hAnsi="Arial" w:cs="Arial"/>
                <w:b/>
                <w:sz w:val="16"/>
                <w:szCs w:val="16"/>
                <w:lang w:val="es-ES" w:eastAsia="es-ES"/>
              </w:rPr>
            </w:pPr>
          </w:p>
        </w:tc>
      </w:tr>
      <w:tr w:rsidR="005B12CA" w:rsidRPr="005B12CA" w:rsidTr="004A714B">
        <w:trPr>
          <w:trHeight w:val="20"/>
        </w:trPr>
        <w:tc>
          <w:tcPr>
            <w:tcW w:w="44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u w:val="single"/>
                <w:lang w:val="es-ES" w:eastAsia="es-ES"/>
              </w:rPr>
              <w:t>1</w:t>
            </w:r>
          </w:p>
        </w:tc>
        <w:tc>
          <w:tcPr>
            <w:tcW w:w="27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Gómez Palacio</w:t>
            </w:r>
          </w:p>
        </w:tc>
        <w:tc>
          <w:tcPr>
            <w:tcW w:w="11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Durango</w:t>
            </w:r>
          </w:p>
        </w:tc>
        <w:tc>
          <w:tcPr>
            <w:tcW w:w="154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25°33'40"</w:t>
            </w:r>
          </w:p>
        </w:tc>
        <w:tc>
          <w:tcPr>
            <w:tcW w:w="154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103°29'54"</w:t>
            </w:r>
          </w:p>
        </w:tc>
        <w:tc>
          <w:tcPr>
            <w:tcW w:w="126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50</w:t>
            </w:r>
          </w:p>
        </w:tc>
      </w:tr>
      <w:tr w:rsidR="005B12CA" w:rsidRPr="005B12CA" w:rsidTr="004A714B">
        <w:trPr>
          <w:trHeight w:val="20"/>
        </w:trPr>
        <w:tc>
          <w:tcPr>
            <w:tcW w:w="44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w:t>
            </w:r>
          </w:p>
        </w:tc>
        <w:tc>
          <w:tcPr>
            <w:tcW w:w="27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 xml:space="preserve">Tuxtla Gutiérrez, Cintalapa de Figueroa, </w:t>
            </w:r>
            <w:proofErr w:type="spellStart"/>
            <w:r w:rsidRPr="005B12CA">
              <w:rPr>
                <w:rFonts w:ascii="Arial" w:eastAsia="Times New Roman" w:hAnsi="Arial" w:cs="Arial"/>
                <w:b/>
                <w:sz w:val="16"/>
                <w:szCs w:val="16"/>
                <w:u w:val="single"/>
                <w:lang w:val="es-ES" w:eastAsia="es-ES"/>
              </w:rPr>
              <w:t>Pichucalco</w:t>
            </w:r>
            <w:proofErr w:type="spellEnd"/>
            <w:r w:rsidRPr="005B12CA">
              <w:rPr>
                <w:rFonts w:ascii="Arial" w:eastAsia="Times New Roman" w:hAnsi="Arial" w:cs="Arial"/>
                <w:b/>
                <w:sz w:val="16"/>
                <w:szCs w:val="16"/>
                <w:u w:val="single"/>
                <w:lang w:val="es-ES" w:eastAsia="es-ES"/>
              </w:rPr>
              <w:t xml:space="preserve">, Palenque, Benemérito de las Américas, </w:t>
            </w:r>
            <w:proofErr w:type="spellStart"/>
            <w:r w:rsidRPr="005B12CA">
              <w:rPr>
                <w:rFonts w:ascii="Arial" w:eastAsia="Times New Roman" w:hAnsi="Arial" w:cs="Arial"/>
                <w:b/>
                <w:sz w:val="16"/>
                <w:szCs w:val="16"/>
                <w:u w:val="single"/>
                <w:lang w:val="es-ES" w:eastAsia="es-ES"/>
              </w:rPr>
              <w:t>Pijijiapan</w:t>
            </w:r>
            <w:proofErr w:type="spellEnd"/>
            <w:r w:rsidRPr="005B12CA">
              <w:rPr>
                <w:rFonts w:ascii="Arial" w:eastAsia="Times New Roman" w:hAnsi="Arial" w:cs="Arial"/>
                <w:b/>
                <w:sz w:val="16"/>
                <w:szCs w:val="16"/>
                <w:u w:val="single"/>
                <w:lang w:val="es-ES" w:eastAsia="es-ES"/>
              </w:rPr>
              <w:t xml:space="preserve"> y Marqués de Comilla.</w:t>
            </w:r>
          </w:p>
        </w:tc>
        <w:tc>
          <w:tcPr>
            <w:tcW w:w="11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Chiapas</w:t>
            </w:r>
          </w:p>
        </w:tc>
        <w:tc>
          <w:tcPr>
            <w:tcW w:w="154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16°45'11"</w:t>
            </w:r>
          </w:p>
        </w:tc>
        <w:tc>
          <w:tcPr>
            <w:tcW w:w="154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93°06'56"</w:t>
            </w:r>
          </w:p>
        </w:tc>
        <w:tc>
          <w:tcPr>
            <w:tcW w:w="126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*Zona de Cobertura Estatal</w:t>
            </w:r>
          </w:p>
        </w:tc>
      </w:tr>
      <w:tr w:rsidR="005B12CA" w:rsidRPr="005B12CA" w:rsidTr="004A714B">
        <w:trPr>
          <w:trHeight w:val="20"/>
        </w:trPr>
        <w:tc>
          <w:tcPr>
            <w:tcW w:w="44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32"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3</w:t>
            </w:r>
          </w:p>
        </w:tc>
        <w:tc>
          <w:tcPr>
            <w:tcW w:w="27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32"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Acapulco de Juárez</w:t>
            </w:r>
          </w:p>
        </w:tc>
        <w:tc>
          <w:tcPr>
            <w:tcW w:w="11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32"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Guerrero</w:t>
            </w:r>
          </w:p>
        </w:tc>
        <w:tc>
          <w:tcPr>
            <w:tcW w:w="154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32"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16°51'42"</w:t>
            </w:r>
          </w:p>
        </w:tc>
        <w:tc>
          <w:tcPr>
            <w:tcW w:w="154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32"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99°53'11"</w:t>
            </w:r>
          </w:p>
        </w:tc>
        <w:tc>
          <w:tcPr>
            <w:tcW w:w="126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32"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50</w:t>
            </w:r>
          </w:p>
        </w:tc>
      </w:tr>
      <w:tr w:rsidR="005B12CA" w:rsidRPr="005B12CA" w:rsidTr="004A714B">
        <w:trPr>
          <w:trHeight w:val="20"/>
        </w:trPr>
        <w:tc>
          <w:tcPr>
            <w:tcW w:w="44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32"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4</w:t>
            </w:r>
          </w:p>
        </w:tc>
        <w:tc>
          <w:tcPr>
            <w:tcW w:w="27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32"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Tepic, San Juan de Abajo</w:t>
            </w:r>
          </w:p>
        </w:tc>
        <w:tc>
          <w:tcPr>
            <w:tcW w:w="11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32"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Nayarit</w:t>
            </w:r>
          </w:p>
        </w:tc>
        <w:tc>
          <w:tcPr>
            <w:tcW w:w="154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32"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20°48'54"</w:t>
            </w:r>
          </w:p>
        </w:tc>
        <w:tc>
          <w:tcPr>
            <w:tcW w:w="154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32"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105°11'30"</w:t>
            </w:r>
          </w:p>
        </w:tc>
        <w:tc>
          <w:tcPr>
            <w:tcW w:w="126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32"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*Zona de Cobertura Estatal</w:t>
            </w:r>
          </w:p>
        </w:tc>
      </w:tr>
      <w:tr w:rsidR="005B12CA" w:rsidRPr="005B12CA" w:rsidTr="004A714B">
        <w:trPr>
          <w:trHeight w:val="20"/>
        </w:trPr>
        <w:tc>
          <w:tcPr>
            <w:tcW w:w="44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lastRenderedPageBreak/>
              <w:t>5</w:t>
            </w:r>
          </w:p>
        </w:tc>
        <w:tc>
          <w:tcPr>
            <w:tcW w:w="27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Tehuacán</w:t>
            </w:r>
          </w:p>
        </w:tc>
        <w:tc>
          <w:tcPr>
            <w:tcW w:w="11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Puebla</w:t>
            </w:r>
          </w:p>
        </w:tc>
        <w:tc>
          <w:tcPr>
            <w:tcW w:w="154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18°27'50"</w:t>
            </w:r>
          </w:p>
        </w:tc>
        <w:tc>
          <w:tcPr>
            <w:tcW w:w="154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97°23'35"</w:t>
            </w:r>
          </w:p>
        </w:tc>
        <w:tc>
          <w:tcPr>
            <w:tcW w:w="126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50</w:t>
            </w:r>
          </w:p>
        </w:tc>
      </w:tr>
      <w:tr w:rsidR="005B12CA" w:rsidRPr="005B12CA" w:rsidTr="004A714B">
        <w:trPr>
          <w:trHeight w:val="20"/>
        </w:trPr>
        <w:tc>
          <w:tcPr>
            <w:tcW w:w="44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6</w:t>
            </w:r>
          </w:p>
        </w:tc>
        <w:tc>
          <w:tcPr>
            <w:tcW w:w="27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Culiacán Rosales</w:t>
            </w:r>
          </w:p>
        </w:tc>
        <w:tc>
          <w:tcPr>
            <w:tcW w:w="11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Sinaloa</w:t>
            </w:r>
          </w:p>
        </w:tc>
        <w:tc>
          <w:tcPr>
            <w:tcW w:w="154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24°47'31"</w:t>
            </w:r>
          </w:p>
        </w:tc>
        <w:tc>
          <w:tcPr>
            <w:tcW w:w="154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107°23'53"</w:t>
            </w:r>
          </w:p>
        </w:tc>
        <w:tc>
          <w:tcPr>
            <w:tcW w:w="126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50</w:t>
            </w:r>
          </w:p>
        </w:tc>
      </w:tr>
      <w:tr w:rsidR="005B12CA" w:rsidRPr="005B12CA" w:rsidTr="004A714B">
        <w:trPr>
          <w:trHeight w:val="20"/>
        </w:trPr>
        <w:tc>
          <w:tcPr>
            <w:tcW w:w="44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7</w:t>
            </w:r>
          </w:p>
        </w:tc>
        <w:tc>
          <w:tcPr>
            <w:tcW w:w="27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Guamúchil, Guasave</w:t>
            </w:r>
          </w:p>
        </w:tc>
        <w:tc>
          <w:tcPr>
            <w:tcW w:w="11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Sinaloa</w:t>
            </w:r>
          </w:p>
        </w:tc>
        <w:tc>
          <w:tcPr>
            <w:tcW w:w="154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25°27'52"</w:t>
            </w:r>
          </w:p>
        </w:tc>
        <w:tc>
          <w:tcPr>
            <w:tcW w:w="154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108°04'40"</w:t>
            </w:r>
          </w:p>
        </w:tc>
        <w:tc>
          <w:tcPr>
            <w:tcW w:w="126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50</w:t>
            </w:r>
          </w:p>
        </w:tc>
      </w:tr>
      <w:tr w:rsidR="005B12CA" w:rsidRPr="005B12CA" w:rsidTr="004A714B">
        <w:trPr>
          <w:trHeight w:val="20"/>
        </w:trPr>
        <w:tc>
          <w:tcPr>
            <w:tcW w:w="44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8</w:t>
            </w:r>
          </w:p>
        </w:tc>
        <w:tc>
          <w:tcPr>
            <w:tcW w:w="27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 xml:space="preserve">Tlaxcala, </w:t>
            </w:r>
            <w:proofErr w:type="spellStart"/>
            <w:r w:rsidRPr="005B12CA">
              <w:rPr>
                <w:rFonts w:ascii="Arial" w:eastAsia="Times New Roman" w:hAnsi="Arial" w:cs="Arial"/>
                <w:b/>
                <w:sz w:val="16"/>
                <w:szCs w:val="16"/>
                <w:u w:val="single"/>
                <w:lang w:val="es-ES" w:eastAsia="es-ES"/>
              </w:rPr>
              <w:t>Atlangatepec</w:t>
            </w:r>
            <w:proofErr w:type="spellEnd"/>
          </w:p>
        </w:tc>
        <w:tc>
          <w:tcPr>
            <w:tcW w:w="11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Tlaxcala</w:t>
            </w:r>
          </w:p>
        </w:tc>
        <w:tc>
          <w:tcPr>
            <w:tcW w:w="154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19°19'00"</w:t>
            </w:r>
          </w:p>
        </w:tc>
        <w:tc>
          <w:tcPr>
            <w:tcW w:w="154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98°14'19"</w:t>
            </w:r>
          </w:p>
        </w:tc>
        <w:tc>
          <w:tcPr>
            <w:tcW w:w="126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*Zona de Cobertura Estatal</w:t>
            </w:r>
          </w:p>
        </w:tc>
      </w:tr>
      <w:tr w:rsidR="005B12CA" w:rsidRPr="005B12CA" w:rsidTr="004A714B">
        <w:trPr>
          <w:trHeight w:val="20"/>
        </w:trPr>
        <w:tc>
          <w:tcPr>
            <w:tcW w:w="44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w:t>
            </w:r>
          </w:p>
        </w:tc>
        <w:tc>
          <w:tcPr>
            <w:tcW w:w="27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Orizaba, Córdoba</w:t>
            </w:r>
          </w:p>
        </w:tc>
        <w:tc>
          <w:tcPr>
            <w:tcW w:w="11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Veracruz</w:t>
            </w:r>
          </w:p>
        </w:tc>
        <w:tc>
          <w:tcPr>
            <w:tcW w:w="154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18°51'31"</w:t>
            </w:r>
          </w:p>
        </w:tc>
        <w:tc>
          <w:tcPr>
            <w:tcW w:w="154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97°05'48"</w:t>
            </w:r>
          </w:p>
        </w:tc>
        <w:tc>
          <w:tcPr>
            <w:tcW w:w="126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50</w:t>
            </w:r>
          </w:p>
        </w:tc>
      </w:tr>
      <w:tr w:rsidR="005B12CA" w:rsidRPr="005B12CA" w:rsidTr="004A714B">
        <w:trPr>
          <w:trHeight w:val="20"/>
        </w:trPr>
        <w:tc>
          <w:tcPr>
            <w:tcW w:w="44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w:t>
            </w:r>
          </w:p>
        </w:tc>
        <w:tc>
          <w:tcPr>
            <w:tcW w:w="27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 xml:space="preserve">Xalapa-Enríquez, </w:t>
            </w:r>
            <w:proofErr w:type="spellStart"/>
            <w:r w:rsidRPr="005B12CA">
              <w:rPr>
                <w:rFonts w:ascii="Arial" w:eastAsia="Times New Roman" w:hAnsi="Arial" w:cs="Arial"/>
                <w:b/>
                <w:sz w:val="16"/>
                <w:szCs w:val="16"/>
                <w:u w:val="single"/>
                <w:lang w:val="es-ES" w:eastAsia="es-ES"/>
              </w:rPr>
              <w:t>Huayacocotla</w:t>
            </w:r>
            <w:proofErr w:type="spellEnd"/>
            <w:r w:rsidRPr="005B12CA">
              <w:rPr>
                <w:rFonts w:ascii="Arial" w:eastAsia="Times New Roman" w:hAnsi="Arial" w:cs="Arial"/>
                <w:b/>
                <w:sz w:val="16"/>
                <w:szCs w:val="16"/>
                <w:u w:val="single"/>
                <w:lang w:val="es-ES" w:eastAsia="es-ES"/>
              </w:rPr>
              <w:t xml:space="preserve">, San Andrés Tuxtla, </w:t>
            </w:r>
            <w:proofErr w:type="spellStart"/>
            <w:r w:rsidRPr="005B12CA">
              <w:rPr>
                <w:rFonts w:ascii="Arial" w:eastAsia="Times New Roman" w:hAnsi="Arial" w:cs="Arial"/>
                <w:b/>
                <w:sz w:val="16"/>
                <w:szCs w:val="16"/>
                <w:u w:val="single"/>
                <w:lang w:val="es-ES" w:eastAsia="es-ES"/>
              </w:rPr>
              <w:t>Ixhuatlán</w:t>
            </w:r>
            <w:proofErr w:type="spellEnd"/>
            <w:r w:rsidRPr="005B12CA">
              <w:rPr>
                <w:rFonts w:ascii="Arial" w:eastAsia="Times New Roman" w:hAnsi="Arial" w:cs="Arial"/>
                <w:b/>
                <w:sz w:val="16"/>
                <w:szCs w:val="16"/>
                <w:u w:val="single"/>
                <w:lang w:val="es-ES" w:eastAsia="es-ES"/>
              </w:rPr>
              <w:t xml:space="preserve"> de Madero y Orizaba</w:t>
            </w:r>
          </w:p>
        </w:tc>
        <w:tc>
          <w:tcPr>
            <w:tcW w:w="11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Veracruz</w:t>
            </w:r>
          </w:p>
        </w:tc>
        <w:tc>
          <w:tcPr>
            <w:tcW w:w="154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19°32'17"</w:t>
            </w:r>
          </w:p>
        </w:tc>
        <w:tc>
          <w:tcPr>
            <w:tcW w:w="154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96°54'33"</w:t>
            </w:r>
          </w:p>
        </w:tc>
        <w:tc>
          <w:tcPr>
            <w:tcW w:w="126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*Zona de Cobertura Estatal</w:t>
            </w:r>
          </w:p>
        </w:tc>
      </w:tr>
    </w:tbl>
    <w:p w:rsidR="00F7521A" w:rsidRDefault="005B12CA" w:rsidP="005B12CA">
      <w:pPr>
        <w:spacing w:after="101" w:line="240" w:lineRule="exact"/>
        <w:ind w:firstLine="288"/>
        <w:jc w:val="both"/>
        <w:rPr>
          <w:rFonts w:ascii="Arial" w:eastAsia="Times New Roman" w:hAnsi="Arial" w:cs="Arial"/>
          <w:b/>
          <w:sz w:val="18"/>
          <w:szCs w:val="16"/>
          <w:u w:val="single"/>
          <w:lang w:eastAsia="es-ES"/>
        </w:rPr>
      </w:pPr>
      <w:r w:rsidRPr="005B12CA">
        <w:rPr>
          <w:rFonts w:ascii="Arial" w:eastAsia="Times New Roman" w:hAnsi="Arial" w:cs="Arial"/>
          <w:b/>
          <w:sz w:val="18"/>
          <w:szCs w:val="16"/>
          <w:u w:val="single"/>
          <w:lang w:eastAsia="es-ES"/>
        </w:rPr>
        <w:t xml:space="preserve">* Cobertura definida por la delimitación geográfica de </w:t>
      </w:r>
      <w:smartTag w:uri="urn:schemas-microsoft-com:office:smarttags" w:element="PersonName">
        <w:smartTagPr>
          <w:attr w:name="ProductID" w:val="la Entidad Federativa"/>
        </w:smartTagPr>
        <w:r w:rsidRPr="005B12CA">
          <w:rPr>
            <w:rFonts w:ascii="Arial" w:eastAsia="Times New Roman" w:hAnsi="Arial" w:cs="Arial"/>
            <w:b/>
            <w:sz w:val="18"/>
            <w:szCs w:val="16"/>
            <w:u w:val="single"/>
            <w:lang w:eastAsia="es-ES"/>
          </w:rPr>
          <w:t>la Entidad Federativa</w:t>
        </w:r>
      </w:smartTag>
      <w:r w:rsidRPr="005B12CA">
        <w:rPr>
          <w:rFonts w:ascii="Arial" w:eastAsia="Times New Roman" w:hAnsi="Arial" w:cs="Arial"/>
          <w:b/>
          <w:sz w:val="18"/>
          <w:szCs w:val="16"/>
          <w:u w:val="single"/>
          <w:lang w:eastAsia="es-ES"/>
        </w:rPr>
        <w:t xml:space="preserve"> correspondiente.</w:t>
      </w:r>
    </w:p>
    <w:p w:rsidR="005B12CA" w:rsidRPr="005B12CA" w:rsidRDefault="005B12CA" w:rsidP="005B12CA">
      <w:pPr>
        <w:spacing w:after="101" w:line="232" w:lineRule="exact"/>
        <w:ind w:left="1526" w:hanging="648"/>
        <w:jc w:val="both"/>
        <w:rPr>
          <w:rFonts w:ascii="Arial" w:eastAsia="Times New Roman" w:hAnsi="Arial" w:cs="Arial"/>
          <w:b/>
          <w:sz w:val="18"/>
          <w:lang w:val="es-ES" w:eastAsia="es-ES"/>
        </w:rPr>
      </w:pPr>
      <w:r w:rsidRPr="005B12CA">
        <w:rPr>
          <w:rFonts w:ascii="Arial" w:eastAsia="Times New Roman" w:hAnsi="Arial" w:cs="Arial"/>
          <w:b/>
          <w:sz w:val="18"/>
          <w:lang w:val="es-ES" w:eastAsia="es-ES"/>
        </w:rPr>
        <w:t>2.2.1.2</w:t>
      </w:r>
      <w:r w:rsidRPr="005B12CA">
        <w:rPr>
          <w:rFonts w:ascii="Arial" w:eastAsia="Times New Roman" w:hAnsi="Arial" w:cs="Arial"/>
          <w:b/>
          <w:sz w:val="18"/>
          <w:lang w:val="es-ES" w:eastAsia="es-ES"/>
        </w:rPr>
        <w:tab/>
        <w:t>TDT - Uso Social</w:t>
      </w:r>
    </w:p>
    <w:tbl>
      <w:tblPr>
        <w:tblW w:w="8712" w:type="dxa"/>
        <w:tblInd w:w="144" w:type="dxa"/>
        <w:tblLayout w:type="fixed"/>
        <w:tblCellMar>
          <w:left w:w="72" w:type="dxa"/>
          <w:right w:w="72" w:type="dxa"/>
        </w:tblCellMar>
        <w:tblLook w:val="0000" w:firstRow="0" w:lastRow="0" w:firstColumn="0" w:lastColumn="0" w:noHBand="0" w:noVBand="0"/>
      </w:tblPr>
      <w:tblGrid>
        <w:gridCol w:w="426"/>
        <w:gridCol w:w="2425"/>
        <w:gridCol w:w="1080"/>
        <w:gridCol w:w="1569"/>
        <w:gridCol w:w="1631"/>
        <w:gridCol w:w="1581"/>
      </w:tblGrid>
      <w:tr w:rsidR="005B12CA" w:rsidRPr="005B12CA" w:rsidTr="004A714B">
        <w:trPr>
          <w:trHeight w:val="20"/>
        </w:trPr>
        <w:tc>
          <w:tcPr>
            <w:tcW w:w="426"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40"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No</w:t>
            </w:r>
          </w:p>
        </w:tc>
        <w:tc>
          <w:tcPr>
            <w:tcW w:w="2425"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40"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Localidad(es) principal(es) a servir</w:t>
            </w:r>
          </w:p>
        </w:tc>
        <w:tc>
          <w:tcPr>
            <w:tcW w:w="1080"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40"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Estado</w:t>
            </w:r>
          </w:p>
        </w:tc>
        <w:tc>
          <w:tcPr>
            <w:tcW w:w="3200"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40"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Coordenadas Geográficas de Referencia</w:t>
            </w:r>
          </w:p>
        </w:tc>
        <w:tc>
          <w:tcPr>
            <w:tcW w:w="1581"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40"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Radio de Cobertura Máximo (km)</w:t>
            </w:r>
          </w:p>
        </w:tc>
      </w:tr>
      <w:tr w:rsidR="005B12CA" w:rsidRPr="005B12CA" w:rsidTr="004A714B">
        <w:trPr>
          <w:trHeight w:val="20"/>
        </w:trPr>
        <w:tc>
          <w:tcPr>
            <w:tcW w:w="426"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40" w:lineRule="exact"/>
              <w:jc w:val="center"/>
              <w:rPr>
                <w:rFonts w:ascii="Arial" w:eastAsia="Times New Roman" w:hAnsi="Arial" w:cs="Arial"/>
                <w:b/>
                <w:sz w:val="16"/>
                <w:szCs w:val="16"/>
                <w:lang w:val="es-ES" w:eastAsia="es-ES"/>
              </w:rPr>
            </w:pPr>
          </w:p>
        </w:tc>
        <w:tc>
          <w:tcPr>
            <w:tcW w:w="2425"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40" w:lineRule="exact"/>
              <w:jc w:val="center"/>
              <w:rPr>
                <w:rFonts w:ascii="Arial" w:eastAsia="Times New Roman" w:hAnsi="Arial" w:cs="Arial"/>
                <w:b/>
                <w:sz w:val="16"/>
                <w:szCs w:val="16"/>
                <w:lang w:val="es-ES" w:eastAsia="es-ES"/>
              </w:rPr>
            </w:pPr>
          </w:p>
        </w:tc>
        <w:tc>
          <w:tcPr>
            <w:tcW w:w="1080"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40" w:lineRule="exact"/>
              <w:jc w:val="center"/>
              <w:rPr>
                <w:rFonts w:ascii="Arial" w:eastAsia="Times New Roman" w:hAnsi="Arial" w:cs="Arial"/>
                <w:b/>
                <w:sz w:val="16"/>
                <w:szCs w:val="16"/>
                <w:lang w:val="es-ES" w:eastAsia="es-ES"/>
              </w:rPr>
            </w:pPr>
          </w:p>
        </w:tc>
        <w:tc>
          <w:tcPr>
            <w:tcW w:w="1569" w:type="dxa"/>
            <w:tcBorders>
              <w:top w:val="single" w:sz="6" w:space="0" w:color="auto"/>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40"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Latitud Norte (GGMMSS.SS)</w:t>
            </w:r>
          </w:p>
        </w:tc>
        <w:tc>
          <w:tcPr>
            <w:tcW w:w="1631" w:type="dxa"/>
            <w:tcBorders>
              <w:top w:val="single" w:sz="6" w:space="0" w:color="auto"/>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40"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Longitud Oeste (GGMMSS.SS)</w:t>
            </w:r>
          </w:p>
        </w:tc>
        <w:tc>
          <w:tcPr>
            <w:tcW w:w="1581"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40" w:lineRule="exact"/>
              <w:jc w:val="center"/>
              <w:rPr>
                <w:rFonts w:ascii="Arial" w:eastAsia="Times New Roman" w:hAnsi="Arial" w:cs="Arial"/>
                <w:b/>
                <w:sz w:val="16"/>
                <w:szCs w:val="16"/>
                <w:lang w:val="es-ES" w:eastAsia="es-ES"/>
              </w:rPr>
            </w:pP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w:t>
            </w:r>
          </w:p>
        </w:tc>
        <w:tc>
          <w:tcPr>
            <w:tcW w:w="2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Victoria de Durango</w:t>
            </w:r>
          </w:p>
        </w:tc>
        <w:tc>
          <w:tcPr>
            <w:tcW w:w="108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Durango</w:t>
            </w:r>
          </w:p>
        </w:tc>
        <w:tc>
          <w:tcPr>
            <w:tcW w:w="156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24°01'22"</w:t>
            </w:r>
          </w:p>
        </w:tc>
        <w:tc>
          <w:tcPr>
            <w:tcW w:w="16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104°39'16"</w:t>
            </w:r>
          </w:p>
        </w:tc>
        <w:tc>
          <w:tcPr>
            <w:tcW w:w="158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50</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w:t>
            </w:r>
          </w:p>
        </w:tc>
        <w:tc>
          <w:tcPr>
            <w:tcW w:w="2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Taxco de Alarcón</w:t>
            </w:r>
          </w:p>
        </w:tc>
        <w:tc>
          <w:tcPr>
            <w:tcW w:w="108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Guerrero</w:t>
            </w:r>
          </w:p>
        </w:tc>
        <w:tc>
          <w:tcPr>
            <w:tcW w:w="156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18°33'23"</w:t>
            </w:r>
          </w:p>
        </w:tc>
        <w:tc>
          <w:tcPr>
            <w:tcW w:w="16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99°36'41"</w:t>
            </w:r>
          </w:p>
        </w:tc>
        <w:tc>
          <w:tcPr>
            <w:tcW w:w="158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20</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3</w:t>
            </w:r>
          </w:p>
        </w:tc>
        <w:tc>
          <w:tcPr>
            <w:tcW w:w="2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lang w:val="es-ES" w:eastAsia="es-ES"/>
              </w:rPr>
            </w:pPr>
            <w:proofErr w:type="spellStart"/>
            <w:r w:rsidRPr="005B12CA">
              <w:rPr>
                <w:rFonts w:ascii="Arial" w:eastAsia="Times New Roman" w:hAnsi="Arial" w:cs="Arial"/>
                <w:sz w:val="16"/>
                <w:szCs w:val="16"/>
                <w:lang w:val="es-ES" w:eastAsia="es-ES"/>
              </w:rPr>
              <w:t>Cherán</w:t>
            </w:r>
            <w:proofErr w:type="spellEnd"/>
            <w:r w:rsidRPr="005B12CA">
              <w:rPr>
                <w:rFonts w:ascii="Arial" w:eastAsia="Times New Roman" w:hAnsi="Arial" w:cs="Arial"/>
                <w:sz w:val="16"/>
                <w:szCs w:val="16"/>
                <w:lang w:val="es-ES" w:eastAsia="es-ES"/>
              </w:rPr>
              <w:t xml:space="preserve"> </w:t>
            </w:r>
            <w:proofErr w:type="spellStart"/>
            <w:r w:rsidRPr="005B12CA">
              <w:rPr>
                <w:rFonts w:ascii="Arial" w:eastAsia="Times New Roman" w:hAnsi="Arial" w:cs="Arial"/>
                <w:sz w:val="16"/>
                <w:szCs w:val="16"/>
                <w:lang w:val="es-ES" w:eastAsia="es-ES"/>
              </w:rPr>
              <w:t>Atzicuirín</w:t>
            </w:r>
            <w:proofErr w:type="spellEnd"/>
            <w:r w:rsidRPr="005B12CA">
              <w:rPr>
                <w:rFonts w:ascii="Arial" w:eastAsia="Times New Roman" w:hAnsi="Arial" w:cs="Arial"/>
                <w:sz w:val="16"/>
                <w:szCs w:val="16"/>
                <w:lang w:val="es-ES" w:eastAsia="es-ES"/>
              </w:rPr>
              <w:t xml:space="preserve"> (</w:t>
            </w:r>
            <w:proofErr w:type="spellStart"/>
            <w:r w:rsidRPr="005B12CA">
              <w:rPr>
                <w:rFonts w:ascii="Arial" w:eastAsia="Times New Roman" w:hAnsi="Arial" w:cs="Arial"/>
                <w:sz w:val="16"/>
                <w:szCs w:val="16"/>
                <w:lang w:val="es-ES" w:eastAsia="es-ES"/>
              </w:rPr>
              <w:t>Cheranástico</w:t>
            </w:r>
            <w:proofErr w:type="spellEnd"/>
            <w:r w:rsidRPr="005B12CA">
              <w:rPr>
                <w:rFonts w:ascii="Arial" w:eastAsia="Times New Roman" w:hAnsi="Arial" w:cs="Arial"/>
                <w:sz w:val="16"/>
                <w:szCs w:val="16"/>
                <w:lang w:val="es-ES" w:eastAsia="es-ES"/>
              </w:rPr>
              <w:t xml:space="preserve">), </w:t>
            </w:r>
            <w:proofErr w:type="spellStart"/>
            <w:r w:rsidRPr="005B12CA">
              <w:rPr>
                <w:rFonts w:ascii="Arial" w:eastAsia="Times New Roman" w:hAnsi="Arial" w:cs="Arial"/>
                <w:sz w:val="16"/>
                <w:szCs w:val="16"/>
                <w:lang w:val="es-ES" w:eastAsia="es-ES"/>
              </w:rPr>
              <w:t>Paracho</w:t>
            </w:r>
            <w:proofErr w:type="spellEnd"/>
            <w:r w:rsidRPr="005B12CA">
              <w:rPr>
                <w:rFonts w:ascii="Arial" w:eastAsia="Times New Roman" w:hAnsi="Arial" w:cs="Arial"/>
                <w:sz w:val="16"/>
                <w:szCs w:val="16"/>
                <w:lang w:val="es-ES" w:eastAsia="es-ES"/>
              </w:rPr>
              <w:t xml:space="preserve"> de Verduzco</w:t>
            </w:r>
          </w:p>
        </w:tc>
        <w:tc>
          <w:tcPr>
            <w:tcW w:w="108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Michoacán</w:t>
            </w:r>
          </w:p>
        </w:tc>
        <w:tc>
          <w:tcPr>
            <w:tcW w:w="156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19°42'00"</w:t>
            </w:r>
          </w:p>
        </w:tc>
        <w:tc>
          <w:tcPr>
            <w:tcW w:w="16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102°00'56"</w:t>
            </w:r>
          </w:p>
        </w:tc>
        <w:tc>
          <w:tcPr>
            <w:tcW w:w="158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50</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4</w:t>
            </w:r>
          </w:p>
        </w:tc>
        <w:tc>
          <w:tcPr>
            <w:tcW w:w="2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Los Reyes</w:t>
            </w:r>
          </w:p>
        </w:tc>
        <w:tc>
          <w:tcPr>
            <w:tcW w:w="108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Michoacán</w:t>
            </w:r>
          </w:p>
        </w:tc>
        <w:tc>
          <w:tcPr>
            <w:tcW w:w="156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19°35'24"</w:t>
            </w:r>
          </w:p>
        </w:tc>
        <w:tc>
          <w:tcPr>
            <w:tcW w:w="16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102°28'27"</w:t>
            </w:r>
          </w:p>
        </w:tc>
        <w:tc>
          <w:tcPr>
            <w:tcW w:w="158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20</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5</w:t>
            </w:r>
          </w:p>
        </w:tc>
        <w:tc>
          <w:tcPr>
            <w:tcW w:w="2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proofErr w:type="spellStart"/>
            <w:r w:rsidRPr="005B12CA">
              <w:rPr>
                <w:rFonts w:ascii="Arial" w:eastAsia="Times New Roman" w:hAnsi="Arial" w:cs="Arial"/>
                <w:b/>
                <w:sz w:val="16"/>
                <w:szCs w:val="16"/>
                <w:u w:val="single"/>
                <w:lang w:val="es-ES" w:eastAsia="es-ES"/>
              </w:rPr>
              <w:t>Purépero</w:t>
            </w:r>
            <w:proofErr w:type="spellEnd"/>
            <w:r w:rsidRPr="005B12CA">
              <w:rPr>
                <w:rFonts w:ascii="Arial" w:eastAsia="Times New Roman" w:hAnsi="Arial" w:cs="Arial"/>
                <w:b/>
                <w:sz w:val="16"/>
                <w:szCs w:val="16"/>
                <w:u w:val="single"/>
                <w:lang w:val="es-ES" w:eastAsia="es-ES"/>
              </w:rPr>
              <w:t xml:space="preserve"> de </w:t>
            </w:r>
            <w:proofErr w:type="spellStart"/>
            <w:r w:rsidRPr="005B12CA">
              <w:rPr>
                <w:rFonts w:ascii="Arial" w:eastAsia="Times New Roman" w:hAnsi="Arial" w:cs="Arial"/>
                <w:b/>
                <w:sz w:val="16"/>
                <w:szCs w:val="16"/>
                <w:u w:val="single"/>
                <w:lang w:val="es-ES" w:eastAsia="es-ES"/>
              </w:rPr>
              <w:t>Echáiz</w:t>
            </w:r>
            <w:proofErr w:type="spellEnd"/>
          </w:p>
        </w:tc>
        <w:tc>
          <w:tcPr>
            <w:tcW w:w="108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Michoacán</w:t>
            </w:r>
          </w:p>
        </w:tc>
        <w:tc>
          <w:tcPr>
            <w:tcW w:w="156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19°54'38"</w:t>
            </w:r>
          </w:p>
        </w:tc>
        <w:tc>
          <w:tcPr>
            <w:tcW w:w="16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102°00'25"</w:t>
            </w:r>
          </w:p>
        </w:tc>
        <w:tc>
          <w:tcPr>
            <w:tcW w:w="158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20</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6</w:t>
            </w:r>
          </w:p>
        </w:tc>
        <w:tc>
          <w:tcPr>
            <w:tcW w:w="2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Heroica Ciudad de Juchitán de Zaragoza</w:t>
            </w:r>
          </w:p>
        </w:tc>
        <w:tc>
          <w:tcPr>
            <w:tcW w:w="108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Oaxaca</w:t>
            </w:r>
          </w:p>
        </w:tc>
        <w:tc>
          <w:tcPr>
            <w:tcW w:w="156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16°26'00"</w:t>
            </w:r>
          </w:p>
        </w:tc>
        <w:tc>
          <w:tcPr>
            <w:tcW w:w="16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95°01'10"</w:t>
            </w:r>
          </w:p>
        </w:tc>
        <w:tc>
          <w:tcPr>
            <w:tcW w:w="158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50</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7</w:t>
            </w:r>
          </w:p>
        </w:tc>
        <w:tc>
          <w:tcPr>
            <w:tcW w:w="2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Heroica Puebla de Zaragoza</w:t>
            </w:r>
          </w:p>
        </w:tc>
        <w:tc>
          <w:tcPr>
            <w:tcW w:w="108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Puebla</w:t>
            </w:r>
          </w:p>
        </w:tc>
        <w:tc>
          <w:tcPr>
            <w:tcW w:w="156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19°02'43"</w:t>
            </w:r>
          </w:p>
        </w:tc>
        <w:tc>
          <w:tcPr>
            <w:tcW w:w="16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98°11'51"</w:t>
            </w:r>
          </w:p>
        </w:tc>
        <w:tc>
          <w:tcPr>
            <w:tcW w:w="158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50</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8</w:t>
            </w:r>
          </w:p>
        </w:tc>
        <w:tc>
          <w:tcPr>
            <w:tcW w:w="2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Tehuacán</w:t>
            </w:r>
          </w:p>
        </w:tc>
        <w:tc>
          <w:tcPr>
            <w:tcW w:w="108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Puebla</w:t>
            </w:r>
          </w:p>
        </w:tc>
        <w:tc>
          <w:tcPr>
            <w:tcW w:w="156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18°27'50"</w:t>
            </w:r>
          </w:p>
        </w:tc>
        <w:tc>
          <w:tcPr>
            <w:tcW w:w="16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97°23'35"</w:t>
            </w:r>
          </w:p>
        </w:tc>
        <w:tc>
          <w:tcPr>
            <w:tcW w:w="158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50</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w:t>
            </w:r>
          </w:p>
        </w:tc>
        <w:tc>
          <w:tcPr>
            <w:tcW w:w="2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Cárdena, Villahermosa, Macuspana</w:t>
            </w:r>
          </w:p>
        </w:tc>
        <w:tc>
          <w:tcPr>
            <w:tcW w:w="108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Tabasco</w:t>
            </w:r>
          </w:p>
        </w:tc>
        <w:tc>
          <w:tcPr>
            <w:tcW w:w="156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17°59'21"</w:t>
            </w:r>
          </w:p>
        </w:tc>
        <w:tc>
          <w:tcPr>
            <w:tcW w:w="16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92°55'41"</w:t>
            </w:r>
          </w:p>
        </w:tc>
        <w:tc>
          <w:tcPr>
            <w:tcW w:w="158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50</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w:t>
            </w:r>
          </w:p>
        </w:tc>
        <w:tc>
          <w:tcPr>
            <w:tcW w:w="2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Teodoro (Río Grande)</w:t>
            </w:r>
          </w:p>
        </w:tc>
        <w:tc>
          <w:tcPr>
            <w:tcW w:w="108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Zacatecas</w:t>
            </w:r>
          </w:p>
        </w:tc>
        <w:tc>
          <w:tcPr>
            <w:tcW w:w="156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23°51'05"</w:t>
            </w:r>
          </w:p>
        </w:tc>
        <w:tc>
          <w:tcPr>
            <w:tcW w:w="16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102°59'45"</w:t>
            </w:r>
          </w:p>
        </w:tc>
        <w:tc>
          <w:tcPr>
            <w:tcW w:w="158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40"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50</w:t>
            </w:r>
          </w:p>
        </w:tc>
      </w:tr>
    </w:tbl>
    <w:p w:rsidR="005B12CA" w:rsidRPr="005B12CA" w:rsidRDefault="005B12CA" w:rsidP="005B12CA">
      <w:pPr>
        <w:spacing w:after="101" w:line="232" w:lineRule="exact"/>
        <w:ind w:firstLine="288"/>
        <w:jc w:val="both"/>
        <w:rPr>
          <w:rFonts w:ascii="Arial" w:eastAsia="Times New Roman" w:hAnsi="Arial" w:cs="Arial"/>
          <w:b/>
          <w:sz w:val="18"/>
          <w:szCs w:val="20"/>
          <w:lang w:val="es-ES" w:eastAsia="es-ES"/>
        </w:rPr>
      </w:pPr>
    </w:p>
    <w:p w:rsidR="005B12CA" w:rsidRPr="005B12CA" w:rsidRDefault="005B12CA" w:rsidP="005B12CA">
      <w:pPr>
        <w:spacing w:after="101" w:line="232" w:lineRule="exact"/>
        <w:ind w:left="1526" w:hanging="648"/>
        <w:jc w:val="both"/>
        <w:rPr>
          <w:rFonts w:ascii="Arial" w:eastAsia="Times New Roman" w:hAnsi="Arial" w:cs="Arial"/>
          <w:b/>
          <w:sz w:val="18"/>
          <w:lang w:val="es-ES" w:eastAsia="es-ES"/>
        </w:rPr>
      </w:pPr>
      <w:r w:rsidRPr="005B12CA">
        <w:rPr>
          <w:rFonts w:ascii="Arial" w:eastAsia="Times New Roman" w:hAnsi="Arial" w:cs="Arial"/>
          <w:b/>
          <w:sz w:val="18"/>
          <w:lang w:val="es-ES" w:eastAsia="es-ES"/>
        </w:rPr>
        <w:t>2.2.2</w:t>
      </w:r>
      <w:r w:rsidRPr="005B12CA">
        <w:rPr>
          <w:rFonts w:ascii="Arial" w:eastAsia="Times New Roman" w:hAnsi="Arial" w:cs="Arial"/>
          <w:b/>
          <w:sz w:val="18"/>
          <w:lang w:val="es-ES" w:eastAsia="es-ES"/>
        </w:rPr>
        <w:tab/>
        <w:t>Radiodifusión Sonora en Frecuencia Modulada (FM)</w:t>
      </w:r>
    </w:p>
    <w:tbl>
      <w:tblPr>
        <w:tblW w:w="8712" w:type="dxa"/>
        <w:tblInd w:w="144" w:type="dxa"/>
        <w:tblLayout w:type="fixed"/>
        <w:tblCellMar>
          <w:left w:w="72" w:type="dxa"/>
          <w:right w:w="72" w:type="dxa"/>
        </w:tblCellMar>
        <w:tblLook w:val="0000" w:firstRow="0" w:lastRow="0" w:firstColumn="0" w:lastColumn="0" w:noHBand="0" w:noVBand="0"/>
      </w:tblPr>
      <w:tblGrid>
        <w:gridCol w:w="2877"/>
        <w:gridCol w:w="5835"/>
      </w:tblGrid>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50"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Banda de Frecuencias:</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50"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88-108 MHz</w:t>
            </w:r>
          </w:p>
        </w:tc>
      </w:tr>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50"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Categoría de la Atribución:</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50"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RADIODIFUSIÓN a título primario</w:t>
            </w:r>
          </w:p>
        </w:tc>
      </w:tr>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50"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Servicio:</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50"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Radiodifusión Sonora</w:t>
            </w:r>
          </w:p>
        </w:tc>
      </w:tr>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50"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Cobertura Geográfica:</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50"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Por localidad principal a servir</w:t>
            </w:r>
          </w:p>
        </w:tc>
      </w:tr>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50"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Consideraciones Adicionales:</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50"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Las coordenadas geográficas indicadas son únicamente como referencia; la ubicación de las estaciones quedará sujeta a la autorización de los proyectos que los concesionarios presenten al Instituto.</w:t>
            </w:r>
          </w:p>
        </w:tc>
      </w:tr>
    </w:tbl>
    <w:p w:rsidR="005B12CA" w:rsidRPr="005B12CA" w:rsidRDefault="005B12CA" w:rsidP="005B12CA">
      <w:pPr>
        <w:spacing w:after="101" w:line="266" w:lineRule="exact"/>
        <w:ind w:left="1526" w:hanging="648"/>
        <w:jc w:val="both"/>
        <w:rPr>
          <w:rFonts w:ascii="Arial" w:eastAsia="Times New Roman" w:hAnsi="Arial" w:cs="Arial"/>
          <w:b/>
          <w:sz w:val="18"/>
          <w:lang w:val="es-ES" w:eastAsia="es-ES"/>
        </w:rPr>
      </w:pPr>
    </w:p>
    <w:p w:rsidR="005B12CA" w:rsidRPr="005B12CA" w:rsidRDefault="005B12CA" w:rsidP="005B12CA">
      <w:pPr>
        <w:spacing w:after="101" w:line="266" w:lineRule="exact"/>
        <w:ind w:left="1526" w:hanging="648"/>
        <w:jc w:val="both"/>
        <w:rPr>
          <w:rFonts w:ascii="Arial" w:eastAsia="Times New Roman" w:hAnsi="Arial" w:cs="Arial"/>
          <w:b/>
          <w:sz w:val="18"/>
          <w:lang w:val="es-ES" w:eastAsia="es-ES"/>
        </w:rPr>
      </w:pPr>
      <w:r w:rsidRPr="005B12CA">
        <w:rPr>
          <w:rFonts w:ascii="Arial" w:eastAsia="Times New Roman" w:hAnsi="Arial" w:cs="Arial"/>
          <w:b/>
          <w:sz w:val="18"/>
          <w:lang w:val="es-ES" w:eastAsia="es-ES"/>
        </w:rPr>
        <w:t>2.2.2.1</w:t>
      </w:r>
      <w:r w:rsidRPr="005B12CA">
        <w:rPr>
          <w:rFonts w:ascii="Arial" w:eastAsia="Times New Roman" w:hAnsi="Arial" w:cs="Arial"/>
          <w:b/>
          <w:sz w:val="18"/>
          <w:lang w:val="es-ES" w:eastAsia="es-ES"/>
        </w:rPr>
        <w:tab/>
        <w:t>FM – Uso Comercial</w:t>
      </w:r>
    </w:p>
    <w:tbl>
      <w:tblPr>
        <w:tblW w:w="8712" w:type="dxa"/>
        <w:tblInd w:w="144" w:type="dxa"/>
        <w:tblLayout w:type="fixed"/>
        <w:tblCellMar>
          <w:left w:w="72" w:type="dxa"/>
          <w:right w:w="72" w:type="dxa"/>
        </w:tblCellMar>
        <w:tblLook w:val="0000" w:firstRow="0" w:lastRow="0" w:firstColumn="0" w:lastColumn="0" w:noHBand="0" w:noVBand="0"/>
      </w:tblPr>
      <w:tblGrid>
        <w:gridCol w:w="504"/>
        <w:gridCol w:w="2017"/>
        <w:gridCol w:w="1389"/>
        <w:gridCol w:w="1899"/>
        <w:gridCol w:w="1382"/>
        <w:gridCol w:w="1521"/>
      </w:tblGrid>
      <w:tr w:rsidR="005B12CA" w:rsidRPr="005B12CA" w:rsidTr="004A714B">
        <w:trPr>
          <w:trHeight w:val="20"/>
        </w:trPr>
        <w:tc>
          <w:tcPr>
            <w:tcW w:w="504"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lastRenderedPageBreak/>
              <w:t>No</w:t>
            </w:r>
          </w:p>
        </w:tc>
        <w:tc>
          <w:tcPr>
            <w:tcW w:w="2017"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Localidad(es) principal(es) a servir</w:t>
            </w:r>
          </w:p>
        </w:tc>
        <w:tc>
          <w:tcPr>
            <w:tcW w:w="1389"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Estado</w:t>
            </w:r>
          </w:p>
        </w:tc>
        <w:tc>
          <w:tcPr>
            <w:tcW w:w="1899"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Clase de Estación</w:t>
            </w:r>
          </w:p>
        </w:tc>
        <w:tc>
          <w:tcPr>
            <w:tcW w:w="2903"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Coordenadas Geográficas de Referencia</w:t>
            </w:r>
          </w:p>
        </w:tc>
      </w:tr>
      <w:tr w:rsidR="005B12CA" w:rsidRPr="005B12CA" w:rsidTr="004A714B">
        <w:trPr>
          <w:trHeight w:val="20"/>
        </w:trPr>
        <w:tc>
          <w:tcPr>
            <w:tcW w:w="504"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p>
        </w:tc>
        <w:tc>
          <w:tcPr>
            <w:tcW w:w="2017"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p>
        </w:tc>
        <w:tc>
          <w:tcPr>
            <w:tcW w:w="1389"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p>
        </w:tc>
        <w:tc>
          <w:tcPr>
            <w:tcW w:w="1899"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p>
        </w:tc>
        <w:tc>
          <w:tcPr>
            <w:tcW w:w="1382" w:type="dxa"/>
            <w:tcBorders>
              <w:top w:val="single" w:sz="6" w:space="0" w:color="auto"/>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Latitud Norte (GGMMSS.SS)</w:t>
            </w:r>
          </w:p>
        </w:tc>
        <w:tc>
          <w:tcPr>
            <w:tcW w:w="1521" w:type="dxa"/>
            <w:tcBorders>
              <w:top w:val="single" w:sz="6" w:space="0" w:color="auto"/>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Longitud Oeste (GGMMSS.SS)</w:t>
            </w:r>
          </w:p>
        </w:tc>
      </w:tr>
      <w:tr w:rsidR="005B12CA" w:rsidRPr="005B12CA" w:rsidTr="004A714B">
        <w:trPr>
          <w:trHeight w:val="20"/>
        </w:trPr>
        <w:tc>
          <w:tcPr>
            <w:tcW w:w="5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w:t>
            </w:r>
          </w:p>
        </w:tc>
        <w:tc>
          <w:tcPr>
            <w:tcW w:w="201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Cabo San Lucas y San José del Cabo</w:t>
            </w:r>
          </w:p>
        </w:tc>
        <w:tc>
          <w:tcPr>
            <w:tcW w:w="13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Baja California Sur</w:t>
            </w:r>
          </w:p>
        </w:tc>
        <w:tc>
          <w:tcPr>
            <w:tcW w:w="189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AA</w:t>
            </w:r>
          </w:p>
        </w:tc>
        <w:tc>
          <w:tcPr>
            <w:tcW w:w="138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22°53'23"</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109°54'56"</w:t>
            </w:r>
          </w:p>
        </w:tc>
      </w:tr>
      <w:tr w:rsidR="005B12CA" w:rsidRPr="005B12CA" w:rsidTr="004A714B">
        <w:trPr>
          <w:trHeight w:val="20"/>
        </w:trPr>
        <w:tc>
          <w:tcPr>
            <w:tcW w:w="5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w:t>
            </w:r>
          </w:p>
        </w:tc>
        <w:tc>
          <w:tcPr>
            <w:tcW w:w="201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 xml:space="preserve">Villa Alberto Andrés Alvarado </w:t>
            </w:r>
            <w:proofErr w:type="spellStart"/>
            <w:r w:rsidRPr="005B12CA">
              <w:rPr>
                <w:rFonts w:ascii="Arial" w:eastAsia="Times New Roman" w:hAnsi="Arial" w:cs="Arial"/>
                <w:b/>
                <w:sz w:val="16"/>
                <w:szCs w:val="16"/>
                <w:u w:val="single"/>
                <w:lang w:val="es-ES" w:eastAsia="es-ES"/>
              </w:rPr>
              <w:t>Arámburo</w:t>
            </w:r>
            <w:proofErr w:type="spellEnd"/>
          </w:p>
        </w:tc>
        <w:tc>
          <w:tcPr>
            <w:tcW w:w="13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Baja California Sur</w:t>
            </w:r>
          </w:p>
        </w:tc>
        <w:tc>
          <w:tcPr>
            <w:tcW w:w="189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38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27°38'40"</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113°23'05"</w:t>
            </w:r>
          </w:p>
        </w:tc>
      </w:tr>
      <w:tr w:rsidR="005B12CA" w:rsidRPr="005B12CA" w:rsidTr="004A714B">
        <w:trPr>
          <w:trHeight w:val="20"/>
        </w:trPr>
        <w:tc>
          <w:tcPr>
            <w:tcW w:w="5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3</w:t>
            </w:r>
          </w:p>
        </w:tc>
        <w:tc>
          <w:tcPr>
            <w:tcW w:w="201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Casas Grandes</w:t>
            </w:r>
          </w:p>
        </w:tc>
        <w:tc>
          <w:tcPr>
            <w:tcW w:w="13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Chihuahua</w:t>
            </w:r>
          </w:p>
        </w:tc>
        <w:tc>
          <w:tcPr>
            <w:tcW w:w="189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38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30°24'48"</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107°54'45"</w:t>
            </w:r>
          </w:p>
        </w:tc>
      </w:tr>
      <w:tr w:rsidR="005B12CA" w:rsidRPr="005B12CA" w:rsidTr="004A714B">
        <w:trPr>
          <w:trHeight w:val="20"/>
        </w:trPr>
        <w:tc>
          <w:tcPr>
            <w:tcW w:w="5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4</w:t>
            </w:r>
          </w:p>
        </w:tc>
        <w:tc>
          <w:tcPr>
            <w:tcW w:w="201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Ciudad Madera</w:t>
            </w:r>
          </w:p>
        </w:tc>
        <w:tc>
          <w:tcPr>
            <w:tcW w:w="13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Chihuahua</w:t>
            </w:r>
          </w:p>
        </w:tc>
        <w:tc>
          <w:tcPr>
            <w:tcW w:w="189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38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29°11'24"</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108°08'29"</w:t>
            </w:r>
          </w:p>
        </w:tc>
      </w:tr>
      <w:tr w:rsidR="005B12CA" w:rsidRPr="005B12CA" w:rsidTr="004A714B">
        <w:trPr>
          <w:trHeight w:val="20"/>
        </w:trPr>
        <w:tc>
          <w:tcPr>
            <w:tcW w:w="5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5</w:t>
            </w:r>
          </w:p>
        </w:tc>
        <w:tc>
          <w:tcPr>
            <w:tcW w:w="201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Guadalupe y Calvo</w:t>
            </w:r>
          </w:p>
        </w:tc>
        <w:tc>
          <w:tcPr>
            <w:tcW w:w="13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Chihuahua</w:t>
            </w:r>
          </w:p>
        </w:tc>
        <w:tc>
          <w:tcPr>
            <w:tcW w:w="189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B1</w:t>
            </w:r>
          </w:p>
        </w:tc>
        <w:tc>
          <w:tcPr>
            <w:tcW w:w="138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26°05'42"</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106°57'52"</w:t>
            </w:r>
          </w:p>
        </w:tc>
      </w:tr>
      <w:tr w:rsidR="005B12CA" w:rsidRPr="005B12CA" w:rsidTr="004A714B">
        <w:trPr>
          <w:trHeight w:val="20"/>
        </w:trPr>
        <w:tc>
          <w:tcPr>
            <w:tcW w:w="5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6</w:t>
            </w:r>
          </w:p>
        </w:tc>
        <w:tc>
          <w:tcPr>
            <w:tcW w:w="201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Manuel Ojinaga</w:t>
            </w:r>
          </w:p>
        </w:tc>
        <w:tc>
          <w:tcPr>
            <w:tcW w:w="13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Chihuahua</w:t>
            </w:r>
          </w:p>
        </w:tc>
        <w:tc>
          <w:tcPr>
            <w:tcW w:w="189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38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29°33'52"</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104°24'59"</w:t>
            </w:r>
          </w:p>
        </w:tc>
      </w:tr>
      <w:tr w:rsidR="005B12CA" w:rsidRPr="005B12CA" w:rsidTr="004A714B">
        <w:trPr>
          <w:trHeight w:val="20"/>
        </w:trPr>
        <w:tc>
          <w:tcPr>
            <w:tcW w:w="5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7</w:t>
            </w:r>
          </w:p>
        </w:tc>
        <w:tc>
          <w:tcPr>
            <w:tcW w:w="201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Guadalupe Victoria</w:t>
            </w:r>
          </w:p>
        </w:tc>
        <w:tc>
          <w:tcPr>
            <w:tcW w:w="13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Durango</w:t>
            </w:r>
          </w:p>
        </w:tc>
        <w:tc>
          <w:tcPr>
            <w:tcW w:w="189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38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24°26'46"</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104°07'20"</w:t>
            </w:r>
          </w:p>
        </w:tc>
      </w:tr>
      <w:tr w:rsidR="005B12CA" w:rsidRPr="005B12CA" w:rsidTr="004A714B">
        <w:trPr>
          <w:trHeight w:val="20"/>
        </w:trPr>
        <w:tc>
          <w:tcPr>
            <w:tcW w:w="5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8</w:t>
            </w:r>
          </w:p>
        </w:tc>
        <w:tc>
          <w:tcPr>
            <w:tcW w:w="201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Gómez Palacio</w:t>
            </w:r>
          </w:p>
        </w:tc>
        <w:tc>
          <w:tcPr>
            <w:tcW w:w="13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Durango</w:t>
            </w:r>
          </w:p>
        </w:tc>
        <w:tc>
          <w:tcPr>
            <w:tcW w:w="189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38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25°33'40"</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103°29'54"</w:t>
            </w:r>
          </w:p>
        </w:tc>
      </w:tr>
      <w:tr w:rsidR="005B12CA" w:rsidRPr="005B12CA" w:rsidTr="004A714B">
        <w:trPr>
          <w:trHeight w:val="20"/>
        </w:trPr>
        <w:tc>
          <w:tcPr>
            <w:tcW w:w="5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w:t>
            </w:r>
          </w:p>
        </w:tc>
        <w:tc>
          <w:tcPr>
            <w:tcW w:w="201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proofErr w:type="spellStart"/>
            <w:r w:rsidRPr="005B12CA">
              <w:rPr>
                <w:rFonts w:ascii="Arial" w:eastAsia="Times New Roman" w:hAnsi="Arial" w:cs="Arial"/>
                <w:b/>
                <w:sz w:val="16"/>
                <w:szCs w:val="16"/>
                <w:u w:val="single"/>
                <w:lang w:val="es-ES" w:eastAsia="es-ES"/>
              </w:rPr>
              <w:t>Indé</w:t>
            </w:r>
            <w:proofErr w:type="spellEnd"/>
          </w:p>
        </w:tc>
        <w:tc>
          <w:tcPr>
            <w:tcW w:w="13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Durango</w:t>
            </w:r>
          </w:p>
        </w:tc>
        <w:tc>
          <w:tcPr>
            <w:tcW w:w="189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AA</w:t>
            </w:r>
          </w:p>
        </w:tc>
        <w:tc>
          <w:tcPr>
            <w:tcW w:w="138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25°54'41"</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105°13'27"</w:t>
            </w:r>
          </w:p>
        </w:tc>
      </w:tr>
      <w:tr w:rsidR="005B12CA" w:rsidRPr="005B12CA" w:rsidTr="004A714B">
        <w:trPr>
          <w:trHeight w:val="20"/>
        </w:trPr>
        <w:tc>
          <w:tcPr>
            <w:tcW w:w="5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w:t>
            </w:r>
          </w:p>
        </w:tc>
        <w:tc>
          <w:tcPr>
            <w:tcW w:w="201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Rodeo</w:t>
            </w:r>
          </w:p>
        </w:tc>
        <w:tc>
          <w:tcPr>
            <w:tcW w:w="13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Durango</w:t>
            </w:r>
          </w:p>
        </w:tc>
        <w:tc>
          <w:tcPr>
            <w:tcW w:w="189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38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25°10'48"</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104°33'23"</w:t>
            </w:r>
          </w:p>
        </w:tc>
      </w:tr>
      <w:tr w:rsidR="005B12CA" w:rsidRPr="005B12CA" w:rsidTr="004A714B">
        <w:trPr>
          <w:trHeight w:val="20"/>
        </w:trPr>
        <w:tc>
          <w:tcPr>
            <w:tcW w:w="5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11</w:t>
            </w:r>
          </w:p>
        </w:tc>
        <w:tc>
          <w:tcPr>
            <w:tcW w:w="201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 xml:space="preserve">Santiago </w:t>
            </w:r>
            <w:proofErr w:type="spellStart"/>
            <w:r w:rsidRPr="005B12CA">
              <w:rPr>
                <w:rFonts w:ascii="Arial" w:eastAsia="Times New Roman" w:hAnsi="Arial" w:cs="Arial"/>
                <w:b/>
                <w:sz w:val="16"/>
                <w:szCs w:val="16"/>
                <w:u w:val="single"/>
                <w:lang w:val="es-ES" w:eastAsia="es-ES"/>
              </w:rPr>
              <w:t>Papasquiaro</w:t>
            </w:r>
            <w:proofErr w:type="spellEnd"/>
          </w:p>
        </w:tc>
        <w:tc>
          <w:tcPr>
            <w:tcW w:w="13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Durango</w:t>
            </w:r>
          </w:p>
        </w:tc>
        <w:tc>
          <w:tcPr>
            <w:tcW w:w="189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B1</w:t>
            </w:r>
          </w:p>
        </w:tc>
        <w:tc>
          <w:tcPr>
            <w:tcW w:w="138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25°10'48"</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104°33'23"</w:t>
            </w:r>
          </w:p>
        </w:tc>
      </w:tr>
      <w:tr w:rsidR="005B12CA" w:rsidRPr="005B12CA" w:rsidTr="004A714B">
        <w:trPr>
          <w:trHeight w:val="20"/>
        </w:trPr>
        <w:tc>
          <w:tcPr>
            <w:tcW w:w="5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12</w:t>
            </w:r>
          </w:p>
        </w:tc>
        <w:tc>
          <w:tcPr>
            <w:tcW w:w="201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smartTag w:uri="urn:schemas-microsoft-com:office:smarttags" w:element="PersonName">
              <w:smartTagPr>
                <w:attr w:name="ProductID" w:val="La Soledad"/>
              </w:smartTagPr>
              <w:r w:rsidRPr="005B12CA">
                <w:rPr>
                  <w:rFonts w:ascii="Arial" w:eastAsia="Times New Roman" w:hAnsi="Arial" w:cs="Arial"/>
                  <w:sz w:val="16"/>
                  <w:szCs w:val="16"/>
                  <w:lang w:val="es-ES" w:eastAsia="es-ES"/>
                </w:rPr>
                <w:t>La Soledad</w:t>
              </w:r>
            </w:smartTag>
            <w:r w:rsidRPr="005B12CA">
              <w:rPr>
                <w:rFonts w:ascii="Arial" w:eastAsia="Times New Roman" w:hAnsi="Arial" w:cs="Arial"/>
                <w:sz w:val="16"/>
                <w:szCs w:val="16"/>
                <w:lang w:val="es-ES" w:eastAsia="es-ES"/>
              </w:rPr>
              <w:t>, San José del Molino y Vicente Guerrero</w:t>
            </w:r>
          </w:p>
        </w:tc>
        <w:tc>
          <w:tcPr>
            <w:tcW w:w="13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Durango</w:t>
            </w:r>
          </w:p>
        </w:tc>
        <w:tc>
          <w:tcPr>
            <w:tcW w:w="189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A</w:t>
            </w:r>
          </w:p>
        </w:tc>
        <w:tc>
          <w:tcPr>
            <w:tcW w:w="138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23°43'52"</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103°59'16"</w:t>
            </w:r>
          </w:p>
        </w:tc>
      </w:tr>
      <w:tr w:rsidR="005B12CA" w:rsidRPr="005B12CA" w:rsidTr="004A714B">
        <w:trPr>
          <w:trHeight w:val="20"/>
        </w:trPr>
        <w:tc>
          <w:tcPr>
            <w:tcW w:w="5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13</w:t>
            </w:r>
          </w:p>
        </w:tc>
        <w:tc>
          <w:tcPr>
            <w:tcW w:w="201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El Mamey</w:t>
            </w:r>
          </w:p>
        </w:tc>
        <w:tc>
          <w:tcPr>
            <w:tcW w:w="13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Guerrero</w:t>
            </w:r>
          </w:p>
        </w:tc>
        <w:tc>
          <w:tcPr>
            <w:tcW w:w="189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D</w:t>
            </w:r>
          </w:p>
        </w:tc>
        <w:tc>
          <w:tcPr>
            <w:tcW w:w="138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17°48'13"</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101°34'53"</w:t>
            </w:r>
          </w:p>
        </w:tc>
      </w:tr>
      <w:tr w:rsidR="005B12CA" w:rsidRPr="005B12CA" w:rsidTr="004A714B">
        <w:trPr>
          <w:trHeight w:val="20"/>
        </w:trPr>
        <w:tc>
          <w:tcPr>
            <w:tcW w:w="5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14</w:t>
            </w:r>
          </w:p>
        </w:tc>
        <w:tc>
          <w:tcPr>
            <w:tcW w:w="201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Uruapan</w:t>
            </w:r>
          </w:p>
        </w:tc>
        <w:tc>
          <w:tcPr>
            <w:tcW w:w="13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Michoacán</w:t>
            </w:r>
          </w:p>
        </w:tc>
        <w:tc>
          <w:tcPr>
            <w:tcW w:w="189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38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19°25'10"</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102°03'30"</w:t>
            </w:r>
          </w:p>
        </w:tc>
      </w:tr>
      <w:tr w:rsidR="005B12CA" w:rsidRPr="005B12CA" w:rsidTr="004A714B">
        <w:trPr>
          <w:trHeight w:val="20"/>
        </w:trPr>
        <w:tc>
          <w:tcPr>
            <w:tcW w:w="5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15</w:t>
            </w:r>
          </w:p>
        </w:tc>
        <w:tc>
          <w:tcPr>
            <w:tcW w:w="201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color w:val="000000"/>
                <w:sz w:val="16"/>
                <w:szCs w:val="16"/>
                <w:u w:val="single"/>
                <w:lang w:val="es-ES" w:eastAsia="es-ES"/>
              </w:rPr>
              <w:t xml:space="preserve">Linares, </w:t>
            </w:r>
            <w:proofErr w:type="spellStart"/>
            <w:r w:rsidRPr="005B12CA">
              <w:rPr>
                <w:rFonts w:ascii="Arial" w:eastAsia="Times New Roman" w:hAnsi="Arial" w:cs="Arial"/>
                <w:b/>
                <w:color w:val="000000"/>
                <w:sz w:val="16"/>
                <w:szCs w:val="16"/>
                <w:u w:val="single"/>
                <w:lang w:val="es-ES" w:eastAsia="es-ES"/>
              </w:rPr>
              <w:t>Hualahuises</w:t>
            </w:r>
            <w:proofErr w:type="spellEnd"/>
          </w:p>
        </w:tc>
        <w:tc>
          <w:tcPr>
            <w:tcW w:w="13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color w:val="000000"/>
                <w:sz w:val="16"/>
                <w:szCs w:val="16"/>
                <w:u w:val="single"/>
                <w:lang w:val="es-ES" w:eastAsia="es-ES"/>
              </w:rPr>
              <w:t>Nuevo León</w:t>
            </w:r>
          </w:p>
        </w:tc>
        <w:tc>
          <w:tcPr>
            <w:tcW w:w="189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color w:val="000000"/>
                <w:sz w:val="16"/>
                <w:szCs w:val="16"/>
                <w:u w:val="single"/>
                <w:lang w:val="es-ES" w:eastAsia="es-ES"/>
              </w:rPr>
              <w:t>Clase de Estación AA</w:t>
            </w:r>
          </w:p>
        </w:tc>
        <w:tc>
          <w:tcPr>
            <w:tcW w:w="138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color w:val="000000"/>
                <w:sz w:val="16"/>
                <w:szCs w:val="16"/>
                <w:u w:val="single"/>
                <w:lang w:val="es-ES" w:eastAsia="es-ES"/>
              </w:rPr>
              <w:t>24°51'36"</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color w:val="000000"/>
                <w:sz w:val="16"/>
                <w:szCs w:val="16"/>
                <w:u w:val="single"/>
                <w:lang w:val="es-ES" w:eastAsia="es-ES"/>
              </w:rPr>
              <w:t>99°34'00"</w:t>
            </w:r>
          </w:p>
        </w:tc>
      </w:tr>
      <w:tr w:rsidR="005B12CA" w:rsidRPr="005B12CA" w:rsidTr="004A714B">
        <w:trPr>
          <w:trHeight w:val="20"/>
        </w:trPr>
        <w:tc>
          <w:tcPr>
            <w:tcW w:w="5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16</w:t>
            </w:r>
          </w:p>
        </w:tc>
        <w:tc>
          <w:tcPr>
            <w:tcW w:w="201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 xml:space="preserve">Granjas de </w:t>
            </w:r>
            <w:smartTag w:uri="urn:schemas-microsoft-com:office:smarttags" w:element="PersonName">
              <w:smartTagPr>
                <w:attr w:name="ProductID" w:val="la Florida"/>
              </w:smartTagPr>
              <w:r w:rsidRPr="005B12CA">
                <w:rPr>
                  <w:rFonts w:ascii="Arial" w:eastAsia="Times New Roman" w:hAnsi="Arial" w:cs="Arial"/>
                  <w:sz w:val="16"/>
                  <w:szCs w:val="16"/>
                  <w:lang w:val="es-ES" w:eastAsia="es-ES"/>
                </w:rPr>
                <w:t>la Florida</w:t>
              </w:r>
            </w:smartTag>
            <w:r w:rsidRPr="005B12CA">
              <w:rPr>
                <w:rFonts w:ascii="Arial" w:eastAsia="Times New Roman" w:hAnsi="Arial" w:cs="Arial"/>
                <w:sz w:val="16"/>
                <w:szCs w:val="16"/>
                <w:lang w:val="es-ES" w:eastAsia="es-ES"/>
              </w:rPr>
              <w:t xml:space="preserve"> y San Luis Potosí</w:t>
            </w:r>
          </w:p>
        </w:tc>
        <w:tc>
          <w:tcPr>
            <w:tcW w:w="13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San Luis Potosí</w:t>
            </w:r>
          </w:p>
        </w:tc>
        <w:tc>
          <w:tcPr>
            <w:tcW w:w="189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A</w:t>
            </w:r>
          </w:p>
        </w:tc>
        <w:tc>
          <w:tcPr>
            <w:tcW w:w="138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22°08'59"</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100°58'30"</w:t>
            </w:r>
          </w:p>
        </w:tc>
      </w:tr>
      <w:tr w:rsidR="005B12CA" w:rsidRPr="005B12CA" w:rsidTr="004A714B">
        <w:trPr>
          <w:trHeight w:val="20"/>
        </w:trPr>
        <w:tc>
          <w:tcPr>
            <w:tcW w:w="5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17</w:t>
            </w:r>
          </w:p>
        </w:tc>
        <w:tc>
          <w:tcPr>
            <w:tcW w:w="201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Matehuala</w:t>
            </w:r>
          </w:p>
        </w:tc>
        <w:tc>
          <w:tcPr>
            <w:tcW w:w="13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San Luis Potosí</w:t>
            </w:r>
          </w:p>
        </w:tc>
        <w:tc>
          <w:tcPr>
            <w:tcW w:w="189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38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23°38'47"</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100°38'40"</w:t>
            </w:r>
          </w:p>
        </w:tc>
      </w:tr>
      <w:tr w:rsidR="005B12CA" w:rsidRPr="005B12CA" w:rsidTr="004A714B">
        <w:trPr>
          <w:trHeight w:val="20"/>
        </w:trPr>
        <w:tc>
          <w:tcPr>
            <w:tcW w:w="5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18</w:t>
            </w:r>
          </w:p>
        </w:tc>
        <w:tc>
          <w:tcPr>
            <w:tcW w:w="201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Culiacán Rosales</w:t>
            </w:r>
          </w:p>
        </w:tc>
        <w:tc>
          <w:tcPr>
            <w:tcW w:w="13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Sinaloa</w:t>
            </w:r>
          </w:p>
        </w:tc>
        <w:tc>
          <w:tcPr>
            <w:tcW w:w="189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Clase de Estación A</w:t>
            </w:r>
          </w:p>
        </w:tc>
        <w:tc>
          <w:tcPr>
            <w:tcW w:w="138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24°47'31"</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107°23'53"</w:t>
            </w:r>
          </w:p>
        </w:tc>
      </w:tr>
      <w:tr w:rsidR="005B12CA" w:rsidRPr="005B12CA" w:rsidTr="004A714B">
        <w:trPr>
          <w:trHeight w:val="20"/>
        </w:trPr>
        <w:tc>
          <w:tcPr>
            <w:tcW w:w="5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19</w:t>
            </w:r>
          </w:p>
        </w:tc>
        <w:tc>
          <w:tcPr>
            <w:tcW w:w="201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El Fuerte</w:t>
            </w:r>
          </w:p>
        </w:tc>
        <w:tc>
          <w:tcPr>
            <w:tcW w:w="13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Sinaloa</w:t>
            </w:r>
          </w:p>
        </w:tc>
        <w:tc>
          <w:tcPr>
            <w:tcW w:w="189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Clase de Estación A</w:t>
            </w:r>
          </w:p>
        </w:tc>
        <w:tc>
          <w:tcPr>
            <w:tcW w:w="138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26°24'59"</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108°37'04"</w:t>
            </w:r>
          </w:p>
        </w:tc>
      </w:tr>
    </w:tbl>
    <w:p w:rsidR="005B12CA" w:rsidRPr="005B12CA" w:rsidRDefault="005B12CA" w:rsidP="005B12CA">
      <w:pPr>
        <w:spacing w:after="0" w:line="240" w:lineRule="auto"/>
        <w:rPr>
          <w:rFonts w:ascii="Times New Roman" w:eastAsia="Times New Roman" w:hAnsi="Times New Roman" w:cs="Times New Roman"/>
          <w:sz w:val="2"/>
          <w:szCs w:val="24"/>
          <w:lang w:val="es-ES" w:eastAsia="es-ES"/>
        </w:rPr>
      </w:pPr>
    </w:p>
    <w:tbl>
      <w:tblPr>
        <w:tblW w:w="8712" w:type="dxa"/>
        <w:tblInd w:w="144" w:type="dxa"/>
        <w:tblLayout w:type="fixed"/>
        <w:tblCellMar>
          <w:left w:w="72" w:type="dxa"/>
          <w:right w:w="72" w:type="dxa"/>
        </w:tblCellMar>
        <w:tblLook w:val="0000" w:firstRow="0" w:lastRow="0" w:firstColumn="0" w:lastColumn="0" w:noHBand="0" w:noVBand="0"/>
      </w:tblPr>
      <w:tblGrid>
        <w:gridCol w:w="504"/>
        <w:gridCol w:w="2017"/>
        <w:gridCol w:w="1389"/>
        <w:gridCol w:w="1899"/>
        <w:gridCol w:w="1382"/>
        <w:gridCol w:w="1521"/>
      </w:tblGrid>
      <w:tr w:rsidR="005B12CA" w:rsidRPr="005B12CA" w:rsidTr="004A714B">
        <w:trPr>
          <w:trHeight w:val="20"/>
        </w:trPr>
        <w:tc>
          <w:tcPr>
            <w:tcW w:w="5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20</w:t>
            </w:r>
          </w:p>
        </w:tc>
        <w:tc>
          <w:tcPr>
            <w:tcW w:w="201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El Rosario</w:t>
            </w:r>
          </w:p>
        </w:tc>
        <w:tc>
          <w:tcPr>
            <w:tcW w:w="13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Sinaloa</w:t>
            </w:r>
          </w:p>
        </w:tc>
        <w:tc>
          <w:tcPr>
            <w:tcW w:w="189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Clase de Estación A</w:t>
            </w:r>
          </w:p>
        </w:tc>
        <w:tc>
          <w:tcPr>
            <w:tcW w:w="138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22°59'31"</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105°51'41"</w:t>
            </w:r>
          </w:p>
        </w:tc>
      </w:tr>
      <w:tr w:rsidR="005B12CA" w:rsidRPr="005B12CA" w:rsidTr="004A714B">
        <w:trPr>
          <w:trHeight w:val="20"/>
        </w:trPr>
        <w:tc>
          <w:tcPr>
            <w:tcW w:w="5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21</w:t>
            </w:r>
          </w:p>
        </w:tc>
        <w:tc>
          <w:tcPr>
            <w:tcW w:w="201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La Cruz</w:t>
            </w:r>
          </w:p>
        </w:tc>
        <w:tc>
          <w:tcPr>
            <w:tcW w:w="13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Sinaloa</w:t>
            </w:r>
          </w:p>
        </w:tc>
        <w:tc>
          <w:tcPr>
            <w:tcW w:w="189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Clase de Estación A</w:t>
            </w:r>
          </w:p>
        </w:tc>
        <w:tc>
          <w:tcPr>
            <w:tcW w:w="138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23°55'17"</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106°53'31"</w:t>
            </w:r>
          </w:p>
        </w:tc>
      </w:tr>
      <w:tr w:rsidR="005B12CA" w:rsidRPr="005B12CA" w:rsidTr="004A714B">
        <w:trPr>
          <w:trHeight w:val="20"/>
        </w:trPr>
        <w:tc>
          <w:tcPr>
            <w:tcW w:w="5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22</w:t>
            </w:r>
          </w:p>
        </w:tc>
        <w:tc>
          <w:tcPr>
            <w:tcW w:w="201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color w:val="000000"/>
                <w:sz w:val="16"/>
                <w:szCs w:val="16"/>
                <w:lang w:val="es-ES" w:eastAsia="es-ES"/>
              </w:rPr>
            </w:pPr>
            <w:r w:rsidRPr="005B12CA">
              <w:rPr>
                <w:rFonts w:ascii="Arial" w:eastAsia="Times New Roman" w:hAnsi="Arial" w:cs="Arial"/>
                <w:color w:val="000000"/>
                <w:sz w:val="16"/>
                <w:szCs w:val="16"/>
                <w:lang w:val="es-ES" w:eastAsia="es-ES"/>
              </w:rPr>
              <w:t>Los Mochis</w:t>
            </w:r>
          </w:p>
        </w:tc>
        <w:tc>
          <w:tcPr>
            <w:tcW w:w="13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color w:val="000000"/>
                <w:sz w:val="16"/>
                <w:szCs w:val="16"/>
                <w:lang w:val="es-ES" w:eastAsia="es-ES"/>
              </w:rPr>
            </w:pPr>
            <w:r w:rsidRPr="005B12CA">
              <w:rPr>
                <w:rFonts w:ascii="Arial" w:eastAsia="Times New Roman" w:hAnsi="Arial" w:cs="Arial"/>
                <w:color w:val="000000"/>
                <w:sz w:val="16"/>
                <w:szCs w:val="16"/>
                <w:lang w:val="es-ES" w:eastAsia="es-ES"/>
              </w:rPr>
              <w:t>Sinaloa</w:t>
            </w:r>
          </w:p>
        </w:tc>
        <w:tc>
          <w:tcPr>
            <w:tcW w:w="189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color w:val="000000"/>
                <w:sz w:val="16"/>
                <w:szCs w:val="16"/>
                <w:lang w:val="es-ES" w:eastAsia="es-ES"/>
              </w:rPr>
            </w:pPr>
            <w:r w:rsidRPr="005B12CA">
              <w:rPr>
                <w:rFonts w:ascii="Arial" w:eastAsia="Times New Roman" w:hAnsi="Arial" w:cs="Arial"/>
                <w:color w:val="000000"/>
                <w:sz w:val="16"/>
                <w:szCs w:val="16"/>
                <w:lang w:val="es-ES" w:eastAsia="es-ES"/>
              </w:rPr>
              <w:t>Clase de Estación A</w:t>
            </w:r>
          </w:p>
        </w:tc>
        <w:tc>
          <w:tcPr>
            <w:tcW w:w="138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color w:val="000000"/>
                <w:sz w:val="16"/>
                <w:szCs w:val="16"/>
                <w:lang w:val="es-ES" w:eastAsia="es-ES"/>
              </w:rPr>
            </w:pPr>
            <w:r w:rsidRPr="005B12CA">
              <w:rPr>
                <w:rFonts w:ascii="Arial" w:eastAsia="Times New Roman" w:hAnsi="Arial" w:cs="Arial"/>
                <w:color w:val="000000"/>
                <w:sz w:val="16"/>
                <w:szCs w:val="16"/>
                <w:lang w:val="es-ES" w:eastAsia="es-ES"/>
              </w:rPr>
              <w:t>25°47'37"</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color w:val="000000"/>
                <w:sz w:val="16"/>
                <w:szCs w:val="16"/>
                <w:lang w:val="es-ES" w:eastAsia="es-ES"/>
              </w:rPr>
            </w:pPr>
            <w:r w:rsidRPr="005B12CA">
              <w:rPr>
                <w:rFonts w:ascii="Arial" w:eastAsia="Times New Roman" w:hAnsi="Arial" w:cs="Arial"/>
                <w:color w:val="000000"/>
                <w:sz w:val="16"/>
                <w:szCs w:val="16"/>
                <w:lang w:val="es-ES" w:eastAsia="es-ES"/>
              </w:rPr>
              <w:t>108°59'49"</w:t>
            </w:r>
          </w:p>
        </w:tc>
      </w:tr>
      <w:tr w:rsidR="005B12CA" w:rsidRPr="005B12CA" w:rsidTr="004A714B">
        <w:trPr>
          <w:trHeight w:val="20"/>
        </w:trPr>
        <w:tc>
          <w:tcPr>
            <w:tcW w:w="5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23</w:t>
            </w:r>
          </w:p>
        </w:tc>
        <w:tc>
          <w:tcPr>
            <w:tcW w:w="201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Caborca</w:t>
            </w:r>
          </w:p>
        </w:tc>
        <w:tc>
          <w:tcPr>
            <w:tcW w:w="13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color w:val="000000"/>
                <w:sz w:val="16"/>
                <w:szCs w:val="16"/>
                <w:u w:val="single"/>
                <w:lang w:val="es-ES" w:eastAsia="es-ES"/>
              </w:rPr>
            </w:pPr>
            <w:r w:rsidRPr="005B12CA">
              <w:rPr>
                <w:rFonts w:ascii="Arial" w:eastAsia="Times New Roman" w:hAnsi="Arial" w:cs="Arial"/>
                <w:b/>
                <w:sz w:val="16"/>
                <w:szCs w:val="16"/>
                <w:u w:val="single"/>
                <w:lang w:val="es-ES" w:eastAsia="es-ES"/>
              </w:rPr>
              <w:t>Sonora</w:t>
            </w:r>
          </w:p>
        </w:tc>
        <w:tc>
          <w:tcPr>
            <w:tcW w:w="189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color w:val="000000"/>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38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color w:val="000000"/>
                <w:sz w:val="16"/>
                <w:szCs w:val="16"/>
                <w:u w:val="single"/>
                <w:lang w:val="es-ES" w:eastAsia="es-ES"/>
              </w:rPr>
            </w:pPr>
            <w:r w:rsidRPr="005B12CA">
              <w:rPr>
                <w:rFonts w:ascii="Arial" w:eastAsia="Times New Roman" w:hAnsi="Arial" w:cs="Arial"/>
                <w:b/>
                <w:sz w:val="16"/>
                <w:szCs w:val="16"/>
                <w:u w:val="single"/>
                <w:lang w:val="es-ES" w:eastAsia="es-ES"/>
              </w:rPr>
              <w:t>30°42'56"</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color w:val="000000"/>
                <w:sz w:val="16"/>
                <w:szCs w:val="16"/>
                <w:u w:val="single"/>
                <w:lang w:val="es-ES" w:eastAsia="es-ES"/>
              </w:rPr>
            </w:pPr>
            <w:r w:rsidRPr="005B12CA">
              <w:rPr>
                <w:rFonts w:ascii="Arial" w:eastAsia="Times New Roman" w:hAnsi="Arial" w:cs="Arial"/>
                <w:b/>
                <w:sz w:val="16"/>
                <w:szCs w:val="16"/>
                <w:u w:val="single"/>
                <w:lang w:val="es-ES" w:eastAsia="es-ES"/>
              </w:rPr>
              <w:t>112°09'33"</w:t>
            </w:r>
          </w:p>
        </w:tc>
      </w:tr>
      <w:tr w:rsidR="005B12CA" w:rsidRPr="005B12CA" w:rsidTr="004A714B">
        <w:trPr>
          <w:trHeight w:val="20"/>
        </w:trPr>
        <w:tc>
          <w:tcPr>
            <w:tcW w:w="5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24</w:t>
            </w:r>
          </w:p>
        </w:tc>
        <w:tc>
          <w:tcPr>
            <w:tcW w:w="201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color w:val="000000"/>
                <w:sz w:val="16"/>
                <w:szCs w:val="16"/>
                <w:u w:val="single"/>
                <w:lang w:val="es-ES" w:eastAsia="es-ES"/>
              </w:rPr>
            </w:pPr>
            <w:r w:rsidRPr="005B12CA">
              <w:rPr>
                <w:rFonts w:ascii="Arial" w:eastAsia="Times New Roman" w:hAnsi="Arial" w:cs="Arial"/>
                <w:b/>
                <w:sz w:val="16"/>
                <w:szCs w:val="16"/>
                <w:u w:val="single"/>
                <w:lang w:val="es-ES" w:eastAsia="es-ES"/>
              </w:rPr>
              <w:t>Soto la Marina</w:t>
            </w:r>
          </w:p>
        </w:tc>
        <w:tc>
          <w:tcPr>
            <w:tcW w:w="13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color w:val="000000"/>
                <w:sz w:val="16"/>
                <w:szCs w:val="16"/>
                <w:u w:val="single"/>
                <w:lang w:val="es-ES" w:eastAsia="es-ES"/>
              </w:rPr>
            </w:pPr>
            <w:r w:rsidRPr="005B12CA">
              <w:rPr>
                <w:rFonts w:ascii="Arial" w:eastAsia="Times New Roman" w:hAnsi="Arial" w:cs="Arial"/>
                <w:b/>
                <w:sz w:val="16"/>
                <w:szCs w:val="16"/>
                <w:u w:val="single"/>
                <w:lang w:val="es-ES" w:eastAsia="es-ES"/>
              </w:rPr>
              <w:t>Tamaulipas</w:t>
            </w:r>
          </w:p>
        </w:tc>
        <w:tc>
          <w:tcPr>
            <w:tcW w:w="189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color w:val="000000"/>
                <w:sz w:val="16"/>
                <w:szCs w:val="16"/>
                <w:u w:val="single"/>
                <w:lang w:val="es-ES" w:eastAsia="es-ES"/>
              </w:rPr>
            </w:pPr>
            <w:r w:rsidRPr="005B12CA">
              <w:rPr>
                <w:rFonts w:ascii="Arial" w:eastAsia="Times New Roman" w:hAnsi="Arial" w:cs="Arial"/>
                <w:b/>
                <w:sz w:val="16"/>
                <w:szCs w:val="16"/>
                <w:u w:val="single"/>
                <w:lang w:val="es-ES" w:eastAsia="es-ES"/>
              </w:rPr>
              <w:t>Clase de Estación B1</w:t>
            </w:r>
          </w:p>
        </w:tc>
        <w:tc>
          <w:tcPr>
            <w:tcW w:w="138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color w:val="000000"/>
                <w:sz w:val="16"/>
                <w:szCs w:val="16"/>
                <w:u w:val="single"/>
                <w:lang w:val="es-ES" w:eastAsia="es-ES"/>
              </w:rPr>
            </w:pPr>
            <w:r w:rsidRPr="005B12CA">
              <w:rPr>
                <w:rFonts w:ascii="Arial" w:eastAsia="Times New Roman" w:hAnsi="Arial" w:cs="Arial"/>
                <w:b/>
                <w:sz w:val="16"/>
                <w:szCs w:val="16"/>
                <w:u w:val="single"/>
                <w:lang w:val="es-ES" w:eastAsia="es-ES"/>
              </w:rPr>
              <w:t>23°46'03"</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color w:val="000000"/>
                <w:sz w:val="16"/>
                <w:szCs w:val="16"/>
                <w:u w:val="single"/>
                <w:lang w:val="es-ES" w:eastAsia="es-ES"/>
              </w:rPr>
            </w:pPr>
            <w:r w:rsidRPr="005B12CA">
              <w:rPr>
                <w:rFonts w:ascii="Arial" w:eastAsia="Times New Roman" w:hAnsi="Arial" w:cs="Arial"/>
                <w:b/>
                <w:sz w:val="16"/>
                <w:szCs w:val="16"/>
                <w:u w:val="single"/>
                <w:lang w:val="es-ES" w:eastAsia="es-ES"/>
              </w:rPr>
              <w:t>98°12'28"</w:t>
            </w:r>
          </w:p>
        </w:tc>
      </w:tr>
      <w:tr w:rsidR="005B12CA" w:rsidRPr="005B12CA" w:rsidTr="004A714B">
        <w:trPr>
          <w:trHeight w:val="20"/>
        </w:trPr>
        <w:tc>
          <w:tcPr>
            <w:tcW w:w="5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25</w:t>
            </w:r>
          </w:p>
        </w:tc>
        <w:tc>
          <w:tcPr>
            <w:tcW w:w="201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Tampico, (Pueblo Viejo, Veracruz)</w:t>
            </w:r>
          </w:p>
        </w:tc>
        <w:tc>
          <w:tcPr>
            <w:tcW w:w="13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Tamaulipas</w:t>
            </w:r>
          </w:p>
        </w:tc>
        <w:tc>
          <w:tcPr>
            <w:tcW w:w="189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38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22°15'19"</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97°52'07"</w:t>
            </w:r>
          </w:p>
        </w:tc>
      </w:tr>
      <w:tr w:rsidR="005B12CA" w:rsidRPr="005B12CA" w:rsidTr="004A714B">
        <w:trPr>
          <w:trHeight w:val="20"/>
        </w:trPr>
        <w:tc>
          <w:tcPr>
            <w:tcW w:w="5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26</w:t>
            </w:r>
          </w:p>
        </w:tc>
        <w:tc>
          <w:tcPr>
            <w:tcW w:w="201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proofErr w:type="spellStart"/>
            <w:r w:rsidRPr="005B12CA">
              <w:rPr>
                <w:rFonts w:ascii="Arial" w:eastAsia="Times New Roman" w:hAnsi="Arial" w:cs="Arial"/>
                <w:b/>
                <w:sz w:val="16"/>
                <w:szCs w:val="16"/>
                <w:u w:val="single"/>
                <w:lang w:val="es-ES" w:eastAsia="es-ES"/>
              </w:rPr>
              <w:t>Tizimín</w:t>
            </w:r>
            <w:proofErr w:type="spellEnd"/>
            <w:r w:rsidRPr="005B12CA">
              <w:rPr>
                <w:rFonts w:ascii="Arial" w:eastAsia="Times New Roman" w:hAnsi="Arial" w:cs="Arial"/>
                <w:b/>
                <w:sz w:val="16"/>
                <w:szCs w:val="16"/>
                <w:u w:val="single"/>
                <w:lang w:val="es-ES" w:eastAsia="es-ES"/>
              </w:rPr>
              <w:t xml:space="preserve">, </w:t>
            </w:r>
            <w:proofErr w:type="spellStart"/>
            <w:r w:rsidRPr="005B12CA">
              <w:rPr>
                <w:rFonts w:ascii="Arial" w:eastAsia="Times New Roman" w:hAnsi="Arial" w:cs="Arial"/>
                <w:b/>
                <w:sz w:val="16"/>
                <w:szCs w:val="16"/>
                <w:u w:val="single"/>
                <w:lang w:val="es-ES" w:eastAsia="es-ES"/>
              </w:rPr>
              <w:t>Sucilá</w:t>
            </w:r>
            <w:proofErr w:type="spellEnd"/>
            <w:r w:rsidRPr="005B12CA">
              <w:rPr>
                <w:rFonts w:ascii="Arial" w:eastAsia="Times New Roman" w:hAnsi="Arial" w:cs="Arial"/>
                <w:b/>
                <w:sz w:val="16"/>
                <w:szCs w:val="16"/>
                <w:u w:val="single"/>
                <w:lang w:val="es-ES" w:eastAsia="es-ES"/>
              </w:rPr>
              <w:t xml:space="preserve">, </w:t>
            </w:r>
            <w:proofErr w:type="spellStart"/>
            <w:r w:rsidRPr="005B12CA">
              <w:rPr>
                <w:rFonts w:ascii="Arial" w:eastAsia="Times New Roman" w:hAnsi="Arial" w:cs="Arial"/>
                <w:b/>
                <w:sz w:val="16"/>
                <w:szCs w:val="16"/>
                <w:u w:val="single"/>
                <w:lang w:val="es-ES" w:eastAsia="es-ES"/>
              </w:rPr>
              <w:t>Panabá</w:t>
            </w:r>
            <w:proofErr w:type="spellEnd"/>
          </w:p>
        </w:tc>
        <w:tc>
          <w:tcPr>
            <w:tcW w:w="13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Yucatán</w:t>
            </w:r>
          </w:p>
        </w:tc>
        <w:tc>
          <w:tcPr>
            <w:tcW w:w="189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38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21°08'33"</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88°09'53"</w:t>
            </w:r>
          </w:p>
        </w:tc>
      </w:tr>
      <w:tr w:rsidR="005B12CA" w:rsidRPr="005B12CA" w:rsidTr="004A714B">
        <w:trPr>
          <w:trHeight w:val="20"/>
        </w:trPr>
        <w:tc>
          <w:tcPr>
            <w:tcW w:w="5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27</w:t>
            </w:r>
          </w:p>
        </w:tc>
        <w:tc>
          <w:tcPr>
            <w:tcW w:w="201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Valladolid</w:t>
            </w:r>
          </w:p>
        </w:tc>
        <w:tc>
          <w:tcPr>
            <w:tcW w:w="13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Yucatán</w:t>
            </w:r>
          </w:p>
        </w:tc>
        <w:tc>
          <w:tcPr>
            <w:tcW w:w="189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B1</w:t>
            </w:r>
          </w:p>
        </w:tc>
        <w:tc>
          <w:tcPr>
            <w:tcW w:w="138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20°41'22"</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88°12'06"</w:t>
            </w:r>
          </w:p>
        </w:tc>
      </w:tr>
    </w:tbl>
    <w:p w:rsidR="005B12CA" w:rsidRPr="005B12CA" w:rsidRDefault="005B12CA" w:rsidP="005B12CA">
      <w:pPr>
        <w:spacing w:after="101" w:line="14" w:lineRule="exact"/>
        <w:ind w:firstLine="288"/>
        <w:jc w:val="both"/>
        <w:rPr>
          <w:rFonts w:ascii="Arial" w:eastAsia="Times New Roman" w:hAnsi="Arial" w:cs="Arial"/>
          <w:b/>
          <w:sz w:val="18"/>
          <w:lang w:val="es-ES" w:eastAsia="es-ES"/>
        </w:rPr>
      </w:pPr>
    </w:p>
    <w:p w:rsidR="005B12CA" w:rsidRPr="005B12CA" w:rsidRDefault="005B12CA" w:rsidP="005B12CA">
      <w:pPr>
        <w:spacing w:after="101" w:line="256" w:lineRule="exact"/>
        <w:ind w:left="1526" w:hanging="648"/>
        <w:jc w:val="both"/>
        <w:rPr>
          <w:rFonts w:ascii="Arial" w:eastAsia="Times New Roman" w:hAnsi="Arial" w:cs="Arial"/>
          <w:b/>
          <w:sz w:val="18"/>
          <w:lang w:val="es-ES" w:eastAsia="es-ES"/>
        </w:rPr>
      </w:pPr>
      <w:r w:rsidRPr="005B12CA">
        <w:rPr>
          <w:rFonts w:ascii="Arial" w:eastAsia="Times New Roman" w:hAnsi="Arial" w:cs="Arial"/>
          <w:b/>
          <w:sz w:val="18"/>
          <w:lang w:val="es-ES" w:eastAsia="es-ES"/>
        </w:rPr>
        <w:t>2.2.2.2</w:t>
      </w:r>
      <w:r w:rsidRPr="005B12CA">
        <w:rPr>
          <w:rFonts w:ascii="Arial" w:eastAsia="Times New Roman" w:hAnsi="Arial" w:cs="Arial"/>
          <w:b/>
          <w:sz w:val="18"/>
          <w:lang w:val="es-ES" w:eastAsia="es-ES"/>
        </w:rPr>
        <w:tab/>
        <w:t>FM – Uso Público</w:t>
      </w:r>
    </w:p>
    <w:tbl>
      <w:tblPr>
        <w:tblW w:w="8712" w:type="dxa"/>
        <w:tblInd w:w="144" w:type="dxa"/>
        <w:tblLayout w:type="fixed"/>
        <w:tblCellMar>
          <w:left w:w="72" w:type="dxa"/>
          <w:right w:w="72" w:type="dxa"/>
        </w:tblCellMar>
        <w:tblLook w:val="0000" w:firstRow="0" w:lastRow="0" w:firstColumn="0" w:lastColumn="0" w:noHBand="0" w:noVBand="0"/>
      </w:tblPr>
      <w:tblGrid>
        <w:gridCol w:w="425"/>
        <w:gridCol w:w="2319"/>
        <w:gridCol w:w="1289"/>
        <w:gridCol w:w="1272"/>
        <w:gridCol w:w="1664"/>
        <w:gridCol w:w="1743"/>
      </w:tblGrid>
      <w:tr w:rsidR="005B12CA" w:rsidRPr="005B12CA" w:rsidTr="004A714B">
        <w:trPr>
          <w:trHeight w:val="20"/>
        </w:trPr>
        <w:tc>
          <w:tcPr>
            <w:tcW w:w="425"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5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lastRenderedPageBreak/>
              <w:t>No</w:t>
            </w:r>
          </w:p>
        </w:tc>
        <w:tc>
          <w:tcPr>
            <w:tcW w:w="2319"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5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Localidad(es) principal(es) a servir</w:t>
            </w:r>
          </w:p>
        </w:tc>
        <w:tc>
          <w:tcPr>
            <w:tcW w:w="1289"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5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Estado</w:t>
            </w:r>
          </w:p>
        </w:tc>
        <w:tc>
          <w:tcPr>
            <w:tcW w:w="1272"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5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Clase de Estación</w:t>
            </w:r>
          </w:p>
        </w:tc>
        <w:tc>
          <w:tcPr>
            <w:tcW w:w="3407"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5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Coordenadas Geográficas de Referencia</w:t>
            </w:r>
          </w:p>
        </w:tc>
      </w:tr>
      <w:tr w:rsidR="005B12CA" w:rsidRPr="005B12CA" w:rsidTr="004A714B">
        <w:trPr>
          <w:trHeight w:val="20"/>
        </w:trPr>
        <w:tc>
          <w:tcPr>
            <w:tcW w:w="425"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56" w:lineRule="exact"/>
              <w:jc w:val="center"/>
              <w:rPr>
                <w:rFonts w:ascii="Arial" w:eastAsia="Times New Roman" w:hAnsi="Arial" w:cs="Arial"/>
                <w:b/>
                <w:sz w:val="16"/>
                <w:szCs w:val="16"/>
                <w:lang w:val="es-ES" w:eastAsia="es-ES"/>
              </w:rPr>
            </w:pPr>
          </w:p>
        </w:tc>
        <w:tc>
          <w:tcPr>
            <w:tcW w:w="2319"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56" w:lineRule="exact"/>
              <w:jc w:val="center"/>
              <w:rPr>
                <w:rFonts w:ascii="Arial" w:eastAsia="Times New Roman" w:hAnsi="Arial" w:cs="Arial"/>
                <w:b/>
                <w:sz w:val="16"/>
                <w:szCs w:val="16"/>
                <w:lang w:val="es-ES" w:eastAsia="es-ES"/>
              </w:rPr>
            </w:pPr>
          </w:p>
        </w:tc>
        <w:tc>
          <w:tcPr>
            <w:tcW w:w="1289"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56" w:lineRule="exact"/>
              <w:jc w:val="center"/>
              <w:rPr>
                <w:rFonts w:ascii="Arial" w:eastAsia="Times New Roman" w:hAnsi="Arial" w:cs="Arial"/>
                <w:b/>
                <w:sz w:val="16"/>
                <w:szCs w:val="16"/>
                <w:lang w:val="es-ES" w:eastAsia="es-ES"/>
              </w:rPr>
            </w:pPr>
          </w:p>
        </w:tc>
        <w:tc>
          <w:tcPr>
            <w:tcW w:w="1272"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56" w:lineRule="exact"/>
              <w:jc w:val="center"/>
              <w:rPr>
                <w:rFonts w:ascii="Arial" w:eastAsia="Times New Roman" w:hAnsi="Arial" w:cs="Arial"/>
                <w:b/>
                <w:sz w:val="16"/>
                <w:szCs w:val="16"/>
                <w:lang w:val="es-ES" w:eastAsia="es-ES"/>
              </w:rPr>
            </w:pPr>
          </w:p>
        </w:tc>
        <w:tc>
          <w:tcPr>
            <w:tcW w:w="1664" w:type="dxa"/>
            <w:tcBorders>
              <w:top w:val="single" w:sz="6" w:space="0" w:color="auto"/>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5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Latitud Norte (GGMMSS.SS)</w:t>
            </w:r>
          </w:p>
        </w:tc>
        <w:tc>
          <w:tcPr>
            <w:tcW w:w="1743" w:type="dxa"/>
            <w:tcBorders>
              <w:top w:val="single" w:sz="6" w:space="0" w:color="auto"/>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5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Longitud Oeste (GGMMSS.SS)</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w:t>
            </w:r>
          </w:p>
        </w:tc>
        <w:tc>
          <w:tcPr>
            <w:tcW w:w="231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San Quintín</w:t>
            </w:r>
          </w:p>
        </w:tc>
        <w:tc>
          <w:tcPr>
            <w:tcW w:w="12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Baja California</w:t>
            </w:r>
          </w:p>
        </w:tc>
        <w:tc>
          <w:tcPr>
            <w:tcW w:w="127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AA</w:t>
            </w:r>
          </w:p>
        </w:tc>
        <w:tc>
          <w:tcPr>
            <w:tcW w:w="166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30°33'37"</w:t>
            </w:r>
          </w:p>
        </w:tc>
        <w:tc>
          <w:tcPr>
            <w:tcW w:w="17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115°56'33"</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w:t>
            </w:r>
          </w:p>
        </w:tc>
        <w:tc>
          <w:tcPr>
            <w:tcW w:w="231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Ciudad del Carmen</w:t>
            </w:r>
          </w:p>
        </w:tc>
        <w:tc>
          <w:tcPr>
            <w:tcW w:w="12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Campeche</w:t>
            </w:r>
          </w:p>
        </w:tc>
        <w:tc>
          <w:tcPr>
            <w:tcW w:w="127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B1</w:t>
            </w:r>
          </w:p>
        </w:tc>
        <w:tc>
          <w:tcPr>
            <w:tcW w:w="166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18°38'18"</w:t>
            </w:r>
          </w:p>
        </w:tc>
        <w:tc>
          <w:tcPr>
            <w:tcW w:w="17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91°50'07"</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3</w:t>
            </w:r>
          </w:p>
        </w:tc>
        <w:tc>
          <w:tcPr>
            <w:tcW w:w="231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San Francisco de Campeche</w:t>
            </w:r>
          </w:p>
        </w:tc>
        <w:tc>
          <w:tcPr>
            <w:tcW w:w="12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Campeche</w:t>
            </w:r>
          </w:p>
        </w:tc>
        <w:tc>
          <w:tcPr>
            <w:tcW w:w="127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66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19°50'45"</w:t>
            </w:r>
          </w:p>
        </w:tc>
        <w:tc>
          <w:tcPr>
            <w:tcW w:w="17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90°32'12"</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4</w:t>
            </w:r>
          </w:p>
        </w:tc>
        <w:tc>
          <w:tcPr>
            <w:tcW w:w="231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proofErr w:type="spellStart"/>
            <w:r w:rsidRPr="005B12CA">
              <w:rPr>
                <w:rFonts w:ascii="Arial" w:eastAsia="Times New Roman" w:hAnsi="Arial" w:cs="Arial"/>
                <w:b/>
                <w:sz w:val="16"/>
                <w:szCs w:val="16"/>
                <w:u w:val="single"/>
                <w:lang w:val="es-ES" w:eastAsia="es-ES"/>
              </w:rPr>
              <w:t>Xpujil</w:t>
            </w:r>
            <w:proofErr w:type="spellEnd"/>
          </w:p>
        </w:tc>
        <w:tc>
          <w:tcPr>
            <w:tcW w:w="12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Campeche</w:t>
            </w:r>
          </w:p>
        </w:tc>
        <w:tc>
          <w:tcPr>
            <w:tcW w:w="127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AA</w:t>
            </w:r>
          </w:p>
        </w:tc>
        <w:tc>
          <w:tcPr>
            <w:tcW w:w="166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18°30'20"</w:t>
            </w:r>
          </w:p>
        </w:tc>
        <w:tc>
          <w:tcPr>
            <w:tcW w:w="17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89°23'50"</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5</w:t>
            </w:r>
          </w:p>
        </w:tc>
        <w:tc>
          <w:tcPr>
            <w:tcW w:w="231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Chihuahua</w:t>
            </w:r>
            <w:r w:rsidRPr="005B12CA">
              <w:rPr>
                <w:rFonts w:ascii="Arial" w:eastAsia="Times New Roman" w:hAnsi="Arial" w:cs="Arial"/>
                <w:sz w:val="18"/>
                <w:szCs w:val="20"/>
                <w:vertAlign w:val="superscript"/>
                <w:lang w:val="es-ES" w:eastAsia="es-ES"/>
              </w:rPr>
              <w:footnoteReference w:id="17"/>
            </w:r>
          </w:p>
        </w:tc>
        <w:tc>
          <w:tcPr>
            <w:tcW w:w="12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Chihuahua</w:t>
            </w:r>
          </w:p>
        </w:tc>
        <w:tc>
          <w:tcPr>
            <w:tcW w:w="127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66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28°38'07"</w:t>
            </w:r>
          </w:p>
        </w:tc>
        <w:tc>
          <w:tcPr>
            <w:tcW w:w="17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106°05'20"</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6</w:t>
            </w:r>
          </w:p>
        </w:tc>
        <w:tc>
          <w:tcPr>
            <w:tcW w:w="231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proofErr w:type="spellStart"/>
            <w:r w:rsidRPr="005B12CA">
              <w:rPr>
                <w:rFonts w:ascii="Arial" w:eastAsia="Times New Roman" w:hAnsi="Arial" w:cs="Arial"/>
                <w:b/>
                <w:sz w:val="16"/>
                <w:szCs w:val="16"/>
                <w:u w:val="single"/>
                <w:lang w:val="es-ES" w:eastAsia="es-ES"/>
              </w:rPr>
              <w:t>Guachochi</w:t>
            </w:r>
            <w:proofErr w:type="spellEnd"/>
          </w:p>
        </w:tc>
        <w:tc>
          <w:tcPr>
            <w:tcW w:w="12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Chihuahua</w:t>
            </w:r>
          </w:p>
        </w:tc>
        <w:tc>
          <w:tcPr>
            <w:tcW w:w="127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AA</w:t>
            </w:r>
          </w:p>
        </w:tc>
        <w:tc>
          <w:tcPr>
            <w:tcW w:w="166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26°49'10"</w:t>
            </w:r>
          </w:p>
        </w:tc>
        <w:tc>
          <w:tcPr>
            <w:tcW w:w="17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107°04'12"</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7</w:t>
            </w:r>
          </w:p>
        </w:tc>
        <w:tc>
          <w:tcPr>
            <w:tcW w:w="231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 xml:space="preserve">Santa María de </w:t>
            </w:r>
            <w:proofErr w:type="spellStart"/>
            <w:r w:rsidRPr="005B12CA">
              <w:rPr>
                <w:rFonts w:ascii="Arial" w:eastAsia="Times New Roman" w:hAnsi="Arial" w:cs="Arial"/>
                <w:b/>
                <w:sz w:val="16"/>
                <w:szCs w:val="16"/>
                <w:u w:val="single"/>
                <w:lang w:val="es-ES" w:eastAsia="es-ES"/>
              </w:rPr>
              <w:t>Ocotán</w:t>
            </w:r>
            <w:proofErr w:type="spellEnd"/>
          </w:p>
        </w:tc>
        <w:tc>
          <w:tcPr>
            <w:tcW w:w="12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Durango</w:t>
            </w:r>
          </w:p>
        </w:tc>
        <w:tc>
          <w:tcPr>
            <w:tcW w:w="127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AA</w:t>
            </w:r>
          </w:p>
        </w:tc>
        <w:tc>
          <w:tcPr>
            <w:tcW w:w="166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22°55'00"</w:t>
            </w:r>
          </w:p>
        </w:tc>
        <w:tc>
          <w:tcPr>
            <w:tcW w:w="17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104°35'58"</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8</w:t>
            </w:r>
          </w:p>
        </w:tc>
        <w:tc>
          <w:tcPr>
            <w:tcW w:w="231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Atlacomulco de Fabela y Cerrito Colorado</w:t>
            </w:r>
            <w:r w:rsidRPr="005B12CA">
              <w:rPr>
                <w:rFonts w:ascii="Arial" w:eastAsia="Times New Roman" w:hAnsi="Arial" w:cs="Arial"/>
                <w:sz w:val="18"/>
                <w:szCs w:val="20"/>
                <w:vertAlign w:val="superscript"/>
                <w:lang w:val="es-ES" w:eastAsia="es-ES"/>
              </w:rPr>
              <w:footnoteReference w:id="18"/>
            </w:r>
          </w:p>
        </w:tc>
        <w:tc>
          <w:tcPr>
            <w:tcW w:w="12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Estado de México</w:t>
            </w:r>
          </w:p>
        </w:tc>
        <w:tc>
          <w:tcPr>
            <w:tcW w:w="127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66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19°53'07"</w:t>
            </w:r>
          </w:p>
        </w:tc>
        <w:tc>
          <w:tcPr>
            <w:tcW w:w="17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99°52'26"</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w:t>
            </w:r>
          </w:p>
        </w:tc>
        <w:tc>
          <w:tcPr>
            <w:tcW w:w="231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Toluca de Lerdo</w:t>
            </w:r>
            <w:r w:rsidRPr="005B12CA">
              <w:rPr>
                <w:rFonts w:ascii="Arial" w:eastAsia="Times New Roman" w:hAnsi="Arial" w:cs="Arial"/>
                <w:sz w:val="18"/>
                <w:szCs w:val="20"/>
                <w:vertAlign w:val="superscript"/>
                <w:lang w:val="es-ES" w:eastAsia="es-ES"/>
              </w:rPr>
              <w:footnoteReference w:id="19"/>
            </w:r>
          </w:p>
        </w:tc>
        <w:tc>
          <w:tcPr>
            <w:tcW w:w="12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Estado de México</w:t>
            </w:r>
          </w:p>
        </w:tc>
        <w:tc>
          <w:tcPr>
            <w:tcW w:w="127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66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19°17'32"</w:t>
            </w:r>
          </w:p>
        </w:tc>
        <w:tc>
          <w:tcPr>
            <w:tcW w:w="17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99°39'14"</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w:t>
            </w:r>
          </w:p>
        </w:tc>
        <w:tc>
          <w:tcPr>
            <w:tcW w:w="231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Toluca de Lerdo</w:t>
            </w:r>
            <w:r w:rsidRPr="005B12CA">
              <w:rPr>
                <w:rFonts w:ascii="Arial" w:eastAsia="Times New Roman" w:hAnsi="Arial" w:cs="Arial"/>
                <w:sz w:val="18"/>
                <w:szCs w:val="20"/>
                <w:vertAlign w:val="superscript"/>
                <w:lang w:val="es-ES" w:eastAsia="es-ES"/>
              </w:rPr>
              <w:footnoteReference w:id="20"/>
            </w:r>
          </w:p>
        </w:tc>
        <w:tc>
          <w:tcPr>
            <w:tcW w:w="12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Estado de México</w:t>
            </w:r>
          </w:p>
        </w:tc>
        <w:tc>
          <w:tcPr>
            <w:tcW w:w="127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66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19°17'32"</w:t>
            </w:r>
          </w:p>
        </w:tc>
        <w:tc>
          <w:tcPr>
            <w:tcW w:w="17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99°39'14"</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11</w:t>
            </w:r>
          </w:p>
        </w:tc>
        <w:tc>
          <w:tcPr>
            <w:tcW w:w="231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proofErr w:type="spellStart"/>
            <w:r w:rsidRPr="005B12CA">
              <w:rPr>
                <w:rFonts w:ascii="Arial" w:eastAsia="Times New Roman" w:hAnsi="Arial" w:cs="Arial"/>
                <w:b/>
                <w:sz w:val="16"/>
                <w:szCs w:val="16"/>
                <w:u w:val="single"/>
                <w:lang w:val="es-ES" w:eastAsia="es-ES"/>
              </w:rPr>
              <w:t>Atlamajac</w:t>
            </w:r>
            <w:proofErr w:type="spellEnd"/>
          </w:p>
        </w:tc>
        <w:tc>
          <w:tcPr>
            <w:tcW w:w="12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Guerrero</w:t>
            </w:r>
          </w:p>
        </w:tc>
        <w:tc>
          <w:tcPr>
            <w:tcW w:w="127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66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17°33'19"</w:t>
            </w:r>
          </w:p>
        </w:tc>
        <w:tc>
          <w:tcPr>
            <w:tcW w:w="17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98°32'50"</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12</w:t>
            </w:r>
          </w:p>
        </w:tc>
        <w:tc>
          <w:tcPr>
            <w:tcW w:w="231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Iguala de la Independencia</w:t>
            </w:r>
          </w:p>
        </w:tc>
        <w:tc>
          <w:tcPr>
            <w:tcW w:w="12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Guerrero</w:t>
            </w:r>
          </w:p>
        </w:tc>
        <w:tc>
          <w:tcPr>
            <w:tcW w:w="127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66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18°20'41"</w:t>
            </w:r>
          </w:p>
        </w:tc>
        <w:tc>
          <w:tcPr>
            <w:tcW w:w="17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99°32'34"</w:t>
            </w:r>
          </w:p>
        </w:tc>
      </w:tr>
    </w:tbl>
    <w:p w:rsidR="005B12CA" w:rsidRPr="005B12CA" w:rsidRDefault="005B12CA" w:rsidP="005B12CA">
      <w:pPr>
        <w:spacing w:after="0" w:line="240" w:lineRule="auto"/>
        <w:rPr>
          <w:rFonts w:ascii="Times New Roman" w:eastAsia="Times New Roman" w:hAnsi="Times New Roman" w:cs="Times New Roman"/>
          <w:sz w:val="2"/>
          <w:szCs w:val="24"/>
          <w:lang w:val="es-ES" w:eastAsia="es-ES"/>
        </w:rPr>
      </w:pPr>
    </w:p>
    <w:tbl>
      <w:tblPr>
        <w:tblW w:w="8712" w:type="dxa"/>
        <w:tblInd w:w="144" w:type="dxa"/>
        <w:tblLayout w:type="fixed"/>
        <w:tblCellMar>
          <w:left w:w="72" w:type="dxa"/>
          <w:right w:w="72" w:type="dxa"/>
        </w:tblCellMar>
        <w:tblLook w:val="0000" w:firstRow="0" w:lastRow="0" w:firstColumn="0" w:lastColumn="0" w:noHBand="0" w:noVBand="0"/>
      </w:tblPr>
      <w:tblGrid>
        <w:gridCol w:w="425"/>
        <w:gridCol w:w="2319"/>
        <w:gridCol w:w="1289"/>
        <w:gridCol w:w="1272"/>
        <w:gridCol w:w="1664"/>
        <w:gridCol w:w="1743"/>
      </w:tblGrid>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13</w:t>
            </w:r>
          </w:p>
        </w:tc>
        <w:tc>
          <w:tcPr>
            <w:tcW w:w="231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Ometepec</w:t>
            </w:r>
          </w:p>
        </w:tc>
        <w:tc>
          <w:tcPr>
            <w:tcW w:w="12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Guerrero</w:t>
            </w:r>
          </w:p>
        </w:tc>
        <w:tc>
          <w:tcPr>
            <w:tcW w:w="127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66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16°41'29"</w:t>
            </w:r>
          </w:p>
        </w:tc>
        <w:tc>
          <w:tcPr>
            <w:tcW w:w="17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98°24'54"</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14</w:t>
            </w:r>
          </w:p>
        </w:tc>
        <w:tc>
          <w:tcPr>
            <w:tcW w:w="231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Apatzingán de la Constitución</w:t>
            </w:r>
          </w:p>
        </w:tc>
        <w:tc>
          <w:tcPr>
            <w:tcW w:w="12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Michoacán</w:t>
            </w:r>
          </w:p>
        </w:tc>
        <w:tc>
          <w:tcPr>
            <w:tcW w:w="127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A</w:t>
            </w:r>
          </w:p>
        </w:tc>
        <w:tc>
          <w:tcPr>
            <w:tcW w:w="166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19°05'19"</w:t>
            </w:r>
          </w:p>
        </w:tc>
        <w:tc>
          <w:tcPr>
            <w:tcW w:w="17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102°21'03"</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15</w:t>
            </w:r>
          </w:p>
        </w:tc>
        <w:tc>
          <w:tcPr>
            <w:tcW w:w="231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Uruapan</w:t>
            </w:r>
          </w:p>
        </w:tc>
        <w:tc>
          <w:tcPr>
            <w:tcW w:w="12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Michoacán</w:t>
            </w:r>
          </w:p>
        </w:tc>
        <w:tc>
          <w:tcPr>
            <w:tcW w:w="127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A</w:t>
            </w:r>
          </w:p>
        </w:tc>
        <w:tc>
          <w:tcPr>
            <w:tcW w:w="166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19°25'10"</w:t>
            </w:r>
          </w:p>
        </w:tc>
        <w:tc>
          <w:tcPr>
            <w:tcW w:w="17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102°03'30"</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16</w:t>
            </w:r>
          </w:p>
        </w:tc>
        <w:tc>
          <w:tcPr>
            <w:tcW w:w="231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Jesús María</w:t>
            </w:r>
          </w:p>
        </w:tc>
        <w:tc>
          <w:tcPr>
            <w:tcW w:w="12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Nayarit</w:t>
            </w:r>
          </w:p>
        </w:tc>
        <w:tc>
          <w:tcPr>
            <w:tcW w:w="127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66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22°15'03"</w:t>
            </w:r>
          </w:p>
        </w:tc>
        <w:tc>
          <w:tcPr>
            <w:tcW w:w="17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104°31'02"</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17</w:t>
            </w:r>
          </w:p>
        </w:tc>
        <w:tc>
          <w:tcPr>
            <w:tcW w:w="231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color w:val="000000"/>
                <w:sz w:val="16"/>
                <w:szCs w:val="16"/>
                <w:u w:val="single"/>
                <w:lang w:val="es-ES" w:eastAsia="es-ES"/>
              </w:rPr>
              <w:t>Doctor Arroyo</w:t>
            </w:r>
            <w:r w:rsidRPr="005B12CA">
              <w:rPr>
                <w:rFonts w:ascii="Arial" w:eastAsia="Times New Roman" w:hAnsi="Arial" w:cs="Arial"/>
                <w:sz w:val="18"/>
                <w:szCs w:val="20"/>
                <w:vertAlign w:val="superscript"/>
                <w:lang w:val="es-ES" w:eastAsia="es-ES"/>
              </w:rPr>
              <w:footnoteReference w:id="21"/>
            </w:r>
          </w:p>
        </w:tc>
        <w:tc>
          <w:tcPr>
            <w:tcW w:w="12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color w:val="000000"/>
                <w:sz w:val="16"/>
                <w:szCs w:val="16"/>
                <w:u w:val="single"/>
                <w:lang w:val="es-ES" w:eastAsia="es-ES"/>
              </w:rPr>
              <w:t>Nuevo León</w:t>
            </w:r>
          </w:p>
        </w:tc>
        <w:tc>
          <w:tcPr>
            <w:tcW w:w="127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color w:val="000000"/>
                <w:sz w:val="16"/>
                <w:szCs w:val="16"/>
                <w:u w:val="single"/>
                <w:lang w:val="es-ES" w:eastAsia="es-ES"/>
              </w:rPr>
              <w:t>Clase de Estación A</w:t>
            </w:r>
          </w:p>
        </w:tc>
        <w:tc>
          <w:tcPr>
            <w:tcW w:w="166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color w:val="000000"/>
                <w:sz w:val="16"/>
                <w:szCs w:val="16"/>
                <w:u w:val="single"/>
                <w:lang w:val="es-ES" w:eastAsia="es-ES"/>
              </w:rPr>
              <w:t>23°40'23"</w:t>
            </w:r>
          </w:p>
        </w:tc>
        <w:tc>
          <w:tcPr>
            <w:tcW w:w="17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color w:val="000000"/>
                <w:sz w:val="16"/>
                <w:szCs w:val="16"/>
                <w:u w:val="single"/>
                <w:lang w:val="es-ES" w:eastAsia="es-ES"/>
              </w:rPr>
              <w:t>100°10'48"</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lastRenderedPageBreak/>
              <w:t>18</w:t>
            </w:r>
          </w:p>
        </w:tc>
        <w:tc>
          <w:tcPr>
            <w:tcW w:w="231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Linares</w:t>
            </w:r>
            <w:r w:rsidRPr="005B12CA">
              <w:rPr>
                <w:rFonts w:ascii="Arial" w:eastAsia="Times New Roman" w:hAnsi="Arial" w:cs="Arial"/>
                <w:b/>
                <w:color w:val="000000"/>
                <w:sz w:val="16"/>
                <w:szCs w:val="16"/>
                <w:lang w:val="es-ES" w:eastAsia="es-ES"/>
              </w:rPr>
              <w:t xml:space="preserve">, </w:t>
            </w:r>
            <w:proofErr w:type="spellStart"/>
            <w:r w:rsidRPr="005B12CA">
              <w:rPr>
                <w:rFonts w:ascii="Arial" w:eastAsia="Times New Roman" w:hAnsi="Arial" w:cs="Arial"/>
                <w:b/>
                <w:color w:val="000000"/>
                <w:sz w:val="16"/>
                <w:szCs w:val="16"/>
                <w:u w:val="single"/>
                <w:lang w:val="es-ES" w:eastAsia="es-ES"/>
              </w:rPr>
              <w:t>Hualahuises</w:t>
            </w:r>
            <w:proofErr w:type="spellEnd"/>
          </w:p>
        </w:tc>
        <w:tc>
          <w:tcPr>
            <w:tcW w:w="12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Nuevo León</w:t>
            </w:r>
          </w:p>
        </w:tc>
        <w:tc>
          <w:tcPr>
            <w:tcW w:w="127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Clase de Estación A</w:t>
            </w:r>
          </w:p>
        </w:tc>
        <w:tc>
          <w:tcPr>
            <w:tcW w:w="166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24°51'36"</w:t>
            </w:r>
          </w:p>
        </w:tc>
        <w:tc>
          <w:tcPr>
            <w:tcW w:w="17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99°34'00"</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19</w:t>
            </w:r>
          </w:p>
        </w:tc>
        <w:tc>
          <w:tcPr>
            <w:tcW w:w="231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Monterrey</w:t>
            </w:r>
            <w:r w:rsidRPr="005B12CA">
              <w:rPr>
                <w:rFonts w:ascii="Arial" w:eastAsia="Times New Roman" w:hAnsi="Arial" w:cs="Arial"/>
                <w:sz w:val="18"/>
                <w:szCs w:val="20"/>
                <w:vertAlign w:val="superscript"/>
                <w:lang w:val="es-ES" w:eastAsia="es-ES"/>
              </w:rPr>
              <w:footnoteReference w:id="22"/>
            </w:r>
          </w:p>
        </w:tc>
        <w:tc>
          <w:tcPr>
            <w:tcW w:w="12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Nuevo León</w:t>
            </w:r>
          </w:p>
        </w:tc>
        <w:tc>
          <w:tcPr>
            <w:tcW w:w="127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Clase de Estación A</w:t>
            </w:r>
          </w:p>
        </w:tc>
        <w:tc>
          <w:tcPr>
            <w:tcW w:w="166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25°40'17"</w:t>
            </w:r>
          </w:p>
        </w:tc>
        <w:tc>
          <w:tcPr>
            <w:tcW w:w="17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100°18'31"</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20</w:t>
            </w:r>
          </w:p>
        </w:tc>
        <w:tc>
          <w:tcPr>
            <w:tcW w:w="231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color w:val="000000"/>
                <w:sz w:val="16"/>
                <w:szCs w:val="16"/>
                <w:u w:val="single"/>
                <w:lang w:val="es-ES" w:eastAsia="es-ES"/>
              </w:rPr>
            </w:pPr>
            <w:proofErr w:type="spellStart"/>
            <w:r w:rsidRPr="005B12CA">
              <w:rPr>
                <w:rFonts w:ascii="Arial" w:eastAsia="Times New Roman" w:hAnsi="Arial" w:cs="Arial"/>
                <w:b/>
                <w:color w:val="000000"/>
                <w:sz w:val="16"/>
                <w:szCs w:val="16"/>
                <w:u w:val="single"/>
                <w:lang w:val="es-ES" w:eastAsia="es-ES"/>
              </w:rPr>
              <w:t>Jalpan</w:t>
            </w:r>
            <w:proofErr w:type="spellEnd"/>
            <w:r w:rsidRPr="005B12CA">
              <w:rPr>
                <w:rFonts w:ascii="Arial" w:eastAsia="Times New Roman" w:hAnsi="Arial" w:cs="Arial"/>
                <w:b/>
                <w:color w:val="000000"/>
                <w:sz w:val="16"/>
                <w:szCs w:val="16"/>
                <w:u w:val="single"/>
                <w:lang w:val="es-ES" w:eastAsia="es-ES"/>
              </w:rPr>
              <w:t xml:space="preserve"> de Serra</w:t>
            </w:r>
            <w:r w:rsidRPr="005B12CA">
              <w:rPr>
                <w:rFonts w:ascii="Arial" w:eastAsia="Times New Roman" w:hAnsi="Arial" w:cs="Arial"/>
                <w:sz w:val="18"/>
                <w:szCs w:val="20"/>
                <w:vertAlign w:val="superscript"/>
                <w:lang w:val="es-ES" w:eastAsia="es-ES"/>
              </w:rPr>
              <w:footnoteReference w:id="23"/>
            </w:r>
          </w:p>
        </w:tc>
        <w:tc>
          <w:tcPr>
            <w:tcW w:w="12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Querétaro</w:t>
            </w:r>
          </w:p>
        </w:tc>
        <w:tc>
          <w:tcPr>
            <w:tcW w:w="127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Clase de Estación A</w:t>
            </w:r>
          </w:p>
        </w:tc>
        <w:tc>
          <w:tcPr>
            <w:tcW w:w="166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21°11'57"</w:t>
            </w:r>
          </w:p>
        </w:tc>
        <w:tc>
          <w:tcPr>
            <w:tcW w:w="17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99°26'57"</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21</w:t>
            </w:r>
          </w:p>
        </w:tc>
        <w:tc>
          <w:tcPr>
            <w:tcW w:w="231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José María Morelos</w:t>
            </w:r>
          </w:p>
        </w:tc>
        <w:tc>
          <w:tcPr>
            <w:tcW w:w="12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Quintana Roo</w:t>
            </w:r>
          </w:p>
        </w:tc>
        <w:tc>
          <w:tcPr>
            <w:tcW w:w="127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Clase de Estación AA</w:t>
            </w:r>
          </w:p>
        </w:tc>
        <w:tc>
          <w:tcPr>
            <w:tcW w:w="166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19°44'46"</w:t>
            </w:r>
          </w:p>
        </w:tc>
        <w:tc>
          <w:tcPr>
            <w:tcW w:w="17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88°42'45"</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22</w:t>
            </w:r>
          </w:p>
        </w:tc>
        <w:tc>
          <w:tcPr>
            <w:tcW w:w="231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Culiacán Rosales</w:t>
            </w:r>
          </w:p>
        </w:tc>
        <w:tc>
          <w:tcPr>
            <w:tcW w:w="12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Sinaloa</w:t>
            </w:r>
          </w:p>
        </w:tc>
        <w:tc>
          <w:tcPr>
            <w:tcW w:w="127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A</w:t>
            </w:r>
          </w:p>
        </w:tc>
        <w:tc>
          <w:tcPr>
            <w:tcW w:w="166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24°47'31"</w:t>
            </w:r>
          </w:p>
        </w:tc>
        <w:tc>
          <w:tcPr>
            <w:tcW w:w="17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107°23'53"</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23</w:t>
            </w:r>
          </w:p>
        </w:tc>
        <w:tc>
          <w:tcPr>
            <w:tcW w:w="231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Los Mochis</w:t>
            </w:r>
          </w:p>
        </w:tc>
        <w:tc>
          <w:tcPr>
            <w:tcW w:w="12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Sinaloa</w:t>
            </w:r>
          </w:p>
        </w:tc>
        <w:tc>
          <w:tcPr>
            <w:tcW w:w="127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66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25°47'37"</w:t>
            </w:r>
          </w:p>
        </w:tc>
        <w:tc>
          <w:tcPr>
            <w:tcW w:w="17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108°49'59"</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24</w:t>
            </w:r>
          </w:p>
        </w:tc>
        <w:tc>
          <w:tcPr>
            <w:tcW w:w="231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Mazatlán</w:t>
            </w:r>
          </w:p>
        </w:tc>
        <w:tc>
          <w:tcPr>
            <w:tcW w:w="12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Sinaloa</w:t>
            </w:r>
          </w:p>
        </w:tc>
        <w:tc>
          <w:tcPr>
            <w:tcW w:w="127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B1</w:t>
            </w:r>
          </w:p>
        </w:tc>
        <w:tc>
          <w:tcPr>
            <w:tcW w:w="166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23°14'29"</w:t>
            </w:r>
          </w:p>
        </w:tc>
        <w:tc>
          <w:tcPr>
            <w:tcW w:w="17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106°24'35"</w:t>
            </w:r>
          </w:p>
        </w:tc>
      </w:tr>
    </w:tbl>
    <w:p w:rsidR="005B12CA" w:rsidRPr="005B12CA" w:rsidRDefault="005B12CA" w:rsidP="005B12CA">
      <w:pPr>
        <w:spacing w:after="101" w:line="256" w:lineRule="exact"/>
        <w:ind w:firstLine="288"/>
        <w:jc w:val="both"/>
        <w:rPr>
          <w:rFonts w:ascii="Arial" w:eastAsia="Times New Roman" w:hAnsi="Arial" w:cs="Arial"/>
          <w:b/>
          <w:sz w:val="18"/>
          <w:lang w:val="es-ES" w:eastAsia="es-ES"/>
        </w:rPr>
      </w:pPr>
    </w:p>
    <w:p w:rsidR="005B12CA" w:rsidRPr="005B12CA" w:rsidRDefault="005B12CA" w:rsidP="005B12CA">
      <w:pPr>
        <w:spacing w:after="101" w:line="256" w:lineRule="exact"/>
        <w:ind w:left="1526" w:hanging="648"/>
        <w:jc w:val="both"/>
        <w:rPr>
          <w:rFonts w:ascii="Arial" w:eastAsia="Times New Roman" w:hAnsi="Arial" w:cs="Arial"/>
          <w:b/>
          <w:sz w:val="18"/>
          <w:lang w:val="es-ES" w:eastAsia="es-ES"/>
        </w:rPr>
      </w:pPr>
      <w:r w:rsidRPr="005B12CA">
        <w:rPr>
          <w:rFonts w:ascii="Arial" w:eastAsia="Times New Roman" w:hAnsi="Arial" w:cs="Arial"/>
          <w:b/>
          <w:sz w:val="18"/>
          <w:lang w:val="es-ES" w:eastAsia="es-ES"/>
        </w:rPr>
        <w:t>2.2.2.3</w:t>
      </w:r>
      <w:r w:rsidRPr="005B12CA">
        <w:rPr>
          <w:rFonts w:ascii="Arial" w:eastAsia="Times New Roman" w:hAnsi="Arial" w:cs="Arial"/>
          <w:b/>
          <w:sz w:val="18"/>
          <w:lang w:val="es-ES" w:eastAsia="es-ES"/>
        </w:rPr>
        <w:tab/>
        <w:t>FM – Uso Social</w:t>
      </w:r>
    </w:p>
    <w:tbl>
      <w:tblPr>
        <w:tblW w:w="8712" w:type="dxa"/>
        <w:tblInd w:w="144" w:type="dxa"/>
        <w:tblLayout w:type="fixed"/>
        <w:tblCellMar>
          <w:left w:w="72" w:type="dxa"/>
          <w:right w:w="72" w:type="dxa"/>
        </w:tblCellMar>
        <w:tblLook w:val="0000" w:firstRow="0" w:lastRow="0" w:firstColumn="0" w:lastColumn="0" w:noHBand="0" w:noVBand="0"/>
      </w:tblPr>
      <w:tblGrid>
        <w:gridCol w:w="425"/>
        <w:gridCol w:w="2801"/>
        <w:gridCol w:w="1231"/>
        <w:gridCol w:w="1140"/>
        <w:gridCol w:w="1530"/>
        <w:gridCol w:w="1585"/>
      </w:tblGrid>
      <w:tr w:rsidR="005B12CA" w:rsidRPr="005B12CA" w:rsidTr="004A714B">
        <w:trPr>
          <w:trHeight w:val="20"/>
        </w:trPr>
        <w:tc>
          <w:tcPr>
            <w:tcW w:w="425"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5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No</w:t>
            </w:r>
          </w:p>
        </w:tc>
        <w:tc>
          <w:tcPr>
            <w:tcW w:w="2801"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5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Localidad(es) principal(es) a servir</w:t>
            </w:r>
          </w:p>
        </w:tc>
        <w:tc>
          <w:tcPr>
            <w:tcW w:w="1231"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5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Estado</w:t>
            </w:r>
          </w:p>
        </w:tc>
        <w:tc>
          <w:tcPr>
            <w:tcW w:w="1140"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5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Clase de Estación</w:t>
            </w:r>
          </w:p>
        </w:tc>
        <w:tc>
          <w:tcPr>
            <w:tcW w:w="3115"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5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Coordenadas Geográficas de Referencia</w:t>
            </w:r>
          </w:p>
        </w:tc>
      </w:tr>
      <w:tr w:rsidR="005B12CA" w:rsidRPr="005B12CA" w:rsidTr="004A714B">
        <w:trPr>
          <w:trHeight w:val="20"/>
        </w:trPr>
        <w:tc>
          <w:tcPr>
            <w:tcW w:w="425"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56" w:lineRule="exact"/>
              <w:jc w:val="center"/>
              <w:rPr>
                <w:rFonts w:ascii="Arial" w:eastAsia="Times New Roman" w:hAnsi="Arial" w:cs="Arial"/>
                <w:b/>
                <w:sz w:val="16"/>
                <w:szCs w:val="16"/>
                <w:lang w:val="es-ES" w:eastAsia="es-ES"/>
              </w:rPr>
            </w:pPr>
          </w:p>
        </w:tc>
        <w:tc>
          <w:tcPr>
            <w:tcW w:w="2801"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56" w:lineRule="exact"/>
              <w:jc w:val="center"/>
              <w:rPr>
                <w:rFonts w:ascii="Arial" w:eastAsia="Times New Roman" w:hAnsi="Arial" w:cs="Arial"/>
                <w:b/>
                <w:sz w:val="16"/>
                <w:szCs w:val="16"/>
                <w:lang w:val="es-ES" w:eastAsia="es-ES"/>
              </w:rPr>
            </w:pPr>
          </w:p>
        </w:tc>
        <w:tc>
          <w:tcPr>
            <w:tcW w:w="1231"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56" w:lineRule="exact"/>
              <w:jc w:val="center"/>
              <w:rPr>
                <w:rFonts w:ascii="Arial" w:eastAsia="Times New Roman" w:hAnsi="Arial" w:cs="Arial"/>
                <w:b/>
                <w:sz w:val="16"/>
                <w:szCs w:val="16"/>
                <w:lang w:val="es-ES" w:eastAsia="es-ES"/>
              </w:rPr>
            </w:pPr>
          </w:p>
        </w:tc>
        <w:tc>
          <w:tcPr>
            <w:tcW w:w="1140"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56" w:lineRule="exact"/>
              <w:jc w:val="center"/>
              <w:rPr>
                <w:rFonts w:ascii="Arial" w:eastAsia="Times New Roman" w:hAnsi="Arial" w:cs="Arial"/>
                <w:b/>
                <w:sz w:val="16"/>
                <w:szCs w:val="16"/>
                <w:lang w:val="es-ES" w:eastAsia="es-ES"/>
              </w:rPr>
            </w:pPr>
          </w:p>
        </w:tc>
        <w:tc>
          <w:tcPr>
            <w:tcW w:w="1530" w:type="dxa"/>
            <w:tcBorders>
              <w:top w:val="single" w:sz="6" w:space="0" w:color="auto"/>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5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Latitud Norte (GGMMSS.SS)</w:t>
            </w:r>
          </w:p>
        </w:tc>
        <w:tc>
          <w:tcPr>
            <w:tcW w:w="1585" w:type="dxa"/>
            <w:tcBorders>
              <w:top w:val="single" w:sz="6" w:space="0" w:color="auto"/>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5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Longitud Oeste (GGMMSS.SS)</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 xml:space="preserve">Villa Alberto Andrés Alvarado </w:t>
            </w:r>
            <w:proofErr w:type="spellStart"/>
            <w:r w:rsidRPr="005B12CA">
              <w:rPr>
                <w:rFonts w:ascii="Arial" w:eastAsia="Times New Roman" w:hAnsi="Arial" w:cs="Arial"/>
                <w:sz w:val="16"/>
                <w:szCs w:val="16"/>
                <w:lang w:val="es-ES" w:eastAsia="es-ES"/>
              </w:rPr>
              <w:t>Arámburo</w:t>
            </w:r>
            <w:proofErr w:type="spellEnd"/>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Baja California Sur</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AA</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27°38'40"</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113°23'05"</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proofErr w:type="spellStart"/>
            <w:r w:rsidRPr="005B12CA">
              <w:rPr>
                <w:rFonts w:ascii="Arial" w:eastAsia="Times New Roman" w:hAnsi="Arial" w:cs="Arial"/>
                <w:sz w:val="16"/>
                <w:szCs w:val="16"/>
                <w:lang w:val="es-ES" w:eastAsia="es-ES"/>
              </w:rPr>
              <w:t>Bolonchén</w:t>
            </w:r>
            <w:proofErr w:type="spellEnd"/>
            <w:r w:rsidRPr="005B12CA">
              <w:rPr>
                <w:rFonts w:ascii="Arial" w:eastAsia="Times New Roman" w:hAnsi="Arial" w:cs="Arial"/>
                <w:sz w:val="16"/>
                <w:szCs w:val="16"/>
                <w:lang w:val="es-ES" w:eastAsia="es-ES"/>
              </w:rPr>
              <w:t xml:space="preserve"> de Rejón</w:t>
            </w:r>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Campeche</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D</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20°00'15"</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89°44'51"</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3</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proofErr w:type="spellStart"/>
            <w:r w:rsidRPr="005B12CA">
              <w:rPr>
                <w:rFonts w:ascii="Arial" w:eastAsia="Times New Roman" w:hAnsi="Arial" w:cs="Arial"/>
                <w:b/>
                <w:sz w:val="16"/>
                <w:szCs w:val="16"/>
                <w:u w:val="single"/>
                <w:lang w:val="es-ES" w:eastAsia="es-ES"/>
              </w:rPr>
              <w:t>Mapastepec</w:t>
            </w:r>
            <w:proofErr w:type="spellEnd"/>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Chiapas</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15°26'30"</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92°53'30"</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4</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proofErr w:type="spellStart"/>
            <w:r w:rsidRPr="005B12CA">
              <w:rPr>
                <w:rFonts w:ascii="Arial" w:eastAsia="Times New Roman" w:hAnsi="Arial" w:cs="Arial"/>
                <w:b/>
                <w:sz w:val="16"/>
                <w:szCs w:val="16"/>
                <w:u w:val="single"/>
                <w:lang w:val="es-ES" w:eastAsia="es-ES"/>
              </w:rPr>
              <w:t>Pijijiapan</w:t>
            </w:r>
            <w:proofErr w:type="spellEnd"/>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Chiapas</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AA</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15°41'12"</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93°12'33"</w:t>
            </w:r>
          </w:p>
        </w:tc>
      </w:tr>
    </w:tbl>
    <w:p w:rsidR="005B12CA" w:rsidRPr="005B12CA" w:rsidRDefault="005B12CA" w:rsidP="005B12CA">
      <w:pPr>
        <w:spacing w:after="0" w:line="240" w:lineRule="auto"/>
        <w:rPr>
          <w:rFonts w:ascii="Times New Roman" w:eastAsia="Times New Roman" w:hAnsi="Times New Roman" w:cs="Times New Roman"/>
          <w:sz w:val="2"/>
          <w:szCs w:val="24"/>
          <w:lang w:val="es-ES" w:eastAsia="es-ES"/>
        </w:rPr>
      </w:pPr>
    </w:p>
    <w:tbl>
      <w:tblPr>
        <w:tblW w:w="8712" w:type="dxa"/>
        <w:tblInd w:w="144" w:type="dxa"/>
        <w:tblLayout w:type="fixed"/>
        <w:tblCellMar>
          <w:left w:w="72" w:type="dxa"/>
          <w:right w:w="72" w:type="dxa"/>
        </w:tblCellMar>
        <w:tblLook w:val="0000" w:firstRow="0" w:lastRow="0" w:firstColumn="0" w:lastColumn="0" w:noHBand="0" w:noVBand="0"/>
      </w:tblPr>
      <w:tblGrid>
        <w:gridCol w:w="425"/>
        <w:gridCol w:w="2801"/>
        <w:gridCol w:w="1231"/>
        <w:gridCol w:w="1140"/>
        <w:gridCol w:w="1530"/>
        <w:gridCol w:w="1585"/>
      </w:tblGrid>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5</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Tonalá</w:t>
            </w:r>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Chiapas</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16°05'22"</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93°45'05"</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6</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Manuel Ojinaga</w:t>
            </w:r>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Chihuahua</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29°33'52"</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104°24'59"</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7</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San Julián</w:t>
            </w:r>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Chihuahua</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26°01'52"</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106°29'59"</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8</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Laguna del Rey (Químicas del Rey)</w:t>
            </w:r>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Coahuila</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27°01'50"</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103°22'00"</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Manzanillo</w:t>
            </w:r>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Colima</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A</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19°03'08"</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104°18'57"</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lastRenderedPageBreak/>
              <w:t>10</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Ciénega de Nuestra Señora de Guadalupe</w:t>
            </w:r>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Durango</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25°03'55"</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106°19'45"</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11</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Acapulco de Juárez</w:t>
            </w:r>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Guerrero</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B1</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16°51'42"</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99°53'11"</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12</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Cuautepec</w:t>
            </w:r>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Guerrero</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A</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16°44'58"</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99°00'04"</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13</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Ciudad Altamirano (Riva Palacio, Michoacán)</w:t>
            </w:r>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Guerrero</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18°21'17"</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100°39'58"</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14</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Tixtla de Guerrero</w:t>
            </w:r>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Guerrero</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A</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17°33'56"</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99°24'08"</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15</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Zumpango del Río</w:t>
            </w:r>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Guerrero</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A</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17°39' 05"</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99°31'42"</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16</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San Ildefonso (Tepeji del Río, Querétaro)</w:t>
            </w:r>
            <w:r w:rsidRPr="005B12CA">
              <w:rPr>
                <w:rFonts w:ascii="Arial" w:eastAsia="Times New Roman" w:hAnsi="Arial" w:cs="Arial"/>
                <w:b/>
                <w:position w:val="8"/>
                <w:sz w:val="16"/>
                <w:szCs w:val="16"/>
                <w:u w:val="single"/>
                <w:lang w:val="es-ES" w:eastAsia="es-ES"/>
              </w:rPr>
              <w:t xml:space="preserve"> </w:t>
            </w:r>
            <w:r w:rsidRPr="005B12CA">
              <w:rPr>
                <w:rFonts w:ascii="Arial" w:eastAsia="Times New Roman" w:hAnsi="Arial" w:cs="Arial"/>
                <w:sz w:val="18"/>
                <w:szCs w:val="20"/>
                <w:vertAlign w:val="superscript"/>
                <w:lang w:val="es-ES" w:eastAsia="es-ES"/>
              </w:rPr>
              <w:footnoteReference w:id="24"/>
            </w:r>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Hidalgo</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19°59'53"</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99°20'07"</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17</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 xml:space="preserve">Ixtapa Vallarta </w:t>
            </w:r>
            <w:r w:rsidRPr="005B12CA">
              <w:rPr>
                <w:rFonts w:ascii="Arial" w:eastAsia="Times New Roman" w:hAnsi="Arial" w:cs="Arial"/>
                <w:b/>
                <w:color w:val="000000"/>
                <w:sz w:val="16"/>
                <w:szCs w:val="16"/>
                <w:u w:val="single"/>
                <w:lang w:val="es-ES" w:eastAsia="es-ES"/>
              </w:rPr>
              <w:t>(Las Juntas, Vallejo)</w:t>
            </w:r>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Jalisco</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Clase de Estación A</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color w:val="000000"/>
                <w:sz w:val="16"/>
                <w:szCs w:val="16"/>
                <w:u w:val="single"/>
                <w:lang w:val="es-ES" w:eastAsia="es-ES"/>
              </w:rPr>
              <w:t>20°36'49"</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color w:val="000000"/>
                <w:sz w:val="16"/>
                <w:szCs w:val="16"/>
                <w:u w:val="single"/>
                <w:lang w:val="es-ES" w:eastAsia="es-ES"/>
              </w:rPr>
              <w:t>105°13'38"</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18</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proofErr w:type="spellStart"/>
            <w:r w:rsidRPr="005B12CA">
              <w:rPr>
                <w:rFonts w:ascii="Arial" w:eastAsia="Times New Roman" w:hAnsi="Arial" w:cs="Arial"/>
                <w:color w:val="000000"/>
                <w:sz w:val="16"/>
                <w:szCs w:val="16"/>
                <w:lang w:val="es-ES" w:eastAsia="es-ES"/>
              </w:rPr>
              <w:t>Ayoquezco</w:t>
            </w:r>
            <w:proofErr w:type="spellEnd"/>
            <w:r w:rsidRPr="005B12CA">
              <w:rPr>
                <w:rFonts w:ascii="Arial" w:eastAsia="Times New Roman" w:hAnsi="Arial" w:cs="Arial"/>
                <w:color w:val="000000"/>
                <w:sz w:val="16"/>
                <w:szCs w:val="16"/>
                <w:lang w:val="es-ES" w:eastAsia="es-ES"/>
              </w:rPr>
              <w:t xml:space="preserve"> de Aldama</w:t>
            </w:r>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Oaxaca</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Clase de Estación A</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16°41'06"</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96°50'35"</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19</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Salina Cruz</w:t>
            </w:r>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Oaxaca</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Clase de Estación A</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16°10'57"</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95°11'45"</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20</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San Pedro Pochutla</w:t>
            </w:r>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Oaxaca</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Clase de Estación AA</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15°44'40"</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96°27'55"</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21</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Santiago Pinotepa Nacional</w:t>
            </w:r>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Oaxaca</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Clase de Estación AA</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16°20'17"</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98°03'01"</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22</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color w:val="000000"/>
                <w:sz w:val="16"/>
                <w:szCs w:val="16"/>
                <w:lang w:val="es-ES" w:eastAsia="es-ES"/>
              </w:rPr>
            </w:pPr>
            <w:r w:rsidRPr="005B12CA">
              <w:rPr>
                <w:rFonts w:ascii="Arial" w:eastAsia="Times New Roman" w:hAnsi="Arial" w:cs="Arial"/>
                <w:color w:val="000000"/>
                <w:sz w:val="16"/>
                <w:szCs w:val="16"/>
                <w:lang w:val="es-ES" w:eastAsia="es-ES"/>
              </w:rPr>
              <w:t xml:space="preserve">Granjas de </w:t>
            </w:r>
            <w:smartTag w:uri="urn:schemas-microsoft-com:office:smarttags" w:element="PersonName">
              <w:smartTagPr>
                <w:attr w:name="ProductID" w:val="la Florida"/>
              </w:smartTagPr>
              <w:r w:rsidRPr="005B12CA">
                <w:rPr>
                  <w:rFonts w:ascii="Arial" w:eastAsia="Times New Roman" w:hAnsi="Arial" w:cs="Arial"/>
                  <w:color w:val="000000"/>
                  <w:sz w:val="16"/>
                  <w:szCs w:val="16"/>
                  <w:lang w:val="es-ES" w:eastAsia="es-ES"/>
                </w:rPr>
                <w:t>la Florida</w:t>
              </w:r>
            </w:smartTag>
            <w:r w:rsidRPr="005B12CA">
              <w:rPr>
                <w:rFonts w:ascii="Arial" w:eastAsia="Times New Roman" w:hAnsi="Arial" w:cs="Arial"/>
                <w:color w:val="000000"/>
                <w:sz w:val="16"/>
                <w:szCs w:val="16"/>
                <w:lang w:val="es-ES" w:eastAsia="es-ES"/>
              </w:rPr>
              <w:t xml:space="preserve"> y San Luis Potosí</w:t>
            </w:r>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color w:val="000000"/>
                <w:sz w:val="16"/>
                <w:szCs w:val="16"/>
                <w:lang w:val="es-ES" w:eastAsia="es-ES"/>
              </w:rPr>
            </w:pPr>
            <w:r w:rsidRPr="005B12CA">
              <w:rPr>
                <w:rFonts w:ascii="Arial" w:eastAsia="Times New Roman" w:hAnsi="Arial" w:cs="Arial"/>
                <w:color w:val="000000"/>
                <w:sz w:val="16"/>
                <w:szCs w:val="16"/>
                <w:lang w:val="es-ES" w:eastAsia="es-ES"/>
              </w:rPr>
              <w:t>San Luis Potosí</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color w:val="000000"/>
                <w:sz w:val="16"/>
                <w:szCs w:val="16"/>
                <w:lang w:val="es-ES" w:eastAsia="es-ES"/>
              </w:rPr>
            </w:pPr>
            <w:r w:rsidRPr="005B12CA">
              <w:rPr>
                <w:rFonts w:ascii="Arial" w:eastAsia="Times New Roman" w:hAnsi="Arial" w:cs="Arial"/>
                <w:color w:val="000000"/>
                <w:sz w:val="16"/>
                <w:szCs w:val="16"/>
                <w:lang w:val="es-ES" w:eastAsia="es-ES"/>
              </w:rPr>
              <w:t>Clase de Estación A</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color w:val="000000"/>
                <w:sz w:val="16"/>
                <w:szCs w:val="16"/>
                <w:lang w:val="es-ES" w:eastAsia="es-ES"/>
              </w:rPr>
            </w:pPr>
            <w:r w:rsidRPr="005B12CA">
              <w:rPr>
                <w:rFonts w:ascii="Arial" w:eastAsia="Times New Roman" w:hAnsi="Arial" w:cs="Arial"/>
                <w:color w:val="000000"/>
                <w:sz w:val="16"/>
                <w:szCs w:val="16"/>
                <w:lang w:val="es-ES" w:eastAsia="es-ES"/>
              </w:rPr>
              <w:t>22°08'59"</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color w:val="000000"/>
                <w:sz w:val="16"/>
                <w:szCs w:val="16"/>
                <w:lang w:val="es-ES" w:eastAsia="es-ES"/>
              </w:rPr>
            </w:pPr>
            <w:r w:rsidRPr="005B12CA">
              <w:rPr>
                <w:rFonts w:ascii="Arial" w:eastAsia="Times New Roman" w:hAnsi="Arial" w:cs="Arial"/>
                <w:color w:val="000000"/>
                <w:sz w:val="16"/>
                <w:szCs w:val="16"/>
                <w:lang w:val="es-ES" w:eastAsia="es-ES"/>
              </w:rPr>
              <w:t>100°58'30"</w:t>
            </w:r>
          </w:p>
        </w:tc>
      </w:tr>
    </w:tbl>
    <w:p w:rsidR="005B12CA" w:rsidRPr="005B12CA" w:rsidRDefault="005B12CA" w:rsidP="005B12CA">
      <w:pPr>
        <w:spacing w:after="0" w:line="240" w:lineRule="auto"/>
        <w:rPr>
          <w:rFonts w:ascii="Times New Roman" w:eastAsia="Times New Roman" w:hAnsi="Times New Roman" w:cs="Times New Roman"/>
          <w:sz w:val="2"/>
          <w:szCs w:val="24"/>
          <w:lang w:val="es-ES" w:eastAsia="es-ES"/>
        </w:rPr>
      </w:pPr>
    </w:p>
    <w:tbl>
      <w:tblPr>
        <w:tblW w:w="8712" w:type="dxa"/>
        <w:tblInd w:w="144" w:type="dxa"/>
        <w:tblLayout w:type="fixed"/>
        <w:tblCellMar>
          <w:left w:w="72" w:type="dxa"/>
          <w:right w:w="72" w:type="dxa"/>
        </w:tblCellMar>
        <w:tblLook w:val="0000" w:firstRow="0" w:lastRow="0" w:firstColumn="0" w:lastColumn="0" w:noHBand="0" w:noVBand="0"/>
      </w:tblPr>
      <w:tblGrid>
        <w:gridCol w:w="425"/>
        <w:gridCol w:w="2801"/>
        <w:gridCol w:w="1231"/>
        <w:gridCol w:w="1140"/>
        <w:gridCol w:w="1530"/>
        <w:gridCol w:w="1585"/>
      </w:tblGrid>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23</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color w:val="000000"/>
                <w:sz w:val="16"/>
                <w:szCs w:val="16"/>
                <w:lang w:val="es-ES" w:eastAsia="es-ES"/>
              </w:rPr>
            </w:pPr>
            <w:r w:rsidRPr="005B12CA">
              <w:rPr>
                <w:rFonts w:ascii="Arial" w:eastAsia="Times New Roman" w:hAnsi="Arial" w:cs="Arial"/>
                <w:color w:val="000000"/>
                <w:sz w:val="16"/>
                <w:szCs w:val="16"/>
                <w:lang w:val="es-ES" w:eastAsia="es-ES"/>
              </w:rPr>
              <w:t>Matehuala</w:t>
            </w:r>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color w:val="000000"/>
                <w:sz w:val="16"/>
                <w:szCs w:val="16"/>
                <w:lang w:val="es-ES" w:eastAsia="es-ES"/>
              </w:rPr>
            </w:pPr>
            <w:r w:rsidRPr="005B12CA">
              <w:rPr>
                <w:rFonts w:ascii="Arial" w:eastAsia="Times New Roman" w:hAnsi="Arial" w:cs="Arial"/>
                <w:color w:val="000000"/>
                <w:sz w:val="16"/>
                <w:szCs w:val="16"/>
                <w:lang w:val="es-ES" w:eastAsia="es-ES"/>
              </w:rPr>
              <w:t>San Luis Potosí</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color w:val="000000"/>
                <w:sz w:val="16"/>
                <w:szCs w:val="16"/>
                <w:lang w:val="es-ES" w:eastAsia="es-ES"/>
              </w:rPr>
            </w:pPr>
            <w:r w:rsidRPr="005B12CA">
              <w:rPr>
                <w:rFonts w:ascii="Arial" w:eastAsia="Times New Roman" w:hAnsi="Arial" w:cs="Arial"/>
                <w:color w:val="000000"/>
                <w:sz w:val="16"/>
                <w:szCs w:val="16"/>
                <w:lang w:val="es-ES" w:eastAsia="es-ES"/>
              </w:rPr>
              <w:t>Clase de Estación A</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color w:val="000000"/>
                <w:sz w:val="16"/>
                <w:szCs w:val="16"/>
                <w:lang w:val="es-ES" w:eastAsia="es-ES"/>
              </w:rPr>
            </w:pPr>
            <w:r w:rsidRPr="005B12CA">
              <w:rPr>
                <w:rFonts w:ascii="Arial" w:eastAsia="Times New Roman" w:hAnsi="Arial" w:cs="Arial"/>
                <w:color w:val="000000"/>
                <w:sz w:val="16"/>
                <w:szCs w:val="16"/>
                <w:lang w:val="es-ES" w:eastAsia="es-ES"/>
              </w:rPr>
              <w:t>23°38'47"</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color w:val="000000"/>
                <w:sz w:val="16"/>
                <w:szCs w:val="16"/>
                <w:lang w:val="es-ES" w:eastAsia="es-ES"/>
              </w:rPr>
            </w:pPr>
            <w:r w:rsidRPr="005B12CA">
              <w:rPr>
                <w:rFonts w:ascii="Arial" w:eastAsia="Times New Roman" w:hAnsi="Arial" w:cs="Arial"/>
                <w:color w:val="000000"/>
                <w:sz w:val="16"/>
                <w:szCs w:val="16"/>
                <w:lang w:val="es-ES" w:eastAsia="es-ES"/>
              </w:rPr>
              <w:t>100°38'40"</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24</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proofErr w:type="spellStart"/>
            <w:r w:rsidRPr="005B12CA">
              <w:rPr>
                <w:rFonts w:ascii="Arial" w:eastAsia="Times New Roman" w:hAnsi="Arial" w:cs="Arial"/>
                <w:color w:val="000000"/>
                <w:sz w:val="16"/>
                <w:szCs w:val="16"/>
                <w:lang w:val="es-ES" w:eastAsia="es-ES"/>
              </w:rPr>
              <w:t>Rioverde</w:t>
            </w:r>
            <w:proofErr w:type="spellEnd"/>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San Luis Potosí</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Clase de Estación A</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21°55'57"</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99°59'34"</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25</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color w:val="000000"/>
                <w:sz w:val="16"/>
                <w:szCs w:val="16"/>
                <w:u w:val="single"/>
                <w:lang w:val="es-ES" w:eastAsia="es-ES"/>
              </w:rPr>
            </w:pPr>
            <w:r w:rsidRPr="005B12CA">
              <w:rPr>
                <w:rFonts w:ascii="Arial" w:eastAsia="Times New Roman" w:hAnsi="Arial" w:cs="Arial"/>
                <w:b/>
                <w:sz w:val="16"/>
                <w:szCs w:val="16"/>
                <w:u w:val="single"/>
                <w:lang w:val="es-ES" w:eastAsia="es-ES"/>
              </w:rPr>
              <w:t>Mazatlán</w:t>
            </w:r>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color w:val="000000"/>
                <w:sz w:val="16"/>
                <w:szCs w:val="16"/>
                <w:u w:val="single"/>
                <w:lang w:val="es-ES" w:eastAsia="es-ES"/>
              </w:rPr>
            </w:pPr>
            <w:r w:rsidRPr="005B12CA">
              <w:rPr>
                <w:rFonts w:ascii="Arial" w:eastAsia="Times New Roman" w:hAnsi="Arial" w:cs="Arial"/>
                <w:b/>
                <w:sz w:val="16"/>
                <w:szCs w:val="16"/>
                <w:u w:val="single"/>
                <w:lang w:val="es-ES" w:eastAsia="es-ES"/>
              </w:rPr>
              <w:t>Sinaloa</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color w:val="000000"/>
                <w:sz w:val="16"/>
                <w:szCs w:val="16"/>
                <w:u w:val="single"/>
                <w:lang w:val="es-ES" w:eastAsia="es-ES"/>
              </w:rPr>
            </w:pPr>
            <w:r w:rsidRPr="005B12CA">
              <w:rPr>
                <w:rFonts w:ascii="Arial" w:eastAsia="Times New Roman" w:hAnsi="Arial" w:cs="Arial"/>
                <w:b/>
                <w:sz w:val="16"/>
                <w:szCs w:val="16"/>
                <w:u w:val="single"/>
                <w:lang w:val="es-ES" w:eastAsia="es-ES"/>
              </w:rPr>
              <w:t>Clase de Estación B1</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color w:val="000000"/>
                <w:sz w:val="16"/>
                <w:szCs w:val="16"/>
                <w:u w:val="single"/>
                <w:lang w:val="es-ES" w:eastAsia="es-ES"/>
              </w:rPr>
            </w:pPr>
            <w:r w:rsidRPr="005B12CA">
              <w:rPr>
                <w:rFonts w:ascii="Arial" w:eastAsia="Times New Roman" w:hAnsi="Arial" w:cs="Arial"/>
                <w:b/>
                <w:sz w:val="16"/>
                <w:szCs w:val="16"/>
                <w:u w:val="single"/>
                <w:lang w:val="es-ES" w:eastAsia="es-ES"/>
              </w:rPr>
              <w:t>23°14'29"</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color w:val="000000"/>
                <w:sz w:val="16"/>
                <w:szCs w:val="16"/>
                <w:u w:val="single"/>
                <w:lang w:val="es-ES" w:eastAsia="es-ES"/>
              </w:rPr>
            </w:pPr>
            <w:r w:rsidRPr="005B12CA">
              <w:rPr>
                <w:rFonts w:ascii="Arial" w:eastAsia="Times New Roman" w:hAnsi="Arial" w:cs="Arial"/>
                <w:b/>
                <w:sz w:val="16"/>
                <w:szCs w:val="16"/>
                <w:u w:val="single"/>
                <w:lang w:val="es-ES" w:eastAsia="es-ES"/>
              </w:rPr>
              <w:t>106°24'35"</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26</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Ciudad Obregón</w:t>
            </w:r>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Sonora</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AA</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27°31'09"</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109°50'25"</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27</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 xml:space="preserve">Tampico, </w:t>
            </w:r>
            <w:smartTag w:uri="urn:schemas-microsoft-com:office:smarttags" w:element="PersonName">
              <w:smartTagPr>
                <w:attr w:name="ProductID" w:val="La Isleta"/>
              </w:smartTagPr>
              <w:r w:rsidRPr="005B12CA">
                <w:rPr>
                  <w:rFonts w:ascii="Arial" w:eastAsia="Times New Roman" w:hAnsi="Arial" w:cs="Arial"/>
                  <w:b/>
                  <w:sz w:val="16"/>
                  <w:szCs w:val="16"/>
                  <w:u w:val="single"/>
                  <w:lang w:val="es-ES" w:eastAsia="es-ES"/>
                </w:rPr>
                <w:t>La Isleta</w:t>
              </w:r>
            </w:smartTag>
            <w:r w:rsidRPr="005B12CA">
              <w:rPr>
                <w:rFonts w:ascii="Arial" w:eastAsia="Times New Roman" w:hAnsi="Arial" w:cs="Arial"/>
                <w:b/>
                <w:sz w:val="16"/>
                <w:szCs w:val="16"/>
                <w:u w:val="single"/>
                <w:lang w:val="es-ES" w:eastAsia="es-ES"/>
              </w:rPr>
              <w:t>, Río Tamesí (Cruz Chica), Altamira; (Tamos y Pueblo Viejo, Ver.)</w:t>
            </w:r>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Tamaulipas</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22°15'19"</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97°52'07"</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28</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Tres Valles</w:t>
            </w:r>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Veracruz</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A</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18°14'22"</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96°08'10"</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29</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Mérida</w:t>
            </w:r>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Yucatán</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A</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20°58'04"</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89°37'18"</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lastRenderedPageBreak/>
              <w:t>30</w:t>
            </w:r>
          </w:p>
        </w:tc>
        <w:tc>
          <w:tcPr>
            <w:tcW w:w="280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Valladolid</w:t>
            </w:r>
          </w:p>
        </w:tc>
        <w:tc>
          <w:tcPr>
            <w:tcW w:w="123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Yucatán</w:t>
            </w:r>
          </w:p>
        </w:tc>
        <w:tc>
          <w:tcPr>
            <w:tcW w:w="114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B1</w:t>
            </w:r>
          </w:p>
        </w:tc>
        <w:tc>
          <w:tcPr>
            <w:tcW w:w="153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20°41'22"</w:t>
            </w:r>
          </w:p>
        </w:tc>
        <w:tc>
          <w:tcPr>
            <w:tcW w:w="158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55"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88°12'06"</w:t>
            </w:r>
          </w:p>
        </w:tc>
      </w:tr>
    </w:tbl>
    <w:p w:rsidR="005B12CA" w:rsidRPr="005B12CA" w:rsidRDefault="005B12CA" w:rsidP="005B12CA">
      <w:pPr>
        <w:spacing w:after="101" w:line="14" w:lineRule="exact"/>
        <w:ind w:firstLine="288"/>
        <w:jc w:val="both"/>
        <w:rPr>
          <w:rFonts w:ascii="Arial" w:eastAsia="Times New Roman" w:hAnsi="Arial" w:cs="Arial"/>
          <w:b/>
          <w:sz w:val="18"/>
          <w:lang w:val="es-ES" w:eastAsia="es-ES"/>
        </w:rPr>
      </w:pPr>
    </w:p>
    <w:p w:rsidR="005B12CA" w:rsidRPr="005B12CA" w:rsidRDefault="005B12CA" w:rsidP="005B12CA">
      <w:pPr>
        <w:spacing w:after="101" w:line="266" w:lineRule="exact"/>
        <w:ind w:left="1526" w:hanging="648"/>
        <w:jc w:val="both"/>
        <w:rPr>
          <w:rFonts w:ascii="Arial" w:eastAsia="Times New Roman" w:hAnsi="Arial" w:cs="Arial"/>
          <w:b/>
          <w:sz w:val="18"/>
          <w:lang w:val="es-ES" w:eastAsia="es-ES"/>
        </w:rPr>
      </w:pPr>
      <w:r w:rsidRPr="005B12CA">
        <w:rPr>
          <w:rFonts w:ascii="Arial" w:eastAsia="Times New Roman" w:hAnsi="Arial" w:cs="Arial"/>
          <w:b/>
          <w:sz w:val="18"/>
          <w:lang w:val="es-ES" w:eastAsia="es-ES"/>
        </w:rPr>
        <w:t>2.2.3</w:t>
      </w:r>
      <w:r w:rsidRPr="005B12CA">
        <w:rPr>
          <w:rFonts w:ascii="Arial" w:eastAsia="Times New Roman" w:hAnsi="Arial" w:cs="Arial"/>
          <w:b/>
          <w:sz w:val="18"/>
          <w:lang w:val="es-ES" w:eastAsia="es-ES"/>
        </w:rPr>
        <w:tab/>
        <w:t>Sonora en Amplitud Modulada (AM)</w:t>
      </w:r>
    </w:p>
    <w:tbl>
      <w:tblPr>
        <w:tblW w:w="8712" w:type="dxa"/>
        <w:tblInd w:w="144" w:type="dxa"/>
        <w:tblLayout w:type="fixed"/>
        <w:tblCellMar>
          <w:left w:w="72" w:type="dxa"/>
          <w:right w:w="72" w:type="dxa"/>
        </w:tblCellMar>
        <w:tblLook w:val="0000" w:firstRow="0" w:lastRow="0" w:firstColumn="0" w:lastColumn="0" w:noHBand="0" w:noVBand="0"/>
      </w:tblPr>
      <w:tblGrid>
        <w:gridCol w:w="2877"/>
        <w:gridCol w:w="5835"/>
      </w:tblGrid>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66"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Banda de Frecuencias:</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66"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535-1705 kHz</w:t>
            </w:r>
          </w:p>
        </w:tc>
      </w:tr>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66"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Categoría de la Atribución:</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66"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RADIODIFUSIÓN a título primario</w:t>
            </w:r>
          </w:p>
        </w:tc>
      </w:tr>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66"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Servicio:</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66"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Radiodifusión Sonora</w:t>
            </w:r>
          </w:p>
        </w:tc>
      </w:tr>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66"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Cobertura Geográfica:</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66"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Por localidad principal a servir</w:t>
            </w:r>
          </w:p>
        </w:tc>
      </w:tr>
      <w:tr w:rsidR="005B12CA" w:rsidRPr="005B12CA" w:rsidTr="004A714B">
        <w:trPr>
          <w:trHeight w:val="20"/>
        </w:trPr>
        <w:tc>
          <w:tcPr>
            <w:tcW w:w="2988" w:type="dxa"/>
            <w:tcBorders>
              <w:top w:val="single" w:sz="6" w:space="0" w:color="auto"/>
              <w:left w:val="single" w:sz="6" w:space="0" w:color="auto"/>
              <w:bottom w:val="single" w:sz="6" w:space="0" w:color="auto"/>
              <w:right w:val="single" w:sz="6" w:space="0" w:color="auto"/>
            </w:tcBorders>
            <w:shd w:val="clear" w:color="auto" w:fill="C0C0C0"/>
          </w:tcPr>
          <w:p w:rsidR="005B12CA" w:rsidRPr="005B12CA" w:rsidRDefault="005B12CA" w:rsidP="005B12CA">
            <w:pPr>
              <w:spacing w:after="101" w:line="266" w:lineRule="exact"/>
              <w:jc w:val="right"/>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Consideraciones Adicionales:</w:t>
            </w:r>
          </w:p>
        </w:tc>
        <w:tc>
          <w:tcPr>
            <w:tcW w:w="6066" w:type="dxa"/>
            <w:tcBorders>
              <w:top w:val="single" w:sz="6" w:space="0" w:color="auto"/>
              <w:left w:val="single" w:sz="6" w:space="0" w:color="auto"/>
              <w:bottom w:val="single" w:sz="6" w:space="0" w:color="auto"/>
              <w:right w:val="single" w:sz="6" w:space="0" w:color="auto"/>
            </w:tcBorders>
          </w:tcPr>
          <w:p w:rsidR="005B12CA" w:rsidRPr="005B12CA" w:rsidRDefault="005B12CA" w:rsidP="005B12CA">
            <w:pPr>
              <w:spacing w:after="101" w:line="266"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Las coordenadas geográficas indicadas son únicamente como referencia; la ubicación de las estaciones quedará sujeta a la autorización de los proyectos que los concesionarios presenten al Instituto.</w:t>
            </w:r>
          </w:p>
          <w:p w:rsidR="005B12CA" w:rsidRPr="005B12CA" w:rsidRDefault="005B12CA" w:rsidP="005B12CA">
            <w:pPr>
              <w:spacing w:after="101" w:line="266"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En caso de requerir operación nocturna, su autorización estará sujeta a los procesos de coordinación internacional correspondientes.</w:t>
            </w:r>
          </w:p>
        </w:tc>
      </w:tr>
    </w:tbl>
    <w:p w:rsidR="005B12CA" w:rsidRPr="005B12CA" w:rsidRDefault="005B12CA" w:rsidP="005B12CA">
      <w:pPr>
        <w:spacing w:after="101" w:line="266" w:lineRule="exact"/>
        <w:ind w:firstLine="288"/>
        <w:jc w:val="both"/>
        <w:rPr>
          <w:rFonts w:ascii="Arial" w:eastAsia="Times New Roman" w:hAnsi="Arial" w:cs="Arial"/>
          <w:b/>
          <w:sz w:val="18"/>
          <w:lang w:val="es-ES" w:eastAsia="es-ES"/>
        </w:rPr>
      </w:pPr>
    </w:p>
    <w:p w:rsidR="005B12CA" w:rsidRPr="005B12CA" w:rsidRDefault="005B12CA" w:rsidP="005B12CA">
      <w:pPr>
        <w:spacing w:after="101" w:line="266" w:lineRule="exact"/>
        <w:ind w:left="1526" w:hanging="648"/>
        <w:jc w:val="both"/>
        <w:rPr>
          <w:rFonts w:ascii="Arial" w:eastAsia="Times New Roman" w:hAnsi="Arial" w:cs="Arial"/>
          <w:b/>
          <w:sz w:val="18"/>
          <w:lang w:val="es-ES" w:eastAsia="es-ES"/>
        </w:rPr>
      </w:pPr>
      <w:r w:rsidRPr="005B12CA">
        <w:rPr>
          <w:rFonts w:ascii="Arial" w:eastAsia="Times New Roman" w:hAnsi="Arial" w:cs="Arial"/>
          <w:b/>
          <w:sz w:val="18"/>
          <w:lang w:val="es-ES" w:eastAsia="es-ES"/>
        </w:rPr>
        <w:t>2.2.3.1</w:t>
      </w:r>
      <w:r w:rsidRPr="005B12CA">
        <w:rPr>
          <w:rFonts w:ascii="Arial" w:eastAsia="Times New Roman" w:hAnsi="Arial" w:cs="Arial"/>
          <w:b/>
          <w:sz w:val="18"/>
          <w:lang w:val="es-ES" w:eastAsia="es-ES"/>
        </w:rPr>
        <w:tab/>
        <w:t>AM – Uso Público</w:t>
      </w:r>
    </w:p>
    <w:tbl>
      <w:tblPr>
        <w:tblW w:w="8712" w:type="dxa"/>
        <w:tblInd w:w="144" w:type="dxa"/>
        <w:tblLayout w:type="fixed"/>
        <w:tblCellMar>
          <w:left w:w="72" w:type="dxa"/>
          <w:right w:w="72" w:type="dxa"/>
        </w:tblCellMar>
        <w:tblLook w:val="0000" w:firstRow="0" w:lastRow="0" w:firstColumn="0" w:lastColumn="0" w:noHBand="0" w:noVBand="0"/>
      </w:tblPr>
      <w:tblGrid>
        <w:gridCol w:w="425"/>
        <w:gridCol w:w="2004"/>
        <w:gridCol w:w="989"/>
        <w:gridCol w:w="1786"/>
        <w:gridCol w:w="1710"/>
        <w:gridCol w:w="1798"/>
      </w:tblGrid>
      <w:tr w:rsidR="005B12CA" w:rsidRPr="005B12CA" w:rsidTr="004A714B">
        <w:trPr>
          <w:trHeight w:val="20"/>
        </w:trPr>
        <w:tc>
          <w:tcPr>
            <w:tcW w:w="425"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No</w:t>
            </w:r>
          </w:p>
        </w:tc>
        <w:tc>
          <w:tcPr>
            <w:tcW w:w="2004"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Localidad(es) principal(es) a servir</w:t>
            </w:r>
          </w:p>
        </w:tc>
        <w:tc>
          <w:tcPr>
            <w:tcW w:w="989"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Estado</w:t>
            </w:r>
          </w:p>
        </w:tc>
        <w:tc>
          <w:tcPr>
            <w:tcW w:w="1786"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Clase de Estación</w:t>
            </w:r>
          </w:p>
        </w:tc>
        <w:tc>
          <w:tcPr>
            <w:tcW w:w="3508"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Coordenadas Geográficas de Referencia</w:t>
            </w:r>
          </w:p>
        </w:tc>
      </w:tr>
      <w:tr w:rsidR="005B12CA" w:rsidRPr="005B12CA" w:rsidTr="004A714B">
        <w:trPr>
          <w:trHeight w:val="20"/>
        </w:trPr>
        <w:tc>
          <w:tcPr>
            <w:tcW w:w="425"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p>
        </w:tc>
        <w:tc>
          <w:tcPr>
            <w:tcW w:w="2004"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p>
        </w:tc>
        <w:tc>
          <w:tcPr>
            <w:tcW w:w="989"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p>
        </w:tc>
        <w:tc>
          <w:tcPr>
            <w:tcW w:w="1786"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p>
        </w:tc>
        <w:tc>
          <w:tcPr>
            <w:tcW w:w="1710" w:type="dxa"/>
            <w:tcBorders>
              <w:top w:val="single" w:sz="6" w:space="0" w:color="auto"/>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Latitud Norte (GGMMSS.SS)</w:t>
            </w:r>
          </w:p>
        </w:tc>
        <w:tc>
          <w:tcPr>
            <w:tcW w:w="1798" w:type="dxa"/>
            <w:tcBorders>
              <w:top w:val="single" w:sz="6" w:space="0" w:color="auto"/>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Longitud Oeste (GGMMSS.SS)</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w:t>
            </w:r>
          </w:p>
        </w:tc>
        <w:tc>
          <w:tcPr>
            <w:tcW w:w="20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Saltillo</w:t>
            </w:r>
          </w:p>
        </w:tc>
        <w:tc>
          <w:tcPr>
            <w:tcW w:w="9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Coahuila</w:t>
            </w:r>
          </w:p>
        </w:tc>
        <w:tc>
          <w:tcPr>
            <w:tcW w:w="17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B</w:t>
            </w:r>
          </w:p>
        </w:tc>
        <w:tc>
          <w:tcPr>
            <w:tcW w:w="171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25°26'00"</w:t>
            </w:r>
          </w:p>
        </w:tc>
        <w:tc>
          <w:tcPr>
            <w:tcW w:w="1798"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101°00'00"</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w:t>
            </w:r>
          </w:p>
        </w:tc>
        <w:tc>
          <w:tcPr>
            <w:tcW w:w="20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u w:val="single"/>
                <w:lang w:val="es-ES_tradnl" w:eastAsia="es-ES"/>
              </w:rPr>
            </w:pPr>
            <w:r w:rsidRPr="005B12CA">
              <w:rPr>
                <w:rFonts w:ascii="Arial" w:eastAsia="Times New Roman" w:hAnsi="Arial" w:cs="Arial"/>
                <w:sz w:val="16"/>
                <w:szCs w:val="16"/>
                <w:u w:val="single"/>
                <w:lang w:val="es-ES_tradnl" w:eastAsia="es-ES"/>
              </w:rPr>
              <w:t>Chapingo</w:t>
            </w:r>
          </w:p>
        </w:tc>
        <w:tc>
          <w:tcPr>
            <w:tcW w:w="9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_tradnl" w:eastAsia="es-ES"/>
              </w:rPr>
              <w:t>Estado de México</w:t>
            </w:r>
          </w:p>
        </w:tc>
        <w:tc>
          <w:tcPr>
            <w:tcW w:w="17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71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19°29'40.5"</w:t>
            </w:r>
          </w:p>
        </w:tc>
        <w:tc>
          <w:tcPr>
            <w:tcW w:w="1798"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98°53'39.5"</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3</w:t>
            </w:r>
          </w:p>
        </w:tc>
        <w:tc>
          <w:tcPr>
            <w:tcW w:w="20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_tradnl" w:eastAsia="es-ES"/>
              </w:rPr>
              <w:t>Tultitlán</w:t>
            </w:r>
          </w:p>
        </w:tc>
        <w:tc>
          <w:tcPr>
            <w:tcW w:w="9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_tradnl" w:eastAsia="es-ES"/>
              </w:rPr>
              <w:t>Estado de México</w:t>
            </w:r>
          </w:p>
        </w:tc>
        <w:tc>
          <w:tcPr>
            <w:tcW w:w="17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71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_tradnl" w:eastAsia="es-ES"/>
              </w:rPr>
              <w:t>19°40'23"</w:t>
            </w:r>
          </w:p>
        </w:tc>
        <w:tc>
          <w:tcPr>
            <w:tcW w:w="1798"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_tradnl" w:eastAsia="es-ES"/>
              </w:rPr>
              <w:t>99°06'22"</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4</w:t>
            </w:r>
          </w:p>
        </w:tc>
        <w:tc>
          <w:tcPr>
            <w:tcW w:w="20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Escobedo</w:t>
            </w:r>
          </w:p>
        </w:tc>
        <w:tc>
          <w:tcPr>
            <w:tcW w:w="9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Nuevo León</w:t>
            </w:r>
          </w:p>
        </w:tc>
        <w:tc>
          <w:tcPr>
            <w:tcW w:w="17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71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25°48'52.1"</w:t>
            </w:r>
          </w:p>
        </w:tc>
        <w:tc>
          <w:tcPr>
            <w:tcW w:w="1798"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100°17'32"</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5</w:t>
            </w:r>
          </w:p>
        </w:tc>
        <w:tc>
          <w:tcPr>
            <w:tcW w:w="20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proofErr w:type="spellStart"/>
            <w:r w:rsidRPr="005B12CA">
              <w:rPr>
                <w:rFonts w:ascii="Arial" w:eastAsia="Times New Roman" w:hAnsi="Arial" w:cs="Arial"/>
                <w:b/>
                <w:sz w:val="16"/>
                <w:szCs w:val="16"/>
                <w:u w:val="single"/>
                <w:lang w:val="es-ES" w:eastAsia="es-ES"/>
              </w:rPr>
              <w:t>Jalpan</w:t>
            </w:r>
            <w:proofErr w:type="spellEnd"/>
            <w:r w:rsidRPr="005B12CA">
              <w:rPr>
                <w:rFonts w:ascii="Arial" w:eastAsia="Times New Roman" w:hAnsi="Arial" w:cs="Arial"/>
                <w:b/>
                <w:sz w:val="16"/>
                <w:szCs w:val="16"/>
                <w:u w:val="single"/>
                <w:lang w:val="es-ES" w:eastAsia="es-ES"/>
              </w:rPr>
              <w:t xml:space="preserve"> de Serra</w:t>
            </w:r>
          </w:p>
        </w:tc>
        <w:tc>
          <w:tcPr>
            <w:tcW w:w="9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Querétaro</w:t>
            </w:r>
          </w:p>
        </w:tc>
        <w:tc>
          <w:tcPr>
            <w:tcW w:w="17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71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21°12'02.12"</w:t>
            </w:r>
          </w:p>
        </w:tc>
        <w:tc>
          <w:tcPr>
            <w:tcW w:w="1798"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99°27'00.87"</w:t>
            </w:r>
          </w:p>
        </w:tc>
      </w:tr>
      <w:tr w:rsidR="005B12CA" w:rsidRPr="005B12CA" w:rsidTr="004A714B">
        <w:trPr>
          <w:trHeight w:val="20"/>
        </w:trPr>
        <w:tc>
          <w:tcPr>
            <w:tcW w:w="4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6</w:t>
            </w:r>
          </w:p>
        </w:tc>
        <w:tc>
          <w:tcPr>
            <w:tcW w:w="200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Xalapa-Enríquez</w:t>
            </w:r>
          </w:p>
        </w:tc>
        <w:tc>
          <w:tcPr>
            <w:tcW w:w="98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Veracruz</w:t>
            </w:r>
          </w:p>
        </w:tc>
        <w:tc>
          <w:tcPr>
            <w:tcW w:w="17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B</w:t>
            </w:r>
          </w:p>
        </w:tc>
        <w:tc>
          <w:tcPr>
            <w:tcW w:w="1710"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19°32'17"</w:t>
            </w:r>
          </w:p>
        </w:tc>
        <w:tc>
          <w:tcPr>
            <w:tcW w:w="1798"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96°54'33"</w:t>
            </w:r>
          </w:p>
        </w:tc>
      </w:tr>
    </w:tbl>
    <w:p w:rsidR="005B12CA" w:rsidRPr="005B12CA" w:rsidRDefault="005B12CA" w:rsidP="005B12CA">
      <w:pPr>
        <w:spacing w:after="101" w:line="266" w:lineRule="exact"/>
        <w:ind w:firstLine="288"/>
        <w:jc w:val="both"/>
        <w:rPr>
          <w:rFonts w:ascii="Arial" w:eastAsia="Times New Roman" w:hAnsi="Arial" w:cs="Arial"/>
          <w:b/>
          <w:sz w:val="18"/>
          <w:lang w:val="es-ES" w:eastAsia="es-ES"/>
        </w:rPr>
      </w:pPr>
    </w:p>
    <w:p w:rsidR="005B12CA" w:rsidRPr="005B12CA" w:rsidRDefault="005B12CA" w:rsidP="005B12CA">
      <w:pPr>
        <w:spacing w:after="101" w:line="266" w:lineRule="exact"/>
        <w:ind w:left="1526" w:hanging="648"/>
        <w:jc w:val="both"/>
        <w:rPr>
          <w:rFonts w:ascii="Arial" w:eastAsia="Times New Roman" w:hAnsi="Arial" w:cs="Arial"/>
          <w:b/>
          <w:sz w:val="18"/>
          <w:lang w:val="es-ES" w:eastAsia="es-ES"/>
        </w:rPr>
      </w:pPr>
      <w:r w:rsidRPr="005B12CA">
        <w:rPr>
          <w:rFonts w:ascii="Arial" w:eastAsia="Times New Roman" w:hAnsi="Arial" w:cs="Arial"/>
          <w:b/>
          <w:sz w:val="18"/>
          <w:lang w:val="es-ES" w:eastAsia="es-ES"/>
        </w:rPr>
        <w:t>2.2.3.2</w:t>
      </w:r>
      <w:r w:rsidRPr="005B12CA">
        <w:rPr>
          <w:rFonts w:ascii="Arial" w:eastAsia="Times New Roman" w:hAnsi="Arial" w:cs="Arial"/>
          <w:b/>
          <w:sz w:val="18"/>
          <w:lang w:val="es-ES" w:eastAsia="es-ES"/>
        </w:rPr>
        <w:tab/>
        <w:t>AM – Uso Social</w:t>
      </w:r>
    </w:p>
    <w:tbl>
      <w:tblPr>
        <w:tblW w:w="8712" w:type="dxa"/>
        <w:tblInd w:w="144" w:type="dxa"/>
        <w:tblLayout w:type="fixed"/>
        <w:tblCellMar>
          <w:left w:w="72" w:type="dxa"/>
          <w:right w:w="72" w:type="dxa"/>
        </w:tblCellMar>
        <w:tblLook w:val="0000" w:firstRow="0" w:lastRow="0" w:firstColumn="0" w:lastColumn="0" w:noHBand="0" w:noVBand="0"/>
      </w:tblPr>
      <w:tblGrid>
        <w:gridCol w:w="426"/>
        <w:gridCol w:w="2146"/>
        <w:gridCol w:w="1386"/>
        <w:gridCol w:w="1521"/>
        <w:gridCol w:w="1584"/>
        <w:gridCol w:w="1649"/>
      </w:tblGrid>
      <w:tr w:rsidR="005B12CA" w:rsidRPr="005B12CA" w:rsidTr="004A714B">
        <w:trPr>
          <w:trHeight w:val="20"/>
        </w:trPr>
        <w:tc>
          <w:tcPr>
            <w:tcW w:w="426"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No</w:t>
            </w:r>
          </w:p>
        </w:tc>
        <w:tc>
          <w:tcPr>
            <w:tcW w:w="2146"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Localidad(es) principal(es) a servir</w:t>
            </w:r>
          </w:p>
        </w:tc>
        <w:tc>
          <w:tcPr>
            <w:tcW w:w="1386"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Estado</w:t>
            </w:r>
          </w:p>
        </w:tc>
        <w:tc>
          <w:tcPr>
            <w:tcW w:w="1521"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Clase de Estación</w:t>
            </w:r>
          </w:p>
        </w:tc>
        <w:tc>
          <w:tcPr>
            <w:tcW w:w="3233"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Coordenadas Geográficas de Referencia</w:t>
            </w:r>
          </w:p>
        </w:tc>
      </w:tr>
      <w:tr w:rsidR="005B12CA" w:rsidRPr="005B12CA" w:rsidTr="004A714B">
        <w:trPr>
          <w:trHeight w:val="20"/>
        </w:trPr>
        <w:tc>
          <w:tcPr>
            <w:tcW w:w="426"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p>
        </w:tc>
        <w:tc>
          <w:tcPr>
            <w:tcW w:w="2146"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p>
        </w:tc>
        <w:tc>
          <w:tcPr>
            <w:tcW w:w="1386"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p>
        </w:tc>
        <w:tc>
          <w:tcPr>
            <w:tcW w:w="1521"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p>
        </w:tc>
        <w:tc>
          <w:tcPr>
            <w:tcW w:w="1584" w:type="dxa"/>
            <w:tcBorders>
              <w:top w:val="single" w:sz="6" w:space="0" w:color="auto"/>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Latitud Norte (GGMMSS.SS)</w:t>
            </w:r>
          </w:p>
        </w:tc>
        <w:tc>
          <w:tcPr>
            <w:tcW w:w="1649" w:type="dxa"/>
            <w:tcBorders>
              <w:top w:val="single" w:sz="6" w:space="0" w:color="auto"/>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6"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Longitud Oeste (GGMMSS.SS)</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w:t>
            </w:r>
          </w:p>
        </w:tc>
        <w:tc>
          <w:tcPr>
            <w:tcW w:w="214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Ensenada</w:t>
            </w:r>
          </w:p>
        </w:tc>
        <w:tc>
          <w:tcPr>
            <w:tcW w:w="13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Baja California</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C</w:t>
            </w:r>
          </w:p>
        </w:tc>
        <w:tc>
          <w:tcPr>
            <w:tcW w:w="158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31°51'28"</w:t>
            </w:r>
          </w:p>
        </w:tc>
        <w:tc>
          <w:tcPr>
            <w:tcW w:w="164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116°36'21"</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w:t>
            </w:r>
          </w:p>
        </w:tc>
        <w:tc>
          <w:tcPr>
            <w:tcW w:w="214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San Quintín</w:t>
            </w:r>
          </w:p>
        </w:tc>
        <w:tc>
          <w:tcPr>
            <w:tcW w:w="13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Baja California</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B</w:t>
            </w:r>
          </w:p>
        </w:tc>
        <w:tc>
          <w:tcPr>
            <w:tcW w:w="158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30°33'37"</w:t>
            </w:r>
          </w:p>
        </w:tc>
        <w:tc>
          <w:tcPr>
            <w:tcW w:w="164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115°56'33"</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3</w:t>
            </w:r>
          </w:p>
        </w:tc>
        <w:tc>
          <w:tcPr>
            <w:tcW w:w="214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Sansón</w:t>
            </w:r>
          </w:p>
        </w:tc>
        <w:tc>
          <w:tcPr>
            <w:tcW w:w="13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Estado de México</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B</w:t>
            </w:r>
          </w:p>
        </w:tc>
        <w:tc>
          <w:tcPr>
            <w:tcW w:w="158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19°23'02"</w:t>
            </w:r>
          </w:p>
        </w:tc>
        <w:tc>
          <w:tcPr>
            <w:tcW w:w="164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99°57'20"</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lastRenderedPageBreak/>
              <w:t>4</w:t>
            </w:r>
          </w:p>
        </w:tc>
        <w:tc>
          <w:tcPr>
            <w:tcW w:w="214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proofErr w:type="spellStart"/>
            <w:r w:rsidRPr="005B12CA">
              <w:rPr>
                <w:rFonts w:ascii="Arial" w:eastAsia="Times New Roman" w:hAnsi="Arial" w:cs="Arial"/>
                <w:sz w:val="16"/>
                <w:szCs w:val="16"/>
                <w:lang w:val="es-ES" w:eastAsia="es-ES"/>
              </w:rPr>
              <w:t>Tlalchichilpa</w:t>
            </w:r>
            <w:proofErr w:type="spellEnd"/>
          </w:p>
        </w:tc>
        <w:tc>
          <w:tcPr>
            <w:tcW w:w="13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Estado de México</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B</w:t>
            </w:r>
          </w:p>
        </w:tc>
        <w:tc>
          <w:tcPr>
            <w:tcW w:w="158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19°43'32"</w:t>
            </w:r>
          </w:p>
        </w:tc>
        <w:tc>
          <w:tcPr>
            <w:tcW w:w="164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100°00'35"</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5</w:t>
            </w:r>
          </w:p>
        </w:tc>
        <w:tc>
          <w:tcPr>
            <w:tcW w:w="214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El Arenal</w:t>
            </w:r>
          </w:p>
        </w:tc>
        <w:tc>
          <w:tcPr>
            <w:tcW w:w="13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Jalisco</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58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20°46'34"</w:t>
            </w:r>
          </w:p>
        </w:tc>
        <w:tc>
          <w:tcPr>
            <w:tcW w:w="164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6"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103°41'38"</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6</w:t>
            </w:r>
          </w:p>
        </w:tc>
        <w:tc>
          <w:tcPr>
            <w:tcW w:w="214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Pátzcuaro</w:t>
            </w:r>
          </w:p>
        </w:tc>
        <w:tc>
          <w:tcPr>
            <w:tcW w:w="13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Michoacán</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B</w:t>
            </w:r>
          </w:p>
        </w:tc>
        <w:tc>
          <w:tcPr>
            <w:tcW w:w="158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19°30'59"</w:t>
            </w:r>
          </w:p>
        </w:tc>
        <w:tc>
          <w:tcPr>
            <w:tcW w:w="164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101°36'35"</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7</w:t>
            </w:r>
          </w:p>
        </w:tc>
        <w:tc>
          <w:tcPr>
            <w:tcW w:w="214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Morelia</w:t>
            </w:r>
          </w:p>
        </w:tc>
        <w:tc>
          <w:tcPr>
            <w:tcW w:w="13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Michoacán</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B</w:t>
            </w:r>
          </w:p>
        </w:tc>
        <w:tc>
          <w:tcPr>
            <w:tcW w:w="158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19°42'08"</w:t>
            </w:r>
          </w:p>
        </w:tc>
        <w:tc>
          <w:tcPr>
            <w:tcW w:w="164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101°11'08"</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8</w:t>
            </w:r>
          </w:p>
        </w:tc>
        <w:tc>
          <w:tcPr>
            <w:tcW w:w="214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Zamora de Hidalgo</w:t>
            </w:r>
          </w:p>
        </w:tc>
        <w:tc>
          <w:tcPr>
            <w:tcW w:w="13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Michoacán</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B</w:t>
            </w:r>
          </w:p>
        </w:tc>
        <w:tc>
          <w:tcPr>
            <w:tcW w:w="158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19°59'08"</w:t>
            </w:r>
          </w:p>
        </w:tc>
        <w:tc>
          <w:tcPr>
            <w:tcW w:w="164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102°16'59"</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w:t>
            </w:r>
          </w:p>
        </w:tc>
        <w:tc>
          <w:tcPr>
            <w:tcW w:w="214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Cuernavaca</w:t>
            </w:r>
          </w:p>
        </w:tc>
        <w:tc>
          <w:tcPr>
            <w:tcW w:w="13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Morelos</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b/>
                <w:sz w:val="16"/>
                <w:szCs w:val="16"/>
                <w:u w:val="single"/>
                <w:lang w:val="es-ES" w:eastAsia="es-ES"/>
              </w:rPr>
              <w:t>Clase de Estación C</w:t>
            </w:r>
          </w:p>
        </w:tc>
        <w:tc>
          <w:tcPr>
            <w:tcW w:w="158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18°55'07"</w:t>
            </w:r>
          </w:p>
        </w:tc>
        <w:tc>
          <w:tcPr>
            <w:tcW w:w="164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99°14'03"</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w:t>
            </w:r>
          </w:p>
        </w:tc>
        <w:tc>
          <w:tcPr>
            <w:tcW w:w="214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San Nicolás de los Garza</w:t>
            </w:r>
          </w:p>
        </w:tc>
        <w:tc>
          <w:tcPr>
            <w:tcW w:w="13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Nuevo León</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C</w:t>
            </w:r>
          </w:p>
        </w:tc>
        <w:tc>
          <w:tcPr>
            <w:tcW w:w="158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25°44'30"</w:t>
            </w:r>
          </w:p>
        </w:tc>
        <w:tc>
          <w:tcPr>
            <w:tcW w:w="164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100°18'08"</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11</w:t>
            </w:r>
          </w:p>
        </w:tc>
        <w:tc>
          <w:tcPr>
            <w:tcW w:w="214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 xml:space="preserve">Ciudad de </w:t>
            </w:r>
            <w:proofErr w:type="spellStart"/>
            <w:r w:rsidRPr="005B12CA">
              <w:rPr>
                <w:rFonts w:ascii="Arial" w:eastAsia="Times New Roman" w:hAnsi="Arial" w:cs="Arial"/>
                <w:color w:val="000000"/>
                <w:sz w:val="16"/>
                <w:szCs w:val="16"/>
                <w:lang w:val="es-ES" w:eastAsia="es-ES"/>
              </w:rPr>
              <w:t>Ajalpan</w:t>
            </w:r>
            <w:proofErr w:type="spellEnd"/>
          </w:p>
        </w:tc>
        <w:tc>
          <w:tcPr>
            <w:tcW w:w="13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Puebla</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B</w:t>
            </w:r>
          </w:p>
        </w:tc>
        <w:tc>
          <w:tcPr>
            <w:tcW w:w="158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18°22'42"</w:t>
            </w:r>
          </w:p>
        </w:tc>
        <w:tc>
          <w:tcPr>
            <w:tcW w:w="164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97°15'34"</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12</w:t>
            </w:r>
          </w:p>
        </w:tc>
        <w:tc>
          <w:tcPr>
            <w:tcW w:w="214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 xml:space="preserve">Ciudad de </w:t>
            </w:r>
            <w:proofErr w:type="spellStart"/>
            <w:r w:rsidRPr="005B12CA">
              <w:rPr>
                <w:rFonts w:ascii="Arial" w:eastAsia="Times New Roman" w:hAnsi="Arial" w:cs="Arial"/>
                <w:b/>
                <w:color w:val="000000"/>
                <w:sz w:val="16"/>
                <w:szCs w:val="16"/>
                <w:u w:val="single"/>
                <w:lang w:val="es-ES" w:eastAsia="es-ES"/>
              </w:rPr>
              <w:t>Cuetzalan</w:t>
            </w:r>
            <w:proofErr w:type="spellEnd"/>
          </w:p>
        </w:tc>
        <w:tc>
          <w:tcPr>
            <w:tcW w:w="13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Puebla</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58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20°01'07"</w:t>
            </w:r>
          </w:p>
        </w:tc>
        <w:tc>
          <w:tcPr>
            <w:tcW w:w="164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97°31'16"</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13</w:t>
            </w:r>
          </w:p>
        </w:tc>
        <w:tc>
          <w:tcPr>
            <w:tcW w:w="214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Ciudad Serdán</w:t>
            </w:r>
          </w:p>
        </w:tc>
        <w:tc>
          <w:tcPr>
            <w:tcW w:w="13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Puebla</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58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18°59'20"</w:t>
            </w:r>
          </w:p>
        </w:tc>
        <w:tc>
          <w:tcPr>
            <w:tcW w:w="164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97°26'48"</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14</w:t>
            </w:r>
          </w:p>
        </w:tc>
        <w:tc>
          <w:tcPr>
            <w:tcW w:w="214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 xml:space="preserve">San Jerónimo </w:t>
            </w:r>
            <w:proofErr w:type="spellStart"/>
            <w:r w:rsidRPr="005B12CA">
              <w:rPr>
                <w:rFonts w:ascii="Arial" w:eastAsia="Times New Roman" w:hAnsi="Arial" w:cs="Arial"/>
                <w:color w:val="000000"/>
                <w:sz w:val="16"/>
                <w:szCs w:val="16"/>
                <w:lang w:val="es-ES" w:eastAsia="es-ES"/>
              </w:rPr>
              <w:t>Xayacatlán</w:t>
            </w:r>
            <w:proofErr w:type="spellEnd"/>
          </w:p>
        </w:tc>
        <w:tc>
          <w:tcPr>
            <w:tcW w:w="13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Puebla</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B</w:t>
            </w:r>
          </w:p>
        </w:tc>
        <w:tc>
          <w:tcPr>
            <w:tcW w:w="158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18°13'26"</w:t>
            </w:r>
          </w:p>
        </w:tc>
        <w:tc>
          <w:tcPr>
            <w:tcW w:w="164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97°55'01"</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15</w:t>
            </w:r>
          </w:p>
        </w:tc>
        <w:tc>
          <w:tcPr>
            <w:tcW w:w="214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 xml:space="preserve">San Juan </w:t>
            </w:r>
            <w:proofErr w:type="spellStart"/>
            <w:r w:rsidRPr="005B12CA">
              <w:rPr>
                <w:rFonts w:ascii="Arial" w:eastAsia="Times New Roman" w:hAnsi="Arial" w:cs="Arial"/>
                <w:b/>
                <w:color w:val="000000"/>
                <w:sz w:val="16"/>
                <w:szCs w:val="16"/>
                <w:u w:val="single"/>
                <w:lang w:val="es-ES" w:eastAsia="es-ES"/>
              </w:rPr>
              <w:t>Ixcaquixtla</w:t>
            </w:r>
            <w:proofErr w:type="spellEnd"/>
          </w:p>
        </w:tc>
        <w:tc>
          <w:tcPr>
            <w:tcW w:w="13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Puebla</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58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18°27'39"</w:t>
            </w:r>
          </w:p>
        </w:tc>
        <w:tc>
          <w:tcPr>
            <w:tcW w:w="164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97°49'52"</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16</w:t>
            </w:r>
          </w:p>
        </w:tc>
        <w:tc>
          <w:tcPr>
            <w:tcW w:w="214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 xml:space="preserve">Tehuacán, </w:t>
            </w:r>
            <w:proofErr w:type="spellStart"/>
            <w:r w:rsidRPr="005B12CA">
              <w:rPr>
                <w:rFonts w:ascii="Arial" w:eastAsia="Times New Roman" w:hAnsi="Arial" w:cs="Arial"/>
                <w:b/>
                <w:color w:val="000000"/>
                <w:sz w:val="16"/>
                <w:szCs w:val="16"/>
                <w:u w:val="single"/>
                <w:lang w:val="es-ES" w:eastAsia="es-ES"/>
              </w:rPr>
              <w:t>Atexcal</w:t>
            </w:r>
            <w:proofErr w:type="spellEnd"/>
            <w:r w:rsidRPr="005B12CA">
              <w:rPr>
                <w:rFonts w:ascii="Arial" w:eastAsia="Times New Roman" w:hAnsi="Arial" w:cs="Arial"/>
                <w:b/>
                <w:color w:val="000000"/>
                <w:sz w:val="16"/>
                <w:szCs w:val="16"/>
                <w:u w:val="single"/>
                <w:lang w:val="es-ES" w:eastAsia="es-ES"/>
              </w:rPr>
              <w:t xml:space="preserve"> y Zapotitlán</w:t>
            </w:r>
          </w:p>
        </w:tc>
        <w:tc>
          <w:tcPr>
            <w:tcW w:w="13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Puebla</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58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18°26'27"</w:t>
            </w:r>
          </w:p>
        </w:tc>
        <w:tc>
          <w:tcPr>
            <w:tcW w:w="164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97°22'26"</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17</w:t>
            </w:r>
          </w:p>
        </w:tc>
        <w:tc>
          <w:tcPr>
            <w:tcW w:w="214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color w:val="000000"/>
                <w:sz w:val="16"/>
                <w:szCs w:val="16"/>
                <w:u w:val="single"/>
                <w:lang w:val="es-ES" w:eastAsia="es-ES"/>
              </w:rPr>
            </w:pPr>
            <w:proofErr w:type="spellStart"/>
            <w:r w:rsidRPr="005B12CA">
              <w:rPr>
                <w:rFonts w:ascii="Arial" w:eastAsia="Times New Roman" w:hAnsi="Arial" w:cs="Arial"/>
                <w:b/>
                <w:color w:val="000000"/>
                <w:sz w:val="16"/>
                <w:szCs w:val="16"/>
                <w:u w:val="single"/>
                <w:lang w:val="es-ES" w:eastAsia="es-ES"/>
              </w:rPr>
              <w:t>Tepexi</w:t>
            </w:r>
            <w:proofErr w:type="spellEnd"/>
            <w:r w:rsidRPr="005B12CA">
              <w:rPr>
                <w:rFonts w:ascii="Arial" w:eastAsia="Times New Roman" w:hAnsi="Arial" w:cs="Arial"/>
                <w:b/>
                <w:color w:val="000000"/>
                <w:sz w:val="16"/>
                <w:szCs w:val="16"/>
                <w:u w:val="single"/>
                <w:lang w:val="es-ES" w:eastAsia="es-ES"/>
              </w:rPr>
              <w:t xml:space="preserve"> de Rodríguez</w:t>
            </w:r>
          </w:p>
        </w:tc>
        <w:tc>
          <w:tcPr>
            <w:tcW w:w="13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Puebla</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58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18°34'46"</w:t>
            </w:r>
          </w:p>
        </w:tc>
        <w:tc>
          <w:tcPr>
            <w:tcW w:w="164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97°55'35"</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18</w:t>
            </w:r>
          </w:p>
        </w:tc>
        <w:tc>
          <w:tcPr>
            <w:tcW w:w="214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color w:val="000000"/>
                <w:sz w:val="16"/>
                <w:szCs w:val="16"/>
                <w:u w:val="single"/>
                <w:lang w:val="es-ES" w:eastAsia="es-ES"/>
              </w:rPr>
            </w:pPr>
            <w:proofErr w:type="spellStart"/>
            <w:r w:rsidRPr="005B12CA">
              <w:rPr>
                <w:rFonts w:ascii="Arial" w:eastAsia="Times New Roman" w:hAnsi="Arial" w:cs="Arial"/>
                <w:b/>
                <w:color w:val="000000"/>
                <w:sz w:val="16"/>
                <w:szCs w:val="16"/>
                <w:u w:val="single"/>
                <w:lang w:val="es-ES" w:eastAsia="es-ES"/>
              </w:rPr>
              <w:t>Tezuitlán</w:t>
            </w:r>
            <w:proofErr w:type="spellEnd"/>
          </w:p>
        </w:tc>
        <w:tc>
          <w:tcPr>
            <w:tcW w:w="13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Puebla</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58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19°48'35"</w:t>
            </w:r>
          </w:p>
        </w:tc>
        <w:tc>
          <w:tcPr>
            <w:tcW w:w="164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97°23'04"</w:t>
            </w:r>
          </w:p>
        </w:tc>
      </w:tr>
    </w:tbl>
    <w:p w:rsidR="005B12CA" w:rsidRPr="005B12CA" w:rsidRDefault="005B12CA" w:rsidP="005B12CA">
      <w:pPr>
        <w:spacing w:after="0" w:line="240" w:lineRule="auto"/>
        <w:rPr>
          <w:rFonts w:ascii="Times New Roman" w:eastAsia="Times New Roman" w:hAnsi="Times New Roman" w:cs="Times New Roman"/>
          <w:sz w:val="2"/>
          <w:szCs w:val="24"/>
          <w:lang w:val="es-ES" w:eastAsia="es-ES"/>
        </w:rPr>
      </w:pPr>
    </w:p>
    <w:tbl>
      <w:tblPr>
        <w:tblW w:w="8712" w:type="dxa"/>
        <w:tblInd w:w="144" w:type="dxa"/>
        <w:tblLayout w:type="fixed"/>
        <w:tblCellMar>
          <w:left w:w="72" w:type="dxa"/>
          <w:right w:w="72" w:type="dxa"/>
        </w:tblCellMar>
        <w:tblLook w:val="0000" w:firstRow="0" w:lastRow="0" w:firstColumn="0" w:lastColumn="0" w:noHBand="0" w:noVBand="0"/>
      </w:tblPr>
      <w:tblGrid>
        <w:gridCol w:w="426"/>
        <w:gridCol w:w="2146"/>
        <w:gridCol w:w="1386"/>
        <w:gridCol w:w="1521"/>
        <w:gridCol w:w="1584"/>
        <w:gridCol w:w="1649"/>
      </w:tblGrid>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19</w:t>
            </w:r>
          </w:p>
        </w:tc>
        <w:tc>
          <w:tcPr>
            <w:tcW w:w="214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Tlacotepec de Benito Juárez</w:t>
            </w:r>
          </w:p>
        </w:tc>
        <w:tc>
          <w:tcPr>
            <w:tcW w:w="13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Puebla</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58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18°41'25"</w:t>
            </w:r>
          </w:p>
        </w:tc>
        <w:tc>
          <w:tcPr>
            <w:tcW w:w="164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color w:val="000000"/>
                <w:sz w:val="16"/>
                <w:szCs w:val="16"/>
                <w:u w:val="single"/>
                <w:lang w:val="es-ES" w:eastAsia="es-ES"/>
              </w:rPr>
            </w:pPr>
            <w:r w:rsidRPr="005B12CA">
              <w:rPr>
                <w:rFonts w:ascii="Arial" w:eastAsia="Times New Roman" w:hAnsi="Arial" w:cs="Arial"/>
                <w:b/>
                <w:color w:val="000000"/>
                <w:sz w:val="16"/>
                <w:szCs w:val="16"/>
                <w:u w:val="single"/>
                <w:lang w:val="es-ES" w:eastAsia="es-ES"/>
              </w:rPr>
              <w:t>97°39'48"</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20</w:t>
            </w:r>
          </w:p>
        </w:tc>
        <w:tc>
          <w:tcPr>
            <w:tcW w:w="214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proofErr w:type="spellStart"/>
            <w:r w:rsidRPr="005B12CA">
              <w:rPr>
                <w:rFonts w:ascii="Arial" w:eastAsia="Times New Roman" w:hAnsi="Arial" w:cs="Arial"/>
                <w:color w:val="000000"/>
                <w:sz w:val="16"/>
                <w:szCs w:val="16"/>
                <w:lang w:val="es-ES" w:eastAsia="es-ES"/>
              </w:rPr>
              <w:t>Zoquitlán</w:t>
            </w:r>
            <w:proofErr w:type="spellEnd"/>
          </w:p>
        </w:tc>
        <w:tc>
          <w:tcPr>
            <w:tcW w:w="13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Puebla</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B</w:t>
            </w:r>
          </w:p>
        </w:tc>
        <w:tc>
          <w:tcPr>
            <w:tcW w:w="158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18°20'11"</w:t>
            </w:r>
          </w:p>
        </w:tc>
        <w:tc>
          <w:tcPr>
            <w:tcW w:w="164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97°01'05"</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21</w:t>
            </w:r>
          </w:p>
        </w:tc>
        <w:tc>
          <w:tcPr>
            <w:tcW w:w="214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Matehuala</w:t>
            </w:r>
          </w:p>
        </w:tc>
        <w:tc>
          <w:tcPr>
            <w:tcW w:w="13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San Luis Potosí</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B</w:t>
            </w:r>
          </w:p>
        </w:tc>
        <w:tc>
          <w:tcPr>
            <w:tcW w:w="158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23°38'47"</w:t>
            </w:r>
          </w:p>
        </w:tc>
        <w:tc>
          <w:tcPr>
            <w:tcW w:w="164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100°38'40"</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22</w:t>
            </w:r>
          </w:p>
        </w:tc>
        <w:tc>
          <w:tcPr>
            <w:tcW w:w="214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Salinas de Hidalgo</w:t>
            </w:r>
          </w:p>
        </w:tc>
        <w:tc>
          <w:tcPr>
            <w:tcW w:w="13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San Luis Potosí</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B</w:t>
            </w:r>
          </w:p>
        </w:tc>
        <w:tc>
          <w:tcPr>
            <w:tcW w:w="158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22°37'44"</w:t>
            </w:r>
          </w:p>
        </w:tc>
        <w:tc>
          <w:tcPr>
            <w:tcW w:w="164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101°42'31"</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23</w:t>
            </w:r>
          </w:p>
        </w:tc>
        <w:tc>
          <w:tcPr>
            <w:tcW w:w="214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San Luis Potosí</w:t>
            </w:r>
          </w:p>
        </w:tc>
        <w:tc>
          <w:tcPr>
            <w:tcW w:w="13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San Luis Potosí</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B</w:t>
            </w:r>
          </w:p>
        </w:tc>
        <w:tc>
          <w:tcPr>
            <w:tcW w:w="158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22°08'59"</w:t>
            </w:r>
          </w:p>
        </w:tc>
        <w:tc>
          <w:tcPr>
            <w:tcW w:w="164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100°58'30"</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lastRenderedPageBreak/>
              <w:t>24</w:t>
            </w:r>
          </w:p>
        </w:tc>
        <w:tc>
          <w:tcPr>
            <w:tcW w:w="214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proofErr w:type="spellStart"/>
            <w:r w:rsidRPr="005B12CA">
              <w:rPr>
                <w:rFonts w:ascii="Arial" w:eastAsia="Times New Roman" w:hAnsi="Arial" w:cs="Arial"/>
                <w:color w:val="000000"/>
                <w:sz w:val="16"/>
                <w:szCs w:val="16"/>
                <w:lang w:val="es-ES" w:eastAsia="es-ES"/>
              </w:rPr>
              <w:t>Tamazunchale</w:t>
            </w:r>
            <w:proofErr w:type="spellEnd"/>
          </w:p>
        </w:tc>
        <w:tc>
          <w:tcPr>
            <w:tcW w:w="13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San Luis Potosí</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B</w:t>
            </w:r>
          </w:p>
        </w:tc>
        <w:tc>
          <w:tcPr>
            <w:tcW w:w="158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21°15'46"</w:t>
            </w:r>
          </w:p>
        </w:tc>
        <w:tc>
          <w:tcPr>
            <w:tcW w:w="164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98°47'29"</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25</w:t>
            </w:r>
          </w:p>
        </w:tc>
        <w:tc>
          <w:tcPr>
            <w:tcW w:w="214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Villa de Ramos</w:t>
            </w:r>
          </w:p>
        </w:tc>
        <w:tc>
          <w:tcPr>
            <w:tcW w:w="13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San Luis Potosí</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B</w:t>
            </w:r>
          </w:p>
        </w:tc>
        <w:tc>
          <w:tcPr>
            <w:tcW w:w="158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22°49'52"</w:t>
            </w:r>
          </w:p>
        </w:tc>
        <w:tc>
          <w:tcPr>
            <w:tcW w:w="164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6" w:lineRule="exact"/>
              <w:jc w:val="center"/>
              <w:rPr>
                <w:rFonts w:ascii="Arial" w:eastAsia="Times New Roman" w:hAnsi="Arial" w:cs="Arial"/>
                <w:sz w:val="16"/>
                <w:szCs w:val="16"/>
                <w:lang w:val="es-ES" w:eastAsia="es-ES"/>
              </w:rPr>
            </w:pPr>
            <w:r w:rsidRPr="005B12CA">
              <w:rPr>
                <w:rFonts w:ascii="Arial" w:eastAsia="Times New Roman" w:hAnsi="Arial" w:cs="Arial"/>
                <w:color w:val="000000"/>
                <w:sz w:val="16"/>
                <w:szCs w:val="16"/>
                <w:lang w:val="es-ES" w:eastAsia="es-ES"/>
              </w:rPr>
              <w:t>101°54'34"</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26</w:t>
            </w:r>
          </w:p>
        </w:tc>
        <w:tc>
          <w:tcPr>
            <w:tcW w:w="214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 xml:space="preserve">Buena Vista 2DA. sección (Colonia José </w:t>
            </w:r>
            <w:proofErr w:type="spellStart"/>
            <w:r w:rsidRPr="005B12CA">
              <w:rPr>
                <w:rFonts w:ascii="Arial" w:eastAsia="Times New Roman" w:hAnsi="Arial" w:cs="Arial"/>
                <w:sz w:val="16"/>
                <w:szCs w:val="16"/>
                <w:lang w:val="es-ES" w:eastAsia="es-ES"/>
              </w:rPr>
              <w:t>Marí</w:t>
            </w:r>
            <w:proofErr w:type="spellEnd"/>
            <w:r w:rsidRPr="005B12CA">
              <w:rPr>
                <w:rFonts w:ascii="Arial" w:eastAsia="Times New Roman" w:hAnsi="Arial" w:cs="Arial"/>
                <w:sz w:val="16"/>
                <w:szCs w:val="16"/>
                <w:lang w:val="es-ES" w:eastAsia="es-ES"/>
              </w:rPr>
              <w:t>)</w:t>
            </w:r>
          </w:p>
        </w:tc>
        <w:tc>
          <w:tcPr>
            <w:tcW w:w="13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Tabasco</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B</w:t>
            </w:r>
          </w:p>
        </w:tc>
        <w:tc>
          <w:tcPr>
            <w:tcW w:w="158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18°08'47"</w:t>
            </w:r>
          </w:p>
        </w:tc>
        <w:tc>
          <w:tcPr>
            <w:tcW w:w="164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92°45'32"</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27</w:t>
            </w:r>
          </w:p>
        </w:tc>
        <w:tc>
          <w:tcPr>
            <w:tcW w:w="214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Xalapa-Enríquez</w:t>
            </w:r>
          </w:p>
        </w:tc>
        <w:tc>
          <w:tcPr>
            <w:tcW w:w="138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Veracruz</w:t>
            </w:r>
          </w:p>
        </w:tc>
        <w:tc>
          <w:tcPr>
            <w:tcW w:w="1521"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Clase de Estación B</w:t>
            </w:r>
          </w:p>
        </w:tc>
        <w:tc>
          <w:tcPr>
            <w:tcW w:w="1584"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19°32'17"</w:t>
            </w:r>
          </w:p>
        </w:tc>
        <w:tc>
          <w:tcPr>
            <w:tcW w:w="164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96°54'33"</w:t>
            </w:r>
          </w:p>
        </w:tc>
      </w:tr>
    </w:tbl>
    <w:p w:rsidR="005B12CA" w:rsidRPr="005B12CA" w:rsidRDefault="005B12CA" w:rsidP="005B12CA">
      <w:pPr>
        <w:spacing w:after="101" w:line="270" w:lineRule="exact"/>
        <w:ind w:firstLine="288"/>
        <w:jc w:val="both"/>
        <w:rPr>
          <w:rFonts w:ascii="Arial" w:eastAsia="Times New Roman" w:hAnsi="Arial" w:cs="Arial"/>
          <w:b/>
          <w:sz w:val="18"/>
          <w:lang w:val="es-ES" w:eastAsia="es-ES"/>
        </w:rPr>
      </w:pPr>
    </w:p>
    <w:p w:rsidR="005B12CA" w:rsidRPr="005B12CA" w:rsidRDefault="005B12CA" w:rsidP="005B12CA">
      <w:pPr>
        <w:spacing w:after="101" w:line="270" w:lineRule="exact"/>
        <w:ind w:left="1526" w:hanging="648"/>
        <w:jc w:val="both"/>
        <w:rPr>
          <w:rFonts w:ascii="Arial" w:eastAsia="Times New Roman" w:hAnsi="Arial" w:cs="Arial"/>
          <w:b/>
          <w:sz w:val="18"/>
          <w:u w:val="single"/>
          <w:lang w:val="es-ES" w:eastAsia="es-ES"/>
        </w:rPr>
      </w:pPr>
      <w:r w:rsidRPr="005B12CA">
        <w:rPr>
          <w:rFonts w:ascii="Arial" w:eastAsia="Times New Roman" w:hAnsi="Arial" w:cs="Arial"/>
          <w:b/>
          <w:sz w:val="18"/>
          <w:lang w:val="es-ES" w:eastAsia="es-ES"/>
        </w:rPr>
        <w:t>2.2.3.3</w:t>
      </w:r>
      <w:r w:rsidRPr="005B12CA">
        <w:rPr>
          <w:rFonts w:ascii="Arial" w:eastAsia="Times New Roman" w:hAnsi="Arial" w:cs="Arial"/>
          <w:b/>
          <w:sz w:val="18"/>
          <w:lang w:val="es-ES" w:eastAsia="es-ES"/>
        </w:rPr>
        <w:tab/>
      </w:r>
      <w:r w:rsidRPr="005B12CA">
        <w:rPr>
          <w:rFonts w:ascii="Arial" w:eastAsia="Times New Roman" w:hAnsi="Arial" w:cs="Arial"/>
          <w:b/>
          <w:sz w:val="18"/>
          <w:u w:val="single"/>
          <w:lang w:val="es-ES" w:eastAsia="es-ES"/>
        </w:rPr>
        <w:t>AM – Uso Comercial</w:t>
      </w:r>
    </w:p>
    <w:tbl>
      <w:tblPr>
        <w:tblW w:w="8712" w:type="dxa"/>
        <w:tblInd w:w="144" w:type="dxa"/>
        <w:tblLayout w:type="fixed"/>
        <w:tblCellMar>
          <w:left w:w="72" w:type="dxa"/>
          <w:right w:w="72" w:type="dxa"/>
        </w:tblCellMar>
        <w:tblLook w:val="0000" w:firstRow="0" w:lastRow="0" w:firstColumn="0" w:lastColumn="0" w:noHBand="0" w:noVBand="0"/>
      </w:tblPr>
      <w:tblGrid>
        <w:gridCol w:w="426"/>
        <w:gridCol w:w="2143"/>
        <w:gridCol w:w="1125"/>
        <w:gridCol w:w="1887"/>
        <w:gridCol w:w="1629"/>
        <w:gridCol w:w="1502"/>
      </w:tblGrid>
      <w:tr w:rsidR="005B12CA" w:rsidRPr="005B12CA" w:rsidTr="004A714B">
        <w:trPr>
          <w:trHeight w:val="20"/>
        </w:trPr>
        <w:tc>
          <w:tcPr>
            <w:tcW w:w="426"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No</w:t>
            </w:r>
          </w:p>
        </w:tc>
        <w:tc>
          <w:tcPr>
            <w:tcW w:w="2143"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Localidad(es) principal(es) a servir</w:t>
            </w:r>
          </w:p>
        </w:tc>
        <w:tc>
          <w:tcPr>
            <w:tcW w:w="1125"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Estado</w:t>
            </w:r>
          </w:p>
        </w:tc>
        <w:tc>
          <w:tcPr>
            <w:tcW w:w="1887" w:type="dxa"/>
            <w:vMerge w:val="restart"/>
            <w:tcBorders>
              <w:top w:val="single" w:sz="6" w:space="0" w:color="auto"/>
              <w:left w:val="single" w:sz="6" w:space="0" w:color="auto"/>
              <w:right w:val="single" w:sz="6" w:space="0" w:color="auto"/>
            </w:tcBorders>
            <w:shd w:val="clear" w:color="auto" w:fill="C0C0C0"/>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w:t>
            </w:r>
          </w:p>
        </w:tc>
        <w:tc>
          <w:tcPr>
            <w:tcW w:w="3131"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Coordenadas Geográficas de Referencia</w:t>
            </w:r>
          </w:p>
        </w:tc>
      </w:tr>
      <w:tr w:rsidR="005B12CA" w:rsidRPr="005B12CA" w:rsidTr="004A714B">
        <w:trPr>
          <w:trHeight w:val="20"/>
        </w:trPr>
        <w:tc>
          <w:tcPr>
            <w:tcW w:w="426"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p>
        </w:tc>
        <w:tc>
          <w:tcPr>
            <w:tcW w:w="2143"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p>
        </w:tc>
        <w:tc>
          <w:tcPr>
            <w:tcW w:w="1125"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p>
        </w:tc>
        <w:tc>
          <w:tcPr>
            <w:tcW w:w="1887" w:type="dxa"/>
            <w:vMerge/>
            <w:tcBorders>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p>
        </w:tc>
        <w:tc>
          <w:tcPr>
            <w:tcW w:w="1629" w:type="dxa"/>
            <w:tcBorders>
              <w:top w:val="single" w:sz="6" w:space="0" w:color="auto"/>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Latitud Norte (GGMMSS.SS)</w:t>
            </w:r>
          </w:p>
        </w:tc>
        <w:tc>
          <w:tcPr>
            <w:tcW w:w="1502" w:type="dxa"/>
            <w:tcBorders>
              <w:top w:val="single" w:sz="6" w:space="0" w:color="auto"/>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Longitud Oeste (GGMMSS.SS)</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proofErr w:type="spellStart"/>
            <w:r w:rsidRPr="005B12CA">
              <w:rPr>
                <w:rFonts w:ascii="Arial" w:eastAsia="Times New Roman" w:hAnsi="Arial" w:cs="Arial"/>
                <w:b/>
                <w:sz w:val="16"/>
                <w:szCs w:val="16"/>
                <w:u w:val="single"/>
                <w:lang w:val="es-ES" w:eastAsia="es-ES"/>
              </w:rPr>
              <w:t>Hopelchén</w:t>
            </w:r>
            <w:proofErr w:type="spellEnd"/>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Campeche</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19°44'41"</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89°50'42"</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proofErr w:type="spellStart"/>
            <w:r w:rsidRPr="005B12CA">
              <w:rPr>
                <w:rFonts w:ascii="Arial" w:eastAsia="Times New Roman" w:hAnsi="Arial" w:cs="Arial"/>
                <w:b/>
                <w:sz w:val="16"/>
                <w:szCs w:val="16"/>
                <w:u w:val="single"/>
                <w:lang w:val="es-ES" w:eastAsia="es-ES"/>
              </w:rPr>
              <w:t>Tarimoro</w:t>
            </w:r>
            <w:proofErr w:type="spellEnd"/>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Guanajuato</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20°17'19"</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100°45'29"</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3</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proofErr w:type="spellStart"/>
            <w:r w:rsidRPr="005B12CA">
              <w:rPr>
                <w:rFonts w:ascii="Arial" w:eastAsia="Times New Roman" w:hAnsi="Arial" w:cs="Arial"/>
                <w:b/>
                <w:sz w:val="16"/>
                <w:szCs w:val="16"/>
                <w:u w:val="single"/>
                <w:lang w:val="es-ES" w:eastAsia="es-ES"/>
              </w:rPr>
              <w:t>Técpan</w:t>
            </w:r>
            <w:proofErr w:type="spellEnd"/>
            <w:r w:rsidRPr="005B12CA">
              <w:rPr>
                <w:rFonts w:ascii="Arial" w:eastAsia="Times New Roman" w:hAnsi="Arial" w:cs="Arial"/>
                <w:b/>
                <w:sz w:val="16"/>
                <w:szCs w:val="16"/>
                <w:u w:val="single"/>
                <w:lang w:val="es-ES" w:eastAsia="es-ES"/>
              </w:rPr>
              <w:t xml:space="preserve"> de Galeana</w:t>
            </w:r>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Guerrero</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17°12'50"</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100°37'48"</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4</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Atotonilco de Tula</w:t>
            </w:r>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Hidalgo</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20°00'26"</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99°13'14"</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5</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Ameca</w:t>
            </w:r>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Jalisco</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20°32'55"</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104°02'35"</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6</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proofErr w:type="spellStart"/>
            <w:r w:rsidRPr="005B12CA">
              <w:rPr>
                <w:rFonts w:ascii="Arial" w:eastAsia="Times New Roman" w:hAnsi="Arial" w:cs="Arial"/>
                <w:b/>
                <w:sz w:val="16"/>
                <w:szCs w:val="16"/>
                <w:u w:val="single"/>
                <w:lang w:val="es-ES" w:eastAsia="es-ES"/>
              </w:rPr>
              <w:t>Cocula</w:t>
            </w:r>
            <w:proofErr w:type="spellEnd"/>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Jalisco</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20°22'03"</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103°49'27"</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7</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Tequila</w:t>
            </w:r>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Jalisco</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20°52'46"</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103°50'08"</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8</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proofErr w:type="spellStart"/>
            <w:r w:rsidRPr="005B12CA">
              <w:rPr>
                <w:rFonts w:ascii="Arial" w:eastAsia="Times New Roman" w:hAnsi="Arial" w:cs="Arial"/>
                <w:b/>
                <w:sz w:val="16"/>
                <w:szCs w:val="16"/>
                <w:u w:val="single"/>
                <w:lang w:val="es-ES" w:eastAsia="es-ES"/>
              </w:rPr>
              <w:t>Tomatlán</w:t>
            </w:r>
            <w:proofErr w:type="spellEnd"/>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Jalisco</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19°56'29"</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105°14'43"</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proofErr w:type="spellStart"/>
            <w:r w:rsidRPr="005B12CA">
              <w:rPr>
                <w:rFonts w:ascii="Arial" w:eastAsia="Times New Roman" w:hAnsi="Arial" w:cs="Arial"/>
                <w:b/>
                <w:sz w:val="16"/>
                <w:szCs w:val="16"/>
                <w:u w:val="single"/>
                <w:lang w:val="es-ES" w:eastAsia="es-ES"/>
              </w:rPr>
              <w:t>Ahuacatlán</w:t>
            </w:r>
            <w:proofErr w:type="spellEnd"/>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Nayarit</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21°03'16"</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104°29'04"</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Compostela</w:t>
            </w:r>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Nayarit</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21°14'14"</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104°54'03"</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11</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Jala</w:t>
            </w:r>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Nayarit</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21°06'13"</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104°26'10"</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12</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Linares, Iturbide</w:t>
            </w:r>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Nuevo León</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24°52'19.76"</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99°34'22.5"</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13</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 xml:space="preserve">Sabinas Hidalgo, </w:t>
            </w:r>
            <w:proofErr w:type="spellStart"/>
            <w:r w:rsidRPr="005B12CA">
              <w:rPr>
                <w:rFonts w:ascii="Arial" w:eastAsia="Times New Roman" w:hAnsi="Arial" w:cs="Arial"/>
                <w:b/>
                <w:sz w:val="16"/>
                <w:szCs w:val="16"/>
                <w:u w:val="single"/>
                <w:lang w:val="es-ES" w:eastAsia="es-ES"/>
              </w:rPr>
              <w:t>Villaldama</w:t>
            </w:r>
            <w:proofErr w:type="spellEnd"/>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Nuevo León</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C</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26°29'23"</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100°10'54"</w:t>
            </w:r>
          </w:p>
        </w:tc>
      </w:tr>
    </w:tbl>
    <w:p w:rsidR="005B12CA" w:rsidRPr="005B12CA" w:rsidRDefault="005B12CA" w:rsidP="005B12CA">
      <w:pPr>
        <w:spacing w:after="0" w:line="240" w:lineRule="auto"/>
        <w:rPr>
          <w:rFonts w:ascii="Times New Roman" w:eastAsia="Times New Roman" w:hAnsi="Times New Roman" w:cs="Times New Roman"/>
          <w:sz w:val="2"/>
          <w:szCs w:val="24"/>
          <w:lang w:val="es-ES" w:eastAsia="es-ES"/>
        </w:rPr>
      </w:pPr>
    </w:p>
    <w:tbl>
      <w:tblPr>
        <w:tblW w:w="8712" w:type="dxa"/>
        <w:tblInd w:w="144" w:type="dxa"/>
        <w:tblLayout w:type="fixed"/>
        <w:tblCellMar>
          <w:left w:w="72" w:type="dxa"/>
          <w:right w:w="72" w:type="dxa"/>
        </w:tblCellMar>
        <w:tblLook w:val="0000" w:firstRow="0" w:lastRow="0" w:firstColumn="0" w:lastColumn="0" w:noHBand="0" w:noVBand="0"/>
      </w:tblPr>
      <w:tblGrid>
        <w:gridCol w:w="426"/>
        <w:gridCol w:w="2143"/>
        <w:gridCol w:w="1125"/>
        <w:gridCol w:w="1887"/>
        <w:gridCol w:w="1629"/>
        <w:gridCol w:w="1502"/>
      </w:tblGrid>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14</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San Nicolás de los Garza</w:t>
            </w:r>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Nuevo León</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C</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25°44'30"</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100°18'08"</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15</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José María Morelos</w:t>
            </w:r>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Quintana Roo</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19°44'46"</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88°42'45"</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16</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San Luis Potosí</w:t>
            </w:r>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San Luis Potosí</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22°08'59"</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100°58'30"</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17</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proofErr w:type="spellStart"/>
            <w:r w:rsidRPr="005B12CA">
              <w:rPr>
                <w:rFonts w:ascii="Arial" w:eastAsia="Times New Roman" w:hAnsi="Arial" w:cs="Arial"/>
                <w:b/>
                <w:sz w:val="16"/>
                <w:szCs w:val="16"/>
                <w:u w:val="single"/>
                <w:lang w:val="es-ES" w:eastAsia="es-ES"/>
              </w:rPr>
              <w:t>Tamazunchale</w:t>
            </w:r>
            <w:proofErr w:type="spellEnd"/>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San Luis Potosí</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21°15'46"</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98°47'29"</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18</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proofErr w:type="spellStart"/>
            <w:r w:rsidRPr="005B12CA">
              <w:rPr>
                <w:rFonts w:ascii="Arial" w:eastAsia="Times New Roman" w:hAnsi="Arial" w:cs="Arial"/>
                <w:b/>
                <w:sz w:val="16"/>
                <w:szCs w:val="16"/>
                <w:u w:val="single"/>
                <w:lang w:val="es-ES" w:eastAsia="es-ES"/>
              </w:rPr>
              <w:t>Panabá</w:t>
            </w:r>
            <w:proofErr w:type="spellEnd"/>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Yucatán</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21°17'47"</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88°16'14"</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19</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Peto</w:t>
            </w:r>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Yucatán</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20°07'29.19"</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88°56'08.6"</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lastRenderedPageBreak/>
              <w:t>20</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proofErr w:type="spellStart"/>
            <w:r w:rsidRPr="005B12CA">
              <w:rPr>
                <w:rFonts w:ascii="Arial" w:eastAsia="Times New Roman" w:hAnsi="Arial" w:cs="Arial"/>
                <w:b/>
                <w:sz w:val="16"/>
                <w:szCs w:val="16"/>
                <w:u w:val="single"/>
                <w:lang w:val="es-ES" w:eastAsia="es-ES"/>
              </w:rPr>
              <w:t>Sucilá</w:t>
            </w:r>
            <w:proofErr w:type="spellEnd"/>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Yucatán</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21°09'16"</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88°18'49"</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21</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proofErr w:type="spellStart"/>
            <w:r w:rsidRPr="005B12CA">
              <w:rPr>
                <w:rFonts w:ascii="Arial" w:eastAsia="Times New Roman" w:hAnsi="Arial" w:cs="Arial"/>
                <w:b/>
                <w:sz w:val="16"/>
                <w:szCs w:val="16"/>
                <w:u w:val="single"/>
                <w:lang w:val="es-ES" w:eastAsia="es-ES"/>
              </w:rPr>
              <w:t>Tekax</w:t>
            </w:r>
            <w:proofErr w:type="spellEnd"/>
            <w:r w:rsidRPr="005B12CA">
              <w:rPr>
                <w:rFonts w:ascii="Arial" w:eastAsia="Times New Roman" w:hAnsi="Arial" w:cs="Arial"/>
                <w:b/>
                <w:sz w:val="16"/>
                <w:szCs w:val="16"/>
                <w:u w:val="single"/>
                <w:lang w:val="es-ES" w:eastAsia="es-ES"/>
              </w:rPr>
              <w:t xml:space="preserve"> de Álvaro Obregón</w:t>
            </w:r>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Yucatán</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20°12'07"</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89°17'17"</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22</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proofErr w:type="spellStart"/>
            <w:r w:rsidRPr="005B12CA">
              <w:rPr>
                <w:rFonts w:ascii="Arial" w:eastAsia="Times New Roman" w:hAnsi="Arial" w:cs="Arial"/>
                <w:b/>
                <w:sz w:val="16"/>
                <w:szCs w:val="16"/>
                <w:u w:val="single"/>
                <w:lang w:val="es-ES" w:eastAsia="es-ES"/>
              </w:rPr>
              <w:t>Ticul</w:t>
            </w:r>
            <w:proofErr w:type="spellEnd"/>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Yucatán</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20°23'43"</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89°32'02"</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23</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proofErr w:type="spellStart"/>
            <w:r w:rsidRPr="005B12CA">
              <w:rPr>
                <w:rFonts w:ascii="Arial" w:eastAsia="Times New Roman" w:hAnsi="Arial" w:cs="Arial"/>
                <w:b/>
                <w:sz w:val="16"/>
                <w:szCs w:val="16"/>
                <w:u w:val="single"/>
                <w:lang w:val="es-ES" w:eastAsia="es-ES"/>
              </w:rPr>
              <w:t>Apozol</w:t>
            </w:r>
            <w:proofErr w:type="spellEnd"/>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Zacatecas</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21°28'13"</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0"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103°05'27"</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24</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Calera</w:t>
            </w:r>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Zacatecas</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22°57'00"</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102°42'00"</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25</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Fresnillo</w:t>
            </w:r>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Zacatecas</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23°10'00"</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102°52'00"</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26</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Jalpa</w:t>
            </w:r>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Zacatecas</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21°38'00"</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102°58'00"</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27</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proofErr w:type="spellStart"/>
            <w:r w:rsidRPr="005B12CA">
              <w:rPr>
                <w:rFonts w:ascii="Arial" w:eastAsia="Times New Roman" w:hAnsi="Arial" w:cs="Arial"/>
                <w:b/>
                <w:sz w:val="16"/>
                <w:szCs w:val="16"/>
                <w:u w:val="single"/>
                <w:lang w:val="es-ES" w:eastAsia="es-ES"/>
              </w:rPr>
              <w:t>Juchipila</w:t>
            </w:r>
            <w:proofErr w:type="spellEnd"/>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Zacatecas</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21°25'00"</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103°07'00"</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28</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proofErr w:type="spellStart"/>
            <w:r w:rsidRPr="005B12CA">
              <w:rPr>
                <w:rFonts w:ascii="Arial" w:eastAsia="Times New Roman" w:hAnsi="Arial" w:cs="Arial"/>
                <w:b/>
                <w:sz w:val="16"/>
                <w:szCs w:val="16"/>
                <w:u w:val="single"/>
                <w:lang w:val="es-ES" w:eastAsia="es-ES"/>
              </w:rPr>
              <w:t>Nochistlán</w:t>
            </w:r>
            <w:proofErr w:type="spellEnd"/>
            <w:r w:rsidRPr="005B12CA">
              <w:rPr>
                <w:rFonts w:ascii="Arial" w:eastAsia="Times New Roman" w:hAnsi="Arial" w:cs="Arial"/>
                <w:b/>
                <w:sz w:val="16"/>
                <w:szCs w:val="16"/>
                <w:u w:val="single"/>
                <w:lang w:val="es-ES" w:eastAsia="es-ES"/>
              </w:rPr>
              <w:t xml:space="preserve"> de Mejía</w:t>
            </w:r>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Zacatecas</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21°22'00"</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102°51'00"</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29</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Sombrerete</w:t>
            </w:r>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Zacatecas</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23°38'00"</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103°38'00"</w:t>
            </w:r>
          </w:p>
        </w:tc>
      </w:tr>
      <w:tr w:rsidR="005B12CA" w:rsidRPr="005B12CA" w:rsidTr="004A714B">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30</w:t>
            </w:r>
          </w:p>
        </w:tc>
        <w:tc>
          <w:tcPr>
            <w:tcW w:w="2143"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proofErr w:type="spellStart"/>
            <w:r w:rsidRPr="005B12CA">
              <w:rPr>
                <w:rFonts w:ascii="Arial" w:eastAsia="Times New Roman" w:hAnsi="Arial" w:cs="Arial"/>
                <w:b/>
                <w:sz w:val="16"/>
                <w:szCs w:val="16"/>
                <w:u w:val="single"/>
                <w:lang w:val="es-ES" w:eastAsia="es-ES"/>
              </w:rPr>
              <w:t>Teul</w:t>
            </w:r>
            <w:proofErr w:type="spellEnd"/>
            <w:r w:rsidRPr="005B12CA">
              <w:rPr>
                <w:rFonts w:ascii="Arial" w:eastAsia="Times New Roman" w:hAnsi="Arial" w:cs="Arial"/>
                <w:b/>
                <w:sz w:val="16"/>
                <w:szCs w:val="16"/>
                <w:u w:val="single"/>
                <w:lang w:val="es-ES" w:eastAsia="es-ES"/>
              </w:rPr>
              <w:t xml:space="preserve"> de González Ortega</w:t>
            </w:r>
          </w:p>
        </w:tc>
        <w:tc>
          <w:tcPr>
            <w:tcW w:w="1125"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Zacatecas</w:t>
            </w:r>
          </w:p>
        </w:tc>
        <w:tc>
          <w:tcPr>
            <w:tcW w:w="188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Clase de Estación B</w:t>
            </w:r>
          </w:p>
        </w:tc>
        <w:tc>
          <w:tcPr>
            <w:tcW w:w="1629"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21°27'47"</w:t>
            </w:r>
          </w:p>
        </w:tc>
        <w:tc>
          <w:tcPr>
            <w:tcW w:w="1502"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103°27'42"</w:t>
            </w:r>
          </w:p>
        </w:tc>
      </w:tr>
    </w:tbl>
    <w:p w:rsidR="005B12CA" w:rsidRPr="005B12CA" w:rsidRDefault="005B12CA" w:rsidP="005B12CA">
      <w:pPr>
        <w:spacing w:after="101" w:line="264" w:lineRule="exact"/>
        <w:ind w:firstLine="288"/>
        <w:jc w:val="both"/>
        <w:rPr>
          <w:rFonts w:ascii="Arial" w:eastAsia="Times New Roman" w:hAnsi="Arial" w:cs="Arial"/>
          <w:b/>
          <w:sz w:val="18"/>
          <w:lang w:val="es-ES" w:eastAsia="es-ES"/>
        </w:rPr>
      </w:pPr>
    </w:p>
    <w:p w:rsidR="005B12CA" w:rsidRPr="005B12CA" w:rsidRDefault="005B12CA" w:rsidP="005B12CA">
      <w:pPr>
        <w:spacing w:after="101" w:line="264" w:lineRule="exact"/>
        <w:ind w:left="864" w:hanging="576"/>
        <w:jc w:val="both"/>
        <w:rPr>
          <w:rFonts w:ascii="Arial" w:eastAsia="Times New Roman" w:hAnsi="Arial" w:cs="Arial"/>
          <w:b/>
          <w:sz w:val="18"/>
          <w:lang w:val="es-ES" w:eastAsia="es-ES"/>
        </w:rPr>
      </w:pPr>
      <w:r w:rsidRPr="005B12CA">
        <w:rPr>
          <w:rFonts w:ascii="Arial" w:eastAsia="Times New Roman" w:hAnsi="Arial" w:cs="Arial"/>
          <w:b/>
          <w:sz w:val="18"/>
          <w:lang w:val="es-ES" w:eastAsia="es-ES"/>
        </w:rPr>
        <w:t>2.3.</w:t>
      </w:r>
      <w:r w:rsidRPr="005B12CA">
        <w:rPr>
          <w:rFonts w:ascii="Arial" w:eastAsia="Times New Roman" w:hAnsi="Arial" w:cs="Arial"/>
          <w:b/>
          <w:sz w:val="18"/>
          <w:lang w:val="es-ES" w:eastAsia="es-ES"/>
        </w:rPr>
        <w:tab/>
        <w:t>Reserva para estaciones de Radiodifusión Sonora Comunitarias e Indígenas</w:t>
      </w:r>
    </w:p>
    <w:p w:rsidR="005B12CA" w:rsidRPr="005B12CA" w:rsidRDefault="005B12CA" w:rsidP="005B12CA">
      <w:pPr>
        <w:spacing w:after="101" w:line="264"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El Programa 2017 contempla las siguientes Bandas de Frecuencias como reservadas para concesiones de radiodifusión sonora de Uso Social comunitarias e indígenas:</w:t>
      </w:r>
    </w:p>
    <w:p w:rsidR="005B12CA" w:rsidRPr="005B12CA" w:rsidRDefault="005B12CA" w:rsidP="005B12CA">
      <w:pPr>
        <w:spacing w:after="101" w:line="264" w:lineRule="exact"/>
        <w:ind w:left="864" w:hanging="576"/>
        <w:jc w:val="both"/>
        <w:rPr>
          <w:rFonts w:ascii="Arial" w:eastAsia="Times New Roman" w:hAnsi="Arial" w:cs="Arial"/>
          <w:sz w:val="18"/>
          <w:lang w:val="es-ES" w:eastAsia="es-ES"/>
        </w:rPr>
      </w:pPr>
      <w:r w:rsidRPr="005B12CA">
        <w:rPr>
          <w:rFonts w:ascii="Arial" w:eastAsia="Times New Roman" w:hAnsi="Arial" w:cs="Arial"/>
          <w:b/>
          <w:sz w:val="18"/>
          <w:lang w:val="es-ES" w:eastAsia="es-ES"/>
        </w:rPr>
        <w:tab/>
        <w:t>a)</w:t>
      </w:r>
      <w:r w:rsidRPr="005B12CA">
        <w:rPr>
          <w:rFonts w:ascii="Arial" w:eastAsia="Times New Roman" w:hAnsi="Arial" w:cs="Arial"/>
          <w:b/>
          <w:sz w:val="18"/>
          <w:lang w:val="es-ES" w:eastAsia="es-ES"/>
        </w:rPr>
        <w:tab/>
      </w:r>
      <w:r w:rsidRPr="005B12CA">
        <w:rPr>
          <w:rFonts w:ascii="Arial" w:eastAsia="Times New Roman" w:hAnsi="Arial" w:cs="Arial"/>
          <w:sz w:val="18"/>
          <w:lang w:val="es-ES" w:eastAsia="es-ES"/>
        </w:rPr>
        <w:t>Frecuencia Modulada (FM): 106-108 MHz; y</w:t>
      </w:r>
    </w:p>
    <w:p w:rsidR="005B12CA" w:rsidRPr="005B12CA" w:rsidRDefault="005B12CA" w:rsidP="005B12CA">
      <w:pPr>
        <w:spacing w:after="101" w:line="264" w:lineRule="exact"/>
        <w:ind w:left="864" w:hanging="576"/>
        <w:jc w:val="both"/>
        <w:rPr>
          <w:rFonts w:ascii="Arial" w:eastAsia="Times New Roman" w:hAnsi="Arial" w:cs="Arial"/>
          <w:sz w:val="18"/>
          <w:lang w:val="es-ES" w:eastAsia="es-ES"/>
        </w:rPr>
      </w:pPr>
      <w:r w:rsidRPr="005B12CA">
        <w:rPr>
          <w:rFonts w:ascii="Arial" w:eastAsia="Times New Roman" w:hAnsi="Arial" w:cs="Arial"/>
          <w:b/>
          <w:sz w:val="18"/>
          <w:lang w:val="es-ES" w:eastAsia="es-ES"/>
        </w:rPr>
        <w:tab/>
        <w:t>b)</w:t>
      </w:r>
      <w:r w:rsidRPr="005B12CA">
        <w:rPr>
          <w:rFonts w:ascii="Arial" w:eastAsia="Times New Roman" w:hAnsi="Arial" w:cs="Arial"/>
          <w:b/>
          <w:sz w:val="18"/>
          <w:lang w:val="es-ES" w:eastAsia="es-ES"/>
        </w:rPr>
        <w:tab/>
      </w:r>
      <w:r w:rsidRPr="005B12CA">
        <w:rPr>
          <w:rFonts w:ascii="Arial" w:eastAsia="Times New Roman" w:hAnsi="Arial" w:cs="Arial"/>
          <w:sz w:val="18"/>
          <w:lang w:val="es-ES" w:eastAsia="es-ES"/>
        </w:rPr>
        <w:t>Amplitud Modulada (AM): 1605-1705 kHz.</w:t>
      </w:r>
    </w:p>
    <w:p w:rsidR="005B12CA" w:rsidRPr="005B12CA" w:rsidRDefault="005B12CA" w:rsidP="005B12CA">
      <w:pPr>
        <w:spacing w:after="101" w:line="264" w:lineRule="exact"/>
        <w:ind w:left="864" w:hanging="576"/>
        <w:jc w:val="both"/>
        <w:rPr>
          <w:rFonts w:ascii="Arial" w:eastAsia="Times New Roman" w:hAnsi="Arial" w:cs="Arial"/>
          <w:sz w:val="18"/>
          <w:lang w:val="es-ES" w:eastAsia="es-ES"/>
        </w:rPr>
      </w:pPr>
      <w:r w:rsidRPr="005B12CA">
        <w:rPr>
          <w:rFonts w:ascii="Arial" w:eastAsia="Times New Roman" w:hAnsi="Arial" w:cs="Arial"/>
          <w:sz w:val="18"/>
          <w:lang w:val="es-ES" w:eastAsia="es-ES"/>
        </w:rPr>
        <w:tab/>
        <w:t xml:space="preserve">En caso de que no exista disponibilidad en la reserva correspondiente, el Instituto verificará si existe disponibilidad en el resto de </w:t>
      </w:r>
      <w:smartTag w:uri="urn:schemas-microsoft-com:office:smarttags" w:element="PersonName">
        <w:smartTagPr>
          <w:attr w:name="ProductID" w:val="la Banda"/>
        </w:smartTagPr>
        <w:r w:rsidRPr="005B12CA">
          <w:rPr>
            <w:rFonts w:ascii="Arial" w:eastAsia="Times New Roman" w:hAnsi="Arial" w:cs="Arial"/>
            <w:sz w:val="18"/>
            <w:lang w:val="es-ES" w:eastAsia="es-ES"/>
          </w:rPr>
          <w:t>la Banda</w:t>
        </w:r>
      </w:smartTag>
      <w:r w:rsidRPr="005B12CA">
        <w:rPr>
          <w:rFonts w:ascii="Arial" w:eastAsia="Times New Roman" w:hAnsi="Arial" w:cs="Arial"/>
          <w:sz w:val="18"/>
          <w:lang w:val="es-ES" w:eastAsia="es-ES"/>
        </w:rPr>
        <w:t xml:space="preserve"> de Frecuencias de que se trate, procurando asignar hasta un número igual a la cantidad de espacios ocupados por estaciones que no sean comunitarias e indígenas, que ya se encuentren operando en el segmento de reserva.</w:t>
      </w:r>
    </w:p>
    <w:p w:rsidR="005B12CA" w:rsidRPr="005B12CA" w:rsidRDefault="005B12CA" w:rsidP="004A714B">
      <w:pPr>
        <w:pStyle w:val="Ttulo3"/>
        <w:keepNext/>
        <w:keepLines/>
        <w:pBdr>
          <w:top w:val="none" w:sz="0" w:space="0" w:color="auto"/>
          <w:left w:val="none" w:sz="0" w:space="0" w:color="auto"/>
          <w:bottom w:val="none" w:sz="0" w:space="0" w:color="auto"/>
          <w:right w:val="none" w:sz="0" w:space="0" w:color="auto"/>
          <w:between w:val="none" w:sz="0" w:space="0" w:color="auto"/>
        </w:pBdr>
        <w:spacing w:before="40" w:line="276" w:lineRule="auto"/>
        <w:ind w:left="0" w:firstLine="0"/>
        <w:rPr>
          <w:rFonts w:ascii="Arial" w:hAnsi="Arial" w:cs="Arial"/>
          <w:b w:val="0"/>
          <w:sz w:val="18"/>
          <w:lang w:val="es-ES" w:eastAsia="es-ES"/>
        </w:rPr>
      </w:pPr>
      <w:r w:rsidRPr="005B12CA">
        <w:rPr>
          <w:rFonts w:ascii="Arial" w:hAnsi="Arial" w:cs="Arial"/>
          <w:sz w:val="18"/>
          <w:lang w:val="es-ES" w:eastAsia="es-ES"/>
        </w:rPr>
        <w:t>CAPÍTULO 3</w:t>
      </w:r>
    </w:p>
    <w:p w:rsidR="005B12CA" w:rsidRPr="005B12CA" w:rsidRDefault="005B12CA" w:rsidP="005B12CA">
      <w:pPr>
        <w:spacing w:after="101" w:line="264" w:lineRule="exact"/>
        <w:jc w:val="center"/>
        <w:rPr>
          <w:rFonts w:ascii="Arial" w:eastAsia="Times New Roman" w:hAnsi="Arial" w:cs="Arial"/>
          <w:b/>
          <w:sz w:val="18"/>
          <w:lang w:val="es-ES" w:eastAsia="es-ES"/>
        </w:rPr>
      </w:pPr>
      <w:r w:rsidRPr="005B12CA">
        <w:rPr>
          <w:rFonts w:ascii="Arial" w:eastAsia="Times New Roman" w:hAnsi="Arial" w:cs="Arial"/>
          <w:b/>
          <w:sz w:val="18"/>
          <w:lang w:val="es-ES" w:eastAsia="es-ES"/>
        </w:rPr>
        <w:t>PLAZOS</w:t>
      </w:r>
    </w:p>
    <w:p w:rsidR="005B12CA" w:rsidRPr="005B12CA" w:rsidRDefault="005B12CA" w:rsidP="005B12CA">
      <w:pPr>
        <w:spacing w:after="101" w:line="264" w:lineRule="exact"/>
        <w:ind w:left="864" w:hanging="576"/>
        <w:jc w:val="both"/>
        <w:rPr>
          <w:rFonts w:ascii="Arial" w:eastAsia="Times New Roman" w:hAnsi="Arial" w:cs="Arial"/>
          <w:sz w:val="18"/>
          <w:lang w:val="es-ES" w:eastAsia="es-ES"/>
        </w:rPr>
      </w:pPr>
      <w:r w:rsidRPr="005B12CA">
        <w:rPr>
          <w:rFonts w:ascii="Arial" w:eastAsia="Times New Roman" w:hAnsi="Arial" w:cs="Arial"/>
          <w:b/>
          <w:sz w:val="18"/>
          <w:lang w:val="es-ES" w:eastAsia="es-ES"/>
        </w:rPr>
        <w:t>3.1.</w:t>
      </w:r>
      <w:r w:rsidRPr="005B12CA">
        <w:rPr>
          <w:rFonts w:ascii="Arial" w:eastAsia="Times New Roman" w:hAnsi="Arial" w:cs="Arial"/>
          <w:b/>
          <w:sz w:val="18"/>
          <w:lang w:val="es-ES" w:eastAsia="es-ES"/>
        </w:rPr>
        <w:tab/>
      </w:r>
      <w:r w:rsidRPr="005B12CA">
        <w:rPr>
          <w:rFonts w:ascii="Arial" w:eastAsia="Times New Roman" w:hAnsi="Arial" w:cs="Arial"/>
          <w:sz w:val="18"/>
          <w:lang w:val="es-ES" w:eastAsia="es-ES"/>
        </w:rPr>
        <w:t>El Instituto iniciará los procesos de licitación pública para el otorgamiento de concesiones de Bandas de Frecuencias de espectro determinado para uso comercial para el servicio de radiodifusión de la banda de Frecuencia Modulada (FM) en conjunto con los procedimientos de licitación establecidos en el Programa Anual de Uso y Aprovechamiento de Bandas de Frecuencias 2016 para dicha banda, durante el segundo semestre de 2017, salvo causa debidamente justificada.</w:t>
      </w:r>
    </w:p>
    <w:p w:rsidR="005B12CA" w:rsidRPr="005B12CA" w:rsidRDefault="005B12CA" w:rsidP="005B12CA">
      <w:pPr>
        <w:spacing w:after="101" w:line="264" w:lineRule="exact"/>
        <w:ind w:left="864" w:hanging="576"/>
        <w:jc w:val="both"/>
        <w:rPr>
          <w:rFonts w:ascii="Arial" w:eastAsia="Times New Roman" w:hAnsi="Arial" w:cs="Arial"/>
          <w:sz w:val="18"/>
          <w:lang w:eastAsia="es-ES"/>
        </w:rPr>
      </w:pPr>
      <w:r w:rsidRPr="005B12CA">
        <w:rPr>
          <w:rFonts w:ascii="Arial" w:eastAsia="Times New Roman" w:hAnsi="Arial" w:cs="Arial"/>
          <w:b/>
          <w:sz w:val="18"/>
          <w:lang w:val="es-ES" w:eastAsia="es-ES"/>
        </w:rPr>
        <w:t>3.2.</w:t>
      </w:r>
      <w:r w:rsidRPr="005B12CA">
        <w:rPr>
          <w:rFonts w:ascii="Arial" w:eastAsia="Times New Roman" w:hAnsi="Arial" w:cs="Arial"/>
          <w:b/>
          <w:sz w:val="18"/>
          <w:lang w:val="es-ES" w:eastAsia="es-ES"/>
        </w:rPr>
        <w:tab/>
      </w:r>
      <w:r w:rsidRPr="005B12CA">
        <w:rPr>
          <w:rFonts w:ascii="Arial" w:eastAsia="Times New Roman" w:hAnsi="Arial" w:cs="Arial"/>
          <w:sz w:val="18"/>
          <w:lang w:val="es-ES" w:eastAsia="es-ES"/>
        </w:rPr>
        <w:t xml:space="preserve">La presentación de solicitudes de concesión de Bandas de Frecuencias para Uso Público y Uso Social para prestar servicios de telecomunicaciones, </w:t>
      </w:r>
      <w:r w:rsidRPr="005B12CA">
        <w:rPr>
          <w:rFonts w:ascii="Arial" w:eastAsia="Times New Roman" w:hAnsi="Arial" w:cs="Arial"/>
          <w:sz w:val="18"/>
          <w:lang w:eastAsia="es-ES"/>
        </w:rPr>
        <w:t xml:space="preserve">así como para Uso Privado (artículo 76 fracción III, inciso b de </w:t>
      </w:r>
      <w:smartTag w:uri="urn:schemas-microsoft-com:office:smarttags" w:element="PersonName">
        <w:smartTagPr>
          <w:attr w:name="ProductID" w:val="la Ley"/>
        </w:smartTagPr>
        <w:r w:rsidRPr="005B12CA">
          <w:rPr>
            <w:rFonts w:ascii="Arial" w:eastAsia="Times New Roman" w:hAnsi="Arial" w:cs="Arial"/>
            <w:sz w:val="18"/>
            <w:lang w:eastAsia="es-ES"/>
          </w:rPr>
          <w:t xml:space="preserve">la </w:t>
        </w:r>
        <w:r w:rsidRPr="005B12CA">
          <w:rPr>
            <w:rFonts w:ascii="Arial" w:eastAsia="Times New Roman" w:hAnsi="Arial" w:cs="Arial"/>
            <w:sz w:val="18"/>
            <w:lang w:val="es-ES" w:eastAsia="es-ES"/>
          </w:rPr>
          <w:t>Ley</w:t>
        </w:r>
      </w:smartTag>
      <w:r w:rsidRPr="005B12CA">
        <w:rPr>
          <w:rFonts w:ascii="Arial" w:eastAsia="Times New Roman" w:hAnsi="Arial" w:cs="Arial"/>
          <w:sz w:val="18"/>
          <w:lang w:eastAsia="es-ES"/>
        </w:rPr>
        <w:t>), incluyendo Bandas de Frecuencias no previstas en el Programa 2017, no está supeditada plazo determinado, por lo cual podrán ser presentadas por los interesados en cualquier día hábil conforme al calendario de labores del Instituto.</w:t>
      </w:r>
    </w:p>
    <w:p w:rsidR="005B12CA" w:rsidRPr="005B12CA" w:rsidRDefault="005B12CA" w:rsidP="005B12CA">
      <w:pPr>
        <w:spacing w:after="101" w:line="264" w:lineRule="exact"/>
        <w:ind w:left="864" w:hanging="576"/>
        <w:jc w:val="both"/>
        <w:rPr>
          <w:rFonts w:ascii="Arial" w:eastAsia="Times New Roman" w:hAnsi="Arial" w:cs="Arial"/>
          <w:sz w:val="18"/>
          <w:lang w:val="es-ES" w:eastAsia="es-ES"/>
        </w:rPr>
      </w:pPr>
      <w:r w:rsidRPr="005B12CA">
        <w:rPr>
          <w:rFonts w:ascii="Arial" w:eastAsia="Times New Roman" w:hAnsi="Arial" w:cs="Arial"/>
          <w:b/>
          <w:sz w:val="18"/>
          <w:lang w:val="es-ES" w:eastAsia="es-ES"/>
        </w:rPr>
        <w:t>3.3.</w:t>
      </w:r>
      <w:r w:rsidRPr="005B12CA">
        <w:rPr>
          <w:rFonts w:ascii="Arial" w:eastAsia="Times New Roman" w:hAnsi="Arial" w:cs="Arial"/>
          <w:b/>
          <w:sz w:val="18"/>
          <w:lang w:val="es-ES" w:eastAsia="es-ES"/>
        </w:rPr>
        <w:tab/>
      </w:r>
      <w:r w:rsidRPr="005B12CA">
        <w:rPr>
          <w:rFonts w:ascii="Arial" w:eastAsia="Times New Roman" w:hAnsi="Arial" w:cs="Arial"/>
          <w:sz w:val="18"/>
          <w:lang w:val="es-ES" w:eastAsia="es-ES"/>
        </w:rPr>
        <w:t xml:space="preserve">En cumplimiento a lo previsto en los artículos 86 y 87 de </w:t>
      </w:r>
      <w:smartTag w:uri="urn:schemas-microsoft-com:office:smarttags" w:element="PersonName">
        <w:smartTagPr>
          <w:attr w:name="ProductID" w:val="la Ley"/>
        </w:smartTagPr>
        <w:r w:rsidRPr="005B12CA">
          <w:rPr>
            <w:rFonts w:ascii="Arial" w:eastAsia="Times New Roman" w:hAnsi="Arial" w:cs="Arial"/>
            <w:sz w:val="18"/>
            <w:lang w:val="es-ES" w:eastAsia="es-ES"/>
          </w:rPr>
          <w:t>la Ley</w:t>
        </w:r>
      </w:smartTag>
      <w:r w:rsidRPr="005B12CA">
        <w:rPr>
          <w:rFonts w:ascii="Arial" w:eastAsia="Times New Roman" w:hAnsi="Arial" w:cs="Arial"/>
          <w:sz w:val="18"/>
          <w:lang w:val="es-ES" w:eastAsia="es-ES"/>
        </w:rPr>
        <w:t>, para la presentación de solicitudes de concesiones de Uso Público y Uso Social para prestar el servicio de radiodifusión, se establecen para el año 2017 los plazos siguientes:</w:t>
      </w:r>
    </w:p>
    <w:tbl>
      <w:tblPr>
        <w:tblW w:w="0" w:type="auto"/>
        <w:jc w:val="center"/>
        <w:tblLayout w:type="fixed"/>
        <w:tblCellMar>
          <w:left w:w="72" w:type="dxa"/>
          <w:right w:w="72" w:type="dxa"/>
        </w:tblCellMar>
        <w:tblLook w:val="0000" w:firstRow="0" w:lastRow="0" w:firstColumn="0" w:lastColumn="0" w:noHBand="0" w:noVBand="0"/>
      </w:tblPr>
      <w:tblGrid>
        <w:gridCol w:w="2577"/>
        <w:gridCol w:w="3558"/>
      </w:tblGrid>
      <w:tr w:rsidR="005B12CA" w:rsidRPr="005B12CA" w:rsidTr="004A714B">
        <w:trPr>
          <w:trHeight w:val="20"/>
          <w:jc w:val="center"/>
        </w:trPr>
        <w:tc>
          <w:tcPr>
            <w:tcW w:w="2577" w:type="dxa"/>
            <w:tcBorders>
              <w:top w:val="single" w:sz="6" w:space="0" w:color="auto"/>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4"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Modalidad de Uso</w:t>
            </w:r>
          </w:p>
        </w:tc>
        <w:tc>
          <w:tcPr>
            <w:tcW w:w="3558" w:type="dxa"/>
            <w:tcBorders>
              <w:top w:val="single" w:sz="6" w:space="0" w:color="auto"/>
              <w:left w:val="single" w:sz="6" w:space="0" w:color="auto"/>
              <w:bottom w:val="single" w:sz="6" w:space="0" w:color="auto"/>
              <w:right w:val="single" w:sz="6" w:space="0" w:color="auto"/>
            </w:tcBorders>
            <w:shd w:val="clear" w:color="auto" w:fill="C0C0C0"/>
            <w:vAlign w:val="center"/>
          </w:tcPr>
          <w:p w:rsidR="005B12CA" w:rsidRPr="005B12CA" w:rsidRDefault="005B12CA" w:rsidP="005B12CA">
            <w:pPr>
              <w:spacing w:after="101" w:line="264" w:lineRule="exact"/>
              <w:jc w:val="center"/>
              <w:rPr>
                <w:rFonts w:ascii="Arial" w:eastAsia="Times New Roman" w:hAnsi="Arial" w:cs="Arial"/>
                <w:b/>
                <w:sz w:val="16"/>
                <w:szCs w:val="16"/>
                <w:lang w:val="es-ES" w:eastAsia="es-ES"/>
              </w:rPr>
            </w:pPr>
            <w:r w:rsidRPr="005B12CA">
              <w:rPr>
                <w:rFonts w:ascii="Arial" w:eastAsia="Times New Roman" w:hAnsi="Arial" w:cs="Arial"/>
                <w:b/>
                <w:sz w:val="16"/>
                <w:szCs w:val="16"/>
                <w:lang w:val="es-ES" w:eastAsia="es-ES"/>
              </w:rPr>
              <w:t>Plazos*</w:t>
            </w:r>
          </w:p>
        </w:tc>
      </w:tr>
      <w:tr w:rsidR="005B12CA" w:rsidRPr="005B12CA" w:rsidTr="004A714B">
        <w:trPr>
          <w:trHeight w:val="20"/>
          <w:jc w:val="center"/>
        </w:trPr>
        <w:tc>
          <w:tcPr>
            <w:tcW w:w="257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Público</w:t>
            </w:r>
          </w:p>
        </w:tc>
        <w:tc>
          <w:tcPr>
            <w:tcW w:w="3558"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both"/>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Del 15 al 29 de marzo de 2017, de la tabla 2.2.1.1 el numeral 1 al 5; de la tabla 2.2.2.2 el numeral 1 al 12; y de la tabla 2.2.3.1 numerales 1 a 3.</w:t>
            </w:r>
          </w:p>
        </w:tc>
      </w:tr>
      <w:tr w:rsidR="005B12CA" w:rsidRPr="005B12CA" w:rsidTr="004A714B">
        <w:trPr>
          <w:trHeight w:val="20"/>
          <w:jc w:val="center"/>
        </w:trPr>
        <w:tc>
          <w:tcPr>
            <w:tcW w:w="257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lastRenderedPageBreak/>
              <w:t>Social, incluyendo Comunitarias e Indígenas</w:t>
            </w:r>
          </w:p>
        </w:tc>
        <w:tc>
          <w:tcPr>
            <w:tcW w:w="3558"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64" w:lineRule="exact"/>
              <w:jc w:val="both"/>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Del 1 al 12 de mayo de 2017, de la tabla 2.2.1.2 numerales 1 al 5; de la tabla 2.2.2.3 numerales 1 al 15; y de la tabla 2.2.3.2 numerales 1 al 14.</w:t>
            </w:r>
          </w:p>
        </w:tc>
      </w:tr>
      <w:tr w:rsidR="005B12CA" w:rsidRPr="005B12CA" w:rsidTr="004A714B">
        <w:trPr>
          <w:trHeight w:val="20"/>
          <w:jc w:val="center"/>
        </w:trPr>
        <w:tc>
          <w:tcPr>
            <w:tcW w:w="257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8"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Público</w:t>
            </w:r>
          </w:p>
        </w:tc>
        <w:tc>
          <w:tcPr>
            <w:tcW w:w="3558"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8" w:lineRule="exact"/>
              <w:jc w:val="both"/>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Del 14 al 25 de agosto de 2017, de la tabla 2.2.1.1 el numeral 6 al 10; de la tabla 2.2.2.2 el numeral 13 al 24; y de la tabla 2.2.3.1 numerales 4 a 6.</w:t>
            </w:r>
          </w:p>
        </w:tc>
      </w:tr>
      <w:tr w:rsidR="005B12CA" w:rsidRPr="005B12CA" w:rsidTr="004A714B">
        <w:trPr>
          <w:trHeight w:val="20"/>
          <w:jc w:val="center"/>
        </w:trPr>
        <w:tc>
          <w:tcPr>
            <w:tcW w:w="2577"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8" w:lineRule="exact"/>
              <w:jc w:val="center"/>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Social, incluyendo Comunitarias e Indígenas</w:t>
            </w:r>
          </w:p>
        </w:tc>
        <w:tc>
          <w:tcPr>
            <w:tcW w:w="3558" w:type="dxa"/>
            <w:tcBorders>
              <w:top w:val="single" w:sz="6" w:space="0" w:color="auto"/>
              <w:left w:val="single" w:sz="6" w:space="0" w:color="auto"/>
              <w:bottom w:val="single" w:sz="6" w:space="0" w:color="auto"/>
              <w:right w:val="single" w:sz="6" w:space="0" w:color="auto"/>
            </w:tcBorders>
            <w:vAlign w:val="center"/>
          </w:tcPr>
          <w:p w:rsidR="005B12CA" w:rsidRPr="005B12CA" w:rsidRDefault="005B12CA" w:rsidP="005B12CA">
            <w:pPr>
              <w:spacing w:after="101" w:line="278" w:lineRule="exact"/>
              <w:jc w:val="both"/>
              <w:rPr>
                <w:rFonts w:ascii="Arial" w:eastAsia="Times New Roman" w:hAnsi="Arial" w:cs="Arial"/>
                <w:b/>
                <w:sz w:val="16"/>
                <w:szCs w:val="16"/>
                <w:u w:val="single"/>
                <w:lang w:val="es-ES" w:eastAsia="es-ES"/>
              </w:rPr>
            </w:pPr>
            <w:r w:rsidRPr="005B12CA">
              <w:rPr>
                <w:rFonts w:ascii="Arial" w:eastAsia="Times New Roman" w:hAnsi="Arial" w:cs="Arial"/>
                <w:b/>
                <w:sz w:val="16"/>
                <w:szCs w:val="16"/>
                <w:u w:val="single"/>
                <w:lang w:val="es-ES" w:eastAsia="es-ES"/>
              </w:rPr>
              <w:t>Del 2 al 13 de octubre de 2017, de la tabla 2.2.1.2 numerales 6 al 10; de la tabla 2.2.2.3 numerales 16 al 30; y de la tabla 2.2.3.2 numerales 15 al 27.</w:t>
            </w:r>
          </w:p>
        </w:tc>
      </w:tr>
      <w:tr w:rsidR="005B12CA" w:rsidRPr="005B12CA" w:rsidTr="004A714B">
        <w:trPr>
          <w:trHeight w:val="20"/>
          <w:jc w:val="center"/>
        </w:trPr>
        <w:tc>
          <w:tcPr>
            <w:tcW w:w="6135" w:type="dxa"/>
            <w:gridSpan w:val="2"/>
            <w:tcBorders>
              <w:top w:val="single" w:sz="6" w:space="0" w:color="auto"/>
            </w:tcBorders>
            <w:vAlign w:val="center"/>
          </w:tcPr>
          <w:p w:rsidR="005B12CA" w:rsidRPr="005B12CA" w:rsidRDefault="005B12CA" w:rsidP="005B12CA">
            <w:pPr>
              <w:spacing w:after="101" w:line="278" w:lineRule="exact"/>
              <w:jc w:val="both"/>
              <w:rPr>
                <w:rFonts w:ascii="Arial" w:eastAsia="Times New Roman" w:hAnsi="Arial" w:cs="Arial"/>
                <w:sz w:val="16"/>
                <w:szCs w:val="16"/>
                <w:lang w:val="es-ES" w:eastAsia="es-ES"/>
              </w:rPr>
            </w:pPr>
            <w:r w:rsidRPr="005B12CA">
              <w:rPr>
                <w:rFonts w:ascii="Arial" w:eastAsia="Times New Roman" w:hAnsi="Arial" w:cs="Arial"/>
                <w:sz w:val="16"/>
                <w:szCs w:val="16"/>
                <w:lang w:val="es-ES" w:eastAsia="es-ES"/>
              </w:rPr>
              <w:t>*Para efectos de los Plazos previstos, sólo se computarán días y horas hábiles, de conformidad con el calendario anual de labores del Instituto.</w:t>
            </w:r>
          </w:p>
        </w:tc>
      </w:tr>
    </w:tbl>
    <w:p w:rsidR="005B12CA" w:rsidRPr="00711B86" w:rsidRDefault="005B12CA" w:rsidP="00711B86">
      <w:pPr>
        <w:pStyle w:val="Ttulo3"/>
        <w:keepNext/>
        <w:keepLines/>
        <w:pBdr>
          <w:top w:val="none" w:sz="0" w:space="0" w:color="auto"/>
          <w:left w:val="none" w:sz="0" w:space="0" w:color="auto"/>
          <w:bottom w:val="none" w:sz="0" w:space="0" w:color="auto"/>
          <w:right w:val="none" w:sz="0" w:space="0" w:color="auto"/>
          <w:between w:val="none" w:sz="0" w:space="0" w:color="auto"/>
        </w:pBdr>
        <w:spacing w:before="40" w:line="259" w:lineRule="auto"/>
        <w:ind w:left="0" w:firstLine="0"/>
        <w:rPr>
          <w:rFonts w:ascii="Times New Roman" w:eastAsia="MS Gothic" w:hAnsi="Times New Roman" w:cs="Times New Roman"/>
          <w:bCs/>
          <w:color w:val="000000" w:themeColor="text1"/>
          <w:sz w:val="18"/>
          <w:szCs w:val="18"/>
          <w:lang w:eastAsia="en-US"/>
        </w:rPr>
      </w:pPr>
      <w:r w:rsidRPr="00711B86">
        <w:rPr>
          <w:rFonts w:ascii="Times New Roman" w:eastAsia="MS Gothic" w:hAnsi="Times New Roman" w:cs="Times New Roman"/>
          <w:bCs/>
          <w:color w:val="000000" w:themeColor="text1"/>
          <w:sz w:val="18"/>
          <w:szCs w:val="18"/>
          <w:lang w:eastAsia="en-US"/>
        </w:rPr>
        <w:t>TRANSITORIOS</w:t>
      </w:r>
    </w:p>
    <w:p w:rsidR="005B12CA" w:rsidRPr="00711B86" w:rsidRDefault="005B12CA" w:rsidP="005B12CA">
      <w:pPr>
        <w:spacing w:after="101" w:line="278" w:lineRule="exact"/>
        <w:ind w:firstLine="288"/>
        <w:jc w:val="both"/>
        <w:rPr>
          <w:rFonts w:ascii="Arial" w:eastAsia="Times New Roman" w:hAnsi="Arial" w:cs="Arial"/>
          <w:sz w:val="18"/>
          <w:lang w:val="es-ES" w:eastAsia="es-ES"/>
        </w:rPr>
      </w:pPr>
      <w:r w:rsidRPr="005B12CA">
        <w:rPr>
          <w:rFonts w:ascii="Arial" w:eastAsia="Times New Roman" w:hAnsi="Arial" w:cs="Arial"/>
          <w:b/>
          <w:caps/>
          <w:sz w:val="18"/>
          <w:lang w:val="es-ES" w:eastAsia="es-ES"/>
        </w:rPr>
        <w:t xml:space="preserve">Primero. </w:t>
      </w:r>
      <w:r w:rsidRPr="00711B86">
        <w:rPr>
          <w:rFonts w:ascii="Arial" w:eastAsia="Times New Roman" w:hAnsi="Arial" w:cs="Arial"/>
          <w:sz w:val="18"/>
          <w:lang w:val="es-ES" w:eastAsia="es-ES"/>
        </w:rPr>
        <w:t xml:space="preserve">Las solicitudes de inclusión presentadas de manera posterior al plazo previsto en el artículo 61 de </w:t>
      </w:r>
      <w:smartTag w:uri="urn:schemas-microsoft-com:office:smarttags" w:element="PersonName">
        <w:smartTagPr>
          <w:attr w:name="ProductID" w:val="la Ley"/>
        </w:smartTagPr>
        <w:r w:rsidRPr="00711B86">
          <w:rPr>
            <w:rFonts w:ascii="Arial" w:eastAsia="Times New Roman" w:hAnsi="Arial" w:cs="Arial"/>
            <w:sz w:val="18"/>
            <w:lang w:val="es-ES" w:eastAsia="es-ES"/>
          </w:rPr>
          <w:t>la Ley</w:t>
        </w:r>
      </w:smartTag>
      <w:r w:rsidRPr="00711B86">
        <w:rPr>
          <w:rFonts w:ascii="Arial" w:eastAsia="Times New Roman" w:hAnsi="Arial" w:cs="Arial"/>
          <w:sz w:val="18"/>
          <w:lang w:val="es-ES" w:eastAsia="es-ES"/>
        </w:rPr>
        <w:t>, serán valoradas por el Instituto para el Programa Anual de Uso y Aprovechamiento de Bandas de Frecuencias del año subsecuente.</w:t>
      </w:r>
    </w:p>
    <w:p w:rsidR="005B12CA" w:rsidRPr="005B12CA" w:rsidRDefault="005B12CA" w:rsidP="005B12CA">
      <w:pPr>
        <w:spacing w:after="101" w:line="278" w:lineRule="exact"/>
        <w:ind w:firstLine="288"/>
        <w:jc w:val="both"/>
        <w:rPr>
          <w:rFonts w:ascii="Arial" w:eastAsia="Times New Roman" w:hAnsi="Arial" w:cs="Arial"/>
          <w:sz w:val="18"/>
          <w:lang w:val="es-ES" w:eastAsia="es-ES"/>
        </w:rPr>
      </w:pPr>
      <w:r w:rsidRPr="00711B86">
        <w:rPr>
          <w:rFonts w:ascii="Arial" w:eastAsia="Times New Roman" w:hAnsi="Arial" w:cs="Arial"/>
          <w:sz w:val="18"/>
          <w:lang w:val="es-ES" w:eastAsia="es-ES"/>
        </w:rPr>
        <w:t>Se insta a los interesados a que las solicitudes de inclusión citadas, sean presentadas únicamente a través del formulario electrónico disponible en el portal de internet del Instituto (www. Ift.org.mx/</w:t>
      </w:r>
      <w:proofErr w:type="spellStart"/>
      <w:r w:rsidRPr="00711B86">
        <w:rPr>
          <w:rFonts w:ascii="Arial" w:eastAsia="Times New Roman" w:hAnsi="Arial" w:cs="Arial"/>
          <w:sz w:val="18"/>
          <w:lang w:val="es-ES" w:eastAsia="es-ES"/>
        </w:rPr>
        <w:t>pabf</w:t>
      </w:r>
      <w:proofErr w:type="spellEnd"/>
      <w:r w:rsidRPr="00711B86">
        <w:rPr>
          <w:rFonts w:ascii="Arial" w:eastAsia="Times New Roman" w:hAnsi="Arial" w:cs="Arial"/>
          <w:sz w:val="18"/>
          <w:lang w:val="es-ES" w:eastAsia="es-ES"/>
        </w:rPr>
        <w:t>). Dichas solicitudes no implican una solicitud de concesión, ni el otorgamiento de un título de concesión o una preferencia para la obtención de éste.</w:t>
      </w:r>
    </w:p>
    <w:p w:rsidR="005B12CA" w:rsidRPr="005B12CA" w:rsidRDefault="005B12CA" w:rsidP="005B12CA">
      <w:pPr>
        <w:spacing w:after="101" w:line="278" w:lineRule="exact"/>
        <w:ind w:firstLine="288"/>
        <w:jc w:val="both"/>
        <w:rPr>
          <w:rFonts w:ascii="Arial" w:eastAsia="Times New Roman" w:hAnsi="Arial" w:cs="Arial"/>
          <w:sz w:val="18"/>
          <w:lang w:val="es-ES" w:eastAsia="es-ES"/>
        </w:rPr>
      </w:pPr>
      <w:r w:rsidRPr="005B12CA">
        <w:rPr>
          <w:rFonts w:ascii="Arial" w:eastAsia="Times New Roman" w:hAnsi="Arial" w:cs="Arial"/>
          <w:b/>
          <w:caps/>
          <w:sz w:val="18"/>
          <w:lang w:val="es-ES" w:eastAsia="es-ES"/>
        </w:rPr>
        <w:t xml:space="preserve">Segundo. </w:t>
      </w:r>
      <w:r w:rsidRPr="005B12CA">
        <w:rPr>
          <w:rFonts w:ascii="Arial" w:eastAsia="Times New Roman" w:hAnsi="Arial" w:cs="Arial"/>
          <w:sz w:val="18"/>
          <w:lang w:val="es-ES" w:eastAsia="es-ES"/>
        </w:rPr>
        <w:t>Publíquese</w:t>
      </w:r>
      <w:r w:rsidRPr="005B12CA">
        <w:rPr>
          <w:rFonts w:ascii="Arial" w:eastAsia="Times New Roman" w:hAnsi="Arial" w:cs="Arial"/>
          <w:b/>
          <w:sz w:val="18"/>
          <w:lang w:val="es-ES" w:eastAsia="es-ES"/>
        </w:rPr>
        <w:t xml:space="preserve"> </w:t>
      </w:r>
      <w:r w:rsidRPr="005B12CA">
        <w:rPr>
          <w:rFonts w:ascii="Arial" w:eastAsia="Times New Roman" w:hAnsi="Arial" w:cs="Arial"/>
          <w:sz w:val="18"/>
          <w:lang w:val="es-ES" w:eastAsia="es-ES"/>
        </w:rPr>
        <w:t xml:space="preserve">el presente Programa Anual de Uso y Aprovechamiento de Bandas de Frecuencias 2017 en el Diario Oficial de </w:t>
      </w:r>
      <w:smartTag w:uri="urn:schemas-microsoft-com:office:smarttags" w:element="PersonName">
        <w:smartTagPr>
          <w:attr w:name="ProductID" w:val="La Federaci￳n"/>
        </w:smartTagPr>
        <w:r w:rsidRPr="005B12CA">
          <w:rPr>
            <w:rFonts w:ascii="Arial" w:eastAsia="Times New Roman" w:hAnsi="Arial" w:cs="Arial"/>
            <w:sz w:val="18"/>
            <w:lang w:val="es-ES" w:eastAsia="es-ES"/>
          </w:rPr>
          <w:t>la Federación</w:t>
        </w:r>
      </w:smartTag>
      <w:r w:rsidRPr="005B12CA">
        <w:rPr>
          <w:rFonts w:ascii="Arial" w:eastAsia="Times New Roman" w:hAnsi="Arial" w:cs="Arial"/>
          <w:sz w:val="18"/>
          <w:lang w:val="es-ES" w:eastAsia="es-ES"/>
        </w:rPr>
        <w:t xml:space="preserve"> (DOF).</w:t>
      </w:r>
    </w:p>
    <w:p w:rsidR="005B12CA" w:rsidRPr="005B12CA" w:rsidRDefault="005B12CA" w:rsidP="005B12CA">
      <w:pPr>
        <w:spacing w:after="101" w:line="278" w:lineRule="exact"/>
        <w:ind w:firstLine="288"/>
        <w:jc w:val="both"/>
        <w:rPr>
          <w:rFonts w:ascii="Arial" w:eastAsia="Times New Roman" w:hAnsi="Arial" w:cs="Arial"/>
          <w:sz w:val="18"/>
          <w:lang w:val="es-ES" w:eastAsia="es-ES"/>
        </w:rPr>
      </w:pPr>
      <w:r w:rsidRPr="005B12CA">
        <w:rPr>
          <w:rFonts w:ascii="Arial" w:eastAsia="Times New Roman" w:hAnsi="Arial" w:cs="Arial"/>
          <w:b/>
          <w:caps/>
          <w:sz w:val="18"/>
          <w:lang w:val="es-ES" w:eastAsia="es-ES"/>
        </w:rPr>
        <w:t xml:space="preserve">Tercero. </w:t>
      </w:r>
      <w:r w:rsidRPr="005B12CA">
        <w:rPr>
          <w:rFonts w:ascii="Arial" w:eastAsia="Times New Roman" w:hAnsi="Arial" w:cs="Arial"/>
          <w:sz w:val="18"/>
          <w:lang w:val="es-ES" w:eastAsia="es-ES"/>
        </w:rPr>
        <w:t xml:space="preserve">El presente Programa 2017 valora las solicitudes de inclusión de Bandas de Frecuencias y Coberturas Geográficas recibidas del </w:t>
      </w:r>
      <w:r w:rsidRPr="005B12CA">
        <w:rPr>
          <w:rFonts w:ascii="Arial" w:eastAsia="Times New Roman" w:hAnsi="Arial" w:cs="Arial"/>
          <w:b/>
          <w:sz w:val="18"/>
          <w:u w:val="single"/>
          <w:lang w:val="es-ES" w:eastAsia="es-ES"/>
        </w:rPr>
        <w:t>6 de agosto al 21 de diciembre de 2016.</w:t>
      </w:r>
    </w:p>
    <w:p w:rsidR="005B12CA" w:rsidRPr="005B12CA" w:rsidRDefault="005B12CA" w:rsidP="005B12CA">
      <w:pPr>
        <w:spacing w:after="101" w:line="278" w:lineRule="exact"/>
        <w:ind w:firstLine="288"/>
        <w:jc w:val="both"/>
        <w:rPr>
          <w:rFonts w:ascii="Arial" w:eastAsia="Times New Roman" w:hAnsi="Arial" w:cs="Arial"/>
          <w:sz w:val="18"/>
          <w:lang w:val="es-ES" w:eastAsia="es-ES"/>
        </w:rPr>
      </w:pPr>
      <w:r w:rsidRPr="005B12CA">
        <w:rPr>
          <w:rFonts w:ascii="Arial" w:eastAsia="Times New Roman" w:hAnsi="Arial" w:cs="Arial"/>
          <w:b/>
          <w:caps/>
          <w:sz w:val="18"/>
          <w:lang w:val="es-ES" w:eastAsia="es-ES"/>
        </w:rPr>
        <w:t xml:space="preserve">Cuarto. </w:t>
      </w:r>
      <w:r w:rsidRPr="005B12CA">
        <w:rPr>
          <w:rFonts w:ascii="Arial" w:eastAsia="Times New Roman" w:hAnsi="Arial" w:cs="Arial"/>
          <w:sz w:val="18"/>
          <w:lang w:val="es-ES" w:eastAsia="es-ES"/>
        </w:rPr>
        <w:t>El presente Programa 2017 no prejuzga cómo el Instituto diseñará los procesos de licitación que deriven de la emisión del mismo; dichos diseños se establecerán en las correspondientes bases de licitación.</w:t>
      </w:r>
    </w:p>
    <w:p w:rsidR="005B12CA" w:rsidRPr="005B12CA" w:rsidRDefault="005B12CA" w:rsidP="005B12CA">
      <w:pPr>
        <w:spacing w:after="101" w:line="278" w:lineRule="exact"/>
        <w:ind w:firstLine="288"/>
        <w:jc w:val="both"/>
        <w:rPr>
          <w:rFonts w:ascii="Arial" w:eastAsia="Times New Roman" w:hAnsi="Arial" w:cs="Arial"/>
          <w:sz w:val="18"/>
          <w:lang w:val="es-ES" w:eastAsia="es-ES"/>
        </w:rPr>
      </w:pPr>
      <w:r w:rsidRPr="005B12CA">
        <w:rPr>
          <w:rFonts w:ascii="Arial" w:eastAsia="Times New Roman" w:hAnsi="Arial" w:cs="Arial"/>
          <w:b/>
          <w:caps/>
          <w:sz w:val="18"/>
          <w:lang w:val="es-ES" w:eastAsia="es-ES"/>
        </w:rPr>
        <w:t xml:space="preserve">Quinto. </w:t>
      </w:r>
      <w:r w:rsidRPr="005B12CA">
        <w:rPr>
          <w:rFonts w:ascii="Arial" w:eastAsia="Times New Roman" w:hAnsi="Arial" w:cs="Arial"/>
          <w:sz w:val="18"/>
          <w:lang w:val="es-ES" w:eastAsia="es-ES"/>
        </w:rPr>
        <w:t>Los plazos para la presentación de solicitudes de concesión y los procedimientos de licitación establecidos en el Programa Anual de Uso y Aprovechamiento de Bandas de Frecuencias 2015 y el Programa Anual de Uso y Aprovechamiento de Bandas de Frecuencias 2016, continuarán su curso, con independencia de lo previsto en la modificación del presente Programa 2017.</w:t>
      </w:r>
    </w:p>
    <w:p w:rsidR="005B12CA" w:rsidRPr="005B12CA" w:rsidRDefault="005B12CA" w:rsidP="005B12CA">
      <w:pPr>
        <w:spacing w:after="101" w:line="278" w:lineRule="exact"/>
        <w:ind w:firstLine="288"/>
        <w:jc w:val="both"/>
        <w:rPr>
          <w:rFonts w:ascii="Arial" w:eastAsia="Times New Roman" w:hAnsi="Arial" w:cs="Arial"/>
          <w:sz w:val="18"/>
          <w:lang w:val="es-ES" w:eastAsia="es-ES"/>
        </w:rPr>
      </w:pPr>
      <w:r w:rsidRPr="005B12CA">
        <w:rPr>
          <w:rFonts w:ascii="Arial" w:eastAsia="Times New Roman" w:hAnsi="Arial" w:cs="Arial"/>
          <w:b/>
          <w:caps/>
          <w:sz w:val="18"/>
          <w:lang w:val="es-ES" w:eastAsia="es-ES"/>
        </w:rPr>
        <w:t xml:space="preserve">Sexto. </w:t>
      </w:r>
      <w:r w:rsidRPr="005B12CA">
        <w:rPr>
          <w:rFonts w:ascii="Arial" w:eastAsia="Times New Roman" w:hAnsi="Arial" w:cs="Arial"/>
          <w:sz w:val="18"/>
          <w:lang w:val="es-ES" w:eastAsia="es-ES"/>
        </w:rPr>
        <w:t>El Instituto emitirá el Programa Anual de Uso y Aprovechamiento de Bandas de Frecuencias 2018, a más tardar, el 31 de diciembre de 2017.</w:t>
      </w:r>
    </w:p>
    <w:p w:rsidR="005B12CA" w:rsidRPr="005B12CA" w:rsidRDefault="005B12CA" w:rsidP="005B12CA">
      <w:pPr>
        <w:spacing w:after="101" w:line="278" w:lineRule="exact"/>
        <w:ind w:firstLine="288"/>
        <w:jc w:val="both"/>
        <w:rPr>
          <w:rFonts w:ascii="Arial" w:eastAsia="Times New Roman" w:hAnsi="Arial" w:cs="Arial"/>
          <w:sz w:val="18"/>
          <w:lang w:val="es-ES" w:eastAsia="es-ES"/>
        </w:rPr>
      </w:pPr>
      <w:r w:rsidRPr="005B12CA">
        <w:rPr>
          <w:rFonts w:ascii="Arial" w:eastAsia="Times New Roman" w:hAnsi="Arial" w:cs="Arial"/>
          <w:b/>
          <w:caps/>
          <w:sz w:val="18"/>
          <w:lang w:val="es-ES" w:eastAsia="es-ES"/>
        </w:rPr>
        <w:t xml:space="preserve">Séptimo. </w:t>
      </w:r>
      <w:r w:rsidRPr="005B12CA">
        <w:rPr>
          <w:rFonts w:ascii="Arial" w:eastAsia="Times New Roman" w:hAnsi="Arial" w:cs="Arial"/>
          <w:sz w:val="18"/>
          <w:lang w:val="es-ES" w:eastAsia="es-ES"/>
        </w:rPr>
        <w:t xml:space="preserve">Las frecuencias contempladas para el servicio de radiodifusión sonora en Frecuencia Modulada y en Amplitud Modulada en el Programa Anual de Uso y Aprovechamiento de Bandas de Frecuencias de 2015 que hayan sido objeto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que sean incluidas en términos del Transitorio Quinto del Programa Anual de Uso y Aprovechamiento de Bandas de Frecuencias 2016, publicado en el Diario Oficial de </w:t>
      </w:r>
      <w:smartTag w:uri="urn:schemas-microsoft-com:office:smarttags" w:element="PersonName">
        <w:smartTagPr>
          <w:attr w:name="ProductID" w:val="La Federaci￳n"/>
        </w:smartTagPr>
        <w:r w:rsidRPr="005B12CA">
          <w:rPr>
            <w:rFonts w:ascii="Arial" w:eastAsia="Times New Roman" w:hAnsi="Arial" w:cs="Arial"/>
            <w:sz w:val="18"/>
            <w:lang w:val="es-ES" w:eastAsia="es-ES"/>
          </w:rPr>
          <w:t>la Federación</w:t>
        </w:r>
      </w:smartTag>
      <w:r w:rsidRPr="005B12CA">
        <w:rPr>
          <w:rFonts w:ascii="Arial" w:eastAsia="Times New Roman" w:hAnsi="Arial" w:cs="Arial"/>
          <w:sz w:val="18"/>
          <w:lang w:val="es-ES" w:eastAsia="es-ES"/>
        </w:rPr>
        <w:t xml:space="preserve"> el 21 de enero de 2016, se licitarán en conjunto con el procedimiento de licitación establecido en el Programa Anual de Uso y Aprovechamiento de Bandas de Frecuencias 2017.</w:t>
      </w:r>
    </w:p>
    <w:p w:rsidR="004A714B" w:rsidRDefault="005B12CA" w:rsidP="00711B86">
      <w:pPr>
        <w:spacing w:after="101" w:line="278" w:lineRule="exact"/>
        <w:jc w:val="right"/>
        <w:rPr>
          <w:rFonts w:ascii="Arial" w:eastAsia="Times New Roman" w:hAnsi="Arial" w:cs="Arial"/>
          <w:b/>
          <w:sz w:val="18"/>
          <w:szCs w:val="20"/>
          <w:lang w:val="es-ES_tradnl" w:eastAsia="es-ES"/>
        </w:rPr>
        <w:sectPr w:rsidR="004A714B" w:rsidSect="004A714B">
          <w:headerReference w:type="even" r:id="rId8"/>
          <w:headerReference w:type="default" r:id="rId9"/>
          <w:pgSz w:w="12240" w:h="15840" w:code="1"/>
          <w:pgMar w:top="1152" w:right="1699" w:bottom="1296" w:left="1699" w:header="706" w:footer="706" w:gutter="0"/>
          <w:pgNumType w:start="80"/>
          <w:cols w:space="708"/>
          <w:docGrid w:linePitch="360"/>
        </w:sectPr>
      </w:pPr>
      <w:r w:rsidRPr="005B12CA">
        <w:rPr>
          <w:rFonts w:ascii="Arial" w:eastAsia="Times New Roman" w:hAnsi="Arial" w:cs="Arial"/>
          <w:b/>
          <w:sz w:val="18"/>
          <w:szCs w:val="20"/>
          <w:lang w:val="es-ES_tradnl" w:eastAsia="es-ES"/>
        </w:rPr>
        <w:lastRenderedPageBreak/>
        <w:t>(R.- 445587)</w:t>
      </w:r>
    </w:p>
    <w:p w:rsidR="004A714B" w:rsidRPr="004A714B" w:rsidRDefault="004A714B" w:rsidP="004A714B">
      <w:pPr>
        <w:pStyle w:val="Ttulo1"/>
        <w:keepNext/>
        <w:keepLines/>
        <w:pBdr>
          <w:bottom w:val="none" w:sz="0" w:space="0" w:color="auto"/>
          <w:between w:val="none" w:sz="0" w:space="0" w:color="auto"/>
        </w:pBdr>
        <w:spacing w:before="240" w:after="240"/>
        <w:jc w:val="center"/>
        <w:rPr>
          <w:rFonts w:ascii="ITC Avant Garde" w:eastAsiaTheme="majorEastAsia" w:hAnsi="ITC Avant Garde" w:cstheme="majorBidi"/>
          <w:color w:val="000000" w:themeColor="text1"/>
          <w:sz w:val="24"/>
          <w:u w:val="single"/>
          <w:lang w:val="es-MX" w:eastAsia="es-MX"/>
        </w:rPr>
      </w:pPr>
      <w:r w:rsidRPr="004A714B">
        <w:rPr>
          <w:rFonts w:ascii="ITC Avant Garde" w:eastAsiaTheme="majorEastAsia" w:hAnsi="ITC Avant Garde" w:cstheme="majorBidi"/>
          <w:color w:val="000000" w:themeColor="text1"/>
          <w:sz w:val="24"/>
          <w:u w:val="single"/>
          <w:lang w:val="es-MX" w:eastAsia="es-MX"/>
        </w:rPr>
        <w:lastRenderedPageBreak/>
        <w:t>ANEXO DOS</w:t>
      </w:r>
    </w:p>
    <w:p w:rsidR="004A714B" w:rsidRPr="005229C3" w:rsidRDefault="004A714B" w:rsidP="004A714B">
      <w:pPr>
        <w:pStyle w:val="Ttulo2"/>
        <w:keepNext/>
        <w:keepLines/>
        <w:pBdr>
          <w:top w:val="none" w:sz="0" w:space="0" w:color="auto"/>
          <w:between w:val="none" w:sz="0" w:space="0" w:color="auto"/>
        </w:pBdr>
        <w:spacing w:before="40" w:after="240" w:line="276" w:lineRule="auto"/>
        <w:ind w:left="1276" w:right="1738"/>
        <w:jc w:val="center"/>
        <w:rPr>
          <w:b/>
          <w:szCs w:val="14"/>
          <w:u w:val="single"/>
        </w:rPr>
      </w:pPr>
      <w:r w:rsidRPr="004A714B">
        <w:rPr>
          <w:rFonts w:ascii="ITC Avant Garde" w:eastAsia="Calibri" w:hAnsi="ITC Avant Garde" w:cs="Arial"/>
          <w:b/>
          <w:color w:val="000000"/>
          <w:sz w:val="20"/>
          <w:szCs w:val="14"/>
          <w:u w:val="single"/>
          <w:lang w:val="es-MX" w:eastAsia="en-US"/>
        </w:rPr>
        <w:t>VALORACIÓN DE SOLICITUDES PRESENTADAS POR LOS INTERESADOS PARA EL PROGRAMA  ANUAL DE USO Y APROVECHAMIENTO DE BANDAS DE FRECUENCIAS 2017 (PROGRAMA 2017</w:t>
      </w:r>
      <w:r>
        <w:rPr>
          <w:szCs w:val="14"/>
          <w:u w:val="single"/>
        </w:rPr>
        <w:t>)</w:t>
      </w:r>
      <w:r>
        <w:rPr>
          <w:rStyle w:val="Refdenotaalpie"/>
          <w:szCs w:val="14"/>
          <w:u w:val="single"/>
        </w:rPr>
        <w:footnoteReference w:id="25"/>
      </w:r>
    </w:p>
    <w:p w:rsidR="004A714B" w:rsidRPr="00F7521A" w:rsidRDefault="004A714B" w:rsidP="00F7521A">
      <w:pPr>
        <w:pStyle w:val="Ttulo3"/>
        <w:keepNext/>
        <w:keepLines/>
        <w:pBdr>
          <w:top w:val="none" w:sz="0" w:space="0" w:color="auto"/>
          <w:left w:val="none" w:sz="0" w:space="0" w:color="auto"/>
          <w:bottom w:val="none" w:sz="0" w:space="0" w:color="auto"/>
          <w:right w:val="none" w:sz="0" w:space="0" w:color="auto"/>
          <w:between w:val="none" w:sz="0" w:space="0" w:color="auto"/>
        </w:pBdr>
        <w:spacing w:before="40" w:line="276" w:lineRule="auto"/>
        <w:ind w:left="0" w:firstLine="0"/>
        <w:rPr>
          <w:rFonts w:eastAsiaTheme="majorEastAsia" w:cstheme="majorBidi"/>
          <w:color w:val="000000" w:themeColor="text1"/>
          <w:sz w:val="22"/>
          <w:szCs w:val="22"/>
          <w:lang w:eastAsia="en-US"/>
        </w:rPr>
      </w:pPr>
      <w:r w:rsidRPr="00F7521A">
        <w:rPr>
          <w:rFonts w:eastAsiaTheme="majorEastAsia" w:cstheme="majorBidi"/>
          <w:color w:val="000000" w:themeColor="text1"/>
          <w:sz w:val="22"/>
          <w:szCs w:val="22"/>
          <w:lang w:eastAsia="en-US"/>
        </w:rPr>
        <w:t>RADIODIFUSIÓN</w:t>
      </w:r>
    </w:p>
    <w:p w:rsidR="004A714B" w:rsidRDefault="004A714B" w:rsidP="004A714B">
      <w:pPr>
        <w:tabs>
          <w:tab w:val="left" w:pos="7655"/>
        </w:tabs>
        <w:spacing w:before="240" w:line="240" w:lineRule="auto"/>
        <w:ind w:right="51"/>
        <w:contextualSpacing/>
        <w:jc w:val="both"/>
        <w:rPr>
          <w:rFonts w:ascii="ITC Avant Garde" w:hAnsi="ITC Avant Garde" w:cs="Arial"/>
          <w:color w:val="000000"/>
          <w:sz w:val="20"/>
          <w:szCs w:val="20"/>
        </w:rPr>
      </w:pPr>
      <w:r w:rsidRPr="00F71D0F">
        <w:rPr>
          <w:rFonts w:ascii="ITC Avant Garde" w:hAnsi="ITC Avant Garde" w:cs="Arial"/>
          <w:color w:val="000000"/>
          <w:sz w:val="20"/>
          <w:szCs w:val="20"/>
        </w:rPr>
        <w:t xml:space="preserve">Ahora bien, del análisis de las solicitudes de inclusión al Programa 2017 </w:t>
      </w:r>
      <w:r>
        <w:rPr>
          <w:rFonts w:ascii="ITC Avant Garde" w:hAnsi="ITC Avant Garde" w:cs="Arial"/>
          <w:color w:val="000000"/>
          <w:sz w:val="20"/>
          <w:szCs w:val="20"/>
        </w:rPr>
        <w:t xml:space="preserve">presentadas del 6 de agosto al 21 de diciembre de 2016, </w:t>
      </w:r>
      <w:r w:rsidRPr="00F71D0F">
        <w:rPr>
          <w:rFonts w:ascii="ITC Avant Garde" w:hAnsi="ITC Avant Garde" w:cs="Arial"/>
          <w:color w:val="000000"/>
          <w:sz w:val="20"/>
          <w:szCs w:val="20"/>
        </w:rPr>
        <w:t>para el servicio de radiodifusión, se derivaron diversos supuestos de valoración, los cuales se pueden agrupar y explicar de manera general, de la forma siguiente:</w:t>
      </w:r>
    </w:p>
    <w:p w:rsidR="004A714B" w:rsidRDefault="004A714B" w:rsidP="00192567">
      <w:pPr>
        <w:pStyle w:val="Prrafodelista"/>
        <w:numPr>
          <w:ilvl w:val="0"/>
          <w:numId w:val="3"/>
        </w:numPr>
        <w:pBdr>
          <w:top w:val="nil"/>
          <w:left w:val="nil"/>
          <w:bottom w:val="nil"/>
          <w:right w:val="nil"/>
          <w:between w:val="nil"/>
          <w:bar w:val="nil"/>
        </w:pBdr>
        <w:spacing w:before="240" w:after="200"/>
        <w:ind w:right="49"/>
        <w:contextualSpacing/>
        <w:jc w:val="both"/>
        <w:rPr>
          <w:rFonts w:ascii="ITC Avant Garde" w:hAnsi="ITC Avant Garde" w:cs="Arial"/>
          <w:color w:val="000000"/>
          <w:sz w:val="20"/>
        </w:rPr>
      </w:pPr>
      <w:r w:rsidRPr="003E3856">
        <w:rPr>
          <w:rFonts w:ascii="ITC Avant Garde" w:hAnsi="ITC Avant Garde" w:cs="Arial"/>
          <w:b/>
          <w:color w:val="000000"/>
          <w:sz w:val="20"/>
        </w:rPr>
        <w:t>Se considera viable su inclusión en el Programa 2017</w:t>
      </w:r>
      <w:r w:rsidRPr="00F71D0F">
        <w:rPr>
          <w:rFonts w:ascii="ITC Avant Garde" w:hAnsi="ITC Avant Garde" w:cs="Arial"/>
          <w:b/>
          <w:color w:val="000000"/>
          <w:sz w:val="20"/>
        </w:rPr>
        <w:t>.</w:t>
      </w:r>
      <w:r w:rsidRPr="00F71D0F">
        <w:rPr>
          <w:rFonts w:ascii="ITC Avant Garde" w:hAnsi="ITC Avant Garde" w:cs="Arial"/>
          <w:color w:val="000000"/>
          <w:sz w:val="20"/>
        </w:rPr>
        <w:t xml:space="preserve"> Existe espectro suficiente para la asignación de nuevas estaciones de radiodifusión o telecomunicaciones, atendiendo cada uno de los supuestos previamente señalados, y atendiendo una o más solicitudes de inclusión que se hayan recibido por el Instituto para la localidad de mérito. </w:t>
      </w:r>
    </w:p>
    <w:p w:rsidR="004A714B" w:rsidRPr="00272377" w:rsidRDefault="004A714B" w:rsidP="00192567">
      <w:pPr>
        <w:pStyle w:val="Prrafodelista"/>
        <w:numPr>
          <w:ilvl w:val="0"/>
          <w:numId w:val="3"/>
        </w:numPr>
        <w:pBdr>
          <w:top w:val="nil"/>
          <w:left w:val="nil"/>
          <w:bottom w:val="nil"/>
          <w:right w:val="nil"/>
          <w:between w:val="nil"/>
          <w:bar w:val="nil"/>
        </w:pBdr>
        <w:spacing w:before="240" w:after="200"/>
        <w:ind w:right="49"/>
        <w:contextualSpacing/>
        <w:jc w:val="both"/>
        <w:rPr>
          <w:rFonts w:ascii="ITC Avant Garde" w:hAnsi="ITC Avant Garde" w:cs="Arial"/>
          <w:color w:val="000000"/>
          <w:sz w:val="20"/>
        </w:rPr>
      </w:pPr>
      <w:r w:rsidRPr="00272377">
        <w:rPr>
          <w:rFonts w:ascii="ITC Avant Garde" w:hAnsi="ITC Avant Garde" w:cs="Arial"/>
          <w:b/>
          <w:color w:val="000000"/>
          <w:sz w:val="20"/>
        </w:rPr>
        <w:t>Sin disponibilidad espectral.</w:t>
      </w:r>
      <w:r w:rsidRPr="00272377">
        <w:rPr>
          <w:rFonts w:ascii="ITC Avant Garde" w:hAnsi="ITC Avant Garde" w:cs="Arial"/>
          <w:color w:val="000000"/>
          <w:sz w:val="20"/>
        </w:rPr>
        <w:t xml:space="preserve"> Lo anterior implica que, atendiendo las disposiciones técnicas aplicables y el estado actual de uso del espectro en la localidad solicitada, no se incluye la localidad en el Programa 2017, toda vez que no existen frecuencias disponibles que puedan ser utilizadas para su asignación a nuevas estaciones en dicha localidad. </w:t>
      </w:r>
    </w:p>
    <w:p w:rsidR="004A714B" w:rsidRPr="003C473F" w:rsidRDefault="004A714B" w:rsidP="00192567">
      <w:pPr>
        <w:pStyle w:val="Prrafodelista"/>
        <w:numPr>
          <w:ilvl w:val="0"/>
          <w:numId w:val="3"/>
        </w:numPr>
        <w:pBdr>
          <w:top w:val="nil"/>
          <w:left w:val="nil"/>
          <w:bottom w:val="nil"/>
          <w:right w:val="nil"/>
          <w:between w:val="nil"/>
          <w:bar w:val="nil"/>
        </w:pBdr>
        <w:spacing w:before="240" w:after="200"/>
        <w:ind w:right="49"/>
        <w:contextualSpacing/>
        <w:jc w:val="both"/>
        <w:rPr>
          <w:rFonts w:ascii="ITC Avant Garde" w:hAnsi="ITC Avant Garde" w:cs="Arial"/>
          <w:color w:val="000000"/>
          <w:sz w:val="20"/>
        </w:rPr>
      </w:pPr>
      <w:r w:rsidRPr="00F71D0F">
        <w:rPr>
          <w:rFonts w:ascii="ITC Avant Garde" w:hAnsi="ITC Avant Garde" w:cs="Arial"/>
          <w:b/>
          <w:color w:val="000000"/>
          <w:sz w:val="20"/>
        </w:rPr>
        <w:t>Sin suficiencia espectral.</w:t>
      </w:r>
      <w:r w:rsidRPr="00F71D0F">
        <w:rPr>
          <w:rFonts w:ascii="ITC Avant Garde" w:hAnsi="ITC Avant Garde" w:cs="Arial"/>
          <w:color w:val="000000"/>
          <w:sz w:val="20"/>
        </w:rPr>
        <w:t xml:space="preserve"> Ello implica que, si bien hay espectro disponible, no se incluye la localidad en el Programa 2017, toda vez que se deben considerar </w:t>
      </w:r>
      <w:r w:rsidRPr="00F71D0F">
        <w:rPr>
          <w:rFonts w:ascii="ITC Avant Garde" w:hAnsi="ITC Avant Garde"/>
          <w:color w:val="000000"/>
          <w:sz w:val="20"/>
          <w:lang w:val="es-ES"/>
        </w:rPr>
        <w:t>localidades donde la disponibilidad de frecuencias se encuentra en la parte reservada de la banda</w:t>
      </w:r>
      <w:r>
        <w:rPr>
          <w:rFonts w:ascii="ITC Avant Garde" w:hAnsi="ITC Avant Garde"/>
          <w:color w:val="000000"/>
          <w:sz w:val="20"/>
          <w:lang w:val="es-ES"/>
        </w:rPr>
        <w:t xml:space="preserve">, o en su caso, existen frecuencias disponibles en la parte reservada de la banda, pero que no pueden ser objeto del Programa, toda vez que se debe de garantizar lo establecido en el </w:t>
      </w:r>
      <w:r w:rsidRPr="00D03558">
        <w:rPr>
          <w:rFonts w:ascii="ITC Avant Garde" w:hAnsi="ITC Avant Garde"/>
          <w:color w:val="000000"/>
          <w:sz w:val="20"/>
          <w:lang w:val="es-ES"/>
        </w:rPr>
        <w:t xml:space="preserve">artículo 90 de la Ley Federal de Telecomunicaciones y Radiodifusión. </w:t>
      </w:r>
      <w:r>
        <w:rPr>
          <w:rFonts w:ascii="ITC Avant Garde" w:hAnsi="ITC Avant Garde"/>
          <w:color w:val="000000"/>
          <w:sz w:val="20"/>
          <w:lang w:val="es-ES"/>
        </w:rPr>
        <w:t xml:space="preserve">Asimismo, </w:t>
      </w:r>
      <w:r w:rsidRPr="00D03558">
        <w:rPr>
          <w:rFonts w:ascii="ITC Avant Garde" w:hAnsi="ITC Avant Garde"/>
          <w:color w:val="000000"/>
          <w:sz w:val="20"/>
          <w:lang w:val="es-ES"/>
        </w:rPr>
        <w:t>localidades donde la disponibilidad de frecuencias es menor que las solicitudes de permiso que se encuentran en trámite o bien, don</w:t>
      </w:r>
      <w:r w:rsidRPr="00404916">
        <w:rPr>
          <w:rFonts w:ascii="ITC Avant Garde" w:hAnsi="ITC Avant Garde"/>
          <w:color w:val="000000"/>
          <w:sz w:val="20"/>
          <w:lang w:val="es-ES"/>
        </w:rPr>
        <w:t>de aún existe un mayor número de estaciones de radio en AM que las disponibles en FM, y que por tanto no pudieron transitar, en términos del Acuerdo de Transición</w:t>
      </w:r>
      <w:r w:rsidRPr="00F71D0F">
        <w:rPr>
          <w:rStyle w:val="Refdenotaalpie"/>
          <w:rFonts w:ascii="ITC Avant Garde" w:hAnsi="ITC Avant Garde"/>
          <w:color w:val="000000"/>
          <w:sz w:val="20"/>
          <w:lang w:val="es-ES"/>
        </w:rPr>
        <w:footnoteReference w:id="26"/>
      </w:r>
      <w:r w:rsidRPr="00D03558">
        <w:rPr>
          <w:rFonts w:ascii="ITC Avant Garde" w:hAnsi="ITC Avant Garde" w:cs="Arial"/>
          <w:color w:val="000000"/>
          <w:sz w:val="20"/>
        </w:rPr>
        <w:t xml:space="preserve">. Por tanto, hasta que no se emitan las resoluciones respectivas, el Instituto deberá prever </w:t>
      </w:r>
      <w:r w:rsidRPr="00404916">
        <w:rPr>
          <w:rFonts w:ascii="ITC Avant Garde" w:hAnsi="ITC Avant Garde" w:cs="Arial"/>
          <w:color w:val="000000"/>
          <w:sz w:val="20"/>
        </w:rPr>
        <w:t xml:space="preserve">el espectro suficiente y necesario para su atención. </w:t>
      </w:r>
    </w:p>
    <w:p w:rsidR="004A714B" w:rsidRPr="00F71D0F" w:rsidRDefault="004A714B" w:rsidP="00192567">
      <w:pPr>
        <w:pStyle w:val="Prrafodelista"/>
        <w:numPr>
          <w:ilvl w:val="0"/>
          <w:numId w:val="3"/>
        </w:numPr>
        <w:pBdr>
          <w:top w:val="nil"/>
          <w:left w:val="nil"/>
          <w:bottom w:val="nil"/>
          <w:right w:val="nil"/>
          <w:between w:val="nil"/>
          <w:bar w:val="nil"/>
        </w:pBdr>
        <w:spacing w:before="240" w:after="200"/>
        <w:ind w:right="49"/>
        <w:contextualSpacing/>
        <w:jc w:val="both"/>
        <w:rPr>
          <w:rFonts w:ascii="ITC Avant Garde" w:hAnsi="ITC Avant Garde" w:cs="Arial"/>
          <w:color w:val="000000"/>
          <w:sz w:val="20"/>
        </w:rPr>
      </w:pPr>
      <w:r w:rsidRPr="00F71D0F">
        <w:rPr>
          <w:rFonts w:ascii="ITC Avant Garde" w:hAnsi="ITC Avant Garde" w:cs="Arial"/>
          <w:b/>
          <w:color w:val="000000"/>
          <w:sz w:val="20"/>
        </w:rPr>
        <w:t>Requiere Coordinación con la FCC.</w:t>
      </w:r>
      <w:r w:rsidRPr="00F71D0F">
        <w:rPr>
          <w:rFonts w:ascii="ITC Avant Garde" w:hAnsi="ITC Avant Garde" w:cs="Arial"/>
          <w:color w:val="000000"/>
          <w:sz w:val="20"/>
        </w:rPr>
        <w:t xml:space="preserve"> Aplicable para localidades que se encuentran dentro de la franja fronteriza de 320 km a ambos lados de la frontera común con los Estados Unidos de Norteamérica (EUA), lo cual implica que si bien existen frecuencias disponibles en la localidad, ésta no se incluye en el Programa 2017, toda vez que la frecuencia disponible no puede utilizarse hasta en tanto no se obtenga la aprobación expresa de la contraparte, lo anterior, atendiendo los procedimientos de coordinación establecidos en los Acuerdos bilaterales firmados entre </w:t>
      </w:r>
      <w:r w:rsidRPr="00F71D0F">
        <w:rPr>
          <w:rFonts w:ascii="ITC Avant Garde" w:hAnsi="ITC Avant Garde" w:cs="Arial"/>
          <w:color w:val="000000"/>
          <w:sz w:val="20"/>
        </w:rPr>
        <w:lastRenderedPageBreak/>
        <w:t>ambas administraciones, a fin de permitir la coexistencia de servicios y lograr un óptimo y eficiente uso del espectro en la región, previo a la puesta en operación de nuevas estaciones de radiocomunicación.</w:t>
      </w:r>
    </w:p>
    <w:p w:rsidR="004A714B" w:rsidRDefault="004A714B" w:rsidP="00192567">
      <w:pPr>
        <w:pStyle w:val="Prrafodelista"/>
        <w:numPr>
          <w:ilvl w:val="0"/>
          <w:numId w:val="3"/>
        </w:numPr>
        <w:pBdr>
          <w:top w:val="nil"/>
          <w:left w:val="nil"/>
          <w:bottom w:val="nil"/>
          <w:right w:val="nil"/>
          <w:between w:val="nil"/>
          <w:bar w:val="nil"/>
        </w:pBdr>
        <w:spacing w:before="240" w:after="200"/>
        <w:ind w:right="49"/>
        <w:contextualSpacing/>
        <w:jc w:val="both"/>
        <w:rPr>
          <w:rFonts w:ascii="ITC Avant Garde" w:hAnsi="ITC Avant Garde" w:cs="Arial"/>
          <w:color w:val="000000"/>
          <w:sz w:val="20"/>
        </w:rPr>
      </w:pPr>
      <w:r w:rsidRPr="00F71D0F">
        <w:rPr>
          <w:rFonts w:ascii="ITC Avant Garde" w:hAnsi="ITC Avant Garde" w:cs="Arial"/>
          <w:b/>
          <w:color w:val="000000"/>
          <w:sz w:val="20"/>
        </w:rPr>
        <w:t xml:space="preserve">Localidad prevista en el Programa </w:t>
      </w:r>
      <w:r>
        <w:rPr>
          <w:rFonts w:ascii="ITC Avant Garde" w:hAnsi="ITC Avant Garde" w:cs="Arial"/>
          <w:b/>
          <w:color w:val="000000"/>
          <w:sz w:val="20"/>
        </w:rPr>
        <w:t>2015</w:t>
      </w:r>
      <w:r w:rsidRPr="00F71D0F">
        <w:rPr>
          <w:rFonts w:ascii="ITC Avant Garde" w:hAnsi="ITC Avant Garde" w:cs="Arial"/>
          <w:b/>
          <w:color w:val="000000"/>
          <w:sz w:val="20"/>
        </w:rPr>
        <w:t>.</w:t>
      </w:r>
      <w:r w:rsidRPr="00F71D0F">
        <w:rPr>
          <w:rFonts w:ascii="ITC Avant Garde" w:hAnsi="ITC Avant Garde" w:cs="Arial"/>
          <w:color w:val="000000"/>
          <w:sz w:val="20"/>
        </w:rPr>
        <w:t xml:space="preserve"> Ello implica que, si bien hay espectro disponible, no se incluye la localidad en el Programa 2017, toda vez </w:t>
      </w:r>
      <w:r>
        <w:rPr>
          <w:rFonts w:ascii="ITC Avant Garde" w:hAnsi="ITC Avant Garde" w:cs="Arial"/>
          <w:color w:val="000000"/>
          <w:sz w:val="20"/>
        </w:rPr>
        <w:t>ésta se encuentra prevista para los p</w:t>
      </w:r>
      <w:r w:rsidRPr="00F71D0F">
        <w:rPr>
          <w:rFonts w:ascii="ITC Avant Garde" w:hAnsi="ITC Avant Garde" w:cs="Arial"/>
          <w:color w:val="000000"/>
          <w:sz w:val="20"/>
        </w:rPr>
        <w:t>roceso</w:t>
      </w:r>
      <w:r>
        <w:rPr>
          <w:rFonts w:ascii="ITC Avant Garde" w:hAnsi="ITC Avant Garde" w:cs="Arial"/>
          <w:color w:val="000000"/>
          <w:sz w:val="20"/>
        </w:rPr>
        <w:t>s</w:t>
      </w:r>
      <w:r w:rsidRPr="00F71D0F">
        <w:rPr>
          <w:rFonts w:ascii="ITC Avant Garde" w:hAnsi="ITC Avant Garde" w:cs="Arial"/>
          <w:color w:val="000000"/>
          <w:sz w:val="20"/>
        </w:rPr>
        <w:t xml:space="preserve"> de licitación </w:t>
      </w:r>
      <w:r>
        <w:rPr>
          <w:rFonts w:ascii="ITC Avant Garde" w:hAnsi="ITC Avant Garde" w:cs="Arial"/>
          <w:color w:val="000000"/>
          <w:sz w:val="20"/>
        </w:rPr>
        <w:t xml:space="preserve">señalados </w:t>
      </w:r>
      <w:r w:rsidRPr="00F71D0F">
        <w:rPr>
          <w:rFonts w:ascii="ITC Avant Garde" w:hAnsi="ITC Avant Garde" w:cs="Arial"/>
          <w:color w:val="000000"/>
          <w:sz w:val="20"/>
        </w:rPr>
        <w:t>en el Programa Anual de Uso y Aprovechamien</w:t>
      </w:r>
      <w:r>
        <w:rPr>
          <w:rFonts w:ascii="ITC Avant Garde" w:hAnsi="ITC Avant Garde" w:cs="Arial"/>
          <w:color w:val="000000"/>
          <w:sz w:val="20"/>
        </w:rPr>
        <w:t>to de Bandas de Frecuencias 2015</w:t>
      </w:r>
      <w:r w:rsidRPr="00F71D0F">
        <w:rPr>
          <w:rFonts w:ascii="ITC Avant Garde" w:hAnsi="ITC Avant Garde" w:cs="Arial"/>
          <w:color w:val="000000"/>
          <w:sz w:val="20"/>
        </w:rPr>
        <w:t>.</w:t>
      </w:r>
    </w:p>
    <w:p w:rsidR="004A714B" w:rsidRDefault="004A714B" w:rsidP="00192567">
      <w:pPr>
        <w:pStyle w:val="Prrafodelista"/>
        <w:numPr>
          <w:ilvl w:val="0"/>
          <w:numId w:val="3"/>
        </w:numPr>
        <w:pBdr>
          <w:top w:val="nil"/>
          <w:left w:val="nil"/>
          <w:bottom w:val="nil"/>
          <w:right w:val="nil"/>
          <w:between w:val="nil"/>
          <w:bar w:val="nil"/>
        </w:pBdr>
        <w:spacing w:before="240" w:after="200"/>
        <w:ind w:right="49"/>
        <w:contextualSpacing/>
        <w:jc w:val="both"/>
        <w:rPr>
          <w:rFonts w:ascii="ITC Avant Garde" w:hAnsi="ITC Avant Garde" w:cs="Arial"/>
          <w:color w:val="000000"/>
          <w:sz w:val="20"/>
        </w:rPr>
      </w:pPr>
      <w:r w:rsidRPr="00F71D0F">
        <w:rPr>
          <w:rFonts w:ascii="ITC Avant Garde" w:hAnsi="ITC Avant Garde" w:cs="Arial"/>
          <w:b/>
          <w:color w:val="000000"/>
          <w:sz w:val="20"/>
        </w:rPr>
        <w:t>Localidad prevista en el Programa 2016.</w:t>
      </w:r>
      <w:r w:rsidRPr="00F71D0F">
        <w:rPr>
          <w:rFonts w:ascii="ITC Avant Garde" w:hAnsi="ITC Avant Garde" w:cs="Arial"/>
          <w:color w:val="000000"/>
          <w:sz w:val="20"/>
        </w:rPr>
        <w:t xml:space="preserve"> Ello implica que, si bien hay espectro disponible, no se incluye la localidad en el Programa 2017, toda vez </w:t>
      </w:r>
      <w:r>
        <w:rPr>
          <w:rFonts w:ascii="ITC Avant Garde" w:hAnsi="ITC Avant Garde" w:cs="Arial"/>
          <w:color w:val="000000"/>
          <w:sz w:val="20"/>
        </w:rPr>
        <w:t>ésta se encuentra prevista para los p</w:t>
      </w:r>
      <w:r w:rsidRPr="00F71D0F">
        <w:rPr>
          <w:rFonts w:ascii="ITC Avant Garde" w:hAnsi="ITC Avant Garde" w:cs="Arial"/>
          <w:color w:val="000000"/>
          <w:sz w:val="20"/>
        </w:rPr>
        <w:t>roceso</w:t>
      </w:r>
      <w:r>
        <w:rPr>
          <w:rFonts w:ascii="ITC Avant Garde" w:hAnsi="ITC Avant Garde" w:cs="Arial"/>
          <w:color w:val="000000"/>
          <w:sz w:val="20"/>
        </w:rPr>
        <w:t>s</w:t>
      </w:r>
      <w:r w:rsidRPr="00F71D0F">
        <w:rPr>
          <w:rFonts w:ascii="ITC Avant Garde" w:hAnsi="ITC Avant Garde" w:cs="Arial"/>
          <w:color w:val="000000"/>
          <w:sz w:val="20"/>
        </w:rPr>
        <w:t xml:space="preserve"> de licitación </w:t>
      </w:r>
      <w:r>
        <w:rPr>
          <w:rFonts w:ascii="ITC Avant Garde" w:hAnsi="ITC Avant Garde" w:cs="Arial"/>
          <w:color w:val="000000"/>
          <w:sz w:val="20"/>
        </w:rPr>
        <w:t xml:space="preserve">señalados </w:t>
      </w:r>
      <w:r w:rsidRPr="00F71D0F">
        <w:rPr>
          <w:rFonts w:ascii="ITC Avant Garde" w:hAnsi="ITC Avant Garde" w:cs="Arial"/>
          <w:color w:val="000000"/>
          <w:sz w:val="20"/>
        </w:rPr>
        <w:t>en el Programa Anual de Uso y Aprovechamien</w:t>
      </w:r>
      <w:r>
        <w:rPr>
          <w:rFonts w:ascii="ITC Avant Garde" w:hAnsi="ITC Avant Garde" w:cs="Arial"/>
          <w:color w:val="000000"/>
          <w:sz w:val="20"/>
        </w:rPr>
        <w:t>to de Bandas de Frecuencias 2016.</w:t>
      </w:r>
    </w:p>
    <w:p w:rsidR="004A714B" w:rsidRDefault="004A714B" w:rsidP="004A714B">
      <w:pPr>
        <w:spacing w:before="240" w:line="240" w:lineRule="auto"/>
        <w:rPr>
          <w:rFonts w:ascii="ITC Avant Garde" w:hAnsi="ITC Avant Garde"/>
          <w:sz w:val="20"/>
          <w:szCs w:val="20"/>
        </w:rPr>
      </w:pPr>
      <w:r w:rsidRPr="007D55DD">
        <w:rPr>
          <w:rFonts w:ascii="ITC Avant Garde" w:hAnsi="ITC Avant Garde"/>
          <w:sz w:val="20"/>
          <w:szCs w:val="20"/>
        </w:rPr>
        <w:t>Una vez, precisado lo anterior, se informa que las solicitudes de inclusión ingresadas para el servicio de radiodifusión, se valoraron en el sentido siguiente:</w:t>
      </w:r>
    </w:p>
    <w:p w:rsidR="004A714B" w:rsidRDefault="004A714B" w:rsidP="004A714B">
      <w:pPr>
        <w:spacing w:before="240" w:line="240" w:lineRule="auto"/>
        <w:jc w:val="center"/>
        <w:rPr>
          <w:rFonts w:ascii="ITC Avant Garde" w:hAnsi="ITC Avant Garde"/>
          <w:b/>
          <w:sz w:val="18"/>
          <w:szCs w:val="14"/>
        </w:rPr>
      </w:pPr>
      <w:r>
        <w:rPr>
          <w:rFonts w:ascii="ITC Avant Garde" w:hAnsi="ITC Avant Garde"/>
          <w:b/>
          <w:sz w:val="18"/>
          <w:szCs w:val="14"/>
        </w:rPr>
        <w:t>TDT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DT"/>
        <w:tblDescription w:val="En una tabla amplia se proporciona la valoración de las solicitudes de inclusión ingresadas para el servicio de radiodifusión."/>
      </w:tblPr>
      <w:tblGrid>
        <w:gridCol w:w="375"/>
        <w:gridCol w:w="1123"/>
        <w:gridCol w:w="1307"/>
        <w:gridCol w:w="1481"/>
        <w:gridCol w:w="1337"/>
        <w:gridCol w:w="1140"/>
        <w:gridCol w:w="1237"/>
        <w:gridCol w:w="5352"/>
      </w:tblGrid>
      <w:tr w:rsidR="004A714B" w:rsidRPr="004355B2" w:rsidTr="004A714B">
        <w:trPr>
          <w:trHeight w:val="20"/>
          <w:tblHeader/>
          <w:jc w:val="center"/>
        </w:trPr>
        <w:tc>
          <w:tcPr>
            <w:tcW w:w="0" w:type="auto"/>
            <w:shd w:val="clear" w:color="auto" w:fill="92D050"/>
            <w:vAlign w:val="center"/>
            <w:hideMark/>
          </w:tcPr>
          <w:p w:rsidR="004A714B" w:rsidRPr="004355B2" w:rsidRDefault="004A714B" w:rsidP="004A714B">
            <w:pPr>
              <w:spacing w:after="0" w:line="240" w:lineRule="auto"/>
              <w:contextualSpacing/>
              <w:jc w:val="center"/>
              <w:rPr>
                <w:rFonts w:ascii="ITC Avant Garde" w:eastAsia="Times New Roman" w:hAnsi="ITC Avant Garde"/>
                <w:b/>
                <w:bCs/>
                <w:color w:val="000000" w:themeColor="text1"/>
                <w:sz w:val="14"/>
                <w:szCs w:val="14"/>
                <w:lang w:eastAsia="es-MX"/>
              </w:rPr>
            </w:pPr>
            <w:r w:rsidRPr="004355B2">
              <w:rPr>
                <w:rFonts w:ascii="ITC Avant Garde" w:eastAsia="Times New Roman" w:hAnsi="ITC Avant Garde"/>
                <w:b/>
                <w:bCs/>
                <w:color w:val="000000" w:themeColor="text1"/>
                <w:sz w:val="14"/>
                <w:szCs w:val="14"/>
                <w:lang w:eastAsia="es-MX"/>
              </w:rPr>
              <w:t>No.</w:t>
            </w:r>
          </w:p>
        </w:tc>
        <w:tc>
          <w:tcPr>
            <w:tcW w:w="0" w:type="auto"/>
            <w:shd w:val="clear" w:color="auto" w:fill="92D050"/>
            <w:vAlign w:val="center"/>
            <w:hideMark/>
          </w:tcPr>
          <w:p w:rsidR="004A714B" w:rsidRPr="004355B2" w:rsidRDefault="004A714B" w:rsidP="004A714B">
            <w:pPr>
              <w:spacing w:after="0" w:line="240" w:lineRule="auto"/>
              <w:contextualSpacing/>
              <w:jc w:val="center"/>
              <w:rPr>
                <w:rFonts w:ascii="ITC Avant Garde" w:eastAsia="Times New Roman" w:hAnsi="ITC Avant Garde"/>
                <w:b/>
                <w:bCs/>
                <w:color w:val="000000" w:themeColor="text1"/>
                <w:sz w:val="14"/>
                <w:szCs w:val="14"/>
                <w:lang w:eastAsia="es-MX"/>
              </w:rPr>
            </w:pPr>
            <w:r w:rsidRPr="004355B2">
              <w:rPr>
                <w:rFonts w:ascii="ITC Avant Garde" w:eastAsia="Times New Roman" w:hAnsi="ITC Avant Garde"/>
                <w:b/>
                <w:bCs/>
                <w:color w:val="000000" w:themeColor="text1"/>
                <w:sz w:val="14"/>
                <w:szCs w:val="14"/>
                <w:lang w:eastAsia="es-MX"/>
              </w:rPr>
              <w:t>Localidad</w:t>
            </w:r>
          </w:p>
        </w:tc>
        <w:tc>
          <w:tcPr>
            <w:tcW w:w="1307" w:type="dxa"/>
            <w:shd w:val="clear" w:color="auto" w:fill="92D050"/>
            <w:vAlign w:val="center"/>
            <w:hideMark/>
          </w:tcPr>
          <w:p w:rsidR="004A714B" w:rsidRPr="004355B2" w:rsidRDefault="004A714B" w:rsidP="004A714B">
            <w:pPr>
              <w:spacing w:after="0" w:line="240" w:lineRule="auto"/>
              <w:contextualSpacing/>
              <w:jc w:val="center"/>
              <w:rPr>
                <w:rFonts w:ascii="ITC Avant Garde" w:eastAsia="Times New Roman" w:hAnsi="ITC Avant Garde"/>
                <w:b/>
                <w:bCs/>
                <w:color w:val="000000" w:themeColor="text1"/>
                <w:sz w:val="14"/>
                <w:szCs w:val="14"/>
                <w:lang w:eastAsia="es-MX"/>
              </w:rPr>
            </w:pPr>
            <w:r w:rsidRPr="004355B2">
              <w:rPr>
                <w:rFonts w:ascii="ITC Avant Garde" w:eastAsia="Times New Roman" w:hAnsi="ITC Avant Garde"/>
                <w:b/>
                <w:bCs/>
                <w:color w:val="000000" w:themeColor="text1"/>
                <w:sz w:val="14"/>
                <w:szCs w:val="14"/>
                <w:lang w:eastAsia="es-MX"/>
              </w:rPr>
              <w:t>Estado</w:t>
            </w:r>
          </w:p>
        </w:tc>
        <w:tc>
          <w:tcPr>
            <w:tcW w:w="1481" w:type="dxa"/>
            <w:shd w:val="clear" w:color="auto" w:fill="92D050"/>
            <w:vAlign w:val="center"/>
            <w:hideMark/>
          </w:tcPr>
          <w:p w:rsidR="004A714B" w:rsidRPr="004355B2" w:rsidRDefault="004A714B" w:rsidP="004A714B">
            <w:pPr>
              <w:spacing w:after="0" w:line="240" w:lineRule="auto"/>
              <w:contextualSpacing/>
              <w:jc w:val="center"/>
              <w:rPr>
                <w:rFonts w:ascii="ITC Avant Garde" w:eastAsia="Times New Roman" w:hAnsi="ITC Avant Garde"/>
                <w:b/>
                <w:bCs/>
                <w:color w:val="000000" w:themeColor="text1"/>
                <w:sz w:val="14"/>
                <w:szCs w:val="14"/>
                <w:lang w:eastAsia="es-MX"/>
              </w:rPr>
            </w:pPr>
            <w:r w:rsidRPr="004355B2">
              <w:rPr>
                <w:rFonts w:ascii="ITC Avant Garde" w:eastAsia="Times New Roman" w:hAnsi="ITC Avant Garde"/>
                <w:b/>
                <w:bCs/>
                <w:color w:val="000000" w:themeColor="text1"/>
                <w:sz w:val="14"/>
                <w:szCs w:val="14"/>
                <w:lang w:eastAsia="es-MX"/>
              </w:rPr>
              <w:t>Folio</w:t>
            </w:r>
          </w:p>
        </w:tc>
        <w:tc>
          <w:tcPr>
            <w:tcW w:w="1337" w:type="dxa"/>
            <w:shd w:val="clear" w:color="auto" w:fill="92D050"/>
            <w:vAlign w:val="center"/>
            <w:hideMark/>
          </w:tcPr>
          <w:p w:rsidR="004A714B" w:rsidRPr="004355B2" w:rsidRDefault="004A714B" w:rsidP="004A714B">
            <w:pPr>
              <w:spacing w:after="0" w:line="240" w:lineRule="auto"/>
              <w:contextualSpacing/>
              <w:jc w:val="center"/>
              <w:rPr>
                <w:rFonts w:ascii="ITC Avant Garde" w:eastAsia="Times New Roman" w:hAnsi="ITC Avant Garde"/>
                <w:b/>
                <w:bCs/>
                <w:color w:val="000000" w:themeColor="text1"/>
                <w:sz w:val="14"/>
                <w:szCs w:val="14"/>
                <w:lang w:eastAsia="es-MX"/>
              </w:rPr>
            </w:pPr>
            <w:r w:rsidRPr="004355B2">
              <w:rPr>
                <w:rFonts w:ascii="ITC Avant Garde" w:eastAsia="Times New Roman" w:hAnsi="ITC Avant Garde"/>
                <w:b/>
                <w:bCs/>
                <w:color w:val="000000" w:themeColor="text1"/>
                <w:sz w:val="14"/>
                <w:szCs w:val="14"/>
                <w:lang w:eastAsia="es-MX"/>
              </w:rPr>
              <w:t>Forma de Ingreso</w:t>
            </w:r>
          </w:p>
        </w:tc>
        <w:tc>
          <w:tcPr>
            <w:tcW w:w="1140" w:type="dxa"/>
            <w:shd w:val="clear" w:color="auto" w:fill="92D050"/>
            <w:vAlign w:val="center"/>
            <w:hideMark/>
          </w:tcPr>
          <w:p w:rsidR="004A714B" w:rsidRPr="004355B2" w:rsidRDefault="004A714B" w:rsidP="004A714B">
            <w:pPr>
              <w:spacing w:after="0" w:line="240" w:lineRule="auto"/>
              <w:contextualSpacing/>
              <w:jc w:val="center"/>
              <w:rPr>
                <w:rFonts w:ascii="ITC Avant Garde" w:eastAsia="Times New Roman" w:hAnsi="ITC Avant Garde"/>
                <w:b/>
                <w:bCs/>
                <w:color w:val="000000" w:themeColor="text1"/>
                <w:sz w:val="14"/>
                <w:szCs w:val="14"/>
                <w:lang w:eastAsia="es-MX"/>
              </w:rPr>
            </w:pPr>
            <w:r w:rsidRPr="004355B2">
              <w:rPr>
                <w:rFonts w:ascii="ITC Avant Garde" w:eastAsia="Times New Roman" w:hAnsi="ITC Avant Garde"/>
                <w:b/>
                <w:bCs/>
                <w:color w:val="000000" w:themeColor="text1"/>
                <w:sz w:val="14"/>
                <w:szCs w:val="14"/>
                <w:lang w:eastAsia="es-MX"/>
              </w:rPr>
              <w:t>Fecha de registro</w:t>
            </w:r>
          </w:p>
        </w:tc>
        <w:tc>
          <w:tcPr>
            <w:tcW w:w="1237" w:type="dxa"/>
            <w:shd w:val="clear" w:color="auto" w:fill="92D050"/>
            <w:vAlign w:val="center"/>
            <w:hideMark/>
          </w:tcPr>
          <w:p w:rsidR="004A714B" w:rsidRPr="004355B2" w:rsidRDefault="004A714B" w:rsidP="004A714B">
            <w:pPr>
              <w:spacing w:after="0" w:line="240" w:lineRule="auto"/>
              <w:contextualSpacing/>
              <w:jc w:val="center"/>
              <w:rPr>
                <w:rFonts w:ascii="ITC Avant Garde" w:eastAsia="Times New Roman" w:hAnsi="ITC Avant Garde"/>
                <w:b/>
                <w:bCs/>
                <w:color w:val="000000" w:themeColor="text1"/>
                <w:sz w:val="14"/>
                <w:szCs w:val="14"/>
                <w:lang w:eastAsia="es-MX"/>
              </w:rPr>
            </w:pPr>
            <w:r w:rsidRPr="004355B2">
              <w:rPr>
                <w:rFonts w:ascii="ITC Avant Garde" w:eastAsia="Times New Roman" w:hAnsi="ITC Avant Garde"/>
                <w:b/>
                <w:bCs/>
                <w:color w:val="000000" w:themeColor="text1"/>
                <w:sz w:val="14"/>
                <w:szCs w:val="14"/>
                <w:lang w:eastAsia="es-MX"/>
              </w:rPr>
              <w:t>Modalidad</w:t>
            </w:r>
          </w:p>
        </w:tc>
        <w:tc>
          <w:tcPr>
            <w:tcW w:w="5352" w:type="dxa"/>
            <w:shd w:val="clear" w:color="auto" w:fill="92D050"/>
            <w:vAlign w:val="center"/>
            <w:hideMark/>
          </w:tcPr>
          <w:p w:rsidR="004A714B" w:rsidRPr="004355B2" w:rsidRDefault="004A714B" w:rsidP="004A714B">
            <w:pPr>
              <w:spacing w:after="0" w:line="240" w:lineRule="auto"/>
              <w:contextualSpacing/>
              <w:jc w:val="center"/>
              <w:rPr>
                <w:rFonts w:ascii="ITC Avant Garde" w:eastAsia="Times New Roman" w:hAnsi="ITC Avant Garde"/>
                <w:b/>
                <w:bCs/>
                <w:color w:val="000000" w:themeColor="text1"/>
                <w:sz w:val="14"/>
                <w:szCs w:val="14"/>
                <w:lang w:eastAsia="es-MX"/>
              </w:rPr>
            </w:pPr>
            <w:r w:rsidRPr="004355B2">
              <w:rPr>
                <w:rFonts w:ascii="ITC Avant Garde" w:eastAsia="Times New Roman" w:hAnsi="ITC Avant Garde"/>
                <w:b/>
                <w:bCs/>
                <w:color w:val="000000" w:themeColor="text1"/>
                <w:sz w:val="14"/>
                <w:szCs w:val="14"/>
                <w:lang w:eastAsia="es-MX"/>
              </w:rPr>
              <w:t>Valoración</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Acapulco de Juárez</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Guerrero</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45113</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29/08/2016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Se considera viable su inclusión en el Programa 2017</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Tehuacán</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Puebla</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45113</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29/08/2016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Se considera viable su inclusión en el Programa 2017</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proofErr w:type="spellStart"/>
            <w:r w:rsidRPr="009C7906">
              <w:rPr>
                <w:rFonts w:ascii="ITC Avant Garde" w:hAnsi="ITC Avant Garde"/>
                <w:sz w:val="14"/>
                <w:szCs w:val="14"/>
              </w:rPr>
              <w:t>Guamuchil</w:t>
            </w:r>
            <w:proofErr w:type="spellEnd"/>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Sinaloa</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45113</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29/08/2016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 xml:space="preserve">Se considera viable su inclusión en el Programa 2017, para las localidades de </w:t>
            </w:r>
            <w:proofErr w:type="spellStart"/>
            <w:r w:rsidRPr="009C7906">
              <w:rPr>
                <w:rFonts w:ascii="ITC Avant Garde" w:hAnsi="ITC Avant Garde"/>
                <w:sz w:val="14"/>
                <w:szCs w:val="14"/>
              </w:rPr>
              <w:t>Guamuchil</w:t>
            </w:r>
            <w:proofErr w:type="spellEnd"/>
            <w:r w:rsidRPr="009C7906">
              <w:rPr>
                <w:rFonts w:ascii="ITC Avant Garde" w:hAnsi="ITC Avant Garde"/>
                <w:sz w:val="14"/>
                <w:szCs w:val="14"/>
              </w:rPr>
              <w:t xml:space="preserve"> y Guasave</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Guasave</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Sinaloa</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45113</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29/08/2016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 xml:space="preserve">Se considera viable su inclusión en el Programa 2017, para las localidades de </w:t>
            </w:r>
            <w:proofErr w:type="spellStart"/>
            <w:r w:rsidRPr="009C7906">
              <w:rPr>
                <w:rFonts w:ascii="ITC Avant Garde" w:hAnsi="ITC Avant Garde"/>
                <w:sz w:val="14"/>
                <w:szCs w:val="14"/>
              </w:rPr>
              <w:t>Guamuchil</w:t>
            </w:r>
            <w:proofErr w:type="spellEnd"/>
            <w:r w:rsidRPr="009C7906">
              <w:rPr>
                <w:rFonts w:ascii="ITC Avant Garde" w:hAnsi="ITC Avant Garde"/>
                <w:sz w:val="14"/>
                <w:szCs w:val="14"/>
              </w:rPr>
              <w:t xml:space="preserve"> y Guasave</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Córdoba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Veracruz</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45113</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29/08/2016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Se considera viable su inclusión en el Programa 2017 para las localidades de Orizaba y Córdoba</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Orizaba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Veracruz</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45113</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29/08/2016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 xml:space="preserve">Se considera viable su inclusión en el Programa 2017, para las localidades Xalapa-Enriquez, </w:t>
            </w:r>
            <w:proofErr w:type="spellStart"/>
            <w:r w:rsidRPr="009C7906">
              <w:rPr>
                <w:rFonts w:ascii="ITC Avant Garde" w:hAnsi="ITC Avant Garde"/>
                <w:sz w:val="14"/>
                <w:szCs w:val="14"/>
              </w:rPr>
              <w:t>Huayacocotla</w:t>
            </w:r>
            <w:proofErr w:type="spellEnd"/>
            <w:r w:rsidRPr="009C7906">
              <w:rPr>
                <w:rFonts w:ascii="ITC Avant Garde" w:hAnsi="ITC Avant Garde"/>
                <w:sz w:val="14"/>
                <w:szCs w:val="14"/>
              </w:rPr>
              <w:t xml:space="preserve">, San Andrés Tuxtla, </w:t>
            </w:r>
            <w:proofErr w:type="spellStart"/>
            <w:r w:rsidRPr="009C7906">
              <w:rPr>
                <w:rFonts w:ascii="ITC Avant Garde" w:hAnsi="ITC Avant Garde"/>
                <w:sz w:val="14"/>
                <w:szCs w:val="14"/>
              </w:rPr>
              <w:t>Ixhuatlán</w:t>
            </w:r>
            <w:proofErr w:type="spellEnd"/>
            <w:r w:rsidRPr="009C7906">
              <w:rPr>
                <w:rFonts w:ascii="ITC Avant Garde" w:hAnsi="ITC Avant Garde"/>
                <w:sz w:val="14"/>
                <w:szCs w:val="14"/>
              </w:rPr>
              <w:t xml:space="preserve"> de Madero, Orizaba</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proofErr w:type="spellStart"/>
            <w:r w:rsidRPr="009C7906">
              <w:rPr>
                <w:rFonts w:ascii="ITC Avant Garde" w:hAnsi="ITC Avant Garde"/>
                <w:sz w:val="14"/>
                <w:szCs w:val="14"/>
              </w:rPr>
              <w:t>Atlangatepec</w:t>
            </w:r>
            <w:proofErr w:type="spellEnd"/>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Tlaxcala</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PABF-2017-RAD-986</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30/09/2016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 xml:space="preserve">Se considera viable su inclusión en el Programa 2017, para las localidades de Tlaxcala y </w:t>
            </w:r>
            <w:proofErr w:type="spellStart"/>
            <w:r w:rsidRPr="009C7906">
              <w:rPr>
                <w:rFonts w:ascii="ITC Avant Garde" w:hAnsi="ITC Avant Garde"/>
                <w:sz w:val="14"/>
                <w:szCs w:val="14"/>
              </w:rPr>
              <w:t>Atlagantepec</w:t>
            </w:r>
            <w:proofErr w:type="spellEnd"/>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Teodoro</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Zacatecas</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PABF-2017-RAD-1017</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14/10/2016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Social</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Se considera viable su inclusión en el Programa 2017</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China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55840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14/11/2016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Allende</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55841</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14/11/2016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Galeana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55842</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14/11/2016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García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55843</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14/11/2016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 xml:space="preserve">General </w:t>
            </w:r>
            <w:proofErr w:type="spellStart"/>
            <w:r w:rsidRPr="009C7906">
              <w:rPr>
                <w:rFonts w:ascii="ITC Avant Garde" w:hAnsi="ITC Avant Garde"/>
                <w:sz w:val="14"/>
                <w:szCs w:val="14"/>
              </w:rPr>
              <w:t>Teran</w:t>
            </w:r>
            <w:proofErr w:type="spellEnd"/>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55844</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14/11/2016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Hidalgo</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55845</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14/11/2016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Benito Juárez</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55850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14/11/2016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Montemorelos</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55851</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14/11/2016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Cadereyta Jiménez</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55852</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14/11/2016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Santiago</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55853</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14/11/2016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General Escobedo</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55854</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14/11/2016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lastRenderedPageBreak/>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 xml:space="preserve">Ciudad Melchor </w:t>
            </w:r>
            <w:proofErr w:type="spellStart"/>
            <w:r w:rsidRPr="009C7906">
              <w:rPr>
                <w:rFonts w:ascii="ITC Avant Garde" w:hAnsi="ITC Avant Garde"/>
                <w:sz w:val="14"/>
                <w:szCs w:val="14"/>
              </w:rPr>
              <w:t>Múzquiz</w:t>
            </w:r>
            <w:proofErr w:type="spellEnd"/>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Coahuila</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57117</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24/11/2016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Comercial</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 xml:space="preserve">Ciudad Melchor </w:t>
            </w:r>
            <w:proofErr w:type="spellStart"/>
            <w:r w:rsidRPr="009C7906">
              <w:rPr>
                <w:rFonts w:ascii="ITC Avant Garde" w:hAnsi="ITC Avant Garde"/>
                <w:sz w:val="14"/>
                <w:szCs w:val="14"/>
              </w:rPr>
              <w:t>Múzquiz</w:t>
            </w:r>
            <w:proofErr w:type="spellEnd"/>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Coahuila</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PABF-2017-RAD-1079</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24/11/2016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Comercial</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Colonia Nueva Santa Rosa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Coahuila</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PABF-2017-RAD-1080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24/11/2016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Comercial</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China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PABF-2017-RAD-1101</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28/11/2016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Allende [Unidad Avícola]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PABF-2017-RAD-1102</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28/11/2016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Galeana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PABF-2017-RAD-1103</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28/11/2016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García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PABF-2017-RAD-1104</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28/11/2016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Terán [Estación]</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PABF-2017-RAD-1105</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28/11/2016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Hidalgo</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PABF-2017-RAD-1106</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28/11/2016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Ciudad Benito Juárez</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PABF-2017-RAD-1107</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28/11/2016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Montemorelos</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PABF-2017-RAD-1108</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28/11/2016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Montemorelos</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PABF-2017-RAD-1109</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28/11/2016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Cadereyta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PABF-2017-RAD-1110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28/11/2016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Santiago</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PABF-2017-RAD-1111</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28/11/2016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Ciudad General Escobedo</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PABF-2017-RAD-1112</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28/11/2016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Victoria de Durango</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Durango</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PABF-2017-RAD-1122</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30/11/2016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Social</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Se considera viable su inclusión en el Programa 2017</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proofErr w:type="spellStart"/>
            <w:r w:rsidRPr="009C7906">
              <w:rPr>
                <w:rFonts w:ascii="ITC Avant Garde" w:hAnsi="ITC Avant Garde"/>
                <w:sz w:val="14"/>
                <w:szCs w:val="14"/>
              </w:rPr>
              <w:t>Purépero</w:t>
            </w:r>
            <w:proofErr w:type="spellEnd"/>
            <w:r w:rsidRPr="009C7906">
              <w:rPr>
                <w:rFonts w:ascii="ITC Avant Garde" w:hAnsi="ITC Avant Garde"/>
                <w:sz w:val="14"/>
                <w:szCs w:val="14"/>
              </w:rPr>
              <w:t xml:space="preserve"> de </w:t>
            </w:r>
            <w:proofErr w:type="spellStart"/>
            <w:r w:rsidRPr="009C7906">
              <w:rPr>
                <w:rFonts w:ascii="ITC Avant Garde" w:hAnsi="ITC Avant Garde"/>
                <w:sz w:val="14"/>
                <w:szCs w:val="14"/>
              </w:rPr>
              <w:t>Echáiz</w:t>
            </w:r>
            <w:proofErr w:type="spellEnd"/>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Michoacán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PABF-2017-RAD-1132</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05/12/2016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Social</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Se considera viable su inclusión en el Programa 2017</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China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PABF-2017-RAD-1135</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07/12/2016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Allende [Unidad Avícola]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PABF-2017-RAD-1136</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07/12/2016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Galeana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PABF-2017-RAD-1137</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07/12/2016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García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PABF-2017-RAD-1143</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08/12/2016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Terán [Estación]</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PABF-2017-RAD-1144</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08/12/2016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Hidalgo</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PABF-2017-RAD-1145</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08/12/2016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lastRenderedPageBreak/>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Ciudad Benito Juárez</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PABF-2017-RAD-1146</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08/12/2016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Montemorelos</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PABF-2017-RAD-1147</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08/12/2016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Cadereyta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PABF-2017-RAD-1148</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08/12/2016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Santiago</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PABF-2017-RAD-1150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08/12/2016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Ciudad General Escobedo</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PABF-2017-RAD-1151</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08/12/2016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Los Reyes</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Michoacán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59012</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09/12/2016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Social</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Se considera viable su inclusión en el Programa 2017</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proofErr w:type="spellStart"/>
            <w:r w:rsidRPr="009C7906">
              <w:rPr>
                <w:rFonts w:ascii="ITC Avant Garde" w:hAnsi="ITC Avant Garde"/>
                <w:sz w:val="14"/>
                <w:szCs w:val="14"/>
              </w:rPr>
              <w:t>Etchojoa</w:t>
            </w:r>
            <w:proofErr w:type="spellEnd"/>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Sonora</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PABF-2017-RAD-1220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09/12/2016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Navojoa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Sonora</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PABF-2017-RAD-1221</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09/12/2016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proofErr w:type="spellStart"/>
            <w:r w:rsidRPr="009C7906">
              <w:rPr>
                <w:rFonts w:ascii="ITC Avant Garde" w:hAnsi="ITC Avant Garde"/>
                <w:sz w:val="14"/>
                <w:szCs w:val="14"/>
              </w:rPr>
              <w:t>Huatabampo</w:t>
            </w:r>
            <w:proofErr w:type="spellEnd"/>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Sonora</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PABF-2017-RAD-1222</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09/12/2016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Nogales</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Sonora</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PABF-2017-RAD-1223</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09/12/2016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Benemérito de las Américas</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Chiapas</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60079</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19/12/2016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 xml:space="preserve">Se considera viable su inclusión en el Programa 2017, para las localidades de Tuxtla Gutierrez, Cintalapa de Figueroa, </w:t>
            </w:r>
            <w:proofErr w:type="spellStart"/>
            <w:r w:rsidRPr="009C7906">
              <w:rPr>
                <w:rFonts w:ascii="ITC Avant Garde" w:hAnsi="ITC Avant Garde"/>
                <w:sz w:val="14"/>
                <w:szCs w:val="14"/>
              </w:rPr>
              <w:t>Pichucalco</w:t>
            </w:r>
            <w:proofErr w:type="spellEnd"/>
            <w:r w:rsidRPr="009C7906">
              <w:rPr>
                <w:rFonts w:ascii="ITC Avant Garde" w:hAnsi="ITC Avant Garde"/>
                <w:sz w:val="14"/>
                <w:szCs w:val="14"/>
              </w:rPr>
              <w:t xml:space="preserve">, Palenque, Benemérito de las Américas, </w:t>
            </w:r>
            <w:proofErr w:type="spellStart"/>
            <w:r w:rsidRPr="009C7906">
              <w:rPr>
                <w:rFonts w:ascii="ITC Avant Garde" w:hAnsi="ITC Avant Garde"/>
                <w:sz w:val="14"/>
                <w:szCs w:val="14"/>
              </w:rPr>
              <w:t>Pijijiapan</w:t>
            </w:r>
            <w:proofErr w:type="spellEnd"/>
            <w:r w:rsidRPr="009C7906">
              <w:rPr>
                <w:rFonts w:ascii="ITC Avant Garde" w:hAnsi="ITC Avant Garde"/>
                <w:sz w:val="14"/>
                <w:szCs w:val="14"/>
              </w:rPr>
              <w:t xml:space="preserve"> y Marqués de Comilla.</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Cintalapa de Figueroa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Chiapas</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60079</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19/12/2016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 xml:space="preserve">Se considera viable su inclusión en el Programa 2017, para las localidades de Tuxtla Gutierrez, Cintalapa de Figueroa, </w:t>
            </w:r>
            <w:proofErr w:type="spellStart"/>
            <w:r w:rsidRPr="009C7906">
              <w:rPr>
                <w:rFonts w:ascii="ITC Avant Garde" w:hAnsi="ITC Avant Garde"/>
                <w:sz w:val="14"/>
                <w:szCs w:val="14"/>
              </w:rPr>
              <w:t>Pichucalco</w:t>
            </w:r>
            <w:proofErr w:type="spellEnd"/>
            <w:r w:rsidRPr="009C7906">
              <w:rPr>
                <w:rFonts w:ascii="ITC Avant Garde" w:hAnsi="ITC Avant Garde"/>
                <w:sz w:val="14"/>
                <w:szCs w:val="14"/>
              </w:rPr>
              <w:t xml:space="preserve">, Palenque, Benemérito de las Américas, </w:t>
            </w:r>
            <w:proofErr w:type="spellStart"/>
            <w:r w:rsidRPr="009C7906">
              <w:rPr>
                <w:rFonts w:ascii="ITC Avant Garde" w:hAnsi="ITC Avant Garde"/>
                <w:sz w:val="14"/>
                <w:szCs w:val="14"/>
              </w:rPr>
              <w:t>Pijijiapan</w:t>
            </w:r>
            <w:proofErr w:type="spellEnd"/>
            <w:r w:rsidRPr="009C7906">
              <w:rPr>
                <w:rFonts w:ascii="ITC Avant Garde" w:hAnsi="ITC Avant Garde"/>
                <w:sz w:val="14"/>
                <w:szCs w:val="14"/>
              </w:rPr>
              <w:t xml:space="preserve"> y Marqués de Comilla.</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Marqués de Comilla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Chiapas</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60079</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19/12/2016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 xml:space="preserve">Se considera viable su inclusión en el Programa 2017, para las localidades de Tuxtla Gutierrez, Cintalapa de Figueroa, </w:t>
            </w:r>
            <w:proofErr w:type="spellStart"/>
            <w:r w:rsidRPr="009C7906">
              <w:rPr>
                <w:rFonts w:ascii="ITC Avant Garde" w:hAnsi="ITC Avant Garde"/>
                <w:sz w:val="14"/>
                <w:szCs w:val="14"/>
              </w:rPr>
              <w:t>Pichucalco</w:t>
            </w:r>
            <w:proofErr w:type="spellEnd"/>
            <w:r w:rsidRPr="009C7906">
              <w:rPr>
                <w:rFonts w:ascii="ITC Avant Garde" w:hAnsi="ITC Avant Garde"/>
                <w:sz w:val="14"/>
                <w:szCs w:val="14"/>
              </w:rPr>
              <w:t xml:space="preserve">, Palenque, Benemérito de las Américas, </w:t>
            </w:r>
            <w:proofErr w:type="spellStart"/>
            <w:r w:rsidRPr="009C7906">
              <w:rPr>
                <w:rFonts w:ascii="ITC Avant Garde" w:hAnsi="ITC Avant Garde"/>
                <w:sz w:val="14"/>
                <w:szCs w:val="14"/>
              </w:rPr>
              <w:t>Pijijiapan</w:t>
            </w:r>
            <w:proofErr w:type="spellEnd"/>
            <w:r w:rsidRPr="009C7906">
              <w:rPr>
                <w:rFonts w:ascii="ITC Avant Garde" w:hAnsi="ITC Avant Garde"/>
                <w:sz w:val="14"/>
                <w:szCs w:val="14"/>
              </w:rPr>
              <w:t xml:space="preserve"> y Marqués de Comilla.</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Palenque</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Chiapas</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60079</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19/12/2016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 xml:space="preserve">Se considera viable su inclusión en el Programa 2017, para las localidades de Tuxtla Gutierrez, Cintalapa de Figueroa, </w:t>
            </w:r>
            <w:proofErr w:type="spellStart"/>
            <w:r w:rsidRPr="009C7906">
              <w:rPr>
                <w:rFonts w:ascii="ITC Avant Garde" w:hAnsi="ITC Avant Garde"/>
                <w:sz w:val="14"/>
                <w:szCs w:val="14"/>
              </w:rPr>
              <w:t>Pichucalco</w:t>
            </w:r>
            <w:proofErr w:type="spellEnd"/>
            <w:r w:rsidRPr="009C7906">
              <w:rPr>
                <w:rFonts w:ascii="ITC Avant Garde" w:hAnsi="ITC Avant Garde"/>
                <w:sz w:val="14"/>
                <w:szCs w:val="14"/>
              </w:rPr>
              <w:t xml:space="preserve">, Palenque, Benemérito de las Américas, </w:t>
            </w:r>
            <w:proofErr w:type="spellStart"/>
            <w:r w:rsidRPr="009C7906">
              <w:rPr>
                <w:rFonts w:ascii="ITC Avant Garde" w:hAnsi="ITC Avant Garde"/>
                <w:sz w:val="14"/>
                <w:szCs w:val="14"/>
              </w:rPr>
              <w:t>Pijijiapan</w:t>
            </w:r>
            <w:proofErr w:type="spellEnd"/>
            <w:r w:rsidRPr="009C7906">
              <w:rPr>
                <w:rFonts w:ascii="ITC Avant Garde" w:hAnsi="ITC Avant Garde"/>
                <w:sz w:val="14"/>
                <w:szCs w:val="14"/>
              </w:rPr>
              <w:t xml:space="preserve"> y Marqués de Comilla.</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proofErr w:type="spellStart"/>
            <w:r w:rsidRPr="009C7906">
              <w:rPr>
                <w:rFonts w:ascii="ITC Avant Garde" w:hAnsi="ITC Avant Garde"/>
                <w:sz w:val="14"/>
                <w:szCs w:val="14"/>
              </w:rPr>
              <w:t>Pichucalco</w:t>
            </w:r>
            <w:proofErr w:type="spellEnd"/>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Chiapas</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60079</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19/12/2016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 xml:space="preserve">Se considera viable su inclusión en el Programa 2017, para las localidades de Tuxtla Gutierrez, Cintalapa de Figueroa, </w:t>
            </w:r>
            <w:proofErr w:type="spellStart"/>
            <w:r w:rsidRPr="009C7906">
              <w:rPr>
                <w:rFonts w:ascii="ITC Avant Garde" w:hAnsi="ITC Avant Garde"/>
                <w:sz w:val="14"/>
                <w:szCs w:val="14"/>
              </w:rPr>
              <w:t>Pichucalco</w:t>
            </w:r>
            <w:proofErr w:type="spellEnd"/>
            <w:r w:rsidRPr="009C7906">
              <w:rPr>
                <w:rFonts w:ascii="ITC Avant Garde" w:hAnsi="ITC Avant Garde"/>
                <w:sz w:val="14"/>
                <w:szCs w:val="14"/>
              </w:rPr>
              <w:t xml:space="preserve">, Palenque, Benemérito de las Américas, </w:t>
            </w:r>
            <w:proofErr w:type="spellStart"/>
            <w:r w:rsidRPr="009C7906">
              <w:rPr>
                <w:rFonts w:ascii="ITC Avant Garde" w:hAnsi="ITC Avant Garde"/>
                <w:sz w:val="14"/>
                <w:szCs w:val="14"/>
              </w:rPr>
              <w:t>Pijijiapan</w:t>
            </w:r>
            <w:proofErr w:type="spellEnd"/>
            <w:r w:rsidRPr="009C7906">
              <w:rPr>
                <w:rFonts w:ascii="ITC Avant Garde" w:hAnsi="ITC Avant Garde"/>
                <w:sz w:val="14"/>
                <w:szCs w:val="14"/>
              </w:rPr>
              <w:t xml:space="preserve"> y Marqués de Comilla.</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proofErr w:type="spellStart"/>
            <w:r w:rsidRPr="009C7906">
              <w:rPr>
                <w:rFonts w:ascii="ITC Avant Garde" w:hAnsi="ITC Avant Garde"/>
                <w:sz w:val="14"/>
                <w:szCs w:val="14"/>
              </w:rPr>
              <w:t>Pijijiapan</w:t>
            </w:r>
            <w:proofErr w:type="spellEnd"/>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Chiapas</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60079</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19/12/2016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 xml:space="preserve">Se considera viable su inclusión en el Programa 2017, para las localidades de Tuxtla Gutierrez, Cintalapa de Figueroa, </w:t>
            </w:r>
            <w:proofErr w:type="spellStart"/>
            <w:r w:rsidRPr="009C7906">
              <w:rPr>
                <w:rFonts w:ascii="ITC Avant Garde" w:hAnsi="ITC Avant Garde"/>
                <w:sz w:val="14"/>
                <w:szCs w:val="14"/>
              </w:rPr>
              <w:t>Pichucalco</w:t>
            </w:r>
            <w:proofErr w:type="spellEnd"/>
            <w:r w:rsidRPr="009C7906">
              <w:rPr>
                <w:rFonts w:ascii="ITC Avant Garde" w:hAnsi="ITC Avant Garde"/>
                <w:sz w:val="14"/>
                <w:szCs w:val="14"/>
              </w:rPr>
              <w:t xml:space="preserve">, Palenque, Benemérito de las Américas, </w:t>
            </w:r>
            <w:proofErr w:type="spellStart"/>
            <w:r w:rsidRPr="009C7906">
              <w:rPr>
                <w:rFonts w:ascii="ITC Avant Garde" w:hAnsi="ITC Avant Garde"/>
                <w:sz w:val="14"/>
                <w:szCs w:val="14"/>
              </w:rPr>
              <w:t>Pijijiapan</w:t>
            </w:r>
            <w:proofErr w:type="spellEnd"/>
            <w:r w:rsidRPr="009C7906">
              <w:rPr>
                <w:rFonts w:ascii="ITC Avant Garde" w:hAnsi="ITC Avant Garde"/>
                <w:sz w:val="14"/>
                <w:szCs w:val="14"/>
              </w:rPr>
              <w:t xml:space="preserve"> y Marqués de Comilla.</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Allende</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60117</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19/12/2016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Benito Juárez</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60117</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19/12/2016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Cadereyta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60117</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19/12/2016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China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60117</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19/12/2016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Escobedo</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60117</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19/12/2016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Galeana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60117</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19/12/2016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García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60117</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19/12/2016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Hidalgo</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60117</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19/12/2016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Montemorelos</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60117</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19/12/2016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Santiago</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60117</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19/12/2016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Terán</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60117</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Escrito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19/12/2016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lastRenderedPageBreak/>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San Juan de Abajo</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Nayarit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Sin Folio</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correo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19/12/2016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Se considera viable su inclusión en el Programa 2017, para las localidades de Tepic y San Juan de Abajo.</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China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PABF-2017-RAD-1337</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20/12/2016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Culiacán Rosales</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Sinaloa</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PABF-2017-RAD-1348</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20/12/2016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Se considera viable su inclusión en el Programa 2017</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Allende [Unidad Avícola]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PABF-2017-RAD-1361</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20/12/2016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Galeana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PABF-2017-RAD-1362</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20/12/2016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García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PABF-2017-RAD-1363</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20/12/2016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Terán [Estación]</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PABF-2017-RAD-1365</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20/12/2016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Hidalgo</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PABF-2017-RAD-1366</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20/12/2016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Ciudad Benito Juárez</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PABF-2017-RAD-1367</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20/12/2016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Montemorelos</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PABF-2017-RAD-1368</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20/12/2016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Cadereyta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PABF-2017-RAD-1369</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20/12/2016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Taxco de Alarcón</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Guerrero</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PABF-2017-RAD-1372</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20/12/2016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Social</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Se considera viable su inclusión en el Programa 2017</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San Juan de Abajo</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Nayarit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Sin Folio</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correo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20/12/2016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Se considera viable su inclusión en el Programa 2017, para las localidades de Tepic y San Juan de Abajo.</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Orizaba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Veracruz</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PABF-2017-RAD-1375</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21/12/2016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 xml:space="preserve">Se considera viable su inclusión en el Programa 2017, para las localidades Xalapa-Enriquez, </w:t>
            </w:r>
            <w:proofErr w:type="spellStart"/>
            <w:r w:rsidRPr="009C7906">
              <w:rPr>
                <w:rFonts w:ascii="ITC Avant Garde" w:hAnsi="ITC Avant Garde"/>
                <w:sz w:val="14"/>
                <w:szCs w:val="14"/>
              </w:rPr>
              <w:t>Huayacocotla</w:t>
            </w:r>
            <w:proofErr w:type="spellEnd"/>
            <w:r w:rsidRPr="009C7906">
              <w:rPr>
                <w:rFonts w:ascii="ITC Avant Garde" w:hAnsi="ITC Avant Garde"/>
                <w:sz w:val="14"/>
                <w:szCs w:val="14"/>
              </w:rPr>
              <w:t xml:space="preserve">, San Andrés Tuxtla, </w:t>
            </w:r>
            <w:proofErr w:type="spellStart"/>
            <w:r w:rsidRPr="009C7906">
              <w:rPr>
                <w:rFonts w:ascii="ITC Avant Garde" w:hAnsi="ITC Avant Garde"/>
                <w:sz w:val="14"/>
                <w:szCs w:val="14"/>
              </w:rPr>
              <w:t>Ixhuatlán</w:t>
            </w:r>
            <w:proofErr w:type="spellEnd"/>
            <w:r w:rsidRPr="009C7906">
              <w:rPr>
                <w:rFonts w:ascii="ITC Avant Garde" w:hAnsi="ITC Avant Garde"/>
                <w:sz w:val="14"/>
                <w:szCs w:val="14"/>
              </w:rPr>
              <w:t xml:space="preserve"> de Madero, Orizaba</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proofErr w:type="spellStart"/>
            <w:r w:rsidRPr="009C7906">
              <w:rPr>
                <w:rFonts w:ascii="ITC Avant Garde" w:hAnsi="ITC Avant Garde"/>
                <w:sz w:val="14"/>
                <w:szCs w:val="14"/>
              </w:rPr>
              <w:t>Huayacocotla</w:t>
            </w:r>
            <w:proofErr w:type="spellEnd"/>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Veracruz</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PABF-2017-RAD-1376</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21/12/2016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 xml:space="preserve">Se considera viable su inclusión en el Programa 2017, para las localidades Xalapa-Enriquez, </w:t>
            </w:r>
            <w:proofErr w:type="spellStart"/>
            <w:r w:rsidRPr="009C7906">
              <w:rPr>
                <w:rFonts w:ascii="ITC Avant Garde" w:hAnsi="ITC Avant Garde"/>
                <w:sz w:val="14"/>
                <w:szCs w:val="14"/>
              </w:rPr>
              <w:t>Huayacocotla</w:t>
            </w:r>
            <w:proofErr w:type="spellEnd"/>
            <w:r w:rsidRPr="009C7906">
              <w:rPr>
                <w:rFonts w:ascii="ITC Avant Garde" w:hAnsi="ITC Avant Garde"/>
                <w:sz w:val="14"/>
                <w:szCs w:val="14"/>
              </w:rPr>
              <w:t xml:space="preserve">, San Andrés Tuxtla, </w:t>
            </w:r>
            <w:proofErr w:type="spellStart"/>
            <w:r w:rsidRPr="009C7906">
              <w:rPr>
                <w:rFonts w:ascii="ITC Avant Garde" w:hAnsi="ITC Avant Garde"/>
                <w:sz w:val="14"/>
                <w:szCs w:val="14"/>
              </w:rPr>
              <w:t>Ixhuatlán</w:t>
            </w:r>
            <w:proofErr w:type="spellEnd"/>
            <w:r w:rsidRPr="009C7906">
              <w:rPr>
                <w:rFonts w:ascii="ITC Avant Garde" w:hAnsi="ITC Avant Garde"/>
                <w:sz w:val="14"/>
                <w:szCs w:val="14"/>
              </w:rPr>
              <w:t xml:space="preserve"> de Madero, Orizaba</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San Andrés Tuxtla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Veracruz</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PABF-2017-RAD-1377</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21/12/2016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 xml:space="preserve">Se considera viable su inclusión en el Programa 2017, para las localidades Xalapa-Enriquez, </w:t>
            </w:r>
            <w:proofErr w:type="spellStart"/>
            <w:r w:rsidRPr="009C7906">
              <w:rPr>
                <w:rFonts w:ascii="ITC Avant Garde" w:hAnsi="ITC Avant Garde"/>
                <w:sz w:val="14"/>
                <w:szCs w:val="14"/>
              </w:rPr>
              <w:t>Huayacocotla</w:t>
            </w:r>
            <w:proofErr w:type="spellEnd"/>
            <w:r w:rsidRPr="009C7906">
              <w:rPr>
                <w:rFonts w:ascii="ITC Avant Garde" w:hAnsi="ITC Avant Garde"/>
                <w:sz w:val="14"/>
                <w:szCs w:val="14"/>
              </w:rPr>
              <w:t xml:space="preserve">, San Andrés Tuxtla, </w:t>
            </w:r>
            <w:proofErr w:type="spellStart"/>
            <w:r w:rsidRPr="009C7906">
              <w:rPr>
                <w:rFonts w:ascii="ITC Avant Garde" w:hAnsi="ITC Avant Garde"/>
                <w:sz w:val="14"/>
                <w:szCs w:val="14"/>
              </w:rPr>
              <w:t>Ixhuatlán</w:t>
            </w:r>
            <w:proofErr w:type="spellEnd"/>
            <w:r w:rsidRPr="009C7906">
              <w:rPr>
                <w:rFonts w:ascii="ITC Avant Garde" w:hAnsi="ITC Avant Garde"/>
                <w:sz w:val="14"/>
                <w:szCs w:val="14"/>
              </w:rPr>
              <w:t xml:space="preserve"> de Madero, Orizaba</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proofErr w:type="spellStart"/>
            <w:r w:rsidRPr="009C7906">
              <w:rPr>
                <w:rFonts w:ascii="ITC Avant Garde" w:hAnsi="ITC Avant Garde"/>
                <w:sz w:val="14"/>
                <w:szCs w:val="14"/>
              </w:rPr>
              <w:t>Ixhuatlán</w:t>
            </w:r>
            <w:proofErr w:type="spellEnd"/>
            <w:r w:rsidRPr="009C7906">
              <w:rPr>
                <w:rFonts w:ascii="ITC Avant Garde" w:hAnsi="ITC Avant Garde"/>
                <w:sz w:val="14"/>
                <w:szCs w:val="14"/>
              </w:rPr>
              <w:t xml:space="preserve"> de Madero</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Veracruz</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PABF-2017-RAD-1378</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21/12/2016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 xml:space="preserve">Se considera viable su inclusión en el Programa 2017, para las localidades Xalapa-Enriquez, </w:t>
            </w:r>
            <w:proofErr w:type="spellStart"/>
            <w:r w:rsidRPr="009C7906">
              <w:rPr>
                <w:rFonts w:ascii="ITC Avant Garde" w:hAnsi="ITC Avant Garde"/>
                <w:sz w:val="14"/>
                <w:szCs w:val="14"/>
              </w:rPr>
              <w:t>Huayacocotla</w:t>
            </w:r>
            <w:proofErr w:type="spellEnd"/>
            <w:r w:rsidRPr="009C7906">
              <w:rPr>
                <w:rFonts w:ascii="ITC Avant Garde" w:hAnsi="ITC Avant Garde"/>
                <w:sz w:val="14"/>
                <w:szCs w:val="14"/>
              </w:rPr>
              <w:t xml:space="preserve">, San Andrés Tuxtla, </w:t>
            </w:r>
            <w:proofErr w:type="spellStart"/>
            <w:r w:rsidRPr="009C7906">
              <w:rPr>
                <w:rFonts w:ascii="ITC Avant Garde" w:hAnsi="ITC Avant Garde"/>
                <w:sz w:val="14"/>
                <w:szCs w:val="14"/>
              </w:rPr>
              <w:t>Ixhuatlán</w:t>
            </w:r>
            <w:proofErr w:type="spellEnd"/>
            <w:r w:rsidRPr="009C7906">
              <w:rPr>
                <w:rFonts w:ascii="ITC Avant Garde" w:hAnsi="ITC Avant Garde"/>
                <w:sz w:val="14"/>
                <w:szCs w:val="14"/>
              </w:rPr>
              <w:t xml:space="preserve"> de Madero, Orizaba</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Santiago</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PABF-2017-RAD-1382</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21/12/2016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Ciudad General Escobedo</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Nuevo León</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PABF-2017-RAD-1383</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21/12/2016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Público</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Requiere coordinación con la FCC</w:t>
            </w:r>
          </w:p>
        </w:tc>
      </w:tr>
      <w:tr w:rsidR="004A714B" w:rsidRPr="009C7906" w:rsidTr="004A714B">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9C7906" w:rsidRDefault="004A714B" w:rsidP="004A714B">
            <w:pPr>
              <w:spacing w:after="0" w:line="240" w:lineRule="auto"/>
              <w:contextualSpacing/>
              <w:jc w:val="center"/>
              <w:rPr>
                <w:rFonts w:ascii="ITC Avant Garde" w:hAnsi="ITC Avant Garde"/>
                <w:color w:val="000000"/>
                <w:sz w:val="14"/>
                <w:szCs w:val="14"/>
              </w:rPr>
            </w:pPr>
            <w:r w:rsidRPr="009C7906">
              <w:rPr>
                <w:rFonts w:ascii="ITC Avant Garde" w:hAnsi="ITC Avant Garde"/>
                <w:color w:val="000000"/>
                <w:sz w:val="14"/>
                <w:szCs w:val="14"/>
              </w:rPr>
              <w:t>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Acapulco de Juárez</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Guerrero</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PABF-2017-RAD-1386</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Formato Electrónico</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21/12/2016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center"/>
              <w:rPr>
                <w:rFonts w:ascii="ITC Avant Garde" w:hAnsi="ITC Avant Garde"/>
                <w:sz w:val="14"/>
                <w:szCs w:val="14"/>
              </w:rPr>
            </w:pPr>
            <w:r w:rsidRPr="009C7906">
              <w:rPr>
                <w:rFonts w:ascii="ITC Avant Garde" w:hAnsi="ITC Avant Garde"/>
                <w:sz w:val="14"/>
                <w:szCs w:val="14"/>
              </w:rPr>
              <w:t>Uso Social</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4A714B" w:rsidRPr="009C7906" w:rsidRDefault="004A714B" w:rsidP="004A714B">
            <w:pPr>
              <w:spacing w:after="0" w:line="240" w:lineRule="auto"/>
              <w:contextualSpacing/>
              <w:jc w:val="both"/>
              <w:rPr>
                <w:rFonts w:ascii="ITC Avant Garde" w:hAnsi="ITC Avant Garde"/>
                <w:sz w:val="14"/>
                <w:szCs w:val="14"/>
              </w:rPr>
            </w:pPr>
            <w:r w:rsidRPr="009C7906">
              <w:rPr>
                <w:rFonts w:ascii="ITC Avant Garde" w:hAnsi="ITC Avant Garde"/>
                <w:sz w:val="14"/>
                <w:szCs w:val="14"/>
              </w:rPr>
              <w:t>Sin Disponibilidad Espectral</w:t>
            </w:r>
          </w:p>
        </w:tc>
      </w:tr>
    </w:tbl>
    <w:p w:rsidR="00F7521A" w:rsidRDefault="00F7521A" w:rsidP="004A714B">
      <w:pPr>
        <w:tabs>
          <w:tab w:val="center" w:pos="8640"/>
          <w:tab w:val="left" w:pos="11900"/>
        </w:tabs>
        <w:spacing w:after="0" w:line="240" w:lineRule="auto"/>
        <w:jc w:val="center"/>
        <w:rPr>
          <w:rFonts w:ascii="ITC Avant Garde" w:hAnsi="ITC Avant Garde"/>
          <w:b/>
          <w:sz w:val="18"/>
          <w:szCs w:val="14"/>
        </w:rPr>
      </w:pPr>
    </w:p>
    <w:p w:rsidR="004A714B" w:rsidRDefault="004A714B" w:rsidP="004A714B">
      <w:pPr>
        <w:tabs>
          <w:tab w:val="center" w:pos="8640"/>
          <w:tab w:val="left" w:pos="11900"/>
        </w:tabs>
        <w:spacing w:after="0" w:line="240" w:lineRule="auto"/>
        <w:jc w:val="center"/>
        <w:rPr>
          <w:rFonts w:ascii="ITC Avant Garde" w:hAnsi="ITC Avant Garde"/>
          <w:b/>
          <w:sz w:val="18"/>
          <w:szCs w:val="14"/>
        </w:rPr>
      </w:pPr>
      <w:r w:rsidRPr="002855DC">
        <w:rPr>
          <w:rFonts w:ascii="ITC Avant Garde" w:hAnsi="ITC Avant Garde"/>
          <w:b/>
          <w:sz w:val="18"/>
          <w:szCs w:val="14"/>
        </w:rPr>
        <w:t>AM</w:t>
      </w:r>
    </w:p>
    <w:p w:rsidR="004A714B" w:rsidRPr="002855DC" w:rsidRDefault="004A714B" w:rsidP="004A714B">
      <w:pPr>
        <w:spacing w:after="0" w:line="240" w:lineRule="auto"/>
        <w:jc w:val="center"/>
        <w:rPr>
          <w:rFonts w:ascii="ITC Avant Garde" w:hAnsi="ITC Avant Garde"/>
          <w:b/>
          <w:sz w:val="18"/>
          <w:szCs w:val="14"/>
        </w:rPr>
      </w:pP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AM"/>
        <w:tblDescription w:val="En una tabla amplia se proporciona la valoración de las solicitudes de inclusión ingresadas para Amplitud Modulada."/>
      </w:tblPr>
      <w:tblGrid>
        <w:gridCol w:w="375"/>
        <w:gridCol w:w="1484"/>
        <w:gridCol w:w="1559"/>
        <w:gridCol w:w="1354"/>
        <w:gridCol w:w="1275"/>
        <w:gridCol w:w="1276"/>
        <w:gridCol w:w="1192"/>
        <w:gridCol w:w="4768"/>
      </w:tblGrid>
      <w:tr w:rsidR="004A714B" w:rsidRPr="004355B2" w:rsidTr="004A714B">
        <w:trPr>
          <w:trHeight w:val="509"/>
          <w:tblHeader/>
        </w:trPr>
        <w:tc>
          <w:tcPr>
            <w:tcW w:w="0" w:type="auto"/>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4"/>
                <w:szCs w:val="14"/>
                <w:lang w:eastAsia="es-MX"/>
              </w:rPr>
            </w:pPr>
            <w:r w:rsidRPr="004355B2">
              <w:rPr>
                <w:rFonts w:ascii="ITC Avant Garde" w:eastAsia="Times New Roman" w:hAnsi="ITC Avant Garde"/>
                <w:b/>
                <w:bCs/>
                <w:color w:val="000000" w:themeColor="text1"/>
                <w:sz w:val="14"/>
                <w:szCs w:val="14"/>
                <w:lang w:eastAsia="es-MX"/>
              </w:rPr>
              <w:lastRenderedPageBreak/>
              <w:t xml:space="preserve">No. </w:t>
            </w:r>
          </w:p>
        </w:tc>
        <w:tc>
          <w:tcPr>
            <w:tcW w:w="1611" w:type="dxa"/>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4"/>
                <w:szCs w:val="14"/>
                <w:lang w:eastAsia="es-MX"/>
              </w:rPr>
            </w:pPr>
            <w:r w:rsidRPr="004355B2">
              <w:rPr>
                <w:rFonts w:ascii="ITC Avant Garde" w:eastAsia="Times New Roman" w:hAnsi="ITC Avant Garde"/>
                <w:b/>
                <w:bCs/>
                <w:color w:val="000000" w:themeColor="text1"/>
                <w:sz w:val="14"/>
                <w:szCs w:val="14"/>
                <w:lang w:eastAsia="es-MX"/>
              </w:rPr>
              <w:t>Localidad</w:t>
            </w:r>
          </w:p>
        </w:tc>
        <w:tc>
          <w:tcPr>
            <w:tcW w:w="1559" w:type="dxa"/>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4"/>
                <w:szCs w:val="14"/>
                <w:lang w:eastAsia="es-MX"/>
              </w:rPr>
            </w:pPr>
            <w:r w:rsidRPr="004355B2">
              <w:rPr>
                <w:rFonts w:ascii="ITC Avant Garde" w:eastAsia="Times New Roman" w:hAnsi="ITC Avant Garde"/>
                <w:b/>
                <w:bCs/>
                <w:color w:val="000000" w:themeColor="text1"/>
                <w:sz w:val="14"/>
                <w:szCs w:val="14"/>
                <w:lang w:eastAsia="es-MX"/>
              </w:rPr>
              <w:t>Estado</w:t>
            </w:r>
          </w:p>
        </w:tc>
        <w:tc>
          <w:tcPr>
            <w:tcW w:w="1985" w:type="dxa"/>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4"/>
                <w:szCs w:val="14"/>
                <w:lang w:eastAsia="es-MX"/>
              </w:rPr>
            </w:pPr>
            <w:r w:rsidRPr="004355B2">
              <w:rPr>
                <w:rFonts w:ascii="ITC Avant Garde" w:eastAsia="Times New Roman" w:hAnsi="ITC Avant Garde"/>
                <w:b/>
                <w:bCs/>
                <w:color w:val="000000" w:themeColor="text1"/>
                <w:sz w:val="14"/>
                <w:szCs w:val="14"/>
                <w:lang w:eastAsia="es-MX"/>
              </w:rPr>
              <w:t>Folio</w:t>
            </w:r>
          </w:p>
        </w:tc>
        <w:tc>
          <w:tcPr>
            <w:tcW w:w="1559" w:type="dxa"/>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4"/>
                <w:szCs w:val="14"/>
                <w:lang w:eastAsia="es-MX"/>
              </w:rPr>
            </w:pPr>
            <w:r w:rsidRPr="004355B2">
              <w:rPr>
                <w:rFonts w:ascii="ITC Avant Garde" w:eastAsia="Times New Roman" w:hAnsi="ITC Avant Garde"/>
                <w:b/>
                <w:bCs/>
                <w:color w:val="000000" w:themeColor="text1"/>
                <w:sz w:val="14"/>
                <w:szCs w:val="14"/>
                <w:lang w:eastAsia="es-MX"/>
              </w:rPr>
              <w:t>Forma de Ingreso</w:t>
            </w:r>
          </w:p>
        </w:tc>
        <w:tc>
          <w:tcPr>
            <w:tcW w:w="1276" w:type="dxa"/>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4"/>
                <w:szCs w:val="14"/>
                <w:lang w:eastAsia="es-MX"/>
              </w:rPr>
            </w:pPr>
            <w:r w:rsidRPr="004355B2">
              <w:rPr>
                <w:rFonts w:ascii="ITC Avant Garde" w:eastAsia="Times New Roman" w:hAnsi="ITC Avant Garde"/>
                <w:b/>
                <w:bCs/>
                <w:color w:val="000000" w:themeColor="text1"/>
                <w:sz w:val="14"/>
                <w:szCs w:val="14"/>
                <w:lang w:eastAsia="es-MX"/>
              </w:rPr>
              <w:t>Fecha de registro</w:t>
            </w:r>
          </w:p>
        </w:tc>
        <w:tc>
          <w:tcPr>
            <w:tcW w:w="1417" w:type="dxa"/>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4"/>
                <w:szCs w:val="14"/>
                <w:lang w:eastAsia="es-MX"/>
              </w:rPr>
            </w:pPr>
            <w:r w:rsidRPr="004355B2">
              <w:rPr>
                <w:rFonts w:ascii="ITC Avant Garde" w:eastAsia="Times New Roman" w:hAnsi="ITC Avant Garde"/>
                <w:b/>
                <w:bCs/>
                <w:color w:val="000000" w:themeColor="text1"/>
                <w:sz w:val="14"/>
                <w:szCs w:val="14"/>
                <w:lang w:eastAsia="es-MX"/>
              </w:rPr>
              <w:t>Modalidad</w:t>
            </w:r>
          </w:p>
        </w:tc>
        <w:tc>
          <w:tcPr>
            <w:tcW w:w="7569" w:type="dxa"/>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4"/>
                <w:szCs w:val="14"/>
                <w:lang w:eastAsia="es-MX"/>
              </w:rPr>
            </w:pPr>
            <w:proofErr w:type="spellStart"/>
            <w:r w:rsidRPr="004355B2">
              <w:rPr>
                <w:rFonts w:ascii="ITC Avant Garde" w:eastAsia="Times New Roman" w:hAnsi="ITC Avant Garde"/>
                <w:b/>
                <w:bCs/>
                <w:color w:val="000000" w:themeColor="text1"/>
                <w:sz w:val="14"/>
                <w:szCs w:val="14"/>
                <w:lang w:eastAsia="es-MX"/>
              </w:rPr>
              <w:t>Valoracion</w:t>
            </w:r>
            <w:proofErr w:type="spellEnd"/>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Xalapa-Enríquez</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714B" w:rsidRPr="006E3104" w:rsidRDefault="004A714B" w:rsidP="004A714B">
            <w:pPr>
              <w:spacing w:after="0" w:line="240" w:lineRule="auto"/>
              <w:jc w:val="center"/>
              <w:rPr>
                <w:rFonts w:ascii="ITC Avant Garde" w:eastAsia="Times New Roman" w:hAnsi="ITC Avant Garde"/>
                <w:color w:val="000000"/>
                <w:sz w:val="14"/>
                <w:szCs w:val="14"/>
                <w:lang w:eastAsia="es-MX"/>
              </w:rPr>
            </w:pPr>
            <w:r w:rsidRPr="006E3104">
              <w:rPr>
                <w:rFonts w:ascii="ITC Avant Garde" w:eastAsia="Times New Roman" w:hAnsi="ITC Avant Garde"/>
                <w:color w:val="000000"/>
                <w:sz w:val="14"/>
                <w:szCs w:val="14"/>
                <w:lang w:eastAsia="es-MX"/>
              </w:rPr>
              <w:t>Veracruz</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PABF-2017-RAD-966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29/08/2016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Uso Social</w:t>
            </w:r>
          </w:p>
        </w:tc>
        <w:tc>
          <w:tcPr>
            <w:tcW w:w="7569" w:type="dxa"/>
            <w:tcBorders>
              <w:top w:val="single" w:sz="4" w:space="0" w:color="auto"/>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Localidad prevista en el Programa 2017. </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2</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Saltillo</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Coahuila</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53893</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Escrito</w:t>
            </w:r>
          </w:p>
        </w:tc>
        <w:tc>
          <w:tcPr>
            <w:tcW w:w="1276" w:type="dxa"/>
            <w:tcBorders>
              <w:top w:val="nil"/>
              <w:left w:val="nil"/>
              <w:bottom w:val="single" w:sz="4" w:space="0" w:color="auto"/>
              <w:right w:val="single" w:sz="4" w:space="0" w:color="auto"/>
            </w:tcBorders>
            <w:shd w:val="clear" w:color="auto" w:fill="auto"/>
            <w:noWrap/>
            <w:vAlign w:val="center"/>
            <w:hideMark/>
          </w:tcPr>
          <w:p w:rsidR="004A714B" w:rsidRPr="006E3104" w:rsidRDefault="004A714B" w:rsidP="004A714B">
            <w:pPr>
              <w:spacing w:after="0" w:line="240" w:lineRule="auto"/>
              <w:jc w:val="center"/>
              <w:rPr>
                <w:rFonts w:ascii="ITC Avant Garde" w:eastAsia="Times New Roman" w:hAnsi="ITC Avant Garde"/>
                <w:color w:val="000000"/>
                <w:sz w:val="14"/>
                <w:szCs w:val="14"/>
                <w:lang w:eastAsia="es-MX"/>
              </w:rPr>
            </w:pPr>
            <w:r w:rsidRPr="006E3104">
              <w:rPr>
                <w:rFonts w:ascii="ITC Avant Garde" w:eastAsia="Times New Roman" w:hAnsi="ITC Avant Garde"/>
                <w:color w:val="000000"/>
                <w:sz w:val="14"/>
                <w:szCs w:val="14"/>
                <w:lang w:eastAsia="es-MX"/>
              </w:rPr>
              <w:t>31/10/2016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Uso Público</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Localidad prevista en el Programa 2017. </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3</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Villa Nicolás Romero</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PABF-2017-RAD-1057</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noWrap/>
            <w:vAlign w:val="center"/>
            <w:hideMark/>
          </w:tcPr>
          <w:p w:rsidR="004A714B" w:rsidRPr="006E3104" w:rsidRDefault="004A714B" w:rsidP="004A714B">
            <w:pPr>
              <w:spacing w:after="0" w:line="240" w:lineRule="auto"/>
              <w:jc w:val="center"/>
              <w:rPr>
                <w:rFonts w:ascii="ITC Avant Garde" w:eastAsia="Times New Roman" w:hAnsi="ITC Avant Garde"/>
                <w:color w:val="000000"/>
                <w:sz w:val="14"/>
                <w:szCs w:val="14"/>
                <w:lang w:eastAsia="es-MX"/>
              </w:rPr>
            </w:pPr>
            <w:r w:rsidRPr="006E3104">
              <w:rPr>
                <w:rFonts w:ascii="ITC Avant Garde" w:eastAsia="Times New Roman" w:hAnsi="ITC Avant Garde"/>
                <w:color w:val="000000"/>
                <w:sz w:val="14"/>
                <w:szCs w:val="14"/>
                <w:lang w:eastAsia="es-MX"/>
              </w:rPr>
              <w:t>18/11/2016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Social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Sin Disponibilidad Espectral</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4</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San Luis Potosí</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San Luis Potosí</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PABF-2017-RAD-1120</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noWrap/>
            <w:vAlign w:val="center"/>
            <w:hideMark/>
          </w:tcPr>
          <w:p w:rsidR="004A714B" w:rsidRPr="006E3104" w:rsidRDefault="004A714B" w:rsidP="004A714B">
            <w:pPr>
              <w:spacing w:after="0" w:line="240" w:lineRule="auto"/>
              <w:jc w:val="center"/>
              <w:rPr>
                <w:rFonts w:ascii="ITC Avant Garde" w:eastAsia="Times New Roman" w:hAnsi="ITC Avant Garde"/>
                <w:color w:val="000000"/>
                <w:sz w:val="14"/>
                <w:szCs w:val="14"/>
                <w:lang w:eastAsia="es-MX"/>
              </w:rPr>
            </w:pPr>
            <w:r w:rsidRPr="006E3104">
              <w:rPr>
                <w:rFonts w:ascii="ITC Avant Garde" w:eastAsia="Times New Roman" w:hAnsi="ITC Avant Garde"/>
                <w:color w:val="000000"/>
                <w:sz w:val="14"/>
                <w:szCs w:val="14"/>
                <w:lang w:eastAsia="es-MX"/>
              </w:rPr>
              <w:t>30/11/2016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San Luis Potosí</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San Luis Potosí</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PABF-2017-RAD-1121</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noWrap/>
            <w:vAlign w:val="center"/>
            <w:hideMark/>
          </w:tcPr>
          <w:p w:rsidR="004A714B" w:rsidRPr="006E3104" w:rsidRDefault="004A714B" w:rsidP="004A714B">
            <w:pPr>
              <w:spacing w:after="0" w:line="240" w:lineRule="auto"/>
              <w:jc w:val="center"/>
              <w:rPr>
                <w:rFonts w:ascii="ITC Avant Garde" w:eastAsia="Times New Roman" w:hAnsi="ITC Avant Garde"/>
                <w:color w:val="000000"/>
                <w:sz w:val="14"/>
                <w:szCs w:val="14"/>
                <w:lang w:eastAsia="es-MX"/>
              </w:rPr>
            </w:pPr>
            <w:r w:rsidRPr="006E3104">
              <w:rPr>
                <w:rFonts w:ascii="ITC Avant Garde" w:eastAsia="Times New Roman" w:hAnsi="ITC Avant Garde"/>
                <w:color w:val="000000"/>
                <w:sz w:val="14"/>
                <w:szCs w:val="14"/>
                <w:lang w:eastAsia="es-MX"/>
              </w:rPr>
              <w:t>30/11/2016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6</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El Arenal</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PABF-2017-RAD-1128</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noWrap/>
            <w:vAlign w:val="center"/>
            <w:hideMark/>
          </w:tcPr>
          <w:p w:rsidR="004A714B" w:rsidRPr="006E3104" w:rsidRDefault="004A714B" w:rsidP="004A714B">
            <w:pPr>
              <w:spacing w:after="0" w:line="240" w:lineRule="auto"/>
              <w:jc w:val="center"/>
              <w:rPr>
                <w:rFonts w:ascii="ITC Avant Garde" w:eastAsia="Times New Roman" w:hAnsi="ITC Avant Garde"/>
                <w:color w:val="000000"/>
                <w:sz w:val="14"/>
                <w:szCs w:val="14"/>
                <w:lang w:eastAsia="es-MX"/>
              </w:rPr>
            </w:pPr>
            <w:r w:rsidRPr="006E3104">
              <w:rPr>
                <w:rFonts w:ascii="ITC Avant Garde" w:eastAsia="Times New Roman" w:hAnsi="ITC Avant Garde"/>
                <w:color w:val="000000"/>
                <w:sz w:val="14"/>
                <w:szCs w:val="14"/>
                <w:lang w:eastAsia="es-MX"/>
              </w:rPr>
              <w:t>05/12/2016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Social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7</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El Arenal</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PABF-2017-RAD-1131</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noWrap/>
            <w:vAlign w:val="center"/>
            <w:hideMark/>
          </w:tcPr>
          <w:p w:rsidR="004A714B" w:rsidRPr="006E3104" w:rsidRDefault="004A714B" w:rsidP="004A714B">
            <w:pPr>
              <w:spacing w:after="0" w:line="240" w:lineRule="auto"/>
              <w:jc w:val="center"/>
              <w:rPr>
                <w:rFonts w:ascii="ITC Avant Garde" w:eastAsia="Times New Roman" w:hAnsi="ITC Avant Garde"/>
                <w:color w:val="000000"/>
                <w:sz w:val="14"/>
                <w:szCs w:val="14"/>
                <w:lang w:eastAsia="es-MX"/>
              </w:rPr>
            </w:pPr>
            <w:r w:rsidRPr="006E3104">
              <w:rPr>
                <w:rFonts w:ascii="ITC Avant Garde" w:eastAsia="Times New Roman" w:hAnsi="ITC Avant Garde"/>
                <w:color w:val="000000"/>
                <w:sz w:val="14"/>
                <w:szCs w:val="14"/>
                <w:lang w:eastAsia="es-MX"/>
              </w:rPr>
              <w:t>05/12/2016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Social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8</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Ixtapaluca</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PABF-2017-RAD-1141</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noWrap/>
            <w:vAlign w:val="center"/>
            <w:hideMark/>
          </w:tcPr>
          <w:p w:rsidR="004A714B" w:rsidRPr="006E3104" w:rsidRDefault="004A714B" w:rsidP="004A714B">
            <w:pPr>
              <w:spacing w:after="0" w:line="240" w:lineRule="auto"/>
              <w:jc w:val="center"/>
              <w:rPr>
                <w:rFonts w:ascii="ITC Avant Garde" w:eastAsia="Times New Roman" w:hAnsi="ITC Avant Garde"/>
                <w:color w:val="000000"/>
                <w:sz w:val="14"/>
                <w:szCs w:val="14"/>
                <w:lang w:eastAsia="es-MX"/>
              </w:rPr>
            </w:pPr>
            <w:r w:rsidRPr="006E3104">
              <w:rPr>
                <w:rFonts w:ascii="ITC Avant Garde" w:eastAsia="Times New Roman" w:hAnsi="ITC Avant Garde"/>
                <w:color w:val="000000"/>
                <w:sz w:val="14"/>
                <w:szCs w:val="14"/>
                <w:lang w:eastAsia="es-MX"/>
              </w:rPr>
              <w:t>07/12/2016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Social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Sin Disponibilidad Espectral</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9</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Calera</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Zacatecas</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58803</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Escrito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10</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Fresnillo</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Zacatecas</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58803</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Escrito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11</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Jalpa</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Zacatecas</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58803</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Escrito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12</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proofErr w:type="spellStart"/>
            <w:r w:rsidRPr="006E3104">
              <w:rPr>
                <w:rFonts w:ascii="ITC Avant Garde" w:eastAsia="Times New Roman" w:hAnsi="ITC Avant Garde"/>
                <w:sz w:val="14"/>
                <w:szCs w:val="14"/>
                <w:lang w:eastAsia="es-MX"/>
              </w:rPr>
              <w:t>Juchipila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Zacatecas</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58803</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Escrito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13</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proofErr w:type="spellStart"/>
            <w:r w:rsidRPr="006E3104">
              <w:rPr>
                <w:rFonts w:ascii="ITC Avant Garde" w:eastAsia="Times New Roman" w:hAnsi="ITC Avant Garde"/>
                <w:sz w:val="14"/>
                <w:szCs w:val="14"/>
                <w:lang w:eastAsia="es-MX"/>
              </w:rPr>
              <w:t>Nochistlan</w:t>
            </w:r>
            <w:proofErr w:type="spellEnd"/>
            <w:r w:rsidRPr="006E3104">
              <w:rPr>
                <w:rFonts w:ascii="ITC Avant Garde" w:eastAsia="Times New Roman" w:hAnsi="ITC Avant Garde"/>
                <w:sz w:val="14"/>
                <w:szCs w:val="14"/>
                <w:lang w:eastAsia="es-MX"/>
              </w:rPr>
              <w:t xml:space="preserve"> de Mejía</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Zacatecas</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58803</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Escrito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14</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Sombrerete</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Zacatecas</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58803</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Escrito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15</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Allende</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58804</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Escrito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Requiere Coordinación con la FCC </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16</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Cadereyta Jiménez</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58804</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Escrito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Requiere Coordinación con la FCC </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17</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Doctor Arroyo/</w:t>
            </w:r>
            <w:proofErr w:type="spellStart"/>
            <w:r w:rsidRPr="006E3104">
              <w:rPr>
                <w:rFonts w:ascii="ITC Avant Garde" w:eastAsia="Times New Roman" w:hAnsi="ITC Avant Garde"/>
                <w:sz w:val="14"/>
                <w:szCs w:val="14"/>
                <w:lang w:eastAsia="es-MX"/>
              </w:rPr>
              <w:t>Aramberri</w:t>
            </w:r>
            <w:proofErr w:type="spellEnd"/>
            <w:r w:rsidRPr="006E3104">
              <w:rPr>
                <w:rFonts w:ascii="ITC Avant Garde" w:eastAsia="Times New Roman" w:hAnsi="ITC Avant Garde"/>
                <w:sz w:val="14"/>
                <w:szCs w:val="14"/>
                <w:lang w:eastAsia="es-MX"/>
              </w:rPr>
              <w:t xml:space="preserve"> y Galeana, todas del Estado de Nuevo León y Matehuala de San Luis </w:t>
            </w:r>
            <w:proofErr w:type="spellStart"/>
            <w:r w:rsidRPr="006E3104">
              <w:rPr>
                <w:rFonts w:ascii="ITC Avant Garde" w:eastAsia="Times New Roman" w:hAnsi="ITC Avant Garde"/>
                <w:sz w:val="14"/>
                <w:szCs w:val="14"/>
                <w:lang w:eastAsia="es-MX"/>
              </w:rPr>
              <w:t>Potosi</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58804</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Escrito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Requiere Coordinación con la FCC </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18</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General </w:t>
            </w:r>
            <w:proofErr w:type="spellStart"/>
            <w:r w:rsidRPr="006E3104">
              <w:rPr>
                <w:rFonts w:ascii="ITC Avant Garde" w:eastAsia="Times New Roman" w:hAnsi="ITC Avant Garde"/>
                <w:sz w:val="14"/>
                <w:szCs w:val="14"/>
                <w:lang w:eastAsia="es-MX"/>
              </w:rPr>
              <w:t>Teran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58804</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Escrito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Requiere Coordinación con la FCC </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19</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Guadalupe</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58804</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Escrito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Requiere Coordinación con la FCC </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20</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Linares</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58804</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Escrito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r>
              <w:rPr>
                <w:rFonts w:ascii="ITC Avant Garde" w:eastAsia="Times New Roman" w:hAnsi="ITC Avant Garde"/>
                <w:sz w:val="14"/>
                <w:szCs w:val="14"/>
                <w:lang w:eastAsia="es-MX"/>
              </w:rPr>
              <w:t>, para las localidades de Linares e Iturbide</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21</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Linares/ </w:t>
            </w:r>
            <w:proofErr w:type="spellStart"/>
            <w:r w:rsidRPr="006E3104">
              <w:rPr>
                <w:rFonts w:ascii="ITC Avant Garde" w:eastAsia="Times New Roman" w:hAnsi="ITC Avant Garde"/>
                <w:sz w:val="14"/>
                <w:szCs w:val="14"/>
                <w:lang w:eastAsia="es-MX"/>
              </w:rPr>
              <w:t>Hualahuises</w:t>
            </w:r>
            <w:proofErr w:type="spellEnd"/>
            <w:r w:rsidRPr="006E3104">
              <w:rPr>
                <w:rFonts w:ascii="ITC Avant Garde" w:eastAsia="Times New Roman" w:hAnsi="ITC Avant Garde"/>
                <w:sz w:val="14"/>
                <w:szCs w:val="14"/>
                <w:lang w:eastAsia="es-MX"/>
              </w:rPr>
              <w:t xml:space="preserve">, </w:t>
            </w:r>
            <w:proofErr w:type="spellStart"/>
            <w:r w:rsidRPr="006E3104">
              <w:rPr>
                <w:rFonts w:ascii="ITC Avant Garde" w:eastAsia="Times New Roman" w:hAnsi="ITC Avant Garde"/>
                <w:sz w:val="14"/>
                <w:szCs w:val="14"/>
                <w:lang w:eastAsia="es-MX"/>
              </w:rPr>
              <w:t>Aramberri</w:t>
            </w:r>
            <w:proofErr w:type="spellEnd"/>
            <w:r w:rsidRPr="006E3104">
              <w:rPr>
                <w:rFonts w:ascii="ITC Avant Garde" w:eastAsia="Times New Roman" w:hAnsi="ITC Avant Garde"/>
                <w:sz w:val="14"/>
                <w:szCs w:val="14"/>
                <w:lang w:eastAsia="es-MX"/>
              </w:rPr>
              <w:t>, Dr. Arroyo, Galeana e Iturbide</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58804</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Escrito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Requiere Coordinación con la FCC </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22</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Montemorelos </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58804</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Escrito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Requiere Coordinación con la FCC </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23</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Montemorelos/ Allende, General Terán, </w:t>
            </w:r>
            <w:proofErr w:type="spellStart"/>
            <w:r w:rsidRPr="006E3104">
              <w:rPr>
                <w:rFonts w:ascii="ITC Avant Garde" w:eastAsia="Times New Roman" w:hAnsi="ITC Avant Garde"/>
                <w:sz w:val="14"/>
                <w:szCs w:val="14"/>
                <w:lang w:eastAsia="es-MX"/>
              </w:rPr>
              <w:t>Hualahuises</w:t>
            </w:r>
            <w:proofErr w:type="spellEnd"/>
            <w:r w:rsidRPr="006E3104">
              <w:rPr>
                <w:rFonts w:ascii="ITC Avant Garde" w:eastAsia="Times New Roman" w:hAnsi="ITC Avant Garde"/>
                <w:sz w:val="14"/>
                <w:szCs w:val="14"/>
                <w:lang w:eastAsia="es-MX"/>
              </w:rPr>
              <w:t>, Rayones y Santiago</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58804</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Escrito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Requiere Coordinación con la FCC </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lastRenderedPageBreak/>
              <w:t>24</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Monterrey</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58804</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Escrito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Requiere Coordinación con la FCC </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25</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Sabinas Hidalgo</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58804</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Escrito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r>
              <w:rPr>
                <w:rFonts w:ascii="ITC Avant Garde" w:eastAsia="Times New Roman" w:hAnsi="ITC Avant Garde"/>
                <w:sz w:val="14"/>
                <w:szCs w:val="14"/>
                <w:lang w:eastAsia="es-MX"/>
              </w:rPr>
              <w:t xml:space="preserve"> para las localidades de Sabinas Hidalgo y </w:t>
            </w:r>
            <w:proofErr w:type="spellStart"/>
            <w:r>
              <w:rPr>
                <w:rFonts w:ascii="ITC Avant Garde" w:eastAsia="Times New Roman" w:hAnsi="ITC Avant Garde"/>
                <w:sz w:val="14"/>
                <w:szCs w:val="14"/>
                <w:lang w:eastAsia="es-MX"/>
              </w:rPr>
              <w:t>Villaldama</w:t>
            </w:r>
            <w:proofErr w:type="spellEnd"/>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26</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San </w:t>
            </w:r>
            <w:proofErr w:type="spellStart"/>
            <w:r w:rsidRPr="006E3104">
              <w:rPr>
                <w:rFonts w:ascii="ITC Avant Garde" w:eastAsia="Times New Roman" w:hAnsi="ITC Avant Garde"/>
                <w:sz w:val="14"/>
                <w:szCs w:val="14"/>
                <w:lang w:eastAsia="es-MX"/>
              </w:rPr>
              <w:t>Nicolas</w:t>
            </w:r>
            <w:proofErr w:type="spellEnd"/>
            <w:r w:rsidRPr="006E3104">
              <w:rPr>
                <w:rFonts w:ascii="ITC Avant Garde" w:eastAsia="Times New Roman" w:hAnsi="ITC Avant Garde"/>
                <w:sz w:val="14"/>
                <w:szCs w:val="14"/>
                <w:lang w:eastAsia="es-MX"/>
              </w:rPr>
              <w:t xml:space="preserve"> de los Garza</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58804</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Escrito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27</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San Pedro Garza García</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58804</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Escrito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Requiere Coordinación con la FCC </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28</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Santiago</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58804</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Escrito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Requiere Coordinación con la FCC </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29</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Texcoco, colonias Centro, Joyas de San Mateo, la Trinidad, Santa Cruz de Arriba, Valle de Santa Cruz, San Sebastián, Chapingo, Unidad ISSSTE, </w:t>
            </w:r>
            <w:proofErr w:type="spellStart"/>
            <w:r w:rsidRPr="006E3104">
              <w:rPr>
                <w:rFonts w:ascii="ITC Avant Garde" w:eastAsia="Times New Roman" w:hAnsi="ITC Avant Garde"/>
                <w:sz w:val="14"/>
                <w:szCs w:val="14"/>
                <w:lang w:eastAsia="es-MX"/>
              </w:rPr>
              <w:t>Huexotla</w:t>
            </w:r>
            <w:proofErr w:type="spellEnd"/>
            <w:r w:rsidRPr="006E3104">
              <w:rPr>
                <w:rFonts w:ascii="ITC Avant Garde" w:eastAsia="Times New Roman" w:hAnsi="ITC Avant Garde"/>
                <w:sz w:val="14"/>
                <w:szCs w:val="14"/>
                <w:lang w:eastAsia="es-MX"/>
              </w:rPr>
              <w:t xml:space="preserve">, San Diego, </w:t>
            </w:r>
            <w:proofErr w:type="spellStart"/>
            <w:r w:rsidRPr="006E3104">
              <w:rPr>
                <w:rFonts w:ascii="ITC Avant Garde" w:eastAsia="Times New Roman" w:hAnsi="ITC Avant Garde"/>
                <w:sz w:val="14"/>
                <w:szCs w:val="14"/>
                <w:lang w:eastAsia="es-MX"/>
              </w:rPr>
              <w:t>Xocotlan</w:t>
            </w:r>
            <w:proofErr w:type="spellEnd"/>
            <w:r w:rsidRPr="006E3104">
              <w:rPr>
                <w:rFonts w:ascii="ITC Avant Garde" w:eastAsia="Times New Roman" w:hAnsi="ITC Avant Garde"/>
                <w:sz w:val="14"/>
                <w:szCs w:val="14"/>
                <w:lang w:eastAsia="es-MX"/>
              </w:rPr>
              <w:t xml:space="preserve"> y Molino de las Flores</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58801</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Escrito</w:t>
            </w:r>
          </w:p>
        </w:tc>
        <w:tc>
          <w:tcPr>
            <w:tcW w:w="1276" w:type="dxa"/>
            <w:tcBorders>
              <w:top w:val="nil"/>
              <w:left w:val="nil"/>
              <w:bottom w:val="single" w:sz="4" w:space="0" w:color="auto"/>
              <w:right w:val="single" w:sz="4" w:space="0" w:color="auto"/>
            </w:tcBorders>
            <w:shd w:val="clear" w:color="auto" w:fill="auto"/>
            <w:noWrap/>
            <w:vAlign w:val="center"/>
            <w:hideMark/>
          </w:tcPr>
          <w:p w:rsidR="004A714B" w:rsidRPr="006E3104" w:rsidRDefault="004A714B" w:rsidP="004A714B">
            <w:pPr>
              <w:spacing w:after="0" w:line="240" w:lineRule="auto"/>
              <w:jc w:val="center"/>
              <w:rPr>
                <w:rFonts w:ascii="ITC Avant Garde" w:eastAsia="Times New Roman" w:hAnsi="ITC Avant Garde"/>
                <w:color w:val="000000"/>
                <w:sz w:val="14"/>
                <w:szCs w:val="14"/>
                <w:lang w:eastAsia="es-MX"/>
              </w:rPr>
            </w:pPr>
            <w:r w:rsidRPr="006E3104">
              <w:rPr>
                <w:rFonts w:ascii="ITC Avant Garde" w:eastAsia="Times New Roman" w:hAnsi="ITC Avant Garde"/>
                <w:color w:val="000000"/>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Social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Sin Disponibilidad Espectral</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30</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Ciudad de </w:t>
            </w:r>
            <w:proofErr w:type="spellStart"/>
            <w:r w:rsidRPr="006E3104">
              <w:rPr>
                <w:rFonts w:ascii="ITC Avant Garde" w:eastAsia="Times New Roman" w:hAnsi="ITC Avant Garde"/>
                <w:sz w:val="14"/>
                <w:szCs w:val="14"/>
                <w:lang w:eastAsia="es-MX"/>
              </w:rPr>
              <w:t>Cuetzalan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PABF-2017-RAD-1182</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noWrap/>
            <w:vAlign w:val="center"/>
            <w:hideMark/>
          </w:tcPr>
          <w:p w:rsidR="004A714B" w:rsidRPr="006E3104" w:rsidRDefault="004A714B" w:rsidP="004A714B">
            <w:pPr>
              <w:spacing w:after="0" w:line="240" w:lineRule="auto"/>
              <w:jc w:val="center"/>
              <w:rPr>
                <w:rFonts w:ascii="ITC Avant Garde" w:eastAsia="Times New Roman" w:hAnsi="ITC Avant Garde"/>
                <w:color w:val="000000"/>
                <w:sz w:val="14"/>
                <w:szCs w:val="14"/>
                <w:lang w:eastAsia="es-MX"/>
              </w:rPr>
            </w:pPr>
            <w:r w:rsidRPr="006E3104">
              <w:rPr>
                <w:rFonts w:ascii="ITC Avant Garde" w:eastAsia="Times New Roman" w:hAnsi="ITC Avant Garde"/>
                <w:color w:val="000000"/>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Social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31</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Tehuacán</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PABF-2017-RAD-1189</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noWrap/>
            <w:vAlign w:val="center"/>
            <w:hideMark/>
          </w:tcPr>
          <w:p w:rsidR="004A714B" w:rsidRPr="006E3104" w:rsidRDefault="004A714B" w:rsidP="004A714B">
            <w:pPr>
              <w:spacing w:after="0" w:line="240" w:lineRule="auto"/>
              <w:jc w:val="center"/>
              <w:rPr>
                <w:rFonts w:ascii="ITC Avant Garde" w:eastAsia="Times New Roman" w:hAnsi="ITC Avant Garde"/>
                <w:color w:val="000000"/>
                <w:sz w:val="14"/>
                <w:szCs w:val="14"/>
                <w:lang w:eastAsia="es-MX"/>
              </w:rPr>
            </w:pPr>
            <w:r w:rsidRPr="006E3104">
              <w:rPr>
                <w:rFonts w:ascii="ITC Avant Garde" w:eastAsia="Times New Roman" w:hAnsi="ITC Avant Garde"/>
                <w:color w:val="000000"/>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8E22B9" w:rsidRDefault="004A714B" w:rsidP="004A714B">
            <w:pPr>
              <w:spacing w:after="0" w:line="240" w:lineRule="auto"/>
              <w:jc w:val="center"/>
              <w:rPr>
                <w:rFonts w:ascii="ITC Avant Garde" w:eastAsia="Times New Roman" w:hAnsi="ITC Avant Garde"/>
                <w:sz w:val="14"/>
                <w:szCs w:val="14"/>
                <w:lang w:eastAsia="es-MX"/>
              </w:rPr>
            </w:pPr>
            <w:r w:rsidRPr="008E22B9">
              <w:rPr>
                <w:rFonts w:ascii="ITC Avant Garde" w:eastAsia="Times New Roman" w:hAnsi="ITC Avant Garde"/>
                <w:sz w:val="14"/>
                <w:szCs w:val="14"/>
                <w:lang w:eastAsia="es-MX"/>
              </w:rPr>
              <w:t xml:space="preserve">Uso Social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8E22B9" w:rsidRDefault="004A714B" w:rsidP="004A714B">
            <w:pPr>
              <w:spacing w:after="0" w:line="240" w:lineRule="auto"/>
              <w:jc w:val="both"/>
              <w:rPr>
                <w:rFonts w:ascii="ITC Avant Garde" w:eastAsia="Times New Roman" w:hAnsi="ITC Avant Garde"/>
                <w:sz w:val="14"/>
                <w:szCs w:val="14"/>
                <w:lang w:eastAsia="es-MX"/>
              </w:rPr>
            </w:pPr>
            <w:r w:rsidRPr="008E22B9">
              <w:rPr>
                <w:rFonts w:ascii="ITC Avant Garde" w:eastAsia="Times New Roman" w:hAnsi="ITC Avant Garde"/>
                <w:sz w:val="14"/>
                <w:szCs w:val="14"/>
                <w:lang w:eastAsia="es-MX"/>
              </w:rPr>
              <w:t xml:space="preserve">Se considera viable su inclusión en el Programa 2017, para las localidades de </w:t>
            </w:r>
            <w:proofErr w:type="spellStart"/>
            <w:r w:rsidRPr="008E22B9">
              <w:rPr>
                <w:rFonts w:ascii="ITC Avant Garde" w:eastAsia="Times New Roman" w:hAnsi="ITC Avant Garde"/>
                <w:sz w:val="14"/>
                <w:szCs w:val="14"/>
                <w:lang w:eastAsia="es-MX"/>
              </w:rPr>
              <w:t>Tehuacan</w:t>
            </w:r>
            <w:proofErr w:type="spellEnd"/>
            <w:r w:rsidRPr="008E22B9">
              <w:rPr>
                <w:rFonts w:ascii="ITC Avant Garde" w:eastAsia="Times New Roman" w:hAnsi="ITC Avant Garde"/>
                <w:sz w:val="14"/>
                <w:szCs w:val="14"/>
                <w:lang w:eastAsia="es-MX"/>
              </w:rPr>
              <w:t xml:space="preserve">, </w:t>
            </w:r>
            <w:proofErr w:type="spellStart"/>
            <w:r w:rsidRPr="008E22B9">
              <w:rPr>
                <w:rFonts w:ascii="ITC Avant Garde" w:hAnsi="ITC Avant Garde"/>
                <w:color w:val="000000"/>
                <w:sz w:val="14"/>
                <w:szCs w:val="14"/>
              </w:rPr>
              <w:t>Atexcal</w:t>
            </w:r>
            <w:proofErr w:type="spellEnd"/>
            <w:r w:rsidRPr="008E22B9">
              <w:rPr>
                <w:rFonts w:ascii="ITC Avant Garde" w:hAnsi="ITC Avant Garde"/>
                <w:color w:val="000000"/>
                <w:sz w:val="14"/>
                <w:szCs w:val="14"/>
              </w:rPr>
              <w:t xml:space="preserve"> y Zapotitlán</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32</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Ciudad de </w:t>
            </w:r>
            <w:proofErr w:type="spellStart"/>
            <w:r w:rsidRPr="006E3104">
              <w:rPr>
                <w:rFonts w:ascii="ITC Avant Garde" w:eastAsia="Times New Roman" w:hAnsi="ITC Avant Garde"/>
                <w:sz w:val="14"/>
                <w:szCs w:val="14"/>
                <w:lang w:eastAsia="es-MX"/>
              </w:rPr>
              <w:t>Ajalpan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PABF-2017-RAD-1190</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noWrap/>
            <w:vAlign w:val="center"/>
            <w:hideMark/>
          </w:tcPr>
          <w:p w:rsidR="004A714B" w:rsidRPr="006E3104" w:rsidRDefault="004A714B" w:rsidP="004A714B">
            <w:pPr>
              <w:spacing w:after="0" w:line="240" w:lineRule="auto"/>
              <w:jc w:val="center"/>
              <w:rPr>
                <w:rFonts w:ascii="ITC Avant Garde" w:eastAsia="Times New Roman" w:hAnsi="ITC Avant Garde"/>
                <w:color w:val="000000"/>
                <w:sz w:val="14"/>
                <w:szCs w:val="14"/>
                <w:lang w:eastAsia="es-MX"/>
              </w:rPr>
            </w:pPr>
            <w:r w:rsidRPr="006E3104">
              <w:rPr>
                <w:rFonts w:ascii="ITC Avant Garde" w:eastAsia="Times New Roman" w:hAnsi="ITC Avant Garde"/>
                <w:color w:val="000000"/>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Social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Localidad prevista en el Programa 2017.</w:t>
            </w:r>
            <w:r w:rsidRPr="006E3104">
              <w:rPr>
                <w:rFonts w:ascii="ITC Avant Garde" w:eastAsia="Times New Roman" w:hAnsi="ITC Avant Garde"/>
                <w:color w:val="000000"/>
                <w:sz w:val="20"/>
                <w:szCs w:val="20"/>
                <w:lang w:eastAsia="es-MX"/>
              </w:rPr>
              <w:t xml:space="preserve"> </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33</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proofErr w:type="spellStart"/>
            <w:r w:rsidRPr="006E3104">
              <w:rPr>
                <w:rFonts w:ascii="ITC Avant Garde" w:eastAsia="Times New Roman" w:hAnsi="ITC Avant Garde"/>
                <w:sz w:val="14"/>
                <w:szCs w:val="14"/>
                <w:lang w:eastAsia="es-MX"/>
              </w:rPr>
              <w:t>Tepexi</w:t>
            </w:r>
            <w:proofErr w:type="spellEnd"/>
            <w:r w:rsidRPr="006E3104">
              <w:rPr>
                <w:rFonts w:ascii="ITC Avant Garde" w:eastAsia="Times New Roman" w:hAnsi="ITC Avant Garde"/>
                <w:sz w:val="14"/>
                <w:szCs w:val="14"/>
                <w:lang w:eastAsia="es-MX"/>
              </w:rPr>
              <w:t xml:space="preserve"> de Rodríguez</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PABF-2017-RAD-1191</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noWrap/>
            <w:vAlign w:val="center"/>
            <w:hideMark/>
          </w:tcPr>
          <w:p w:rsidR="004A714B" w:rsidRPr="006E3104" w:rsidRDefault="004A714B" w:rsidP="004A714B">
            <w:pPr>
              <w:spacing w:after="0" w:line="240" w:lineRule="auto"/>
              <w:jc w:val="center"/>
              <w:rPr>
                <w:rFonts w:ascii="ITC Avant Garde" w:eastAsia="Times New Roman" w:hAnsi="ITC Avant Garde"/>
                <w:color w:val="000000"/>
                <w:sz w:val="14"/>
                <w:szCs w:val="14"/>
                <w:lang w:eastAsia="es-MX"/>
              </w:rPr>
            </w:pPr>
            <w:r w:rsidRPr="006E3104">
              <w:rPr>
                <w:rFonts w:ascii="ITC Avant Garde" w:eastAsia="Times New Roman" w:hAnsi="ITC Avant Garde"/>
                <w:color w:val="000000"/>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Social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34</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Ciudad Serdán</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PABF-2017-RAD-1194</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noWrap/>
            <w:vAlign w:val="center"/>
            <w:hideMark/>
          </w:tcPr>
          <w:p w:rsidR="004A714B" w:rsidRPr="006E3104" w:rsidRDefault="004A714B" w:rsidP="004A714B">
            <w:pPr>
              <w:spacing w:after="0" w:line="240" w:lineRule="auto"/>
              <w:jc w:val="center"/>
              <w:rPr>
                <w:rFonts w:ascii="ITC Avant Garde" w:eastAsia="Times New Roman" w:hAnsi="ITC Avant Garde"/>
                <w:color w:val="000000"/>
                <w:sz w:val="14"/>
                <w:szCs w:val="14"/>
                <w:lang w:eastAsia="es-MX"/>
              </w:rPr>
            </w:pPr>
            <w:r w:rsidRPr="006E3104">
              <w:rPr>
                <w:rFonts w:ascii="ITC Avant Garde" w:eastAsia="Times New Roman" w:hAnsi="ITC Avant Garde"/>
                <w:color w:val="000000"/>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Social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35</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Tlacotepec de Benito Juárez</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PABF-2017-RAD-1197</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noWrap/>
            <w:vAlign w:val="center"/>
            <w:hideMark/>
          </w:tcPr>
          <w:p w:rsidR="004A714B" w:rsidRPr="006E3104" w:rsidRDefault="004A714B" w:rsidP="004A714B">
            <w:pPr>
              <w:spacing w:after="0" w:line="240" w:lineRule="auto"/>
              <w:jc w:val="center"/>
              <w:rPr>
                <w:rFonts w:ascii="ITC Avant Garde" w:eastAsia="Times New Roman" w:hAnsi="ITC Avant Garde"/>
                <w:color w:val="000000"/>
                <w:sz w:val="14"/>
                <w:szCs w:val="14"/>
                <w:lang w:eastAsia="es-MX"/>
              </w:rPr>
            </w:pPr>
            <w:r w:rsidRPr="006E3104">
              <w:rPr>
                <w:rFonts w:ascii="ITC Avant Garde" w:eastAsia="Times New Roman" w:hAnsi="ITC Avant Garde"/>
                <w:color w:val="000000"/>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Social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36</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San Juan </w:t>
            </w:r>
            <w:proofErr w:type="spellStart"/>
            <w:r w:rsidRPr="006E3104">
              <w:rPr>
                <w:rFonts w:ascii="ITC Avant Garde" w:eastAsia="Times New Roman" w:hAnsi="ITC Avant Garde"/>
                <w:sz w:val="14"/>
                <w:szCs w:val="14"/>
                <w:lang w:eastAsia="es-MX"/>
              </w:rPr>
              <w:t>Ixcaquixtla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PABF-2017-RAD-1199</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noWrap/>
            <w:vAlign w:val="center"/>
            <w:hideMark/>
          </w:tcPr>
          <w:p w:rsidR="004A714B" w:rsidRPr="006E3104" w:rsidRDefault="004A714B" w:rsidP="004A714B">
            <w:pPr>
              <w:spacing w:after="0" w:line="240" w:lineRule="auto"/>
              <w:jc w:val="center"/>
              <w:rPr>
                <w:rFonts w:ascii="ITC Avant Garde" w:eastAsia="Times New Roman" w:hAnsi="ITC Avant Garde"/>
                <w:color w:val="000000"/>
                <w:sz w:val="14"/>
                <w:szCs w:val="14"/>
                <w:lang w:eastAsia="es-MX"/>
              </w:rPr>
            </w:pPr>
            <w:r w:rsidRPr="006E3104">
              <w:rPr>
                <w:rFonts w:ascii="ITC Avant Garde" w:eastAsia="Times New Roman" w:hAnsi="ITC Avant Garde"/>
                <w:color w:val="000000"/>
                <w:sz w:val="14"/>
                <w:szCs w:val="14"/>
                <w:lang w:eastAsia="es-MX"/>
              </w:rPr>
              <w:t>08/12/2016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Social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37</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proofErr w:type="spellStart"/>
            <w:r w:rsidRPr="006E3104">
              <w:rPr>
                <w:rFonts w:ascii="ITC Avant Garde" w:eastAsia="Times New Roman" w:hAnsi="ITC Avant Garde"/>
                <w:sz w:val="14"/>
                <w:szCs w:val="14"/>
                <w:lang w:eastAsia="es-MX"/>
              </w:rPr>
              <w:t>Tezuitlán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59015</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Escrito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09/12/2016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Uso Social</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38</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José María Morelos</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Quintana Roo</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PABF-2017-RAD-1265</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15/12/2016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39</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proofErr w:type="spellStart"/>
            <w:r w:rsidRPr="006E3104">
              <w:rPr>
                <w:rFonts w:ascii="ITC Avant Garde" w:eastAsia="Times New Roman" w:hAnsi="ITC Avant Garde"/>
                <w:sz w:val="14"/>
                <w:szCs w:val="14"/>
                <w:lang w:eastAsia="es-MX"/>
              </w:rPr>
              <w:t>Teul</w:t>
            </w:r>
            <w:proofErr w:type="spellEnd"/>
            <w:r w:rsidRPr="006E3104">
              <w:rPr>
                <w:rFonts w:ascii="ITC Avant Garde" w:eastAsia="Times New Roman" w:hAnsi="ITC Avant Garde"/>
                <w:sz w:val="14"/>
                <w:szCs w:val="14"/>
                <w:lang w:eastAsia="es-MX"/>
              </w:rPr>
              <w:t xml:space="preserve"> de González Ortega</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Zacatecas</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PABF-2017-RAD-1283</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16/12/2016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40</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proofErr w:type="spellStart"/>
            <w:r w:rsidRPr="006E3104">
              <w:rPr>
                <w:rFonts w:ascii="ITC Avant Garde" w:eastAsia="Times New Roman" w:hAnsi="ITC Avant Garde"/>
                <w:sz w:val="14"/>
                <w:szCs w:val="14"/>
                <w:lang w:eastAsia="es-MX"/>
              </w:rPr>
              <w:t>Cocula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PABF-2017-RAD-1284</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16/12/2016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41</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Tequila</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PABF-2017-RAD-1285</w:t>
            </w:r>
          </w:p>
        </w:tc>
        <w:tc>
          <w:tcPr>
            <w:tcW w:w="1559" w:type="dxa"/>
            <w:tcBorders>
              <w:top w:val="nil"/>
              <w:left w:val="nil"/>
              <w:bottom w:val="nil"/>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16/12/2016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42</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Tequila</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PABF-2017-RAD-1286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16/12/2016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43</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proofErr w:type="spellStart"/>
            <w:r w:rsidRPr="006E3104">
              <w:rPr>
                <w:rFonts w:ascii="ITC Avant Garde" w:eastAsia="Times New Roman" w:hAnsi="ITC Avant Garde"/>
                <w:sz w:val="14"/>
                <w:szCs w:val="14"/>
                <w:lang w:eastAsia="es-MX"/>
              </w:rPr>
              <w:t>Hopelchén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Campeche</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PABF-2017-RAD-1287</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16/12/2016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44</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proofErr w:type="spellStart"/>
            <w:r w:rsidRPr="006E3104">
              <w:rPr>
                <w:rFonts w:ascii="ITC Avant Garde" w:eastAsia="Times New Roman" w:hAnsi="ITC Avant Garde"/>
                <w:sz w:val="14"/>
                <w:szCs w:val="14"/>
                <w:lang w:eastAsia="es-MX"/>
              </w:rPr>
              <w:t>Tarimoro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PABF-2017-RAD-1288</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16/12/2016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lastRenderedPageBreak/>
              <w:t>45</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Atotonilco de Tula</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PABF-2017-RAD-1289</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16/12/2016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46</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proofErr w:type="spellStart"/>
            <w:r w:rsidRPr="006E3104">
              <w:rPr>
                <w:rFonts w:ascii="ITC Avant Garde" w:eastAsia="Times New Roman" w:hAnsi="ITC Avant Garde"/>
                <w:sz w:val="14"/>
                <w:szCs w:val="14"/>
                <w:lang w:eastAsia="es-MX"/>
              </w:rPr>
              <w:t>Tekax</w:t>
            </w:r>
            <w:proofErr w:type="spellEnd"/>
            <w:r w:rsidRPr="006E3104">
              <w:rPr>
                <w:rFonts w:ascii="ITC Avant Garde" w:eastAsia="Times New Roman" w:hAnsi="ITC Avant Garde"/>
                <w:sz w:val="14"/>
                <w:szCs w:val="14"/>
                <w:lang w:eastAsia="es-MX"/>
              </w:rPr>
              <w:t xml:space="preserve"> de Álvaro Obregón</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Yucatán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PABF-2017-RAD-1290</w:t>
            </w:r>
          </w:p>
        </w:tc>
        <w:tc>
          <w:tcPr>
            <w:tcW w:w="1559" w:type="dxa"/>
            <w:tcBorders>
              <w:top w:val="nil"/>
              <w:left w:val="nil"/>
              <w:bottom w:val="nil"/>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16/12/2016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47</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proofErr w:type="spellStart"/>
            <w:r w:rsidRPr="006E3104">
              <w:rPr>
                <w:rFonts w:ascii="ITC Avant Garde" w:eastAsia="Times New Roman" w:hAnsi="ITC Avant Garde"/>
                <w:sz w:val="14"/>
                <w:szCs w:val="14"/>
                <w:lang w:eastAsia="es-MX"/>
              </w:rPr>
              <w:t>Ticul</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Yucatán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PABF-2017-RAD-1291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16/12/2016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48</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proofErr w:type="spellStart"/>
            <w:r w:rsidRPr="006E3104">
              <w:rPr>
                <w:rFonts w:ascii="ITC Avant Garde" w:eastAsia="Times New Roman" w:hAnsi="ITC Avant Garde"/>
                <w:sz w:val="14"/>
                <w:szCs w:val="14"/>
                <w:lang w:eastAsia="es-MX"/>
              </w:rPr>
              <w:t>Panabá</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Yucatán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PABF-2017-RAD-1293</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16/12/2016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49</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proofErr w:type="spellStart"/>
            <w:r w:rsidRPr="006E3104">
              <w:rPr>
                <w:rFonts w:ascii="ITC Avant Garde" w:eastAsia="Times New Roman" w:hAnsi="ITC Avant Garde"/>
                <w:sz w:val="14"/>
                <w:szCs w:val="14"/>
                <w:lang w:eastAsia="es-MX"/>
              </w:rPr>
              <w:t>Técpan</w:t>
            </w:r>
            <w:proofErr w:type="spellEnd"/>
            <w:r w:rsidRPr="006E3104">
              <w:rPr>
                <w:rFonts w:ascii="ITC Avant Garde" w:eastAsia="Times New Roman" w:hAnsi="ITC Avant Garde"/>
                <w:sz w:val="14"/>
                <w:szCs w:val="14"/>
                <w:lang w:eastAsia="es-MX"/>
              </w:rPr>
              <w:t xml:space="preserve"> de Galeana</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Guerrero</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PABF-2017-RAD-1295</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16/12/2016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50</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proofErr w:type="spellStart"/>
            <w:r w:rsidRPr="006E3104">
              <w:rPr>
                <w:rFonts w:ascii="ITC Avant Garde" w:eastAsia="Times New Roman" w:hAnsi="ITC Avant Garde"/>
                <w:sz w:val="14"/>
                <w:szCs w:val="14"/>
                <w:lang w:eastAsia="es-MX"/>
              </w:rPr>
              <w:t>Sucilá</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Yucatán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PABF-2017-RAD-1296</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16/12/2016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51</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Jala</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Nayarit</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PABF-2017-RAD-1300</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16/12/2016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52</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proofErr w:type="spellStart"/>
            <w:r w:rsidRPr="006E3104">
              <w:rPr>
                <w:rFonts w:ascii="ITC Avant Garde" w:eastAsia="Times New Roman" w:hAnsi="ITC Avant Garde"/>
                <w:sz w:val="14"/>
                <w:szCs w:val="14"/>
                <w:lang w:eastAsia="es-MX"/>
              </w:rPr>
              <w:t>Ahuacatlán</w:t>
            </w:r>
            <w:proofErr w:type="spellEnd"/>
            <w:r w:rsidRPr="006E3104">
              <w:rPr>
                <w:rFonts w:ascii="ITC Avant Garde" w:eastAsia="Times New Roman" w:hAnsi="ITC Avant Garde"/>
                <w:sz w:val="14"/>
                <w:szCs w:val="14"/>
                <w:lang w:eastAsia="es-MX"/>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Nayarit</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PABF-2017-RAD-1303</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16/12/2016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53</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Compostela</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Nayarit</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PABF-2017-RAD-1304</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16/12/2016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54</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proofErr w:type="spellStart"/>
            <w:r w:rsidRPr="006E3104">
              <w:rPr>
                <w:rFonts w:ascii="ITC Avant Garde" w:eastAsia="Times New Roman" w:hAnsi="ITC Avant Garde"/>
                <w:sz w:val="14"/>
                <w:szCs w:val="14"/>
                <w:lang w:eastAsia="es-MX"/>
              </w:rPr>
              <w:t>Tamazunchale</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San Luis Potosí</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PABF-2017-RAD-1307</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16/12/2016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55</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proofErr w:type="spellStart"/>
            <w:r w:rsidRPr="006E3104">
              <w:rPr>
                <w:rFonts w:ascii="ITC Avant Garde" w:eastAsia="Times New Roman" w:hAnsi="ITC Avant Garde"/>
                <w:sz w:val="14"/>
                <w:szCs w:val="14"/>
                <w:lang w:eastAsia="es-MX"/>
              </w:rPr>
              <w:t>Apozol</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Zacatecas</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PABF-2017-RAD-1309</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16/12/2016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56</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Ameca</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PABF-2017-RAD-1312</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19/12/2016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57</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proofErr w:type="spellStart"/>
            <w:r w:rsidRPr="006E3104">
              <w:rPr>
                <w:rFonts w:ascii="ITC Avant Garde" w:eastAsia="Times New Roman" w:hAnsi="ITC Avant Garde"/>
                <w:sz w:val="14"/>
                <w:szCs w:val="14"/>
                <w:lang w:eastAsia="es-MX"/>
              </w:rPr>
              <w:t>Tomatlán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PABF-2017-RAD-1314</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19/12/2016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58</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Peto</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Yucatán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PABF-2017-RAD-1315</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19/12/2016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Comercial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59</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proofErr w:type="spellStart"/>
            <w:r w:rsidRPr="006E3104">
              <w:rPr>
                <w:rFonts w:ascii="ITC Avant Garde" w:eastAsia="Times New Roman" w:hAnsi="ITC Avant Garde"/>
                <w:sz w:val="14"/>
                <w:szCs w:val="14"/>
                <w:lang w:eastAsia="es-MX"/>
              </w:rPr>
              <w:t>Jalpan</w:t>
            </w:r>
            <w:proofErr w:type="spellEnd"/>
            <w:r w:rsidRPr="006E3104">
              <w:rPr>
                <w:rFonts w:ascii="ITC Avant Garde" w:eastAsia="Times New Roman" w:hAnsi="ITC Avant Garde"/>
                <w:sz w:val="14"/>
                <w:szCs w:val="14"/>
                <w:lang w:eastAsia="es-MX"/>
              </w:rPr>
              <w:t xml:space="preserve"> de Serra</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Querétaro</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60278</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Escrito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20/12/2016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Uso Público</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60</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Ensenada </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Baja California</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PABF-2017-RAD-1338</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20/12/2016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Social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Se considera viable su inclusión en el Programa 2017</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61</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San Antonio (Viñedos)</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Baja California</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PABF-2017-RAD-1339</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20/12/2016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Uso Social </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 xml:space="preserve">Requiere Coordinación con la FCC </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62</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San Pablo de las Salinas</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PABF-2017-RAD-1347</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Formato Electrónico</w:t>
            </w:r>
          </w:p>
        </w:tc>
        <w:tc>
          <w:tcPr>
            <w:tcW w:w="1276"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20/12/2016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Uso Público</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Sin Disponibilidad Espectral</w:t>
            </w:r>
          </w:p>
        </w:tc>
      </w:tr>
      <w:tr w:rsidR="004A714B" w:rsidRPr="006E3104"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63</w:t>
            </w:r>
          </w:p>
        </w:tc>
        <w:tc>
          <w:tcPr>
            <w:tcW w:w="1611"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Tultitlán</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60534</w:t>
            </w:r>
          </w:p>
        </w:tc>
        <w:tc>
          <w:tcPr>
            <w:tcW w:w="155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Escrito</w:t>
            </w:r>
          </w:p>
        </w:tc>
        <w:tc>
          <w:tcPr>
            <w:tcW w:w="1276" w:type="dxa"/>
            <w:tcBorders>
              <w:top w:val="nil"/>
              <w:left w:val="nil"/>
              <w:bottom w:val="single" w:sz="4" w:space="0" w:color="auto"/>
              <w:right w:val="single" w:sz="4" w:space="0" w:color="auto"/>
            </w:tcBorders>
            <w:shd w:val="clear" w:color="auto" w:fill="auto"/>
            <w:noWrap/>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21/12/2016</w:t>
            </w:r>
          </w:p>
        </w:tc>
        <w:tc>
          <w:tcPr>
            <w:tcW w:w="1417"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center"/>
              <w:rPr>
                <w:rFonts w:ascii="ITC Avant Garde" w:eastAsia="Times New Roman" w:hAnsi="ITC Avant Garde"/>
                <w:sz w:val="14"/>
                <w:szCs w:val="14"/>
                <w:lang w:eastAsia="es-MX"/>
              </w:rPr>
            </w:pPr>
            <w:r w:rsidRPr="006E3104">
              <w:rPr>
                <w:rFonts w:ascii="ITC Avant Garde" w:eastAsia="Times New Roman" w:hAnsi="ITC Avant Garde"/>
                <w:sz w:val="14"/>
                <w:szCs w:val="14"/>
                <w:lang w:eastAsia="es-MX"/>
              </w:rPr>
              <w:t>Uso Público</w:t>
            </w:r>
          </w:p>
        </w:tc>
        <w:tc>
          <w:tcPr>
            <w:tcW w:w="7569" w:type="dxa"/>
            <w:tcBorders>
              <w:top w:val="nil"/>
              <w:left w:val="nil"/>
              <w:bottom w:val="single" w:sz="4" w:space="0" w:color="auto"/>
              <w:right w:val="single" w:sz="4" w:space="0" w:color="auto"/>
            </w:tcBorders>
            <w:shd w:val="clear" w:color="auto" w:fill="auto"/>
            <w:vAlign w:val="center"/>
            <w:hideMark/>
          </w:tcPr>
          <w:p w:rsidR="004A714B" w:rsidRPr="006E3104" w:rsidRDefault="004A714B" w:rsidP="004A714B">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Se considera viable su inclusión en el Programa 2017.</w:t>
            </w:r>
          </w:p>
        </w:tc>
      </w:tr>
    </w:tbl>
    <w:p w:rsidR="004A714B" w:rsidRDefault="004A714B" w:rsidP="004A714B">
      <w:pPr>
        <w:tabs>
          <w:tab w:val="center" w:pos="8640"/>
          <w:tab w:val="left" w:pos="11900"/>
        </w:tabs>
        <w:spacing w:after="0" w:line="240" w:lineRule="auto"/>
        <w:jc w:val="center"/>
        <w:rPr>
          <w:rFonts w:ascii="ITC Avant Garde" w:hAnsi="ITC Avant Garde"/>
          <w:b/>
          <w:sz w:val="18"/>
          <w:szCs w:val="14"/>
        </w:rPr>
      </w:pPr>
    </w:p>
    <w:p w:rsidR="004A714B" w:rsidRDefault="004A714B" w:rsidP="004A714B">
      <w:pPr>
        <w:tabs>
          <w:tab w:val="center" w:pos="8640"/>
          <w:tab w:val="left" w:pos="11900"/>
        </w:tabs>
        <w:spacing w:after="0" w:line="240" w:lineRule="auto"/>
        <w:jc w:val="center"/>
        <w:rPr>
          <w:rFonts w:ascii="ITC Avant Garde" w:hAnsi="ITC Avant Garde"/>
          <w:b/>
          <w:sz w:val="18"/>
          <w:szCs w:val="14"/>
        </w:rPr>
      </w:pPr>
      <w:r>
        <w:rPr>
          <w:rFonts w:ascii="ITC Avant Garde" w:hAnsi="ITC Avant Garde"/>
          <w:b/>
          <w:sz w:val="18"/>
          <w:szCs w:val="14"/>
        </w:rPr>
        <w:t>F</w:t>
      </w:r>
      <w:r w:rsidRPr="002855DC">
        <w:rPr>
          <w:rFonts w:ascii="ITC Avant Garde" w:hAnsi="ITC Avant Garde"/>
          <w:b/>
          <w:sz w:val="18"/>
          <w:szCs w:val="14"/>
        </w:rPr>
        <w:t>M</w:t>
      </w:r>
    </w:p>
    <w:p w:rsidR="004A714B" w:rsidRPr="002855DC" w:rsidRDefault="004A714B" w:rsidP="004A714B">
      <w:pPr>
        <w:spacing w:after="0" w:line="240" w:lineRule="auto"/>
        <w:jc w:val="center"/>
        <w:rPr>
          <w:rFonts w:ascii="ITC Avant Garde" w:hAnsi="ITC Avant Garde"/>
          <w:b/>
          <w:sz w:val="18"/>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FM"/>
        <w:tblDescription w:val="En una tabla amplia se proporciona la valoración de las solicitudes de inclusión ingresadas para Frecuencia Modulada."/>
      </w:tblPr>
      <w:tblGrid>
        <w:gridCol w:w="375"/>
        <w:gridCol w:w="1680"/>
        <w:gridCol w:w="1559"/>
        <w:gridCol w:w="1985"/>
        <w:gridCol w:w="1559"/>
        <w:gridCol w:w="1009"/>
        <w:gridCol w:w="1417"/>
        <w:gridCol w:w="1134"/>
        <w:gridCol w:w="2634"/>
      </w:tblGrid>
      <w:tr w:rsidR="004A714B" w:rsidRPr="004355B2" w:rsidTr="004A714B">
        <w:trPr>
          <w:trHeight w:val="509"/>
          <w:tblHeader/>
        </w:trPr>
        <w:tc>
          <w:tcPr>
            <w:tcW w:w="0" w:type="auto"/>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4"/>
                <w:szCs w:val="14"/>
                <w:lang w:eastAsia="es-MX"/>
              </w:rPr>
            </w:pPr>
            <w:r w:rsidRPr="004355B2">
              <w:rPr>
                <w:rFonts w:ascii="ITC Avant Garde" w:eastAsia="Times New Roman" w:hAnsi="ITC Avant Garde"/>
                <w:b/>
                <w:bCs/>
                <w:color w:val="000000" w:themeColor="text1"/>
                <w:sz w:val="14"/>
                <w:szCs w:val="14"/>
                <w:lang w:eastAsia="es-MX"/>
              </w:rPr>
              <w:t xml:space="preserve">No. </w:t>
            </w:r>
          </w:p>
        </w:tc>
        <w:tc>
          <w:tcPr>
            <w:tcW w:w="1680" w:type="dxa"/>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4"/>
                <w:szCs w:val="14"/>
                <w:lang w:eastAsia="es-MX"/>
              </w:rPr>
            </w:pPr>
            <w:r w:rsidRPr="004355B2">
              <w:rPr>
                <w:rFonts w:ascii="ITC Avant Garde" w:eastAsia="Times New Roman" w:hAnsi="ITC Avant Garde"/>
                <w:b/>
                <w:bCs/>
                <w:color w:val="000000" w:themeColor="text1"/>
                <w:sz w:val="14"/>
                <w:szCs w:val="14"/>
                <w:lang w:eastAsia="es-MX"/>
              </w:rPr>
              <w:t>Localidad</w:t>
            </w:r>
          </w:p>
        </w:tc>
        <w:tc>
          <w:tcPr>
            <w:tcW w:w="1559" w:type="dxa"/>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4"/>
                <w:szCs w:val="14"/>
                <w:lang w:eastAsia="es-MX"/>
              </w:rPr>
            </w:pPr>
            <w:r w:rsidRPr="004355B2">
              <w:rPr>
                <w:rFonts w:ascii="ITC Avant Garde" w:eastAsia="Times New Roman" w:hAnsi="ITC Avant Garde"/>
                <w:b/>
                <w:bCs/>
                <w:color w:val="000000" w:themeColor="text1"/>
                <w:sz w:val="14"/>
                <w:szCs w:val="14"/>
                <w:lang w:eastAsia="es-MX"/>
              </w:rPr>
              <w:t>Estado</w:t>
            </w:r>
          </w:p>
        </w:tc>
        <w:tc>
          <w:tcPr>
            <w:tcW w:w="1985" w:type="dxa"/>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4"/>
                <w:szCs w:val="14"/>
                <w:lang w:eastAsia="es-MX"/>
              </w:rPr>
            </w:pPr>
            <w:r w:rsidRPr="004355B2">
              <w:rPr>
                <w:rFonts w:ascii="ITC Avant Garde" w:eastAsia="Times New Roman" w:hAnsi="ITC Avant Garde"/>
                <w:b/>
                <w:bCs/>
                <w:color w:val="000000" w:themeColor="text1"/>
                <w:sz w:val="14"/>
                <w:szCs w:val="14"/>
                <w:lang w:eastAsia="es-MX"/>
              </w:rPr>
              <w:t xml:space="preserve">Clase de </w:t>
            </w:r>
            <w:proofErr w:type="spellStart"/>
            <w:r w:rsidRPr="004355B2">
              <w:rPr>
                <w:rFonts w:ascii="ITC Avant Garde" w:eastAsia="Times New Roman" w:hAnsi="ITC Avant Garde"/>
                <w:b/>
                <w:bCs/>
                <w:color w:val="000000" w:themeColor="text1"/>
                <w:sz w:val="14"/>
                <w:szCs w:val="14"/>
                <w:lang w:eastAsia="es-MX"/>
              </w:rPr>
              <w:t>estacion</w:t>
            </w:r>
            <w:proofErr w:type="spellEnd"/>
          </w:p>
        </w:tc>
        <w:tc>
          <w:tcPr>
            <w:tcW w:w="1559" w:type="dxa"/>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4"/>
                <w:szCs w:val="14"/>
                <w:lang w:eastAsia="es-MX"/>
              </w:rPr>
            </w:pPr>
            <w:r w:rsidRPr="004355B2">
              <w:rPr>
                <w:rFonts w:ascii="ITC Avant Garde" w:eastAsia="Times New Roman" w:hAnsi="ITC Avant Garde"/>
                <w:b/>
                <w:bCs/>
                <w:color w:val="000000" w:themeColor="text1"/>
                <w:sz w:val="14"/>
                <w:szCs w:val="14"/>
                <w:lang w:eastAsia="es-MX"/>
              </w:rPr>
              <w:t>Folio</w:t>
            </w:r>
          </w:p>
        </w:tc>
        <w:tc>
          <w:tcPr>
            <w:tcW w:w="1276" w:type="dxa"/>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4"/>
                <w:szCs w:val="14"/>
                <w:lang w:eastAsia="es-MX"/>
              </w:rPr>
            </w:pPr>
            <w:r w:rsidRPr="004355B2">
              <w:rPr>
                <w:rFonts w:ascii="ITC Avant Garde" w:eastAsia="Times New Roman" w:hAnsi="ITC Avant Garde"/>
                <w:b/>
                <w:bCs/>
                <w:color w:val="000000" w:themeColor="text1"/>
                <w:sz w:val="14"/>
                <w:szCs w:val="14"/>
                <w:lang w:eastAsia="es-MX"/>
              </w:rPr>
              <w:t>Forma de Ingreso</w:t>
            </w:r>
          </w:p>
        </w:tc>
        <w:tc>
          <w:tcPr>
            <w:tcW w:w="1417" w:type="dxa"/>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4"/>
                <w:szCs w:val="14"/>
                <w:lang w:eastAsia="es-MX"/>
              </w:rPr>
            </w:pPr>
            <w:r w:rsidRPr="004355B2">
              <w:rPr>
                <w:rFonts w:ascii="ITC Avant Garde" w:eastAsia="Times New Roman" w:hAnsi="ITC Avant Garde"/>
                <w:b/>
                <w:bCs/>
                <w:color w:val="000000" w:themeColor="text1"/>
                <w:sz w:val="14"/>
                <w:szCs w:val="14"/>
                <w:lang w:eastAsia="es-MX"/>
              </w:rPr>
              <w:t>Fecha de registro</w:t>
            </w:r>
          </w:p>
        </w:tc>
        <w:tc>
          <w:tcPr>
            <w:tcW w:w="1134" w:type="dxa"/>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4"/>
                <w:szCs w:val="14"/>
                <w:lang w:eastAsia="es-MX"/>
              </w:rPr>
            </w:pPr>
            <w:r w:rsidRPr="004355B2">
              <w:rPr>
                <w:rFonts w:ascii="ITC Avant Garde" w:eastAsia="Times New Roman" w:hAnsi="ITC Avant Garde"/>
                <w:b/>
                <w:bCs/>
                <w:color w:val="000000" w:themeColor="text1"/>
                <w:sz w:val="14"/>
                <w:szCs w:val="14"/>
                <w:lang w:eastAsia="es-MX"/>
              </w:rPr>
              <w:t>Modalidad</w:t>
            </w:r>
          </w:p>
        </w:tc>
        <w:tc>
          <w:tcPr>
            <w:tcW w:w="6435" w:type="dxa"/>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4"/>
                <w:szCs w:val="14"/>
                <w:lang w:eastAsia="es-MX"/>
              </w:rPr>
            </w:pPr>
            <w:proofErr w:type="spellStart"/>
            <w:r w:rsidRPr="004355B2">
              <w:rPr>
                <w:rFonts w:ascii="ITC Avant Garde" w:eastAsia="Times New Roman" w:hAnsi="ITC Avant Garde"/>
                <w:b/>
                <w:bCs/>
                <w:color w:val="000000" w:themeColor="text1"/>
                <w:sz w:val="14"/>
                <w:szCs w:val="14"/>
                <w:lang w:eastAsia="es-MX"/>
              </w:rPr>
              <w:t>Valoracion</w:t>
            </w:r>
            <w:proofErr w:type="spellEnd"/>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Ometepec</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Guerrero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No Especifica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42567</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10/08/2016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single" w:sz="4" w:space="0" w:color="auto"/>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 como Clase A</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El </w:t>
            </w:r>
            <w:proofErr w:type="spellStart"/>
            <w:r w:rsidRPr="00D0701F">
              <w:rPr>
                <w:rFonts w:ascii="ITC Avant Garde" w:eastAsia="Times New Roman" w:hAnsi="ITC Avant Garde"/>
                <w:sz w:val="14"/>
                <w:szCs w:val="14"/>
                <w:lang w:eastAsia="es-MX"/>
              </w:rPr>
              <w:t>Escobillal</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w:t>
            </w:r>
          </w:p>
        </w:tc>
        <w:tc>
          <w:tcPr>
            <w:tcW w:w="1985"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PABF-2017-RAD-936</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11/08/2016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Metlatónoc</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Guerrero</w:t>
            </w:r>
          </w:p>
        </w:tc>
        <w:tc>
          <w:tcPr>
            <w:tcW w:w="1985"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PABF-2017-RAD-937</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14/08/2016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Acapulco de Juárez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Guerrero</w:t>
            </w:r>
          </w:p>
        </w:tc>
        <w:tc>
          <w:tcPr>
            <w:tcW w:w="1985"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PABF-2017-RAD-938</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14/08/2016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 como Clase B1</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Metlatónoc</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Guerrero</w:t>
            </w:r>
          </w:p>
        </w:tc>
        <w:tc>
          <w:tcPr>
            <w:tcW w:w="1985"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PABF-2017-RAD-939</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14/08/2016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Úrsulo</w:t>
            </w:r>
            <w:proofErr w:type="spellEnd"/>
            <w:r w:rsidRPr="00D0701F">
              <w:rPr>
                <w:rFonts w:ascii="ITC Avant Garde" w:eastAsia="Times New Roman" w:hAnsi="ITC Avant Garde"/>
                <w:sz w:val="14"/>
                <w:szCs w:val="14"/>
                <w:lang w:eastAsia="es-MX"/>
              </w:rPr>
              <w:t xml:space="preserve"> Galván</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Veracruz</w:t>
            </w:r>
          </w:p>
        </w:tc>
        <w:tc>
          <w:tcPr>
            <w:tcW w:w="1985"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Folio</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correo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15/08/2016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Tenancingo de Degollado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PABF-2017-RAD-940</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18/08/2016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Tocumbo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PABF-2017-RAD-941</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23/08/2016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Social</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Esteros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PABF-2017-RAD-942</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23/08/2016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Social</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La Isleta Río Tamesí (Cruz Chica)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PABF-2017-RAD-943</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23/08/2016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Social</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para las Localidades de Altamira, Tampico, La Isleta, Río </w:t>
            </w:r>
            <w:proofErr w:type="spellStart"/>
            <w:r w:rsidRPr="00D0701F">
              <w:rPr>
                <w:rFonts w:ascii="ITC Avant Garde" w:eastAsia="Times New Roman" w:hAnsi="ITC Avant Garde"/>
                <w:sz w:val="14"/>
                <w:szCs w:val="14"/>
                <w:lang w:eastAsia="es-MX"/>
              </w:rPr>
              <w:t>tamesí</w:t>
            </w:r>
            <w:proofErr w:type="spellEnd"/>
            <w:r w:rsidRPr="00D0701F">
              <w:rPr>
                <w:rFonts w:ascii="ITC Avant Garde" w:eastAsia="Times New Roman" w:hAnsi="ITC Avant Garde"/>
                <w:sz w:val="14"/>
                <w:szCs w:val="14"/>
                <w:lang w:eastAsia="es-MX"/>
              </w:rPr>
              <w:t xml:space="preserve"> (Cruz chica) Tamos y Pueblo Viejo, Veracruz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Tamos</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Veracruz</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PABF-2017-RAD-944</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23/08/2016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Social</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para las Localidades de Altamira, Tampico, La Isleta, Río </w:t>
            </w:r>
            <w:proofErr w:type="spellStart"/>
            <w:r w:rsidRPr="00D0701F">
              <w:rPr>
                <w:rFonts w:ascii="ITC Avant Garde" w:eastAsia="Times New Roman" w:hAnsi="ITC Avant Garde"/>
                <w:sz w:val="14"/>
                <w:szCs w:val="14"/>
                <w:lang w:eastAsia="es-MX"/>
              </w:rPr>
              <w:t>tamesí</w:t>
            </w:r>
            <w:proofErr w:type="spellEnd"/>
            <w:r w:rsidRPr="00D0701F">
              <w:rPr>
                <w:rFonts w:ascii="ITC Avant Garde" w:eastAsia="Times New Roman" w:hAnsi="ITC Avant Garde"/>
                <w:sz w:val="14"/>
                <w:szCs w:val="14"/>
                <w:lang w:eastAsia="es-MX"/>
              </w:rPr>
              <w:t xml:space="preserve"> (Cruz chica) Tamos y Pueblo Viejo, Veracruz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Tampico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PABF-2017-RAD-945</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23/08/2016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Social</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para las Localidades de Altamira, Tampico, La Isleta, Río </w:t>
            </w:r>
            <w:proofErr w:type="spellStart"/>
            <w:r w:rsidRPr="00D0701F">
              <w:rPr>
                <w:rFonts w:ascii="ITC Avant Garde" w:eastAsia="Times New Roman" w:hAnsi="ITC Avant Garde"/>
                <w:sz w:val="14"/>
                <w:szCs w:val="14"/>
                <w:lang w:eastAsia="es-MX"/>
              </w:rPr>
              <w:t>tamesí</w:t>
            </w:r>
            <w:proofErr w:type="spellEnd"/>
            <w:r w:rsidRPr="00D0701F">
              <w:rPr>
                <w:rFonts w:ascii="ITC Avant Garde" w:eastAsia="Times New Roman" w:hAnsi="ITC Avant Garde"/>
                <w:sz w:val="14"/>
                <w:szCs w:val="14"/>
                <w:lang w:eastAsia="es-MX"/>
              </w:rPr>
              <w:t xml:space="preserve"> (Cruz chica) Tamos y Pueblo Viejo, Veracruz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Tampico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PABF-2017-RAD-946</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23/08/2016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Social</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como clase A, para las Localidades de Altamira, Tampico, La Isleta, Río </w:t>
            </w:r>
            <w:proofErr w:type="spellStart"/>
            <w:r w:rsidRPr="00D0701F">
              <w:rPr>
                <w:rFonts w:ascii="ITC Avant Garde" w:eastAsia="Times New Roman" w:hAnsi="ITC Avant Garde"/>
                <w:sz w:val="14"/>
                <w:szCs w:val="14"/>
                <w:lang w:eastAsia="es-MX"/>
              </w:rPr>
              <w:t>tamesí</w:t>
            </w:r>
            <w:proofErr w:type="spellEnd"/>
            <w:r w:rsidRPr="00D0701F">
              <w:rPr>
                <w:rFonts w:ascii="ITC Avant Garde" w:eastAsia="Times New Roman" w:hAnsi="ITC Avant Garde"/>
                <w:sz w:val="14"/>
                <w:szCs w:val="14"/>
                <w:lang w:eastAsia="es-MX"/>
              </w:rPr>
              <w:t xml:space="preserve"> (Cruz chica) Tamos y Pueblo Viejo, Veracruz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Salinillas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PABF-2017-RAD-947</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24/08/2016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Social</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Zacatecas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PABF-2017-RAD-948</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Social</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Tepehuaje</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PABF-2017-RAD-949</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Social</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Cadereyta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PABF-2017-RAD-950</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Social</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Copainalá</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Chiapas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PABF-2017-RAD-951</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26/08/2016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Xpujil</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Campeche</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PABF-2017-RAD-952</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26/08/2016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Guachochi</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Chihuahua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PABF-2017-RAD-953</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26/08/2016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Santa María de </w:t>
            </w:r>
            <w:proofErr w:type="spellStart"/>
            <w:r w:rsidRPr="00D0701F">
              <w:rPr>
                <w:rFonts w:ascii="ITC Avant Garde" w:eastAsia="Times New Roman" w:hAnsi="ITC Avant Garde"/>
                <w:sz w:val="14"/>
                <w:szCs w:val="14"/>
                <w:lang w:eastAsia="es-MX"/>
              </w:rPr>
              <w:t>Ocotán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Durango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PABF-2017-RAD-954</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26/08/2016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Atlamajac</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Guerrero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PABF-2017-RAD-955</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26/08/2016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 como Clase A</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23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Cherán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PABF-2017-RAD-956</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26/08/2016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Jesús María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Nayarit</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PABF-2017-RAD-957</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26/08/2016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 como Clase A</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 Lucas </w:t>
            </w:r>
            <w:proofErr w:type="spellStart"/>
            <w:r w:rsidRPr="00D0701F">
              <w:rPr>
                <w:rFonts w:ascii="ITC Avant Garde" w:eastAsia="Times New Roman" w:hAnsi="ITC Avant Garde"/>
                <w:sz w:val="14"/>
                <w:szCs w:val="14"/>
                <w:lang w:eastAsia="es-MX"/>
              </w:rPr>
              <w:t>Ojitlán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PABF-2017-RAD-958</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26/08/2016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Santiago </w:t>
            </w:r>
            <w:proofErr w:type="spellStart"/>
            <w:r w:rsidRPr="00D0701F">
              <w:rPr>
                <w:rFonts w:ascii="ITC Avant Garde" w:eastAsia="Times New Roman" w:hAnsi="ITC Avant Garde"/>
                <w:sz w:val="14"/>
                <w:szCs w:val="14"/>
                <w:lang w:eastAsia="es-MX"/>
              </w:rPr>
              <w:t>Jamiltepec</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PABF-2017-RAD-959</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26/08/2016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Heroica Ciudad de </w:t>
            </w:r>
            <w:proofErr w:type="spellStart"/>
            <w:r w:rsidRPr="00D0701F">
              <w:rPr>
                <w:rFonts w:ascii="ITC Avant Garde" w:eastAsia="Times New Roman" w:hAnsi="ITC Avant Garde"/>
                <w:sz w:val="14"/>
                <w:szCs w:val="14"/>
                <w:lang w:eastAsia="es-MX"/>
              </w:rPr>
              <w:t>Tlaxiaco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PABF-2017-RAD-960</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26/08/2016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Tancanhuitz</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Luis Potosí</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PABF-2017-RAD-961</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26/08/2016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Etchojoa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Sonora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PABF-2017-RAD-962</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26/08/2016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Ciudad de </w:t>
            </w:r>
            <w:proofErr w:type="spellStart"/>
            <w:r w:rsidRPr="00D0701F">
              <w:rPr>
                <w:rFonts w:ascii="ITC Avant Garde" w:eastAsia="Times New Roman" w:hAnsi="ITC Avant Garde"/>
                <w:sz w:val="14"/>
                <w:szCs w:val="14"/>
                <w:lang w:eastAsia="es-MX"/>
              </w:rPr>
              <w:t>Cuetzalan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nil"/>
              <w:right w:val="nil"/>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nil"/>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26/08/2016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 Juan </w:t>
            </w:r>
            <w:proofErr w:type="spellStart"/>
            <w:r w:rsidRPr="00D0701F">
              <w:rPr>
                <w:rFonts w:ascii="ITC Avant Garde" w:eastAsia="Times New Roman" w:hAnsi="ITC Avant Garde"/>
                <w:sz w:val="14"/>
                <w:szCs w:val="14"/>
                <w:lang w:eastAsia="es-MX"/>
              </w:rPr>
              <w:t>Ixtayopan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single" w:sz="4" w:space="0" w:color="auto"/>
              <w:left w:val="nil"/>
              <w:bottom w:val="single" w:sz="4" w:space="0" w:color="auto"/>
              <w:right w:val="nil"/>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PABF-2017-RAD-964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nil"/>
              <w:right w:val="nil"/>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26/08/2016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Zongolica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Veracruz</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PABF-2017-RAD-965</w:t>
            </w:r>
          </w:p>
        </w:tc>
        <w:tc>
          <w:tcPr>
            <w:tcW w:w="1276" w:type="dxa"/>
            <w:tcBorders>
              <w:top w:val="nil"/>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26/08/2016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33</w:t>
            </w:r>
          </w:p>
        </w:tc>
        <w:tc>
          <w:tcPr>
            <w:tcW w:w="1680"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Ciénega de Nuestra Señora de Guadalupe</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Durango</w:t>
            </w:r>
          </w:p>
        </w:tc>
        <w:tc>
          <w:tcPr>
            <w:tcW w:w="1985"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PABF-2017-RAD-967</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31/08/2016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34</w:t>
            </w:r>
          </w:p>
        </w:tc>
        <w:tc>
          <w:tcPr>
            <w:tcW w:w="1680"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Mina la Herradura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Sonora</w:t>
            </w:r>
          </w:p>
        </w:tc>
        <w:tc>
          <w:tcPr>
            <w:tcW w:w="1985"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PABF-2017-RAD-968</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31/08/2016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35</w:t>
            </w:r>
          </w:p>
        </w:tc>
        <w:tc>
          <w:tcPr>
            <w:tcW w:w="1680"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Laguna del Rey (Químicas del Rey)</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Coahuila</w:t>
            </w:r>
          </w:p>
        </w:tc>
        <w:tc>
          <w:tcPr>
            <w:tcW w:w="1985"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PABF-2017-RAD-969</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31/08/2016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36</w:t>
            </w:r>
          </w:p>
        </w:tc>
        <w:tc>
          <w:tcPr>
            <w:tcW w:w="1680"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proofErr w:type="spellStart"/>
            <w:r w:rsidRPr="00D0701F">
              <w:rPr>
                <w:rFonts w:ascii="ITC Avant Garde" w:eastAsia="Times New Roman" w:hAnsi="ITC Avant Garde"/>
                <w:color w:val="000000"/>
                <w:sz w:val="14"/>
                <w:szCs w:val="14"/>
                <w:lang w:eastAsia="es-MX"/>
              </w:rPr>
              <w:t>Tehuixtla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Guerrero</w:t>
            </w:r>
          </w:p>
        </w:tc>
        <w:tc>
          <w:tcPr>
            <w:tcW w:w="1985"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PABF-2017-RAD-970</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31/08/2016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37</w:t>
            </w:r>
          </w:p>
        </w:tc>
        <w:tc>
          <w:tcPr>
            <w:tcW w:w="1680"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San Julián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Chihuahua</w:t>
            </w:r>
          </w:p>
        </w:tc>
        <w:tc>
          <w:tcPr>
            <w:tcW w:w="1985"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PABF-2017-RAD-971</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31/08/2016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38</w:t>
            </w:r>
          </w:p>
        </w:tc>
        <w:tc>
          <w:tcPr>
            <w:tcW w:w="1680"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proofErr w:type="spellStart"/>
            <w:r w:rsidRPr="00D0701F">
              <w:rPr>
                <w:rFonts w:ascii="ITC Avant Garde" w:eastAsia="Times New Roman" w:hAnsi="ITC Avant Garde"/>
                <w:color w:val="000000"/>
                <w:sz w:val="14"/>
                <w:szCs w:val="14"/>
                <w:lang w:eastAsia="es-MX"/>
              </w:rPr>
              <w:t>Teloloapan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Guerrero</w:t>
            </w:r>
          </w:p>
        </w:tc>
        <w:tc>
          <w:tcPr>
            <w:tcW w:w="1985"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PABF-2017-RAD-972</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31/08/2016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39</w:t>
            </w:r>
          </w:p>
        </w:tc>
        <w:tc>
          <w:tcPr>
            <w:tcW w:w="1680"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Zacualtipán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PABF-2017-RAD-973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06/09/2016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40</w:t>
            </w:r>
          </w:p>
        </w:tc>
        <w:tc>
          <w:tcPr>
            <w:tcW w:w="1680"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proofErr w:type="spellStart"/>
            <w:r w:rsidRPr="00D0701F">
              <w:rPr>
                <w:rFonts w:ascii="ITC Avant Garde" w:eastAsia="Times New Roman" w:hAnsi="ITC Avant Garde"/>
                <w:color w:val="000000"/>
                <w:sz w:val="14"/>
                <w:szCs w:val="14"/>
                <w:lang w:eastAsia="es-MX"/>
              </w:rPr>
              <w:t>Tizapán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PABF-2017-RAD-974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06/09/2016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41</w:t>
            </w:r>
          </w:p>
        </w:tc>
        <w:tc>
          <w:tcPr>
            <w:tcW w:w="1680"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proofErr w:type="spellStart"/>
            <w:r w:rsidRPr="00D0701F">
              <w:rPr>
                <w:rFonts w:ascii="ITC Avant Garde" w:eastAsia="Times New Roman" w:hAnsi="ITC Avant Garde"/>
                <w:color w:val="000000"/>
                <w:sz w:val="14"/>
                <w:szCs w:val="14"/>
                <w:lang w:eastAsia="es-MX"/>
              </w:rPr>
              <w:t>Jacala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PABF-2017-RAD-975</w:t>
            </w:r>
          </w:p>
        </w:tc>
        <w:tc>
          <w:tcPr>
            <w:tcW w:w="1276" w:type="dxa"/>
            <w:tcBorders>
              <w:top w:val="nil"/>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06/09/2016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42</w:t>
            </w:r>
          </w:p>
        </w:tc>
        <w:tc>
          <w:tcPr>
            <w:tcW w:w="1680"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Santa María </w:t>
            </w:r>
            <w:proofErr w:type="spellStart"/>
            <w:r w:rsidRPr="00D0701F">
              <w:rPr>
                <w:rFonts w:ascii="ITC Avant Garde" w:eastAsia="Times New Roman" w:hAnsi="ITC Avant Garde"/>
                <w:color w:val="000000"/>
                <w:sz w:val="14"/>
                <w:szCs w:val="14"/>
                <w:lang w:eastAsia="es-MX"/>
              </w:rPr>
              <w:t>Huazolotitlán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w:t>
            </w:r>
          </w:p>
        </w:tc>
        <w:tc>
          <w:tcPr>
            <w:tcW w:w="1985"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PABF-2017-RAD-976</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06/09/2016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43</w:t>
            </w:r>
          </w:p>
        </w:tc>
        <w:tc>
          <w:tcPr>
            <w:tcW w:w="1680"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Pachuca de Soto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PABF-2017-RAD-977</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08/09/2016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44</w:t>
            </w:r>
          </w:p>
        </w:tc>
        <w:tc>
          <w:tcPr>
            <w:tcW w:w="1680"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proofErr w:type="spellStart"/>
            <w:r w:rsidRPr="00D0701F">
              <w:rPr>
                <w:rFonts w:ascii="ITC Avant Garde" w:eastAsia="Times New Roman" w:hAnsi="ITC Avant Garde"/>
                <w:color w:val="000000"/>
                <w:sz w:val="14"/>
                <w:szCs w:val="14"/>
                <w:lang w:eastAsia="es-MX"/>
              </w:rPr>
              <w:t>Epitacio</w:t>
            </w:r>
            <w:proofErr w:type="spellEnd"/>
            <w:r w:rsidRPr="00D0701F">
              <w:rPr>
                <w:rFonts w:ascii="ITC Avant Garde" w:eastAsia="Times New Roman" w:hAnsi="ITC Avant Garde"/>
                <w:color w:val="000000"/>
                <w:sz w:val="14"/>
                <w:szCs w:val="14"/>
                <w:lang w:eastAsia="es-MX"/>
              </w:rPr>
              <w:t xml:space="preserve"> Huerta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PABF-2017-RAD-978</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09/09/2016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Sin Suficiencia Espectral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45</w:t>
            </w:r>
          </w:p>
        </w:tc>
        <w:tc>
          <w:tcPr>
            <w:tcW w:w="1680"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Zamora de Hidalgo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PABF-2017-RAD-979</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10/09/2016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46</w:t>
            </w:r>
          </w:p>
        </w:tc>
        <w:tc>
          <w:tcPr>
            <w:tcW w:w="1680"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proofErr w:type="spellStart"/>
            <w:r w:rsidRPr="00D0701F">
              <w:rPr>
                <w:rFonts w:ascii="ITC Avant Garde" w:eastAsia="Times New Roman" w:hAnsi="ITC Avant Garde"/>
                <w:color w:val="000000"/>
                <w:sz w:val="14"/>
                <w:szCs w:val="14"/>
                <w:lang w:eastAsia="es-MX"/>
              </w:rPr>
              <w:t>Jacona</w:t>
            </w:r>
            <w:proofErr w:type="spellEnd"/>
            <w:r w:rsidRPr="00D0701F">
              <w:rPr>
                <w:rFonts w:ascii="ITC Avant Garde" w:eastAsia="Times New Roman" w:hAnsi="ITC Avant Garde"/>
                <w:color w:val="000000"/>
                <w:sz w:val="14"/>
                <w:szCs w:val="14"/>
                <w:lang w:eastAsia="es-MX"/>
              </w:rPr>
              <w:t xml:space="preserve"> de Plancarte</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PABF-2017-RAD-980</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12/09/2016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Benito Juárez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PABF-2017-RAD-981</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13/09/2016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48</w:t>
            </w:r>
          </w:p>
        </w:tc>
        <w:tc>
          <w:tcPr>
            <w:tcW w:w="1680"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Tlaxcala de </w:t>
            </w:r>
            <w:proofErr w:type="spellStart"/>
            <w:r w:rsidRPr="00D0701F">
              <w:rPr>
                <w:rFonts w:ascii="ITC Avant Garde" w:eastAsia="Times New Roman" w:hAnsi="ITC Avant Garde"/>
                <w:color w:val="000000"/>
                <w:sz w:val="14"/>
                <w:szCs w:val="14"/>
                <w:lang w:eastAsia="es-MX"/>
              </w:rPr>
              <w:t>Xicohténcatl</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Tlaxcala</w:t>
            </w:r>
          </w:p>
        </w:tc>
        <w:tc>
          <w:tcPr>
            <w:tcW w:w="1985"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PABF-2017-RAD-982</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18/09/2016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49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Amatepec</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No Especifica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47662</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19/09/2016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Laredo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PABF-2017-RAD-983</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22/09/2016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Vallejo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PABF-2017-RAD-984</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23/09/2016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Incluida en el Programa 2017 como Clase A para la localidad de  Ixtapa-Vallarta</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Las Juntas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PABF-2017-RAD-985</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23/09/2016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Incluida en el Programa 2017 como Clase A para la localidad de  Ixtapa-Vallarta</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Tocumbo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PABF-2017-RAD-987</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30/09/2016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Laredo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PABF-2017-RAD-988</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03/10/2016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Laredo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PABF-2017-RAD-989</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04/10/2016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Comitán de Domínguez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Chiapas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PABF-2017-RAD-990</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04/10/2016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Localidad prevista en el Programa 2015</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Guadalajara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PABF-2017-RAD-991</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04/10/2016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Monterrey</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PABF-2017-RAD-992</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04/10/2016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Puerto Peñasco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Sonora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No Especifica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50177</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06/10/2016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No Especifica</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Valladolid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Yucatán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PABF-2017-RAD-993</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07/10/2016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000000" w:fill="FFFFFF"/>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 como Clase B1</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Etchojoa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Sonora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PABF-2017-RAD-994</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10/10/2016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Hermosillo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Sonora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PABF-2017-RAD-995</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10/10/2016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Tonalá</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Chiapas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PABF-2017-RAD-996</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10/10/2016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Obregón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Sonora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PABF-2017-RAD-997</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10/10/2016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como clase AA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Mapastepec</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Chiapas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PABF-2017-RAD-998</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10/10/2016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 como Clase</w:t>
            </w:r>
            <w:r w:rsidRPr="00D0701F">
              <w:rPr>
                <w:rFonts w:ascii="ITC Avant Garde" w:eastAsia="Times New Roman" w:hAnsi="ITC Avant Garde"/>
                <w:color w:val="FF0000"/>
                <w:sz w:val="14"/>
                <w:szCs w:val="14"/>
                <w:lang w:eastAsia="es-MX"/>
              </w:rPr>
              <w:t xml:space="preserve"> </w:t>
            </w:r>
            <w:r w:rsidRPr="00D0701F">
              <w:rPr>
                <w:rFonts w:ascii="ITC Avant Garde" w:eastAsia="Times New Roman" w:hAnsi="ITC Avant Garde"/>
                <w:sz w:val="14"/>
                <w:szCs w:val="14"/>
                <w:lang w:eastAsia="es-MX"/>
              </w:rPr>
              <w:t>A</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Campo Caborca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Sonora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PABF-2017-RAD-999</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10/10/2016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Catazajá</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Chiapas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PABF-2017-RAD-1000</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10/10/2016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Ensenada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Baja California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No Especifica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50649</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10/10/2016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Quintín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Baja California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No Especifica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50649</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10/10/2016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 como Clase</w:t>
            </w:r>
            <w:r w:rsidRPr="00D0701F">
              <w:rPr>
                <w:rFonts w:ascii="ITC Avant Garde" w:eastAsia="Times New Roman" w:hAnsi="ITC Avant Garde"/>
                <w:color w:val="FF0000"/>
                <w:sz w:val="14"/>
                <w:szCs w:val="14"/>
                <w:lang w:eastAsia="es-MX"/>
              </w:rPr>
              <w:t xml:space="preserve"> </w:t>
            </w:r>
            <w:r w:rsidRPr="00D0701F">
              <w:rPr>
                <w:rFonts w:ascii="ITC Avant Garde" w:eastAsia="Times New Roman" w:hAnsi="ITC Avant Garde"/>
                <w:color w:val="000000"/>
                <w:sz w:val="14"/>
                <w:szCs w:val="14"/>
                <w:lang w:eastAsia="es-MX"/>
              </w:rPr>
              <w:t>AA</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Valle de Guadalupe</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Baja California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No Especifica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50649</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10/10/2016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Puerto Peñasco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Sonora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PABF-2017-RAD-1001</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10/10/2016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Villa Alberto Andrés Alvarado </w:t>
            </w:r>
            <w:proofErr w:type="spellStart"/>
            <w:r w:rsidRPr="00D0701F">
              <w:rPr>
                <w:rFonts w:ascii="ITC Avant Garde" w:eastAsia="Times New Roman" w:hAnsi="ITC Avant Garde"/>
                <w:sz w:val="14"/>
                <w:szCs w:val="14"/>
                <w:lang w:eastAsia="es-MX"/>
              </w:rPr>
              <w:t>Arámburo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Baja California Sur</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PABF-2017-RAD-1002</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11/10/2016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Localidad prevista en el Programa 2017 como Clase doble AA</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Mazatlán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Sinaloa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PABF-2017-RAD-1003</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12/10/2016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 como Clase B1.</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74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Tuxtla Gutiérrez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Chiapas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No Especifica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51022</w:t>
            </w:r>
          </w:p>
        </w:tc>
        <w:tc>
          <w:tcPr>
            <w:tcW w:w="1276" w:type="dxa"/>
            <w:tcBorders>
              <w:top w:val="single" w:sz="4" w:space="0" w:color="auto"/>
              <w:left w:val="nil"/>
              <w:bottom w:val="nil"/>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13/10/2016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Tuxtla Gutiérrez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Chiapas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14/10/2016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Cintalapa de Figueroa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Chiapas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PABF-2017-RAD-1006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14/10/2016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Chiapa de Corzo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Chiapas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PABF-2017-RAD-1007</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14/10/2016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Venustiano Carranza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Chiapas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PABF-2017-RAD-1008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14/10/2016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Chicoasén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Chiapas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PABF-2017-RAD-1009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14/10/2016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80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Osumacinta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Chiapas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PABF-2017-RAD-1010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14/10/2016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81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Heroica Matamoros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PABF-2017-RAD-1011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14/10/2016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82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Victoria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PABF-2017-RAD-1012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14/10/2016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83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Altamira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PABF-2017-RAD-1013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14/10/2016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como clase A, para las Localidades de Altamira, Tampico, La Isleta, Río </w:t>
            </w:r>
            <w:proofErr w:type="spellStart"/>
            <w:r w:rsidRPr="00D0701F">
              <w:rPr>
                <w:rFonts w:ascii="ITC Avant Garde" w:eastAsia="Times New Roman" w:hAnsi="ITC Avant Garde"/>
                <w:sz w:val="14"/>
                <w:szCs w:val="14"/>
                <w:lang w:eastAsia="es-MX"/>
              </w:rPr>
              <w:t>tamesí</w:t>
            </w:r>
            <w:proofErr w:type="spellEnd"/>
            <w:r w:rsidRPr="00D0701F">
              <w:rPr>
                <w:rFonts w:ascii="ITC Avant Garde" w:eastAsia="Times New Roman" w:hAnsi="ITC Avant Garde"/>
                <w:sz w:val="14"/>
                <w:szCs w:val="14"/>
                <w:lang w:eastAsia="es-MX"/>
              </w:rPr>
              <w:t xml:space="preserve"> (Cruz chica) Tamos y Pueblo Viejo, Veracruz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84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Mante</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PABF-2017-RAD-1014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14/10/2016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85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Saltillo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Coahuila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PABF-2017-RAD-1015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14/10/2016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Sin Suficiencia Espectral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86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Pijijiapan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Chiapas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PABF-2017-RAD-1016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14/10/2016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87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Palenque</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Chiapas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PABF-2017-RAD-1018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14/10/2016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88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Ameca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PABF-2017-RAD-1019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14/10/2016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89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Martín Hidalgo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PABF-2017-RAD-1020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14/10/2016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90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Hermosillo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Sonora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PABF-2017-RAD-1021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18/10/2016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91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Totontepec</w:t>
            </w:r>
            <w:proofErr w:type="spellEnd"/>
            <w:r w:rsidRPr="00D0701F">
              <w:rPr>
                <w:rFonts w:ascii="ITC Avant Garde" w:eastAsia="Times New Roman" w:hAnsi="ITC Avant Garde"/>
                <w:sz w:val="14"/>
                <w:szCs w:val="14"/>
                <w:lang w:eastAsia="es-MX"/>
              </w:rPr>
              <w:t xml:space="preserve"> Villa de Morelos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PABF-2017-RAD-1022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20/10/2016</w:t>
            </w:r>
          </w:p>
        </w:tc>
        <w:tc>
          <w:tcPr>
            <w:tcW w:w="1134"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92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José </w:t>
            </w:r>
            <w:proofErr w:type="spellStart"/>
            <w:r w:rsidRPr="00D0701F">
              <w:rPr>
                <w:rFonts w:ascii="ITC Avant Garde" w:eastAsia="Times New Roman" w:hAnsi="ITC Avant Garde"/>
                <w:sz w:val="14"/>
                <w:szCs w:val="14"/>
                <w:lang w:eastAsia="es-MX"/>
              </w:rPr>
              <w:t>Cardel</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Veracruz</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PABF-2017-RAD-1023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20/10/2016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93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Iguala de la Independencia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Guerrero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Folio</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correo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21/10/2016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94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Saltillo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Coahuila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53892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31/10/2016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Sin Suficiencia Espectral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95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Tulipanes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PABF-2017-RAD-1024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96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Luis Potosí</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Luis Potosí</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PABF-2017-RAD-1025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Localidad prevista en el Programa 2017, como Clase A.</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97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Luis Potosí</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Luis Potosí</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PABF-2017-RAD-1026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Localidad prevista en el Programa 2017, como Clase A.</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98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Luis Potosí</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Luis Potosí</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PABF-2017-RAD-1027</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Localidad prevista en el Programa 2017, como Clase A.</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99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Tancanhuitz</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Luis Potosí</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PABF-2017-RAD-1028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Tancanhuitz</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Luis Potosí</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PABF-2017-RAD-1029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Los </w:t>
            </w:r>
            <w:proofErr w:type="spellStart"/>
            <w:r w:rsidRPr="00D0701F">
              <w:rPr>
                <w:rFonts w:ascii="ITC Avant Garde" w:eastAsia="Times New Roman" w:hAnsi="ITC Avant Garde"/>
                <w:sz w:val="14"/>
                <w:szCs w:val="14"/>
                <w:lang w:eastAsia="es-MX"/>
              </w:rPr>
              <w:t>Tuzos</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No Especifica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PABF-2017-RAD-1030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Los </w:t>
            </w:r>
            <w:proofErr w:type="spellStart"/>
            <w:r w:rsidRPr="00D0701F">
              <w:rPr>
                <w:rFonts w:ascii="ITC Avant Garde" w:eastAsia="Times New Roman" w:hAnsi="ITC Avant Garde"/>
                <w:sz w:val="14"/>
                <w:szCs w:val="14"/>
                <w:lang w:eastAsia="es-MX"/>
              </w:rPr>
              <w:t>Tuzos</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No Especifica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PABF-2017-RAD-1031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Los </w:t>
            </w:r>
            <w:proofErr w:type="spellStart"/>
            <w:r w:rsidRPr="00D0701F">
              <w:rPr>
                <w:rFonts w:ascii="ITC Avant Garde" w:eastAsia="Times New Roman" w:hAnsi="ITC Avant Garde"/>
                <w:sz w:val="14"/>
                <w:szCs w:val="14"/>
                <w:lang w:eastAsia="es-MX"/>
              </w:rPr>
              <w:t>Tuzos</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PABF-2017-RAD-1032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Soto la marina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PABF-2017-RAD-1033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000000" w:fill="FFFFFF"/>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 como Clase B1</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La Providencia Siglo XXI</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PABF-2017-RAD-1034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La Providencia Siglo XXI</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PABF-2017-RAD-1035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La Providencia Siglo XXI</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PABF-2017-RAD-1036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La Providencia Siglo XXI</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PABF-2017-RAD-1037</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Tenancingo de Degollado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PABF-2017-RAD-1038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110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Tacámbaro de </w:t>
            </w:r>
            <w:proofErr w:type="spellStart"/>
            <w:r w:rsidRPr="00D0701F">
              <w:rPr>
                <w:rFonts w:ascii="ITC Avant Garde" w:eastAsia="Times New Roman" w:hAnsi="ITC Avant Garde"/>
                <w:sz w:val="14"/>
                <w:szCs w:val="14"/>
                <w:lang w:eastAsia="es-MX"/>
              </w:rPr>
              <w:t>Codallos</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PABF-2017-RAD-1039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111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Tacámbaro de </w:t>
            </w:r>
            <w:proofErr w:type="spellStart"/>
            <w:r w:rsidRPr="00D0701F">
              <w:rPr>
                <w:rFonts w:ascii="ITC Avant Garde" w:eastAsia="Times New Roman" w:hAnsi="ITC Avant Garde"/>
                <w:sz w:val="14"/>
                <w:szCs w:val="14"/>
                <w:lang w:eastAsia="es-MX"/>
              </w:rPr>
              <w:t>Codallos</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PABF-2017-RAD-1040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112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Heroica puebla de Zaragoza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PABF-2017-RAD-1041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113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Villa Nicolás Romero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PABF-2017-RAD-1042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114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Sahuaripa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Sonora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PABF-2017-RAD-1043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14/11/2016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115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Cuauhtémoc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PABF-2017-RAD-1044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14/11/2016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116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Benito Juárez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14/11/2016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117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Iztapalapa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PABF-2017-RAD-1046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14/11/2016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118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Gustavo a. Madero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PABF-2017-RAD-1047</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14/11/2016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119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La Magdalena Contreras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PABF-2017-RAD-1048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14/11/2016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120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Ninguno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PABF-2017-RAD-1049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14/11/2016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121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Miahuatlán de Porfirio Díaz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122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Ocotlán de Morelos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No Especifica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PABF-2017-RAD-1052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123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Heroica Ciudad de </w:t>
            </w:r>
            <w:proofErr w:type="spellStart"/>
            <w:r w:rsidRPr="00D0701F">
              <w:rPr>
                <w:rFonts w:ascii="ITC Avant Garde" w:eastAsia="Times New Roman" w:hAnsi="ITC Avant Garde"/>
                <w:sz w:val="14"/>
                <w:szCs w:val="14"/>
                <w:lang w:eastAsia="es-MX"/>
              </w:rPr>
              <w:t>Ejutla</w:t>
            </w:r>
            <w:proofErr w:type="spellEnd"/>
            <w:r w:rsidRPr="00D0701F">
              <w:rPr>
                <w:rFonts w:ascii="ITC Avant Garde" w:eastAsia="Times New Roman" w:hAnsi="ITC Avant Garde"/>
                <w:sz w:val="14"/>
                <w:szCs w:val="14"/>
                <w:lang w:eastAsia="es-MX"/>
              </w:rPr>
              <w:t xml:space="preserve"> de Crespo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No Especifica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PABF-2017-RAD-1053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124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Ocotlán de Morelos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No Especifica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PABF-2017-RAD-1054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125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Santa María Sola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No Especifica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PABF-2017-RAD-1055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126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Soto la marina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PABF-2017-RAD-1056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000000" w:fill="FFFFFF"/>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 como Clase B1</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127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Villa Nicolás Romero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PABF-2017-RAD-1058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128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Villa Nicolás Romero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PABF-2017-RAD-1059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18/11/2016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129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Lerma de Villada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PABF-2017-RAD-1060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130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Lerma de Villada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PABF-2017-RAD-1061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131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Villa Hidalgo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PABF-2017-RAD-1062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21/11/2016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132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Nochistlan</w:t>
            </w:r>
            <w:proofErr w:type="spellEnd"/>
            <w:r w:rsidRPr="00D0701F">
              <w:rPr>
                <w:rFonts w:ascii="ITC Avant Garde" w:eastAsia="Times New Roman" w:hAnsi="ITC Avant Garde"/>
                <w:sz w:val="14"/>
                <w:szCs w:val="14"/>
                <w:lang w:eastAsia="es-MX"/>
              </w:rPr>
              <w:t xml:space="preserve"> de Mejía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Zacatecas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PABF-2017-RAD-1063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21/11/2016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133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Tepusco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PABF-2017-RAD-1064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21/11/2016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134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Mexticacán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PABF-2017-RAD-1065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21/11/2016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135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Mexticacán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PABF-2017-RAD-1066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21/11/2016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136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Zacán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PABF-2017-RAD-1067</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22/11/2016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137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Zacapoaxtla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PABF-2017-RAD-1068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22/11/2016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138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Francisco de Campeche</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Campeche</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56883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23/11/2016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139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Cocucho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PABF-2017-RAD-1069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23/11/2016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140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Cherán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PABF-2017-RAD-1070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23/11/2016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141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Matehuala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Luis Potosí</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PABF-2017-RAD-1071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23/11/2016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Localidad prevista en el Programa 2016.</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142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Paracho</w:t>
            </w:r>
            <w:proofErr w:type="spellEnd"/>
            <w:r w:rsidRPr="00D0701F">
              <w:rPr>
                <w:rFonts w:ascii="ITC Avant Garde" w:eastAsia="Times New Roman" w:hAnsi="ITC Avant Garde"/>
                <w:sz w:val="14"/>
                <w:szCs w:val="14"/>
                <w:lang w:eastAsia="es-MX"/>
              </w:rPr>
              <w:t xml:space="preserve"> de Verduzco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No Especifica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PABF-2017-RAD-1072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23/11/2016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143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Matehuala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Luis Potosí</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PABF-2017-RAD-1073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23/11/2016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Localidad prevista en el Programa 2016.</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144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Izúcar</w:t>
            </w:r>
            <w:proofErr w:type="spellEnd"/>
            <w:r w:rsidRPr="00D0701F">
              <w:rPr>
                <w:rFonts w:ascii="ITC Avant Garde" w:eastAsia="Times New Roman" w:hAnsi="ITC Avant Garde"/>
                <w:sz w:val="14"/>
                <w:szCs w:val="14"/>
                <w:lang w:eastAsia="es-MX"/>
              </w:rPr>
              <w:t xml:space="preserve"> de Matamoros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PABF-2017-RAD-1074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23/11/2016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145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Santa Inés </w:t>
            </w:r>
            <w:proofErr w:type="spellStart"/>
            <w:r w:rsidRPr="00D0701F">
              <w:rPr>
                <w:rFonts w:ascii="ITC Avant Garde" w:eastAsia="Times New Roman" w:hAnsi="ITC Avant Garde"/>
                <w:sz w:val="14"/>
                <w:szCs w:val="14"/>
                <w:lang w:eastAsia="es-MX"/>
              </w:rPr>
              <w:t>Ahuatempan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PABF-2017-RAD-1075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23/11/2016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146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Tecomatlán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PABF-2017-RAD-1076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23/11/2016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147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Izúcar</w:t>
            </w:r>
            <w:proofErr w:type="spellEnd"/>
            <w:r w:rsidRPr="00D0701F">
              <w:rPr>
                <w:rFonts w:ascii="ITC Avant Garde" w:eastAsia="Times New Roman" w:hAnsi="ITC Avant Garde"/>
                <w:sz w:val="14"/>
                <w:szCs w:val="14"/>
                <w:lang w:eastAsia="es-MX"/>
              </w:rPr>
              <w:t xml:space="preserve"> de Matamoros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PABF-2017-RAD-1077</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23/11/2016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148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Izúcar</w:t>
            </w:r>
            <w:proofErr w:type="spellEnd"/>
            <w:r w:rsidRPr="00D0701F">
              <w:rPr>
                <w:rFonts w:ascii="ITC Avant Garde" w:eastAsia="Times New Roman" w:hAnsi="ITC Avant Garde"/>
                <w:sz w:val="14"/>
                <w:szCs w:val="14"/>
                <w:lang w:eastAsia="es-MX"/>
              </w:rPr>
              <w:t xml:space="preserve"> de Matamoros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PABF-2017-RAD-1078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23/11/2016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149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Saltillo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Coahuila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24/11/2016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150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Rancho Vista Hermosa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Baja California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151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Rancho Vista Hermosa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Baja California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152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Rancho Vista Hermosa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Baja California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153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Tijuana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Baja California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154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Tijuana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Baja California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155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Tijuana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Baja California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156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Metepec (Toluca)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157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Metepec (Toluca)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158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Metepec (Toluca)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159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Andrés de la Cañada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Andrés de la Cañada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Andrés de la Cañada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 Pablo </w:t>
            </w:r>
            <w:proofErr w:type="spellStart"/>
            <w:r w:rsidRPr="00D0701F">
              <w:rPr>
                <w:rFonts w:ascii="ITC Avant Garde" w:eastAsia="Times New Roman" w:hAnsi="ITC Avant Garde"/>
                <w:sz w:val="14"/>
                <w:szCs w:val="14"/>
                <w:lang w:eastAsia="es-MX"/>
              </w:rPr>
              <w:t>Autopan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 Pablo </w:t>
            </w:r>
            <w:proofErr w:type="spellStart"/>
            <w:r w:rsidRPr="00D0701F">
              <w:rPr>
                <w:rFonts w:ascii="ITC Avant Garde" w:eastAsia="Times New Roman" w:hAnsi="ITC Avant Garde"/>
                <w:sz w:val="14"/>
                <w:szCs w:val="14"/>
                <w:lang w:eastAsia="es-MX"/>
              </w:rPr>
              <w:t>Autopan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 Pablo </w:t>
            </w:r>
            <w:proofErr w:type="spellStart"/>
            <w:r w:rsidRPr="00D0701F">
              <w:rPr>
                <w:rFonts w:ascii="ITC Avant Garde" w:eastAsia="Times New Roman" w:hAnsi="ITC Avant Garde"/>
                <w:sz w:val="14"/>
                <w:szCs w:val="14"/>
                <w:lang w:eastAsia="es-MX"/>
              </w:rPr>
              <w:t>Autopan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 Sebastián </w:t>
            </w:r>
            <w:proofErr w:type="spellStart"/>
            <w:r w:rsidRPr="00D0701F">
              <w:rPr>
                <w:rFonts w:ascii="ITC Avant Garde" w:eastAsia="Times New Roman" w:hAnsi="ITC Avant Garde"/>
                <w:sz w:val="14"/>
                <w:szCs w:val="14"/>
                <w:lang w:eastAsia="es-MX"/>
              </w:rPr>
              <w:t>Chimalpa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 Sebastián </w:t>
            </w:r>
            <w:proofErr w:type="spellStart"/>
            <w:r w:rsidRPr="00D0701F">
              <w:rPr>
                <w:rFonts w:ascii="ITC Avant Garde" w:eastAsia="Times New Roman" w:hAnsi="ITC Avant Garde"/>
                <w:sz w:val="14"/>
                <w:szCs w:val="14"/>
                <w:lang w:eastAsia="es-MX"/>
              </w:rPr>
              <w:t>Chimalpa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 Sebastián </w:t>
            </w:r>
            <w:proofErr w:type="spellStart"/>
            <w:r w:rsidRPr="00D0701F">
              <w:rPr>
                <w:rFonts w:ascii="ITC Avant Garde" w:eastAsia="Times New Roman" w:hAnsi="ITC Avant Garde"/>
                <w:sz w:val="14"/>
                <w:szCs w:val="14"/>
                <w:lang w:eastAsia="es-MX"/>
              </w:rPr>
              <w:t>Chimalpa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Valle de Santiago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Valle de Santiago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170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Valle de Santiago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171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La Providencia Siglo XXI</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172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La Providencia Siglo XXI</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173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La Providencia Siglo XXI</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174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Miguel</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175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Miguel</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176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Miguel</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177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Tecalitlán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178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Tecalitlán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179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Tecalitlán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180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Tonila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181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Tonila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182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Tonila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183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Santiago </w:t>
            </w:r>
            <w:proofErr w:type="spellStart"/>
            <w:r w:rsidRPr="00D0701F">
              <w:rPr>
                <w:rFonts w:ascii="ITC Avant Garde" w:eastAsia="Times New Roman" w:hAnsi="ITC Avant Garde"/>
                <w:sz w:val="14"/>
                <w:szCs w:val="14"/>
                <w:lang w:eastAsia="es-MX"/>
              </w:rPr>
              <w:t>Azajo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184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Santiago </w:t>
            </w:r>
            <w:proofErr w:type="spellStart"/>
            <w:r w:rsidRPr="00D0701F">
              <w:rPr>
                <w:rFonts w:ascii="ITC Avant Garde" w:eastAsia="Times New Roman" w:hAnsi="ITC Avant Garde"/>
                <w:sz w:val="14"/>
                <w:szCs w:val="14"/>
                <w:lang w:eastAsia="es-MX"/>
              </w:rPr>
              <w:t>Azajo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185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Santiago </w:t>
            </w:r>
            <w:proofErr w:type="spellStart"/>
            <w:r w:rsidRPr="00D0701F">
              <w:rPr>
                <w:rFonts w:ascii="ITC Avant Garde" w:eastAsia="Times New Roman" w:hAnsi="ITC Avant Garde"/>
                <w:sz w:val="14"/>
                <w:szCs w:val="14"/>
                <w:lang w:eastAsia="es-MX"/>
              </w:rPr>
              <w:t>Azajo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186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Zacapu</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187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Zacapu</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188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Zacapu</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189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Monterrey</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Monterrey</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Monterrey</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Cuilápam</w:t>
            </w:r>
            <w:proofErr w:type="spellEnd"/>
            <w:r w:rsidRPr="00D0701F">
              <w:rPr>
                <w:rFonts w:ascii="ITC Avant Garde" w:eastAsia="Times New Roman" w:hAnsi="ITC Avant Garde"/>
                <w:sz w:val="14"/>
                <w:szCs w:val="14"/>
                <w:lang w:eastAsia="es-MX"/>
              </w:rPr>
              <w:t xml:space="preserve"> de Guerrero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Cuilápam</w:t>
            </w:r>
            <w:proofErr w:type="spellEnd"/>
            <w:r w:rsidRPr="00D0701F">
              <w:rPr>
                <w:rFonts w:ascii="ITC Avant Garde" w:eastAsia="Times New Roman" w:hAnsi="ITC Avant Garde"/>
                <w:sz w:val="14"/>
                <w:szCs w:val="14"/>
                <w:lang w:eastAsia="es-MX"/>
              </w:rPr>
              <w:t xml:space="preserve"> de Guerrero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Cuilápam</w:t>
            </w:r>
            <w:proofErr w:type="spellEnd"/>
            <w:r w:rsidRPr="00D0701F">
              <w:rPr>
                <w:rFonts w:ascii="ITC Avant Garde" w:eastAsia="Times New Roman" w:hAnsi="ITC Avant Garde"/>
                <w:sz w:val="14"/>
                <w:szCs w:val="14"/>
                <w:lang w:eastAsia="es-MX"/>
              </w:rPr>
              <w:t xml:space="preserve"> de Guerrero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Amozoc</w:t>
            </w:r>
            <w:proofErr w:type="spellEnd"/>
            <w:r w:rsidRPr="00D0701F">
              <w:rPr>
                <w:rFonts w:ascii="ITC Avant Garde" w:eastAsia="Times New Roman" w:hAnsi="ITC Avant Garde"/>
                <w:sz w:val="14"/>
                <w:szCs w:val="14"/>
                <w:lang w:eastAsia="es-MX"/>
              </w:rPr>
              <w:t xml:space="preserve"> de Mota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Amozoc</w:t>
            </w:r>
            <w:proofErr w:type="spellEnd"/>
            <w:r w:rsidRPr="00D0701F">
              <w:rPr>
                <w:rFonts w:ascii="ITC Avant Garde" w:eastAsia="Times New Roman" w:hAnsi="ITC Avant Garde"/>
                <w:sz w:val="14"/>
                <w:szCs w:val="14"/>
                <w:lang w:eastAsia="es-MX"/>
              </w:rPr>
              <w:t xml:space="preserve"> de Mota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Amozoc</w:t>
            </w:r>
            <w:proofErr w:type="spellEnd"/>
            <w:r w:rsidRPr="00D0701F">
              <w:rPr>
                <w:rFonts w:ascii="ITC Avant Garde" w:eastAsia="Times New Roman" w:hAnsi="ITC Avant Garde"/>
                <w:sz w:val="14"/>
                <w:szCs w:val="14"/>
                <w:lang w:eastAsia="es-MX"/>
              </w:rPr>
              <w:t xml:space="preserve"> de Mota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 José </w:t>
            </w:r>
            <w:proofErr w:type="spellStart"/>
            <w:r w:rsidRPr="00D0701F">
              <w:rPr>
                <w:rFonts w:ascii="ITC Avant Garde" w:eastAsia="Times New Roman" w:hAnsi="ITC Avant Garde"/>
                <w:sz w:val="14"/>
                <w:szCs w:val="14"/>
                <w:lang w:eastAsia="es-MX"/>
              </w:rPr>
              <w:t>Xilotzingo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 José </w:t>
            </w:r>
            <w:proofErr w:type="spellStart"/>
            <w:r w:rsidRPr="00D0701F">
              <w:rPr>
                <w:rFonts w:ascii="ITC Avant Garde" w:eastAsia="Times New Roman" w:hAnsi="ITC Avant Garde"/>
                <w:sz w:val="14"/>
                <w:szCs w:val="14"/>
                <w:lang w:eastAsia="es-MX"/>
              </w:rPr>
              <w:t>Xilotzingo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 José </w:t>
            </w:r>
            <w:proofErr w:type="spellStart"/>
            <w:r w:rsidRPr="00D0701F">
              <w:rPr>
                <w:rFonts w:ascii="ITC Avant Garde" w:eastAsia="Times New Roman" w:hAnsi="ITC Avant Garde"/>
                <w:sz w:val="14"/>
                <w:szCs w:val="14"/>
                <w:lang w:eastAsia="es-MX"/>
              </w:rPr>
              <w:t>Xilotzingo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Santa María </w:t>
            </w:r>
            <w:proofErr w:type="spellStart"/>
            <w:r w:rsidRPr="00D0701F">
              <w:rPr>
                <w:rFonts w:ascii="ITC Avant Garde" w:eastAsia="Times New Roman" w:hAnsi="ITC Avant Garde"/>
                <w:sz w:val="14"/>
                <w:szCs w:val="14"/>
                <w:lang w:eastAsia="es-MX"/>
              </w:rPr>
              <w:t>Coronango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Santa María </w:t>
            </w:r>
            <w:proofErr w:type="spellStart"/>
            <w:r w:rsidRPr="00D0701F">
              <w:rPr>
                <w:rFonts w:ascii="ITC Avant Garde" w:eastAsia="Times New Roman" w:hAnsi="ITC Avant Garde"/>
                <w:sz w:val="14"/>
                <w:szCs w:val="14"/>
                <w:lang w:eastAsia="es-MX"/>
              </w:rPr>
              <w:t>Coronango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Santa María </w:t>
            </w:r>
            <w:proofErr w:type="spellStart"/>
            <w:r w:rsidRPr="00D0701F">
              <w:rPr>
                <w:rFonts w:ascii="ITC Avant Garde" w:eastAsia="Times New Roman" w:hAnsi="ITC Avant Garde"/>
                <w:sz w:val="14"/>
                <w:szCs w:val="14"/>
                <w:lang w:eastAsia="es-MX"/>
              </w:rPr>
              <w:t>Coronango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Tlacotepec de Benito Juárez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Tlacotepec de Benito Juárez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206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Tlacotepec de Benito Juárez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Matamoros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Matamoros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Matamoros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210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Laredo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211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Laredo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212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Laredo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213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Villa Alberto Andrés Alvarado </w:t>
            </w:r>
            <w:proofErr w:type="spellStart"/>
            <w:r w:rsidRPr="00D0701F">
              <w:rPr>
                <w:rFonts w:ascii="ITC Avant Garde" w:eastAsia="Times New Roman" w:hAnsi="ITC Avant Garde"/>
                <w:sz w:val="14"/>
                <w:szCs w:val="14"/>
                <w:lang w:eastAsia="es-MX"/>
              </w:rPr>
              <w:t>Arámburo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Baja California Sur</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PABF-2017-RAD-1081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214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Bahía de Kino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Sonora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PABF-2017-RAD-1083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215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Sabinas Hidalgo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PABF-2017-RAD-1084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25/11/2016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216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Acoyotla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PABF-2017-RAD-1085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26/11/2016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217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Arriaga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Chiapas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PABF-2017-RAD-1086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26/11/2016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Sin suficiencia espectral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218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Mexicali</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Baja California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219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Mexicali</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Baja California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220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Mexicali</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Baja California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221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Puerto Nuevo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Baja California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222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Puerto Nuevo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Baja California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223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Puerto Nuevo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Baja California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224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Cacalomacán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225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Cacalomacán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226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Cacalomacán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227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Capulhuac</w:t>
            </w:r>
            <w:proofErr w:type="spellEnd"/>
            <w:r w:rsidRPr="00D0701F">
              <w:rPr>
                <w:rFonts w:ascii="ITC Avant Garde" w:eastAsia="Times New Roman" w:hAnsi="ITC Avant Garde"/>
                <w:sz w:val="14"/>
                <w:szCs w:val="14"/>
                <w:lang w:eastAsia="es-MX"/>
              </w:rPr>
              <w:t xml:space="preserve"> de </w:t>
            </w:r>
            <w:proofErr w:type="spellStart"/>
            <w:r w:rsidRPr="00D0701F">
              <w:rPr>
                <w:rFonts w:ascii="ITC Avant Garde" w:eastAsia="Times New Roman" w:hAnsi="ITC Avant Garde"/>
                <w:sz w:val="14"/>
                <w:szCs w:val="14"/>
                <w:lang w:eastAsia="es-MX"/>
              </w:rPr>
              <w:t>Mirafuentes</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228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Capulhuac</w:t>
            </w:r>
            <w:proofErr w:type="spellEnd"/>
            <w:r w:rsidRPr="00D0701F">
              <w:rPr>
                <w:rFonts w:ascii="ITC Avant Garde" w:eastAsia="Times New Roman" w:hAnsi="ITC Avant Garde"/>
                <w:sz w:val="14"/>
                <w:szCs w:val="14"/>
                <w:lang w:eastAsia="es-MX"/>
              </w:rPr>
              <w:t xml:space="preserve"> de </w:t>
            </w:r>
            <w:proofErr w:type="spellStart"/>
            <w:r w:rsidRPr="00D0701F">
              <w:rPr>
                <w:rFonts w:ascii="ITC Avant Garde" w:eastAsia="Times New Roman" w:hAnsi="ITC Avant Garde"/>
                <w:sz w:val="14"/>
                <w:szCs w:val="14"/>
                <w:lang w:eastAsia="es-MX"/>
              </w:rPr>
              <w:t>Mirafuentes</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229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Capulhuac</w:t>
            </w:r>
            <w:proofErr w:type="spellEnd"/>
            <w:r w:rsidRPr="00D0701F">
              <w:rPr>
                <w:rFonts w:ascii="ITC Avant Garde" w:eastAsia="Times New Roman" w:hAnsi="ITC Avant Garde"/>
                <w:sz w:val="14"/>
                <w:szCs w:val="14"/>
                <w:lang w:eastAsia="es-MX"/>
              </w:rPr>
              <w:t xml:space="preserve"> de </w:t>
            </w:r>
            <w:proofErr w:type="spellStart"/>
            <w:r w:rsidRPr="00D0701F">
              <w:rPr>
                <w:rFonts w:ascii="ITC Avant Garde" w:eastAsia="Times New Roman" w:hAnsi="ITC Avant Garde"/>
                <w:sz w:val="14"/>
                <w:szCs w:val="14"/>
                <w:lang w:eastAsia="es-MX"/>
              </w:rPr>
              <w:t>Mirafuentes</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230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Los Reyes </w:t>
            </w:r>
            <w:proofErr w:type="spellStart"/>
            <w:r w:rsidRPr="00D0701F">
              <w:rPr>
                <w:rFonts w:ascii="ITC Avant Garde" w:eastAsia="Times New Roman" w:hAnsi="ITC Avant Garde"/>
                <w:sz w:val="14"/>
                <w:szCs w:val="14"/>
                <w:lang w:eastAsia="es-MX"/>
              </w:rPr>
              <w:t>Acaquilpan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231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Los Reyes </w:t>
            </w:r>
            <w:proofErr w:type="spellStart"/>
            <w:r w:rsidRPr="00D0701F">
              <w:rPr>
                <w:rFonts w:ascii="ITC Avant Garde" w:eastAsia="Times New Roman" w:hAnsi="ITC Avant Garde"/>
                <w:sz w:val="14"/>
                <w:szCs w:val="14"/>
                <w:lang w:eastAsia="es-MX"/>
              </w:rPr>
              <w:t>Acaquilpan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232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Los Reyes </w:t>
            </w:r>
            <w:proofErr w:type="spellStart"/>
            <w:r w:rsidRPr="00D0701F">
              <w:rPr>
                <w:rFonts w:ascii="ITC Avant Garde" w:eastAsia="Times New Roman" w:hAnsi="ITC Avant Garde"/>
                <w:sz w:val="14"/>
                <w:szCs w:val="14"/>
                <w:lang w:eastAsia="es-MX"/>
              </w:rPr>
              <w:t>Acaquilpan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233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Santiago Tlacotepec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234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Santiago Tlacotepec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235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Santiago Tlacotepec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236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Texcoco de Mora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237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Texcoco de Mora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238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Texcoco de Mora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239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Apan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240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Apan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241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Apan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242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Atemajac del Valle</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243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Atemajac del Valle</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244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Atemajac del Valle</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245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Techaluta</w:t>
            </w:r>
            <w:proofErr w:type="spellEnd"/>
            <w:r w:rsidRPr="00D0701F">
              <w:rPr>
                <w:rFonts w:ascii="ITC Avant Garde" w:eastAsia="Times New Roman" w:hAnsi="ITC Avant Garde"/>
                <w:sz w:val="14"/>
                <w:szCs w:val="14"/>
                <w:lang w:eastAsia="es-MX"/>
              </w:rPr>
              <w:t xml:space="preserve"> de Montenegro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246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Techaluta</w:t>
            </w:r>
            <w:proofErr w:type="spellEnd"/>
            <w:r w:rsidRPr="00D0701F">
              <w:rPr>
                <w:rFonts w:ascii="ITC Avant Garde" w:eastAsia="Times New Roman" w:hAnsi="ITC Avant Garde"/>
                <w:sz w:val="14"/>
                <w:szCs w:val="14"/>
                <w:lang w:eastAsia="es-MX"/>
              </w:rPr>
              <w:t xml:space="preserve"> de Montenegro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247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Techaluta</w:t>
            </w:r>
            <w:proofErr w:type="spellEnd"/>
            <w:r w:rsidRPr="00D0701F">
              <w:rPr>
                <w:rFonts w:ascii="ITC Avant Garde" w:eastAsia="Times New Roman" w:hAnsi="ITC Avant Garde"/>
                <w:sz w:val="14"/>
                <w:szCs w:val="14"/>
                <w:lang w:eastAsia="es-MX"/>
              </w:rPr>
              <w:t xml:space="preserve"> de Montenegro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248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Cherán</w:t>
            </w:r>
            <w:proofErr w:type="spellEnd"/>
            <w:r w:rsidRPr="00D0701F">
              <w:rPr>
                <w:rFonts w:ascii="ITC Avant Garde" w:eastAsia="Times New Roman" w:hAnsi="ITC Avant Garde"/>
                <w:sz w:val="14"/>
                <w:szCs w:val="14"/>
                <w:lang w:eastAsia="es-MX"/>
              </w:rPr>
              <w:t xml:space="preserve"> </w:t>
            </w:r>
            <w:proofErr w:type="spellStart"/>
            <w:r w:rsidRPr="00D0701F">
              <w:rPr>
                <w:rFonts w:ascii="ITC Avant Garde" w:eastAsia="Times New Roman" w:hAnsi="ITC Avant Garde"/>
                <w:sz w:val="14"/>
                <w:szCs w:val="14"/>
                <w:lang w:eastAsia="es-MX"/>
              </w:rPr>
              <w:t>Atzicuirín</w:t>
            </w:r>
            <w:proofErr w:type="spellEnd"/>
            <w:r w:rsidRPr="00D0701F">
              <w:rPr>
                <w:rFonts w:ascii="ITC Avant Garde" w:eastAsia="Times New Roman" w:hAnsi="ITC Avant Garde"/>
                <w:sz w:val="14"/>
                <w:szCs w:val="14"/>
                <w:lang w:eastAsia="es-MX"/>
              </w:rPr>
              <w:t xml:space="preserve"> (</w:t>
            </w:r>
            <w:proofErr w:type="spellStart"/>
            <w:r w:rsidRPr="00D0701F">
              <w:rPr>
                <w:rFonts w:ascii="ITC Avant Garde" w:eastAsia="Times New Roman" w:hAnsi="ITC Avant Garde"/>
                <w:sz w:val="14"/>
                <w:szCs w:val="14"/>
                <w:lang w:eastAsia="es-MX"/>
              </w:rPr>
              <w:t>Cheranástico</w:t>
            </w:r>
            <w:proofErr w:type="spellEnd"/>
            <w:r w:rsidRPr="00D0701F">
              <w:rPr>
                <w:rFonts w:ascii="ITC Avant Garde" w:eastAsia="Times New Roman" w:hAnsi="ITC Avant Garde"/>
                <w:sz w:val="14"/>
                <w:szCs w:val="14"/>
                <w:lang w:eastAsia="es-MX"/>
              </w:rPr>
              <w:t>)</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249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Cherán</w:t>
            </w:r>
            <w:proofErr w:type="spellEnd"/>
            <w:r w:rsidRPr="00D0701F">
              <w:rPr>
                <w:rFonts w:ascii="ITC Avant Garde" w:eastAsia="Times New Roman" w:hAnsi="ITC Avant Garde"/>
                <w:sz w:val="14"/>
                <w:szCs w:val="14"/>
                <w:lang w:eastAsia="es-MX"/>
              </w:rPr>
              <w:t xml:space="preserve"> </w:t>
            </w:r>
            <w:proofErr w:type="spellStart"/>
            <w:r w:rsidRPr="00D0701F">
              <w:rPr>
                <w:rFonts w:ascii="ITC Avant Garde" w:eastAsia="Times New Roman" w:hAnsi="ITC Avant Garde"/>
                <w:sz w:val="14"/>
                <w:szCs w:val="14"/>
                <w:lang w:eastAsia="es-MX"/>
              </w:rPr>
              <w:t>Atzicuirín</w:t>
            </w:r>
            <w:proofErr w:type="spellEnd"/>
            <w:r w:rsidRPr="00D0701F">
              <w:rPr>
                <w:rFonts w:ascii="ITC Avant Garde" w:eastAsia="Times New Roman" w:hAnsi="ITC Avant Garde"/>
                <w:sz w:val="14"/>
                <w:szCs w:val="14"/>
                <w:lang w:eastAsia="es-MX"/>
              </w:rPr>
              <w:t xml:space="preserve"> (</w:t>
            </w:r>
            <w:proofErr w:type="spellStart"/>
            <w:r w:rsidRPr="00D0701F">
              <w:rPr>
                <w:rFonts w:ascii="ITC Avant Garde" w:eastAsia="Times New Roman" w:hAnsi="ITC Avant Garde"/>
                <w:sz w:val="14"/>
                <w:szCs w:val="14"/>
                <w:lang w:eastAsia="es-MX"/>
              </w:rPr>
              <w:t>Cheranástico</w:t>
            </w:r>
            <w:proofErr w:type="spellEnd"/>
            <w:r w:rsidRPr="00D0701F">
              <w:rPr>
                <w:rFonts w:ascii="ITC Avant Garde" w:eastAsia="Times New Roman" w:hAnsi="ITC Avant Garde"/>
                <w:sz w:val="14"/>
                <w:szCs w:val="14"/>
                <w:lang w:eastAsia="es-MX"/>
              </w:rPr>
              <w:t>)</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Cherán</w:t>
            </w:r>
            <w:proofErr w:type="spellEnd"/>
            <w:r w:rsidRPr="00D0701F">
              <w:rPr>
                <w:rFonts w:ascii="ITC Avant Garde" w:eastAsia="Times New Roman" w:hAnsi="ITC Avant Garde"/>
                <w:sz w:val="14"/>
                <w:szCs w:val="14"/>
                <w:lang w:eastAsia="es-MX"/>
              </w:rPr>
              <w:t xml:space="preserve"> </w:t>
            </w:r>
            <w:proofErr w:type="spellStart"/>
            <w:r w:rsidRPr="00D0701F">
              <w:rPr>
                <w:rFonts w:ascii="ITC Avant Garde" w:eastAsia="Times New Roman" w:hAnsi="ITC Avant Garde"/>
                <w:sz w:val="14"/>
                <w:szCs w:val="14"/>
                <w:lang w:eastAsia="es-MX"/>
              </w:rPr>
              <w:t>Atzicuirín</w:t>
            </w:r>
            <w:proofErr w:type="spellEnd"/>
            <w:r w:rsidRPr="00D0701F">
              <w:rPr>
                <w:rFonts w:ascii="ITC Avant Garde" w:eastAsia="Times New Roman" w:hAnsi="ITC Avant Garde"/>
                <w:sz w:val="14"/>
                <w:szCs w:val="14"/>
                <w:lang w:eastAsia="es-MX"/>
              </w:rPr>
              <w:t xml:space="preserve"> (</w:t>
            </w:r>
            <w:proofErr w:type="spellStart"/>
            <w:r w:rsidRPr="00D0701F">
              <w:rPr>
                <w:rFonts w:ascii="ITC Avant Garde" w:eastAsia="Times New Roman" w:hAnsi="ITC Avant Garde"/>
                <w:sz w:val="14"/>
                <w:szCs w:val="14"/>
                <w:lang w:eastAsia="es-MX"/>
              </w:rPr>
              <w:t>Cheranástico</w:t>
            </w:r>
            <w:proofErr w:type="spellEnd"/>
            <w:r w:rsidRPr="00D0701F">
              <w:rPr>
                <w:rFonts w:ascii="ITC Avant Garde" w:eastAsia="Times New Roman" w:hAnsi="ITC Avant Garde"/>
                <w:sz w:val="14"/>
                <w:szCs w:val="14"/>
                <w:lang w:eastAsia="es-MX"/>
              </w:rPr>
              <w:t>)</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Jarácuaro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Jarácuaro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Jarácuaro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Isidro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Isidro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Isidro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General Escobedo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General Escobedo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259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General Escobedo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260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Nicolás de los Garza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261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Nicolás de los Garza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262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Nicolás de los Garza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263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 Bernardino </w:t>
            </w:r>
            <w:proofErr w:type="spellStart"/>
            <w:r w:rsidRPr="00D0701F">
              <w:rPr>
                <w:rFonts w:ascii="ITC Avant Garde" w:eastAsia="Times New Roman" w:hAnsi="ITC Avant Garde"/>
                <w:sz w:val="14"/>
                <w:szCs w:val="14"/>
                <w:lang w:eastAsia="es-MX"/>
              </w:rPr>
              <w:t>Tlaxcalanzingo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264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 Bernardino </w:t>
            </w:r>
            <w:proofErr w:type="spellStart"/>
            <w:r w:rsidRPr="00D0701F">
              <w:rPr>
                <w:rFonts w:ascii="ITC Avant Garde" w:eastAsia="Times New Roman" w:hAnsi="ITC Avant Garde"/>
                <w:sz w:val="14"/>
                <w:szCs w:val="14"/>
                <w:lang w:eastAsia="es-MX"/>
              </w:rPr>
              <w:t>Tlaxcalanzingo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265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 Bernardino </w:t>
            </w:r>
            <w:proofErr w:type="spellStart"/>
            <w:r w:rsidRPr="00D0701F">
              <w:rPr>
                <w:rFonts w:ascii="ITC Avant Garde" w:eastAsia="Times New Roman" w:hAnsi="ITC Avant Garde"/>
                <w:sz w:val="14"/>
                <w:szCs w:val="14"/>
                <w:lang w:eastAsia="es-MX"/>
              </w:rPr>
              <w:t>Tlaxcalanzingo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266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Martín Texmelucan de Labastida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267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Martín Texmelucan de Labastida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268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Martín Texmelucan de Labastida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269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Nogales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Sonora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270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Nogales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Sonora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271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Nogales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Sonora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272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Miguel Alemán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273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Miguel Alemán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274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Miguel Alemán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275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Reynosa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276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Reynosa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277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Reynosa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278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Rio Bravo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279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Rio Bravo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Rio Bravo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Juárez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Chihuahua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Juárez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Chihuahua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Juárez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Chihuahua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Santiago Tianguistenco de Galeana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Santiago Tianguistenco de Galeana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286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Santiago Tianguistenco de Galeana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Tlalmanalco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Tlalmanalco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Tlalmanalco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Tlalnepantla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Tlalnepantla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Tlalnepantla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Tultitlán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Tultitlán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Tultitlán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Villa Nicolás Romero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Villa Nicolás Romero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Villa Nicolás Romero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Romita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300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Romita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301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Romita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302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Huentitán</w:t>
            </w:r>
            <w:proofErr w:type="spellEnd"/>
            <w:r w:rsidRPr="00D0701F">
              <w:rPr>
                <w:rFonts w:ascii="ITC Avant Garde" w:eastAsia="Times New Roman" w:hAnsi="ITC Avant Garde"/>
                <w:sz w:val="14"/>
                <w:szCs w:val="14"/>
                <w:lang w:eastAsia="es-MX"/>
              </w:rPr>
              <w:t xml:space="preserve"> El Bajo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303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Huentitán</w:t>
            </w:r>
            <w:proofErr w:type="spellEnd"/>
            <w:r w:rsidRPr="00D0701F">
              <w:rPr>
                <w:rFonts w:ascii="ITC Avant Garde" w:eastAsia="Times New Roman" w:hAnsi="ITC Avant Garde"/>
                <w:sz w:val="14"/>
                <w:szCs w:val="14"/>
                <w:lang w:eastAsia="es-MX"/>
              </w:rPr>
              <w:t xml:space="preserve"> El Bajo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304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Huentitán</w:t>
            </w:r>
            <w:proofErr w:type="spellEnd"/>
            <w:r w:rsidRPr="00D0701F">
              <w:rPr>
                <w:rFonts w:ascii="ITC Avant Garde" w:eastAsia="Times New Roman" w:hAnsi="ITC Avant Garde"/>
                <w:sz w:val="14"/>
                <w:szCs w:val="14"/>
                <w:lang w:eastAsia="es-MX"/>
              </w:rPr>
              <w:t xml:space="preserve"> El Bajo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305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Juan de Ocotlán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306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Juan de Ocotlán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307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Juan de Ocotlán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308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 Pedro Santa Ana </w:t>
            </w:r>
            <w:proofErr w:type="spellStart"/>
            <w:r w:rsidRPr="00D0701F">
              <w:rPr>
                <w:rFonts w:ascii="ITC Avant Garde" w:eastAsia="Times New Roman" w:hAnsi="ITC Avant Garde"/>
                <w:sz w:val="14"/>
                <w:szCs w:val="14"/>
                <w:lang w:eastAsia="es-MX"/>
              </w:rPr>
              <w:t>Tepetitlán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309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 Pedro Santa Ana </w:t>
            </w:r>
            <w:proofErr w:type="spellStart"/>
            <w:r w:rsidRPr="00D0701F">
              <w:rPr>
                <w:rFonts w:ascii="ITC Avant Garde" w:eastAsia="Times New Roman" w:hAnsi="ITC Avant Garde"/>
                <w:sz w:val="14"/>
                <w:szCs w:val="14"/>
                <w:lang w:eastAsia="es-MX"/>
              </w:rPr>
              <w:t>Tepetitlán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310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 Pedro Santa Ana </w:t>
            </w:r>
            <w:proofErr w:type="spellStart"/>
            <w:r w:rsidRPr="00D0701F">
              <w:rPr>
                <w:rFonts w:ascii="ITC Avant Garde" w:eastAsia="Times New Roman" w:hAnsi="ITC Avant Garde"/>
                <w:sz w:val="14"/>
                <w:szCs w:val="14"/>
                <w:lang w:eastAsia="es-MX"/>
              </w:rPr>
              <w:t>Tepetitlán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311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Sayula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312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Sayula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313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Sayula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314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Tlajomulco de Zúñiga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315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Tlajomulco de Zúñiga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316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Tlajomulco de Zúñiga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317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Ahuirán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318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Ahuirán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319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Ahuirán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320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Cuitzeo</w:t>
            </w:r>
            <w:proofErr w:type="spellEnd"/>
            <w:r w:rsidRPr="00D0701F">
              <w:rPr>
                <w:rFonts w:ascii="ITC Avant Garde" w:eastAsia="Times New Roman" w:hAnsi="ITC Avant Garde"/>
                <w:sz w:val="14"/>
                <w:szCs w:val="14"/>
                <w:lang w:eastAsia="es-MX"/>
              </w:rPr>
              <w:t xml:space="preserve"> del Porvenir</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321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Cuitzeo</w:t>
            </w:r>
            <w:proofErr w:type="spellEnd"/>
            <w:r w:rsidRPr="00D0701F">
              <w:rPr>
                <w:rFonts w:ascii="ITC Avant Garde" w:eastAsia="Times New Roman" w:hAnsi="ITC Avant Garde"/>
                <w:sz w:val="14"/>
                <w:szCs w:val="14"/>
                <w:lang w:eastAsia="es-MX"/>
              </w:rPr>
              <w:t xml:space="preserve"> del Porvenir</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322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Cuitzeo</w:t>
            </w:r>
            <w:proofErr w:type="spellEnd"/>
            <w:r w:rsidRPr="00D0701F">
              <w:rPr>
                <w:rFonts w:ascii="ITC Avant Garde" w:eastAsia="Times New Roman" w:hAnsi="ITC Avant Garde"/>
                <w:sz w:val="14"/>
                <w:szCs w:val="14"/>
                <w:lang w:eastAsia="es-MX"/>
              </w:rPr>
              <w:t xml:space="preserve"> del Porvenir</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323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Indaparapeo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324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Indaparapeo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325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Indaparapeo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326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Pátzcuaro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327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Pátzcuaro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328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Pátzcuaro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329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Cuernavaca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Morelos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330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Cuernavaca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Morelos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331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Cuernavaca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Morelos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332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Guadalupe</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333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Guadalupe</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334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Guadalupe</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335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Atlixco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336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Atlixco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337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Atlixco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338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Reynosa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339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Reynosa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340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Reynosa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341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Río Bravo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342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Río Bravo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343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Río Bravo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344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La Antigua</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Veracruz</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345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La Antigua</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Veracruz</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346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La Antigua</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Veracruz</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347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Bahía de Kino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Sonora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PABF-2017-RAD-1087</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348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Calvillo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Aguascalientes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PABF-2017-RAD-1088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349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Santiago </w:t>
            </w:r>
            <w:proofErr w:type="spellStart"/>
            <w:r w:rsidRPr="00D0701F">
              <w:rPr>
                <w:rFonts w:ascii="ITC Avant Garde" w:eastAsia="Times New Roman" w:hAnsi="ITC Avant Garde"/>
                <w:sz w:val="14"/>
                <w:szCs w:val="14"/>
                <w:lang w:eastAsia="es-MX"/>
              </w:rPr>
              <w:t>Tilapa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PABF-2017-RAD-1089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350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Chapala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PABF-2017-RAD-1090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351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Monterrey</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PABF-2017-RAD-1091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Pr>
                <w:rFonts w:ascii="ITC Avant Garde" w:eastAsia="Times New Roman" w:hAnsi="ITC Avant Garde"/>
                <w:sz w:val="14"/>
                <w:szCs w:val="14"/>
                <w:lang w:eastAsia="es-MX"/>
              </w:rPr>
              <w:t xml:space="preserve"> 28/11/2016 </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Disponibilidad sujeta a la resolución de la prórroga de la estación 102.1 del Gobierno del Estado de Nuevo León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352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Monterrey</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PABF-2017-RAD-1092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Default="004A714B" w:rsidP="004A714B">
            <w:pPr>
              <w:spacing w:after="0" w:line="240" w:lineRule="auto"/>
              <w:jc w:val="center"/>
              <w:rPr>
                <w:rFonts w:ascii="ITC Avant Garde" w:eastAsia="Times New Roman" w:hAnsi="ITC Avant Garde"/>
                <w:sz w:val="14"/>
                <w:szCs w:val="14"/>
                <w:lang w:eastAsia="es-MX"/>
              </w:rPr>
            </w:pPr>
          </w:p>
          <w:p w:rsidR="004A714B" w:rsidRPr="00D0701F" w:rsidRDefault="004A714B" w:rsidP="004A714B">
            <w:pPr>
              <w:spacing w:after="0" w:line="240" w:lineRule="auto"/>
              <w:jc w:val="center"/>
              <w:rPr>
                <w:rFonts w:ascii="ITC Avant Garde" w:eastAsia="Times New Roman" w:hAnsi="ITC Avant Garde"/>
                <w:sz w:val="14"/>
                <w:szCs w:val="14"/>
                <w:lang w:eastAsia="es-MX"/>
              </w:rPr>
            </w:pPr>
            <w:r>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Disponibilidad sujeta a la resolución de la prórroga de la estación 102.1 del Gobierno del Estado de Nuevo León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353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Aramberri</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PABF-2017-RAD-1093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354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Bustamante</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PABF-2017-RAD-1094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355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Doctor Arroyo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PABF-2017-RAD-1095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como Clase A. Disponibilidad sujeta a la resolución de la prórroga de la estación 96.5 del Gobierno del Estado de Nuevo León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356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General Bravo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PABF-2017-RAD-1096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Sin Suficiencia Espectral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357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Zaragoza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PABF-2017-RAD-1097</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358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Mier y Noriega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PABF-2017-RAD-1098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359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General Escobedo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PABF-2017-RAD-1099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360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Linares </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28/11/2016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para las localidades de Linares y </w:t>
            </w:r>
            <w:proofErr w:type="spellStart"/>
            <w:r w:rsidRPr="00D0701F">
              <w:rPr>
                <w:rFonts w:ascii="ITC Avant Garde" w:eastAsia="Times New Roman" w:hAnsi="ITC Avant Garde"/>
                <w:sz w:val="14"/>
                <w:szCs w:val="14"/>
                <w:lang w:eastAsia="es-MX"/>
              </w:rPr>
              <w:t>Hualahuises</w:t>
            </w:r>
            <w:proofErr w:type="spellEnd"/>
            <w:r w:rsidRPr="00D0701F">
              <w:rPr>
                <w:rFonts w:ascii="ITC Avant Garde" w:eastAsia="Times New Roman" w:hAnsi="ITC Avant Garde"/>
                <w:sz w:val="14"/>
                <w:szCs w:val="14"/>
                <w:lang w:eastAsia="es-MX"/>
              </w:rPr>
              <w:t xml:space="preserve">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361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Jaramillo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Baja California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362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Jaramillo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Baja California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363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Jaramillo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Baja California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364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Playas de Rosarito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Baja California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365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Playas de Rosarito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Baja California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366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Playas de Rosarito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Baja California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367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Rancho del Mar</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Baja California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368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Rancho del Mar</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Baja California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369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Rancho del Mar</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Baja California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370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Chapingo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371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Chapingo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372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Chapingo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373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La Magdalena de los Reyes (La Magdalena)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374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La Magdalena de los Reyes (La Magdalena)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375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La Magdalena de los Reyes (La Magdalena)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376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Transfiguración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377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Transfiguración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378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Transfiguración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379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Xalatlaco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380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Xalatlaco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381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Xalatlaco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382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Rio Laja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383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Rio Laja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384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Rio Laja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385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Tizayuca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386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Tizayuca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387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Tizayuca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388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Belisario Dominguez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389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Belisario Dominguez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390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Belisario Dominguez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391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Chapala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392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Chapala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393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Chapala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394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Tapalpa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395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Tapalpa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396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Tapalpa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397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Tecolotlán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398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Tecolotlán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399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Tecolotlán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400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Tlaquepaque</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401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Tlaquepaque</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402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Tlaquepaque</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403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Huecorio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Sin Suficiencia Espectral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404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Huecorio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Sin Suficiencia Espectral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405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Huecorio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Sin Suficiencia Espectral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406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Pamatácuaro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407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Pamatácuaro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408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Pamatácuaro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409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Zacatepec de Hidalgo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Morelos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410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Zacatepec de Hidalgo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Morelos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411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Zacatepec de Hidalgo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Morelos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412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García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413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García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414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García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415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Ciudad de </w:t>
            </w:r>
            <w:proofErr w:type="spellStart"/>
            <w:r w:rsidRPr="00D0701F">
              <w:rPr>
                <w:rFonts w:ascii="ITC Avant Garde" w:eastAsia="Times New Roman" w:hAnsi="ITC Avant Garde"/>
                <w:sz w:val="14"/>
                <w:szCs w:val="14"/>
                <w:lang w:eastAsia="es-MX"/>
              </w:rPr>
              <w:t>Cuetzalan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416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Ciudad de </w:t>
            </w:r>
            <w:proofErr w:type="spellStart"/>
            <w:r w:rsidRPr="00D0701F">
              <w:rPr>
                <w:rFonts w:ascii="ITC Avant Garde" w:eastAsia="Times New Roman" w:hAnsi="ITC Avant Garde"/>
                <w:sz w:val="14"/>
                <w:szCs w:val="14"/>
                <w:lang w:eastAsia="es-MX"/>
              </w:rPr>
              <w:t>Cuetzalan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417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Ciudad de </w:t>
            </w:r>
            <w:proofErr w:type="spellStart"/>
            <w:r w:rsidRPr="00D0701F">
              <w:rPr>
                <w:rFonts w:ascii="ITC Avant Garde" w:eastAsia="Times New Roman" w:hAnsi="ITC Avant Garde"/>
                <w:sz w:val="14"/>
                <w:szCs w:val="14"/>
                <w:lang w:eastAsia="es-MX"/>
              </w:rPr>
              <w:t>Cuetzalan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418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419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420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421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Luis Río Colorado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Sonora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422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Luis Río Colorado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Sonora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423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Luis Río Colorado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Sonora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424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Guadalupe (Matamoros)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425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Guadalupe (Matamoros)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426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Guadalupe (Matamoros)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427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Mazatlán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Sinaloa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PABF-2017-RAD-1113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 como Clase B1.</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428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Mazatlán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Sinaloa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PABF-2017-RAD-1114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 como Clase B1.</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429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Tuxtla Gutiérrez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Chiapas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PABF-2017-RAD-1115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430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Cuquío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PABF-2017-RAD-1116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29/11/2016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431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de México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432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de México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433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de México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434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Canalejas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435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Canalejas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436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Canalejas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437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Tenango de Arista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438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Tenango de Arista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439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Tenango de Arista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440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Villa Guerrero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441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Villa Guerrero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442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Villa Guerrero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443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Rancho Godoy</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444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Rancho Godoy</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445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Rancho Godoy</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446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Salamanca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447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Salamanca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448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Salamanca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449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Sosnabar</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450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Sosnabar</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451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Sosnabar</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452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El Arenal</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453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El Arenal</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454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El Arenal</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455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Guadalajara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456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Guadalajara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457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Guadalajara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458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Tonalá</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459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Tonalá</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460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Tonalá</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461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Nurio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462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Nurio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463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Nurio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464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Paracho</w:t>
            </w:r>
            <w:proofErr w:type="spellEnd"/>
            <w:r w:rsidRPr="00D0701F">
              <w:rPr>
                <w:rFonts w:ascii="ITC Avant Garde" w:eastAsia="Times New Roman" w:hAnsi="ITC Avant Garde"/>
                <w:sz w:val="14"/>
                <w:szCs w:val="14"/>
                <w:lang w:eastAsia="es-MX"/>
              </w:rPr>
              <w:t xml:space="preserve"> de Verduzco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465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Paracho</w:t>
            </w:r>
            <w:proofErr w:type="spellEnd"/>
            <w:r w:rsidRPr="00D0701F">
              <w:rPr>
                <w:rFonts w:ascii="ITC Avant Garde" w:eastAsia="Times New Roman" w:hAnsi="ITC Avant Garde"/>
                <w:sz w:val="14"/>
                <w:szCs w:val="14"/>
                <w:lang w:eastAsia="es-MX"/>
              </w:rPr>
              <w:t xml:space="preserve"> de Verduzco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466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Paracho</w:t>
            </w:r>
            <w:proofErr w:type="spellEnd"/>
            <w:r w:rsidRPr="00D0701F">
              <w:rPr>
                <w:rFonts w:ascii="ITC Avant Garde" w:eastAsia="Times New Roman" w:hAnsi="ITC Avant Garde"/>
                <w:sz w:val="14"/>
                <w:szCs w:val="14"/>
                <w:lang w:eastAsia="es-MX"/>
              </w:rPr>
              <w:t xml:space="preserve"> de Verduzco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467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Santa Fe de la Laguna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468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Santa Fe de la Laguna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469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Santa Fe de la Laguna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470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Apodaca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471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Apodaca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472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Apodaca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473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Juárez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474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Juárez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475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Juárez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476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Áfricam</w:t>
            </w:r>
            <w:proofErr w:type="spellEnd"/>
            <w:r w:rsidRPr="00D0701F">
              <w:rPr>
                <w:rFonts w:ascii="ITC Avant Garde" w:eastAsia="Times New Roman" w:hAnsi="ITC Avant Garde"/>
                <w:sz w:val="14"/>
                <w:szCs w:val="14"/>
                <w:lang w:eastAsia="es-MX"/>
              </w:rPr>
              <w:t xml:space="preserve"> Safari</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477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Áfricam</w:t>
            </w:r>
            <w:proofErr w:type="spellEnd"/>
            <w:r w:rsidRPr="00D0701F">
              <w:rPr>
                <w:rFonts w:ascii="ITC Avant Garde" w:eastAsia="Times New Roman" w:hAnsi="ITC Avant Garde"/>
                <w:sz w:val="14"/>
                <w:szCs w:val="14"/>
                <w:lang w:eastAsia="es-MX"/>
              </w:rPr>
              <w:t xml:space="preserve"> Safari</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478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Áfricam</w:t>
            </w:r>
            <w:proofErr w:type="spellEnd"/>
            <w:r w:rsidRPr="00D0701F">
              <w:rPr>
                <w:rFonts w:ascii="ITC Avant Garde" w:eastAsia="Times New Roman" w:hAnsi="ITC Avant Garde"/>
                <w:sz w:val="14"/>
                <w:szCs w:val="14"/>
                <w:lang w:eastAsia="es-MX"/>
              </w:rPr>
              <w:t xml:space="preserve"> Safari</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479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 </w:t>
            </w:r>
            <w:proofErr w:type="spellStart"/>
            <w:r w:rsidRPr="00D0701F">
              <w:rPr>
                <w:rFonts w:ascii="ITC Avant Garde" w:eastAsia="Times New Roman" w:hAnsi="ITC Avant Garde"/>
                <w:sz w:val="14"/>
                <w:szCs w:val="14"/>
                <w:lang w:eastAsia="es-MX"/>
              </w:rPr>
              <w:t>Jóse</w:t>
            </w:r>
            <w:proofErr w:type="spellEnd"/>
            <w:r w:rsidRPr="00D0701F">
              <w:rPr>
                <w:rFonts w:ascii="ITC Avant Garde" w:eastAsia="Times New Roman" w:hAnsi="ITC Avant Garde"/>
                <w:sz w:val="14"/>
                <w:szCs w:val="14"/>
                <w:lang w:eastAsia="es-MX"/>
              </w:rPr>
              <w:t xml:space="preserve"> Chiapa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480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 </w:t>
            </w:r>
            <w:proofErr w:type="spellStart"/>
            <w:r w:rsidRPr="00D0701F">
              <w:rPr>
                <w:rFonts w:ascii="ITC Avant Garde" w:eastAsia="Times New Roman" w:hAnsi="ITC Avant Garde"/>
                <w:sz w:val="14"/>
                <w:szCs w:val="14"/>
                <w:lang w:eastAsia="es-MX"/>
              </w:rPr>
              <w:t>Jóse</w:t>
            </w:r>
            <w:proofErr w:type="spellEnd"/>
            <w:r w:rsidRPr="00D0701F">
              <w:rPr>
                <w:rFonts w:ascii="ITC Avant Garde" w:eastAsia="Times New Roman" w:hAnsi="ITC Avant Garde"/>
                <w:sz w:val="14"/>
                <w:szCs w:val="14"/>
                <w:lang w:eastAsia="es-MX"/>
              </w:rPr>
              <w:t xml:space="preserve"> Chiapa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481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 </w:t>
            </w:r>
            <w:proofErr w:type="spellStart"/>
            <w:r w:rsidRPr="00D0701F">
              <w:rPr>
                <w:rFonts w:ascii="ITC Avant Garde" w:eastAsia="Times New Roman" w:hAnsi="ITC Avant Garde"/>
                <w:sz w:val="14"/>
                <w:szCs w:val="14"/>
                <w:lang w:eastAsia="es-MX"/>
              </w:rPr>
              <w:t>Jóse</w:t>
            </w:r>
            <w:proofErr w:type="spellEnd"/>
            <w:r w:rsidRPr="00D0701F">
              <w:rPr>
                <w:rFonts w:ascii="ITC Avant Garde" w:eastAsia="Times New Roman" w:hAnsi="ITC Avant Garde"/>
                <w:sz w:val="14"/>
                <w:szCs w:val="14"/>
                <w:lang w:eastAsia="es-MX"/>
              </w:rPr>
              <w:t xml:space="preserve"> Chiapa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482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Sanctorum</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483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Sanctorum</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484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Sanctorum</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485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Santa Inés </w:t>
            </w:r>
            <w:proofErr w:type="spellStart"/>
            <w:r w:rsidRPr="00D0701F">
              <w:rPr>
                <w:rFonts w:ascii="ITC Avant Garde" w:eastAsia="Times New Roman" w:hAnsi="ITC Avant Garde"/>
                <w:sz w:val="14"/>
                <w:szCs w:val="14"/>
                <w:lang w:eastAsia="es-MX"/>
              </w:rPr>
              <w:t>Ahuatempan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486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Santa Inés </w:t>
            </w:r>
            <w:proofErr w:type="spellStart"/>
            <w:r w:rsidRPr="00D0701F">
              <w:rPr>
                <w:rFonts w:ascii="ITC Avant Garde" w:eastAsia="Times New Roman" w:hAnsi="ITC Avant Garde"/>
                <w:sz w:val="14"/>
                <w:szCs w:val="14"/>
                <w:lang w:eastAsia="es-MX"/>
              </w:rPr>
              <w:t>Ahuatempan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487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Santa Inés </w:t>
            </w:r>
            <w:proofErr w:type="spellStart"/>
            <w:r w:rsidRPr="00D0701F">
              <w:rPr>
                <w:rFonts w:ascii="ITC Avant Garde" w:eastAsia="Times New Roman" w:hAnsi="ITC Avant Garde"/>
                <w:sz w:val="14"/>
                <w:szCs w:val="14"/>
                <w:lang w:eastAsia="es-MX"/>
              </w:rPr>
              <w:t>Ahuatempan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488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Tlacotepec de Benito Juárez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489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Tlacotepec de Benito Juárez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490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Tlacotepec de Benito Juárez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491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Camargo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492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Camargo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493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Camargo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30/11/2016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494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Naica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Chihuahua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PABF-2017-RAD-1123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01/12/2016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495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Saucito</w:t>
            </w:r>
            <w:proofErr w:type="spellEnd"/>
            <w:r w:rsidRPr="00D0701F">
              <w:rPr>
                <w:rFonts w:ascii="ITC Avant Garde" w:eastAsia="Times New Roman" w:hAnsi="ITC Avant Garde"/>
                <w:sz w:val="14"/>
                <w:szCs w:val="14"/>
                <w:lang w:eastAsia="es-MX"/>
              </w:rPr>
              <w:t xml:space="preserve"> del Poleo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Zacatecas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No Especifica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PABF-2017-RAD-1124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01/12/2016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496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Fresnillo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Zacatecas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PABF-2017-RAD-1125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01/12/2016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497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Bermejillo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Durango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PABF-2017-RAD-1126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01/12/2016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498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Atencingo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PABF-2017-RAD-1127</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01/12/2016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499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El Arenal</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PABF-2017-RAD-1129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05/12/2016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500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El Arenal</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PABF-2017-RAD-1130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05/12/2016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501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Aguascalientes [Hípico]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Aguascalientes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PABF-2017-RAD-1133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06/12/2016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502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González Ortega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PABF-2017-RAD-1134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07/12/2016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503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Los Reyes de Salgado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PABF-2017-RAD-1138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07/12/2016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504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Santa Bárbara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Chihuahua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PABF-2017-RAD-1139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07/12/2016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505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Guadalupe y Calvo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Chihuahua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PABF-2017-RAD-1140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07/12/2016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 como Clase B1</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506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Totutla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Veracruz</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PABF-2017-RAD-1142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07/12/2016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507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Calera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Zacatecas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58803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508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Fresnillo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Zacatecas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58803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509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Jalpa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Zacatecas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58803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510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Juchipila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Zacatecas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58803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511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Nochistlan</w:t>
            </w:r>
            <w:proofErr w:type="spellEnd"/>
            <w:r w:rsidRPr="00D0701F">
              <w:rPr>
                <w:rFonts w:ascii="ITC Avant Garde" w:eastAsia="Times New Roman" w:hAnsi="ITC Avant Garde"/>
                <w:sz w:val="14"/>
                <w:szCs w:val="14"/>
                <w:lang w:eastAsia="es-MX"/>
              </w:rPr>
              <w:t xml:space="preserve"> de Mejía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Zacatecas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58803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512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Sombrerete</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Zacatecas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58803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000000" w:fill="FFFFFF"/>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Localidad prevista en el Programa 2015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513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Allende</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58804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514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Cadereyta Jiménez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58804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515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Doctor Arroyo/</w:t>
            </w:r>
            <w:proofErr w:type="spellStart"/>
            <w:r w:rsidRPr="00D0701F">
              <w:rPr>
                <w:rFonts w:ascii="ITC Avant Garde" w:eastAsia="Times New Roman" w:hAnsi="ITC Avant Garde"/>
                <w:sz w:val="14"/>
                <w:szCs w:val="14"/>
                <w:lang w:eastAsia="es-MX"/>
              </w:rPr>
              <w:t>Aramberri</w:t>
            </w:r>
            <w:proofErr w:type="spellEnd"/>
            <w:r w:rsidRPr="00D0701F">
              <w:rPr>
                <w:rFonts w:ascii="ITC Avant Garde" w:eastAsia="Times New Roman" w:hAnsi="ITC Avant Garde"/>
                <w:sz w:val="14"/>
                <w:szCs w:val="14"/>
                <w:lang w:eastAsia="es-MX"/>
              </w:rPr>
              <w:t xml:space="preserve"> y Galeana, todas del Estado de Nuevo León y </w:t>
            </w:r>
            <w:r w:rsidRPr="00D0701F">
              <w:rPr>
                <w:rFonts w:ascii="ITC Avant Garde" w:eastAsia="Times New Roman" w:hAnsi="ITC Avant Garde"/>
                <w:bCs/>
                <w:sz w:val="14"/>
                <w:szCs w:val="14"/>
                <w:lang w:eastAsia="es-MX"/>
              </w:rPr>
              <w:t xml:space="preserve">Matehuala de San Luis </w:t>
            </w:r>
            <w:proofErr w:type="spellStart"/>
            <w:r w:rsidRPr="00D0701F">
              <w:rPr>
                <w:rFonts w:ascii="ITC Avant Garde" w:eastAsia="Times New Roman" w:hAnsi="ITC Avant Garde"/>
                <w:bCs/>
                <w:sz w:val="14"/>
                <w:szCs w:val="14"/>
                <w:lang w:eastAsia="es-MX"/>
              </w:rPr>
              <w:t>Potosi</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58804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como clase A para la localidad de Matehuala,  San Luis </w:t>
            </w:r>
            <w:proofErr w:type="spellStart"/>
            <w:r w:rsidRPr="00D0701F">
              <w:rPr>
                <w:rFonts w:ascii="ITC Avant Garde" w:eastAsia="Times New Roman" w:hAnsi="ITC Avant Garde"/>
                <w:sz w:val="14"/>
                <w:szCs w:val="14"/>
                <w:lang w:eastAsia="es-MX"/>
              </w:rPr>
              <w:t>Potosi</w:t>
            </w:r>
            <w:proofErr w:type="spellEnd"/>
            <w:r w:rsidRPr="00D0701F">
              <w:rPr>
                <w:rFonts w:ascii="ITC Avant Garde" w:eastAsia="Times New Roman" w:hAnsi="ITC Avant Garde"/>
                <w:sz w:val="14"/>
                <w:szCs w:val="14"/>
                <w:lang w:eastAsia="es-MX"/>
              </w:rPr>
              <w:t xml:space="preserve">. Sin Suficiencia Espectral  para las Localidades de Doctor Arroyo, Galeana y </w:t>
            </w:r>
            <w:proofErr w:type="spellStart"/>
            <w:r w:rsidRPr="00D0701F">
              <w:rPr>
                <w:rFonts w:ascii="ITC Avant Garde" w:eastAsia="Times New Roman" w:hAnsi="ITC Avant Garde"/>
                <w:sz w:val="14"/>
                <w:szCs w:val="14"/>
                <w:lang w:eastAsia="es-MX"/>
              </w:rPr>
              <w:t>Aramberri</w:t>
            </w:r>
            <w:proofErr w:type="spellEnd"/>
            <w:r w:rsidRPr="00D0701F">
              <w:rPr>
                <w:rFonts w:ascii="ITC Avant Garde" w:eastAsia="Times New Roman" w:hAnsi="ITC Avant Garde"/>
                <w:sz w:val="14"/>
                <w:szCs w:val="14"/>
                <w:lang w:eastAsia="es-MX"/>
              </w:rPr>
              <w:t xml:space="preserve"> todas del Estado de Nuevo León.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516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General </w:t>
            </w:r>
            <w:proofErr w:type="spellStart"/>
            <w:r w:rsidRPr="00D0701F">
              <w:rPr>
                <w:rFonts w:ascii="ITC Avant Garde" w:eastAsia="Times New Roman" w:hAnsi="ITC Avant Garde"/>
                <w:sz w:val="14"/>
                <w:szCs w:val="14"/>
                <w:lang w:eastAsia="es-MX"/>
              </w:rPr>
              <w:t>Teran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58804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517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Guadalupe</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58804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518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Linares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58804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para las localidades de Linares y </w:t>
            </w:r>
            <w:proofErr w:type="spellStart"/>
            <w:r w:rsidRPr="00D0701F">
              <w:rPr>
                <w:rFonts w:ascii="ITC Avant Garde" w:eastAsia="Times New Roman" w:hAnsi="ITC Avant Garde"/>
                <w:sz w:val="14"/>
                <w:szCs w:val="14"/>
                <w:lang w:eastAsia="es-MX"/>
              </w:rPr>
              <w:t>Hualahuises</w:t>
            </w:r>
            <w:proofErr w:type="spellEnd"/>
            <w:r w:rsidRPr="00D0701F">
              <w:rPr>
                <w:rFonts w:ascii="ITC Avant Garde" w:eastAsia="Times New Roman" w:hAnsi="ITC Avant Garde"/>
                <w:sz w:val="14"/>
                <w:szCs w:val="14"/>
                <w:lang w:eastAsia="es-MX"/>
              </w:rPr>
              <w:t xml:space="preserve">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519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Linares/ </w:t>
            </w:r>
            <w:proofErr w:type="spellStart"/>
            <w:r w:rsidRPr="00D0701F">
              <w:rPr>
                <w:rFonts w:ascii="ITC Avant Garde" w:eastAsia="Times New Roman" w:hAnsi="ITC Avant Garde"/>
                <w:sz w:val="14"/>
                <w:szCs w:val="14"/>
                <w:lang w:eastAsia="es-MX"/>
              </w:rPr>
              <w:t>Hualahuises</w:t>
            </w:r>
            <w:proofErr w:type="spellEnd"/>
            <w:r w:rsidRPr="00D0701F">
              <w:rPr>
                <w:rFonts w:ascii="ITC Avant Garde" w:eastAsia="Times New Roman" w:hAnsi="ITC Avant Garde"/>
                <w:sz w:val="14"/>
                <w:szCs w:val="14"/>
                <w:lang w:eastAsia="es-MX"/>
              </w:rPr>
              <w:t xml:space="preserve">, </w:t>
            </w:r>
            <w:proofErr w:type="spellStart"/>
            <w:r w:rsidRPr="00D0701F">
              <w:rPr>
                <w:rFonts w:ascii="ITC Avant Garde" w:eastAsia="Times New Roman" w:hAnsi="ITC Avant Garde"/>
                <w:sz w:val="14"/>
                <w:szCs w:val="14"/>
                <w:lang w:eastAsia="es-MX"/>
              </w:rPr>
              <w:t>Aramberri</w:t>
            </w:r>
            <w:proofErr w:type="spellEnd"/>
            <w:r w:rsidRPr="00D0701F">
              <w:rPr>
                <w:rFonts w:ascii="ITC Avant Garde" w:eastAsia="Times New Roman" w:hAnsi="ITC Avant Garde"/>
                <w:sz w:val="14"/>
                <w:szCs w:val="14"/>
                <w:lang w:eastAsia="es-MX"/>
              </w:rPr>
              <w:t>, Dr. Arroyo, Galeana e Iturbide</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58804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como Clase AA, para las Localidades de Linares y </w:t>
            </w:r>
            <w:proofErr w:type="spellStart"/>
            <w:r w:rsidRPr="00D0701F">
              <w:rPr>
                <w:rFonts w:ascii="ITC Avant Garde" w:eastAsia="Times New Roman" w:hAnsi="ITC Avant Garde"/>
                <w:sz w:val="14"/>
                <w:szCs w:val="14"/>
                <w:lang w:eastAsia="es-MX"/>
              </w:rPr>
              <w:t>Hualahuises</w:t>
            </w:r>
            <w:proofErr w:type="spellEnd"/>
            <w:r w:rsidRPr="00D0701F">
              <w:rPr>
                <w:rFonts w:ascii="ITC Avant Garde" w:eastAsia="Times New Roman" w:hAnsi="ITC Avant Garde"/>
                <w:sz w:val="14"/>
                <w:szCs w:val="14"/>
                <w:lang w:eastAsia="es-MX"/>
              </w:rPr>
              <w:t xml:space="preserve">. Por su parte, para las Localidades de </w:t>
            </w:r>
            <w:proofErr w:type="spellStart"/>
            <w:r w:rsidRPr="00D0701F">
              <w:rPr>
                <w:rFonts w:ascii="ITC Avant Garde" w:eastAsia="Times New Roman" w:hAnsi="ITC Avant Garde"/>
                <w:sz w:val="14"/>
                <w:szCs w:val="14"/>
                <w:lang w:eastAsia="es-MX"/>
              </w:rPr>
              <w:t>Aramberri</w:t>
            </w:r>
            <w:proofErr w:type="spellEnd"/>
            <w:r w:rsidRPr="00D0701F">
              <w:rPr>
                <w:rFonts w:ascii="ITC Avant Garde" w:eastAsia="Times New Roman" w:hAnsi="ITC Avant Garde"/>
                <w:sz w:val="14"/>
                <w:szCs w:val="14"/>
                <w:lang w:eastAsia="es-MX"/>
              </w:rPr>
              <w:t>, Dr. Arroyo, Galeana e Iturbide, se determina 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520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Montemorelos </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58804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521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Montemorelos/ Allende, General Terán, </w:t>
            </w:r>
            <w:proofErr w:type="spellStart"/>
            <w:r w:rsidRPr="00D0701F">
              <w:rPr>
                <w:rFonts w:ascii="ITC Avant Garde" w:eastAsia="Times New Roman" w:hAnsi="ITC Avant Garde"/>
                <w:sz w:val="14"/>
                <w:szCs w:val="14"/>
                <w:lang w:eastAsia="es-MX"/>
              </w:rPr>
              <w:t>Hualahuises</w:t>
            </w:r>
            <w:proofErr w:type="spellEnd"/>
            <w:r w:rsidRPr="00D0701F">
              <w:rPr>
                <w:rFonts w:ascii="ITC Avant Garde" w:eastAsia="Times New Roman" w:hAnsi="ITC Avant Garde"/>
                <w:sz w:val="14"/>
                <w:szCs w:val="14"/>
                <w:lang w:eastAsia="es-MX"/>
              </w:rPr>
              <w:t>, Rayones y Santiago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58804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como Clase AA, para las Localidades de Linares y </w:t>
            </w:r>
            <w:proofErr w:type="spellStart"/>
            <w:r w:rsidRPr="00D0701F">
              <w:rPr>
                <w:rFonts w:ascii="ITC Avant Garde" w:eastAsia="Times New Roman" w:hAnsi="ITC Avant Garde"/>
                <w:sz w:val="14"/>
                <w:szCs w:val="14"/>
                <w:lang w:eastAsia="es-MX"/>
              </w:rPr>
              <w:t>Hualahuises</w:t>
            </w:r>
            <w:proofErr w:type="spellEnd"/>
            <w:r w:rsidRPr="00D0701F">
              <w:rPr>
                <w:rFonts w:ascii="ITC Avant Garde" w:eastAsia="Times New Roman" w:hAnsi="ITC Avant Garde"/>
                <w:sz w:val="14"/>
                <w:szCs w:val="14"/>
                <w:lang w:eastAsia="es-MX"/>
              </w:rPr>
              <w:t>. Por su parte, para las Localidades de Montemorelos, Rayones y Santiago se determina sin Suficiencia Espectral. Finalmente, para las localidades de Allende y General Terán,  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522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Monterrey</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58804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523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Sabinas Hidalgo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58804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524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 </w:t>
            </w:r>
            <w:proofErr w:type="spellStart"/>
            <w:r w:rsidRPr="00D0701F">
              <w:rPr>
                <w:rFonts w:ascii="ITC Avant Garde" w:eastAsia="Times New Roman" w:hAnsi="ITC Avant Garde"/>
                <w:sz w:val="14"/>
                <w:szCs w:val="14"/>
                <w:lang w:eastAsia="es-MX"/>
              </w:rPr>
              <w:t>Nicolas</w:t>
            </w:r>
            <w:proofErr w:type="spellEnd"/>
            <w:r w:rsidRPr="00D0701F">
              <w:rPr>
                <w:rFonts w:ascii="ITC Avant Garde" w:eastAsia="Times New Roman" w:hAnsi="ITC Avant Garde"/>
                <w:sz w:val="14"/>
                <w:szCs w:val="14"/>
                <w:lang w:eastAsia="es-MX"/>
              </w:rPr>
              <w:t xml:space="preserve"> de los Garza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58804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525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Pedro Garza García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58804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Sin disponibilidad espectral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526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Santiago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58804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527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Monterrey</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58829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Social</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528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Texcoco, colonias Centro, Joyas de San Mateo, la Trinidad, Santa Cruz de Arriba, Valle de Santa Cruz, San Sebastián, Chapingo, Unidad ISSSTE, </w:t>
            </w:r>
            <w:proofErr w:type="spellStart"/>
            <w:r w:rsidRPr="00D0701F">
              <w:rPr>
                <w:rFonts w:ascii="ITC Avant Garde" w:eastAsia="Times New Roman" w:hAnsi="ITC Avant Garde"/>
                <w:sz w:val="14"/>
                <w:szCs w:val="14"/>
                <w:lang w:eastAsia="es-MX"/>
              </w:rPr>
              <w:t>Huexotla</w:t>
            </w:r>
            <w:proofErr w:type="spellEnd"/>
            <w:r w:rsidRPr="00D0701F">
              <w:rPr>
                <w:rFonts w:ascii="ITC Avant Garde" w:eastAsia="Times New Roman" w:hAnsi="ITC Avant Garde"/>
                <w:sz w:val="14"/>
                <w:szCs w:val="14"/>
                <w:lang w:eastAsia="es-MX"/>
              </w:rPr>
              <w:t xml:space="preserve">, San Diego, </w:t>
            </w:r>
            <w:proofErr w:type="spellStart"/>
            <w:r w:rsidRPr="00D0701F">
              <w:rPr>
                <w:rFonts w:ascii="ITC Avant Garde" w:eastAsia="Times New Roman" w:hAnsi="ITC Avant Garde"/>
                <w:sz w:val="14"/>
                <w:szCs w:val="14"/>
                <w:lang w:eastAsia="es-MX"/>
              </w:rPr>
              <w:t>Xocotlan</w:t>
            </w:r>
            <w:proofErr w:type="spellEnd"/>
            <w:r w:rsidRPr="00D0701F">
              <w:rPr>
                <w:rFonts w:ascii="ITC Avant Garde" w:eastAsia="Times New Roman" w:hAnsi="ITC Avant Garde"/>
                <w:sz w:val="14"/>
                <w:szCs w:val="14"/>
                <w:lang w:eastAsia="es-MX"/>
              </w:rPr>
              <w:t xml:space="preserve"> y Molino de las Flores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58801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529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Francisco de Campeche</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Campeche</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PABF-2017-RAD-1149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530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Monterrey</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PABF-2017-RAD-1152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Disponibilidad sujeta a la resolución de la prórroga de la estación 102.1 del Gobierno del Estado de Nuevo León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531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Monterrey</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PABF-2017-RAD-1153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Disponibilidad sujeta a la resolución de la prórroga de la estación 102.1 del Gobierno del Estado de Nuevo León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532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Monterrey</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PABF-2017-RAD-1154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Disponibilidad sujeta a la resolución de la prórroga de la estación 102.1 del Gobierno del Estado de Nuevo León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533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Aramberri</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PABF-2017-RAD-1155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534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Bustamante</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No Especifica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PABF-2017-RAD-1156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535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Doctor Arroyo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PABF-2017-RAD-1157</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como Clase A. Disponibilidad sujeta a la resolución de la prórroga de la estación 96.5 del Gobierno del Estado de Nuevo León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536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General Bravo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PABF-2017-RAD-1158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Sin Suficiencia Espectral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537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Zaragoza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PABF-2017-RAD-1159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538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Mier y Noriega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PABF-2017-RAD-1160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539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General Escobedo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No Especifica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PABF-2017-RAD-1161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540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Linares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No Especifica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PABF-2017-RAD-1162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para las localidades de Linares y </w:t>
            </w:r>
            <w:proofErr w:type="spellStart"/>
            <w:r w:rsidRPr="00D0701F">
              <w:rPr>
                <w:rFonts w:ascii="ITC Avant Garde" w:eastAsia="Times New Roman" w:hAnsi="ITC Avant Garde"/>
                <w:sz w:val="14"/>
                <w:szCs w:val="14"/>
                <w:lang w:eastAsia="es-MX"/>
              </w:rPr>
              <w:t>Hualahuises</w:t>
            </w:r>
            <w:proofErr w:type="spellEnd"/>
            <w:r w:rsidRPr="00D0701F">
              <w:rPr>
                <w:rFonts w:ascii="ITC Avant Garde" w:eastAsia="Times New Roman" w:hAnsi="ITC Avant Garde"/>
                <w:sz w:val="14"/>
                <w:szCs w:val="14"/>
                <w:lang w:eastAsia="es-MX"/>
              </w:rPr>
              <w:t xml:space="preserve">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541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Culiacán Rosales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Sinaloa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PABF-2017-RAD-1163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Localidad prevista en el Programa 2017, como Clase A.</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542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Ejido el Vergel</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Chihuahua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PABF-2017-RAD-1164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543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 Del Parral</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Chihuahua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PABF-2017-RAD-1165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544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Guanaceví</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Durango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PABF-2017-RAD-1166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545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Santa Bárbara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Chihuahua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PABF-2017-RAD-1167</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546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 del Parral</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Chihuahua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PABF-2017-RAD-1168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547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Guadalupe y Calvo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Chihuahua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PABF-2017-RAD-1169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548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Ejido el Vergel</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Chihuahua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PABF-2017-RAD-1170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549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Guanaceví</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Durango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PABF-2017-RAD-1171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550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Salvatierra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PABF-2017-RAD-1172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551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Isla Mujeres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Quintana Roo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PABF-2017-RAD-1173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552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Punta Sam</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Quintana Roo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PABF-2017-RAD-1174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553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Culiacán Rosales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Sinaloa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PABF-2017-RAD-1175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Localidad prevista en el Programa 2017, como Clase A.</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554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Mazatlán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Sinaloa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PABF-2017-RAD-1176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555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Huitzilan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PABF-2017-RAD-1177</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556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Bienvenido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PABF-2017-RAD-1178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557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Heroica puebla de Zaragoza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PABF-2017-RAD-1179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558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Atlixco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PABF-2017-RAD-1180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559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Huitzilan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PABF-2017-RAD-1181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560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Huaquechula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PABF-2017-RAD-1183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561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Tochimilco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PABF-2017-RAD-1184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562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Molcaxac</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PABF-2017-RAD-1185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563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Ayotoxco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PABF-2017-RAD-1186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564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Huehuetla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PABF-2017-RAD-1187</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565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Miguel del Progreso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PABF-2017-RAD-1188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566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Canatlán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Durango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PABF-2017-RAD-1192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567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Guadalupe Victoria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Durango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PABF-2017-RAD-1193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568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Rodeo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Durango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No Especifica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PABF-2017-RAD-1195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 como Clase A</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569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Indé</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Durango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PABF-2017-RAD-1196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 como Clase AA</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Santiago </w:t>
            </w:r>
            <w:proofErr w:type="spellStart"/>
            <w:r w:rsidRPr="00D0701F">
              <w:rPr>
                <w:rFonts w:ascii="ITC Avant Garde" w:eastAsia="Times New Roman" w:hAnsi="ITC Avant Garde"/>
                <w:sz w:val="14"/>
                <w:szCs w:val="14"/>
                <w:lang w:eastAsia="es-MX"/>
              </w:rPr>
              <w:t>Papasquiaro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Durango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PABF-2017-RAD-1198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 como Clase B1</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Tamazula de Victoria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Durango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PABF-2017-RAD-1200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Felipe</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PABF-2017-RAD-1201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Pénjamo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PABF-2017-RAD-1202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Mascota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PABF-2017-RAD-1203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Lagos de Moreno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PABF-2017-RAD-1204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El Grullo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PABF-2017-RAD-1205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Sin Suficiencia Espectral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La Huerta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PABF-2017-RAD-1206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Tapalpa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PABF-2017-RAD-1207</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579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Sayulita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Nayarit</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PABF-2017-RAD-1208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Blas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Nayarit</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PABF-2017-RAD-1209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Galeana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PABF-2017-RAD-1210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Sin Suficiencia Espectral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Linares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PABF-2017-RAD-1211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08/12/2016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para las localidades de Linares y </w:t>
            </w:r>
            <w:proofErr w:type="spellStart"/>
            <w:r w:rsidRPr="00D0701F">
              <w:rPr>
                <w:rFonts w:ascii="ITC Avant Garde" w:eastAsia="Times New Roman" w:hAnsi="ITC Avant Garde"/>
                <w:sz w:val="14"/>
                <w:szCs w:val="14"/>
                <w:lang w:eastAsia="es-MX"/>
              </w:rPr>
              <w:t>Hualahuises</w:t>
            </w:r>
            <w:proofErr w:type="spellEnd"/>
            <w:r w:rsidRPr="00D0701F">
              <w:rPr>
                <w:rFonts w:ascii="ITC Avant Garde" w:eastAsia="Times New Roman" w:hAnsi="ITC Avant Garde"/>
                <w:sz w:val="14"/>
                <w:szCs w:val="14"/>
                <w:lang w:eastAsia="es-MX"/>
              </w:rPr>
              <w:t xml:space="preserve">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Cadereyta Jiménez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PABF-2017-RAD-1212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Morelia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PABF-2017-RAD-1213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Actopan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PABF-2017-RAD-1214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Huichapan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PABF-2017-RAD-1215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José María Morelos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Quintana Roo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PABF-2017-RAD-1216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 como Clase AA.</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588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Los Mochis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Sinaloa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PABF-2017-RAD-1217</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 como Clase A.</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589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Cozumel</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Quintana Roo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PABF-2017-RAD-1218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590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Tulum</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Quintana Roo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PABF-2017-RAD-1219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09/12/2016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591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Cinapecuaro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59010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Social</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592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Riva Palacio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59011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09/12/2016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Social</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como Clase A, para las localidades de Ciudad Altamirano Guerrero y </w:t>
            </w:r>
            <w:proofErr w:type="spellStart"/>
            <w:r w:rsidRPr="00D0701F">
              <w:rPr>
                <w:rFonts w:ascii="ITC Avant Garde" w:eastAsia="Times New Roman" w:hAnsi="ITC Avant Garde"/>
                <w:sz w:val="14"/>
                <w:szCs w:val="14"/>
                <w:lang w:eastAsia="es-MX"/>
              </w:rPr>
              <w:t>Rivapalacio</w:t>
            </w:r>
            <w:proofErr w:type="spellEnd"/>
            <w:r w:rsidRPr="00D0701F">
              <w:rPr>
                <w:rFonts w:ascii="ITC Avant Garde" w:eastAsia="Times New Roman" w:hAnsi="ITC Avant Garde"/>
                <w:sz w:val="14"/>
                <w:szCs w:val="14"/>
                <w:lang w:eastAsia="es-MX"/>
              </w:rPr>
              <w:t xml:space="preserve"> Michoacán.</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593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Sebastián (Sección Tercera)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PABF-2017-RAD-1224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594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Atoluca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PABF-2017-RAD-1225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595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Juan Xiutetelco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PABF-2017-RAD-1226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596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Gómez Poniente</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PABF-2017-RAD-1227</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597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Martín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PABF-2017-RAD-1228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598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Izúcar</w:t>
            </w:r>
            <w:proofErr w:type="spellEnd"/>
            <w:r w:rsidRPr="00D0701F">
              <w:rPr>
                <w:rFonts w:ascii="ITC Avant Garde" w:eastAsia="Times New Roman" w:hAnsi="ITC Avant Garde"/>
                <w:sz w:val="14"/>
                <w:szCs w:val="14"/>
                <w:lang w:eastAsia="es-MX"/>
              </w:rPr>
              <w:t xml:space="preserve"> de Matamoros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PABF-2017-RAD-1229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599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Álamos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Sonora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PABF-2017-RAD-1230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600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Tala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PABF-2017-RAD-1231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601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Lagos de Moreno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PABF-2017-RAD-1232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602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Colotlán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PABF-2017-RAD-1233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Sin Suficiencia Espectral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603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Jocotepec</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PABF-2017-RAD-1234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604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Yahualica</w:t>
            </w:r>
            <w:proofErr w:type="spellEnd"/>
            <w:r w:rsidRPr="00D0701F">
              <w:rPr>
                <w:rFonts w:ascii="ITC Avant Garde" w:eastAsia="Times New Roman" w:hAnsi="ITC Avant Garde"/>
                <w:sz w:val="14"/>
                <w:szCs w:val="14"/>
                <w:lang w:eastAsia="es-MX"/>
              </w:rPr>
              <w:t xml:space="preserve"> de González Gallo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PABF-2017-RAD-1235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605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Pénjamo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PABF-2017-RAD-1236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606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Rincón de Romos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Aguascalientes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PABF-2017-RAD-1237</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607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Francisco del Rincón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PABF-2017-RAD-1238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608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Juan del Río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Querétaro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PABF-2017-RAD-1239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609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Ixmiquilpan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PABF-2017-RAD-1240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610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Izúcar</w:t>
            </w:r>
            <w:proofErr w:type="spellEnd"/>
            <w:r w:rsidRPr="00D0701F">
              <w:rPr>
                <w:rFonts w:ascii="ITC Avant Garde" w:eastAsia="Times New Roman" w:hAnsi="ITC Avant Garde"/>
                <w:sz w:val="14"/>
                <w:szCs w:val="14"/>
                <w:lang w:eastAsia="es-MX"/>
              </w:rPr>
              <w:t xml:space="preserve"> de Matamoros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PABF-2017-RAD-1241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611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Uruapan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PABF-2017-RAD-1242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612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Saltillo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Coahuila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PABF-2017-RAD-1243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Sin Suficiencia Espectral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613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Tenango de Arista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PABF-2017-RAD-1244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614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Cozumel</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Quintana Roo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615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El dorado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Sinaloa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PABF-2017-RAD-1246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616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Pueblo Careyes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PABF-2017-RAD-1247</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617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Rincón de Guayabitos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Nayarit</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PABF-2017-RAD-1248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618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Santo Domingo Tehuantepec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PABF-2017-RAD-1249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12/12/2016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619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Velardeña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Durango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PABF-2017-RAD-1250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12/12/2016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620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Milpillas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Sonora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No Especifica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12/12/2016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621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Milpillas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Sonora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PABF-2017-RAD-1252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12/12/2016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622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El Bismarck</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Chihuahua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PABF-2017-RAD-1253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12/12/2016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623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Naica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Chihuahua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PABF-2017-RAD-1254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12/12/2016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624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Bermejillo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Durango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PABF-2017-RAD-1255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12/12/2016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625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Saucito</w:t>
            </w:r>
            <w:proofErr w:type="spellEnd"/>
            <w:r w:rsidRPr="00D0701F">
              <w:rPr>
                <w:rFonts w:ascii="ITC Avant Garde" w:eastAsia="Times New Roman" w:hAnsi="ITC Avant Garde"/>
                <w:sz w:val="14"/>
                <w:szCs w:val="14"/>
                <w:lang w:eastAsia="es-MX"/>
              </w:rPr>
              <w:t xml:space="preserve"> del Poleo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Zacatecas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PABF-2017-RAD-1256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12/12/2016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626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Tizayuca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PABF-2017-RAD-1257</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14/12/2016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627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Sucilá</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Yucatán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PABF-2017-RAD-1258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14/12/2016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000000" w:fill="FFFFFF"/>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como clase A, para las localidades de </w:t>
            </w:r>
            <w:proofErr w:type="spellStart"/>
            <w:r w:rsidRPr="00D0701F">
              <w:rPr>
                <w:rFonts w:ascii="ITC Avant Garde" w:eastAsia="Times New Roman" w:hAnsi="ITC Avant Garde"/>
                <w:sz w:val="14"/>
                <w:szCs w:val="14"/>
                <w:lang w:eastAsia="es-MX"/>
              </w:rPr>
              <w:t>Tizimín</w:t>
            </w:r>
            <w:proofErr w:type="spellEnd"/>
            <w:r w:rsidRPr="00D0701F">
              <w:rPr>
                <w:rFonts w:ascii="ITC Avant Garde" w:eastAsia="Times New Roman" w:hAnsi="ITC Avant Garde"/>
                <w:sz w:val="14"/>
                <w:szCs w:val="14"/>
                <w:lang w:eastAsia="es-MX"/>
              </w:rPr>
              <w:t xml:space="preserve">, </w:t>
            </w:r>
            <w:proofErr w:type="spellStart"/>
            <w:r w:rsidRPr="00D0701F">
              <w:rPr>
                <w:rFonts w:ascii="ITC Avant Garde" w:eastAsia="Times New Roman" w:hAnsi="ITC Avant Garde"/>
                <w:sz w:val="14"/>
                <w:szCs w:val="14"/>
                <w:lang w:eastAsia="es-MX"/>
              </w:rPr>
              <w:t>Sucilá</w:t>
            </w:r>
            <w:proofErr w:type="spellEnd"/>
            <w:r w:rsidRPr="00D0701F">
              <w:rPr>
                <w:rFonts w:ascii="ITC Avant Garde" w:eastAsia="Times New Roman" w:hAnsi="ITC Avant Garde"/>
                <w:sz w:val="14"/>
                <w:szCs w:val="14"/>
                <w:lang w:eastAsia="es-MX"/>
              </w:rPr>
              <w:t xml:space="preserve"> y </w:t>
            </w:r>
            <w:proofErr w:type="spellStart"/>
            <w:r w:rsidRPr="00D0701F">
              <w:rPr>
                <w:rFonts w:ascii="ITC Avant Garde" w:eastAsia="Times New Roman" w:hAnsi="ITC Avant Garde"/>
                <w:sz w:val="14"/>
                <w:szCs w:val="14"/>
                <w:lang w:eastAsia="es-MX"/>
              </w:rPr>
              <w:t>Panabá</w:t>
            </w:r>
            <w:proofErr w:type="spellEnd"/>
            <w:r w:rsidRPr="00D0701F">
              <w:rPr>
                <w:rFonts w:ascii="ITC Avant Garde" w:eastAsia="Times New Roman" w:hAnsi="ITC Avant Garde"/>
                <w:sz w:val="14"/>
                <w:szCs w:val="14"/>
                <w:lang w:eastAsia="es-MX"/>
              </w:rPr>
              <w:t>.</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628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Tres Valles</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Veracruz</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PABF-2017-RAD-1259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14/12/2016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000000" w:fill="FFFFFF"/>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629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Macultepec</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Tabasco </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PABF-2017-RAD-1260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14/12/2016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630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Manuel Ojinaga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Chihuahua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PABF-2017-RAD-1261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14/12/2016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 como Clase A</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631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Tekax</w:t>
            </w:r>
            <w:proofErr w:type="spellEnd"/>
            <w:r w:rsidRPr="00D0701F">
              <w:rPr>
                <w:rFonts w:ascii="ITC Avant Garde" w:eastAsia="Times New Roman" w:hAnsi="ITC Avant Garde"/>
                <w:sz w:val="14"/>
                <w:szCs w:val="14"/>
                <w:lang w:eastAsia="es-MX"/>
              </w:rPr>
              <w:t xml:space="preserve"> de Álvaro Obregón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Yucatán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PABF-2017-RAD-1262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15/12/2016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632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Ticul</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Yucatán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PABF-2017-RAD-1263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15/12/2016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633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José María Morelos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Quintana Roo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No Especifica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PABF-2017-RAD-1264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15/12/2016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Localidad prevista en el Programa 2015</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634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Papantla de Olarte</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Veracruz</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PABF-2017-RAD-1266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15/12/2016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635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Papantla de Olarte</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Veracruz</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No Especifica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PABF-2017-RAD-1267</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15/12/2016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636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Papantla de Olarte</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Veracruz</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PABF-2017-RAD-1268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15/12/2016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637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Chihuahua </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Chihuahua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PABF-2017-RAD-1269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Disponibilidad sujeta a la resolución de la prórroga de la estación 105.3 de la Universidad Autónoma de Chihuahua.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638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Etzatlán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PABF-2017-RAD-1270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639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Tarimoro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PABF-2017-RAD-1271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640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Atotonilco de Tula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Hidalgo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PABF-2017-RAD-1272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641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Manuel Ojinaga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Chihuahua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PABF-2017-RAD-1273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642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Zacazonapan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PABF-2017-RAD-1274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Privado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643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Panabá</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Yucatán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PABF-2017-RAD-1275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como clase A, para las localidades de </w:t>
            </w:r>
            <w:proofErr w:type="spellStart"/>
            <w:r w:rsidRPr="00D0701F">
              <w:rPr>
                <w:rFonts w:ascii="ITC Avant Garde" w:eastAsia="Times New Roman" w:hAnsi="ITC Avant Garde"/>
                <w:sz w:val="14"/>
                <w:szCs w:val="14"/>
                <w:lang w:eastAsia="es-MX"/>
              </w:rPr>
              <w:t>Tizimín</w:t>
            </w:r>
            <w:proofErr w:type="spellEnd"/>
            <w:r w:rsidRPr="00D0701F">
              <w:rPr>
                <w:rFonts w:ascii="ITC Avant Garde" w:eastAsia="Times New Roman" w:hAnsi="ITC Avant Garde"/>
                <w:sz w:val="14"/>
                <w:szCs w:val="14"/>
                <w:lang w:eastAsia="es-MX"/>
              </w:rPr>
              <w:t xml:space="preserve">, </w:t>
            </w:r>
            <w:proofErr w:type="spellStart"/>
            <w:r w:rsidRPr="00D0701F">
              <w:rPr>
                <w:rFonts w:ascii="ITC Avant Garde" w:eastAsia="Times New Roman" w:hAnsi="ITC Avant Garde"/>
                <w:sz w:val="14"/>
                <w:szCs w:val="14"/>
                <w:lang w:eastAsia="es-MX"/>
              </w:rPr>
              <w:t>Sucilá</w:t>
            </w:r>
            <w:proofErr w:type="spellEnd"/>
            <w:r w:rsidRPr="00D0701F">
              <w:rPr>
                <w:rFonts w:ascii="ITC Avant Garde" w:eastAsia="Times New Roman" w:hAnsi="ITC Avant Garde"/>
                <w:sz w:val="14"/>
                <w:szCs w:val="14"/>
                <w:lang w:eastAsia="es-MX"/>
              </w:rPr>
              <w:t xml:space="preserve"> y </w:t>
            </w:r>
            <w:proofErr w:type="spellStart"/>
            <w:r w:rsidRPr="00D0701F">
              <w:rPr>
                <w:rFonts w:ascii="ITC Avant Garde" w:eastAsia="Times New Roman" w:hAnsi="ITC Avant Garde"/>
                <w:sz w:val="14"/>
                <w:szCs w:val="14"/>
                <w:lang w:eastAsia="es-MX"/>
              </w:rPr>
              <w:t>Panabá</w:t>
            </w:r>
            <w:proofErr w:type="spellEnd"/>
            <w:r w:rsidRPr="00D0701F">
              <w:rPr>
                <w:rFonts w:ascii="ITC Avant Garde" w:eastAsia="Times New Roman" w:hAnsi="ITC Avant Garde"/>
                <w:sz w:val="14"/>
                <w:szCs w:val="14"/>
                <w:lang w:eastAsia="es-MX"/>
              </w:rPr>
              <w:t>.</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644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Tequila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PABF-2017-RAD-1276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645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Cocula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PABF-2017-RAD-1277</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646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Hopelchén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Campeche</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PABF-2017-RAD-1278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Localidad prevista en el Programa 2015</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647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Manuel Ojinaga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Chihuahua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PABF-2017-RAD-1279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648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Manuel Ojinaga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Chihuahua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PABF-2017-RAD-1280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649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El Carmen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Campeche</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PABF-2017-RAD-1281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650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Teul</w:t>
            </w:r>
            <w:proofErr w:type="spellEnd"/>
            <w:r w:rsidRPr="00D0701F">
              <w:rPr>
                <w:rFonts w:ascii="ITC Avant Garde" w:eastAsia="Times New Roman" w:hAnsi="ITC Avant Garde"/>
                <w:sz w:val="14"/>
                <w:szCs w:val="14"/>
                <w:lang w:eastAsia="es-MX"/>
              </w:rPr>
              <w:t xml:space="preserve"> de González Ortega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Zacatecas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PABF-2017-RAD-1282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651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del Carmen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Campeche</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PABF-2017-RAD-1292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Pr>
                <w:rFonts w:ascii="ITC Avant Garde" w:eastAsia="Times New Roman" w:hAnsi="ITC Avant Garde"/>
                <w:sz w:val="14"/>
                <w:szCs w:val="14"/>
                <w:lang w:eastAsia="es-MX"/>
              </w:rPr>
              <w:t xml:space="preserve"> 16/12/2016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 como Clase B1.</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652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Técpan</w:t>
            </w:r>
            <w:proofErr w:type="spellEnd"/>
            <w:r w:rsidRPr="00D0701F">
              <w:rPr>
                <w:rFonts w:ascii="ITC Avant Garde" w:eastAsia="Times New Roman" w:hAnsi="ITC Avant Garde"/>
                <w:sz w:val="14"/>
                <w:szCs w:val="14"/>
                <w:lang w:eastAsia="es-MX"/>
              </w:rPr>
              <w:t xml:space="preserve"> de Galeana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Guerrero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PABF-2017-RAD-1294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653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Isla Mujeres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Quintana Roo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No Especifica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PABF-2017-RAD-1297</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654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José María Morelos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Quintana Roo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PABF-2017-RAD-1298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Localidad prevista en el Programa 2015</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655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Nayarit</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No Especifica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PABF-2017-RAD-1299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656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Compostela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Nayarit</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PABF-2017-RAD-1301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657</w:t>
            </w:r>
          </w:p>
        </w:tc>
        <w:tc>
          <w:tcPr>
            <w:tcW w:w="1680" w:type="dxa"/>
            <w:tcBorders>
              <w:top w:val="nil"/>
              <w:left w:val="nil"/>
              <w:bottom w:val="nil"/>
              <w:right w:val="nil"/>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Ahuacatlán</w:t>
            </w:r>
            <w:proofErr w:type="spellEnd"/>
            <w:r w:rsidRPr="00D0701F">
              <w:rPr>
                <w:rFonts w:ascii="ITC Avant Garde" w:eastAsia="Times New Roman" w:hAnsi="ITC Avant Garde"/>
                <w:sz w:val="14"/>
                <w:szCs w:val="14"/>
                <w:lang w:eastAsia="es-MX"/>
              </w:rPr>
              <w:t xml:space="preserve">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Nayarit</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PABF-2017-RAD-1302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658</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Tantoyuquita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Luis Potosí</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PABF-2017-RAD-1305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659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Tamazunchale</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Luis Potosí</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PABF-2017-RAD-1306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660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Apozol</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Zacatecas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PABF-2017-RAD-1308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16/12/2016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661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Ameca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No Especifica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PABF-2017-RAD-1310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662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Ameca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PABF-2017-RAD-1311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663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Tomatlán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PABF-2017-RAD-1313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664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Peto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Yucatán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PABF-2017-RAD-1316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Localidad prevista en el Programa 2015</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665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Apozol</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Zacatecas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PABF-2017-RAD-1317</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666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Victoria (Javier Uribe Mora)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PABF-2017-RAD-1318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667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Cancún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Quintana Roo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PABF-2017-RAD-1319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668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Victoria (Javier Uribe Mora)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PABF-2017-RAD-1320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669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Tizimín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Yucatán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PABF-2017-RAD-1321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000000" w:fill="FFFFFF"/>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como clase A, para las localidades de </w:t>
            </w:r>
            <w:proofErr w:type="spellStart"/>
            <w:r w:rsidRPr="00D0701F">
              <w:rPr>
                <w:rFonts w:ascii="ITC Avant Garde" w:eastAsia="Times New Roman" w:hAnsi="ITC Avant Garde"/>
                <w:sz w:val="14"/>
                <w:szCs w:val="14"/>
                <w:lang w:eastAsia="es-MX"/>
              </w:rPr>
              <w:t>Tizimín</w:t>
            </w:r>
            <w:proofErr w:type="spellEnd"/>
            <w:r w:rsidRPr="00D0701F">
              <w:rPr>
                <w:rFonts w:ascii="ITC Avant Garde" w:eastAsia="Times New Roman" w:hAnsi="ITC Avant Garde"/>
                <w:sz w:val="14"/>
                <w:szCs w:val="14"/>
                <w:lang w:eastAsia="es-MX"/>
              </w:rPr>
              <w:t xml:space="preserve">, </w:t>
            </w:r>
            <w:proofErr w:type="spellStart"/>
            <w:r w:rsidRPr="00D0701F">
              <w:rPr>
                <w:rFonts w:ascii="ITC Avant Garde" w:eastAsia="Times New Roman" w:hAnsi="ITC Avant Garde"/>
                <w:sz w:val="14"/>
                <w:szCs w:val="14"/>
                <w:lang w:eastAsia="es-MX"/>
              </w:rPr>
              <w:t>Sucilá</w:t>
            </w:r>
            <w:proofErr w:type="spellEnd"/>
            <w:r w:rsidRPr="00D0701F">
              <w:rPr>
                <w:rFonts w:ascii="ITC Avant Garde" w:eastAsia="Times New Roman" w:hAnsi="ITC Avant Garde"/>
                <w:sz w:val="14"/>
                <w:szCs w:val="14"/>
                <w:lang w:eastAsia="es-MX"/>
              </w:rPr>
              <w:t xml:space="preserve"> y </w:t>
            </w:r>
            <w:proofErr w:type="spellStart"/>
            <w:r w:rsidRPr="00D0701F">
              <w:rPr>
                <w:rFonts w:ascii="ITC Avant Garde" w:eastAsia="Times New Roman" w:hAnsi="ITC Avant Garde"/>
                <w:sz w:val="14"/>
                <w:szCs w:val="14"/>
                <w:lang w:eastAsia="es-MX"/>
              </w:rPr>
              <w:t>Panabá</w:t>
            </w:r>
            <w:proofErr w:type="spellEnd"/>
            <w:r w:rsidRPr="00D0701F">
              <w:rPr>
                <w:rFonts w:ascii="ITC Avant Garde" w:eastAsia="Times New Roman" w:hAnsi="ITC Avant Garde"/>
                <w:sz w:val="14"/>
                <w:szCs w:val="14"/>
                <w:lang w:eastAsia="es-MX"/>
              </w:rPr>
              <w:t>.</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670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Xalapa-Enríquez</w:t>
            </w:r>
          </w:p>
        </w:tc>
        <w:tc>
          <w:tcPr>
            <w:tcW w:w="1559"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Veracruz</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PABF-2017-RAD-1322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671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Valtierra </w:t>
            </w:r>
            <w:r w:rsidRPr="00D0701F">
              <w:rPr>
                <w:rFonts w:ascii="ITC Avant Garde" w:eastAsia="Times New Roman" w:hAnsi="ITC Avant Garde"/>
                <w:color w:val="FF0000"/>
                <w:sz w:val="14"/>
                <w:szCs w:val="14"/>
                <w:lang w:eastAsia="es-MX"/>
              </w:rPr>
              <w:t>(Salamanca)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PABF-2017-RAD-1323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672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Tlaltizapán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Morelos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PABF-2017-RAD-1324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673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 de Juárez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PABF-2017-RAD-1325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674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del Carmen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Campeche</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60102</w:t>
            </w:r>
          </w:p>
        </w:tc>
        <w:tc>
          <w:tcPr>
            <w:tcW w:w="1276" w:type="dxa"/>
            <w:tcBorders>
              <w:top w:val="nil"/>
              <w:left w:val="nil"/>
              <w:bottom w:val="single" w:sz="4" w:space="0" w:color="auto"/>
              <w:right w:val="single" w:sz="4" w:space="0" w:color="auto"/>
            </w:tcBorders>
            <w:shd w:val="clear" w:color="000000" w:fill="FFFFFF"/>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000000" w:fill="FFFFFF"/>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Pr>
                <w:rFonts w:ascii="ITC Avant Garde" w:eastAsia="Times New Roman" w:hAnsi="ITC Avant Garde"/>
                <w:sz w:val="14"/>
                <w:szCs w:val="14"/>
                <w:lang w:eastAsia="es-MX"/>
              </w:rPr>
              <w:t xml:space="preserve">19/12/2016 </w:t>
            </w:r>
          </w:p>
        </w:tc>
        <w:tc>
          <w:tcPr>
            <w:tcW w:w="1134" w:type="dxa"/>
            <w:tcBorders>
              <w:top w:val="nil"/>
              <w:left w:val="nil"/>
              <w:bottom w:val="single" w:sz="4" w:space="0" w:color="auto"/>
              <w:right w:val="single" w:sz="4" w:space="0" w:color="auto"/>
            </w:tcBorders>
            <w:shd w:val="clear" w:color="000000" w:fill="FFFFFF"/>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 como Clase B1.</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675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Aramberri</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60118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676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Bustamante</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60118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677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Doctor Arroyo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60118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como Clase A. Disponibilidad sujeta a la resolución de la prórroga de la estación 96.5 del Gobierno del Estado de Nuevo León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678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Escobedo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60118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679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General Bravo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60118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Sin Suficiencia Espectral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680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Linares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60118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para las localidades de Linares y </w:t>
            </w:r>
            <w:proofErr w:type="spellStart"/>
            <w:r w:rsidRPr="00D0701F">
              <w:rPr>
                <w:rFonts w:ascii="ITC Avant Garde" w:eastAsia="Times New Roman" w:hAnsi="ITC Avant Garde"/>
                <w:sz w:val="14"/>
                <w:szCs w:val="14"/>
                <w:lang w:eastAsia="es-MX"/>
              </w:rPr>
              <w:t>Hualahuises</w:t>
            </w:r>
            <w:proofErr w:type="spellEnd"/>
            <w:r w:rsidRPr="00D0701F">
              <w:rPr>
                <w:rFonts w:ascii="ITC Avant Garde" w:eastAsia="Times New Roman" w:hAnsi="ITC Avant Garde"/>
                <w:sz w:val="14"/>
                <w:szCs w:val="14"/>
                <w:lang w:eastAsia="es-MX"/>
              </w:rPr>
              <w:t xml:space="preserve">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681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Mier y Noriega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60118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682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Monterrey</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60118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Pr>
                <w:rFonts w:ascii="ITC Avant Garde" w:eastAsia="Times New Roman" w:hAnsi="ITC Avant Garde"/>
                <w:sz w:val="14"/>
                <w:szCs w:val="14"/>
                <w:lang w:eastAsia="es-MX"/>
              </w:rPr>
              <w:t xml:space="preserve">19/12/2016 </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Disponibilidad sujeta a la resolución de la prórroga </w:t>
            </w:r>
            <w:r w:rsidRPr="00D0701F">
              <w:rPr>
                <w:rFonts w:ascii="ITC Avant Garde" w:eastAsia="Times New Roman" w:hAnsi="ITC Avant Garde"/>
                <w:sz w:val="14"/>
                <w:szCs w:val="14"/>
                <w:lang w:eastAsia="es-MX"/>
              </w:rPr>
              <w:lastRenderedPageBreak/>
              <w:t xml:space="preserve">de la estación 102.1 del Gobierno del Estado de Nuevo León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683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Monterrey</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60118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Default="004A714B" w:rsidP="004A714B">
            <w:pPr>
              <w:spacing w:after="0" w:line="240" w:lineRule="auto"/>
              <w:jc w:val="center"/>
              <w:rPr>
                <w:rFonts w:ascii="ITC Avant Garde" w:eastAsia="Times New Roman" w:hAnsi="ITC Avant Garde"/>
                <w:sz w:val="14"/>
                <w:szCs w:val="14"/>
                <w:lang w:eastAsia="es-MX"/>
              </w:rPr>
            </w:pPr>
          </w:p>
          <w:p w:rsidR="004A714B" w:rsidRPr="00D0701F" w:rsidRDefault="004A714B" w:rsidP="004A714B">
            <w:pPr>
              <w:spacing w:after="0" w:line="240" w:lineRule="auto"/>
              <w:jc w:val="center"/>
              <w:rPr>
                <w:rFonts w:ascii="ITC Avant Garde" w:eastAsia="Times New Roman" w:hAnsi="ITC Avant Garde"/>
                <w:sz w:val="14"/>
                <w:szCs w:val="14"/>
                <w:lang w:eastAsia="es-MX"/>
              </w:rPr>
            </w:pPr>
            <w:r>
              <w:rPr>
                <w:rFonts w:ascii="ITC Avant Garde" w:eastAsia="Times New Roman" w:hAnsi="ITC Avant Garde"/>
                <w:sz w:val="14"/>
                <w:szCs w:val="14"/>
                <w:lang w:eastAsia="es-MX"/>
              </w:rPr>
              <w:t>19/12/2016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Disponibilidad sujeta a la resolución de la prórroga de la estación 102.1 del Gobierno del Estado de Nuevo León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684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Zaragoza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Nuevo León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60118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685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Toluca de Lerdo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Folio</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correo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19/12/2016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  Disponibilidad sujeta a la resolución de las prórrogas de las  estaciones 91.7  y 99.7 del Gobierno del Estado de México y de la Universidad Autónoma del Estado de México respectivamente.</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686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Saltillo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Coahuila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PABF-2017-RAD-1370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Sin Suficiencia Espectral </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687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Jiutepec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Morelos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PABF-2017-RAD-1326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688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 de Juárez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PABF-2017-RAD-1327</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689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Papaloapan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PABF-2017-RAD-1328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690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Santiago Pinotepa Nacional</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PABF-2017-RAD-1329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 como Clase AA</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691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Santo Domingo Tehuantepec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PABF-2017-RAD-1330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692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Heroica Ciudad de Juchitán de Zaragoza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PABF-2017-RAD-1331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693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Heroica Ciudad de </w:t>
            </w:r>
            <w:proofErr w:type="spellStart"/>
            <w:r w:rsidRPr="00D0701F">
              <w:rPr>
                <w:rFonts w:ascii="ITC Avant Garde" w:eastAsia="Times New Roman" w:hAnsi="ITC Avant Garde"/>
                <w:sz w:val="14"/>
                <w:szCs w:val="14"/>
                <w:lang w:eastAsia="es-MX"/>
              </w:rPr>
              <w:t>Tlaxiaco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PABF-2017-RAD-1332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694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Heroica Ciudad de Huajuapan de León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PABF-2017-RAD-1333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695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Pedro Pochutla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PABF-2017-RAD-1334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 como Clase AA</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696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Llera de Canales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PABF-2017-RAD-1340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697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Victoria (Javier Uribe Mora)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PABF-2017-RAD-1341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698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Ninguno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PABF-2017-RAD-1342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699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Victoria (Javier Uribe Mora)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PABF-2017-RAD-1343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700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Culiacán Rosales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Sinaloa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PABF-2017-RAD-1344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Localidad prevista en el Programa 2017, como Clase A.</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701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Metepec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PABF-2017-RAD-1345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702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Cerrito Colorado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PABF-2017-RAD-1346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703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Uriangato</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PABF-2017-RAD-1349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704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Dolores Hidalgo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PABF-2017-RAD-1350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705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Morelia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PABF-2017-RAD-1351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706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Uruapan</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PABF-2017-RAD-1352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 como Clase A</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707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Zitácuaro (Parque Industrial)</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Michoacán</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PABF-2017-RAD-1353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708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Lagos de Moreno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PABF-2017-RAD-1354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709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Amealco</w:t>
            </w:r>
            <w:proofErr w:type="spellEnd"/>
            <w:r w:rsidRPr="00D0701F">
              <w:rPr>
                <w:rFonts w:ascii="ITC Avant Garde" w:eastAsia="Times New Roman" w:hAnsi="ITC Avant Garde"/>
                <w:sz w:val="14"/>
                <w:szCs w:val="14"/>
                <w:lang w:eastAsia="es-MX"/>
              </w:rPr>
              <w:t xml:space="preserve"> de Bonfil</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Querétaro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PABF-2017-RAD-1355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710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Juriquilla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Querétaro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PABF-2017-RAD-1356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711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Juan del Río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Querétaro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PABF-2017-RAD-1357</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712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Pedro Escobedo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Querétaro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PABF-2017-RAD-1358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713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Miguel de Allende</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PABF-2017-RAD-1359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714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Yuriria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Guanajuato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PABF-2017-RAD-1360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Comercial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715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Francisco de Campeche</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Campeche</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PABF-2017-RAD-1364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716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 de Juárez</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Oaxaca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PABF-2017-RAD-1371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717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Toluca de Lerdo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Folio</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correo electrónico</w:t>
            </w:r>
          </w:p>
        </w:tc>
        <w:tc>
          <w:tcPr>
            <w:tcW w:w="1417"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20/12/2016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  Disponibilidad sujeta a la resolución de las prórrogas de las  estaciones 91.7  y 99.7 del Gobierno del Estado de México y de la Universidad Autónoma del Estado de México respectivamente.</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718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San Gabriel</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Jalisco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PABF-2017-RAD-1373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21/12/2016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719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Ciudad Altamirano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Guerrero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PABF-2017-RAD-1374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21/12/2016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como Clase A, para las localidades de Ciudad Altamirano Guerrero y </w:t>
            </w:r>
            <w:proofErr w:type="spellStart"/>
            <w:r w:rsidRPr="00D0701F">
              <w:rPr>
                <w:rFonts w:ascii="ITC Avant Garde" w:eastAsia="Times New Roman" w:hAnsi="ITC Avant Garde"/>
                <w:sz w:val="14"/>
                <w:szCs w:val="14"/>
                <w:lang w:eastAsia="es-MX"/>
              </w:rPr>
              <w:t>Rivapalacio</w:t>
            </w:r>
            <w:proofErr w:type="spellEnd"/>
            <w:r w:rsidRPr="00D0701F">
              <w:rPr>
                <w:rFonts w:ascii="ITC Avant Garde" w:eastAsia="Times New Roman" w:hAnsi="ITC Avant Garde"/>
                <w:sz w:val="14"/>
                <w:szCs w:val="14"/>
                <w:lang w:eastAsia="es-MX"/>
              </w:rPr>
              <w:t xml:space="preserve"> Michoacán.</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720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Villaflores</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Chiapas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PABF-2017-RAD-1379</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21/12/2016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721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Cintalapa de Figueroa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Chiapas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PABF-2017-RAD-1380</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21/12/2016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722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Bochil</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Chiapas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PABF-2017-RAD-1381</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21/12/2016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723</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Zacatecas</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Zacatecas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PABF-2017-RAD-1384</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21/12/2016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lastRenderedPageBreak/>
              <w:t>724</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Heroica puebla de Zaragoza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Puebla</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PABF-2017-RAD-1385</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21/12/2016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725</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Marquelia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Guerrero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PABF-2017-RAD-1387</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21/12/2016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726</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Toluca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60476</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21/12/2016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Se considera viable su inclusión en el Programa 2017,  Disponibilidad sujeta a la resolución de las prórrogas de las  estaciones 91.7  y 99.7 del Gobierno del Estado de México y de la Universidad Autónoma del Estado de México respectivamente.</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727</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Atlacomulco de Fabela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60532</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21/12/2016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Se considera viable su inclusión en el Programa 2017.  Disponibilidad sujeta a la resolución de la prórroga de la  estación 105.5 del Gobierno del Estado de </w:t>
            </w:r>
            <w:proofErr w:type="spellStart"/>
            <w:r w:rsidRPr="00D0701F">
              <w:rPr>
                <w:rFonts w:ascii="ITC Avant Garde" w:eastAsia="Times New Roman" w:hAnsi="ITC Avant Garde"/>
                <w:sz w:val="14"/>
                <w:szCs w:val="14"/>
                <w:lang w:eastAsia="es-MX"/>
              </w:rPr>
              <w:t>de</w:t>
            </w:r>
            <w:proofErr w:type="spellEnd"/>
            <w:r w:rsidRPr="00D0701F">
              <w:rPr>
                <w:rFonts w:ascii="ITC Avant Garde" w:eastAsia="Times New Roman" w:hAnsi="ITC Avant Garde"/>
                <w:sz w:val="14"/>
                <w:szCs w:val="14"/>
                <w:lang w:eastAsia="es-MX"/>
              </w:rPr>
              <w:t xml:space="preserve"> México.</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728</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Metepec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Estado de México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B1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60533</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Escrito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21/12/2016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Público</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729</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proofErr w:type="spellStart"/>
            <w:r w:rsidRPr="00D0701F">
              <w:rPr>
                <w:rFonts w:ascii="ITC Avant Garde" w:eastAsia="Times New Roman" w:hAnsi="ITC Avant Garde"/>
                <w:sz w:val="14"/>
                <w:szCs w:val="14"/>
                <w:lang w:eastAsia="es-MX"/>
              </w:rPr>
              <w:t>Técpan</w:t>
            </w:r>
            <w:proofErr w:type="spellEnd"/>
            <w:r w:rsidRPr="00D0701F">
              <w:rPr>
                <w:rFonts w:ascii="ITC Avant Garde" w:eastAsia="Times New Roman" w:hAnsi="ITC Avant Garde"/>
                <w:sz w:val="14"/>
                <w:szCs w:val="14"/>
                <w:lang w:eastAsia="es-MX"/>
              </w:rPr>
              <w:t xml:space="preserve"> de Galeana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Guerrero</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D</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PABF-2017-RAD-1388</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Formato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21/12/2016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 xml:space="preserve">Uso Social </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Suficiencia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730</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Río Bravo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Folio</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correo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21/12/2016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Comercial</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731</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Río Bravo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A</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Folio</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correo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21/12/2016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Comercial</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r w:rsidR="004A714B" w:rsidRPr="00D0701F" w:rsidTr="004A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732</w:t>
            </w:r>
          </w:p>
        </w:tc>
        <w:tc>
          <w:tcPr>
            <w:tcW w:w="1680"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Río Bravo</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Tamaulipas</w:t>
            </w:r>
          </w:p>
        </w:tc>
        <w:tc>
          <w:tcPr>
            <w:tcW w:w="198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Clase de Estación C1</w:t>
            </w:r>
          </w:p>
        </w:tc>
        <w:tc>
          <w:tcPr>
            <w:tcW w:w="1559"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Folio</w:t>
            </w:r>
          </w:p>
        </w:tc>
        <w:tc>
          <w:tcPr>
            <w:tcW w:w="1276"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correo electrónico</w:t>
            </w:r>
          </w:p>
        </w:tc>
        <w:tc>
          <w:tcPr>
            <w:tcW w:w="1417" w:type="dxa"/>
            <w:tcBorders>
              <w:top w:val="nil"/>
              <w:left w:val="nil"/>
              <w:bottom w:val="single" w:sz="4" w:space="0" w:color="auto"/>
              <w:right w:val="single" w:sz="4" w:space="0" w:color="auto"/>
            </w:tcBorders>
            <w:shd w:val="clear" w:color="auto" w:fill="auto"/>
            <w:noWrap/>
            <w:vAlign w:val="center"/>
            <w:hideMark/>
          </w:tcPr>
          <w:p w:rsidR="004A714B" w:rsidRPr="00D0701F" w:rsidRDefault="004A714B" w:rsidP="004A714B">
            <w:pPr>
              <w:spacing w:after="0" w:line="240" w:lineRule="auto"/>
              <w:jc w:val="center"/>
              <w:rPr>
                <w:rFonts w:ascii="ITC Avant Garde" w:eastAsia="Times New Roman" w:hAnsi="ITC Avant Garde"/>
                <w:color w:val="000000"/>
                <w:sz w:val="14"/>
                <w:szCs w:val="14"/>
                <w:lang w:eastAsia="es-MX"/>
              </w:rPr>
            </w:pPr>
            <w:r w:rsidRPr="00D0701F">
              <w:rPr>
                <w:rFonts w:ascii="ITC Avant Garde" w:eastAsia="Times New Roman" w:hAnsi="ITC Avant Garde"/>
                <w:color w:val="000000"/>
                <w:sz w:val="14"/>
                <w:szCs w:val="14"/>
                <w:lang w:eastAsia="es-MX"/>
              </w:rPr>
              <w:t>21/12/2016</w:t>
            </w:r>
          </w:p>
        </w:tc>
        <w:tc>
          <w:tcPr>
            <w:tcW w:w="1134"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center"/>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Uso Comercial</w:t>
            </w:r>
          </w:p>
        </w:tc>
        <w:tc>
          <w:tcPr>
            <w:tcW w:w="6435" w:type="dxa"/>
            <w:tcBorders>
              <w:top w:val="nil"/>
              <w:left w:val="nil"/>
              <w:bottom w:val="single" w:sz="4" w:space="0" w:color="auto"/>
              <w:right w:val="single" w:sz="4" w:space="0" w:color="auto"/>
            </w:tcBorders>
            <w:shd w:val="clear" w:color="auto" w:fill="auto"/>
            <w:vAlign w:val="center"/>
            <w:hideMark/>
          </w:tcPr>
          <w:p w:rsidR="004A714B" w:rsidRPr="00D0701F" w:rsidRDefault="004A714B" w:rsidP="004A714B">
            <w:pPr>
              <w:spacing w:after="0" w:line="240" w:lineRule="auto"/>
              <w:jc w:val="both"/>
              <w:rPr>
                <w:rFonts w:ascii="ITC Avant Garde" w:eastAsia="Times New Roman" w:hAnsi="ITC Avant Garde"/>
                <w:sz w:val="14"/>
                <w:szCs w:val="14"/>
                <w:lang w:eastAsia="es-MX"/>
              </w:rPr>
            </w:pPr>
            <w:r w:rsidRPr="00D0701F">
              <w:rPr>
                <w:rFonts w:ascii="ITC Avant Garde" w:eastAsia="Times New Roman" w:hAnsi="ITC Avant Garde"/>
                <w:sz w:val="14"/>
                <w:szCs w:val="14"/>
                <w:lang w:eastAsia="es-MX"/>
              </w:rPr>
              <w:t>Sin Disponibilidad Espectral</w:t>
            </w:r>
          </w:p>
        </w:tc>
      </w:tr>
    </w:tbl>
    <w:p w:rsidR="004A714B" w:rsidRDefault="004A714B" w:rsidP="004A714B">
      <w:pPr>
        <w:spacing w:after="0" w:line="240" w:lineRule="auto"/>
        <w:jc w:val="center"/>
        <w:rPr>
          <w:rFonts w:ascii="ITC Avant Garde" w:hAnsi="ITC Avant Garde"/>
          <w:b/>
          <w:sz w:val="20"/>
          <w:szCs w:val="14"/>
          <w:u w:val="single"/>
        </w:rPr>
      </w:pPr>
    </w:p>
    <w:p w:rsidR="004A714B" w:rsidRPr="004355B2" w:rsidRDefault="004A714B" w:rsidP="004A714B">
      <w:pPr>
        <w:pStyle w:val="Ttulo3"/>
        <w:keepNext/>
        <w:keepLines/>
        <w:pBdr>
          <w:top w:val="none" w:sz="0" w:space="0" w:color="auto"/>
          <w:left w:val="none" w:sz="0" w:space="0" w:color="auto"/>
          <w:bottom w:val="none" w:sz="0" w:space="0" w:color="auto"/>
          <w:right w:val="none" w:sz="0" w:space="0" w:color="auto"/>
          <w:between w:val="none" w:sz="0" w:space="0" w:color="auto"/>
        </w:pBdr>
        <w:spacing w:before="40" w:line="276" w:lineRule="auto"/>
        <w:ind w:left="0" w:firstLine="0"/>
        <w:rPr>
          <w:b w:val="0"/>
          <w:color w:val="000000" w:themeColor="text1"/>
          <w:sz w:val="22"/>
          <w:szCs w:val="22"/>
        </w:rPr>
      </w:pPr>
      <w:r w:rsidRPr="004A714B">
        <w:rPr>
          <w:rFonts w:eastAsiaTheme="majorEastAsia" w:cstheme="majorBidi"/>
          <w:color w:val="000000" w:themeColor="text1"/>
          <w:sz w:val="22"/>
          <w:szCs w:val="22"/>
          <w:lang w:eastAsia="en-US"/>
        </w:rPr>
        <w:t>TELECOMUNICACIONES</w:t>
      </w:r>
    </w:p>
    <w:tbl>
      <w:tblPr>
        <w:tblW w:w="5000" w:type="pct"/>
        <w:tblCellMar>
          <w:left w:w="70" w:type="dxa"/>
          <w:right w:w="70" w:type="dxa"/>
        </w:tblCellMar>
        <w:tblLook w:val="04A0" w:firstRow="1" w:lastRow="0" w:firstColumn="1" w:lastColumn="0" w:noHBand="0" w:noVBand="1"/>
        <w:tblCaption w:val="Telecomunicaciones"/>
        <w:tblDescription w:val="En una tabla amplia se proporciona la valoración de las solicitudes de inclusión ingresadas para Telecomunicaciones."/>
      </w:tblPr>
      <w:tblGrid>
        <w:gridCol w:w="341"/>
        <w:gridCol w:w="473"/>
        <w:gridCol w:w="797"/>
        <w:gridCol w:w="855"/>
        <w:gridCol w:w="1332"/>
        <w:gridCol w:w="845"/>
        <w:gridCol w:w="770"/>
        <w:gridCol w:w="1024"/>
        <w:gridCol w:w="1321"/>
        <w:gridCol w:w="1498"/>
        <w:gridCol w:w="1597"/>
        <w:gridCol w:w="1712"/>
        <w:gridCol w:w="787"/>
      </w:tblGrid>
      <w:tr w:rsidR="004A714B" w:rsidRPr="004355B2" w:rsidTr="004A714B">
        <w:trPr>
          <w:trHeight w:val="459"/>
          <w:tblHeader/>
        </w:trPr>
        <w:tc>
          <w:tcPr>
            <w:tcW w:w="128"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2"/>
                <w:szCs w:val="12"/>
                <w:lang w:eastAsia="es-MX"/>
              </w:rPr>
            </w:pPr>
            <w:r w:rsidRPr="004355B2">
              <w:rPr>
                <w:rFonts w:ascii="ITC Avant Garde" w:eastAsia="Times New Roman" w:hAnsi="ITC Avant Garde"/>
                <w:b/>
                <w:bCs/>
                <w:color w:val="000000" w:themeColor="text1"/>
                <w:sz w:val="12"/>
                <w:szCs w:val="12"/>
                <w:lang w:eastAsia="es-MX"/>
              </w:rPr>
              <w:t>No.</w:t>
            </w:r>
          </w:p>
        </w:tc>
        <w:tc>
          <w:tcPr>
            <w:tcW w:w="177" w:type="pct"/>
            <w:tcBorders>
              <w:top w:val="single" w:sz="4" w:space="0" w:color="auto"/>
              <w:left w:val="nil"/>
              <w:bottom w:val="single" w:sz="4" w:space="0" w:color="auto"/>
              <w:right w:val="single" w:sz="4" w:space="0" w:color="auto"/>
            </w:tcBorders>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2"/>
                <w:szCs w:val="12"/>
                <w:lang w:eastAsia="es-MX"/>
              </w:rPr>
            </w:pPr>
            <w:r w:rsidRPr="004355B2">
              <w:rPr>
                <w:rFonts w:ascii="ITC Avant Garde" w:eastAsia="Times New Roman" w:hAnsi="ITC Avant Garde"/>
                <w:b/>
                <w:bCs/>
                <w:color w:val="000000" w:themeColor="text1"/>
                <w:sz w:val="12"/>
                <w:szCs w:val="12"/>
                <w:lang w:eastAsia="es-MX"/>
              </w:rPr>
              <w:t>Folio</w:t>
            </w:r>
          </w:p>
        </w:tc>
        <w:tc>
          <w:tcPr>
            <w:tcW w:w="298" w:type="pct"/>
            <w:tcBorders>
              <w:top w:val="single" w:sz="4" w:space="0" w:color="auto"/>
              <w:left w:val="nil"/>
              <w:bottom w:val="single" w:sz="4" w:space="0" w:color="auto"/>
              <w:right w:val="single" w:sz="4" w:space="0" w:color="auto"/>
            </w:tcBorders>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2"/>
                <w:szCs w:val="12"/>
                <w:lang w:eastAsia="es-MX"/>
              </w:rPr>
            </w:pPr>
            <w:r w:rsidRPr="004355B2">
              <w:rPr>
                <w:rFonts w:ascii="ITC Avant Garde" w:eastAsia="Times New Roman" w:hAnsi="ITC Avant Garde"/>
                <w:b/>
                <w:bCs/>
                <w:color w:val="000000" w:themeColor="text1"/>
                <w:sz w:val="12"/>
                <w:szCs w:val="12"/>
                <w:lang w:eastAsia="es-MX"/>
              </w:rPr>
              <w:t>Forma de Ingreso</w:t>
            </w:r>
          </w:p>
        </w:tc>
        <w:tc>
          <w:tcPr>
            <w:tcW w:w="316" w:type="pct"/>
            <w:tcBorders>
              <w:top w:val="single" w:sz="4" w:space="0" w:color="auto"/>
              <w:left w:val="nil"/>
              <w:bottom w:val="single" w:sz="4" w:space="0" w:color="auto"/>
              <w:right w:val="single" w:sz="4" w:space="0" w:color="auto"/>
            </w:tcBorders>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2"/>
                <w:szCs w:val="12"/>
                <w:lang w:eastAsia="es-MX"/>
              </w:rPr>
            </w:pPr>
            <w:r w:rsidRPr="004355B2">
              <w:rPr>
                <w:rFonts w:ascii="ITC Avant Garde" w:eastAsia="Times New Roman" w:hAnsi="ITC Avant Garde"/>
                <w:b/>
                <w:bCs/>
                <w:color w:val="000000" w:themeColor="text1"/>
                <w:sz w:val="12"/>
                <w:szCs w:val="12"/>
                <w:lang w:eastAsia="es-MX"/>
              </w:rPr>
              <w:t>Fecha de Registro</w:t>
            </w:r>
          </w:p>
        </w:tc>
        <w:tc>
          <w:tcPr>
            <w:tcW w:w="499" w:type="pct"/>
            <w:tcBorders>
              <w:top w:val="single" w:sz="4" w:space="0" w:color="auto"/>
              <w:left w:val="nil"/>
              <w:bottom w:val="single" w:sz="4" w:space="0" w:color="auto"/>
              <w:right w:val="single" w:sz="4" w:space="0" w:color="auto"/>
            </w:tcBorders>
            <w:shd w:val="clear" w:color="auto" w:fill="92D050"/>
            <w:noWrap/>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2"/>
                <w:szCs w:val="12"/>
                <w:lang w:eastAsia="es-MX"/>
              </w:rPr>
            </w:pPr>
            <w:r w:rsidRPr="004355B2">
              <w:rPr>
                <w:rFonts w:ascii="ITC Avant Garde" w:eastAsia="Times New Roman" w:hAnsi="ITC Avant Garde"/>
                <w:b/>
                <w:bCs/>
                <w:color w:val="000000" w:themeColor="text1"/>
                <w:sz w:val="12"/>
                <w:szCs w:val="12"/>
                <w:lang w:eastAsia="es-MX"/>
              </w:rPr>
              <w:t>Servicio</w:t>
            </w:r>
          </w:p>
        </w:tc>
        <w:tc>
          <w:tcPr>
            <w:tcW w:w="316" w:type="pct"/>
            <w:tcBorders>
              <w:top w:val="single" w:sz="4" w:space="0" w:color="auto"/>
              <w:left w:val="nil"/>
              <w:bottom w:val="single" w:sz="4" w:space="0" w:color="auto"/>
              <w:right w:val="single" w:sz="4" w:space="0" w:color="auto"/>
            </w:tcBorders>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2"/>
                <w:szCs w:val="12"/>
                <w:lang w:eastAsia="es-MX"/>
              </w:rPr>
            </w:pPr>
            <w:r w:rsidRPr="004355B2">
              <w:rPr>
                <w:rFonts w:ascii="ITC Avant Garde" w:eastAsia="Times New Roman" w:hAnsi="ITC Avant Garde"/>
                <w:b/>
                <w:bCs/>
                <w:color w:val="000000" w:themeColor="text1"/>
                <w:sz w:val="12"/>
                <w:szCs w:val="12"/>
                <w:lang w:eastAsia="es-MX"/>
              </w:rPr>
              <w:t>Rango de Frecuencias</w:t>
            </w:r>
          </w:p>
        </w:tc>
        <w:tc>
          <w:tcPr>
            <w:tcW w:w="288" w:type="pct"/>
            <w:tcBorders>
              <w:top w:val="single" w:sz="4" w:space="0" w:color="auto"/>
              <w:left w:val="nil"/>
              <w:bottom w:val="single" w:sz="4" w:space="0" w:color="auto"/>
              <w:right w:val="single" w:sz="4" w:space="0" w:color="auto"/>
            </w:tcBorders>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2"/>
                <w:szCs w:val="12"/>
                <w:lang w:eastAsia="es-MX"/>
              </w:rPr>
            </w:pPr>
            <w:r w:rsidRPr="004355B2">
              <w:rPr>
                <w:rFonts w:ascii="ITC Avant Garde" w:eastAsia="Times New Roman" w:hAnsi="ITC Avant Garde"/>
                <w:b/>
                <w:bCs/>
                <w:color w:val="000000" w:themeColor="text1"/>
                <w:sz w:val="12"/>
                <w:szCs w:val="12"/>
                <w:lang w:eastAsia="es-MX"/>
              </w:rPr>
              <w:t>Cobertura</w:t>
            </w:r>
          </w:p>
        </w:tc>
        <w:tc>
          <w:tcPr>
            <w:tcW w:w="383" w:type="pct"/>
            <w:tcBorders>
              <w:top w:val="single" w:sz="4" w:space="0" w:color="auto"/>
              <w:left w:val="nil"/>
              <w:bottom w:val="single" w:sz="4" w:space="0" w:color="auto"/>
              <w:right w:val="single" w:sz="4" w:space="0" w:color="auto"/>
            </w:tcBorders>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2"/>
                <w:szCs w:val="12"/>
                <w:lang w:eastAsia="es-MX"/>
              </w:rPr>
            </w:pPr>
            <w:r w:rsidRPr="004355B2">
              <w:rPr>
                <w:rFonts w:ascii="ITC Avant Garde" w:eastAsia="Times New Roman" w:hAnsi="ITC Avant Garde"/>
                <w:b/>
                <w:bCs/>
                <w:color w:val="000000" w:themeColor="text1"/>
                <w:sz w:val="12"/>
                <w:szCs w:val="12"/>
                <w:lang w:eastAsia="es-MX"/>
              </w:rPr>
              <w:t>Modalidad</w:t>
            </w:r>
          </w:p>
        </w:tc>
        <w:tc>
          <w:tcPr>
            <w:tcW w:w="495" w:type="pct"/>
            <w:tcBorders>
              <w:top w:val="single" w:sz="4" w:space="0" w:color="auto"/>
              <w:left w:val="nil"/>
              <w:bottom w:val="single" w:sz="4" w:space="0" w:color="auto"/>
              <w:right w:val="single" w:sz="4" w:space="0" w:color="auto"/>
            </w:tcBorders>
            <w:shd w:val="clear" w:color="auto" w:fill="92D050"/>
            <w:vAlign w:val="center"/>
            <w:hideMark/>
          </w:tcPr>
          <w:p w:rsidR="004A714B" w:rsidRPr="004355B2" w:rsidRDefault="004A714B" w:rsidP="004A714B">
            <w:pPr>
              <w:spacing w:after="0" w:line="240" w:lineRule="auto"/>
              <w:rPr>
                <w:rFonts w:ascii="ITC Avant Garde" w:eastAsia="Times New Roman" w:hAnsi="ITC Avant Garde"/>
                <w:b/>
                <w:bCs/>
                <w:color w:val="000000" w:themeColor="text1"/>
                <w:sz w:val="12"/>
                <w:szCs w:val="12"/>
                <w:lang w:eastAsia="es-MX"/>
              </w:rPr>
            </w:pPr>
            <w:r w:rsidRPr="004355B2">
              <w:rPr>
                <w:rFonts w:ascii="ITC Avant Garde" w:eastAsia="Times New Roman" w:hAnsi="ITC Avant Garde"/>
                <w:b/>
                <w:bCs/>
                <w:color w:val="000000" w:themeColor="text1"/>
                <w:sz w:val="12"/>
                <w:szCs w:val="12"/>
                <w:lang w:eastAsia="es-MX"/>
              </w:rPr>
              <w:t>Banda Frecuencia Estudio</w:t>
            </w:r>
          </w:p>
        </w:tc>
        <w:tc>
          <w:tcPr>
            <w:tcW w:w="561" w:type="pct"/>
            <w:tcBorders>
              <w:top w:val="single" w:sz="4" w:space="0" w:color="auto"/>
              <w:left w:val="nil"/>
              <w:bottom w:val="single" w:sz="4" w:space="0" w:color="auto"/>
              <w:right w:val="single" w:sz="4" w:space="0" w:color="auto"/>
            </w:tcBorders>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2"/>
                <w:szCs w:val="12"/>
                <w:lang w:eastAsia="es-MX"/>
              </w:rPr>
            </w:pPr>
            <w:proofErr w:type="spellStart"/>
            <w:r w:rsidRPr="004355B2">
              <w:rPr>
                <w:rFonts w:ascii="ITC Avant Garde" w:eastAsia="Times New Roman" w:hAnsi="ITC Avant Garde"/>
                <w:b/>
                <w:bCs/>
                <w:color w:val="000000" w:themeColor="text1"/>
                <w:sz w:val="12"/>
                <w:szCs w:val="12"/>
                <w:lang w:eastAsia="es-MX"/>
              </w:rPr>
              <w:t>Atribucion</w:t>
            </w:r>
            <w:proofErr w:type="spellEnd"/>
            <w:r w:rsidRPr="004355B2">
              <w:rPr>
                <w:rFonts w:ascii="ITC Avant Garde" w:eastAsia="Times New Roman" w:hAnsi="ITC Avant Garde"/>
                <w:b/>
                <w:bCs/>
                <w:color w:val="000000" w:themeColor="text1"/>
                <w:sz w:val="12"/>
                <w:szCs w:val="12"/>
                <w:lang w:eastAsia="es-MX"/>
              </w:rPr>
              <w:t xml:space="preserve"> CNAF</w:t>
            </w:r>
          </w:p>
        </w:tc>
        <w:tc>
          <w:tcPr>
            <w:tcW w:w="601" w:type="pct"/>
            <w:tcBorders>
              <w:top w:val="single" w:sz="4" w:space="0" w:color="auto"/>
              <w:left w:val="nil"/>
              <w:bottom w:val="single" w:sz="4" w:space="0" w:color="auto"/>
              <w:right w:val="single" w:sz="4" w:space="0" w:color="auto"/>
            </w:tcBorders>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2"/>
                <w:szCs w:val="12"/>
                <w:lang w:eastAsia="es-MX"/>
              </w:rPr>
            </w:pPr>
            <w:proofErr w:type="spellStart"/>
            <w:r w:rsidRPr="004355B2">
              <w:rPr>
                <w:rFonts w:ascii="ITC Avant Garde" w:eastAsia="Times New Roman" w:hAnsi="ITC Avant Garde"/>
                <w:b/>
                <w:bCs/>
                <w:color w:val="000000" w:themeColor="text1"/>
                <w:sz w:val="12"/>
                <w:szCs w:val="12"/>
                <w:lang w:eastAsia="es-MX"/>
              </w:rPr>
              <w:t>Planificacion</w:t>
            </w:r>
            <w:proofErr w:type="spellEnd"/>
          </w:p>
        </w:tc>
        <w:tc>
          <w:tcPr>
            <w:tcW w:w="642" w:type="pct"/>
            <w:tcBorders>
              <w:top w:val="single" w:sz="4" w:space="0" w:color="auto"/>
              <w:left w:val="nil"/>
              <w:bottom w:val="single" w:sz="4" w:space="0" w:color="auto"/>
              <w:right w:val="single" w:sz="4" w:space="0" w:color="auto"/>
            </w:tcBorders>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2"/>
                <w:szCs w:val="12"/>
                <w:lang w:eastAsia="es-MX"/>
              </w:rPr>
            </w:pPr>
            <w:proofErr w:type="spellStart"/>
            <w:r w:rsidRPr="004355B2">
              <w:rPr>
                <w:rFonts w:ascii="ITC Avant Garde" w:eastAsia="Times New Roman" w:hAnsi="ITC Avant Garde"/>
                <w:b/>
                <w:bCs/>
                <w:color w:val="000000" w:themeColor="text1"/>
                <w:sz w:val="12"/>
                <w:szCs w:val="12"/>
                <w:lang w:eastAsia="es-MX"/>
              </w:rPr>
              <w:t>Analisis</w:t>
            </w:r>
            <w:proofErr w:type="spellEnd"/>
          </w:p>
        </w:tc>
        <w:tc>
          <w:tcPr>
            <w:tcW w:w="295" w:type="pct"/>
            <w:tcBorders>
              <w:top w:val="single" w:sz="4" w:space="0" w:color="auto"/>
              <w:left w:val="nil"/>
              <w:bottom w:val="single" w:sz="4" w:space="0" w:color="auto"/>
              <w:right w:val="single" w:sz="4" w:space="0" w:color="auto"/>
            </w:tcBorders>
            <w:shd w:val="clear" w:color="auto" w:fill="92D050"/>
            <w:vAlign w:val="center"/>
            <w:hideMark/>
          </w:tcPr>
          <w:p w:rsidR="004A714B" w:rsidRPr="004355B2" w:rsidRDefault="004A714B" w:rsidP="004A714B">
            <w:pPr>
              <w:spacing w:after="0" w:line="240" w:lineRule="auto"/>
              <w:jc w:val="center"/>
              <w:rPr>
                <w:rFonts w:ascii="ITC Avant Garde" w:eastAsia="Times New Roman" w:hAnsi="ITC Avant Garde"/>
                <w:b/>
                <w:bCs/>
                <w:color w:val="000000" w:themeColor="text1"/>
                <w:sz w:val="12"/>
                <w:szCs w:val="12"/>
                <w:lang w:eastAsia="es-MX"/>
              </w:rPr>
            </w:pPr>
            <w:proofErr w:type="spellStart"/>
            <w:r w:rsidRPr="004355B2">
              <w:rPr>
                <w:rFonts w:ascii="ITC Avant Garde" w:eastAsia="Times New Roman" w:hAnsi="ITC Avant Garde"/>
                <w:b/>
                <w:bCs/>
                <w:color w:val="000000" w:themeColor="text1"/>
                <w:sz w:val="12"/>
                <w:szCs w:val="12"/>
                <w:lang w:eastAsia="es-MX"/>
              </w:rPr>
              <w:t>Conclusion</w:t>
            </w:r>
            <w:proofErr w:type="spellEnd"/>
          </w:p>
        </w:tc>
      </w:tr>
      <w:tr w:rsidR="004A714B" w:rsidRPr="00C37FBD" w:rsidTr="004A714B">
        <w:trPr>
          <w:trHeight w:val="567"/>
        </w:trPr>
        <w:tc>
          <w:tcPr>
            <w:tcW w:w="1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11272</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4A714B" w:rsidRDefault="004A714B" w:rsidP="004A714B">
            <w:pPr>
              <w:spacing w:after="0" w:line="240" w:lineRule="auto"/>
              <w:jc w:val="center"/>
              <w:rPr>
                <w:rFonts w:ascii="ITC Avant Garde" w:eastAsia="Times New Roman" w:hAnsi="ITC Avant Garde"/>
                <w:color w:val="000000"/>
                <w:sz w:val="12"/>
                <w:szCs w:val="12"/>
                <w:lang w:eastAsia="es-MX"/>
              </w:rPr>
            </w:pPr>
          </w:p>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Pr>
                <w:rFonts w:ascii="ITC Avant Garde" w:eastAsia="Times New Roman" w:hAnsi="ITC Avant Garde"/>
                <w:color w:val="000000"/>
                <w:sz w:val="12"/>
                <w:szCs w:val="12"/>
                <w:lang w:eastAsia="es-MX"/>
              </w:rPr>
              <w:t xml:space="preserve">20/12/2016 </w:t>
            </w:r>
            <w:r>
              <w:rPr>
                <w:rStyle w:val="Refdenotaalpie"/>
                <w:rFonts w:ascii="ITC Avant Garde" w:eastAsia="Times New Roman" w:hAnsi="ITC Avant Garde"/>
                <w:color w:val="000000"/>
                <w:sz w:val="12"/>
                <w:szCs w:val="12"/>
                <w:lang w:eastAsia="es-MX"/>
              </w:rPr>
              <w:footnoteReference w:id="27"/>
            </w:r>
          </w:p>
        </w:tc>
        <w:tc>
          <w:tcPr>
            <w:tcW w:w="499" w:type="pct"/>
            <w:tcBorders>
              <w:top w:val="single" w:sz="4" w:space="0" w:color="auto"/>
              <w:left w:val="nil"/>
              <w:bottom w:val="single" w:sz="4" w:space="0" w:color="auto"/>
              <w:right w:val="single" w:sz="4" w:space="0" w:color="auto"/>
            </w:tcBorders>
            <w:shd w:val="clear" w:color="auto" w:fill="auto"/>
            <w:noWrap/>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148-174 y 450-470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local</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148-149.9 MHz</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FIJO</w:t>
            </w:r>
            <w:r w:rsidRPr="00C37FBD">
              <w:rPr>
                <w:rFonts w:ascii="ITC Avant Garde" w:eastAsia="Times New Roman" w:hAnsi="ITC Avant Garde"/>
                <w:color w:val="000000"/>
                <w:sz w:val="12"/>
                <w:szCs w:val="12"/>
                <w:lang w:eastAsia="es-MX"/>
              </w:rPr>
              <w:br/>
              <w:t>MÓVIL</w:t>
            </w:r>
            <w:r w:rsidRPr="00C37FBD">
              <w:rPr>
                <w:rFonts w:ascii="ITC Avant Garde" w:eastAsia="Times New Roman" w:hAnsi="ITC Avant Garde"/>
                <w:color w:val="000000"/>
                <w:sz w:val="12"/>
                <w:szCs w:val="12"/>
                <w:lang w:eastAsia="es-MX"/>
              </w:rPr>
              <w:br/>
            </w:r>
            <w:proofErr w:type="spellStart"/>
            <w:r w:rsidRPr="00C37FBD">
              <w:rPr>
                <w:rFonts w:ascii="ITC Avant Garde" w:eastAsia="Times New Roman" w:hAnsi="ITC Avant Garde"/>
                <w:color w:val="000000"/>
                <w:sz w:val="12"/>
                <w:szCs w:val="12"/>
                <w:lang w:eastAsia="es-MX"/>
              </w:rPr>
              <w:t>MÓVIL</w:t>
            </w:r>
            <w:proofErr w:type="spellEnd"/>
            <w:r w:rsidRPr="00C37FBD">
              <w:rPr>
                <w:rFonts w:ascii="ITC Avant Garde" w:eastAsia="Times New Roman" w:hAnsi="ITC Avant Garde"/>
                <w:color w:val="000000"/>
                <w:sz w:val="12"/>
                <w:szCs w:val="12"/>
                <w:lang w:eastAsia="es-MX"/>
              </w:rPr>
              <w:t xml:space="preserve"> POR SATÉLITE (Tierra-espacio)</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El servicio para que se pretende explotar no se encuentra especificado, por lo que no se cuenta con la información necesaria sobre la banda de frecuencias para llevar a cabo el análisis correspondiente.</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11272</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Default="004A714B" w:rsidP="004A714B">
            <w:pPr>
              <w:spacing w:after="0" w:line="240" w:lineRule="auto"/>
              <w:jc w:val="center"/>
              <w:rPr>
                <w:rFonts w:ascii="ITC Avant Garde" w:eastAsia="Times New Roman" w:hAnsi="ITC Avant Garde"/>
                <w:color w:val="000000"/>
                <w:sz w:val="12"/>
                <w:szCs w:val="12"/>
                <w:lang w:eastAsia="es-MX"/>
              </w:rPr>
            </w:pPr>
          </w:p>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Pr>
                <w:rFonts w:ascii="ITC Avant Garde" w:eastAsia="Times New Roman" w:hAnsi="ITC Avant Garde"/>
                <w:color w:val="000000"/>
                <w:sz w:val="12"/>
                <w:szCs w:val="12"/>
                <w:lang w:eastAsia="es-MX"/>
              </w:rPr>
              <w:t xml:space="preserve">20/12/2016 </w:t>
            </w:r>
          </w:p>
        </w:tc>
        <w:tc>
          <w:tcPr>
            <w:tcW w:w="499" w:type="pct"/>
            <w:tcBorders>
              <w:top w:val="nil"/>
              <w:left w:val="nil"/>
              <w:bottom w:val="single" w:sz="4" w:space="0" w:color="auto"/>
              <w:right w:val="single" w:sz="4" w:space="0" w:color="auto"/>
            </w:tcBorders>
            <w:shd w:val="clear" w:color="auto" w:fill="auto"/>
            <w:noWrap/>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148-174 y 450-470</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local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495" w:type="pct"/>
            <w:tcBorders>
              <w:top w:val="nil"/>
              <w:left w:val="nil"/>
              <w:bottom w:val="single" w:sz="4" w:space="0" w:color="auto"/>
              <w:right w:val="single" w:sz="4" w:space="0" w:color="auto"/>
            </w:tcBorders>
            <w:shd w:val="clear" w:color="auto" w:fill="auto"/>
            <w:noWrap/>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149.9-150.05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MÓVIL POR SATÉLITE (Tierra-espacio)</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El servicio para que se pretende explotar no se encuentra especificado, por lo que no se cuenta con la información necesaria sobre la banda </w:t>
            </w:r>
            <w:r w:rsidRPr="00C37FBD">
              <w:rPr>
                <w:rFonts w:ascii="ITC Avant Garde" w:eastAsia="Times New Roman" w:hAnsi="ITC Avant Garde"/>
                <w:color w:val="000000"/>
                <w:sz w:val="12"/>
                <w:szCs w:val="12"/>
                <w:lang w:eastAsia="es-MX"/>
              </w:rPr>
              <w:lastRenderedPageBreak/>
              <w:t>de frecuencias para llevar a cabo el análisis correspondiente.</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1</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11272</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Pr>
                <w:rFonts w:ascii="ITC Avant Garde" w:eastAsia="Times New Roman" w:hAnsi="ITC Avant Garde"/>
                <w:color w:val="000000"/>
                <w:sz w:val="12"/>
                <w:szCs w:val="12"/>
                <w:lang w:eastAsia="es-MX"/>
              </w:rPr>
              <w:t xml:space="preserve">20/12/2016 </w:t>
            </w:r>
          </w:p>
        </w:tc>
        <w:tc>
          <w:tcPr>
            <w:tcW w:w="499" w:type="pct"/>
            <w:tcBorders>
              <w:top w:val="nil"/>
              <w:left w:val="nil"/>
              <w:bottom w:val="single" w:sz="4" w:space="0" w:color="auto"/>
              <w:right w:val="single" w:sz="4" w:space="0" w:color="auto"/>
            </w:tcBorders>
            <w:shd w:val="clear" w:color="auto" w:fill="auto"/>
            <w:noWrap/>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148-174 y 450-470</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local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495" w:type="pct"/>
            <w:tcBorders>
              <w:top w:val="nil"/>
              <w:left w:val="nil"/>
              <w:bottom w:val="single" w:sz="4" w:space="0" w:color="auto"/>
              <w:right w:val="single" w:sz="4" w:space="0" w:color="auto"/>
            </w:tcBorders>
            <w:shd w:val="clear" w:color="auto" w:fill="auto"/>
            <w:noWrap/>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150.05-156.4875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FIJO</w:t>
            </w:r>
            <w:r w:rsidRPr="00C37FBD">
              <w:rPr>
                <w:rFonts w:ascii="ITC Avant Garde" w:eastAsia="Times New Roman" w:hAnsi="ITC Avant Garde"/>
                <w:color w:val="000000"/>
                <w:sz w:val="12"/>
                <w:szCs w:val="12"/>
                <w:lang w:eastAsia="es-MX"/>
              </w:rPr>
              <w:br/>
              <w:t>MÓVIL</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El servicio para que se pretende explotar no se encuentra especificado, por lo que no se cuenta con la información necesaria sobre la banda de frecuencias para llevar a cabo el análisis correspondiente.</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11272</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Default="004A714B" w:rsidP="004A714B">
            <w:pPr>
              <w:spacing w:after="0" w:line="240" w:lineRule="auto"/>
              <w:jc w:val="center"/>
              <w:rPr>
                <w:rFonts w:ascii="ITC Avant Garde" w:eastAsia="Times New Roman" w:hAnsi="ITC Avant Garde"/>
                <w:color w:val="000000"/>
                <w:sz w:val="12"/>
                <w:szCs w:val="12"/>
                <w:lang w:eastAsia="es-MX"/>
              </w:rPr>
            </w:pPr>
          </w:p>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Pr>
                <w:rFonts w:ascii="ITC Avant Garde" w:eastAsia="Times New Roman" w:hAnsi="ITC Avant Garde"/>
                <w:color w:val="000000"/>
                <w:sz w:val="12"/>
                <w:szCs w:val="12"/>
                <w:lang w:eastAsia="es-MX"/>
              </w:rPr>
              <w:t xml:space="preserve">20/12/2016 </w:t>
            </w:r>
          </w:p>
        </w:tc>
        <w:tc>
          <w:tcPr>
            <w:tcW w:w="499" w:type="pct"/>
            <w:tcBorders>
              <w:top w:val="nil"/>
              <w:left w:val="nil"/>
              <w:bottom w:val="single" w:sz="4" w:space="0" w:color="auto"/>
              <w:right w:val="single" w:sz="4" w:space="0" w:color="auto"/>
            </w:tcBorders>
            <w:shd w:val="clear" w:color="auto" w:fill="auto"/>
            <w:noWrap/>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148-174 y 450-470</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local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156.4875-156.5625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MÓVIL MARÍTIMO (socorro y llamada)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El servicio para que se pretende explotar no se encuentra especificado, por lo que no se cuenta con la información necesaria sobre la banda de frecuencias para llevar a cabo el análisis correspondiente.</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11272</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Pr>
                <w:rFonts w:ascii="ITC Avant Garde" w:eastAsia="Times New Roman" w:hAnsi="ITC Avant Garde"/>
                <w:color w:val="000000"/>
                <w:sz w:val="12"/>
                <w:szCs w:val="12"/>
                <w:lang w:eastAsia="es-MX"/>
              </w:rPr>
              <w:t xml:space="preserve">220/12/2016 </w:t>
            </w:r>
          </w:p>
        </w:tc>
        <w:tc>
          <w:tcPr>
            <w:tcW w:w="499" w:type="pct"/>
            <w:tcBorders>
              <w:top w:val="nil"/>
              <w:left w:val="nil"/>
              <w:bottom w:val="single" w:sz="4" w:space="0" w:color="auto"/>
              <w:right w:val="single" w:sz="4" w:space="0" w:color="auto"/>
            </w:tcBorders>
            <w:shd w:val="clear" w:color="auto" w:fill="auto"/>
            <w:noWrap/>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148-174 y 450-470</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local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156.5625-156.7625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FIJO</w:t>
            </w:r>
            <w:r w:rsidRPr="00C37FBD">
              <w:rPr>
                <w:rFonts w:ascii="ITC Avant Garde" w:eastAsia="Times New Roman" w:hAnsi="ITC Avant Garde"/>
                <w:color w:val="000000"/>
                <w:sz w:val="12"/>
                <w:szCs w:val="12"/>
                <w:lang w:eastAsia="es-MX"/>
              </w:rPr>
              <w:br/>
              <w:t>MÓVIL</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El servicio para que se pretende explotar no se encuentra especificado, por lo que no se cuenta con la información necesaria sobre la banda de frecuencias para llevar a cabo el análisis correspondiente.</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11272</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Default="004A714B" w:rsidP="004A714B">
            <w:pPr>
              <w:spacing w:after="0" w:line="240" w:lineRule="auto"/>
              <w:jc w:val="center"/>
              <w:rPr>
                <w:rFonts w:ascii="ITC Avant Garde" w:eastAsia="Times New Roman" w:hAnsi="ITC Avant Garde"/>
                <w:color w:val="000000"/>
                <w:sz w:val="12"/>
                <w:szCs w:val="12"/>
                <w:lang w:eastAsia="es-MX"/>
              </w:rPr>
            </w:pPr>
          </w:p>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Pr>
                <w:rFonts w:ascii="ITC Avant Garde" w:eastAsia="Times New Roman" w:hAnsi="ITC Avant Garde"/>
                <w:color w:val="000000"/>
                <w:sz w:val="12"/>
                <w:szCs w:val="12"/>
                <w:lang w:eastAsia="es-MX"/>
              </w:rPr>
              <w:t>20/12/2016</w:t>
            </w:r>
          </w:p>
        </w:tc>
        <w:tc>
          <w:tcPr>
            <w:tcW w:w="499" w:type="pct"/>
            <w:tcBorders>
              <w:top w:val="nil"/>
              <w:left w:val="nil"/>
              <w:bottom w:val="single" w:sz="4" w:space="0" w:color="auto"/>
              <w:right w:val="single" w:sz="4" w:space="0" w:color="auto"/>
            </w:tcBorders>
            <w:shd w:val="clear" w:color="auto" w:fill="auto"/>
            <w:noWrap/>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148-174 y 450-470</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local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156.7625-156.7875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MÓVIL MARÍTIMO</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El servicio para que se pretende explotar no se encuentra especificado, por lo que no se cuenta con la información necesaria sobre la banda de frecuencias para llevar a cabo el análisis correspondiente.</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11272</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Default="004A714B" w:rsidP="004A714B">
            <w:pPr>
              <w:spacing w:after="0" w:line="240" w:lineRule="auto"/>
              <w:jc w:val="center"/>
              <w:rPr>
                <w:rFonts w:ascii="ITC Avant Garde" w:eastAsia="Times New Roman" w:hAnsi="ITC Avant Garde"/>
                <w:color w:val="000000"/>
                <w:sz w:val="12"/>
                <w:szCs w:val="12"/>
                <w:lang w:eastAsia="es-MX"/>
              </w:rPr>
            </w:pPr>
          </w:p>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Pr>
                <w:rFonts w:ascii="ITC Avant Garde" w:eastAsia="Times New Roman" w:hAnsi="ITC Avant Garde"/>
                <w:color w:val="000000"/>
                <w:sz w:val="12"/>
                <w:szCs w:val="12"/>
                <w:lang w:eastAsia="es-MX"/>
              </w:rPr>
              <w:t>20/12/2016</w:t>
            </w:r>
          </w:p>
        </w:tc>
        <w:tc>
          <w:tcPr>
            <w:tcW w:w="499" w:type="pct"/>
            <w:tcBorders>
              <w:top w:val="nil"/>
              <w:left w:val="nil"/>
              <w:bottom w:val="single" w:sz="4" w:space="0" w:color="auto"/>
              <w:right w:val="single" w:sz="4" w:space="0" w:color="auto"/>
            </w:tcBorders>
            <w:shd w:val="clear" w:color="auto" w:fill="auto"/>
            <w:noWrap/>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148-174 y 450-470</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local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156.7875-156.8125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MÓVIL MARÍTIMO (socorro y llamada)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El servicio para que se pretende explotar no se encuentra especificado, por lo que no se cuenta con la información necesaria sobre la banda de frecuencias para llevar a cabo el análisis correspondiente.</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11272</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Default="004A714B" w:rsidP="004A714B">
            <w:pPr>
              <w:spacing w:after="0" w:line="240" w:lineRule="auto"/>
              <w:jc w:val="center"/>
              <w:rPr>
                <w:rFonts w:ascii="ITC Avant Garde" w:eastAsia="Times New Roman" w:hAnsi="ITC Avant Garde"/>
                <w:color w:val="000000"/>
                <w:sz w:val="12"/>
                <w:szCs w:val="12"/>
                <w:lang w:eastAsia="es-MX"/>
              </w:rPr>
            </w:pPr>
          </w:p>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Pr>
                <w:rFonts w:ascii="ITC Avant Garde" w:eastAsia="Times New Roman" w:hAnsi="ITC Avant Garde"/>
                <w:color w:val="000000"/>
                <w:sz w:val="12"/>
                <w:szCs w:val="12"/>
                <w:lang w:eastAsia="es-MX"/>
              </w:rPr>
              <w:t>20/12/2016</w:t>
            </w:r>
          </w:p>
        </w:tc>
        <w:tc>
          <w:tcPr>
            <w:tcW w:w="499" w:type="pct"/>
            <w:tcBorders>
              <w:top w:val="nil"/>
              <w:left w:val="nil"/>
              <w:bottom w:val="single" w:sz="4" w:space="0" w:color="auto"/>
              <w:right w:val="single" w:sz="4" w:space="0" w:color="auto"/>
            </w:tcBorders>
            <w:shd w:val="clear" w:color="auto" w:fill="auto"/>
            <w:noWrap/>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148-174 y 450-470</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local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156.8125-156.8375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MÓVIL MARÍTIMO</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El servicio para que se pretende explotar no se encuentra especificado, por lo que no se cuenta con la información necesaria sobre la banda de frecuencias para llevar a cabo el análisis correspondiente.</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11272</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Default="004A714B" w:rsidP="004A714B">
            <w:pPr>
              <w:spacing w:after="0" w:line="240" w:lineRule="auto"/>
              <w:jc w:val="center"/>
              <w:rPr>
                <w:rFonts w:ascii="ITC Avant Garde" w:eastAsia="Times New Roman" w:hAnsi="ITC Avant Garde"/>
                <w:color w:val="000000"/>
                <w:sz w:val="12"/>
                <w:szCs w:val="12"/>
                <w:lang w:eastAsia="es-MX"/>
              </w:rPr>
            </w:pPr>
          </w:p>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Pr>
                <w:rFonts w:ascii="ITC Avant Garde" w:eastAsia="Times New Roman" w:hAnsi="ITC Avant Garde"/>
                <w:color w:val="000000"/>
                <w:sz w:val="12"/>
                <w:szCs w:val="12"/>
                <w:lang w:eastAsia="es-MX"/>
              </w:rPr>
              <w:t>20/12/2016</w:t>
            </w:r>
          </w:p>
        </w:tc>
        <w:tc>
          <w:tcPr>
            <w:tcW w:w="499" w:type="pct"/>
            <w:tcBorders>
              <w:top w:val="nil"/>
              <w:left w:val="nil"/>
              <w:bottom w:val="single" w:sz="4" w:space="0" w:color="auto"/>
              <w:right w:val="single" w:sz="4" w:space="0" w:color="auto"/>
            </w:tcBorders>
            <w:shd w:val="clear" w:color="auto" w:fill="auto"/>
            <w:noWrap/>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148-174 y 450-470</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local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156.8375-161.9625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FIJO</w:t>
            </w:r>
            <w:r w:rsidRPr="00C37FBD">
              <w:rPr>
                <w:rFonts w:ascii="ITC Avant Garde" w:eastAsia="Times New Roman" w:hAnsi="ITC Avant Garde"/>
                <w:color w:val="000000"/>
                <w:sz w:val="12"/>
                <w:szCs w:val="12"/>
                <w:lang w:eastAsia="es-MX"/>
              </w:rPr>
              <w:br/>
              <w:t>MÓVIL</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El servicio para que se pretende explotar no se encuentra especificado, por lo que no se cuenta </w:t>
            </w:r>
            <w:r w:rsidRPr="00C37FBD">
              <w:rPr>
                <w:rFonts w:ascii="ITC Avant Garde" w:eastAsia="Times New Roman" w:hAnsi="ITC Avant Garde"/>
                <w:color w:val="000000"/>
                <w:sz w:val="12"/>
                <w:szCs w:val="12"/>
                <w:lang w:eastAsia="es-MX"/>
              </w:rPr>
              <w:lastRenderedPageBreak/>
              <w:t>con la información necesaria sobre la banda de frecuencias para llevar a cabo el análisis correspondiente.</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1</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11272</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Default="004A714B" w:rsidP="004A714B">
            <w:pPr>
              <w:spacing w:after="0" w:line="240" w:lineRule="auto"/>
              <w:jc w:val="center"/>
              <w:rPr>
                <w:rFonts w:ascii="ITC Avant Garde" w:eastAsia="Times New Roman" w:hAnsi="ITC Avant Garde"/>
                <w:color w:val="000000"/>
                <w:sz w:val="12"/>
                <w:szCs w:val="12"/>
                <w:lang w:eastAsia="es-MX"/>
              </w:rPr>
            </w:pPr>
          </w:p>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Pr>
                <w:rFonts w:ascii="ITC Avant Garde" w:eastAsia="Times New Roman" w:hAnsi="ITC Avant Garde"/>
                <w:color w:val="000000"/>
                <w:sz w:val="12"/>
                <w:szCs w:val="12"/>
                <w:lang w:eastAsia="es-MX"/>
              </w:rPr>
              <w:t>20/12/2016</w:t>
            </w:r>
          </w:p>
        </w:tc>
        <w:tc>
          <w:tcPr>
            <w:tcW w:w="499" w:type="pct"/>
            <w:tcBorders>
              <w:top w:val="nil"/>
              <w:left w:val="nil"/>
              <w:bottom w:val="single" w:sz="4" w:space="0" w:color="auto"/>
              <w:right w:val="single" w:sz="4" w:space="0" w:color="auto"/>
            </w:tcBorders>
            <w:shd w:val="clear" w:color="auto" w:fill="auto"/>
            <w:noWrap/>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148-174 y 450-470</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local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161.9625-161.9875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MÓVIL AERONÁUTICO (OR)</w:t>
            </w:r>
            <w:r w:rsidRPr="00C37FBD">
              <w:rPr>
                <w:rFonts w:ascii="ITC Avant Garde" w:eastAsia="Times New Roman" w:hAnsi="ITC Avant Garde"/>
                <w:color w:val="000000"/>
                <w:sz w:val="12"/>
                <w:szCs w:val="12"/>
                <w:lang w:eastAsia="es-MX"/>
              </w:rPr>
              <w:br/>
              <w:t>MÓVIL MARÍTIMO</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El servicio para que se pretende explotar no se encuentra especificado, por lo que no se cuenta con la información necesaria sobre la banda de frecuencias para llevar a cabo el análisis correspondiente.</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11272</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Default="004A714B" w:rsidP="004A714B">
            <w:pPr>
              <w:spacing w:after="0" w:line="240" w:lineRule="auto"/>
              <w:jc w:val="center"/>
              <w:rPr>
                <w:rFonts w:ascii="ITC Avant Garde" w:eastAsia="Times New Roman" w:hAnsi="ITC Avant Garde"/>
                <w:color w:val="000000"/>
                <w:sz w:val="12"/>
                <w:szCs w:val="12"/>
                <w:lang w:eastAsia="es-MX"/>
              </w:rPr>
            </w:pPr>
          </w:p>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Pr>
                <w:rFonts w:ascii="ITC Avant Garde" w:eastAsia="Times New Roman" w:hAnsi="ITC Avant Garde"/>
                <w:color w:val="000000"/>
                <w:sz w:val="12"/>
                <w:szCs w:val="12"/>
                <w:lang w:eastAsia="es-MX"/>
              </w:rPr>
              <w:t>20/12/2016</w:t>
            </w:r>
          </w:p>
        </w:tc>
        <w:tc>
          <w:tcPr>
            <w:tcW w:w="499" w:type="pct"/>
            <w:tcBorders>
              <w:top w:val="nil"/>
              <w:left w:val="nil"/>
              <w:bottom w:val="single" w:sz="4" w:space="0" w:color="auto"/>
              <w:right w:val="single" w:sz="4" w:space="0" w:color="auto"/>
            </w:tcBorders>
            <w:shd w:val="clear" w:color="auto" w:fill="auto"/>
            <w:noWrap/>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148-174 y 450-470</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local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161.9875-162.0125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FIJO</w:t>
            </w:r>
            <w:r w:rsidRPr="00C37FBD">
              <w:rPr>
                <w:rFonts w:ascii="ITC Avant Garde" w:eastAsia="Times New Roman" w:hAnsi="ITC Avant Garde"/>
                <w:color w:val="000000"/>
                <w:sz w:val="12"/>
                <w:szCs w:val="12"/>
                <w:lang w:eastAsia="es-MX"/>
              </w:rPr>
              <w:br/>
              <w:t>MÓVIL</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El servicio para que se pretende explotar no se encuentra especificado, por lo que no se cuenta con la información necesaria sobre la banda de frecuencias para llevar a cabo el análisis correspondiente.</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11272</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Default="004A714B" w:rsidP="004A714B">
            <w:pPr>
              <w:spacing w:after="0" w:line="240" w:lineRule="auto"/>
              <w:jc w:val="center"/>
              <w:rPr>
                <w:rFonts w:ascii="ITC Avant Garde" w:eastAsia="Times New Roman" w:hAnsi="ITC Avant Garde"/>
                <w:color w:val="000000"/>
                <w:sz w:val="12"/>
                <w:szCs w:val="12"/>
                <w:lang w:eastAsia="es-MX"/>
              </w:rPr>
            </w:pPr>
          </w:p>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Pr>
                <w:rFonts w:ascii="ITC Avant Garde" w:eastAsia="Times New Roman" w:hAnsi="ITC Avant Garde"/>
                <w:color w:val="000000"/>
                <w:sz w:val="12"/>
                <w:szCs w:val="12"/>
                <w:lang w:eastAsia="es-MX"/>
              </w:rPr>
              <w:t>20/12/2016</w:t>
            </w:r>
          </w:p>
        </w:tc>
        <w:tc>
          <w:tcPr>
            <w:tcW w:w="499" w:type="pct"/>
            <w:tcBorders>
              <w:top w:val="nil"/>
              <w:left w:val="nil"/>
              <w:bottom w:val="single" w:sz="4" w:space="0" w:color="auto"/>
              <w:right w:val="single" w:sz="4" w:space="0" w:color="auto"/>
            </w:tcBorders>
            <w:shd w:val="clear" w:color="auto" w:fill="auto"/>
            <w:noWrap/>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148-174 y 450-470</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local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162.0125-162.0375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MÓVIL AERONÁUTICO (OR)</w:t>
            </w:r>
            <w:r w:rsidRPr="00C37FBD">
              <w:rPr>
                <w:rFonts w:ascii="ITC Avant Garde" w:eastAsia="Times New Roman" w:hAnsi="ITC Avant Garde"/>
                <w:color w:val="000000"/>
                <w:sz w:val="12"/>
                <w:szCs w:val="12"/>
                <w:lang w:eastAsia="es-MX"/>
              </w:rPr>
              <w:br/>
              <w:t>MÓVIL MARÍTIMO</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El servicio para que se pretende explotar no se encuentra especificado, por lo que no se cuenta con la información necesaria sobre la banda de frecuencias para llevar a cabo el análisis correspondiente.</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11272</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Default="004A714B" w:rsidP="004A714B">
            <w:pPr>
              <w:spacing w:after="0" w:line="240" w:lineRule="auto"/>
              <w:jc w:val="center"/>
              <w:rPr>
                <w:rFonts w:ascii="ITC Avant Garde" w:eastAsia="Times New Roman" w:hAnsi="ITC Avant Garde"/>
                <w:color w:val="000000"/>
                <w:sz w:val="12"/>
                <w:szCs w:val="12"/>
                <w:lang w:eastAsia="es-MX"/>
              </w:rPr>
            </w:pPr>
          </w:p>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Pr>
                <w:rFonts w:ascii="ITC Avant Garde" w:eastAsia="Times New Roman" w:hAnsi="ITC Avant Garde"/>
                <w:color w:val="000000"/>
                <w:sz w:val="12"/>
                <w:szCs w:val="12"/>
                <w:lang w:eastAsia="es-MX"/>
              </w:rPr>
              <w:t>20/12/2016</w:t>
            </w:r>
          </w:p>
        </w:tc>
        <w:tc>
          <w:tcPr>
            <w:tcW w:w="499" w:type="pct"/>
            <w:tcBorders>
              <w:top w:val="nil"/>
              <w:left w:val="nil"/>
              <w:bottom w:val="single" w:sz="4" w:space="0" w:color="auto"/>
              <w:right w:val="single" w:sz="4" w:space="0" w:color="auto"/>
            </w:tcBorders>
            <w:shd w:val="clear" w:color="auto" w:fill="auto"/>
            <w:noWrap/>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148-174 y 450-470</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local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162.0375-174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FIJO</w:t>
            </w:r>
            <w:r w:rsidRPr="00C37FBD">
              <w:rPr>
                <w:rFonts w:ascii="ITC Avant Garde" w:eastAsia="Times New Roman" w:hAnsi="ITC Avant Garde"/>
                <w:color w:val="000000"/>
                <w:sz w:val="12"/>
                <w:szCs w:val="12"/>
                <w:lang w:eastAsia="es-MX"/>
              </w:rPr>
              <w:br/>
              <w:t>MÓVIL</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El servicio para que se pretende explotar no se encuentra especificado, por lo que no se cuenta con la información necesaria sobre la banda de frecuencias para llevar a cabo el análisis correspondiente.</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11272</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Default="004A714B" w:rsidP="004A714B">
            <w:pPr>
              <w:spacing w:after="0" w:line="240" w:lineRule="auto"/>
              <w:jc w:val="center"/>
              <w:rPr>
                <w:rFonts w:ascii="ITC Avant Garde" w:eastAsia="Times New Roman" w:hAnsi="ITC Avant Garde"/>
                <w:color w:val="000000"/>
                <w:sz w:val="12"/>
                <w:szCs w:val="12"/>
                <w:lang w:eastAsia="es-MX"/>
              </w:rPr>
            </w:pPr>
          </w:p>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Pr>
                <w:rFonts w:ascii="ITC Avant Garde" w:eastAsia="Times New Roman" w:hAnsi="ITC Avant Garde"/>
                <w:color w:val="000000"/>
                <w:sz w:val="12"/>
                <w:szCs w:val="12"/>
                <w:lang w:eastAsia="es-MX"/>
              </w:rPr>
              <w:t>20/12/2016</w:t>
            </w:r>
          </w:p>
        </w:tc>
        <w:tc>
          <w:tcPr>
            <w:tcW w:w="499" w:type="pct"/>
            <w:tcBorders>
              <w:top w:val="nil"/>
              <w:left w:val="nil"/>
              <w:bottom w:val="single" w:sz="4" w:space="0" w:color="auto"/>
              <w:right w:val="single" w:sz="4" w:space="0" w:color="auto"/>
            </w:tcBorders>
            <w:shd w:val="clear" w:color="auto" w:fill="auto"/>
            <w:noWrap/>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148-174 y 450-470</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local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450-470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MÓVIL</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 </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El servicio para que se pretende explotar no se encuentra especificado, por lo que no se cuenta con la información necesaria sobre la banda de frecuencias para llevar a cabo el análisis correspondiente.</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36545</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Default="004A714B" w:rsidP="004A714B">
            <w:pPr>
              <w:spacing w:after="0" w:line="240" w:lineRule="auto"/>
              <w:jc w:val="center"/>
              <w:rPr>
                <w:rFonts w:ascii="ITC Avant Garde" w:eastAsia="Times New Roman" w:hAnsi="ITC Avant Garde"/>
                <w:color w:val="000000"/>
                <w:sz w:val="12"/>
                <w:szCs w:val="12"/>
                <w:lang w:eastAsia="es-MX"/>
              </w:rPr>
            </w:pPr>
          </w:p>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Pr>
                <w:rFonts w:ascii="ITC Avant Garde" w:eastAsia="Times New Roman" w:hAnsi="ITC Avant Garde"/>
                <w:color w:val="000000"/>
                <w:sz w:val="12"/>
                <w:szCs w:val="12"/>
                <w:lang w:eastAsia="es-MX"/>
              </w:rPr>
              <w:t>20/12/2016</w:t>
            </w:r>
            <w:r>
              <w:rPr>
                <w:rStyle w:val="Refdenotaalpie"/>
                <w:rFonts w:ascii="ITC Avant Garde" w:eastAsia="Times New Roman" w:hAnsi="ITC Avant Garde"/>
                <w:color w:val="000000"/>
                <w:sz w:val="12"/>
                <w:szCs w:val="12"/>
                <w:lang w:eastAsia="es-MX"/>
              </w:rPr>
              <w:footnoteReference w:id="28"/>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 metros para radiotaxi</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148-174</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Localidad</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Uso Privado</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148-149.9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FIJO</w:t>
            </w:r>
            <w:r w:rsidRPr="00C37FBD">
              <w:rPr>
                <w:rFonts w:ascii="ITC Avant Garde" w:eastAsia="Times New Roman" w:hAnsi="ITC Avant Garde"/>
                <w:color w:val="000000"/>
                <w:sz w:val="12"/>
                <w:szCs w:val="12"/>
                <w:lang w:eastAsia="es-MX"/>
              </w:rPr>
              <w:br/>
              <w:t>MÓVIL</w:t>
            </w:r>
            <w:r w:rsidRPr="00C37FBD">
              <w:rPr>
                <w:rFonts w:ascii="ITC Avant Garde" w:eastAsia="Times New Roman" w:hAnsi="ITC Avant Garde"/>
                <w:color w:val="000000"/>
                <w:sz w:val="12"/>
                <w:szCs w:val="12"/>
                <w:lang w:eastAsia="es-MX"/>
              </w:rPr>
              <w:br/>
            </w:r>
            <w:proofErr w:type="spellStart"/>
            <w:r w:rsidRPr="00C37FBD">
              <w:rPr>
                <w:rFonts w:ascii="ITC Avant Garde" w:eastAsia="Times New Roman" w:hAnsi="ITC Avant Garde"/>
                <w:color w:val="000000"/>
                <w:sz w:val="12"/>
                <w:szCs w:val="12"/>
                <w:lang w:eastAsia="es-MX"/>
              </w:rPr>
              <w:t>MÓVIL</w:t>
            </w:r>
            <w:proofErr w:type="spellEnd"/>
            <w:r w:rsidRPr="00C37FBD">
              <w:rPr>
                <w:rFonts w:ascii="ITC Avant Garde" w:eastAsia="Times New Roman" w:hAnsi="ITC Avant Garde"/>
                <w:color w:val="000000"/>
                <w:sz w:val="12"/>
                <w:szCs w:val="12"/>
                <w:lang w:eastAsia="es-MX"/>
              </w:rPr>
              <w:t xml:space="preserve"> POR SATÉLITE (Tierra-espacio)</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 xml:space="preserve">No se tiene contemplado ningún cambio en la atribución de la banda de frecuencias 148-174 MHz. Sin embargo, se considera necesario establecer un régimen </w:t>
            </w:r>
            <w:r w:rsidRPr="00C37FBD">
              <w:rPr>
                <w:rFonts w:ascii="ITC Avant Garde" w:eastAsia="Times New Roman" w:hAnsi="ITC Avant Garde"/>
                <w:sz w:val="12"/>
                <w:szCs w:val="12"/>
                <w:lang w:eastAsia="es-MX"/>
              </w:rPr>
              <w:lastRenderedPageBreak/>
              <w:t>más ordenado y eficiente para la operación de los sistemas del servicio móvil y fijo que operan en la banda 148 - 174 MHz. Por tal motivo, se considera ineludible que los segmentos atribuidos a los servicios móvil y fijo se sujeten a un proceso de reordenamiento en el mediano plazo.</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Es así que como parte de las labores de planificación de espectro que realiza el Instituto, se tiene contemplado que los sistemas de banda angosta para uso privado, operen en la banda de frecuencias 440-450 MHz de conformidad con lo establecido en el PABF 2015.</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lastRenderedPageBreak/>
              <w:t>El tipo de servicio solicitado se tiene planificado para su operación en el segmento 440-450 MHz conforme a lo publicado en el PABF 2015.</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2</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36545</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Default="004A714B" w:rsidP="004A714B">
            <w:pPr>
              <w:spacing w:after="0" w:line="240" w:lineRule="auto"/>
              <w:jc w:val="center"/>
              <w:rPr>
                <w:rFonts w:ascii="ITC Avant Garde" w:eastAsia="Times New Roman" w:hAnsi="ITC Avant Garde"/>
                <w:color w:val="000000"/>
                <w:sz w:val="12"/>
                <w:szCs w:val="12"/>
                <w:lang w:eastAsia="es-MX"/>
              </w:rPr>
            </w:pPr>
          </w:p>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Pr>
                <w:rFonts w:ascii="ITC Avant Garde" w:eastAsia="Times New Roman" w:hAnsi="ITC Avant Garde"/>
                <w:color w:val="000000"/>
                <w:sz w:val="12"/>
                <w:szCs w:val="12"/>
                <w:lang w:eastAsia="es-MX"/>
              </w:rPr>
              <w:t>20/12/2016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 metros para radiotaxi</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148-174</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Localidad</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Uso Privado</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149.9-150.05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MÓVIL POR SATÉLITE (Tierra-espacio)</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se tiene contemplado ningún cambio en la atribución de la banda de frecuencias 148-174 MHz.</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36545</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Default="004A714B" w:rsidP="004A714B">
            <w:pPr>
              <w:spacing w:after="0" w:line="240" w:lineRule="auto"/>
              <w:jc w:val="center"/>
              <w:rPr>
                <w:rFonts w:ascii="ITC Avant Garde" w:eastAsia="Times New Roman" w:hAnsi="ITC Avant Garde"/>
                <w:color w:val="000000"/>
                <w:sz w:val="12"/>
                <w:szCs w:val="12"/>
                <w:lang w:eastAsia="es-MX"/>
              </w:rPr>
            </w:pPr>
          </w:p>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Pr>
                <w:rFonts w:ascii="ITC Avant Garde" w:eastAsia="Times New Roman" w:hAnsi="ITC Avant Garde"/>
                <w:color w:val="000000"/>
                <w:sz w:val="12"/>
                <w:szCs w:val="12"/>
                <w:lang w:eastAsia="es-MX"/>
              </w:rPr>
              <w:t>20/12/2016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 metros para radiotaxi</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148-174</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Localidad</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Uso Privado</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150.05-156.4875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FIJO</w:t>
            </w:r>
            <w:r w:rsidRPr="00C37FBD">
              <w:rPr>
                <w:rFonts w:ascii="ITC Avant Garde" w:eastAsia="Times New Roman" w:hAnsi="ITC Avant Garde"/>
                <w:color w:val="000000"/>
                <w:sz w:val="12"/>
                <w:szCs w:val="12"/>
                <w:lang w:eastAsia="es-MX"/>
              </w:rPr>
              <w:br/>
              <w:t>MÓVIL</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se tiene contemplado ningún cambio en la atribución de la banda de frecuencias 148-174 MHz. Sin embargo, se considera necesario establecer un régimen más ordenado y eficiente para la operación de los sistemas del servicio móvil y fijo que operan en la banda 148 - 174 MHz. Por tal motivo, se considera ineludible que los segmentos atribuidos a los servicios móvil y fijo se sujeten a un proceso de reordenamiento en el mediano plazo.</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 xml:space="preserve">Es así que como parte de las labores de planificación de espectro que realiza el Instituto, se tiene contemplado que los sistemas de banda </w:t>
            </w:r>
            <w:r w:rsidRPr="00C37FBD">
              <w:rPr>
                <w:rFonts w:ascii="ITC Avant Garde" w:eastAsia="Times New Roman" w:hAnsi="ITC Avant Garde"/>
                <w:sz w:val="12"/>
                <w:szCs w:val="12"/>
                <w:lang w:eastAsia="es-MX"/>
              </w:rPr>
              <w:lastRenderedPageBreak/>
              <w:t>angosta para uso privado, operen en la banda de frecuencias 440-450 MHz de conformidad con lo establecido en el PABF 2015.</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lastRenderedPageBreak/>
              <w:t>El tipo de servicio solicitado se tiene planificado para su operación en el segmento 440-450 MHz conforme a lo publicado en el PABF 2015.</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2</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36545</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Default="004A714B" w:rsidP="004A714B">
            <w:pPr>
              <w:spacing w:after="0" w:line="240" w:lineRule="auto"/>
              <w:jc w:val="center"/>
              <w:rPr>
                <w:rFonts w:ascii="ITC Avant Garde" w:eastAsia="Times New Roman" w:hAnsi="ITC Avant Garde"/>
                <w:color w:val="000000"/>
                <w:sz w:val="12"/>
                <w:szCs w:val="12"/>
                <w:lang w:eastAsia="es-MX"/>
              </w:rPr>
            </w:pPr>
          </w:p>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Pr>
                <w:rFonts w:ascii="ITC Avant Garde" w:eastAsia="Times New Roman" w:hAnsi="ITC Avant Garde"/>
                <w:color w:val="000000"/>
                <w:sz w:val="12"/>
                <w:szCs w:val="12"/>
                <w:lang w:eastAsia="es-MX"/>
              </w:rPr>
              <w:t>20/12/2016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 metros para radiotaxi</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148-174</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Localidad</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Uso Privado</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156.4875-156.5625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MÓVIL MARÍTIMO (socorro y llamada)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se tiene contemplado ningún cambio en la atribución de la banda de frecuencias 148-174 MHz.</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36545</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Default="004A714B" w:rsidP="004A714B">
            <w:pPr>
              <w:spacing w:after="0" w:line="240" w:lineRule="auto"/>
              <w:jc w:val="center"/>
              <w:rPr>
                <w:rFonts w:ascii="ITC Avant Garde" w:eastAsia="Times New Roman" w:hAnsi="ITC Avant Garde"/>
                <w:color w:val="000000"/>
                <w:sz w:val="12"/>
                <w:szCs w:val="12"/>
                <w:lang w:eastAsia="es-MX"/>
              </w:rPr>
            </w:pPr>
          </w:p>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Pr>
                <w:rFonts w:ascii="ITC Avant Garde" w:eastAsia="Times New Roman" w:hAnsi="ITC Avant Garde"/>
                <w:color w:val="000000"/>
                <w:sz w:val="12"/>
                <w:szCs w:val="12"/>
                <w:lang w:eastAsia="es-MX"/>
              </w:rPr>
              <w:t>20/12/2016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 metros para radiotaxi</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148-174</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Localidad</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Uso Privado</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156.5625-156.7625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FIJO</w:t>
            </w:r>
            <w:r w:rsidRPr="00C37FBD">
              <w:rPr>
                <w:rFonts w:ascii="ITC Avant Garde" w:eastAsia="Times New Roman" w:hAnsi="ITC Avant Garde"/>
                <w:color w:val="000000"/>
                <w:sz w:val="12"/>
                <w:szCs w:val="12"/>
                <w:lang w:eastAsia="es-MX"/>
              </w:rPr>
              <w:br/>
              <w:t>MÓVIL</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se tiene contemplado ningún cambio en la atribución de la banda de frecuencias 148-174 MHz. Sin embargo, se considera necesario establecer un régimen más ordenado y eficiente para la operación de los sistemas del servicio móvil y fijo que operan en la banda 148 - 174 MHz. Por tal motivo, se considera ineludible que los segmentos atribuidos a los servicios móvil y fijo se sujeten a un proceso de reordenamiento en el mediano plazo.</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Es así que como parte de las labores de planificación de espectro que realiza el Instituto, se tiene contemplado que los sistemas de banda angosta para uso privado, operen en la banda de frecuencias 440-450 MHz de conformidad con lo establecido en el PABF 2015.</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se tiene planificado para su operación en el segmento 440-450 MHz conforme a lo publicado en el PABF 2015.</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36545</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Default="004A714B" w:rsidP="004A714B">
            <w:pPr>
              <w:spacing w:after="0" w:line="240" w:lineRule="auto"/>
              <w:jc w:val="center"/>
              <w:rPr>
                <w:rFonts w:ascii="ITC Avant Garde" w:eastAsia="Times New Roman" w:hAnsi="ITC Avant Garde"/>
                <w:color w:val="000000"/>
                <w:sz w:val="12"/>
                <w:szCs w:val="12"/>
                <w:lang w:eastAsia="es-MX"/>
              </w:rPr>
            </w:pPr>
          </w:p>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Pr>
                <w:rFonts w:ascii="ITC Avant Garde" w:eastAsia="Times New Roman" w:hAnsi="ITC Avant Garde"/>
                <w:color w:val="000000"/>
                <w:sz w:val="12"/>
                <w:szCs w:val="12"/>
                <w:lang w:eastAsia="es-MX"/>
              </w:rPr>
              <w:t xml:space="preserve">20/12/2016 </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 metros para radiotaxi</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148-174</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Localidad</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Uso Privado</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156.7625-156.7875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MÓVIL MARÍTIMO</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se tiene contemplado ningún cambio en la atribución de la banda de frecuencias 148-174 MHz.</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36545</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Default="004A714B" w:rsidP="004A714B">
            <w:pPr>
              <w:spacing w:after="0" w:line="240" w:lineRule="auto"/>
              <w:jc w:val="center"/>
              <w:rPr>
                <w:rFonts w:ascii="ITC Avant Garde" w:eastAsia="Times New Roman" w:hAnsi="ITC Avant Garde"/>
                <w:color w:val="000000"/>
                <w:sz w:val="12"/>
                <w:szCs w:val="12"/>
                <w:lang w:eastAsia="es-MX"/>
              </w:rPr>
            </w:pPr>
          </w:p>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Pr>
                <w:rFonts w:ascii="ITC Avant Garde" w:eastAsia="Times New Roman" w:hAnsi="ITC Avant Garde"/>
                <w:color w:val="000000"/>
                <w:sz w:val="12"/>
                <w:szCs w:val="12"/>
                <w:lang w:eastAsia="es-MX"/>
              </w:rPr>
              <w:t>20/12/2016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 metros para radiotaxi</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148-174</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Localidad</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Uso Privado</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156.7875-156.8125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MÓVIL MARÍTIMO (socorro y llamada)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se tiene contemplado ningún cambio en la atribución de la banda de frecuencias 148-174 MHz.</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36545</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Default="004A714B" w:rsidP="004A714B">
            <w:pPr>
              <w:spacing w:after="0" w:line="240" w:lineRule="auto"/>
              <w:jc w:val="center"/>
              <w:rPr>
                <w:rFonts w:ascii="ITC Avant Garde" w:eastAsia="Times New Roman" w:hAnsi="ITC Avant Garde"/>
                <w:color w:val="000000"/>
                <w:sz w:val="12"/>
                <w:szCs w:val="12"/>
                <w:lang w:eastAsia="es-MX"/>
              </w:rPr>
            </w:pPr>
          </w:p>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Pr>
                <w:rFonts w:ascii="ITC Avant Garde" w:eastAsia="Times New Roman" w:hAnsi="ITC Avant Garde"/>
                <w:color w:val="000000"/>
                <w:sz w:val="12"/>
                <w:szCs w:val="12"/>
                <w:lang w:eastAsia="es-MX"/>
              </w:rPr>
              <w:t>20/12/2016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 metros para radiotaxi</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148-174</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Localidad</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Uso Privado</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156.8125-156.8375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MÓVIL MARÍTIMO</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 xml:space="preserve">No se tiene contemplado ningún cambio en la atribución </w:t>
            </w:r>
            <w:r w:rsidRPr="00C37FBD">
              <w:rPr>
                <w:rFonts w:ascii="ITC Avant Garde" w:eastAsia="Times New Roman" w:hAnsi="ITC Avant Garde"/>
                <w:sz w:val="12"/>
                <w:szCs w:val="12"/>
                <w:lang w:eastAsia="es-MX"/>
              </w:rPr>
              <w:lastRenderedPageBreak/>
              <w:t>de la banda de frecuencias 148-174 MHz.</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lastRenderedPageBreak/>
              <w:t xml:space="preserve">El tipo de servicio solicitado no es compatible con la atribución de la banda, ni </w:t>
            </w:r>
            <w:r w:rsidRPr="00C37FBD">
              <w:rPr>
                <w:rFonts w:ascii="ITC Avant Garde" w:eastAsia="Times New Roman" w:hAnsi="ITC Avant Garde"/>
                <w:sz w:val="12"/>
                <w:szCs w:val="12"/>
                <w:lang w:eastAsia="es-MX"/>
              </w:rPr>
              <w:lastRenderedPageBreak/>
              <w:t>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lastRenderedPageBreak/>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2</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36545</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Default="004A714B" w:rsidP="004A714B">
            <w:pPr>
              <w:spacing w:after="0" w:line="240" w:lineRule="auto"/>
              <w:jc w:val="center"/>
              <w:rPr>
                <w:rFonts w:ascii="ITC Avant Garde" w:eastAsia="Times New Roman" w:hAnsi="ITC Avant Garde"/>
                <w:color w:val="000000"/>
                <w:sz w:val="12"/>
                <w:szCs w:val="12"/>
                <w:lang w:eastAsia="es-MX"/>
              </w:rPr>
            </w:pPr>
          </w:p>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Pr>
                <w:rFonts w:ascii="ITC Avant Garde" w:eastAsia="Times New Roman" w:hAnsi="ITC Avant Garde"/>
                <w:color w:val="000000"/>
                <w:sz w:val="12"/>
                <w:szCs w:val="12"/>
                <w:lang w:eastAsia="es-MX"/>
              </w:rPr>
              <w:t>20/12/2016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 metros para radiotaxi</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148-174</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Localidad</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Uso Privado</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156.8375-161.9625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FIJO</w:t>
            </w:r>
            <w:r w:rsidRPr="00C37FBD">
              <w:rPr>
                <w:rFonts w:ascii="ITC Avant Garde" w:eastAsia="Times New Roman" w:hAnsi="ITC Avant Garde"/>
                <w:color w:val="000000"/>
                <w:sz w:val="12"/>
                <w:szCs w:val="12"/>
                <w:lang w:eastAsia="es-MX"/>
              </w:rPr>
              <w:br/>
              <w:t>MÓVIL</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se tiene contemplado ningún cambio en la atribución de la banda de frecuencias 148-174 MHz. Sin embargo, se considera necesario establecer un régimen más ordenado y eficiente para la operación de los sistemas del servicio móvil y fijo que operan en la banda 148 - 174 MHz. Por tal motivo, se considera ineludible que los segmentos atribuidos a los servicios móvil y fijo se sujeten a un proceso de reordenamiento en el mediano plazo.</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Es así que como parte de las labores de planificación de espectro que realiza el Instituto, se tiene contemplado que los sistemas de banda angosta para uso privado, operen en la banda de frecuencias 440-450 MHz de conformidad con lo establecido en el PABF 2015.</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se tiene planificado para su operación en el segmento 440-450 MHz conforme a lo publicado en el PABF 2015.</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36545</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Default="004A714B" w:rsidP="004A714B">
            <w:pPr>
              <w:spacing w:after="0" w:line="240" w:lineRule="auto"/>
              <w:jc w:val="center"/>
              <w:rPr>
                <w:rFonts w:ascii="ITC Avant Garde" w:eastAsia="Times New Roman" w:hAnsi="ITC Avant Garde"/>
                <w:color w:val="000000"/>
                <w:sz w:val="12"/>
                <w:szCs w:val="12"/>
                <w:lang w:eastAsia="es-MX"/>
              </w:rPr>
            </w:pPr>
          </w:p>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Pr>
                <w:rFonts w:ascii="ITC Avant Garde" w:eastAsia="Times New Roman" w:hAnsi="ITC Avant Garde"/>
                <w:color w:val="000000"/>
                <w:sz w:val="12"/>
                <w:szCs w:val="12"/>
                <w:lang w:eastAsia="es-MX"/>
              </w:rPr>
              <w:t>20/12/2016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 metros para radiotaxi</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148-174</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Localidad</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Uso Privado</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161.9625-161.9875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MÓVIL AERONÁUTICO (OR)</w:t>
            </w:r>
            <w:r w:rsidRPr="00C37FBD">
              <w:rPr>
                <w:rFonts w:ascii="ITC Avant Garde" w:eastAsia="Times New Roman" w:hAnsi="ITC Avant Garde"/>
                <w:color w:val="000000"/>
                <w:sz w:val="12"/>
                <w:szCs w:val="12"/>
                <w:lang w:eastAsia="es-MX"/>
              </w:rPr>
              <w:br/>
              <w:t>MÓVIL MARÍTIMO</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se tiene contemplado ningún cambio en la atribución de la banda de frecuencias 148-174 MHz.</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36545</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Default="004A714B" w:rsidP="004A714B">
            <w:pPr>
              <w:spacing w:after="0" w:line="240" w:lineRule="auto"/>
              <w:jc w:val="center"/>
              <w:rPr>
                <w:rFonts w:ascii="ITC Avant Garde" w:eastAsia="Times New Roman" w:hAnsi="ITC Avant Garde"/>
                <w:color w:val="000000"/>
                <w:sz w:val="12"/>
                <w:szCs w:val="12"/>
                <w:lang w:eastAsia="es-MX"/>
              </w:rPr>
            </w:pPr>
          </w:p>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Pr>
                <w:rFonts w:ascii="ITC Avant Garde" w:eastAsia="Times New Roman" w:hAnsi="ITC Avant Garde"/>
                <w:color w:val="000000"/>
                <w:sz w:val="12"/>
                <w:szCs w:val="12"/>
                <w:lang w:eastAsia="es-MX"/>
              </w:rPr>
              <w:t>20/12/2016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 metros para radiotaxi</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148-174</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Localidad</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Uso Privado</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161.9875-162.0125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FIJO</w:t>
            </w:r>
            <w:r w:rsidRPr="00C37FBD">
              <w:rPr>
                <w:rFonts w:ascii="ITC Avant Garde" w:eastAsia="Times New Roman" w:hAnsi="ITC Avant Garde"/>
                <w:color w:val="000000"/>
                <w:sz w:val="12"/>
                <w:szCs w:val="12"/>
                <w:lang w:eastAsia="es-MX"/>
              </w:rPr>
              <w:br/>
              <w:t>MÓVIL</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 xml:space="preserve">No se tiene contemplado ningún cambio en la atribución de la banda de frecuencias 148-174 MHz. Sin embargo, se considera necesario establecer un régimen más ordenado y eficiente para la operación de los sistemas del servicio móvil y fijo que operan en la banda 148 - 174 MHz. Por tal motivo, se considera ineludible que los segmentos atribuidos </w:t>
            </w:r>
            <w:r w:rsidRPr="00C37FBD">
              <w:rPr>
                <w:rFonts w:ascii="ITC Avant Garde" w:eastAsia="Times New Roman" w:hAnsi="ITC Avant Garde"/>
                <w:sz w:val="12"/>
                <w:szCs w:val="12"/>
                <w:lang w:eastAsia="es-MX"/>
              </w:rPr>
              <w:lastRenderedPageBreak/>
              <w:t>a los servicios móvil y fijo se sujeten a un proceso de reordenamiento en el mediano plazo.</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Es así que como parte de las labores de planificación de espectro que realiza el Instituto, se tiene contemplado que los sistemas de banda angosta para uso privado, operen en la banda de frecuencias 440-450 MHz de conformidad con lo establecido en el PABF 2015.</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lastRenderedPageBreak/>
              <w:t>El tipo de servicio solicitado se tiene planificado para su operación en el segmento 440-450 MHz conforme a lo publicado en el PABF 2015.</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2</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36545</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Default="004A714B" w:rsidP="004A714B">
            <w:pPr>
              <w:spacing w:after="0" w:line="240" w:lineRule="auto"/>
              <w:jc w:val="center"/>
              <w:rPr>
                <w:rFonts w:ascii="ITC Avant Garde" w:eastAsia="Times New Roman" w:hAnsi="ITC Avant Garde"/>
                <w:color w:val="000000"/>
                <w:sz w:val="12"/>
                <w:szCs w:val="12"/>
                <w:lang w:eastAsia="es-MX"/>
              </w:rPr>
            </w:pPr>
          </w:p>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Pr>
                <w:rFonts w:ascii="ITC Avant Garde" w:eastAsia="Times New Roman" w:hAnsi="ITC Avant Garde"/>
                <w:color w:val="000000"/>
                <w:sz w:val="12"/>
                <w:szCs w:val="12"/>
                <w:lang w:eastAsia="es-MX"/>
              </w:rPr>
              <w:t>20/12/2016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 metros para radiotaxi</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148-174</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Localidad</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Uso Privado</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162.0125-162.0375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MÓVIL AERONÁUTICO (OR)</w:t>
            </w:r>
            <w:r w:rsidRPr="00C37FBD">
              <w:rPr>
                <w:rFonts w:ascii="ITC Avant Garde" w:eastAsia="Times New Roman" w:hAnsi="ITC Avant Garde"/>
                <w:color w:val="000000"/>
                <w:sz w:val="12"/>
                <w:szCs w:val="12"/>
                <w:lang w:eastAsia="es-MX"/>
              </w:rPr>
              <w:br/>
              <w:t>MÓVIL MARÍTIMO</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se tiene contemplado ningún cambio en la atribución de la banda de frecuencias 148-174 MHz.</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36545</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Default="004A714B" w:rsidP="004A714B">
            <w:pPr>
              <w:spacing w:after="0" w:line="240" w:lineRule="auto"/>
              <w:jc w:val="center"/>
              <w:rPr>
                <w:rFonts w:ascii="ITC Avant Garde" w:eastAsia="Times New Roman" w:hAnsi="ITC Avant Garde"/>
                <w:color w:val="000000"/>
                <w:sz w:val="12"/>
                <w:szCs w:val="12"/>
                <w:lang w:eastAsia="es-MX"/>
              </w:rPr>
            </w:pPr>
          </w:p>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Pr>
                <w:rFonts w:ascii="ITC Avant Garde" w:eastAsia="Times New Roman" w:hAnsi="ITC Avant Garde"/>
                <w:color w:val="000000"/>
                <w:sz w:val="12"/>
                <w:szCs w:val="12"/>
                <w:lang w:eastAsia="es-MX"/>
              </w:rPr>
              <w:t>20/12/2016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 metros para radiotaxi</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148-174</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Localidad</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Uso Privado</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162.0375-174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FIJO</w:t>
            </w:r>
            <w:r w:rsidRPr="00C37FBD">
              <w:rPr>
                <w:rFonts w:ascii="ITC Avant Garde" w:eastAsia="Times New Roman" w:hAnsi="ITC Avant Garde"/>
                <w:color w:val="000000"/>
                <w:sz w:val="12"/>
                <w:szCs w:val="12"/>
                <w:lang w:eastAsia="es-MX"/>
              </w:rPr>
              <w:br/>
              <w:t>MÓVIL</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se tiene contemplado ningún cambio en la atribución de la banda de frecuencias 148-174 MHz. Sin embargo, se considera necesario establecer un régimen más ordenado y eficiente para la operación de los sistemas del servicio móvil y fijo que operan en la banda 148 - 174 MHz. Por tal motivo, se considera ineludible que los segmentos atribuidos a los servicios móvil y fijo se sujeten a un proceso de reordenamiento en el mediano plazo.</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Es así que como parte de las labores de planificación de espectro que realiza el Instituto, se tiene contemplado que los sistemas de banda angosta para uso privado, operen en la banda de frecuencias 440-450 MHz de conformidad con lo establecido en el PABF 2015.</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se tiene planificado para su operación en el segmento 440-450 MHz conforme a lo publicado en el PABF 2015.</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3</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PABF-2017-TEL-52</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02/09/2016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Transporte inalámbrico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500-650</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470-608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FIJO</w:t>
            </w:r>
            <w:r w:rsidRPr="00C37FBD">
              <w:rPr>
                <w:rFonts w:ascii="ITC Avant Garde" w:eastAsia="Times New Roman" w:hAnsi="ITC Avant Garde"/>
                <w:sz w:val="12"/>
                <w:szCs w:val="12"/>
                <w:lang w:eastAsia="es-MX"/>
              </w:rPr>
              <w:br/>
              <w:t>MÓVIL</w:t>
            </w:r>
            <w:r w:rsidRPr="00C37FBD">
              <w:rPr>
                <w:rFonts w:ascii="ITC Avant Garde" w:eastAsia="Times New Roman" w:hAnsi="ITC Avant Garde"/>
                <w:sz w:val="12"/>
                <w:szCs w:val="12"/>
                <w:lang w:eastAsia="es-MX"/>
              </w:rPr>
              <w:br/>
              <w:t>RADIODIFUSIÓN</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La banda de frecuencias 470-512 MHz (canales de TV del 14 al 20), es de las principales bandas receptoras en el proceso de transición a la TV digital, por lo que el uso de esta banda por el servicio de Radiodifusión se intensificará en el corto plazo.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planificación de la banda.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3</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PABF-2017-TEL-52</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02/09/2016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Transporte inalámbrico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500-650</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608-614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RADIOASTRONOMÍA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La banda de frecuencias 608 – 614 MHz se encuentra destinada para su uso por el servicio de radioastronomía, por lo que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3</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PABF-2017-TEL-52</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02/09/2016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Transporte inalámbrico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500-650</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614-698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FIJO</w:t>
            </w:r>
            <w:r w:rsidRPr="00C37FBD">
              <w:rPr>
                <w:rFonts w:ascii="ITC Avant Garde" w:eastAsia="Times New Roman" w:hAnsi="ITC Avant Garde"/>
                <w:sz w:val="12"/>
                <w:szCs w:val="12"/>
                <w:lang w:eastAsia="es-MX"/>
              </w:rPr>
              <w:br/>
              <w:t>MÓVIL</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La banda de frecuencias 614-698 MHz (canales de TV del 38 al 51), está sujeta a un proceso de reorganización para reubicar a las estaciones de televisión que operan en la banda, con el objeto de que sea utilizada para servicios de banda ancha móvil.</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planificación de la banda.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4</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46699</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07/09/2016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Radiocomunicación Privada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450-470</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Localidad</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Uso Privado</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450-470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se tiene contemplado ningún cambio en la atribución de la banda de frecuencias 450-470 MHz. Sin embargo, se considera necesario establecer un régimen más ordenado y eficiente para la operación de los sistemas del servicio móvil que operan en la banda 450-470 MHz. Por tal motivo, se considera ineludible que los segmentos atribuidos al servicio móvil se sujeten a un proceso de reordenamiento en el mediano plazo.</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 xml:space="preserve">Es así que como parte de las labores de planificación de espectro que realiza el Instituto, se tiene contemplado que los sistemas de banda angosta para uso </w:t>
            </w:r>
            <w:r w:rsidRPr="00C37FBD">
              <w:rPr>
                <w:rFonts w:ascii="ITC Avant Garde" w:eastAsia="Times New Roman" w:hAnsi="ITC Avant Garde"/>
                <w:sz w:val="12"/>
                <w:szCs w:val="12"/>
                <w:lang w:eastAsia="es-MX"/>
              </w:rPr>
              <w:lastRenderedPageBreak/>
              <w:t>privado, operen en la banda de frecuencias 440-450 MHz de conformidad con lo establecido en el PABF 2015.</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lastRenderedPageBreak/>
              <w:t>El tipo de servicio solicitado se tiene planificado para su operación en el segmento 440-450 MHz conforme a lo publicado en el PABF 2015.</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5</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46712</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Escrito/UCS</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07/09/2016</w:t>
            </w:r>
          </w:p>
        </w:tc>
        <w:tc>
          <w:tcPr>
            <w:tcW w:w="499" w:type="pct"/>
            <w:tcBorders>
              <w:top w:val="nil"/>
              <w:left w:val="nil"/>
              <w:bottom w:val="single" w:sz="4" w:space="0" w:color="auto"/>
              <w:right w:val="single" w:sz="4" w:space="0" w:color="auto"/>
            </w:tcBorders>
            <w:shd w:val="clear" w:color="auto" w:fill="auto"/>
            <w:noWrap/>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450-470</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proofErr w:type="spellStart"/>
            <w:r w:rsidRPr="00C37FBD">
              <w:rPr>
                <w:rFonts w:ascii="ITC Avant Garde" w:eastAsia="Times New Roman" w:hAnsi="ITC Avant Garde"/>
                <w:color w:val="000000"/>
                <w:sz w:val="12"/>
                <w:szCs w:val="12"/>
                <w:lang w:eastAsia="es-MX"/>
              </w:rPr>
              <w:t>Megahertz</w:t>
            </w:r>
            <w:proofErr w:type="spellEnd"/>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Localidad</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No especifica</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Enrique Rodríguez Acosta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450-470 MHz</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MÓVIL</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 </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6</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PABF-2017-TEL-53</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20/09/2016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 Acceso inalámbrico móvil-banda angosta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430-440/450-470</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Localidad</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Uso Privado</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430-435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 salvo móvil aeronáutico</w:t>
            </w:r>
            <w:r w:rsidRPr="00C37FBD">
              <w:rPr>
                <w:rFonts w:ascii="ITC Avant Garde" w:eastAsia="Times New Roman" w:hAnsi="ITC Avant Garde"/>
                <w:sz w:val="12"/>
                <w:szCs w:val="12"/>
                <w:lang w:eastAsia="es-MX"/>
              </w:rPr>
              <w:br/>
              <w:t>Aficionados</w:t>
            </w:r>
            <w:r w:rsidRPr="00C37FBD">
              <w:rPr>
                <w:rFonts w:ascii="ITC Avant Garde" w:eastAsia="Times New Roman" w:hAnsi="ITC Avant Garde"/>
                <w:sz w:val="12"/>
                <w:szCs w:val="12"/>
                <w:lang w:eastAsia="es-MX"/>
              </w:rPr>
              <w:br/>
              <w:t>Radiolocalización</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se tiene contemplado ningún cambio en la atribución de la banda de frecuencias 430-440 MHz. Sin embargo, se considera necesario establecer un régimen más ordenado y eficiente para la operación de los sistemas del servicio móvil que operan en la banda 430-440 MHz. Por tal motivo, se considera ineludible que los segmentos atribuidos al servicio móvil se sujeten a un proceso de reordenamiento en el mediano plazo.</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Es así que como parte de las labores de planificación de espectro que realiza el Instituto, se tiene contemplado que los sistemas de banda angosta para uso privado, operen en la banda de frecuencias 440-450 MHz de conformidad con lo establecido en el PABF 2015.</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se tiene planificado para su operación en el segmento 440-450 MHz conforme a lo publicado en el PABF 2015.</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6</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PABF-2017-TEL-53</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20/09/2016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 Acceso inalámbrico móvil-banda angosta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430-440/450-470</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Localidad</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Uso Privado</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435-438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RADIOLOCALIZACIÓN</w:t>
            </w:r>
            <w:r w:rsidRPr="00C37FBD">
              <w:rPr>
                <w:rFonts w:ascii="ITC Avant Garde" w:eastAsia="Times New Roman" w:hAnsi="ITC Avant Garde"/>
                <w:sz w:val="12"/>
                <w:szCs w:val="12"/>
                <w:lang w:eastAsia="es-MX"/>
              </w:rPr>
              <w:br/>
              <w:t>Aficionados</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 xml:space="preserve">No se tiene contemplado ningún cambio en la atribución de la banda de frecuencias 430-440 MHz. Sin embargo, se considera necesario establecer un régimen más ordenado y eficiente para la operación de los sistemas del servicio móvil que operan en la banda 430-440 MHz. Por tal motivo, se considera ineludible que los </w:t>
            </w:r>
            <w:r w:rsidRPr="00C37FBD">
              <w:rPr>
                <w:rFonts w:ascii="ITC Avant Garde" w:eastAsia="Times New Roman" w:hAnsi="ITC Avant Garde"/>
                <w:sz w:val="12"/>
                <w:szCs w:val="12"/>
                <w:lang w:eastAsia="es-MX"/>
              </w:rPr>
              <w:lastRenderedPageBreak/>
              <w:t>segmentos atribuidos al servicio móvil se sujeten a un proceso de reordenamiento en el mediano plazo.</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Es así que como parte de las labores de planificación de espectro que realiza el Instituto, se tiene contemplado que los sistemas de banda angosta para uso privado, operen en la banda de frecuencias 440-450 MHz de conformidad con lo establecido en el PABF 2015.</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lastRenderedPageBreak/>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6</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PABF-2017-TEL-53</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20/09/2016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 Acceso inalámbrico móvil-banda angosta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430-440/450-470</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Localidad</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Uso Privado</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438-440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 salvo móvil aeronáutico</w:t>
            </w:r>
            <w:r w:rsidRPr="00C37FBD">
              <w:rPr>
                <w:rFonts w:ascii="ITC Avant Garde" w:eastAsia="Times New Roman" w:hAnsi="ITC Avant Garde"/>
                <w:sz w:val="12"/>
                <w:szCs w:val="12"/>
                <w:lang w:eastAsia="es-MX"/>
              </w:rPr>
              <w:br/>
              <w:t>Aficionados</w:t>
            </w:r>
            <w:r w:rsidRPr="00C37FBD">
              <w:rPr>
                <w:rFonts w:ascii="ITC Avant Garde" w:eastAsia="Times New Roman" w:hAnsi="ITC Avant Garde"/>
                <w:sz w:val="12"/>
                <w:szCs w:val="12"/>
                <w:lang w:eastAsia="es-MX"/>
              </w:rPr>
              <w:br/>
              <w:t>Radiolocalización</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se tiene contemplado ningún cambio en la atribución de la banda de frecuencias 430-440 MHz. Sin embargo, se considera necesario establecer un régimen más ordenado y eficiente para la operación de los sistemas del servicio móvil que operan en la banda 430-440 MHz. Por tal motivo, se considera ineludible que los segmentos atribuidos al servicio móvil se sujeten a un proceso de reordenamiento en el mediano plazo.</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Es así que como parte de las labores de planificación de espectro que realiza el Instituto, se tiene contemplado que los sistemas de banda angosta para uso privado, operen en la banda de frecuencias 440-450 MHz de conformidad con lo establecido en el PABF 2015.</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se tiene planificado para su operación en el segmento 440-450 MHz conforme a lo publicado en el PABF 2015.</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6</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PABF-2017-TEL-53</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20/09/2016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 Acceso inalámbrico móvil-banda angosta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430-440/450-470</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Localidad</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Uso Privado</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450-470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 xml:space="preserve">No se tiene contemplado ningún cambio en la atribución de la banda de frecuencias 450-470 MHz. Sin embargo, se </w:t>
            </w:r>
            <w:r w:rsidRPr="00C37FBD">
              <w:rPr>
                <w:rFonts w:ascii="ITC Avant Garde" w:eastAsia="Times New Roman" w:hAnsi="ITC Avant Garde"/>
                <w:sz w:val="12"/>
                <w:szCs w:val="12"/>
                <w:lang w:eastAsia="es-MX"/>
              </w:rPr>
              <w:lastRenderedPageBreak/>
              <w:t>considera necesario establecer un régimen más ordenado y eficiente para la operación de los sistemas del servicio móvil que operan en la banda 450-470 MHz. Por tal motivo, se considera ineludible que los segmentos atribuidos al servicio móvil se sujeten a un proceso de reordenamiento en el mediano plazo.</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Es así que como parte de las labores de planificación de espectro que realiza el Instituto, se tiene contemplado que los sistemas de banda angosta para uso privado, operen en la banda de frecuencias 440-450 MHz de conformidad con lo establecido en el PABF 2015.</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lastRenderedPageBreak/>
              <w:t>El tipo de servicio solicitado se tiene planificado para su operación en el segmento 440-450 MHz conforme a lo publicado en el PABF 2015.</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7</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PABF-2017-TEL-54</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20/09/2016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 Acceso inalámbrico móvil-banda angosta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430-450/450-470</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Localidad</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Uso Privado</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430-435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 salvo móvil aeronáutico</w:t>
            </w:r>
            <w:r w:rsidRPr="00C37FBD">
              <w:rPr>
                <w:rFonts w:ascii="ITC Avant Garde" w:eastAsia="Times New Roman" w:hAnsi="ITC Avant Garde"/>
                <w:sz w:val="12"/>
                <w:szCs w:val="12"/>
                <w:lang w:eastAsia="es-MX"/>
              </w:rPr>
              <w:br/>
              <w:t>Aficionados</w:t>
            </w:r>
            <w:r w:rsidRPr="00C37FBD">
              <w:rPr>
                <w:rFonts w:ascii="ITC Avant Garde" w:eastAsia="Times New Roman" w:hAnsi="ITC Avant Garde"/>
                <w:sz w:val="12"/>
                <w:szCs w:val="12"/>
                <w:lang w:eastAsia="es-MX"/>
              </w:rPr>
              <w:br/>
              <w:t>Radiolocalización</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se tiene contemplado ningún cambio en la atribución de la banda de frecuencias 430-440 MHz. Sin embargo, se considera necesario establecer un régimen más ordenado y eficiente para la operación de los sistemas del servicio móvil que operan en la banda 430-440 MHz. Por tal motivo, se considera ineludible que los segmentos atribuidos al servicio móvil se sujeten a un proceso de reordenamiento en el mediano plazo.</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 xml:space="preserve">Es así que como parte de las labores de planificación de espectro que realiza el Instituto, se tiene contemplado que los sistemas de banda angosta para uso privado, operen en la banda de frecuencias </w:t>
            </w:r>
            <w:r w:rsidRPr="00C37FBD">
              <w:rPr>
                <w:rFonts w:ascii="ITC Avant Garde" w:eastAsia="Times New Roman" w:hAnsi="ITC Avant Garde"/>
                <w:sz w:val="12"/>
                <w:szCs w:val="12"/>
                <w:lang w:eastAsia="es-MX"/>
              </w:rPr>
              <w:lastRenderedPageBreak/>
              <w:t>440-450 MHz de conformidad con lo establecido en el PABF 2015.</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lastRenderedPageBreak/>
              <w:t>El tipo de servicio solicitado se tiene planificado para su operación en el segmento 440-450 MHz conforme a lo publicado en el PABF 2015.</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7</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PABF-2017-TEL-54</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20/09/2016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 Acceso inalámbrico móvil-banda angosta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430-450/450-470</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Localidad</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Uso Privado</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435-438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RADIOLOCALIZACIÓN</w:t>
            </w:r>
            <w:r w:rsidRPr="00C37FBD">
              <w:rPr>
                <w:rFonts w:ascii="ITC Avant Garde" w:eastAsia="Times New Roman" w:hAnsi="ITC Avant Garde"/>
                <w:sz w:val="12"/>
                <w:szCs w:val="12"/>
                <w:lang w:eastAsia="es-MX"/>
              </w:rPr>
              <w:br/>
              <w:t>Aficionados</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se tiene contemplado ningún cambio en la atribución de la banda de frecuencias 430-440 MHz. Sin embargo, se considera necesario establecer un régimen más ordenado y eficiente para la operación de los sistemas del servicio móvil que operan en la banda 430-440 MHz. Por tal motivo, se considera ineludible que los segmentos atribuidos al servicio móvil se sujeten a un proceso de reordenamiento en el mediano plazo.</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Es así que como parte de las labores de planificación de espectro que realiza el Instituto, se tiene contemplado que los sistemas de banda angosta para uso privado, operen en la banda de frecuencias 440-450 MHz de conformidad con lo establecido en el PABF 2015.</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7</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PABF-2017-TEL-54</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20/09/2016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 Acceso inalámbrico móvil-banda angosta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430-450/450-470</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Localidad</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Uso Privado</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438-440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 salvo móvil aeronáutico</w:t>
            </w:r>
            <w:r w:rsidRPr="00C37FBD">
              <w:rPr>
                <w:rFonts w:ascii="ITC Avant Garde" w:eastAsia="Times New Roman" w:hAnsi="ITC Avant Garde"/>
                <w:sz w:val="12"/>
                <w:szCs w:val="12"/>
                <w:lang w:eastAsia="es-MX"/>
              </w:rPr>
              <w:br/>
              <w:t>Aficionados</w:t>
            </w:r>
            <w:r w:rsidRPr="00C37FBD">
              <w:rPr>
                <w:rFonts w:ascii="ITC Avant Garde" w:eastAsia="Times New Roman" w:hAnsi="ITC Avant Garde"/>
                <w:sz w:val="12"/>
                <w:szCs w:val="12"/>
                <w:lang w:eastAsia="es-MX"/>
              </w:rPr>
              <w:br/>
              <w:t>Radiolocalización</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se tiene contemplado ningún cambio en la atribución de la banda de frecuencias 430-440 MHz. Sin embargo, se considera necesario establecer un régimen más ordenado y eficiente para la operación de los sistemas del servicio móvil que operan en la banda 430-440 MHz. Por tal motivo, se considera ineludible que los segmentos atribuidos al servicio móvil se sujeten a un proceso de reordenamiento en el mediano plazo.</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lastRenderedPageBreak/>
              <w:t>Es así que como parte de las labores de planificación de espectro que realiza el Instituto, se tiene contemplado que los sistemas de banda angosta para uso privado, operen en la banda de frecuencias 440-450 MHz de conformidad con lo establecido en el PABF 2015.</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lastRenderedPageBreak/>
              <w:t>El tipo de servicio solicitado se tiene planificado para su operación en el segmento 440-450 MHz conforme a lo publicado en el PABF 2015.</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7</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PABF-2017-TEL-54</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20/09/2016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 Acceso inalámbrico móvil-banda angosta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430-450/450-470</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Localidad</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Uso Privado</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450-470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se tiene contemplado ningún cambio en la atribución de la banda de frecuencias 450-470 MHz. Sin embargo, se considera necesario establecer un régimen más ordenado y eficiente para la operación de los sistemas del servicio móvil que operan en la banda 450-470 MHz. Por tal motivo, se considera ineludible que los segmentos atribuidos al servicio móvil se sujeten a un proceso de reordenamiento en el mediano plazo.</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Es así que como parte de las labores de planificación de espectro que realiza el Instituto, se tiene contemplado que los sistemas de banda angosta para uso privado, operen en la banda de frecuencias 440-450 MHz de conformidad con lo establecido en el PABF 2015.</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se tiene planificado para su operación en el segmento 440-450 MHz conforme a lo publicado en el PABF 2015.</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8</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PABF-2017-TEL-55</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24/10/2016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móvil-banda ancha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1-1000</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Uso Privado</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1-1000 KHz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rango de frecuencias especificado es muy amplio, por lo que no se cuenta con la información necesaria sobre la banda de frecuencias para llevar a cabo el análisis correspondiente.</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960-1164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 AERONÁUTICO (R)</w:t>
            </w:r>
            <w:r w:rsidRPr="00C37FBD">
              <w:rPr>
                <w:rFonts w:ascii="ITC Avant Garde" w:eastAsia="Times New Roman" w:hAnsi="ITC Avant Garde"/>
                <w:sz w:val="12"/>
                <w:szCs w:val="12"/>
                <w:lang w:eastAsia="es-MX"/>
              </w:rPr>
              <w:br/>
              <w:t>RADIONAVEGACIÓN AERONÁUTICA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 xml:space="preserve">En virtud de que los servicios a los que se encuentra atribuida a título primario se </w:t>
            </w:r>
            <w:r w:rsidRPr="00C37FBD">
              <w:rPr>
                <w:rFonts w:ascii="ITC Avant Garde" w:eastAsia="Times New Roman" w:hAnsi="ITC Avant Garde"/>
                <w:sz w:val="12"/>
                <w:szCs w:val="12"/>
                <w:lang w:eastAsia="es-MX"/>
              </w:rPr>
              <w:lastRenderedPageBreak/>
              <w:t>consideran relacionados con la seguridad de la vida humana, la banda de frecuencias 960-1164 MHz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lastRenderedPageBreak/>
              <w:t xml:space="preserve">El tipo de servicio solicitado no es compatible con la atribución de la banda, ni </w:t>
            </w:r>
            <w:r w:rsidRPr="00C37FBD">
              <w:rPr>
                <w:rFonts w:ascii="ITC Avant Garde" w:eastAsia="Times New Roman" w:hAnsi="ITC Avant Garde"/>
                <w:sz w:val="12"/>
                <w:szCs w:val="12"/>
                <w:lang w:eastAsia="es-MX"/>
              </w:rPr>
              <w:lastRenderedPageBreak/>
              <w:t>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lastRenderedPageBreak/>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1164-1215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RADIONAVEGACIÓN AERONÁUTICA</w:t>
            </w:r>
            <w:r w:rsidRPr="00C37FBD">
              <w:rPr>
                <w:rFonts w:ascii="ITC Avant Garde" w:eastAsia="Times New Roman" w:hAnsi="ITC Avant Garde"/>
                <w:sz w:val="12"/>
                <w:szCs w:val="12"/>
                <w:lang w:eastAsia="es-MX"/>
              </w:rPr>
              <w:br/>
              <w:t>RADIONAVEGACIÓN POR SATÉLITE (espacio-Tierra) (espacio-espacio)</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virtud de que los servicios a los que se encuentra atribuida a título primario se consideran relacionados con la seguridad de la vida humana, la banda de frecuencias 1164-1215 MHz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1215-1240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EXPLORACIÓN DE LA TIERRA POR SATÉLITE (activo)</w:t>
            </w:r>
            <w:r w:rsidRPr="00C37FBD">
              <w:rPr>
                <w:rFonts w:ascii="ITC Avant Garde" w:eastAsia="Times New Roman" w:hAnsi="ITC Avant Garde"/>
                <w:sz w:val="12"/>
                <w:szCs w:val="12"/>
                <w:lang w:eastAsia="es-MX"/>
              </w:rPr>
              <w:br/>
              <w:t>INVESTIGACIÓN ESPACIAL (activo)</w:t>
            </w:r>
            <w:r w:rsidRPr="00C37FBD">
              <w:rPr>
                <w:rFonts w:ascii="ITC Avant Garde" w:eastAsia="Times New Roman" w:hAnsi="ITC Avant Garde"/>
                <w:sz w:val="12"/>
                <w:szCs w:val="12"/>
                <w:lang w:eastAsia="es-MX"/>
              </w:rPr>
              <w:br/>
              <w:t>RADIOLOCALIZACIÓN</w:t>
            </w:r>
            <w:r w:rsidRPr="00C37FBD">
              <w:rPr>
                <w:rFonts w:ascii="ITC Avant Garde" w:eastAsia="Times New Roman" w:hAnsi="ITC Avant Garde"/>
                <w:sz w:val="12"/>
                <w:szCs w:val="12"/>
                <w:lang w:eastAsia="es-MX"/>
              </w:rPr>
              <w:br/>
              <w:t>RADIONAVEGACIÓN POR SATÉLITE (espacio-Tierra) (espacio-espacio)</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virtud de que los servicios de exploración de la Tierra por satélite y radionavegación por satélite se encuentran relacionados con la seguridad de la vida humana, esta banda de frecuencias está clasificada como espectro protegido.</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Adicionalmente, se cuenta con un Protocolo firmado por México y Estados Unidos de América en el que se atribuye la banda de frecuencias de 1215-1400 MHz para servicios de radionavegación aeronáutica a lo largo de la frontera común.</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1240-1300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EXPLORACIÓN DE LA TIERRA POR SATÉLITE (activo)</w:t>
            </w:r>
            <w:r w:rsidRPr="00C37FBD">
              <w:rPr>
                <w:rFonts w:ascii="ITC Avant Garde" w:eastAsia="Times New Roman" w:hAnsi="ITC Avant Garde"/>
                <w:sz w:val="12"/>
                <w:szCs w:val="12"/>
                <w:lang w:eastAsia="es-MX"/>
              </w:rPr>
              <w:br/>
              <w:t>INVESTIGACIÓN ESPACIAL (activo)</w:t>
            </w:r>
            <w:r w:rsidRPr="00C37FBD">
              <w:rPr>
                <w:rFonts w:ascii="ITC Avant Garde" w:eastAsia="Times New Roman" w:hAnsi="ITC Avant Garde"/>
                <w:sz w:val="12"/>
                <w:szCs w:val="12"/>
                <w:lang w:eastAsia="es-MX"/>
              </w:rPr>
              <w:br/>
              <w:t>RADIOLOCALIZACIÓN</w:t>
            </w:r>
            <w:r w:rsidRPr="00C37FBD">
              <w:rPr>
                <w:rFonts w:ascii="ITC Avant Garde" w:eastAsia="Times New Roman" w:hAnsi="ITC Avant Garde"/>
                <w:sz w:val="12"/>
                <w:szCs w:val="12"/>
                <w:lang w:eastAsia="es-MX"/>
              </w:rPr>
              <w:br/>
              <w:t>RADIONAVEGACIÓN POR SATÉLITE (espacio-Tierra) (espacio-espacio)</w:t>
            </w:r>
            <w:r w:rsidRPr="00C37FBD">
              <w:rPr>
                <w:rFonts w:ascii="ITC Avant Garde" w:eastAsia="Times New Roman" w:hAnsi="ITC Avant Garde"/>
                <w:sz w:val="12"/>
                <w:szCs w:val="12"/>
                <w:lang w:eastAsia="es-MX"/>
              </w:rPr>
              <w:br/>
              <w:t>Aficionados</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virtud de que los servicios de exploración de la Tierra por satélite y radionavegación por satélite se encuentran relacionados con la seguridad de la vida humana esta banda de frecuencias está clasificada como espectro protegido.</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 xml:space="preserve">Adicionalmente, se cuenta con un Protocolo firmado por México y Estados Unidos de América en el que se atribuye la banda de frecuencias de 1215-1400 MHz para servicios de radionavegación </w:t>
            </w:r>
            <w:r w:rsidRPr="00C37FBD">
              <w:rPr>
                <w:rFonts w:ascii="ITC Avant Garde" w:eastAsia="Times New Roman" w:hAnsi="ITC Avant Garde"/>
                <w:sz w:val="12"/>
                <w:szCs w:val="12"/>
                <w:lang w:eastAsia="es-MX"/>
              </w:rPr>
              <w:lastRenderedPageBreak/>
              <w:t>aeronáutica a lo largo de la frontera común.</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lastRenderedPageBreak/>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1300-1350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RADIOLOCALIZACIÓN</w:t>
            </w:r>
            <w:r w:rsidRPr="00C37FBD">
              <w:rPr>
                <w:rFonts w:ascii="ITC Avant Garde" w:eastAsia="Times New Roman" w:hAnsi="ITC Avant Garde"/>
                <w:sz w:val="12"/>
                <w:szCs w:val="12"/>
                <w:lang w:eastAsia="es-MX"/>
              </w:rPr>
              <w:br/>
              <w:t>RADIONAVEGACIÓN AERONÁUTICA</w:t>
            </w:r>
            <w:r w:rsidRPr="00C37FBD">
              <w:rPr>
                <w:rFonts w:ascii="ITC Avant Garde" w:eastAsia="Times New Roman" w:hAnsi="ITC Avant Garde"/>
                <w:sz w:val="12"/>
                <w:szCs w:val="12"/>
                <w:lang w:eastAsia="es-MX"/>
              </w:rPr>
              <w:br/>
              <w:t>RADIONAVEGACIÓN POR SATÉLITE</w:t>
            </w:r>
            <w:r w:rsidRPr="00C37FBD">
              <w:rPr>
                <w:rFonts w:ascii="ITC Avant Garde" w:eastAsia="Times New Roman" w:hAnsi="ITC Avant Garde"/>
                <w:sz w:val="12"/>
                <w:szCs w:val="12"/>
                <w:lang w:eastAsia="es-MX"/>
              </w:rPr>
              <w:br/>
              <w:t>(Tierra-espacio)</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virtud de que los servicios de radionavegación aeronáutica y radionavegación por satélite se encuentran relacionados con la seguridad de la vida humana esta banda de frecuencias está clasificada como espectro protegido.</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Adicionalmente, se cuenta con un Protocolo firmado por México y Estados Unidos de América en el que se atribuye la banda de frecuencias de 1215-1400 MHz para servicios de radionavegación aeronáutica a lo largo de la frontera común.</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1350-1400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RADIOLOCALIZACIÓN</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se tiene contemplado ningún cambio en la atribución de la banda de frecuencias 1350-1400 MHz.</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Adicionalmente, se cuenta con un Protocolo firmado por México y Estados Unidos de América en el que se atribuye la banda de frecuencias de 1215-1400 MHz para servicios de radionavegación aeronáutica a lo largo de la frontera común.</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1400-1427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EXPLORACIÓN DE LA TIERRA POR SATÉLITE (pasivo)</w:t>
            </w:r>
            <w:r w:rsidRPr="00C37FBD">
              <w:rPr>
                <w:rFonts w:ascii="ITC Avant Garde" w:eastAsia="Times New Roman" w:hAnsi="ITC Avant Garde"/>
                <w:sz w:val="12"/>
                <w:szCs w:val="12"/>
                <w:lang w:eastAsia="es-MX"/>
              </w:rPr>
              <w:br/>
              <w:t>INVESTIGACIÓN ESPACIAL (pasivo)</w:t>
            </w:r>
            <w:r w:rsidRPr="00C37FBD">
              <w:rPr>
                <w:rFonts w:ascii="ITC Avant Garde" w:eastAsia="Times New Roman" w:hAnsi="ITC Avant Garde"/>
                <w:sz w:val="12"/>
                <w:szCs w:val="12"/>
                <w:lang w:eastAsia="es-MX"/>
              </w:rPr>
              <w:br/>
              <w:t>RADIOASTRONOMÍA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virtud de que el servicio de exploración de la Tierra por satélite se encuentra relacionado con la seguridad de la vida humana y por estar destinada para su uso por el servicio de radioastronomía, esta banda de frecuencias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1427-1429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FIJO</w:t>
            </w:r>
            <w:r w:rsidRPr="00C37FBD">
              <w:rPr>
                <w:rFonts w:ascii="ITC Avant Garde" w:eastAsia="Times New Roman" w:hAnsi="ITC Avant Garde"/>
                <w:sz w:val="12"/>
                <w:szCs w:val="12"/>
                <w:lang w:eastAsia="es-MX"/>
              </w:rPr>
              <w:br/>
              <w:t>MÓVIL salvo móvil aeronáutico</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 xml:space="preserve">Esta banda de frecuencias ha sido identificada para su utilización por las </w:t>
            </w:r>
            <w:r w:rsidRPr="00C37FBD">
              <w:rPr>
                <w:rFonts w:ascii="ITC Avant Garde" w:eastAsia="Times New Roman" w:hAnsi="ITC Avant Garde"/>
                <w:sz w:val="12"/>
                <w:szCs w:val="12"/>
                <w:lang w:eastAsia="es-MX"/>
              </w:rPr>
              <w:lastRenderedPageBreak/>
              <w:t>administraciones de la Región 2 interesadas en desplegar sistemas IMT en la CMR-15.</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Como parte de las labores de planificación de espectro que realiza el Instituto, se analiza la viabilidad de poner a disposición este segmento para aplicaciones de banda ancha móvil.</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lastRenderedPageBreak/>
              <w:t>El tipo de servicio solicitado no es compatible con la planificación de la banda.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1429-1518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FIJO</w:t>
            </w:r>
            <w:r w:rsidRPr="00C37FBD">
              <w:rPr>
                <w:rFonts w:ascii="ITC Avant Garde" w:eastAsia="Times New Roman" w:hAnsi="ITC Avant Garde"/>
                <w:sz w:val="12"/>
                <w:szCs w:val="12"/>
                <w:lang w:eastAsia="es-MX"/>
              </w:rPr>
              <w:br/>
              <w:t>MÓVIL</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Esta banda de frecuencias ha sido identificada para su utilización por las administraciones de la Región 2 interesadas en desplegar sistemas IMT en la CMR-15.</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Como parte de las labores de planificación de espectro que realiza el Instituto, se analiza la viabilidad de poner a disposición este segmento para aplicaciones de banda ancha móvil.</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planificación de la banda.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1518-1535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 POR SATÉLITE (espacio-Tierra)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Las bandas de frecuencias 1518 – 1559 MHz (espacio-Tierra) se encuentra proyectada para su utilización por sistemas satelitales para la provisión de servicios móviles terrestres, marítimos y aeronáuticos con propósitos de seguridad nacional y cobertura social.</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1535-1559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 POR SATÉLITE (espacio-Tierra)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Las bandas de frecuencias 1518 – 1559 MHz (espacio-Tierra) se encuentra proyectada para su utilización por sistemas satelitales para la provisión de servicios móviles terrestres, marítimos y aeronáuticos con propósitos de seguridad nacional y cobertura social.</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 xml:space="preserve">Asimismo, la banda de frecuencias 1544 – 1545 MHz se encuentra atribuida al servicio móvil por satélite con un tipo </w:t>
            </w:r>
            <w:r w:rsidRPr="00C37FBD">
              <w:rPr>
                <w:rFonts w:ascii="ITC Avant Garde" w:eastAsia="Times New Roman" w:hAnsi="ITC Avant Garde"/>
                <w:sz w:val="12"/>
                <w:szCs w:val="12"/>
                <w:lang w:eastAsia="es-MX"/>
              </w:rPr>
              <w:lastRenderedPageBreak/>
              <w:t>de explotación de socorro y seguridad, así como para emisiones de radiobalizas de localización de siniestros por satélite, de conformidad con el Apéndice 15 del RR, por lo que esta banda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lastRenderedPageBreak/>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1559-1610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RADIONAVEGACIÓN AERONÁUTICA</w:t>
            </w:r>
            <w:r w:rsidRPr="00C37FBD">
              <w:rPr>
                <w:rFonts w:ascii="ITC Avant Garde" w:eastAsia="Times New Roman" w:hAnsi="ITC Avant Garde"/>
                <w:sz w:val="12"/>
                <w:szCs w:val="12"/>
                <w:lang w:eastAsia="es-MX"/>
              </w:rPr>
              <w:br/>
              <w:t>RADIONAVEGACIÓN POR SATÉLITE (espacio-Tierra) (espacio-espacio)</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virtud de que los servicios a los que se encuentra atribuida a título primario se consideran relacionados con la seguridad de la vida humana, la banda de frecuencias 1559-1610 MHz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1610-1610.6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 POR SATÉLITE (Tierra-espacio)</w:t>
            </w:r>
            <w:r w:rsidRPr="00C37FBD">
              <w:rPr>
                <w:rFonts w:ascii="ITC Avant Garde" w:eastAsia="Times New Roman" w:hAnsi="ITC Avant Garde"/>
                <w:sz w:val="12"/>
                <w:szCs w:val="12"/>
                <w:lang w:eastAsia="es-MX"/>
              </w:rPr>
              <w:br/>
              <w:t>RADIODETERMINACIÓN POR SATÉLITE (Tierra-espacio)</w:t>
            </w:r>
            <w:r w:rsidRPr="00C37FBD">
              <w:rPr>
                <w:rFonts w:ascii="ITC Avant Garde" w:eastAsia="Times New Roman" w:hAnsi="ITC Avant Garde"/>
                <w:sz w:val="12"/>
                <w:szCs w:val="12"/>
                <w:lang w:eastAsia="es-MX"/>
              </w:rPr>
              <w:br/>
              <w:t>RADIONAVEGACIÓN AERONÁUTICA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virtud de que el servicio de radionavegación aeronáutica se encuentra relacionado con la seguridad de la vida humana, la banda de frecuencias 1610-1610.6 MHz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1610.6-1613.8</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 POR SATÉLITE (Tierra-espacio)</w:t>
            </w:r>
            <w:r w:rsidRPr="00C37FBD">
              <w:rPr>
                <w:rFonts w:ascii="ITC Avant Garde" w:eastAsia="Times New Roman" w:hAnsi="ITC Avant Garde"/>
                <w:sz w:val="12"/>
                <w:szCs w:val="12"/>
                <w:lang w:eastAsia="es-MX"/>
              </w:rPr>
              <w:br/>
              <w:t>RADIOASTRONOMÍA</w:t>
            </w:r>
            <w:r w:rsidRPr="00C37FBD">
              <w:rPr>
                <w:rFonts w:ascii="ITC Avant Garde" w:eastAsia="Times New Roman" w:hAnsi="ITC Avant Garde"/>
                <w:sz w:val="12"/>
                <w:szCs w:val="12"/>
                <w:lang w:eastAsia="es-MX"/>
              </w:rPr>
              <w:br/>
              <w:t>RADIODETERMINACIÓN POR SATÉLITE (Tierra-espacio)</w:t>
            </w:r>
            <w:r w:rsidRPr="00C37FBD">
              <w:rPr>
                <w:rFonts w:ascii="ITC Avant Garde" w:eastAsia="Times New Roman" w:hAnsi="ITC Avant Garde"/>
                <w:sz w:val="12"/>
                <w:szCs w:val="12"/>
                <w:lang w:eastAsia="es-MX"/>
              </w:rPr>
              <w:br/>
              <w:t>RADIONAVEGACIÓN AERONÁUTICA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virtud de que el servicio de radionavegación aeronáutica se encuentra relacionado con la seguridad de la vida humana y por estar destinada para su uso por el servicio de radioastronomía, esta banda de frecuencias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1613.8-1626.5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 POR SATÉLITE (Tierra-espacio)</w:t>
            </w:r>
            <w:r w:rsidRPr="00C37FBD">
              <w:rPr>
                <w:rFonts w:ascii="ITC Avant Garde" w:eastAsia="Times New Roman" w:hAnsi="ITC Avant Garde"/>
                <w:sz w:val="12"/>
                <w:szCs w:val="12"/>
                <w:lang w:eastAsia="es-MX"/>
              </w:rPr>
              <w:br/>
              <w:t>RADIODETERMINACIÓN POR SATÉLITE (Tierra-espacio)</w:t>
            </w:r>
            <w:r w:rsidRPr="00C37FBD">
              <w:rPr>
                <w:rFonts w:ascii="ITC Avant Garde" w:eastAsia="Times New Roman" w:hAnsi="ITC Avant Garde"/>
                <w:sz w:val="12"/>
                <w:szCs w:val="12"/>
                <w:lang w:eastAsia="es-MX"/>
              </w:rPr>
              <w:br/>
              <w:t>RADIONAVEGACIÓN AERONÁUTICA</w:t>
            </w:r>
            <w:r w:rsidRPr="00C37FBD">
              <w:rPr>
                <w:rFonts w:ascii="ITC Avant Garde" w:eastAsia="Times New Roman" w:hAnsi="ITC Avant Garde"/>
                <w:sz w:val="12"/>
                <w:szCs w:val="12"/>
                <w:lang w:eastAsia="es-MX"/>
              </w:rPr>
              <w:br/>
              <w:t>Móvil por satélite (espacio-Tierra)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virtud de que el servicio de radionavegación aeronáutica se encuentra relacionado con la seguridad de la vida humana, esta banda de frecuencias se encuentra identificada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1626.5-1660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 POR SATÉLITE (Tierra-espacio)</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 xml:space="preserve">Las bandas de frecuencias 1626.5 – 1660.5 MHz (Tierra-espacio),  se encuentra proyectada para su </w:t>
            </w:r>
            <w:r w:rsidRPr="00C37FBD">
              <w:rPr>
                <w:rFonts w:ascii="ITC Avant Garde" w:eastAsia="Times New Roman" w:hAnsi="ITC Avant Garde"/>
                <w:sz w:val="12"/>
                <w:szCs w:val="12"/>
                <w:lang w:eastAsia="es-MX"/>
              </w:rPr>
              <w:lastRenderedPageBreak/>
              <w:t>utilización por sistemas satelitales para la provisión de servicios móviles terrestres, marítimos y aeronáuticos con propósitos de seguridad nacional y cobertura social.</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Asimismo, la banda de frecuencias 1645.5 – 1646.5 MHz atribuida al servicio móvil por satélite con un tipo de explotación de socorro y seguridad, de conformidad con el número 5.375 y el Apéndice 15 del RR, por lo que esta banda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lastRenderedPageBreak/>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1660-1660.5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 POR SATÉLITE (Tierra-espacio)</w:t>
            </w:r>
            <w:r w:rsidRPr="00C37FBD">
              <w:rPr>
                <w:rFonts w:ascii="ITC Avant Garde" w:eastAsia="Times New Roman" w:hAnsi="ITC Avant Garde"/>
                <w:sz w:val="12"/>
                <w:szCs w:val="12"/>
                <w:lang w:eastAsia="es-MX"/>
              </w:rPr>
              <w:br/>
              <w:t>RADIOASTRONOMÍA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Las bandas de frecuencias 1626.5 – 1660.5 MHz (Tierra-espacio),  se encuentra proyectada para su utilización por sistemas satelitales para la provisión de servicios móviles terrestres, marítimos y aeronáuticos con propósitos de seguridad nacional y cobertura social.</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Adicionalmente, la banda de frecuencias 1660-1660.5 MHz se encuentra destinada para su uso por el servicio de radioastronomía, por lo que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1660.5-1668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INVESTIGACIÓN ESPACIAL (pasivo)</w:t>
            </w:r>
            <w:r w:rsidRPr="00C37FBD">
              <w:rPr>
                <w:rFonts w:ascii="ITC Avant Garde" w:eastAsia="Times New Roman" w:hAnsi="ITC Avant Garde"/>
                <w:sz w:val="12"/>
                <w:szCs w:val="12"/>
                <w:lang w:eastAsia="es-MX"/>
              </w:rPr>
              <w:br/>
              <w:t>RADIOASTRONOMÍA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La banda de frecuencias 1660.5-1668 MHz se encuentra destinada para su uso por el servicio de radioastronomía, por lo que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1668-1668.4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INVESTIGACIÓN ESPACIAL (pasivo)</w:t>
            </w:r>
            <w:r w:rsidRPr="00C37FBD">
              <w:rPr>
                <w:rFonts w:ascii="ITC Avant Garde" w:eastAsia="Times New Roman" w:hAnsi="ITC Avant Garde"/>
                <w:sz w:val="12"/>
                <w:szCs w:val="12"/>
                <w:lang w:eastAsia="es-MX"/>
              </w:rPr>
              <w:br/>
              <w:t>MÓVIL POR SATÉLITE (Tierra-espacio)</w:t>
            </w:r>
            <w:r w:rsidRPr="00C37FBD">
              <w:rPr>
                <w:rFonts w:ascii="ITC Avant Garde" w:eastAsia="Times New Roman" w:hAnsi="ITC Avant Garde"/>
                <w:sz w:val="12"/>
                <w:szCs w:val="12"/>
                <w:lang w:eastAsia="es-MX"/>
              </w:rPr>
              <w:br/>
              <w:t>RADIOASTRONOMÍA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 xml:space="preserve">La banda de frecuencias 1668-1668.4 MHz se encuentra destinada para su uso por el servicio de radioastronomía, por lo que está clasificada </w:t>
            </w:r>
            <w:r w:rsidRPr="00C37FBD">
              <w:rPr>
                <w:rFonts w:ascii="ITC Avant Garde" w:eastAsia="Times New Roman" w:hAnsi="ITC Avant Garde"/>
                <w:sz w:val="12"/>
                <w:szCs w:val="12"/>
                <w:lang w:eastAsia="es-MX"/>
              </w:rPr>
              <w:lastRenderedPageBreak/>
              <w:t>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lastRenderedPageBreak/>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1668.4-1670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AYUDAS A LA METEOROLOGÍA</w:t>
            </w:r>
            <w:r w:rsidRPr="00C37FBD">
              <w:rPr>
                <w:rFonts w:ascii="ITC Avant Garde" w:eastAsia="Times New Roman" w:hAnsi="ITC Avant Garde"/>
                <w:sz w:val="12"/>
                <w:szCs w:val="12"/>
                <w:lang w:eastAsia="es-MX"/>
              </w:rPr>
              <w:br/>
              <w:t>MÓVIL POR SATÉLITE (Tierra-espacio)</w:t>
            </w:r>
            <w:r w:rsidRPr="00C37FBD">
              <w:rPr>
                <w:rFonts w:ascii="ITC Avant Garde" w:eastAsia="Times New Roman" w:hAnsi="ITC Avant Garde"/>
                <w:sz w:val="12"/>
                <w:szCs w:val="12"/>
                <w:lang w:eastAsia="es-MX"/>
              </w:rPr>
              <w:br/>
              <w:t>RADIOASTRONOMÍA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virtud de que el servicio de ayudas a la meteorología se encuentra relacionado con la seguridad de la vida humana y por estar destinada para su uso por el servicio de radioastronomía, esta banda de frecuencias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1670-1675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AYUDAS A LA METEOROLOGÍA</w:t>
            </w:r>
            <w:r w:rsidRPr="00C37FBD">
              <w:rPr>
                <w:rFonts w:ascii="ITC Avant Garde" w:eastAsia="Times New Roman" w:hAnsi="ITC Avant Garde"/>
                <w:sz w:val="12"/>
                <w:szCs w:val="12"/>
                <w:lang w:eastAsia="es-MX"/>
              </w:rPr>
              <w:br/>
            </w:r>
            <w:proofErr w:type="spellStart"/>
            <w:r w:rsidRPr="00C37FBD">
              <w:rPr>
                <w:rFonts w:ascii="ITC Avant Garde" w:eastAsia="Times New Roman" w:hAnsi="ITC Avant Garde"/>
                <w:sz w:val="12"/>
                <w:szCs w:val="12"/>
                <w:lang w:eastAsia="es-MX"/>
              </w:rPr>
              <w:t>METEOROLOGÍA</w:t>
            </w:r>
            <w:proofErr w:type="spellEnd"/>
            <w:r w:rsidRPr="00C37FBD">
              <w:rPr>
                <w:rFonts w:ascii="ITC Avant Garde" w:eastAsia="Times New Roman" w:hAnsi="ITC Avant Garde"/>
                <w:sz w:val="12"/>
                <w:szCs w:val="12"/>
                <w:lang w:eastAsia="es-MX"/>
              </w:rPr>
              <w:t xml:space="preserve"> POR SATÉLITE (espacio-Tierra)</w:t>
            </w:r>
            <w:r w:rsidRPr="00C37FBD">
              <w:rPr>
                <w:rFonts w:ascii="ITC Avant Garde" w:eastAsia="Times New Roman" w:hAnsi="ITC Avant Garde"/>
                <w:sz w:val="12"/>
                <w:szCs w:val="12"/>
                <w:lang w:eastAsia="es-MX"/>
              </w:rPr>
              <w:br/>
              <w:t>MÓVIL POR SATÉLITE (Tierra-espacio)</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virtud de que los servicios de ayudas a la meteorología y meteorología por satélite se encuentran relacionados con la seguridad de la vida humana, esta banda de frecuencias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1675-1690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AYUDAS A LA METEOROLOGÍA</w:t>
            </w:r>
            <w:r w:rsidRPr="00C37FBD">
              <w:rPr>
                <w:rFonts w:ascii="ITC Avant Garde" w:eastAsia="Times New Roman" w:hAnsi="ITC Avant Garde"/>
                <w:sz w:val="12"/>
                <w:szCs w:val="12"/>
                <w:lang w:eastAsia="es-MX"/>
              </w:rPr>
              <w:br/>
            </w:r>
            <w:proofErr w:type="spellStart"/>
            <w:r w:rsidRPr="00C37FBD">
              <w:rPr>
                <w:rFonts w:ascii="ITC Avant Garde" w:eastAsia="Times New Roman" w:hAnsi="ITC Avant Garde"/>
                <w:sz w:val="12"/>
                <w:szCs w:val="12"/>
                <w:lang w:eastAsia="es-MX"/>
              </w:rPr>
              <w:t>METEOROLOGÍA</w:t>
            </w:r>
            <w:proofErr w:type="spellEnd"/>
            <w:r w:rsidRPr="00C37FBD">
              <w:rPr>
                <w:rFonts w:ascii="ITC Avant Garde" w:eastAsia="Times New Roman" w:hAnsi="ITC Avant Garde"/>
                <w:sz w:val="12"/>
                <w:szCs w:val="12"/>
                <w:lang w:eastAsia="es-MX"/>
              </w:rPr>
              <w:t xml:space="preserve"> POR SATÉLITE (espacio-Tierra)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virtud de que los servicios a los que se encuentra atribuida a título primario se consideran relacionados con la seguridad de la vida humana, la banda de frecuencias 1675-1690 MHz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1690-1700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AYUDAS A LA METEOROLOGÍA</w:t>
            </w:r>
            <w:r w:rsidRPr="00C37FBD">
              <w:rPr>
                <w:rFonts w:ascii="ITC Avant Garde" w:eastAsia="Times New Roman" w:hAnsi="ITC Avant Garde"/>
                <w:sz w:val="12"/>
                <w:szCs w:val="12"/>
                <w:lang w:eastAsia="es-MX"/>
              </w:rPr>
              <w:br/>
            </w:r>
            <w:proofErr w:type="spellStart"/>
            <w:r w:rsidRPr="00C37FBD">
              <w:rPr>
                <w:rFonts w:ascii="ITC Avant Garde" w:eastAsia="Times New Roman" w:hAnsi="ITC Avant Garde"/>
                <w:sz w:val="12"/>
                <w:szCs w:val="12"/>
                <w:lang w:eastAsia="es-MX"/>
              </w:rPr>
              <w:t>METEOROLOGÍA</w:t>
            </w:r>
            <w:proofErr w:type="spellEnd"/>
            <w:r w:rsidRPr="00C37FBD">
              <w:rPr>
                <w:rFonts w:ascii="ITC Avant Garde" w:eastAsia="Times New Roman" w:hAnsi="ITC Avant Garde"/>
                <w:sz w:val="12"/>
                <w:szCs w:val="12"/>
                <w:lang w:eastAsia="es-MX"/>
              </w:rPr>
              <w:t xml:space="preserve"> POR SATÉLITE (espacio-Tierra)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virtud de que los servicios a los que se encuentra atribuida a título primario se consideran relacionados con la seguridad de la vida humana, la banda de frecuencias 1690-1700 MHz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1700-1710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FIJO</w:t>
            </w:r>
            <w:r w:rsidRPr="00C37FBD">
              <w:rPr>
                <w:rFonts w:ascii="ITC Avant Garde" w:eastAsia="Times New Roman" w:hAnsi="ITC Avant Garde"/>
                <w:sz w:val="12"/>
                <w:szCs w:val="12"/>
                <w:lang w:eastAsia="es-MX"/>
              </w:rPr>
              <w:br/>
              <w:t>METEOROLOGÍA POR SATÉLITE (espacio-Tierra)</w:t>
            </w:r>
            <w:r w:rsidRPr="00C37FBD">
              <w:rPr>
                <w:rFonts w:ascii="ITC Avant Garde" w:eastAsia="Times New Roman" w:hAnsi="ITC Avant Garde"/>
                <w:sz w:val="12"/>
                <w:szCs w:val="12"/>
                <w:lang w:eastAsia="es-MX"/>
              </w:rPr>
              <w:br/>
              <w:t>MÓVIL salvo móvil aeronáutico</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virtud de que el servicio de meteorología por satélite se encuentra relacionado con la seguridad de la vida humana, esta banda de frecuencias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obstante que el servicio solicitado es compatible con la atribución de la banda, este segmento está atribuido a servicios que deben operar sin interferencias perjudiciales provenientes de otros servicios</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1710-1780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 xml:space="preserve">La banda de frecuencias 1710-1780/2110-2180 MHz se encuentra actualmente </w:t>
            </w:r>
            <w:r w:rsidRPr="00C37FBD">
              <w:rPr>
                <w:rFonts w:ascii="ITC Avant Garde" w:eastAsia="Times New Roman" w:hAnsi="ITC Avant Garde"/>
                <w:sz w:val="12"/>
                <w:szCs w:val="12"/>
                <w:lang w:eastAsia="es-MX"/>
              </w:rPr>
              <w:lastRenderedPageBreak/>
              <w:t>concesionada para acceso inalámbrico móvil a nivel nacional.</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lastRenderedPageBreak/>
              <w:t xml:space="preserve">El tipo de servicio solicitado no es compatible con la atribución de la banda, ni </w:t>
            </w:r>
            <w:r w:rsidRPr="00C37FBD">
              <w:rPr>
                <w:rFonts w:ascii="ITC Avant Garde" w:eastAsia="Times New Roman" w:hAnsi="ITC Avant Garde"/>
                <w:sz w:val="12"/>
                <w:szCs w:val="12"/>
                <w:lang w:eastAsia="es-MX"/>
              </w:rPr>
              <w:lastRenderedPageBreak/>
              <w:t>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lastRenderedPageBreak/>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1780-1850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FIJO</w:t>
            </w:r>
            <w:r w:rsidRPr="00C37FBD">
              <w:rPr>
                <w:rFonts w:ascii="ITC Avant Garde" w:eastAsia="Times New Roman" w:hAnsi="ITC Avant Garde"/>
                <w:sz w:val="12"/>
                <w:szCs w:val="12"/>
                <w:lang w:eastAsia="es-MX"/>
              </w:rPr>
              <w:br/>
              <w:t>MÓVIL</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este segmento se cuenta con registros de diversos enlaces de microondas a lo largo del territorio nacional.</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servicio solicitado es compatible con el servicio atribuido para la banda de frecuencias, por lo tanto, como parte de las labores de planificación de espectro que realiza el Instituto, se analizará la viabilidad de incluir los segmentos disponibles para el servicio fijo. Una vez que se determine dicha viabilidad, se realizarán las acciones conducentes para determinar su  posible inclusión en un PABF posterior.</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1850-1920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segmento 1850 – 1910/1930 – 1990 MHz se encuentra actualmente concesionado para acceso inalámbrico fijo o móvil.</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1920-1930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FIJO</w:t>
            </w:r>
            <w:r w:rsidRPr="00C37FBD">
              <w:rPr>
                <w:rFonts w:ascii="ITC Avant Garde" w:eastAsia="Times New Roman" w:hAnsi="ITC Avant Garde"/>
                <w:sz w:val="12"/>
                <w:szCs w:val="12"/>
                <w:lang w:eastAsia="es-MX"/>
              </w:rPr>
              <w:br/>
              <w:t>MÓVIL</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 xml:space="preserve">La banda de frecuencias 1920-1930 MHz </w:t>
            </w:r>
            <w:proofErr w:type="spellStart"/>
            <w:r w:rsidRPr="00C37FBD">
              <w:rPr>
                <w:rFonts w:ascii="ITC Avant Garde" w:eastAsia="Times New Roman" w:hAnsi="ITC Avant Garde"/>
                <w:sz w:val="12"/>
                <w:szCs w:val="12"/>
                <w:lang w:eastAsia="es-MX"/>
              </w:rPr>
              <w:t>esta</w:t>
            </w:r>
            <w:proofErr w:type="spellEnd"/>
            <w:r w:rsidRPr="00C37FBD">
              <w:rPr>
                <w:rFonts w:ascii="ITC Avant Garde" w:eastAsia="Times New Roman" w:hAnsi="ITC Avant Garde"/>
                <w:sz w:val="12"/>
                <w:szCs w:val="12"/>
                <w:lang w:eastAsia="es-MX"/>
              </w:rPr>
              <w:t xml:space="preserve"> clasificada como espectro libre y su utilización se deberá apegar a los lineamientos de operación.</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 xml:space="preserve">No se considera viable incluir bandas de frecuencias clasificadas como espectro libre en el PABF, ya que no procede su </w:t>
            </w:r>
            <w:proofErr w:type="spellStart"/>
            <w:r w:rsidRPr="00C37FBD">
              <w:rPr>
                <w:rFonts w:ascii="ITC Avant Garde" w:eastAsia="Times New Roman" w:hAnsi="ITC Avant Garde"/>
                <w:sz w:val="12"/>
                <w:szCs w:val="12"/>
                <w:lang w:eastAsia="es-MX"/>
              </w:rPr>
              <w:t>concesionamiento</w:t>
            </w:r>
            <w:proofErr w:type="spellEnd"/>
            <w:r w:rsidRPr="00C37FBD">
              <w:rPr>
                <w:rFonts w:ascii="ITC Avant Garde" w:eastAsia="Times New Roman" w:hAnsi="ITC Avant Garde"/>
                <w:sz w:val="12"/>
                <w:szCs w:val="12"/>
                <w:lang w:eastAsia="es-MX"/>
              </w:rPr>
              <w:t>.</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9</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PABF-2017-TEL-56</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1930-2000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segmento 1850 – 1910/1930 – 1990 MHz se encuentra actualmente concesionado para acceso inalámbrico fijo o móvil.</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960-1164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 AERONÁUTICO (R)</w:t>
            </w:r>
            <w:r w:rsidRPr="00C37FBD">
              <w:rPr>
                <w:rFonts w:ascii="ITC Avant Garde" w:eastAsia="Times New Roman" w:hAnsi="ITC Avant Garde"/>
                <w:sz w:val="12"/>
                <w:szCs w:val="12"/>
                <w:lang w:eastAsia="es-MX"/>
              </w:rPr>
              <w:br/>
              <w:t>RADIONAVEGACIÓN AERONÁUTICA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virtud de que los servicios a los que se encuentra atribuida a título primario se consideran relacionados con la seguridad de la vida humana, la banda de frecuencias 960-1164 MHz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1164-1215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RADIONAVEGACIÓN AERONÁUTICA</w:t>
            </w:r>
            <w:r w:rsidRPr="00C37FBD">
              <w:rPr>
                <w:rFonts w:ascii="ITC Avant Garde" w:eastAsia="Times New Roman" w:hAnsi="ITC Avant Garde"/>
                <w:sz w:val="12"/>
                <w:szCs w:val="12"/>
                <w:lang w:eastAsia="es-MX"/>
              </w:rPr>
              <w:br/>
              <w:t>RADIONAVEGACIÓN POR SATÉLITE (espacio-Tierra) (espacio-espacio)</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 xml:space="preserve">En virtud de que los servicios a los que se encuentra atribuida a título primario se consideran relacionados con la seguridad de la vida humana, la banda de frecuencias 1164-1215 MHz está </w:t>
            </w:r>
            <w:r w:rsidRPr="00C37FBD">
              <w:rPr>
                <w:rFonts w:ascii="ITC Avant Garde" w:eastAsia="Times New Roman" w:hAnsi="ITC Avant Garde"/>
                <w:sz w:val="12"/>
                <w:szCs w:val="12"/>
                <w:lang w:eastAsia="es-MX"/>
              </w:rPr>
              <w:lastRenderedPageBreak/>
              <w:t>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lastRenderedPageBreak/>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1215-1240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EXPLORACIÓN DE LA TIERRA POR SATÉLITE (activo)</w:t>
            </w:r>
            <w:r w:rsidRPr="00C37FBD">
              <w:rPr>
                <w:rFonts w:ascii="ITC Avant Garde" w:eastAsia="Times New Roman" w:hAnsi="ITC Avant Garde"/>
                <w:sz w:val="12"/>
                <w:szCs w:val="12"/>
                <w:lang w:eastAsia="es-MX"/>
              </w:rPr>
              <w:br/>
              <w:t>INVESTIGACIÓN ESPACIAL (activo)</w:t>
            </w:r>
            <w:r w:rsidRPr="00C37FBD">
              <w:rPr>
                <w:rFonts w:ascii="ITC Avant Garde" w:eastAsia="Times New Roman" w:hAnsi="ITC Avant Garde"/>
                <w:sz w:val="12"/>
                <w:szCs w:val="12"/>
                <w:lang w:eastAsia="es-MX"/>
              </w:rPr>
              <w:br/>
              <w:t>RADIOLOCALIZACIÓN</w:t>
            </w:r>
            <w:r w:rsidRPr="00C37FBD">
              <w:rPr>
                <w:rFonts w:ascii="ITC Avant Garde" w:eastAsia="Times New Roman" w:hAnsi="ITC Avant Garde"/>
                <w:sz w:val="12"/>
                <w:szCs w:val="12"/>
                <w:lang w:eastAsia="es-MX"/>
              </w:rPr>
              <w:br/>
              <w:t>RADIONAVEGACIÓN POR SATÉLITE (espacio-Tierra) (espacio-espacio)</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virtud de que los servicios de exploración de la Tierra por satélite y radionavegación por satélite se encuentran relacionados con la seguridad de la vida humana, esta banda de frecuencias está clasificada como espectro protegido.</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Adicionalmente, se cuenta con un Protocolo firmado por México y Estados Unidos de América en el que se atribuye la banda de frecuencias de 1215-1400 MHz para servicios de radionavegación aeronáutica a lo largo de la frontera común.</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1240-1300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EXPLORACIÓN DE LA TIERRA POR SATÉLITE (activo)</w:t>
            </w:r>
            <w:r w:rsidRPr="00C37FBD">
              <w:rPr>
                <w:rFonts w:ascii="ITC Avant Garde" w:eastAsia="Times New Roman" w:hAnsi="ITC Avant Garde"/>
                <w:sz w:val="12"/>
                <w:szCs w:val="12"/>
                <w:lang w:eastAsia="es-MX"/>
              </w:rPr>
              <w:br/>
              <w:t>INVESTIGACIÓN ESPACIAL (activo)</w:t>
            </w:r>
            <w:r w:rsidRPr="00C37FBD">
              <w:rPr>
                <w:rFonts w:ascii="ITC Avant Garde" w:eastAsia="Times New Roman" w:hAnsi="ITC Avant Garde"/>
                <w:sz w:val="12"/>
                <w:szCs w:val="12"/>
                <w:lang w:eastAsia="es-MX"/>
              </w:rPr>
              <w:br/>
              <w:t>RADIOLOCALIZACIÓN</w:t>
            </w:r>
            <w:r w:rsidRPr="00C37FBD">
              <w:rPr>
                <w:rFonts w:ascii="ITC Avant Garde" w:eastAsia="Times New Roman" w:hAnsi="ITC Avant Garde"/>
                <w:sz w:val="12"/>
                <w:szCs w:val="12"/>
                <w:lang w:eastAsia="es-MX"/>
              </w:rPr>
              <w:br/>
              <w:t>RADIONAVEGACIÓN POR SATÉLITE (espacio-Tierra) (espacio-espacio)</w:t>
            </w:r>
            <w:r w:rsidRPr="00C37FBD">
              <w:rPr>
                <w:rFonts w:ascii="ITC Avant Garde" w:eastAsia="Times New Roman" w:hAnsi="ITC Avant Garde"/>
                <w:sz w:val="12"/>
                <w:szCs w:val="12"/>
                <w:lang w:eastAsia="es-MX"/>
              </w:rPr>
              <w:br/>
              <w:t>Aficionados</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virtud de que los servicios de exploración de la Tierra por satélite y radionavegación por satélite se encuentran relacionados con la seguridad de la vida humana esta banda de frecuencias está clasificada como espectro protegido.</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Adicionalmente, se cuenta con un Protocolo firmado por México y Estados Unidos de América en el que se atribuye la banda de frecuencias de 1215-1400 MHz para servicios de radionavegación aeronáutica a lo largo de la frontera común.</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1300-1350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RADIOLOCALIZACIÓN</w:t>
            </w:r>
            <w:r w:rsidRPr="00C37FBD">
              <w:rPr>
                <w:rFonts w:ascii="ITC Avant Garde" w:eastAsia="Times New Roman" w:hAnsi="ITC Avant Garde"/>
                <w:sz w:val="12"/>
                <w:szCs w:val="12"/>
                <w:lang w:eastAsia="es-MX"/>
              </w:rPr>
              <w:br/>
              <w:t>RADIONAVEGACIÓN AERONÁUTICA</w:t>
            </w:r>
            <w:r w:rsidRPr="00C37FBD">
              <w:rPr>
                <w:rFonts w:ascii="ITC Avant Garde" w:eastAsia="Times New Roman" w:hAnsi="ITC Avant Garde"/>
                <w:sz w:val="12"/>
                <w:szCs w:val="12"/>
                <w:lang w:eastAsia="es-MX"/>
              </w:rPr>
              <w:br/>
              <w:t>RADIONAVEGACIÓN POR SATÉLITE</w:t>
            </w:r>
            <w:r w:rsidRPr="00C37FBD">
              <w:rPr>
                <w:rFonts w:ascii="ITC Avant Garde" w:eastAsia="Times New Roman" w:hAnsi="ITC Avant Garde"/>
                <w:sz w:val="12"/>
                <w:szCs w:val="12"/>
                <w:lang w:eastAsia="es-MX"/>
              </w:rPr>
              <w:br/>
              <w:t>(Tierra-espacio)</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virtud de que los servicios de radionavegación aeronáutica y radionavegación por satélite se encuentran relacionados con la seguridad de la vida humana esta banda de frecuencias está clasificada como espectro protegido.</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lastRenderedPageBreak/>
              <w:br/>
              <w:t>Adicionalmente, se cuenta con un Protocolo firmado por México y Estados Unidos de América en el que se atribuye la banda de frecuencias de 1215-1400 MHz para servicios de radionavegación aeronáutica a lo largo de la frontera común.</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lastRenderedPageBreak/>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1350-1400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RADIOLOCALIZACIÓN</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se tiene contemplado ningún cambio en la atribución de la banda de frecuencias 1350-1400 MHz.</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Adicionalmente, se cuenta con un Protocolo firmado por México y Estados Unidos de América en el que se atribuye la banda de frecuencias de 1215-1400 MHz para servicios de radionavegación aeronáutica a lo largo de la frontera común.</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1400-1427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EXPLORACIÓN DE LA TIERRA POR SATÉLITE (pasivo)</w:t>
            </w:r>
            <w:r w:rsidRPr="00C37FBD">
              <w:rPr>
                <w:rFonts w:ascii="ITC Avant Garde" w:eastAsia="Times New Roman" w:hAnsi="ITC Avant Garde"/>
                <w:sz w:val="12"/>
                <w:szCs w:val="12"/>
                <w:lang w:eastAsia="es-MX"/>
              </w:rPr>
              <w:br/>
              <w:t>INVESTIGACIÓN ESPACIAL (pasivo)</w:t>
            </w:r>
            <w:r w:rsidRPr="00C37FBD">
              <w:rPr>
                <w:rFonts w:ascii="ITC Avant Garde" w:eastAsia="Times New Roman" w:hAnsi="ITC Avant Garde"/>
                <w:sz w:val="12"/>
                <w:szCs w:val="12"/>
                <w:lang w:eastAsia="es-MX"/>
              </w:rPr>
              <w:br/>
              <w:t>RADIOASTRONOMÍA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virtud de que el servicio de exploración de la Tierra por satélite se encuentra relacionado con la seguridad de la vida humana y por estar destinada para su uso por el servicio de radioastronomía, esta banda de frecuencias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1427-1429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FIJO</w:t>
            </w:r>
            <w:r w:rsidRPr="00C37FBD">
              <w:rPr>
                <w:rFonts w:ascii="ITC Avant Garde" w:eastAsia="Times New Roman" w:hAnsi="ITC Avant Garde"/>
                <w:sz w:val="12"/>
                <w:szCs w:val="12"/>
                <w:lang w:eastAsia="es-MX"/>
              </w:rPr>
              <w:br/>
              <w:t>MÓVIL salvo móvil aeronáutico</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Esta banda de frecuencias ha sido identificada para su utilización por las administraciones de la Región 2 interesadas en desplegar sistemas IMT en la CMR-15.</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Como parte de las labores de planificación de espectro que realiza el Instituto, se analiza la viabilidad de poner a disposición este segmento para aplicaciones de banda ancha móvil.</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planificación de la banda.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1429-1518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FIJO</w:t>
            </w:r>
            <w:r w:rsidRPr="00C37FBD">
              <w:rPr>
                <w:rFonts w:ascii="ITC Avant Garde" w:eastAsia="Times New Roman" w:hAnsi="ITC Avant Garde"/>
                <w:sz w:val="12"/>
                <w:szCs w:val="12"/>
                <w:lang w:eastAsia="es-MX"/>
              </w:rPr>
              <w:br/>
              <w:t>MÓVIL</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Esta banda de frecuencias ha sido identificada para su utilización por las administraciones de la Región 2 interesadas en desplegar sistemas IMT en la CMR-15.</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Como parte de las labores de planificación de espectro que realiza el Instituto, se analiza la viabilidad de poner a disposición este segmento para aplicaciones de banda ancha móvil.</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planificación de la banda.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1518-1535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 POR SATÉLITE (espacio-Tierra)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Las bandas de frecuencias 1518 – 1559 MHz (espacio-Tierra) se encuentra proyectada para su utilización por sistemas satelitales para la provisión de servicios móviles terrestres, marítimos y aeronáuticos con propósitos de seguridad nacional y cobertura social.</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1535-1559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 POR SATÉLITE (espacio-Tierra)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Las bandas de frecuencias 1518 – 1559 MHz (espacio-Tierra) se encuentra proyectada para su utilización por sistemas satelitales para la provisión de servicios móviles terrestres, marítimos y aeronáuticos con propósitos de seguridad nacional y cobertura social.</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Asimismo, la banda de frecuencias 1544 – 1545 MHz se encuentra atribuida al servicio móvil por satélite con un tipo de explotación de socorro y seguridad, así como para emisiones de radiobalizas de localización de siniestros por satélite, de conformidad con el Apéndice 15 del RR, por lo que esta banda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1559-1610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RADIONAVEGACIÓN AERONÁUTICA</w:t>
            </w:r>
            <w:r w:rsidRPr="00C37FBD">
              <w:rPr>
                <w:rFonts w:ascii="ITC Avant Garde" w:eastAsia="Times New Roman" w:hAnsi="ITC Avant Garde"/>
                <w:sz w:val="12"/>
                <w:szCs w:val="12"/>
                <w:lang w:eastAsia="es-MX"/>
              </w:rPr>
              <w:br/>
              <w:t>RADIONAVEGACIÓN POR SATÉLITE (espacio-Tierra) (espacio-espacio)</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virtud de que los servicios a los que se encuentra atribuida a título primario se consideran relacionados con la seguridad de la vida humana, la banda de frecuencias 1559-1610 MHz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1610-1610.6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 POR SATÉLITE (Tierra-espacio)</w:t>
            </w:r>
            <w:r w:rsidRPr="00C37FBD">
              <w:rPr>
                <w:rFonts w:ascii="ITC Avant Garde" w:eastAsia="Times New Roman" w:hAnsi="ITC Avant Garde"/>
                <w:sz w:val="12"/>
                <w:szCs w:val="12"/>
                <w:lang w:eastAsia="es-MX"/>
              </w:rPr>
              <w:br/>
              <w:t>RADIODETERMINACIÓN POR SATÉLITE (Tierra-espacio)</w:t>
            </w:r>
            <w:r w:rsidRPr="00C37FBD">
              <w:rPr>
                <w:rFonts w:ascii="ITC Avant Garde" w:eastAsia="Times New Roman" w:hAnsi="ITC Avant Garde"/>
                <w:sz w:val="12"/>
                <w:szCs w:val="12"/>
                <w:lang w:eastAsia="es-MX"/>
              </w:rPr>
              <w:br/>
              <w:t>RADIONAVEGACIÓN AERONÁUTICA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virtud de que el servicio de radionavegación aeronáutica se encuentra relacionado con la seguridad de la vida humana, la banda de frecuencias 1610-1610.6 MHz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1610.6-1613.8</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 POR SATÉLITE (Tierra-espacio)</w:t>
            </w:r>
            <w:r w:rsidRPr="00C37FBD">
              <w:rPr>
                <w:rFonts w:ascii="ITC Avant Garde" w:eastAsia="Times New Roman" w:hAnsi="ITC Avant Garde"/>
                <w:sz w:val="12"/>
                <w:szCs w:val="12"/>
                <w:lang w:eastAsia="es-MX"/>
              </w:rPr>
              <w:br/>
              <w:t>RADIOASTRONOMÍA</w:t>
            </w:r>
            <w:r w:rsidRPr="00C37FBD">
              <w:rPr>
                <w:rFonts w:ascii="ITC Avant Garde" w:eastAsia="Times New Roman" w:hAnsi="ITC Avant Garde"/>
                <w:sz w:val="12"/>
                <w:szCs w:val="12"/>
                <w:lang w:eastAsia="es-MX"/>
              </w:rPr>
              <w:br/>
              <w:t>RADIODETERMINACIÓN POR SATÉLITE (Tierra-espacio)</w:t>
            </w:r>
            <w:r w:rsidRPr="00C37FBD">
              <w:rPr>
                <w:rFonts w:ascii="ITC Avant Garde" w:eastAsia="Times New Roman" w:hAnsi="ITC Avant Garde"/>
                <w:sz w:val="12"/>
                <w:szCs w:val="12"/>
                <w:lang w:eastAsia="es-MX"/>
              </w:rPr>
              <w:br/>
              <w:t>RADIONAVEGACIÓN AERONÁUTICA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virtud de que el servicio de radionavegación aeronáutica se encuentra relacionado con la seguridad de la vida humana y por estar destinada para su uso por el servicio de radioastronomía, esta banda de frecuencias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1613.8-1626.5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 POR SATÉLITE (Tierra-espacio)</w:t>
            </w:r>
            <w:r w:rsidRPr="00C37FBD">
              <w:rPr>
                <w:rFonts w:ascii="ITC Avant Garde" w:eastAsia="Times New Roman" w:hAnsi="ITC Avant Garde"/>
                <w:sz w:val="12"/>
                <w:szCs w:val="12"/>
                <w:lang w:eastAsia="es-MX"/>
              </w:rPr>
              <w:br/>
              <w:t>RADIODETERMINACIÓN POR SATÉLITE (Tierra-espacio)</w:t>
            </w:r>
            <w:r w:rsidRPr="00C37FBD">
              <w:rPr>
                <w:rFonts w:ascii="ITC Avant Garde" w:eastAsia="Times New Roman" w:hAnsi="ITC Avant Garde"/>
                <w:sz w:val="12"/>
                <w:szCs w:val="12"/>
                <w:lang w:eastAsia="es-MX"/>
              </w:rPr>
              <w:br/>
              <w:t>RADIONAVEGACIÓN AERONÁUTICA</w:t>
            </w:r>
            <w:r w:rsidRPr="00C37FBD">
              <w:rPr>
                <w:rFonts w:ascii="ITC Avant Garde" w:eastAsia="Times New Roman" w:hAnsi="ITC Avant Garde"/>
                <w:sz w:val="12"/>
                <w:szCs w:val="12"/>
                <w:lang w:eastAsia="es-MX"/>
              </w:rPr>
              <w:br/>
              <w:t>Móvil por satélite (espacio-Tierra)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virtud de que el servicio de radionavegación aeronáutica se encuentra relacionado con la seguridad de la vida humana, esta banda de frecuencias se encuentra identificada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1626.5-1660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 POR SATÉLITE (Tierra-espacio)</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Las bandas de frecuencias 1626.5 – 1660.5 MHz (Tierra-espacio),  se encuentra proyectada para su utilización por sistemas satelitales para la provisión de servicios móviles terrestres, marítimos y aeronáuticos con propósitos de seguridad nacional y cobertura social.</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 xml:space="preserve">Asimismo, la banda de frecuencias 1645.5 – </w:t>
            </w:r>
            <w:r w:rsidRPr="00C37FBD">
              <w:rPr>
                <w:rFonts w:ascii="ITC Avant Garde" w:eastAsia="Times New Roman" w:hAnsi="ITC Avant Garde"/>
                <w:sz w:val="12"/>
                <w:szCs w:val="12"/>
                <w:lang w:eastAsia="es-MX"/>
              </w:rPr>
              <w:lastRenderedPageBreak/>
              <w:t>1646.5 MHz atribuida al servicio móvil por satélite con un tipo de explotación de socorro y seguridad, de conformidad con el número 5.375 y el Apéndice 15 del RR, por lo que esta banda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lastRenderedPageBreak/>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1660-1660.5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 POR SATÉLITE (Tierra-espacio)</w:t>
            </w:r>
            <w:r w:rsidRPr="00C37FBD">
              <w:rPr>
                <w:rFonts w:ascii="ITC Avant Garde" w:eastAsia="Times New Roman" w:hAnsi="ITC Avant Garde"/>
                <w:sz w:val="12"/>
                <w:szCs w:val="12"/>
                <w:lang w:eastAsia="es-MX"/>
              </w:rPr>
              <w:br/>
              <w:t>RADIOASTRONOMÍA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Las bandas de frecuencias 1626.5 – 1660.5 MHz (Tierra-espacio),  se encuentra proyectada para su utilización por sistemas satelitales para la provisión de servicios móviles terrestres, marítimos y aeronáuticos con propósitos de seguridad nacional y cobertura social.</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Asimismo, la banda de frecuencias 1660-1660.5 MHz se encuentra destinada para su uso por el servicio de radioastronomía, por lo que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1660.5-1668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INVESTIGACIÓN ESPACIAL (pasivo)</w:t>
            </w:r>
            <w:r w:rsidRPr="00C37FBD">
              <w:rPr>
                <w:rFonts w:ascii="ITC Avant Garde" w:eastAsia="Times New Roman" w:hAnsi="ITC Avant Garde"/>
                <w:sz w:val="12"/>
                <w:szCs w:val="12"/>
                <w:lang w:eastAsia="es-MX"/>
              </w:rPr>
              <w:br/>
              <w:t>RADIOASTRONOMÍA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La banda de frecuencias 1660.5-1668 MHz se encuentra destinada para su uso por el servicio de radioastronomía, por lo que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1668-1668.4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INVESTIGACIÓN ESPACIAL (pasivo)</w:t>
            </w:r>
            <w:r w:rsidRPr="00C37FBD">
              <w:rPr>
                <w:rFonts w:ascii="ITC Avant Garde" w:eastAsia="Times New Roman" w:hAnsi="ITC Avant Garde"/>
                <w:sz w:val="12"/>
                <w:szCs w:val="12"/>
                <w:lang w:eastAsia="es-MX"/>
              </w:rPr>
              <w:br/>
              <w:t>MÓVIL POR SATÉLITE (Tierra-espacio)</w:t>
            </w:r>
            <w:r w:rsidRPr="00C37FBD">
              <w:rPr>
                <w:rFonts w:ascii="ITC Avant Garde" w:eastAsia="Times New Roman" w:hAnsi="ITC Avant Garde"/>
                <w:sz w:val="12"/>
                <w:szCs w:val="12"/>
                <w:lang w:eastAsia="es-MX"/>
              </w:rPr>
              <w:br/>
              <w:t>RADIOASTRONOMÍA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La banda de frecuencias 1668-1668.4 MHz se encuentra destinada para su uso por el servicio de radioastronomía, por lo que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1668.4-1670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AYUDAS A LA METEOROLOGÍA</w:t>
            </w:r>
            <w:r w:rsidRPr="00C37FBD">
              <w:rPr>
                <w:rFonts w:ascii="ITC Avant Garde" w:eastAsia="Times New Roman" w:hAnsi="ITC Avant Garde"/>
                <w:sz w:val="12"/>
                <w:szCs w:val="12"/>
                <w:lang w:eastAsia="es-MX"/>
              </w:rPr>
              <w:br/>
              <w:t>MÓVIL POR SATÉLITE (Tierra-espacio)</w:t>
            </w:r>
            <w:r w:rsidRPr="00C37FBD">
              <w:rPr>
                <w:rFonts w:ascii="ITC Avant Garde" w:eastAsia="Times New Roman" w:hAnsi="ITC Avant Garde"/>
                <w:sz w:val="12"/>
                <w:szCs w:val="12"/>
                <w:lang w:eastAsia="es-MX"/>
              </w:rPr>
              <w:br/>
              <w:t>RADIOASTRONOMÍA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 xml:space="preserve">En virtud de que el servicio de ayudas a la meteorología se encuentra relacionado con la seguridad de la vida humana y por estar destinada para su uso por el servicio de radioastronomía, esta banda de frecuencias </w:t>
            </w:r>
            <w:r w:rsidRPr="00C37FBD">
              <w:rPr>
                <w:rFonts w:ascii="ITC Avant Garde" w:eastAsia="Times New Roman" w:hAnsi="ITC Avant Garde"/>
                <w:sz w:val="12"/>
                <w:szCs w:val="12"/>
                <w:lang w:eastAsia="es-MX"/>
              </w:rPr>
              <w:lastRenderedPageBreak/>
              <w:t>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lastRenderedPageBreak/>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1670-1675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AYUDAS A LA METEOROLOGÍA</w:t>
            </w:r>
            <w:r w:rsidRPr="00C37FBD">
              <w:rPr>
                <w:rFonts w:ascii="ITC Avant Garde" w:eastAsia="Times New Roman" w:hAnsi="ITC Avant Garde"/>
                <w:sz w:val="12"/>
                <w:szCs w:val="12"/>
                <w:lang w:eastAsia="es-MX"/>
              </w:rPr>
              <w:br/>
            </w:r>
            <w:proofErr w:type="spellStart"/>
            <w:r w:rsidRPr="00C37FBD">
              <w:rPr>
                <w:rFonts w:ascii="ITC Avant Garde" w:eastAsia="Times New Roman" w:hAnsi="ITC Avant Garde"/>
                <w:sz w:val="12"/>
                <w:szCs w:val="12"/>
                <w:lang w:eastAsia="es-MX"/>
              </w:rPr>
              <w:t>METEOROLOGÍA</w:t>
            </w:r>
            <w:proofErr w:type="spellEnd"/>
            <w:r w:rsidRPr="00C37FBD">
              <w:rPr>
                <w:rFonts w:ascii="ITC Avant Garde" w:eastAsia="Times New Roman" w:hAnsi="ITC Avant Garde"/>
                <w:sz w:val="12"/>
                <w:szCs w:val="12"/>
                <w:lang w:eastAsia="es-MX"/>
              </w:rPr>
              <w:t xml:space="preserve"> POR SATÉLITE (espacio-Tierra)</w:t>
            </w:r>
            <w:r w:rsidRPr="00C37FBD">
              <w:rPr>
                <w:rFonts w:ascii="ITC Avant Garde" w:eastAsia="Times New Roman" w:hAnsi="ITC Avant Garde"/>
                <w:sz w:val="12"/>
                <w:szCs w:val="12"/>
                <w:lang w:eastAsia="es-MX"/>
              </w:rPr>
              <w:br/>
              <w:t>MÓVIL POR SATÉLITE (Tierra-espacio)</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virtud de que los servicios de ayudas a la meteorología y meteorología por satélite se encuentran relacionados con la seguridad de la vida humana, esta banda de frecuencias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1675-1690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AYUDAS A LA METEOROLOGÍA</w:t>
            </w:r>
            <w:r w:rsidRPr="00C37FBD">
              <w:rPr>
                <w:rFonts w:ascii="ITC Avant Garde" w:eastAsia="Times New Roman" w:hAnsi="ITC Avant Garde"/>
                <w:sz w:val="12"/>
                <w:szCs w:val="12"/>
                <w:lang w:eastAsia="es-MX"/>
              </w:rPr>
              <w:br/>
            </w:r>
            <w:proofErr w:type="spellStart"/>
            <w:r w:rsidRPr="00C37FBD">
              <w:rPr>
                <w:rFonts w:ascii="ITC Avant Garde" w:eastAsia="Times New Roman" w:hAnsi="ITC Avant Garde"/>
                <w:sz w:val="12"/>
                <w:szCs w:val="12"/>
                <w:lang w:eastAsia="es-MX"/>
              </w:rPr>
              <w:t>METEOROLOGÍA</w:t>
            </w:r>
            <w:proofErr w:type="spellEnd"/>
            <w:r w:rsidRPr="00C37FBD">
              <w:rPr>
                <w:rFonts w:ascii="ITC Avant Garde" w:eastAsia="Times New Roman" w:hAnsi="ITC Avant Garde"/>
                <w:sz w:val="12"/>
                <w:szCs w:val="12"/>
                <w:lang w:eastAsia="es-MX"/>
              </w:rPr>
              <w:t xml:space="preserve"> POR SATÉLITE (espacio-Tierra)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virtud de que los servicios a los que se encuentra atribuida a título primario se consideran relacionados con la seguridad de la vida humana, la banda de frecuencias 1675-1690 MHz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1690-1700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AYUDAS A LA METEOROLOGÍA</w:t>
            </w:r>
            <w:r w:rsidRPr="00C37FBD">
              <w:rPr>
                <w:rFonts w:ascii="ITC Avant Garde" w:eastAsia="Times New Roman" w:hAnsi="ITC Avant Garde"/>
                <w:sz w:val="12"/>
                <w:szCs w:val="12"/>
                <w:lang w:eastAsia="es-MX"/>
              </w:rPr>
              <w:br/>
            </w:r>
            <w:proofErr w:type="spellStart"/>
            <w:r w:rsidRPr="00C37FBD">
              <w:rPr>
                <w:rFonts w:ascii="ITC Avant Garde" w:eastAsia="Times New Roman" w:hAnsi="ITC Avant Garde"/>
                <w:sz w:val="12"/>
                <w:szCs w:val="12"/>
                <w:lang w:eastAsia="es-MX"/>
              </w:rPr>
              <w:t>METEOROLOGÍA</w:t>
            </w:r>
            <w:proofErr w:type="spellEnd"/>
            <w:r w:rsidRPr="00C37FBD">
              <w:rPr>
                <w:rFonts w:ascii="ITC Avant Garde" w:eastAsia="Times New Roman" w:hAnsi="ITC Avant Garde"/>
                <w:sz w:val="12"/>
                <w:szCs w:val="12"/>
                <w:lang w:eastAsia="es-MX"/>
              </w:rPr>
              <w:t xml:space="preserve"> POR SATÉLITE (espacio-Tierra)</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virtud de que los servicios a los que se encuentra atribuida a título primario se consideran relacionados con la seguridad de la vida humana, la banda de frecuencias 1690-1700 MHz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1700-1710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FIJO</w:t>
            </w:r>
            <w:r w:rsidRPr="00C37FBD">
              <w:rPr>
                <w:rFonts w:ascii="ITC Avant Garde" w:eastAsia="Times New Roman" w:hAnsi="ITC Avant Garde"/>
                <w:sz w:val="12"/>
                <w:szCs w:val="12"/>
                <w:lang w:eastAsia="es-MX"/>
              </w:rPr>
              <w:br/>
              <w:t>METEOROLOGÍA POR SATÉLITE (espacio-Tierra)</w:t>
            </w:r>
            <w:r w:rsidRPr="00C37FBD">
              <w:rPr>
                <w:rFonts w:ascii="ITC Avant Garde" w:eastAsia="Times New Roman" w:hAnsi="ITC Avant Garde"/>
                <w:sz w:val="12"/>
                <w:szCs w:val="12"/>
                <w:lang w:eastAsia="es-MX"/>
              </w:rPr>
              <w:br/>
              <w:t>MÓVIL salvo móvil aeronáutico</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virtud de que el servicio de meteorología por satélite se encuentra relacionado con la seguridad de la vida humana, esta banda de frecuencias está clasificada como espectro protegido.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obstante que el servicio solicitado es compatible con la atribución de la banda, este segmento está atribuido a servicios que deben operar sin interferencias perjudiciales provenientes de otros servicios</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1710-1780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La banda de frecuencias 1710-1780/2110-2180 MHz se encuentra actualmente concesionada para acceso inalámbrico móvil a nivel nacional.</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1780-1850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FIJO</w:t>
            </w:r>
            <w:r w:rsidRPr="00C37FBD">
              <w:rPr>
                <w:rFonts w:ascii="ITC Avant Garde" w:eastAsia="Times New Roman" w:hAnsi="ITC Avant Garde"/>
                <w:sz w:val="12"/>
                <w:szCs w:val="12"/>
                <w:lang w:eastAsia="es-MX"/>
              </w:rPr>
              <w:br/>
              <w:t>MÓVIL</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En este segmento se cuenta con registros de diversos enlaces de microondas a lo largo del territorio nacional.</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 xml:space="preserve">El servicio solicitado es compatible con el servicio atribuido para la banda de frecuencias, por lo tanto, como parte de las labores de planificación de espectro que realiza el Instituto, se analizará la viabilidad de incluir los </w:t>
            </w:r>
            <w:r w:rsidRPr="00C37FBD">
              <w:rPr>
                <w:rFonts w:ascii="ITC Avant Garde" w:eastAsia="Times New Roman" w:hAnsi="ITC Avant Garde"/>
                <w:sz w:val="12"/>
                <w:szCs w:val="12"/>
                <w:lang w:eastAsia="es-MX"/>
              </w:rPr>
              <w:lastRenderedPageBreak/>
              <w:t>segmentos disponibles para el servicio fijo. Una vez que se determine dicha viabilidad, se realizarán las acciones conducentes para determinar su  posible inclusión en un PABF posterior.</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lastRenderedPageBreak/>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1850-1920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segmento 1850 – 1910/1930 – 1990 MHz se encuentra actualmente concesionado para acceso inalámbrico fijo o móvil.</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1920-1930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FIJO</w:t>
            </w:r>
            <w:r w:rsidRPr="00C37FBD">
              <w:rPr>
                <w:rFonts w:ascii="ITC Avant Garde" w:eastAsia="Times New Roman" w:hAnsi="ITC Avant Garde"/>
                <w:sz w:val="12"/>
                <w:szCs w:val="12"/>
                <w:lang w:eastAsia="es-MX"/>
              </w:rPr>
              <w:br/>
              <w:t>MÓVIL</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 xml:space="preserve">La banda de frecuencias 1920-1930 MHz </w:t>
            </w:r>
            <w:proofErr w:type="spellStart"/>
            <w:r w:rsidRPr="00C37FBD">
              <w:rPr>
                <w:rFonts w:ascii="ITC Avant Garde" w:eastAsia="Times New Roman" w:hAnsi="ITC Avant Garde"/>
                <w:sz w:val="12"/>
                <w:szCs w:val="12"/>
                <w:lang w:eastAsia="es-MX"/>
              </w:rPr>
              <w:t>esta</w:t>
            </w:r>
            <w:proofErr w:type="spellEnd"/>
            <w:r w:rsidRPr="00C37FBD">
              <w:rPr>
                <w:rFonts w:ascii="ITC Avant Garde" w:eastAsia="Times New Roman" w:hAnsi="ITC Avant Garde"/>
                <w:sz w:val="12"/>
                <w:szCs w:val="12"/>
                <w:lang w:eastAsia="es-MX"/>
              </w:rPr>
              <w:t xml:space="preserve"> clasificada como espectro libre y su utilización se deberá apegar a los lineamientos de operación.</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 xml:space="preserve">No se considera viable incluir bandas de frecuencias clasificadas como espectro libre en el PABF, ya que no procede su </w:t>
            </w:r>
            <w:proofErr w:type="spellStart"/>
            <w:r w:rsidRPr="00C37FBD">
              <w:rPr>
                <w:rFonts w:ascii="ITC Avant Garde" w:eastAsia="Times New Roman" w:hAnsi="ITC Avant Garde"/>
                <w:sz w:val="12"/>
                <w:szCs w:val="12"/>
                <w:lang w:eastAsia="es-MX"/>
              </w:rPr>
              <w:t>concesionamiento</w:t>
            </w:r>
            <w:proofErr w:type="spellEnd"/>
            <w:r w:rsidRPr="00C37FBD">
              <w:rPr>
                <w:rFonts w:ascii="ITC Avant Garde" w:eastAsia="Times New Roman" w:hAnsi="ITC Avant Garde"/>
                <w:sz w:val="12"/>
                <w:szCs w:val="12"/>
                <w:lang w:eastAsia="es-MX"/>
              </w:rPr>
              <w:t>.</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10</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PABF-2017-TEL-57</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18/11/2016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Nacional</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1930-2000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segmento 1850 – 1910/1930 – 1990 MHz se encuentra actualmente concesionado para acceso inalámbrico fijo o móvil.</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11</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PABF-2017-TEL-58</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07/12/2016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Acceso inalámbrico fijo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1-1</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Por Municipio</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 xml:space="preserve">Uso Social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535-1605 kHz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RADIODIFUSIÓN</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La banda de frecuencias 535–1605 kHz se emplea para la provisión del servicio de radiodifusión sonora en AM.</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El tipo de servicio solicitado no es compatible con la atribución de la banda, ni con la planificación de la misma.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12</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PABF-2017-TEL-59</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19/12/2016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Acceso inalámbrico móvil-banda ancha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806-824/851-869</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Localidad</w:t>
            </w:r>
          </w:p>
        </w:tc>
        <w:tc>
          <w:tcPr>
            <w:tcW w:w="383" w:type="pct"/>
            <w:tcBorders>
              <w:top w:val="nil"/>
              <w:left w:val="nil"/>
              <w:bottom w:val="single" w:sz="4" w:space="0" w:color="auto"/>
              <w:right w:val="single" w:sz="4" w:space="0" w:color="auto"/>
            </w:tcBorders>
            <w:shd w:val="clear" w:color="auto" w:fill="auto"/>
            <w:vAlign w:val="center"/>
            <w:hideMark/>
          </w:tcPr>
          <w:p w:rsidR="004A714B" w:rsidRPr="004050D0" w:rsidRDefault="004A714B" w:rsidP="004A714B">
            <w:pPr>
              <w:spacing w:after="0" w:line="240" w:lineRule="auto"/>
              <w:jc w:val="both"/>
              <w:rPr>
                <w:rFonts w:ascii="ITC Avant Garde" w:hAnsi="ITC Avant Garde"/>
                <w:color w:val="000000"/>
                <w:sz w:val="12"/>
                <w:szCs w:val="12"/>
                <w:lang w:eastAsia="es-MX"/>
              </w:rPr>
            </w:pPr>
            <w:r w:rsidRPr="004050D0">
              <w:rPr>
                <w:rFonts w:ascii="ITC Avant Garde" w:hAnsi="ITC Avant Garde"/>
                <w:color w:val="000000"/>
                <w:sz w:val="12"/>
                <w:szCs w:val="12"/>
              </w:rPr>
              <w:t xml:space="preserve">Uso Comercial (La modalidad de uso solicitada fue pública, no </w:t>
            </w:r>
            <w:proofErr w:type="spellStart"/>
            <w:r w:rsidRPr="004050D0">
              <w:rPr>
                <w:rFonts w:ascii="ITC Avant Garde" w:hAnsi="ITC Avant Garde"/>
                <w:color w:val="000000"/>
                <w:sz w:val="12"/>
                <w:szCs w:val="12"/>
              </w:rPr>
              <w:t>obstate</w:t>
            </w:r>
            <w:proofErr w:type="spellEnd"/>
            <w:r w:rsidRPr="004050D0">
              <w:rPr>
                <w:rFonts w:ascii="ITC Avant Garde" w:hAnsi="ITC Avant Garde"/>
                <w:color w:val="000000"/>
                <w:sz w:val="12"/>
                <w:szCs w:val="12"/>
              </w:rPr>
              <w:t xml:space="preserve">, al no haber acreditado, actuar en </w:t>
            </w:r>
            <w:proofErr w:type="spellStart"/>
            <w:r w:rsidRPr="004050D0">
              <w:rPr>
                <w:rFonts w:ascii="ITC Avant Garde" w:hAnsi="ITC Avant Garde"/>
                <w:color w:val="000000"/>
                <w:sz w:val="12"/>
                <w:szCs w:val="12"/>
              </w:rPr>
              <w:t>represetnación</w:t>
            </w:r>
            <w:proofErr w:type="spellEnd"/>
            <w:r w:rsidRPr="004050D0">
              <w:rPr>
                <w:rFonts w:ascii="ITC Avant Garde" w:hAnsi="ITC Avant Garde"/>
                <w:color w:val="000000"/>
                <w:sz w:val="12"/>
                <w:szCs w:val="12"/>
              </w:rPr>
              <w:t xml:space="preserve"> de un Ente Público y, derivado de las solicitudes de inclusión presentadas por el solicitante, se infiere que la modalidad de uso es comercial.)  </w:t>
            </w:r>
          </w:p>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806-902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w:t>
            </w:r>
            <w:r w:rsidRPr="00C37FBD">
              <w:rPr>
                <w:rFonts w:ascii="ITC Avant Garde" w:eastAsia="Times New Roman" w:hAnsi="ITC Avant Garde"/>
                <w:sz w:val="12"/>
                <w:szCs w:val="12"/>
                <w:lang w:eastAsia="es-MX"/>
              </w:rPr>
              <w:br/>
            </w:r>
            <w:proofErr w:type="spellStart"/>
            <w:r w:rsidRPr="00C37FBD">
              <w:rPr>
                <w:rFonts w:ascii="ITC Avant Garde" w:eastAsia="Times New Roman" w:hAnsi="ITC Avant Garde"/>
                <w:sz w:val="12"/>
                <w:szCs w:val="12"/>
                <w:lang w:eastAsia="es-MX"/>
              </w:rPr>
              <w:t>MÓVIL</w:t>
            </w:r>
            <w:proofErr w:type="spellEnd"/>
            <w:r w:rsidRPr="00C37FBD">
              <w:rPr>
                <w:rFonts w:ascii="ITC Avant Garde" w:eastAsia="Times New Roman" w:hAnsi="ITC Avant Garde"/>
                <w:sz w:val="12"/>
                <w:szCs w:val="12"/>
                <w:lang w:eastAsia="es-MX"/>
              </w:rPr>
              <w:t xml:space="preserve"> AERONÁUTICO </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 xml:space="preserve">El Plan de la Banda 806-824/851-869 MHz, publicado en el Diario Oficial de la Federación el 13 de septiembre de 2016, establece que el segmento de frecuencias 806-814/851-859 MHz se encuentra destinado para la provisión de servicios de banda angosta de uso público, limitado a aplicaciones de misión crítica. Por otro lado, el segmento de frecuencias 814-824/859-869 MHz se encuentra destinado para la provisión del servicio móvil de banda ancha de uso comercial. </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 xml:space="preserve">Actualmente esta banda de frecuencias se encuentra sujeta a un proceso de reordenamiento de </w:t>
            </w:r>
            <w:r w:rsidRPr="00C37FBD">
              <w:rPr>
                <w:rFonts w:ascii="ITC Avant Garde" w:eastAsia="Times New Roman" w:hAnsi="ITC Avant Garde"/>
                <w:sz w:val="12"/>
                <w:szCs w:val="12"/>
                <w:lang w:eastAsia="es-MX"/>
              </w:rPr>
              <w:lastRenderedPageBreak/>
              <w:t>conformidad con lo establecido en el "</w:t>
            </w:r>
            <w:r w:rsidRPr="00C37FBD">
              <w:rPr>
                <w:rFonts w:ascii="ITC Avant Garde" w:eastAsia="Times New Roman" w:hAnsi="ITC Avant Garde"/>
                <w:i/>
                <w:iCs/>
                <w:sz w:val="12"/>
                <w:szCs w:val="12"/>
                <w:lang w:eastAsia="es-MX"/>
              </w:rPr>
              <w:t>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w:t>
            </w:r>
            <w:r w:rsidRPr="00C37FBD">
              <w:rPr>
                <w:rFonts w:ascii="ITC Avant Garde" w:eastAsia="Times New Roman" w:hAnsi="ITC Avant Garde"/>
                <w:sz w:val="12"/>
                <w:szCs w:val="12"/>
                <w:lang w:eastAsia="es-MX"/>
              </w:rPr>
              <w:t>".</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 xml:space="preserve">Asimismo, la banda de frecuencias 806-814/851-859 MHz se encuentra contenida en el PABF 2017 para el servicio de radio </w:t>
            </w:r>
            <w:proofErr w:type="spellStart"/>
            <w:r w:rsidRPr="00C37FBD">
              <w:rPr>
                <w:rFonts w:ascii="ITC Avant Garde" w:eastAsia="Times New Roman" w:hAnsi="ITC Avant Garde"/>
                <w:sz w:val="12"/>
                <w:szCs w:val="12"/>
                <w:lang w:eastAsia="es-MX"/>
              </w:rPr>
              <w:t>troncalizado</w:t>
            </w:r>
            <w:proofErr w:type="spellEnd"/>
            <w:r w:rsidRPr="00C37FBD">
              <w:rPr>
                <w:rFonts w:ascii="ITC Avant Garde" w:eastAsia="Times New Roman" w:hAnsi="ITC Avant Garde"/>
                <w:sz w:val="12"/>
                <w:szCs w:val="12"/>
                <w:lang w:eastAsia="es-MX"/>
              </w:rPr>
              <w:t xml:space="preserve"> para uso público.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lastRenderedPageBreak/>
              <w:t>El uso solicitado no es compatible con la planificación de la banda.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13</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PABF-2017-TEL-60</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19/12/2016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 Acceso inalámbrico móvil-banda angosta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824-849/869-894</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Por Regiones</w:t>
            </w:r>
          </w:p>
        </w:tc>
        <w:tc>
          <w:tcPr>
            <w:tcW w:w="383" w:type="pct"/>
            <w:tcBorders>
              <w:top w:val="nil"/>
              <w:left w:val="nil"/>
              <w:bottom w:val="single" w:sz="4" w:space="0" w:color="auto"/>
              <w:right w:val="single" w:sz="4" w:space="0" w:color="auto"/>
            </w:tcBorders>
            <w:shd w:val="clear" w:color="auto" w:fill="auto"/>
            <w:vAlign w:val="center"/>
            <w:hideMark/>
          </w:tcPr>
          <w:p w:rsidR="004A714B" w:rsidRPr="004050D0" w:rsidRDefault="004A714B" w:rsidP="004A714B">
            <w:pPr>
              <w:spacing w:after="0" w:line="240" w:lineRule="auto"/>
              <w:jc w:val="both"/>
              <w:rPr>
                <w:rFonts w:ascii="ITC Avant Garde" w:hAnsi="ITC Avant Garde"/>
                <w:color w:val="000000"/>
                <w:sz w:val="12"/>
                <w:szCs w:val="12"/>
                <w:lang w:eastAsia="es-MX"/>
              </w:rPr>
            </w:pPr>
            <w:r w:rsidRPr="004050D0">
              <w:rPr>
                <w:rFonts w:ascii="ITC Avant Garde" w:hAnsi="ITC Avant Garde"/>
                <w:color w:val="000000"/>
                <w:sz w:val="12"/>
                <w:szCs w:val="12"/>
              </w:rPr>
              <w:t xml:space="preserve">Uso Comercial (La modalidad de uso solicitada fue pública, no </w:t>
            </w:r>
            <w:proofErr w:type="spellStart"/>
            <w:r w:rsidRPr="004050D0">
              <w:rPr>
                <w:rFonts w:ascii="ITC Avant Garde" w:hAnsi="ITC Avant Garde"/>
                <w:color w:val="000000"/>
                <w:sz w:val="12"/>
                <w:szCs w:val="12"/>
              </w:rPr>
              <w:t>obstate</w:t>
            </w:r>
            <w:proofErr w:type="spellEnd"/>
            <w:r w:rsidRPr="004050D0">
              <w:rPr>
                <w:rFonts w:ascii="ITC Avant Garde" w:hAnsi="ITC Avant Garde"/>
                <w:color w:val="000000"/>
                <w:sz w:val="12"/>
                <w:szCs w:val="12"/>
              </w:rPr>
              <w:t xml:space="preserve">, al no haber acreditado, actuar en </w:t>
            </w:r>
            <w:proofErr w:type="spellStart"/>
            <w:r w:rsidRPr="004050D0">
              <w:rPr>
                <w:rFonts w:ascii="ITC Avant Garde" w:hAnsi="ITC Avant Garde"/>
                <w:color w:val="000000"/>
                <w:sz w:val="12"/>
                <w:szCs w:val="12"/>
              </w:rPr>
              <w:t>represetnación</w:t>
            </w:r>
            <w:proofErr w:type="spellEnd"/>
            <w:r w:rsidRPr="004050D0">
              <w:rPr>
                <w:rFonts w:ascii="ITC Avant Garde" w:hAnsi="ITC Avant Garde"/>
                <w:color w:val="000000"/>
                <w:sz w:val="12"/>
                <w:szCs w:val="12"/>
              </w:rPr>
              <w:t xml:space="preserve"> de un Ente Público y, derivado de las solicitudes de inclusión presentadas por el solicitante, se infiere que la modalidad de uso es comercial.)  </w:t>
            </w:r>
          </w:p>
          <w:p w:rsidR="004A714B" w:rsidRPr="00C37FBD" w:rsidRDefault="004A714B" w:rsidP="004A714B">
            <w:pPr>
              <w:spacing w:after="0" w:line="240" w:lineRule="auto"/>
              <w:jc w:val="both"/>
              <w:rPr>
                <w:rFonts w:ascii="ITC Avant Garde" w:eastAsia="Times New Roman" w:hAnsi="ITC Avant Garde"/>
                <w:color w:val="000000"/>
                <w:sz w:val="12"/>
                <w:szCs w:val="12"/>
                <w:lang w:eastAsia="es-MX"/>
              </w:rPr>
            </w:pP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806-902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w:t>
            </w:r>
            <w:r w:rsidRPr="00C37FBD">
              <w:rPr>
                <w:rFonts w:ascii="ITC Avant Garde" w:eastAsia="Times New Roman" w:hAnsi="ITC Avant Garde"/>
                <w:sz w:val="12"/>
                <w:szCs w:val="12"/>
                <w:lang w:eastAsia="es-MX"/>
              </w:rPr>
              <w:br/>
            </w:r>
            <w:proofErr w:type="spellStart"/>
            <w:r w:rsidRPr="00C37FBD">
              <w:rPr>
                <w:rFonts w:ascii="ITC Avant Garde" w:eastAsia="Times New Roman" w:hAnsi="ITC Avant Garde"/>
                <w:sz w:val="12"/>
                <w:szCs w:val="12"/>
                <w:lang w:eastAsia="es-MX"/>
              </w:rPr>
              <w:t>MÓVIL</w:t>
            </w:r>
            <w:proofErr w:type="spellEnd"/>
            <w:r w:rsidRPr="00C37FBD">
              <w:rPr>
                <w:rFonts w:ascii="ITC Avant Garde" w:eastAsia="Times New Roman" w:hAnsi="ITC Avant Garde"/>
                <w:sz w:val="12"/>
                <w:szCs w:val="12"/>
                <w:lang w:eastAsia="es-MX"/>
              </w:rPr>
              <w:t xml:space="preserve"> AERONÁUTICO </w:t>
            </w:r>
          </w:p>
        </w:tc>
        <w:tc>
          <w:tcPr>
            <w:tcW w:w="601" w:type="pct"/>
            <w:tcBorders>
              <w:top w:val="nil"/>
              <w:left w:val="nil"/>
              <w:bottom w:val="single" w:sz="4" w:space="0" w:color="auto"/>
              <w:right w:val="single" w:sz="4" w:space="0" w:color="auto"/>
            </w:tcBorders>
            <w:shd w:val="clear" w:color="auto" w:fill="auto"/>
            <w:vAlign w:val="center"/>
            <w:hideMark/>
          </w:tcPr>
          <w:p w:rsidR="004A714B" w:rsidRPr="004050D0" w:rsidRDefault="004A714B" w:rsidP="004A714B">
            <w:pPr>
              <w:spacing w:after="0" w:line="240" w:lineRule="auto"/>
              <w:jc w:val="center"/>
              <w:rPr>
                <w:rFonts w:ascii="ITC Avant Garde" w:hAnsi="ITC Avant Garde"/>
                <w:sz w:val="12"/>
                <w:szCs w:val="12"/>
                <w:lang w:eastAsia="es-MX"/>
              </w:rPr>
            </w:pPr>
            <w:r w:rsidRPr="004050D0">
              <w:rPr>
                <w:rFonts w:ascii="ITC Avant Garde" w:hAnsi="ITC Avant Garde"/>
                <w:sz w:val="12"/>
                <w:szCs w:val="12"/>
              </w:rPr>
              <w:t>Esta banda de frecuencias ha sido identificada para su utilización por las administraciones de la Región 2 interesadas en desplegar sistemas IMT, es decir banda ancha móvil.</w:t>
            </w:r>
            <w:r w:rsidRPr="004050D0">
              <w:rPr>
                <w:rFonts w:ascii="ITC Avant Garde" w:hAnsi="ITC Avant Garde"/>
                <w:sz w:val="12"/>
                <w:szCs w:val="12"/>
              </w:rPr>
              <w:br/>
            </w:r>
            <w:r w:rsidRPr="004050D0">
              <w:rPr>
                <w:rFonts w:ascii="ITC Avant Garde" w:hAnsi="ITC Avant Garde"/>
                <w:sz w:val="12"/>
                <w:szCs w:val="12"/>
              </w:rPr>
              <w:br/>
              <w:t>Por otro lado, la banda de frecuencias 824-849/869-894 MHz fue incluida en el PABF 2015, 2016 y 2017 para el servicio de comunicación móvil para uso social y podrá ser asignada conforme al espectro disponible por localidad.</w:t>
            </w:r>
          </w:p>
        </w:tc>
        <w:tc>
          <w:tcPr>
            <w:tcW w:w="642" w:type="pct"/>
            <w:tcBorders>
              <w:top w:val="nil"/>
              <w:left w:val="nil"/>
              <w:bottom w:val="single" w:sz="4" w:space="0" w:color="auto"/>
              <w:right w:val="single" w:sz="4" w:space="0" w:color="auto"/>
            </w:tcBorders>
            <w:shd w:val="clear" w:color="auto" w:fill="auto"/>
            <w:vAlign w:val="center"/>
            <w:hideMark/>
          </w:tcPr>
          <w:p w:rsidR="004A714B" w:rsidRPr="004050D0" w:rsidRDefault="004A714B" w:rsidP="004A714B">
            <w:pPr>
              <w:jc w:val="center"/>
              <w:rPr>
                <w:rFonts w:ascii="ITC Avant Garde" w:hAnsi="ITC Avant Garde"/>
                <w:sz w:val="12"/>
                <w:szCs w:val="12"/>
              </w:rPr>
            </w:pPr>
            <w:r w:rsidRPr="004050D0">
              <w:rPr>
                <w:rFonts w:ascii="ITC Avant Garde" w:hAnsi="ITC Avant Garde"/>
                <w:sz w:val="12"/>
                <w:szCs w:val="12"/>
              </w:rPr>
              <w:t>El uso solicitado (banda angosta) no es compatible con la planificación de la banda.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14</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PABF-2017-TEL-61</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20/12/2016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 Acceso inalámbrico móvil-banda angosta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806-824/851-869</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Por Municipio</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806-902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w:t>
            </w:r>
            <w:r w:rsidRPr="00C37FBD">
              <w:rPr>
                <w:rFonts w:ascii="ITC Avant Garde" w:eastAsia="Times New Roman" w:hAnsi="ITC Avant Garde"/>
                <w:sz w:val="12"/>
                <w:szCs w:val="12"/>
                <w:lang w:eastAsia="es-MX"/>
              </w:rPr>
              <w:br/>
            </w:r>
            <w:proofErr w:type="spellStart"/>
            <w:r w:rsidRPr="00C37FBD">
              <w:rPr>
                <w:rFonts w:ascii="ITC Avant Garde" w:eastAsia="Times New Roman" w:hAnsi="ITC Avant Garde"/>
                <w:sz w:val="12"/>
                <w:szCs w:val="12"/>
                <w:lang w:eastAsia="es-MX"/>
              </w:rPr>
              <w:t>MÓVIL</w:t>
            </w:r>
            <w:proofErr w:type="spellEnd"/>
            <w:r w:rsidRPr="00C37FBD">
              <w:rPr>
                <w:rFonts w:ascii="ITC Avant Garde" w:eastAsia="Times New Roman" w:hAnsi="ITC Avant Garde"/>
                <w:sz w:val="12"/>
                <w:szCs w:val="12"/>
                <w:lang w:eastAsia="es-MX"/>
              </w:rPr>
              <w:t xml:space="preserve"> AERONÁUTICO </w:t>
            </w:r>
          </w:p>
        </w:tc>
        <w:tc>
          <w:tcPr>
            <w:tcW w:w="60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 xml:space="preserve">El Plan de la Banda 806-824/851-869 MHz, publicado en el Diario Oficial de la Federación el 13 de septiembre de 2016, establece que el segmento de frecuencias 806-814/851-859 MHz se encuentra destinado para la provisión de servicios de banda angosta de uso </w:t>
            </w:r>
            <w:r w:rsidRPr="00C37FBD">
              <w:rPr>
                <w:rFonts w:ascii="ITC Avant Garde" w:eastAsia="Times New Roman" w:hAnsi="ITC Avant Garde"/>
                <w:sz w:val="12"/>
                <w:szCs w:val="12"/>
                <w:lang w:eastAsia="es-MX"/>
              </w:rPr>
              <w:lastRenderedPageBreak/>
              <w:t xml:space="preserve">público, limitado a aplicaciones de misión crítica. Por otro lado, el segmento de frecuencias 814-824/859-869 MHz se encuentra destinado para la provisión del servicio móvil de banda ancha de uso comercial. </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Actualmente esta banda de frecuencias se encuentra sujeta a un proceso de reordenamiento de conformidad con lo establecido en el "</w:t>
            </w:r>
            <w:r w:rsidRPr="00C37FBD">
              <w:rPr>
                <w:rFonts w:ascii="ITC Avant Garde" w:eastAsia="Times New Roman" w:hAnsi="ITC Avant Garde"/>
                <w:i/>
                <w:iCs/>
                <w:sz w:val="12"/>
                <w:szCs w:val="12"/>
                <w:lang w:eastAsia="es-MX"/>
              </w:rPr>
              <w:t>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w:t>
            </w:r>
            <w:r w:rsidRPr="00C37FBD">
              <w:rPr>
                <w:rFonts w:ascii="ITC Avant Garde" w:eastAsia="Times New Roman" w:hAnsi="ITC Avant Garde"/>
                <w:sz w:val="12"/>
                <w:szCs w:val="12"/>
                <w:lang w:eastAsia="es-MX"/>
              </w:rPr>
              <w:t>".</w:t>
            </w:r>
            <w:r w:rsidRPr="00C37FBD">
              <w:rPr>
                <w:rFonts w:ascii="ITC Avant Garde" w:eastAsia="Times New Roman" w:hAnsi="ITC Avant Garde"/>
                <w:sz w:val="12"/>
                <w:szCs w:val="12"/>
                <w:lang w:eastAsia="es-MX"/>
              </w:rPr>
              <w:br/>
            </w:r>
            <w:r w:rsidRPr="00C37FBD">
              <w:rPr>
                <w:rFonts w:ascii="ITC Avant Garde" w:eastAsia="Times New Roman" w:hAnsi="ITC Avant Garde"/>
                <w:sz w:val="12"/>
                <w:szCs w:val="12"/>
                <w:lang w:eastAsia="es-MX"/>
              </w:rPr>
              <w:br/>
              <w:t xml:space="preserve">Asimismo, la banda de frecuencias 806-814/851-859 MHz se encuentra contenida en el PABF 2017 para el servicio de radio </w:t>
            </w:r>
            <w:proofErr w:type="spellStart"/>
            <w:r w:rsidRPr="00C37FBD">
              <w:rPr>
                <w:rFonts w:ascii="ITC Avant Garde" w:eastAsia="Times New Roman" w:hAnsi="ITC Avant Garde"/>
                <w:sz w:val="12"/>
                <w:szCs w:val="12"/>
                <w:lang w:eastAsia="es-MX"/>
              </w:rPr>
              <w:t>troncalizado</w:t>
            </w:r>
            <w:proofErr w:type="spellEnd"/>
            <w:r w:rsidRPr="00C37FBD">
              <w:rPr>
                <w:rFonts w:ascii="ITC Avant Garde" w:eastAsia="Times New Roman" w:hAnsi="ITC Avant Garde"/>
                <w:sz w:val="12"/>
                <w:szCs w:val="12"/>
                <w:lang w:eastAsia="es-MX"/>
              </w:rPr>
              <w:t xml:space="preserve"> para uso público.</w:t>
            </w:r>
          </w:p>
        </w:tc>
        <w:tc>
          <w:tcPr>
            <w:tcW w:w="642"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lastRenderedPageBreak/>
              <w:t>El uso solicitado no es compatible con la planificación de la banda.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C37FBD"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15</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PABF-2017-TEL-62</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Formato Electrónico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20/12/2016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 Acceso inalámbrico móvil-banda angosta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824-849/869-894</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Localidad</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806-902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w:t>
            </w:r>
            <w:r w:rsidRPr="00C37FBD">
              <w:rPr>
                <w:rFonts w:ascii="ITC Avant Garde" w:eastAsia="Times New Roman" w:hAnsi="ITC Avant Garde"/>
                <w:sz w:val="12"/>
                <w:szCs w:val="12"/>
                <w:lang w:eastAsia="es-MX"/>
              </w:rPr>
              <w:br/>
            </w:r>
            <w:proofErr w:type="spellStart"/>
            <w:r w:rsidRPr="00C37FBD">
              <w:rPr>
                <w:rFonts w:ascii="ITC Avant Garde" w:eastAsia="Times New Roman" w:hAnsi="ITC Avant Garde"/>
                <w:sz w:val="12"/>
                <w:szCs w:val="12"/>
                <w:lang w:eastAsia="es-MX"/>
              </w:rPr>
              <w:t>MÓVIL</w:t>
            </w:r>
            <w:proofErr w:type="spellEnd"/>
            <w:r w:rsidRPr="00C37FBD">
              <w:rPr>
                <w:rFonts w:ascii="ITC Avant Garde" w:eastAsia="Times New Roman" w:hAnsi="ITC Avant Garde"/>
                <w:sz w:val="12"/>
                <w:szCs w:val="12"/>
                <w:lang w:eastAsia="es-MX"/>
              </w:rPr>
              <w:t xml:space="preserve"> AERONÁUTICO </w:t>
            </w:r>
          </w:p>
        </w:tc>
        <w:tc>
          <w:tcPr>
            <w:tcW w:w="601" w:type="pct"/>
            <w:tcBorders>
              <w:top w:val="nil"/>
              <w:left w:val="nil"/>
              <w:bottom w:val="single" w:sz="4" w:space="0" w:color="auto"/>
              <w:right w:val="single" w:sz="4" w:space="0" w:color="auto"/>
            </w:tcBorders>
            <w:shd w:val="clear" w:color="auto" w:fill="auto"/>
            <w:vAlign w:val="center"/>
            <w:hideMark/>
          </w:tcPr>
          <w:p w:rsidR="004A714B" w:rsidRPr="00920864" w:rsidRDefault="004A714B" w:rsidP="004A714B">
            <w:pPr>
              <w:spacing w:after="0" w:line="240" w:lineRule="auto"/>
              <w:jc w:val="center"/>
              <w:rPr>
                <w:rFonts w:ascii="ITC Avant Garde" w:hAnsi="ITC Avant Garde"/>
                <w:sz w:val="12"/>
                <w:szCs w:val="12"/>
                <w:lang w:eastAsia="es-MX"/>
              </w:rPr>
            </w:pPr>
            <w:r w:rsidRPr="00920864">
              <w:rPr>
                <w:rFonts w:ascii="ITC Avant Garde" w:hAnsi="ITC Avant Garde"/>
                <w:sz w:val="12"/>
                <w:szCs w:val="12"/>
              </w:rPr>
              <w:t>Esta banda de frecuencias ha sido identificada para su utilización por las administraciones de la Región 2 interesadas en desplegar sistemas IMT, es decir banda ancha móvil.</w:t>
            </w:r>
            <w:r w:rsidRPr="00920864">
              <w:rPr>
                <w:rFonts w:ascii="ITC Avant Garde" w:hAnsi="ITC Avant Garde"/>
                <w:sz w:val="12"/>
                <w:szCs w:val="12"/>
              </w:rPr>
              <w:br/>
            </w:r>
            <w:r w:rsidRPr="00920864">
              <w:rPr>
                <w:rFonts w:ascii="ITC Avant Garde" w:hAnsi="ITC Avant Garde"/>
                <w:sz w:val="12"/>
                <w:szCs w:val="12"/>
              </w:rPr>
              <w:br/>
              <w:t xml:space="preserve">Por otro lado, la banda de frecuencias 824-849/869-894 MHz fue incluida en el PABF 2015, 2016 y 2017 para el servicio de comunicación móvil para uso social y podrá ser asignada conforme </w:t>
            </w:r>
            <w:r w:rsidRPr="00920864">
              <w:rPr>
                <w:rFonts w:ascii="ITC Avant Garde" w:hAnsi="ITC Avant Garde"/>
                <w:sz w:val="12"/>
                <w:szCs w:val="12"/>
              </w:rPr>
              <w:lastRenderedPageBreak/>
              <w:t>al espectro disponible por localidad.</w:t>
            </w:r>
          </w:p>
        </w:tc>
        <w:tc>
          <w:tcPr>
            <w:tcW w:w="642" w:type="pct"/>
            <w:tcBorders>
              <w:top w:val="nil"/>
              <w:left w:val="nil"/>
              <w:bottom w:val="single" w:sz="4" w:space="0" w:color="auto"/>
              <w:right w:val="single" w:sz="4" w:space="0" w:color="auto"/>
            </w:tcBorders>
            <w:shd w:val="clear" w:color="auto" w:fill="auto"/>
            <w:vAlign w:val="center"/>
            <w:hideMark/>
          </w:tcPr>
          <w:p w:rsidR="004A714B" w:rsidRPr="00920864" w:rsidRDefault="004A714B" w:rsidP="004A714B">
            <w:pPr>
              <w:jc w:val="center"/>
              <w:rPr>
                <w:rFonts w:ascii="ITC Avant Garde" w:hAnsi="ITC Avant Garde"/>
                <w:sz w:val="12"/>
                <w:szCs w:val="12"/>
              </w:rPr>
            </w:pPr>
            <w:r w:rsidRPr="00920864">
              <w:rPr>
                <w:rFonts w:ascii="ITC Avant Garde" w:hAnsi="ITC Avant Garde"/>
                <w:sz w:val="12"/>
                <w:szCs w:val="12"/>
              </w:rPr>
              <w:lastRenderedPageBreak/>
              <w:t>El uso solicitado (banda angosta) no es compatible con la planificación de la banda.</w:t>
            </w:r>
          </w:p>
        </w:tc>
        <w:tc>
          <w:tcPr>
            <w:tcW w:w="2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both"/>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No procede su inclusión en el PABF</w:t>
            </w:r>
          </w:p>
        </w:tc>
      </w:tr>
      <w:tr w:rsidR="004A714B" w:rsidRPr="004050D0" w:rsidTr="004A714B">
        <w:trPr>
          <w:trHeight w:val="567"/>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lastRenderedPageBreak/>
              <w:t>16</w:t>
            </w:r>
          </w:p>
        </w:tc>
        <w:tc>
          <w:tcPr>
            <w:tcW w:w="177"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60539</w:t>
            </w:r>
          </w:p>
        </w:tc>
        <w:tc>
          <w:tcPr>
            <w:tcW w:w="29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escrito</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21/12/2016</w:t>
            </w:r>
          </w:p>
        </w:tc>
        <w:tc>
          <w:tcPr>
            <w:tcW w:w="499"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 Acceso inalámbrico móvil-banda angosta</w:t>
            </w:r>
          </w:p>
        </w:tc>
        <w:tc>
          <w:tcPr>
            <w:tcW w:w="316"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824-849/869-894</w:t>
            </w:r>
          </w:p>
        </w:tc>
        <w:tc>
          <w:tcPr>
            <w:tcW w:w="288"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Localidad</w:t>
            </w:r>
          </w:p>
        </w:tc>
        <w:tc>
          <w:tcPr>
            <w:tcW w:w="383"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color w:val="000000"/>
                <w:sz w:val="12"/>
                <w:szCs w:val="12"/>
                <w:lang w:eastAsia="es-MX"/>
              </w:rPr>
            </w:pPr>
            <w:r w:rsidRPr="00C37FBD">
              <w:rPr>
                <w:rFonts w:ascii="ITC Avant Garde" w:eastAsia="Times New Roman" w:hAnsi="ITC Avant Garde"/>
                <w:color w:val="000000"/>
                <w:sz w:val="12"/>
                <w:szCs w:val="12"/>
                <w:lang w:eastAsia="es-MX"/>
              </w:rPr>
              <w:t xml:space="preserve">Uso Comercial </w:t>
            </w:r>
          </w:p>
        </w:tc>
        <w:tc>
          <w:tcPr>
            <w:tcW w:w="495"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jc w:val="center"/>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806-902 MHz</w:t>
            </w:r>
          </w:p>
        </w:tc>
        <w:tc>
          <w:tcPr>
            <w:tcW w:w="561" w:type="pct"/>
            <w:tcBorders>
              <w:top w:val="nil"/>
              <w:left w:val="nil"/>
              <w:bottom w:val="single" w:sz="4" w:space="0" w:color="auto"/>
              <w:right w:val="single" w:sz="4" w:space="0" w:color="auto"/>
            </w:tcBorders>
            <w:shd w:val="clear" w:color="auto" w:fill="auto"/>
            <w:vAlign w:val="center"/>
            <w:hideMark/>
          </w:tcPr>
          <w:p w:rsidR="004A714B" w:rsidRPr="00C37FBD" w:rsidRDefault="004A714B" w:rsidP="004A714B">
            <w:pPr>
              <w:spacing w:after="0" w:line="240" w:lineRule="auto"/>
              <w:rPr>
                <w:rFonts w:ascii="ITC Avant Garde" w:eastAsia="Times New Roman" w:hAnsi="ITC Avant Garde"/>
                <w:sz w:val="12"/>
                <w:szCs w:val="12"/>
                <w:lang w:eastAsia="es-MX"/>
              </w:rPr>
            </w:pPr>
            <w:r w:rsidRPr="00C37FBD">
              <w:rPr>
                <w:rFonts w:ascii="ITC Avant Garde" w:eastAsia="Times New Roman" w:hAnsi="ITC Avant Garde"/>
                <w:sz w:val="12"/>
                <w:szCs w:val="12"/>
                <w:lang w:eastAsia="es-MX"/>
              </w:rPr>
              <w:t>MÓVIL</w:t>
            </w:r>
            <w:r w:rsidRPr="00C37FBD">
              <w:rPr>
                <w:rFonts w:ascii="ITC Avant Garde" w:eastAsia="Times New Roman" w:hAnsi="ITC Avant Garde"/>
                <w:sz w:val="12"/>
                <w:szCs w:val="12"/>
                <w:lang w:eastAsia="es-MX"/>
              </w:rPr>
              <w:br/>
            </w:r>
            <w:proofErr w:type="spellStart"/>
            <w:r w:rsidRPr="00C37FBD">
              <w:rPr>
                <w:rFonts w:ascii="ITC Avant Garde" w:eastAsia="Times New Roman" w:hAnsi="ITC Avant Garde"/>
                <w:sz w:val="12"/>
                <w:szCs w:val="12"/>
                <w:lang w:eastAsia="es-MX"/>
              </w:rPr>
              <w:t>MÓVIL</w:t>
            </w:r>
            <w:proofErr w:type="spellEnd"/>
            <w:r w:rsidRPr="00C37FBD">
              <w:rPr>
                <w:rFonts w:ascii="ITC Avant Garde" w:eastAsia="Times New Roman" w:hAnsi="ITC Avant Garde"/>
                <w:sz w:val="12"/>
                <w:szCs w:val="12"/>
                <w:lang w:eastAsia="es-MX"/>
              </w:rPr>
              <w:t xml:space="preserve"> AERONÁUTICO </w:t>
            </w:r>
          </w:p>
        </w:tc>
        <w:tc>
          <w:tcPr>
            <w:tcW w:w="601" w:type="pct"/>
            <w:tcBorders>
              <w:top w:val="nil"/>
              <w:left w:val="nil"/>
              <w:bottom w:val="single" w:sz="4" w:space="0" w:color="auto"/>
              <w:right w:val="single" w:sz="4" w:space="0" w:color="auto"/>
            </w:tcBorders>
            <w:shd w:val="clear" w:color="auto" w:fill="auto"/>
            <w:vAlign w:val="center"/>
            <w:hideMark/>
          </w:tcPr>
          <w:p w:rsidR="004A714B" w:rsidRPr="004050D0" w:rsidRDefault="004A714B" w:rsidP="004A714B">
            <w:pPr>
              <w:spacing w:after="0" w:line="240" w:lineRule="auto"/>
              <w:jc w:val="center"/>
              <w:rPr>
                <w:rFonts w:ascii="ITC Avant Garde" w:hAnsi="ITC Avant Garde"/>
                <w:sz w:val="12"/>
                <w:szCs w:val="12"/>
                <w:lang w:eastAsia="es-MX"/>
              </w:rPr>
            </w:pPr>
            <w:r w:rsidRPr="004050D0">
              <w:rPr>
                <w:rFonts w:ascii="ITC Avant Garde" w:hAnsi="ITC Avant Garde"/>
                <w:sz w:val="12"/>
                <w:szCs w:val="12"/>
              </w:rPr>
              <w:t>Esta banda de frecuencias ha sido identificada para su utilización por las administraciones de la Región 2 interesadas en desplegar sistemas IMT, es decir banda ancha móvil.</w:t>
            </w:r>
            <w:r w:rsidRPr="004050D0">
              <w:rPr>
                <w:rFonts w:ascii="ITC Avant Garde" w:hAnsi="ITC Avant Garde"/>
                <w:sz w:val="12"/>
                <w:szCs w:val="12"/>
              </w:rPr>
              <w:br/>
            </w:r>
            <w:r w:rsidRPr="004050D0">
              <w:rPr>
                <w:rFonts w:ascii="ITC Avant Garde" w:hAnsi="ITC Avant Garde"/>
                <w:sz w:val="12"/>
                <w:szCs w:val="12"/>
              </w:rPr>
              <w:br/>
              <w:t>Por otro lado, la banda de frecuencias 824-849/869-894 MHz fue incluida en el PABF 2015, 2016 y 2017 para el servicio de comunicación móvil para uso social y podrá ser asignada conforme al espectro disponible por localidad.</w:t>
            </w:r>
          </w:p>
        </w:tc>
        <w:tc>
          <w:tcPr>
            <w:tcW w:w="642" w:type="pct"/>
            <w:tcBorders>
              <w:top w:val="nil"/>
              <w:left w:val="nil"/>
              <w:bottom w:val="single" w:sz="4" w:space="0" w:color="auto"/>
              <w:right w:val="single" w:sz="4" w:space="0" w:color="auto"/>
            </w:tcBorders>
            <w:shd w:val="clear" w:color="auto" w:fill="auto"/>
            <w:vAlign w:val="center"/>
            <w:hideMark/>
          </w:tcPr>
          <w:p w:rsidR="004A714B" w:rsidRPr="004050D0" w:rsidRDefault="004A714B" w:rsidP="004A714B">
            <w:pPr>
              <w:jc w:val="center"/>
              <w:rPr>
                <w:rFonts w:ascii="ITC Avant Garde" w:hAnsi="ITC Avant Garde"/>
                <w:sz w:val="12"/>
                <w:szCs w:val="12"/>
              </w:rPr>
            </w:pPr>
            <w:r w:rsidRPr="004050D0">
              <w:rPr>
                <w:rFonts w:ascii="ITC Avant Garde" w:hAnsi="ITC Avant Garde"/>
                <w:sz w:val="12"/>
                <w:szCs w:val="12"/>
              </w:rPr>
              <w:t>El uso solicitado (banda angosta) no es compatible con la planificación de la banda.</w:t>
            </w:r>
          </w:p>
        </w:tc>
        <w:tc>
          <w:tcPr>
            <w:tcW w:w="295" w:type="pct"/>
            <w:tcBorders>
              <w:top w:val="nil"/>
              <w:left w:val="nil"/>
              <w:bottom w:val="single" w:sz="4" w:space="0" w:color="auto"/>
              <w:right w:val="single" w:sz="4" w:space="0" w:color="auto"/>
            </w:tcBorders>
            <w:shd w:val="clear" w:color="auto" w:fill="auto"/>
            <w:vAlign w:val="center"/>
            <w:hideMark/>
          </w:tcPr>
          <w:p w:rsidR="004A714B" w:rsidRPr="004050D0" w:rsidRDefault="004A714B" w:rsidP="004A714B">
            <w:pPr>
              <w:spacing w:after="0" w:line="240" w:lineRule="auto"/>
              <w:jc w:val="both"/>
              <w:rPr>
                <w:rFonts w:ascii="ITC Avant Garde" w:eastAsia="Times New Roman" w:hAnsi="ITC Avant Garde"/>
                <w:sz w:val="12"/>
                <w:szCs w:val="12"/>
                <w:lang w:eastAsia="es-MX"/>
              </w:rPr>
            </w:pPr>
            <w:r w:rsidRPr="004050D0">
              <w:rPr>
                <w:rFonts w:ascii="ITC Avant Garde" w:eastAsia="Times New Roman" w:hAnsi="ITC Avant Garde"/>
                <w:sz w:val="12"/>
                <w:szCs w:val="12"/>
                <w:lang w:eastAsia="es-MX"/>
              </w:rPr>
              <w:t>No procede su inclusión en el PABF</w:t>
            </w:r>
          </w:p>
        </w:tc>
      </w:tr>
    </w:tbl>
    <w:p w:rsidR="004A714B" w:rsidRDefault="004A714B" w:rsidP="004A714B">
      <w:pPr>
        <w:spacing w:after="101" w:line="278" w:lineRule="exact"/>
        <w:jc w:val="right"/>
        <w:rPr>
          <w:rFonts w:ascii="Arial" w:eastAsia="Times New Roman" w:hAnsi="Arial" w:cs="Arial"/>
          <w:b/>
          <w:sz w:val="18"/>
          <w:szCs w:val="20"/>
          <w:lang w:val="es-ES_tradnl" w:eastAsia="es-ES"/>
        </w:rPr>
        <w:sectPr w:rsidR="004A714B" w:rsidSect="004A714B">
          <w:headerReference w:type="even" r:id="rId10"/>
          <w:headerReference w:type="default" r:id="rId11"/>
          <w:footerReference w:type="default" r:id="rId12"/>
          <w:pgSz w:w="15840" w:h="12240" w:orient="landscape" w:code="1"/>
          <w:pgMar w:top="720" w:right="1758" w:bottom="720" w:left="720" w:header="709" w:footer="709" w:gutter="0"/>
          <w:cols w:space="708"/>
          <w:titlePg/>
          <w:docGrid w:linePitch="360"/>
        </w:sectPr>
      </w:pPr>
    </w:p>
    <w:p w:rsidR="00F7521A" w:rsidRDefault="004A714B" w:rsidP="004A714B">
      <w:pPr>
        <w:pStyle w:val="Ttulo1"/>
        <w:keepNext/>
        <w:keepLines/>
        <w:pBdr>
          <w:bottom w:val="none" w:sz="0" w:space="0" w:color="auto"/>
          <w:between w:val="none" w:sz="0" w:space="0" w:color="auto"/>
        </w:pBdr>
        <w:spacing w:before="240" w:after="240"/>
        <w:jc w:val="center"/>
        <w:rPr>
          <w:rFonts w:ascii="ITC Avant Garde" w:eastAsiaTheme="majorEastAsia" w:hAnsi="ITC Avant Garde" w:cstheme="majorBidi"/>
          <w:color w:val="000000" w:themeColor="text1"/>
          <w:sz w:val="24"/>
          <w:u w:val="single" w:color="000000"/>
          <w:lang w:val="es-MX" w:eastAsia="es-MX"/>
        </w:rPr>
      </w:pPr>
      <w:r w:rsidRPr="004A714B">
        <w:rPr>
          <w:rFonts w:ascii="ITC Avant Garde" w:eastAsiaTheme="majorEastAsia" w:hAnsi="ITC Avant Garde" w:cstheme="majorBidi"/>
          <w:color w:val="000000" w:themeColor="text1"/>
          <w:sz w:val="24"/>
          <w:u w:val="single" w:color="000000"/>
          <w:lang w:val="es-MX" w:eastAsia="es-MX"/>
        </w:rPr>
        <w:lastRenderedPageBreak/>
        <w:t>DESCRIPCIONES TÉCNICAS DE LAS BANDAS DE FRECUENCIAS INCLUIDAS EN EL PROGRAMA ANUAL DE USO Y APROVECHAMIENTO DE BANDAS DE FRECUENCIAS 2017.</w:t>
      </w:r>
    </w:p>
    <w:sdt>
      <w:sdtPr>
        <w:rPr>
          <w:lang w:val="es-ES"/>
        </w:rPr>
        <w:id w:val="1824472476"/>
        <w:docPartObj>
          <w:docPartGallery w:val="Table of Contents"/>
          <w:docPartUnique/>
        </w:docPartObj>
      </w:sdtPr>
      <w:sdtEndPr>
        <w:rPr>
          <w:b/>
          <w:bCs/>
        </w:rPr>
      </w:sdtEndPr>
      <w:sdtContent>
        <w:p w:rsidR="004A714B" w:rsidRPr="004A714B" w:rsidRDefault="004A714B" w:rsidP="004A714B"/>
        <w:p w:rsidR="004A714B" w:rsidRPr="004A714B" w:rsidRDefault="004A714B" w:rsidP="004A714B">
          <w:pPr>
            <w:tabs>
              <w:tab w:val="left" w:pos="8505"/>
            </w:tabs>
            <w:rPr>
              <w:rFonts w:eastAsiaTheme="minorEastAsia"/>
              <w:noProof/>
              <w:sz w:val="20"/>
              <w:lang w:eastAsia="es-MX"/>
            </w:rPr>
          </w:pPr>
          <w:r w:rsidRPr="004A714B">
            <w:rPr>
              <w:sz w:val="20"/>
            </w:rPr>
            <w:fldChar w:fldCharType="begin"/>
          </w:r>
          <w:r w:rsidRPr="004A714B">
            <w:rPr>
              <w:sz w:val="20"/>
            </w:rPr>
            <w:instrText xml:space="preserve"> TOC \o "1-3" \h \z \u </w:instrText>
          </w:r>
          <w:r w:rsidRPr="004A714B">
            <w:rPr>
              <w:sz w:val="20"/>
            </w:rPr>
            <w:fldChar w:fldCharType="separate"/>
          </w:r>
          <w:hyperlink w:anchor="_Toc462678502" w:history="1">
            <w:r w:rsidRPr="004A714B">
              <w:rPr>
                <w:rStyle w:val="Hipervnculo"/>
                <w:rFonts w:ascii="ITC Avant Garde" w:hAnsi="ITC Avant Garde"/>
                <w:noProof/>
              </w:rPr>
              <w:t>TELECOMUNICACIONES</w:t>
            </w:r>
            <w:r w:rsidRPr="004A714B">
              <w:rPr>
                <w:noProof/>
                <w:webHidden/>
              </w:rPr>
              <w:tab/>
            </w:r>
            <w:r w:rsidRPr="004A714B">
              <w:rPr>
                <w:noProof/>
                <w:webHidden/>
              </w:rPr>
              <w:fldChar w:fldCharType="begin"/>
            </w:r>
            <w:r w:rsidRPr="004A714B">
              <w:rPr>
                <w:noProof/>
                <w:webHidden/>
              </w:rPr>
              <w:instrText xml:space="preserve"> PAGEREF _Toc462678502 \h </w:instrText>
            </w:r>
            <w:r w:rsidRPr="004A714B">
              <w:rPr>
                <w:noProof/>
                <w:webHidden/>
              </w:rPr>
            </w:r>
            <w:r w:rsidRPr="004A714B">
              <w:rPr>
                <w:noProof/>
                <w:webHidden/>
              </w:rPr>
              <w:fldChar w:fldCharType="separate"/>
            </w:r>
            <w:r w:rsidRPr="004A714B">
              <w:rPr>
                <w:noProof/>
                <w:webHidden/>
              </w:rPr>
              <w:t>2</w:t>
            </w:r>
            <w:r w:rsidRPr="004A714B">
              <w:rPr>
                <w:noProof/>
                <w:webHidden/>
              </w:rPr>
              <w:fldChar w:fldCharType="end"/>
            </w:r>
          </w:hyperlink>
        </w:p>
        <w:p w:rsidR="004A714B" w:rsidRPr="004A714B" w:rsidRDefault="007413F0" w:rsidP="004A714B">
          <w:pPr>
            <w:tabs>
              <w:tab w:val="left" w:pos="8505"/>
            </w:tabs>
            <w:rPr>
              <w:rFonts w:eastAsiaTheme="minorEastAsia"/>
              <w:noProof/>
              <w:sz w:val="20"/>
              <w:lang w:eastAsia="es-MX"/>
            </w:rPr>
          </w:pPr>
          <w:hyperlink w:anchor="_Toc462678503" w:history="1">
            <w:r w:rsidR="004A714B" w:rsidRPr="004A714B">
              <w:rPr>
                <w:rStyle w:val="Hipervnculo"/>
                <w:rFonts w:ascii="ITC Avant Garde" w:hAnsi="ITC Avant Garde"/>
                <w:noProof/>
              </w:rPr>
              <w:t>BANDA DE FRECUENCIAS 415-420/425-430 MHz</w:t>
            </w:r>
            <w:r w:rsidR="004A714B" w:rsidRPr="004A714B">
              <w:rPr>
                <w:noProof/>
                <w:webHidden/>
              </w:rPr>
              <w:tab/>
            </w:r>
            <w:r w:rsidR="004A714B" w:rsidRPr="004A714B">
              <w:rPr>
                <w:noProof/>
                <w:webHidden/>
              </w:rPr>
              <w:fldChar w:fldCharType="begin"/>
            </w:r>
            <w:r w:rsidR="004A714B" w:rsidRPr="004A714B">
              <w:rPr>
                <w:noProof/>
                <w:webHidden/>
              </w:rPr>
              <w:instrText xml:space="preserve"> PAGEREF _Toc462678503 \h </w:instrText>
            </w:r>
            <w:r w:rsidR="004A714B" w:rsidRPr="004A714B">
              <w:rPr>
                <w:noProof/>
                <w:webHidden/>
              </w:rPr>
            </w:r>
            <w:r w:rsidR="004A714B" w:rsidRPr="004A714B">
              <w:rPr>
                <w:noProof/>
                <w:webHidden/>
              </w:rPr>
              <w:fldChar w:fldCharType="separate"/>
            </w:r>
            <w:r w:rsidR="004A714B" w:rsidRPr="004A714B">
              <w:rPr>
                <w:noProof/>
                <w:webHidden/>
              </w:rPr>
              <w:t>2</w:t>
            </w:r>
            <w:r w:rsidR="004A714B" w:rsidRPr="004A714B">
              <w:rPr>
                <w:noProof/>
                <w:webHidden/>
              </w:rPr>
              <w:fldChar w:fldCharType="end"/>
            </w:r>
          </w:hyperlink>
        </w:p>
        <w:p w:rsidR="004A714B" w:rsidRPr="004A714B" w:rsidRDefault="007413F0" w:rsidP="004A714B">
          <w:pPr>
            <w:tabs>
              <w:tab w:val="left" w:pos="8505"/>
            </w:tabs>
            <w:rPr>
              <w:rFonts w:eastAsiaTheme="minorEastAsia"/>
              <w:noProof/>
              <w:sz w:val="20"/>
              <w:lang w:eastAsia="es-MX"/>
            </w:rPr>
          </w:pPr>
          <w:hyperlink w:anchor="_Toc462678504" w:history="1">
            <w:r w:rsidR="004A714B" w:rsidRPr="004A714B">
              <w:rPr>
                <w:rStyle w:val="Hipervnculo"/>
                <w:rFonts w:ascii="ITC Avant Garde" w:hAnsi="ITC Avant Garde"/>
                <w:noProof/>
              </w:rPr>
              <w:t>BANDA DE FRECUENCIAS 806-814/851-859 MHz</w:t>
            </w:r>
            <w:r w:rsidR="004A714B" w:rsidRPr="004A714B">
              <w:rPr>
                <w:noProof/>
                <w:webHidden/>
              </w:rPr>
              <w:tab/>
            </w:r>
            <w:r w:rsidR="004A714B" w:rsidRPr="004A714B">
              <w:rPr>
                <w:noProof/>
                <w:webHidden/>
              </w:rPr>
              <w:fldChar w:fldCharType="begin"/>
            </w:r>
            <w:r w:rsidR="004A714B" w:rsidRPr="004A714B">
              <w:rPr>
                <w:noProof/>
                <w:webHidden/>
              </w:rPr>
              <w:instrText xml:space="preserve"> PAGEREF _Toc462678504 \h </w:instrText>
            </w:r>
            <w:r w:rsidR="004A714B" w:rsidRPr="004A714B">
              <w:rPr>
                <w:noProof/>
                <w:webHidden/>
              </w:rPr>
            </w:r>
            <w:r w:rsidR="004A714B" w:rsidRPr="004A714B">
              <w:rPr>
                <w:noProof/>
                <w:webHidden/>
              </w:rPr>
              <w:fldChar w:fldCharType="separate"/>
            </w:r>
            <w:r w:rsidR="004A714B" w:rsidRPr="004A714B">
              <w:rPr>
                <w:noProof/>
                <w:webHidden/>
              </w:rPr>
              <w:t>4</w:t>
            </w:r>
            <w:r w:rsidR="004A714B" w:rsidRPr="004A714B">
              <w:rPr>
                <w:noProof/>
                <w:webHidden/>
              </w:rPr>
              <w:fldChar w:fldCharType="end"/>
            </w:r>
          </w:hyperlink>
        </w:p>
        <w:p w:rsidR="004A714B" w:rsidRPr="004A714B" w:rsidRDefault="007413F0" w:rsidP="004A714B">
          <w:pPr>
            <w:tabs>
              <w:tab w:val="left" w:pos="8505"/>
            </w:tabs>
            <w:rPr>
              <w:rFonts w:eastAsiaTheme="minorEastAsia"/>
              <w:noProof/>
              <w:sz w:val="20"/>
              <w:lang w:eastAsia="es-MX"/>
            </w:rPr>
          </w:pPr>
          <w:hyperlink w:anchor="_Toc462678505" w:history="1">
            <w:r w:rsidR="004A714B" w:rsidRPr="004A714B">
              <w:rPr>
                <w:rStyle w:val="Hipervnculo"/>
                <w:rFonts w:ascii="ITC Avant Garde" w:hAnsi="ITC Avant Garde"/>
                <w:noProof/>
              </w:rPr>
              <w:t>BANDA DE FRECUENCIAS 824-849/869-894 MHz</w:t>
            </w:r>
            <w:r w:rsidR="004A714B" w:rsidRPr="004A714B">
              <w:rPr>
                <w:noProof/>
                <w:webHidden/>
              </w:rPr>
              <w:tab/>
            </w:r>
            <w:r w:rsidR="004A714B" w:rsidRPr="004A714B">
              <w:rPr>
                <w:noProof/>
                <w:webHidden/>
              </w:rPr>
              <w:fldChar w:fldCharType="begin"/>
            </w:r>
            <w:r w:rsidR="004A714B" w:rsidRPr="004A714B">
              <w:rPr>
                <w:noProof/>
                <w:webHidden/>
              </w:rPr>
              <w:instrText xml:space="preserve"> PAGEREF _Toc462678505 \h </w:instrText>
            </w:r>
            <w:r w:rsidR="004A714B" w:rsidRPr="004A714B">
              <w:rPr>
                <w:noProof/>
                <w:webHidden/>
              </w:rPr>
            </w:r>
            <w:r w:rsidR="004A714B" w:rsidRPr="004A714B">
              <w:rPr>
                <w:noProof/>
                <w:webHidden/>
              </w:rPr>
              <w:fldChar w:fldCharType="separate"/>
            </w:r>
            <w:r w:rsidR="004A714B" w:rsidRPr="004A714B">
              <w:rPr>
                <w:noProof/>
                <w:webHidden/>
              </w:rPr>
              <w:t>7</w:t>
            </w:r>
            <w:r w:rsidR="004A714B" w:rsidRPr="004A714B">
              <w:rPr>
                <w:noProof/>
                <w:webHidden/>
              </w:rPr>
              <w:fldChar w:fldCharType="end"/>
            </w:r>
          </w:hyperlink>
        </w:p>
        <w:p w:rsidR="004A714B" w:rsidRPr="004A714B" w:rsidRDefault="007413F0" w:rsidP="004A714B">
          <w:pPr>
            <w:tabs>
              <w:tab w:val="left" w:pos="8364"/>
            </w:tabs>
            <w:rPr>
              <w:rFonts w:eastAsiaTheme="minorEastAsia"/>
              <w:noProof/>
              <w:sz w:val="20"/>
              <w:lang w:eastAsia="es-MX"/>
            </w:rPr>
          </w:pPr>
          <w:hyperlink w:anchor="_Toc462678506" w:history="1">
            <w:r w:rsidR="004A714B" w:rsidRPr="004A714B">
              <w:rPr>
                <w:rStyle w:val="Hipervnculo"/>
                <w:rFonts w:ascii="ITC Avant Garde" w:hAnsi="ITC Avant Garde"/>
                <w:noProof/>
              </w:rPr>
              <w:t>RADIODIFUSIÓN</w:t>
            </w:r>
            <w:r w:rsidR="004A714B" w:rsidRPr="004A714B">
              <w:rPr>
                <w:noProof/>
                <w:webHidden/>
              </w:rPr>
              <w:tab/>
            </w:r>
            <w:r w:rsidR="004A714B" w:rsidRPr="004A714B">
              <w:rPr>
                <w:noProof/>
                <w:webHidden/>
              </w:rPr>
              <w:fldChar w:fldCharType="begin"/>
            </w:r>
            <w:r w:rsidR="004A714B" w:rsidRPr="004A714B">
              <w:rPr>
                <w:noProof/>
                <w:webHidden/>
              </w:rPr>
              <w:instrText xml:space="preserve"> PAGEREF _Toc462678506 \h </w:instrText>
            </w:r>
            <w:r w:rsidR="004A714B" w:rsidRPr="004A714B">
              <w:rPr>
                <w:noProof/>
                <w:webHidden/>
              </w:rPr>
            </w:r>
            <w:r w:rsidR="004A714B" w:rsidRPr="004A714B">
              <w:rPr>
                <w:noProof/>
                <w:webHidden/>
              </w:rPr>
              <w:fldChar w:fldCharType="separate"/>
            </w:r>
            <w:r w:rsidR="004A714B" w:rsidRPr="004A714B">
              <w:rPr>
                <w:noProof/>
                <w:webHidden/>
              </w:rPr>
              <w:t>12</w:t>
            </w:r>
            <w:r w:rsidR="004A714B" w:rsidRPr="004A714B">
              <w:rPr>
                <w:noProof/>
                <w:webHidden/>
              </w:rPr>
              <w:fldChar w:fldCharType="end"/>
            </w:r>
          </w:hyperlink>
        </w:p>
        <w:p w:rsidR="004A714B" w:rsidRPr="004A714B" w:rsidRDefault="007413F0" w:rsidP="004A714B">
          <w:pPr>
            <w:tabs>
              <w:tab w:val="left" w:pos="8364"/>
            </w:tabs>
            <w:rPr>
              <w:rFonts w:eastAsiaTheme="minorEastAsia"/>
              <w:noProof/>
              <w:sz w:val="20"/>
              <w:lang w:eastAsia="es-MX"/>
            </w:rPr>
          </w:pPr>
          <w:hyperlink w:anchor="_Toc462678507" w:history="1">
            <w:r w:rsidR="004A714B" w:rsidRPr="004A714B">
              <w:rPr>
                <w:rStyle w:val="Hipervnculo"/>
                <w:rFonts w:ascii="ITC Avant Garde" w:hAnsi="ITC Avant Garde"/>
                <w:noProof/>
              </w:rPr>
              <w:t>BANDAS DE FRECUENCIAS 535-1605 kHz y 1605-1705 kHz (AM estándar y ampliada)</w:t>
            </w:r>
            <w:r w:rsidR="004A714B" w:rsidRPr="004A714B">
              <w:rPr>
                <w:noProof/>
                <w:webHidden/>
              </w:rPr>
              <w:tab/>
            </w:r>
            <w:r w:rsidR="004A714B" w:rsidRPr="004A714B">
              <w:rPr>
                <w:noProof/>
                <w:webHidden/>
              </w:rPr>
              <w:fldChar w:fldCharType="begin"/>
            </w:r>
            <w:r w:rsidR="004A714B" w:rsidRPr="004A714B">
              <w:rPr>
                <w:noProof/>
                <w:webHidden/>
              </w:rPr>
              <w:instrText xml:space="preserve"> PAGEREF _Toc462678507 \h </w:instrText>
            </w:r>
            <w:r w:rsidR="004A714B" w:rsidRPr="004A714B">
              <w:rPr>
                <w:noProof/>
                <w:webHidden/>
              </w:rPr>
            </w:r>
            <w:r w:rsidR="004A714B" w:rsidRPr="004A714B">
              <w:rPr>
                <w:noProof/>
                <w:webHidden/>
              </w:rPr>
              <w:fldChar w:fldCharType="separate"/>
            </w:r>
            <w:r w:rsidR="004A714B" w:rsidRPr="004A714B">
              <w:rPr>
                <w:noProof/>
                <w:webHidden/>
              </w:rPr>
              <w:t>12</w:t>
            </w:r>
            <w:r w:rsidR="004A714B" w:rsidRPr="004A714B">
              <w:rPr>
                <w:noProof/>
                <w:webHidden/>
              </w:rPr>
              <w:fldChar w:fldCharType="end"/>
            </w:r>
          </w:hyperlink>
        </w:p>
        <w:p w:rsidR="004A714B" w:rsidRPr="004A714B" w:rsidRDefault="007413F0" w:rsidP="004A714B">
          <w:pPr>
            <w:tabs>
              <w:tab w:val="left" w:pos="8364"/>
            </w:tabs>
            <w:rPr>
              <w:rFonts w:eastAsiaTheme="minorEastAsia"/>
              <w:noProof/>
              <w:sz w:val="20"/>
              <w:lang w:eastAsia="es-MX"/>
            </w:rPr>
          </w:pPr>
          <w:hyperlink w:anchor="_Toc462678508" w:history="1">
            <w:r w:rsidR="004A714B" w:rsidRPr="004A714B">
              <w:rPr>
                <w:rStyle w:val="Hipervnculo"/>
                <w:rFonts w:ascii="ITC Avant Garde" w:hAnsi="ITC Avant Garde"/>
                <w:noProof/>
              </w:rPr>
              <w:t>BANDA DE FRECUENCIAS 88-108 MHz (FM)</w:t>
            </w:r>
            <w:r w:rsidR="004A714B" w:rsidRPr="004A714B">
              <w:rPr>
                <w:noProof/>
                <w:webHidden/>
              </w:rPr>
              <w:tab/>
            </w:r>
            <w:r w:rsidR="004A714B" w:rsidRPr="004A714B">
              <w:rPr>
                <w:noProof/>
                <w:webHidden/>
              </w:rPr>
              <w:fldChar w:fldCharType="begin"/>
            </w:r>
            <w:r w:rsidR="004A714B" w:rsidRPr="004A714B">
              <w:rPr>
                <w:noProof/>
                <w:webHidden/>
              </w:rPr>
              <w:instrText xml:space="preserve"> PAGEREF _Toc462678508 \h </w:instrText>
            </w:r>
            <w:r w:rsidR="004A714B" w:rsidRPr="004A714B">
              <w:rPr>
                <w:noProof/>
                <w:webHidden/>
              </w:rPr>
            </w:r>
            <w:r w:rsidR="004A714B" w:rsidRPr="004A714B">
              <w:rPr>
                <w:noProof/>
                <w:webHidden/>
              </w:rPr>
              <w:fldChar w:fldCharType="separate"/>
            </w:r>
            <w:r w:rsidR="004A714B" w:rsidRPr="004A714B">
              <w:rPr>
                <w:noProof/>
                <w:webHidden/>
              </w:rPr>
              <w:t>15</w:t>
            </w:r>
            <w:r w:rsidR="004A714B" w:rsidRPr="004A714B">
              <w:rPr>
                <w:noProof/>
                <w:webHidden/>
              </w:rPr>
              <w:fldChar w:fldCharType="end"/>
            </w:r>
          </w:hyperlink>
        </w:p>
        <w:p w:rsidR="004A714B" w:rsidRPr="004A714B" w:rsidRDefault="007413F0" w:rsidP="004A714B">
          <w:pPr>
            <w:tabs>
              <w:tab w:val="left" w:pos="8364"/>
            </w:tabs>
            <w:rPr>
              <w:rFonts w:eastAsiaTheme="minorEastAsia"/>
              <w:noProof/>
              <w:sz w:val="20"/>
              <w:lang w:eastAsia="es-MX"/>
            </w:rPr>
          </w:pPr>
          <w:hyperlink w:anchor="_Toc462678509" w:history="1">
            <w:r w:rsidR="004A714B" w:rsidRPr="004A714B">
              <w:rPr>
                <w:rStyle w:val="Hipervnculo"/>
                <w:rFonts w:ascii="ITC Avant Garde" w:hAnsi="ITC Avant Garde"/>
                <w:noProof/>
              </w:rPr>
              <w:t>BANDAS DE FRECUENCIAS 174-216 MHz (TDT-VHF) Y</w:t>
            </w:r>
            <w:r w:rsidR="004A714B" w:rsidRPr="004A714B">
              <w:rPr>
                <w:noProof/>
                <w:webHidden/>
              </w:rPr>
              <w:tab/>
            </w:r>
            <w:r w:rsidR="004A714B" w:rsidRPr="004A714B">
              <w:rPr>
                <w:noProof/>
                <w:webHidden/>
              </w:rPr>
              <w:fldChar w:fldCharType="begin"/>
            </w:r>
            <w:r w:rsidR="004A714B" w:rsidRPr="004A714B">
              <w:rPr>
                <w:noProof/>
                <w:webHidden/>
              </w:rPr>
              <w:instrText xml:space="preserve"> PAGEREF _Toc462678509 \h </w:instrText>
            </w:r>
            <w:r w:rsidR="004A714B" w:rsidRPr="004A714B">
              <w:rPr>
                <w:noProof/>
                <w:webHidden/>
              </w:rPr>
            </w:r>
            <w:r w:rsidR="004A714B" w:rsidRPr="004A714B">
              <w:rPr>
                <w:noProof/>
                <w:webHidden/>
              </w:rPr>
              <w:fldChar w:fldCharType="separate"/>
            </w:r>
            <w:r w:rsidR="004A714B" w:rsidRPr="004A714B">
              <w:rPr>
                <w:noProof/>
                <w:webHidden/>
              </w:rPr>
              <w:t>17</w:t>
            </w:r>
            <w:r w:rsidR="004A714B" w:rsidRPr="004A714B">
              <w:rPr>
                <w:noProof/>
                <w:webHidden/>
              </w:rPr>
              <w:fldChar w:fldCharType="end"/>
            </w:r>
          </w:hyperlink>
        </w:p>
        <w:p w:rsidR="004A714B" w:rsidRPr="004A714B" w:rsidRDefault="007413F0" w:rsidP="004A714B">
          <w:pPr>
            <w:tabs>
              <w:tab w:val="left" w:pos="8364"/>
            </w:tabs>
            <w:rPr>
              <w:rFonts w:eastAsiaTheme="minorEastAsia"/>
              <w:noProof/>
              <w:sz w:val="20"/>
              <w:lang w:eastAsia="es-MX"/>
            </w:rPr>
          </w:pPr>
          <w:hyperlink w:anchor="_Toc462678510" w:history="1">
            <w:r w:rsidR="004A714B" w:rsidRPr="004A714B">
              <w:rPr>
                <w:rStyle w:val="Hipervnculo"/>
                <w:rFonts w:ascii="ITC Avant Garde" w:hAnsi="ITC Avant Garde"/>
                <w:noProof/>
              </w:rPr>
              <w:t>470-608 MHz (TDT-UHF)</w:t>
            </w:r>
            <w:r w:rsidR="004A714B" w:rsidRPr="004A714B">
              <w:rPr>
                <w:noProof/>
                <w:webHidden/>
              </w:rPr>
              <w:tab/>
            </w:r>
            <w:r w:rsidR="004A714B" w:rsidRPr="004A714B">
              <w:rPr>
                <w:noProof/>
                <w:webHidden/>
              </w:rPr>
              <w:fldChar w:fldCharType="begin"/>
            </w:r>
            <w:r w:rsidR="004A714B" w:rsidRPr="004A714B">
              <w:rPr>
                <w:noProof/>
                <w:webHidden/>
              </w:rPr>
              <w:instrText xml:space="preserve"> PAGEREF _Toc462678510 \h </w:instrText>
            </w:r>
            <w:r w:rsidR="004A714B" w:rsidRPr="004A714B">
              <w:rPr>
                <w:noProof/>
                <w:webHidden/>
              </w:rPr>
            </w:r>
            <w:r w:rsidR="004A714B" w:rsidRPr="004A714B">
              <w:rPr>
                <w:noProof/>
                <w:webHidden/>
              </w:rPr>
              <w:fldChar w:fldCharType="separate"/>
            </w:r>
            <w:r w:rsidR="004A714B" w:rsidRPr="004A714B">
              <w:rPr>
                <w:noProof/>
                <w:webHidden/>
              </w:rPr>
              <w:t>17</w:t>
            </w:r>
            <w:r w:rsidR="004A714B" w:rsidRPr="004A714B">
              <w:rPr>
                <w:noProof/>
                <w:webHidden/>
              </w:rPr>
              <w:fldChar w:fldCharType="end"/>
            </w:r>
          </w:hyperlink>
        </w:p>
        <w:p w:rsidR="004A714B" w:rsidRPr="008F5AEE" w:rsidRDefault="004A714B" w:rsidP="004A714B">
          <w:r w:rsidRPr="004A714B">
            <w:rPr>
              <w:b/>
              <w:bCs/>
              <w:sz w:val="20"/>
              <w:lang w:val="es-ES"/>
            </w:rPr>
            <w:fldChar w:fldCharType="end"/>
          </w:r>
        </w:p>
      </w:sdtContent>
    </w:sdt>
    <w:p w:rsidR="00F7521A" w:rsidRDefault="004A714B" w:rsidP="004A714B">
      <w:pPr>
        <w:contextualSpacing/>
        <w:jc w:val="both"/>
        <w:rPr>
          <w:rFonts w:ascii="ITC Avant Garde" w:hAnsi="ITC Avant Garde" w:cs="Arial Unicode MS"/>
          <w:b/>
          <w:bCs/>
          <w:color w:val="000000" w:themeColor="text1"/>
          <w:u w:val="single" w:color="000000"/>
          <w:lang w:val="es-ES_tradnl"/>
        </w:rPr>
      </w:pPr>
      <w:r w:rsidRPr="00F67508">
        <w:rPr>
          <w:rFonts w:ascii="ITC Avant Garde" w:hAnsi="ITC Avant Garde"/>
          <w:color w:val="000000" w:themeColor="text1"/>
          <w:u w:val="single"/>
        </w:rPr>
        <w:br w:type="page"/>
      </w:r>
    </w:p>
    <w:p w:rsidR="00F7521A" w:rsidRPr="007062E9" w:rsidRDefault="004A714B" w:rsidP="007062E9">
      <w:pPr>
        <w:pStyle w:val="Ttulo3"/>
        <w:keepNext/>
        <w:keepLines/>
        <w:pBdr>
          <w:top w:val="none" w:sz="0" w:space="0" w:color="auto"/>
          <w:left w:val="none" w:sz="0" w:space="0" w:color="auto"/>
          <w:bottom w:val="none" w:sz="0" w:space="0" w:color="auto"/>
          <w:right w:val="none" w:sz="0" w:space="0" w:color="auto"/>
          <w:between w:val="none" w:sz="0" w:space="0" w:color="auto"/>
        </w:pBdr>
        <w:spacing w:before="40" w:line="259" w:lineRule="auto"/>
        <w:ind w:left="0" w:firstLine="0"/>
        <w:rPr>
          <w:rFonts w:cs="Helv"/>
          <w:color w:val="auto"/>
          <w:sz w:val="22"/>
          <w:szCs w:val="22"/>
          <w:lang w:val="es-ES_tradnl"/>
        </w:rPr>
      </w:pPr>
      <w:bookmarkStart w:id="0" w:name="_Toc462678502"/>
      <w:r w:rsidRPr="007062E9">
        <w:rPr>
          <w:rFonts w:cs="Helv"/>
          <w:color w:val="auto"/>
          <w:sz w:val="22"/>
          <w:szCs w:val="22"/>
          <w:lang w:val="es-ES_tradnl"/>
        </w:rPr>
        <w:lastRenderedPageBreak/>
        <w:t>TELECOMUNICACIONES</w:t>
      </w:r>
      <w:bookmarkEnd w:id="0"/>
    </w:p>
    <w:p w:rsidR="004A714B" w:rsidRPr="007062E9" w:rsidRDefault="004A714B" w:rsidP="007062E9">
      <w:pPr>
        <w:pStyle w:val="Ttulo4"/>
        <w:keepNext/>
        <w:keepLines/>
        <w:pBdr>
          <w:top w:val="none" w:sz="0" w:space="0" w:color="auto"/>
          <w:left w:val="none" w:sz="0" w:space="0" w:color="auto"/>
          <w:bottom w:val="none" w:sz="0" w:space="0" w:color="auto"/>
          <w:right w:val="none" w:sz="0" w:space="0" w:color="auto"/>
          <w:between w:val="none" w:sz="0" w:space="0" w:color="auto"/>
        </w:pBdr>
        <w:spacing w:before="40"/>
        <w:ind w:left="0" w:firstLine="0"/>
        <w:jc w:val="center"/>
        <w:rPr>
          <w:rFonts w:ascii="ITC Avant Garde" w:eastAsiaTheme="majorEastAsia" w:hAnsi="ITC Avant Garde" w:cs="Times New Roman"/>
          <w:iCs/>
          <w:color w:val="000000" w:themeColor="text1"/>
          <w:sz w:val="20"/>
          <w:lang w:val="es-MX" w:eastAsia="es-ES"/>
        </w:rPr>
      </w:pPr>
      <w:r w:rsidRPr="007062E9">
        <w:rPr>
          <w:rFonts w:ascii="ITC Avant Garde" w:eastAsiaTheme="majorEastAsia" w:hAnsi="ITC Avant Garde" w:cs="Times New Roman"/>
          <w:iCs/>
          <w:color w:val="000000" w:themeColor="text1"/>
          <w:sz w:val="20"/>
          <w:lang w:val="es-MX" w:eastAsia="es-ES"/>
        </w:rPr>
        <w:t>BANDA DE FRECUENCIAS 415-420/425-430 MHz</w:t>
      </w:r>
    </w:p>
    <w:p w:rsidR="004A714B" w:rsidRPr="00F67508"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Atribución.</w:t>
      </w:r>
    </w:p>
    <w:p w:rsidR="004A714B" w:rsidRPr="00F67508" w:rsidRDefault="004A714B" w:rsidP="004A714B">
      <w:pPr>
        <w:contextualSpacing/>
        <w:jc w:val="both"/>
        <w:rPr>
          <w:rFonts w:ascii="ITC Avant Garde" w:hAnsi="ITC Avant Garde"/>
          <w:b/>
          <w:color w:val="000000" w:themeColor="text1"/>
        </w:rPr>
      </w:pPr>
    </w:p>
    <w:tbl>
      <w:tblPr>
        <w:tblStyle w:val="Tabladelista3-nfasis21"/>
        <w:tblW w:w="9072" w:type="dxa"/>
        <w:jc w:val="center"/>
        <w:tblLayout w:type="fixed"/>
        <w:tblLook w:val="04A0" w:firstRow="1" w:lastRow="0" w:firstColumn="1" w:lastColumn="0" w:noHBand="0" w:noVBand="1"/>
        <w:tblCaption w:val="BANDA DE FRECUANCIAS 415-420/425-430"/>
        <w:tblDescription w:val="BANDA DE FRECUENCIAS, ATRIBUCION RR Y ATRIBUCION CNAF"/>
      </w:tblPr>
      <w:tblGrid>
        <w:gridCol w:w="1564"/>
        <w:gridCol w:w="3823"/>
        <w:gridCol w:w="3685"/>
      </w:tblGrid>
      <w:tr w:rsidR="004A714B" w:rsidRPr="00F67508" w:rsidTr="004A714B">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100" w:firstRow="0" w:lastRow="0" w:firstColumn="1" w:lastColumn="0" w:oddVBand="0" w:evenVBand="0" w:oddHBand="0" w:evenHBand="0" w:firstRowFirstColumn="1" w:firstRowLastColumn="0" w:lastRowFirstColumn="0" w:lastRowLastColumn="0"/>
            <w:tcW w:w="1564" w:type="dxa"/>
            <w:noWrap/>
            <w:vAlign w:val="center"/>
            <w:hideMark/>
          </w:tcPr>
          <w:p w:rsidR="004A714B" w:rsidRPr="00F67508" w:rsidRDefault="004A714B" w:rsidP="004A714B">
            <w:pPr>
              <w:jc w:val="center"/>
              <w:rPr>
                <w:rFonts w:ascii="ITC Avant Garde" w:eastAsia="Times New Roman" w:hAnsi="ITC Avant Garde"/>
                <w:b w:val="0"/>
                <w:color w:val="000000"/>
                <w:sz w:val="16"/>
                <w:szCs w:val="22"/>
                <w:lang w:eastAsia="es-MX"/>
              </w:rPr>
            </w:pPr>
            <w:r w:rsidRPr="00F67508">
              <w:rPr>
                <w:rFonts w:ascii="ITC Avant Garde" w:hAnsi="ITC Avant Garde" w:cstheme="minorHAnsi"/>
                <w:color w:val="000000" w:themeColor="text1"/>
                <w:sz w:val="16"/>
                <w:szCs w:val="22"/>
              </w:rPr>
              <w:t>Banda de Frecuencias (MHz)</w:t>
            </w:r>
          </w:p>
        </w:tc>
        <w:tc>
          <w:tcPr>
            <w:tcW w:w="3823" w:type="dxa"/>
            <w:noWrap/>
            <w:vAlign w:val="center"/>
            <w:hideMark/>
          </w:tcPr>
          <w:p w:rsidR="004A714B" w:rsidRPr="00F67508" w:rsidRDefault="004A714B" w:rsidP="004A714B">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b w:val="0"/>
                <w:color w:val="000000"/>
                <w:sz w:val="16"/>
                <w:szCs w:val="22"/>
                <w:lang w:eastAsia="es-MX"/>
              </w:rPr>
            </w:pPr>
            <w:r w:rsidRPr="00F67508">
              <w:rPr>
                <w:rFonts w:ascii="ITC Avant Garde" w:hAnsi="ITC Avant Garde" w:cstheme="minorHAnsi"/>
                <w:color w:val="000000" w:themeColor="text1"/>
                <w:sz w:val="16"/>
                <w:szCs w:val="22"/>
              </w:rPr>
              <w:t>Atribución RR</w:t>
            </w:r>
          </w:p>
        </w:tc>
        <w:tc>
          <w:tcPr>
            <w:tcW w:w="3685" w:type="dxa"/>
            <w:noWrap/>
            <w:vAlign w:val="center"/>
            <w:hideMark/>
          </w:tcPr>
          <w:p w:rsidR="004A714B" w:rsidRPr="00F67508" w:rsidRDefault="004A714B" w:rsidP="004A714B">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b w:val="0"/>
                <w:color w:val="000000"/>
                <w:sz w:val="16"/>
                <w:szCs w:val="22"/>
                <w:lang w:eastAsia="es-MX"/>
              </w:rPr>
            </w:pPr>
            <w:r w:rsidRPr="00F67508">
              <w:rPr>
                <w:rFonts w:ascii="ITC Avant Garde" w:hAnsi="ITC Avant Garde" w:cstheme="minorHAnsi"/>
                <w:color w:val="000000" w:themeColor="text1"/>
                <w:sz w:val="16"/>
                <w:szCs w:val="22"/>
              </w:rPr>
              <w:t>Atribución CNAF</w:t>
            </w:r>
          </w:p>
        </w:tc>
      </w:tr>
      <w:tr w:rsidR="004A714B" w:rsidRPr="00F67508" w:rsidTr="004A71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4" w:type="dxa"/>
            <w:noWrap/>
            <w:vAlign w:val="center"/>
            <w:hideMark/>
          </w:tcPr>
          <w:p w:rsidR="004A714B" w:rsidRPr="00F67508" w:rsidRDefault="004A714B" w:rsidP="004A714B">
            <w:pPr>
              <w:jc w:val="center"/>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410-420</w:t>
            </w:r>
          </w:p>
        </w:tc>
        <w:tc>
          <w:tcPr>
            <w:tcW w:w="3823" w:type="dxa"/>
            <w:noWrap/>
            <w:vAlign w:val="center"/>
            <w:hideMark/>
          </w:tcPr>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FIJO</w:t>
            </w:r>
          </w:p>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MÓVIL salvo móvil aeronáutico</w:t>
            </w:r>
          </w:p>
          <w:p w:rsidR="004A714B" w:rsidRPr="00F67508" w:rsidRDefault="004A714B" w:rsidP="004A714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INVESTIGACIÓN ESPACIAL (espacio-espacio)</w:t>
            </w:r>
          </w:p>
        </w:tc>
        <w:tc>
          <w:tcPr>
            <w:tcW w:w="3685" w:type="dxa"/>
            <w:noWrap/>
            <w:vAlign w:val="center"/>
            <w:hideMark/>
          </w:tcPr>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FIJO</w:t>
            </w:r>
          </w:p>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MÓVIL salvo móvil aeronáutico</w:t>
            </w:r>
          </w:p>
          <w:p w:rsidR="004A714B" w:rsidRPr="00F67508" w:rsidRDefault="004A714B" w:rsidP="004A714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INVESTIGACIÓN ESPACIAL (espacio-espacio)</w:t>
            </w:r>
          </w:p>
        </w:tc>
      </w:tr>
      <w:tr w:rsidR="004A714B" w:rsidRPr="00F67508" w:rsidTr="004A714B">
        <w:trPr>
          <w:trHeight w:val="300"/>
          <w:jc w:val="center"/>
        </w:trPr>
        <w:tc>
          <w:tcPr>
            <w:cnfStyle w:val="001000000000" w:firstRow="0" w:lastRow="0" w:firstColumn="1" w:lastColumn="0" w:oddVBand="0" w:evenVBand="0" w:oddHBand="0" w:evenHBand="0" w:firstRowFirstColumn="0" w:firstRowLastColumn="0" w:lastRowFirstColumn="0" w:lastRowLastColumn="0"/>
            <w:tcW w:w="1564" w:type="dxa"/>
            <w:noWrap/>
            <w:vAlign w:val="center"/>
            <w:hideMark/>
          </w:tcPr>
          <w:p w:rsidR="004A714B" w:rsidRPr="00F67508" w:rsidRDefault="004A714B" w:rsidP="004A714B">
            <w:pPr>
              <w:jc w:val="center"/>
              <w:rPr>
                <w:rFonts w:ascii="ITC Avant Garde" w:eastAsia="Times New Roman" w:hAnsi="ITC Avant Garde"/>
                <w:color w:val="000000"/>
                <w:sz w:val="16"/>
                <w:szCs w:val="22"/>
                <w:lang w:eastAsia="es-MX"/>
              </w:rPr>
            </w:pPr>
            <w:r w:rsidRPr="00F67508">
              <w:rPr>
                <w:rFonts w:ascii="ITC Avant Garde" w:eastAsia="Times New Roman" w:hAnsi="ITC Avant Garde"/>
                <w:color w:val="000000"/>
                <w:sz w:val="16"/>
                <w:szCs w:val="22"/>
                <w:lang w:eastAsia="es-MX"/>
              </w:rPr>
              <w:t>420-430</w:t>
            </w:r>
          </w:p>
        </w:tc>
        <w:tc>
          <w:tcPr>
            <w:tcW w:w="3823" w:type="dxa"/>
            <w:noWrap/>
            <w:vAlign w:val="center"/>
            <w:hideMark/>
          </w:tcPr>
          <w:p w:rsidR="004A714B" w:rsidRPr="00F67508" w:rsidRDefault="004A714B" w:rsidP="004A714B">
            <w:pPr>
              <w:contextualSpacing/>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FIJO</w:t>
            </w:r>
          </w:p>
          <w:p w:rsidR="004A714B" w:rsidRPr="00F67508" w:rsidRDefault="004A714B" w:rsidP="004A714B">
            <w:pPr>
              <w:contextualSpacing/>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MÓVIL salvo móvil aeronáutico</w:t>
            </w:r>
          </w:p>
          <w:p w:rsidR="004A714B" w:rsidRPr="00F67508" w:rsidRDefault="004A714B" w:rsidP="004A714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Radiolocalización</w:t>
            </w:r>
          </w:p>
        </w:tc>
        <w:tc>
          <w:tcPr>
            <w:tcW w:w="3685" w:type="dxa"/>
            <w:noWrap/>
            <w:vAlign w:val="center"/>
            <w:hideMark/>
          </w:tcPr>
          <w:p w:rsidR="004A714B" w:rsidRPr="00F67508" w:rsidRDefault="004A714B" w:rsidP="004A714B">
            <w:pPr>
              <w:contextualSpacing/>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MÓVIL salvo móvil aeronáutico</w:t>
            </w:r>
          </w:p>
          <w:p w:rsidR="004A714B" w:rsidRPr="00F67508" w:rsidRDefault="004A714B" w:rsidP="004A714B">
            <w:pPr>
              <w:contextualSpacing/>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Radiolocalización</w:t>
            </w:r>
            <w:r w:rsidRPr="00F67508">
              <w:rPr>
                <w:rFonts w:ascii="ITC Avant Garde" w:eastAsia="Times New Roman" w:hAnsi="ITC Avant Garde"/>
                <w:color w:val="000000"/>
                <w:sz w:val="16"/>
                <w:szCs w:val="22"/>
                <w:lang w:eastAsia="es-MX"/>
              </w:rPr>
              <w:t xml:space="preserve"> </w:t>
            </w:r>
          </w:p>
        </w:tc>
      </w:tr>
    </w:tbl>
    <w:p w:rsidR="004A714B" w:rsidRPr="00F67508" w:rsidRDefault="004A714B" w:rsidP="004A714B">
      <w:pPr>
        <w:contextualSpacing/>
        <w:jc w:val="both"/>
        <w:rPr>
          <w:rFonts w:ascii="ITC Avant Garde" w:hAnsi="ITC Avant Garde"/>
          <w:b/>
          <w:color w:val="000000" w:themeColor="text1"/>
        </w:rPr>
      </w:pPr>
    </w:p>
    <w:p w:rsidR="00F7521A" w:rsidRDefault="004A714B" w:rsidP="004A714B">
      <w:pPr>
        <w:contextualSpacing/>
        <w:rPr>
          <w:rFonts w:ascii="ITC Avant Garde" w:hAnsi="ITC Avant Garde"/>
          <w:b/>
          <w:color w:val="000000" w:themeColor="text1"/>
        </w:rPr>
      </w:pPr>
      <w:r w:rsidRPr="00F67508">
        <w:rPr>
          <w:rFonts w:ascii="ITC Avant Garde" w:hAnsi="ITC Avant Garde"/>
          <w:b/>
          <w:color w:val="000000" w:themeColor="text1"/>
        </w:rPr>
        <w:t>Notas aplicables RR UIT.</w:t>
      </w:r>
    </w:p>
    <w:p w:rsidR="00F7521A" w:rsidRDefault="004A714B" w:rsidP="004A714B">
      <w:pPr>
        <w:ind w:left="1134"/>
        <w:contextualSpacing/>
        <w:rPr>
          <w:rFonts w:ascii="ITC Avant Garde" w:hAnsi="ITC Avant Garde"/>
          <w:color w:val="000000" w:themeColor="text1"/>
          <w:sz w:val="18"/>
          <w:szCs w:val="18"/>
        </w:rPr>
      </w:pPr>
      <w:r w:rsidRPr="00F67508">
        <w:rPr>
          <w:rFonts w:ascii="ITC Avant Garde" w:hAnsi="ITC Avant Garde"/>
          <w:color w:val="000000" w:themeColor="text1"/>
          <w:sz w:val="18"/>
          <w:szCs w:val="18"/>
        </w:rPr>
        <w:t>Sin notas relevantes.</w:t>
      </w:r>
    </w:p>
    <w:p w:rsidR="00F7521A" w:rsidRDefault="004A714B" w:rsidP="004A714B">
      <w:pPr>
        <w:contextualSpacing/>
        <w:rPr>
          <w:rFonts w:ascii="ITC Avant Garde" w:hAnsi="ITC Avant Garde"/>
          <w:b/>
          <w:color w:val="000000" w:themeColor="text1"/>
        </w:rPr>
      </w:pPr>
      <w:r w:rsidRPr="00F67508" w:rsidDel="004F0CAD">
        <w:rPr>
          <w:rFonts w:ascii="ITC Avant Garde" w:hAnsi="ITC Avant Garde"/>
          <w:b/>
          <w:color w:val="000000" w:themeColor="text1"/>
        </w:rPr>
        <w:t>Notas Nacionales.</w:t>
      </w:r>
    </w:p>
    <w:p w:rsidR="004A714B" w:rsidRPr="001F4A89" w:rsidRDefault="004A714B" w:rsidP="004A714B">
      <w:pPr>
        <w:ind w:left="1134" w:right="1275"/>
        <w:contextualSpacing/>
        <w:jc w:val="both"/>
        <w:rPr>
          <w:rFonts w:ascii="ITC Avant Garde" w:hAnsi="ITC Avant Garde"/>
          <w:i/>
          <w:color w:val="000000" w:themeColor="text1"/>
          <w:sz w:val="18"/>
          <w:szCs w:val="18"/>
        </w:rPr>
      </w:pPr>
      <w:r w:rsidRPr="001F4A89">
        <w:rPr>
          <w:rFonts w:ascii="ITC Avant Garde" w:hAnsi="ITC Avant Garde"/>
          <w:b/>
          <w:i/>
          <w:color w:val="000000" w:themeColor="text1"/>
          <w:sz w:val="18"/>
          <w:szCs w:val="18"/>
        </w:rPr>
        <w:t>MX116.</w:t>
      </w:r>
      <w:r w:rsidRPr="001F4A89">
        <w:rPr>
          <w:rFonts w:ascii="ITC Avant Garde" w:hAnsi="ITC Avant Garde"/>
          <w:i/>
          <w:color w:val="000000" w:themeColor="text1"/>
          <w:sz w:val="18"/>
          <w:szCs w:val="18"/>
        </w:rPr>
        <w:t xml:space="preserve"> El 2 de julio de 1991 se firmó en </w:t>
      </w:r>
      <w:proofErr w:type="spellStart"/>
      <w:r w:rsidRPr="001F4A89">
        <w:rPr>
          <w:rFonts w:ascii="ITC Avant Garde" w:hAnsi="ITC Avant Garde"/>
          <w:i/>
          <w:color w:val="000000" w:themeColor="text1"/>
          <w:sz w:val="18"/>
          <w:szCs w:val="18"/>
        </w:rPr>
        <w:t>Chestertown</w:t>
      </w:r>
      <w:proofErr w:type="spellEnd"/>
      <w:r w:rsidRPr="001F4A89">
        <w:rPr>
          <w:rFonts w:ascii="ITC Avant Garde" w:hAnsi="ITC Avant Garde"/>
          <w:i/>
          <w:color w:val="000000" w:themeColor="text1"/>
          <w:sz w:val="18"/>
          <w:szCs w:val="18"/>
        </w:rPr>
        <w:t>, Maryland el Arreglo Administrativo entre México</w:t>
      </w:r>
      <w:bookmarkStart w:id="1" w:name="_GoBack"/>
      <w:bookmarkEnd w:id="1"/>
      <w:r w:rsidRPr="001F4A89">
        <w:rPr>
          <w:rFonts w:ascii="ITC Avant Garde" w:hAnsi="ITC Avant Garde"/>
          <w:i/>
          <w:color w:val="000000" w:themeColor="text1"/>
          <w:sz w:val="18"/>
          <w:szCs w:val="18"/>
        </w:rPr>
        <w:t xml:space="preserve"> y los Estados Unidos de América, relativo al uso de las frecuencias portadoras que se enlistan a continuación para propósitos especiales por los respectivos países a lo largo de la frontera común: </w:t>
      </w:r>
    </w:p>
    <w:p w:rsidR="004A714B" w:rsidRPr="001F4A89" w:rsidRDefault="004A714B" w:rsidP="004A714B">
      <w:pPr>
        <w:ind w:left="1134" w:right="1275"/>
        <w:contextualSpacing/>
        <w:rPr>
          <w:rFonts w:ascii="ITC Avant Garde" w:hAnsi="ITC Avant Garde"/>
          <w:i/>
          <w:color w:val="000000" w:themeColor="text1"/>
          <w:sz w:val="18"/>
          <w:szCs w:val="18"/>
        </w:rPr>
        <w:sectPr w:rsidR="004A714B" w:rsidRPr="001F4A89" w:rsidSect="007062E9">
          <w:headerReference w:type="default" r:id="rId13"/>
          <w:footerReference w:type="default" r:id="rId14"/>
          <w:headerReference w:type="first" r:id="rId15"/>
          <w:pgSz w:w="12240" w:h="15840" w:code="1"/>
          <w:pgMar w:top="2268" w:right="1797" w:bottom="1559" w:left="1797" w:header="993" w:footer="709" w:gutter="0"/>
          <w:pgNumType w:start="1"/>
          <w:cols w:space="720"/>
          <w:docGrid w:linePitch="326"/>
        </w:sectPr>
      </w:pP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lastRenderedPageBreak/>
        <w:t>162.6875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t>164.4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t>164.65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t>164.8875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t>165.2125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t>165.375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t>165.6875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t>165.7875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t>165.9750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t>166.1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lastRenderedPageBreak/>
        <w:t>166.2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t>166.4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t>166.5125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t>166.5250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t>166.5750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t>166.58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t>166.65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t>166.7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t>167.025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t>167.05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lastRenderedPageBreak/>
        <w:t>167.2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t>167.275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t>168.725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t>171.2875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t>407.85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t>415.70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t>463.45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t>463.475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t>468.475 MHz</w:t>
      </w:r>
    </w:p>
    <w:p w:rsidR="004A714B" w:rsidRPr="001F4A89" w:rsidRDefault="004A714B" w:rsidP="004A714B">
      <w:pPr>
        <w:ind w:left="283" w:right="283"/>
        <w:contextualSpacing/>
        <w:rPr>
          <w:rFonts w:ascii="ITC Avant Garde" w:hAnsi="ITC Avant Garde"/>
          <w:i/>
          <w:color w:val="000000" w:themeColor="text1"/>
          <w:sz w:val="18"/>
          <w:szCs w:val="18"/>
        </w:rPr>
      </w:pPr>
      <w:r w:rsidRPr="001F4A89">
        <w:rPr>
          <w:rFonts w:ascii="ITC Avant Garde" w:hAnsi="ITC Avant Garde"/>
          <w:i/>
          <w:color w:val="000000" w:themeColor="text1"/>
          <w:sz w:val="18"/>
          <w:szCs w:val="18"/>
        </w:rPr>
        <w:t>468.475 MHz</w:t>
      </w:r>
    </w:p>
    <w:p w:rsidR="004A714B" w:rsidRPr="001F4A89" w:rsidRDefault="004A714B" w:rsidP="004A714B">
      <w:pPr>
        <w:ind w:left="1134" w:right="1275"/>
        <w:contextualSpacing/>
        <w:jc w:val="both"/>
        <w:rPr>
          <w:rFonts w:ascii="ITC Avant Garde" w:hAnsi="ITC Avant Garde"/>
          <w:i/>
          <w:color w:val="000000" w:themeColor="text1"/>
          <w:sz w:val="18"/>
          <w:szCs w:val="18"/>
        </w:rPr>
        <w:sectPr w:rsidR="004A714B" w:rsidRPr="001F4A89" w:rsidSect="004A714B">
          <w:type w:val="continuous"/>
          <w:pgSz w:w="12240" w:h="15840" w:code="1"/>
          <w:pgMar w:top="2268" w:right="3026" w:bottom="1559" w:left="2694" w:header="993" w:footer="709" w:gutter="0"/>
          <w:cols w:num="3" w:space="214"/>
          <w:titlePg/>
          <w:docGrid w:linePitch="326"/>
        </w:sectPr>
      </w:pPr>
    </w:p>
    <w:p w:rsidR="004A714B" w:rsidRPr="001F4A89" w:rsidRDefault="004A714B" w:rsidP="004A714B">
      <w:pPr>
        <w:ind w:left="1134" w:right="1275"/>
        <w:contextualSpacing/>
        <w:jc w:val="both"/>
        <w:rPr>
          <w:rFonts w:ascii="ITC Avant Garde" w:hAnsi="ITC Avant Garde"/>
          <w:i/>
          <w:color w:val="000000" w:themeColor="text1"/>
          <w:sz w:val="18"/>
          <w:szCs w:val="18"/>
        </w:rPr>
      </w:pPr>
    </w:p>
    <w:p w:rsidR="00F7521A" w:rsidRDefault="004A714B" w:rsidP="004A714B">
      <w:pPr>
        <w:ind w:left="1134" w:right="1275"/>
        <w:contextualSpacing/>
        <w:jc w:val="both"/>
        <w:rPr>
          <w:rFonts w:ascii="ITC Avant Garde" w:hAnsi="ITC Avant Garde"/>
          <w:i/>
          <w:color w:val="000000" w:themeColor="text1"/>
          <w:sz w:val="18"/>
          <w:szCs w:val="18"/>
        </w:rPr>
      </w:pPr>
      <w:r w:rsidRPr="001F4A89">
        <w:rPr>
          <w:rFonts w:ascii="ITC Avant Garde" w:hAnsi="ITC Avant Garde"/>
          <w:b/>
          <w:i/>
          <w:color w:val="000000" w:themeColor="text1"/>
          <w:sz w:val="18"/>
          <w:szCs w:val="18"/>
        </w:rPr>
        <w:t>MX132.</w:t>
      </w:r>
      <w:r w:rsidRPr="001F4A89">
        <w:rPr>
          <w:rFonts w:ascii="ITC Avant Garde" w:hAnsi="ITC Avant Garde"/>
          <w:i/>
          <w:color w:val="000000" w:themeColor="text1"/>
          <w:sz w:val="18"/>
          <w:szCs w:val="18"/>
        </w:rPr>
        <w:t xml:space="preserve"> El 27 de julio de 2005 se firmó en la Ciudad de México, el Protocolo entre México y los Estados Unidos de América, relativo al uso de la banda 406.1 – 420 MHz para los servicios fijo y móvil a lo largo de la frontera común. </w:t>
      </w:r>
    </w:p>
    <w:p w:rsidR="00F7521A" w:rsidRDefault="004A714B" w:rsidP="004A714B">
      <w:pPr>
        <w:ind w:left="1134" w:right="1275"/>
        <w:contextualSpacing/>
        <w:jc w:val="both"/>
        <w:rPr>
          <w:rFonts w:ascii="ITC Avant Garde" w:hAnsi="ITC Avant Garde"/>
          <w:i/>
          <w:color w:val="000000" w:themeColor="text1"/>
          <w:sz w:val="18"/>
          <w:szCs w:val="18"/>
        </w:rPr>
      </w:pPr>
      <w:r w:rsidRPr="001F4A89">
        <w:rPr>
          <w:rFonts w:ascii="ITC Avant Garde" w:hAnsi="ITC Avant Garde"/>
          <w:b/>
          <w:i/>
          <w:color w:val="000000" w:themeColor="text1"/>
          <w:sz w:val="18"/>
          <w:szCs w:val="18"/>
        </w:rPr>
        <w:t>MX133.</w:t>
      </w:r>
      <w:r w:rsidRPr="001F4A89">
        <w:rPr>
          <w:rFonts w:ascii="ITC Avant Garde" w:hAnsi="ITC Avant Garde"/>
          <w:i/>
          <w:color w:val="000000" w:themeColor="text1"/>
          <w:sz w:val="18"/>
          <w:szCs w:val="18"/>
        </w:rPr>
        <w:t xml:space="preserve"> La banda de frecuencias 410 – 470 MHz se encuentra bajo un proceso de reordenamiento para el despeje de sistemas del servicio fijo, con la finalidad de que dicha banda sea empleada exclusivamente por sistemas del servicio móvil.</w:t>
      </w:r>
    </w:p>
    <w:p w:rsidR="00F7521A" w:rsidRDefault="004A714B" w:rsidP="004A714B">
      <w:pPr>
        <w:ind w:left="1134" w:right="1275"/>
        <w:contextualSpacing/>
        <w:jc w:val="both"/>
        <w:rPr>
          <w:rFonts w:ascii="ITC Avant Garde" w:hAnsi="ITC Avant Garde"/>
          <w:i/>
          <w:color w:val="000000" w:themeColor="text1"/>
          <w:sz w:val="18"/>
          <w:szCs w:val="18"/>
        </w:rPr>
      </w:pPr>
      <w:r w:rsidRPr="001F4A89">
        <w:rPr>
          <w:rFonts w:ascii="ITC Avant Garde" w:hAnsi="ITC Avant Garde"/>
          <w:b/>
          <w:i/>
          <w:color w:val="000000" w:themeColor="text1"/>
          <w:sz w:val="18"/>
          <w:szCs w:val="18"/>
        </w:rPr>
        <w:t>MX134.</w:t>
      </w:r>
      <w:r w:rsidRPr="001F4A89">
        <w:rPr>
          <w:rFonts w:ascii="ITC Avant Garde" w:hAnsi="ITC Avant Garde"/>
          <w:i/>
          <w:color w:val="000000" w:themeColor="text1"/>
          <w:sz w:val="18"/>
          <w:szCs w:val="18"/>
        </w:rPr>
        <w:t xml:space="preserve"> La banda 410 – 430 MHz se tiene prevista para la provisión exclusiva del servicio móvil de radiocomunicación especializado de flotillas. La sub-banda 410 – 415/420 – 425 MHz se destina a operaciones de uso comercial, mientras que la sub-banda 415 – 420/425 – 430 MHz se destina para las operaciones de uso público.</w:t>
      </w: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Estado Actual.</w:t>
      </w:r>
    </w:p>
    <w:p w:rsidR="00F7521A" w:rsidRDefault="004A714B" w:rsidP="00F7521A">
      <w:pPr>
        <w:spacing w:before="240"/>
        <w:contextualSpacing/>
        <w:jc w:val="both"/>
        <w:rPr>
          <w:rFonts w:ascii="ITC Avant Garde" w:hAnsi="ITC Avant Garde"/>
          <w:b/>
          <w:color w:val="000000" w:themeColor="text1"/>
        </w:rPr>
      </w:pPr>
      <w:r w:rsidRPr="00F67508">
        <w:rPr>
          <w:rFonts w:ascii="ITC Avant Garde" w:hAnsi="ITC Avant Garde"/>
          <w:color w:val="000000" w:themeColor="text1"/>
        </w:rPr>
        <w:lastRenderedPageBreak/>
        <w:t xml:space="preserve">Esta </w:t>
      </w:r>
      <w:r w:rsidRPr="00C22AE4">
        <w:rPr>
          <w:rFonts w:ascii="ITC Avant Garde" w:hAnsi="ITC Avant Garde"/>
          <w:color w:val="000000" w:themeColor="text1"/>
        </w:rPr>
        <w:t xml:space="preserve">banda de frecuencias es utilizada por sistemas de radiocomunicación privada que operan al amparo de permisos y autorizaciones otorgadas previo a la entrada en vigor de la </w:t>
      </w:r>
      <w:r>
        <w:rPr>
          <w:rFonts w:ascii="ITC Avant Garde" w:hAnsi="ITC Avant Garde"/>
          <w:color w:val="000000" w:themeColor="text1"/>
        </w:rPr>
        <w:t xml:space="preserve">abrogada </w:t>
      </w:r>
      <w:r w:rsidRPr="00C22AE4">
        <w:rPr>
          <w:rFonts w:ascii="ITC Avant Garde" w:hAnsi="ITC Avant Garde"/>
          <w:color w:val="000000" w:themeColor="text1"/>
        </w:rPr>
        <w:t xml:space="preserve">Ley Federal de Telecomunicaciones. </w:t>
      </w:r>
    </w:p>
    <w:p w:rsidR="00F7521A" w:rsidRDefault="004A714B" w:rsidP="00F7521A">
      <w:pPr>
        <w:spacing w:before="240"/>
        <w:contextualSpacing/>
        <w:jc w:val="both"/>
        <w:rPr>
          <w:rFonts w:ascii="ITC Avant Garde" w:hAnsi="ITC Avant Garde"/>
          <w:b/>
          <w:color w:val="000000" w:themeColor="text1"/>
        </w:rPr>
      </w:pPr>
      <w:r w:rsidRPr="00F67508">
        <w:rPr>
          <w:rFonts w:ascii="ITC Avant Garde" w:hAnsi="ITC Avant Garde"/>
          <w:b/>
          <w:color w:val="000000" w:themeColor="text1"/>
        </w:rPr>
        <w:t>Estandarización.</w:t>
      </w:r>
    </w:p>
    <w:p w:rsidR="00F7521A" w:rsidRDefault="004A714B" w:rsidP="00F7521A">
      <w:pPr>
        <w:spacing w:before="240"/>
        <w:contextualSpacing/>
        <w:jc w:val="both"/>
        <w:rPr>
          <w:rFonts w:ascii="ITC Avant Garde" w:hAnsi="ITC Avant Garde"/>
          <w:color w:val="000000" w:themeColor="text1"/>
        </w:rPr>
      </w:pPr>
      <w:r w:rsidRPr="00F67508">
        <w:rPr>
          <w:rFonts w:ascii="ITC Avant Garde" w:hAnsi="ITC Avant Garde"/>
          <w:color w:val="000000" w:themeColor="text1"/>
        </w:rPr>
        <w:t>Actualmente existen diversos est</w:t>
      </w:r>
      <w:r w:rsidRPr="00F67508">
        <w:rPr>
          <w:rFonts w:ascii="ITC Avant Garde" w:hAnsi="ITC Avant Garde" w:cs="Calibri"/>
          <w:color w:val="000000" w:themeColor="text1"/>
        </w:rPr>
        <w:t>á</w:t>
      </w:r>
      <w:r w:rsidRPr="00F67508">
        <w:rPr>
          <w:rFonts w:ascii="ITC Avant Garde" w:hAnsi="ITC Avant Garde"/>
          <w:color w:val="000000" w:themeColor="text1"/>
        </w:rPr>
        <w:t>ndares tecnológicos que posibilitan la operaci</w:t>
      </w:r>
      <w:r w:rsidRPr="00F67508">
        <w:rPr>
          <w:rFonts w:ascii="ITC Avant Garde" w:hAnsi="ITC Avant Garde" w:cs="Calibri"/>
          <w:color w:val="000000" w:themeColor="text1"/>
        </w:rPr>
        <w:t>ó</w:t>
      </w:r>
      <w:r w:rsidRPr="00F67508">
        <w:rPr>
          <w:rFonts w:ascii="ITC Avant Garde" w:hAnsi="ITC Avant Garde"/>
          <w:color w:val="000000" w:themeColor="text1"/>
        </w:rPr>
        <w:t xml:space="preserve">n de sistemas de radio </w:t>
      </w:r>
      <w:proofErr w:type="spellStart"/>
      <w:r w:rsidRPr="00F67508">
        <w:rPr>
          <w:rFonts w:ascii="ITC Avant Garde" w:hAnsi="ITC Avant Garde"/>
          <w:color w:val="000000" w:themeColor="text1"/>
        </w:rPr>
        <w:t>troncalizad</w:t>
      </w:r>
      <w:r>
        <w:rPr>
          <w:rFonts w:ascii="ITC Avant Garde" w:hAnsi="ITC Avant Garde"/>
          <w:color w:val="000000" w:themeColor="text1"/>
        </w:rPr>
        <w:t>o</w:t>
      </w:r>
      <w:proofErr w:type="spellEnd"/>
      <w:r w:rsidRPr="00F67508">
        <w:rPr>
          <w:rFonts w:ascii="ITC Avant Garde" w:hAnsi="ITC Avant Garde"/>
          <w:color w:val="000000" w:themeColor="text1"/>
        </w:rPr>
        <w:t xml:space="preserve"> y </w:t>
      </w:r>
      <w:r>
        <w:rPr>
          <w:rFonts w:ascii="ITC Avant Garde" w:hAnsi="ITC Avant Garde"/>
          <w:color w:val="000000" w:themeColor="text1"/>
        </w:rPr>
        <w:t xml:space="preserve">radiocomunicación </w:t>
      </w:r>
      <w:r w:rsidRPr="00F67508">
        <w:rPr>
          <w:rFonts w:ascii="ITC Avant Garde" w:hAnsi="ITC Avant Garde"/>
          <w:color w:val="000000" w:themeColor="text1"/>
        </w:rPr>
        <w:t xml:space="preserve">convencional en esta banda. Para el caso de la Región 2 (Américas), existen los estándares NXDN y P25, ambos desarrollados en Estados Unidos por los principales proveedores de equipo de radiocomunicación convencional y </w:t>
      </w:r>
      <w:r>
        <w:rPr>
          <w:rFonts w:ascii="ITC Avant Garde" w:hAnsi="ITC Avant Garde"/>
          <w:color w:val="000000" w:themeColor="text1"/>
        </w:rPr>
        <w:t xml:space="preserve">radio </w:t>
      </w:r>
      <w:proofErr w:type="spellStart"/>
      <w:r w:rsidRPr="00F67508">
        <w:rPr>
          <w:rFonts w:ascii="ITC Avant Garde" w:hAnsi="ITC Avant Garde"/>
          <w:color w:val="000000" w:themeColor="text1"/>
        </w:rPr>
        <w:t>troncalizad</w:t>
      </w:r>
      <w:r>
        <w:rPr>
          <w:rFonts w:ascii="ITC Avant Garde" w:hAnsi="ITC Avant Garde"/>
          <w:color w:val="000000" w:themeColor="text1"/>
        </w:rPr>
        <w:t>o</w:t>
      </w:r>
      <w:proofErr w:type="spellEnd"/>
      <w:r w:rsidRPr="00F67508">
        <w:rPr>
          <w:rFonts w:ascii="ITC Avant Garde" w:hAnsi="ITC Avant Garde"/>
          <w:color w:val="000000" w:themeColor="text1"/>
        </w:rPr>
        <w:t>. Del mismo modo, existen otros estándares desarrollados principalmente para su utilización en la Región 1 (Europa-Medio Oriente-África).</w:t>
      </w:r>
    </w:p>
    <w:p w:rsidR="00F7521A" w:rsidRDefault="004A714B" w:rsidP="00F7521A">
      <w:pPr>
        <w:spacing w:before="240"/>
        <w:contextualSpacing/>
        <w:jc w:val="both"/>
        <w:rPr>
          <w:rFonts w:ascii="ITC Avant Garde" w:hAnsi="ITC Avant Garde"/>
          <w:color w:val="000000" w:themeColor="text1"/>
        </w:rPr>
      </w:pPr>
      <w:r w:rsidRPr="00F67508">
        <w:rPr>
          <w:rFonts w:ascii="ITC Avant Garde" w:hAnsi="ITC Avant Garde"/>
          <w:color w:val="000000" w:themeColor="text1"/>
        </w:rPr>
        <w:t>De manera general, los estándares existentes hacen un uso más eficiente del espectro, permitiendo canalizaciones lógicas de 12.5</w:t>
      </w:r>
      <w:r>
        <w:rPr>
          <w:rFonts w:ascii="ITC Avant Garde" w:hAnsi="ITC Avant Garde"/>
          <w:color w:val="000000" w:themeColor="text1"/>
        </w:rPr>
        <w:t xml:space="preserve"> kHz</w:t>
      </w:r>
      <w:r w:rsidRPr="00F67508">
        <w:rPr>
          <w:rFonts w:ascii="ITC Avant Garde" w:hAnsi="ITC Avant Garde"/>
          <w:color w:val="000000" w:themeColor="text1"/>
        </w:rPr>
        <w:t xml:space="preserve"> y 6.25 kHz sobre canales físicos de 25 kHz, y en algunos casos canalizaciones físicas de 12.5</w:t>
      </w:r>
      <w:r>
        <w:rPr>
          <w:rFonts w:ascii="ITC Avant Garde" w:hAnsi="ITC Avant Garde"/>
          <w:color w:val="000000" w:themeColor="text1"/>
        </w:rPr>
        <w:t xml:space="preserve"> kHz</w:t>
      </w:r>
      <w:r w:rsidRPr="00F67508">
        <w:rPr>
          <w:rFonts w:ascii="ITC Avant Garde" w:hAnsi="ITC Avant Garde"/>
          <w:color w:val="000000" w:themeColor="text1"/>
        </w:rPr>
        <w:t xml:space="preserve"> y 6.25 kHz.</w:t>
      </w:r>
    </w:p>
    <w:p w:rsidR="00F7521A" w:rsidRDefault="004A714B" w:rsidP="00F7521A">
      <w:pPr>
        <w:spacing w:before="240"/>
        <w:contextualSpacing/>
        <w:jc w:val="both"/>
        <w:rPr>
          <w:rFonts w:ascii="ITC Avant Garde" w:hAnsi="ITC Avant Garde"/>
          <w:b/>
          <w:color w:val="000000" w:themeColor="text1"/>
        </w:rPr>
      </w:pPr>
      <w:r w:rsidRPr="00F67508">
        <w:rPr>
          <w:rFonts w:ascii="ITC Avant Garde" w:hAnsi="ITC Avant Garde"/>
          <w:b/>
          <w:color w:val="000000" w:themeColor="text1"/>
        </w:rPr>
        <w:t>Economías de Escala.</w:t>
      </w:r>
    </w:p>
    <w:p w:rsidR="00F7521A" w:rsidRDefault="004A714B" w:rsidP="00F7521A">
      <w:pPr>
        <w:spacing w:before="240"/>
        <w:contextualSpacing/>
        <w:jc w:val="both"/>
        <w:rPr>
          <w:rFonts w:ascii="ITC Avant Garde" w:hAnsi="ITC Avant Garde"/>
          <w:color w:val="000000" w:themeColor="text1"/>
        </w:rPr>
      </w:pPr>
      <w:r w:rsidRPr="00F67508">
        <w:rPr>
          <w:rFonts w:ascii="ITC Avant Garde" w:hAnsi="ITC Avant Garde"/>
          <w:color w:val="000000" w:themeColor="text1"/>
        </w:rPr>
        <w:t xml:space="preserve">La banda de frecuencias 410-430 MHz es usada de manera generalizada para sistemas de radiocomunicación privada y en la actualidad existen diversos proveedores de equipo los cuales permiten la operación de dichos sistemas en esta banda de frecuencias. </w:t>
      </w:r>
    </w:p>
    <w:p w:rsidR="00F7521A" w:rsidRDefault="004A714B" w:rsidP="00F7521A">
      <w:pPr>
        <w:spacing w:before="240"/>
        <w:contextualSpacing/>
        <w:jc w:val="both"/>
        <w:rPr>
          <w:rFonts w:ascii="ITC Avant Garde" w:hAnsi="ITC Avant Garde"/>
          <w:color w:val="000000" w:themeColor="text1"/>
        </w:rPr>
      </w:pPr>
      <w:r w:rsidRPr="00F67508">
        <w:rPr>
          <w:rFonts w:ascii="ITC Avant Garde" w:hAnsi="ITC Avant Garde"/>
          <w:color w:val="000000" w:themeColor="text1"/>
        </w:rPr>
        <w:t xml:space="preserve">La existencia de varios proveedores de equipo de red y de equipos terminales que cuentan con desarrollo </w:t>
      </w:r>
      <w:r>
        <w:rPr>
          <w:rFonts w:ascii="ITC Avant Garde" w:hAnsi="ITC Avant Garde"/>
          <w:color w:val="000000" w:themeColor="text1"/>
        </w:rPr>
        <w:t>bajo</w:t>
      </w:r>
      <w:r w:rsidRPr="00F67508">
        <w:rPr>
          <w:rFonts w:ascii="ITC Avant Garde" w:hAnsi="ITC Avant Garde"/>
          <w:color w:val="000000" w:themeColor="text1"/>
        </w:rPr>
        <w:t xml:space="preserve"> los principales estándares de radiocomunicación </w:t>
      </w:r>
      <w:r>
        <w:rPr>
          <w:rFonts w:ascii="ITC Avant Garde" w:hAnsi="ITC Avant Garde"/>
          <w:color w:val="000000" w:themeColor="text1"/>
        </w:rPr>
        <w:t>de banda angosta</w:t>
      </w:r>
      <w:r w:rsidRPr="00F67508">
        <w:rPr>
          <w:rFonts w:ascii="ITC Avant Garde" w:hAnsi="ITC Avant Garde"/>
          <w:color w:val="000000" w:themeColor="text1"/>
        </w:rPr>
        <w:t xml:space="preserve"> a nivel internacional, fortalece la interoperabilidad entre equipos de diferentes fabricantes, siempre y cuando la implementación sea sobre el mismo estándar, ya que ningún estándar permite la interoperabilidad entre ellos. </w:t>
      </w:r>
    </w:p>
    <w:p w:rsidR="00F7521A" w:rsidRDefault="004A714B" w:rsidP="00F7521A">
      <w:pPr>
        <w:spacing w:before="240"/>
        <w:contextualSpacing/>
        <w:jc w:val="both"/>
        <w:rPr>
          <w:rFonts w:ascii="ITC Avant Garde" w:hAnsi="ITC Avant Garde"/>
          <w:color w:val="000000" w:themeColor="text1"/>
        </w:rPr>
      </w:pPr>
      <w:r w:rsidRPr="00F67508">
        <w:rPr>
          <w:rFonts w:ascii="ITC Avant Garde" w:hAnsi="ITC Avant Garde"/>
          <w:color w:val="000000" w:themeColor="text1"/>
        </w:rPr>
        <w:t>Dado lo anterior, y debido a que esta banda cuenta con un cierto grado de armonización a nivel internacional, los equipos necesarios para operar en esta banda tendrán un costo razonable para los usuarios que estén interesados en la hacer uso de la misma.</w:t>
      </w:r>
    </w:p>
    <w:p w:rsidR="004A714B" w:rsidRPr="00F67508" w:rsidRDefault="004A714B" w:rsidP="00F7521A">
      <w:pPr>
        <w:spacing w:before="240"/>
        <w:rPr>
          <w:rFonts w:ascii="ITC Avant Garde" w:hAnsi="ITC Avant Garde" w:cs="Arial Unicode MS"/>
          <w:b/>
          <w:bCs/>
          <w:color w:val="000000" w:themeColor="text1"/>
          <w:u w:color="000000"/>
          <w:lang w:val="es-ES_tradnl"/>
        </w:rPr>
      </w:pPr>
      <w:r w:rsidRPr="00F67508">
        <w:rPr>
          <w:rFonts w:ascii="ITC Avant Garde" w:hAnsi="ITC Avant Garde"/>
        </w:rPr>
        <w:br w:type="page"/>
      </w:r>
    </w:p>
    <w:p w:rsidR="00F7521A" w:rsidRPr="007062E9" w:rsidRDefault="004A714B" w:rsidP="007062E9">
      <w:pPr>
        <w:pStyle w:val="Ttulo4"/>
        <w:keepNext/>
        <w:keepLines/>
        <w:pBdr>
          <w:top w:val="none" w:sz="0" w:space="0" w:color="auto"/>
          <w:left w:val="none" w:sz="0" w:space="0" w:color="auto"/>
          <w:bottom w:val="none" w:sz="0" w:space="0" w:color="auto"/>
          <w:right w:val="none" w:sz="0" w:space="0" w:color="auto"/>
          <w:between w:val="none" w:sz="0" w:space="0" w:color="auto"/>
        </w:pBdr>
        <w:spacing w:before="40"/>
        <w:ind w:left="0" w:firstLine="0"/>
        <w:jc w:val="center"/>
        <w:rPr>
          <w:rFonts w:ascii="ITC Avant Garde" w:eastAsiaTheme="majorEastAsia" w:hAnsi="ITC Avant Garde" w:cs="Times New Roman"/>
          <w:iCs/>
          <w:color w:val="000000" w:themeColor="text1"/>
          <w:sz w:val="20"/>
          <w:lang w:val="es-MX" w:eastAsia="es-ES"/>
        </w:rPr>
      </w:pPr>
      <w:bookmarkStart w:id="2" w:name="_Toc462678504"/>
      <w:r w:rsidRPr="007062E9">
        <w:rPr>
          <w:rFonts w:ascii="ITC Avant Garde" w:eastAsiaTheme="majorEastAsia" w:hAnsi="ITC Avant Garde" w:cs="Times New Roman"/>
          <w:iCs/>
          <w:color w:val="000000" w:themeColor="text1"/>
          <w:sz w:val="20"/>
          <w:lang w:val="es-MX" w:eastAsia="es-ES"/>
        </w:rPr>
        <w:lastRenderedPageBreak/>
        <w:t>BANDA DE FRECUENCIAS 806-814/851-859 MHz</w:t>
      </w:r>
      <w:bookmarkEnd w:id="2"/>
    </w:p>
    <w:p w:rsidR="004A714B" w:rsidRPr="00F67508"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Atribución.</w:t>
      </w:r>
    </w:p>
    <w:p w:rsidR="004A714B" w:rsidRPr="00F67508" w:rsidRDefault="004A714B" w:rsidP="004A714B">
      <w:pPr>
        <w:contextualSpacing/>
        <w:jc w:val="both"/>
        <w:rPr>
          <w:rFonts w:ascii="ITC Avant Garde" w:hAnsi="ITC Avant Garde"/>
          <w:b/>
          <w:color w:val="000000" w:themeColor="text1"/>
        </w:rPr>
      </w:pPr>
    </w:p>
    <w:tbl>
      <w:tblPr>
        <w:tblStyle w:val="Tabladecuadrcula4-nfasis21"/>
        <w:tblW w:w="6520" w:type="dxa"/>
        <w:jc w:val="center"/>
        <w:tblLayout w:type="fixed"/>
        <w:tblLook w:val="04A0" w:firstRow="1" w:lastRow="0" w:firstColumn="1" w:lastColumn="0" w:noHBand="0" w:noVBand="1"/>
        <w:tblCaption w:val="BANDA DE FRECUENCIAS 806-814/851-859"/>
        <w:tblDescription w:val="BANDA DE FRECUANCIAS, ATRIBUCIÓN RR Y ATRIBUCIÓN CNAF"/>
      </w:tblPr>
      <w:tblGrid>
        <w:gridCol w:w="2268"/>
        <w:gridCol w:w="2126"/>
        <w:gridCol w:w="2126"/>
      </w:tblGrid>
      <w:tr w:rsidR="004A714B" w:rsidRPr="00F67508" w:rsidTr="004A714B">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rsidR="004A714B" w:rsidRPr="00F67508" w:rsidRDefault="004A714B" w:rsidP="004A714B">
            <w:pPr>
              <w:jc w:val="center"/>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Banda de Frecuencias (MHz)</w:t>
            </w:r>
          </w:p>
        </w:tc>
        <w:tc>
          <w:tcPr>
            <w:tcW w:w="2126" w:type="dxa"/>
            <w:noWrap/>
            <w:vAlign w:val="center"/>
            <w:hideMark/>
          </w:tcPr>
          <w:p w:rsidR="004A714B" w:rsidRPr="00F67508" w:rsidRDefault="004A714B" w:rsidP="004A714B">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Atribución RR</w:t>
            </w:r>
          </w:p>
        </w:tc>
        <w:tc>
          <w:tcPr>
            <w:tcW w:w="2126" w:type="dxa"/>
            <w:noWrap/>
            <w:vAlign w:val="center"/>
            <w:hideMark/>
          </w:tcPr>
          <w:p w:rsidR="004A714B" w:rsidRPr="00F67508" w:rsidRDefault="004A714B" w:rsidP="004A714B">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Atribución CNAF</w:t>
            </w:r>
          </w:p>
        </w:tc>
      </w:tr>
      <w:tr w:rsidR="004A714B" w:rsidRPr="00F67508" w:rsidTr="004A71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noWrap/>
            <w:vAlign w:val="center"/>
          </w:tcPr>
          <w:p w:rsidR="004A714B" w:rsidRPr="00F67508" w:rsidRDefault="004A714B" w:rsidP="004A714B">
            <w:pPr>
              <w:jc w:val="center"/>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806-890</w:t>
            </w:r>
          </w:p>
        </w:tc>
        <w:tc>
          <w:tcPr>
            <w:tcW w:w="2126" w:type="dxa"/>
            <w:shd w:val="clear" w:color="auto" w:fill="auto"/>
            <w:noWrap/>
            <w:vAlign w:val="center"/>
          </w:tcPr>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FIJO</w:t>
            </w:r>
          </w:p>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MÓVIL</w:t>
            </w:r>
          </w:p>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RADIODIFUSIÓN</w:t>
            </w:r>
          </w:p>
        </w:tc>
        <w:tc>
          <w:tcPr>
            <w:tcW w:w="2126" w:type="dxa"/>
            <w:vMerge w:val="restart"/>
            <w:shd w:val="clear" w:color="auto" w:fill="auto"/>
            <w:noWrap/>
            <w:vAlign w:val="center"/>
          </w:tcPr>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MÓVIL</w:t>
            </w:r>
          </w:p>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MÓVIL AERONÁUTICO</w:t>
            </w:r>
          </w:p>
        </w:tc>
      </w:tr>
      <w:tr w:rsidR="004A714B" w:rsidRPr="00F67508" w:rsidTr="004A714B">
        <w:trPr>
          <w:trHeight w:val="271"/>
          <w:jc w:val="center"/>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noWrap/>
            <w:vAlign w:val="center"/>
          </w:tcPr>
          <w:p w:rsidR="004A714B" w:rsidRPr="00F67508" w:rsidRDefault="004A714B" w:rsidP="004A714B">
            <w:pPr>
              <w:jc w:val="center"/>
              <w:rPr>
                <w:rFonts w:ascii="ITC Avant Garde" w:hAnsi="ITC Avant Garde" w:cstheme="minorHAnsi"/>
                <w:color w:val="000000" w:themeColor="text1"/>
                <w:sz w:val="16"/>
                <w:szCs w:val="22"/>
              </w:rPr>
            </w:pPr>
            <w:r>
              <w:rPr>
                <w:rFonts w:ascii="ITC Avant Garde" w:hAnsi="ITC Avant Garde" w:cstheme="minorHAnsi"/>
                <w:color w:val="000000" w:themeColor="text1"/>
                <w:sz w:val="16"/>
                <w:szCs w:val="22"/>
              </w:rPr>
              <w:t>890-902</w:t>
            </w:r>
          </w:p>
        </w:tc>
        <w:tc>
          <w:tcPr>
            <w:tcW w:w="2126" w:type="dxa"/>
            <w:shd w:val="clear" w:color="auto" w:fill="auto"/>
            <w:noWrap/>
            <w:vAlign w:val="center"/>
          </w:tcPr>
          <w:p w:rsidR="004A714B" w:rsidRPr="00F67508" w:rsidRDefault="004A714B" w:rsidP="004A714B">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FIJO</w:t>
            </w:r>
          </w:p>
          <w:p w:rsidR="004A714B" w:rsidRPr="00F67508" w:rsidRDefault="004A714B" w:rsidP="004A714B">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MÓVIL salvo móvil aeronáutico</w:t>
            </w:r>
          </w:p>
          <w:p w:rsidR="004A714B" w:rsidRPr="00F67508" w:rsidRDefault="004A714B" w:rsidP="004A714B">
            <w:pPr>
              <w:contextualSpacing/>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Radiolocalización</w:t>
            </w:r>
          </w:p>
        </w:tc>
        <w:tc>
          <w:tcPr>
            <w:tcW w:w="2126" w:type="dxa"/>
            <w:vMerge/>
            <w:shd w:val="clear" w:color="auto" w:fill="auto"/>
            <w:noWrap/>
            <w:vAlign w:val="center"/>
          </w:tcPr>
          <w:p w:rsidR="004A714B" w:rsidRPr="00F67508" w:rsidRDefault="004A714B" w:rsidP="004A714B">
            <w:pPr>
              <w:contextualSpacing/>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color w:val="000000" w:themeColor="text1"/>
                <w:sz w:val="16"/>
                <w:szCs w:val="22"/>
              </w:rPr>
            </w:pPr>
          </w:p>
        </w:tc>
      </w:tr>
    </w:tbl>
    <w:p w:rsidR="004A714B" w:rsidRPr="00F67508" w:rsidRDefault="004A714B" w:rsidP="004A714B">
      <w:pPr>
        <w:contextualSpacing/>
        <w:jc w:val="both"/>
        <w:rPr>
          <w:rFonts w:ascii="ITC Avant Garde" w:hAnsi="ITC Avant Garde"/>
          <w:b/>
          <w:color w:val="000000" w:themeColor="text1"/>
        </w:rPr>
      </w:pP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Notas aplicables RR UIT.</w:t>
      </w:r>
    </w:p>
    <w:p w:rsidR="00F7521A" w:rsidRDefault="004A714B" w:rsidP="004A714B">
      <w:pPr>
        <w:pStyle w:val="Texto"/>
        <w:spacing w:after="0" w:line="240" w:lineRule="auto"/>
        <w:ind w:left="1134" w:right="1183" w:firstLine="0"/>
        <w:contextualSpacing/>
        <w:rPr>
          <w:rFonts w:ascii="ITC Avant Garde" w:hAnsi="ITC Avant Garde" w:cstheme="minorHAnsi"/>
          <w:i/>
          <w:color w:val="000000" w:themeColor="text1"/>
          <w:szCs w:val="22"/>
        </w:rPr>
      </w:pPr>
      <w:r w:rsidRPr="00F67508">
        <w:rPr>
          <w:rFonts w:ascii="ITC Avant Garde" w:hAnsi="ITC Avant Garde" w:cstheme="minorHAnsi"/>
          <w:b/>
          <w:i/>
          <w:color w:val="000000" w:themeColor="text1"/>
          <w:szCs w:val="22"/>
        </w:rPr>
        <w:t>5.317</w:t>
      </w:r>
      <w:r w:rsidRPr="00F67508">
        <w:rPr>
          <w:rFonts w:ascii="ITC Avant Garde" w:hAnsi="ITC Avant Garde" w:cstheme="minorHAnsi"/>
          <w:i/>
          <w:color w:val="000000" w:themeColor="text1"/>
          <w:szCs w:val="22"/>
        </w:rPr>
        <w:t xml:space="preserve"> Atribución adicional: en la Región 2 (excepto Brasil y Estados Unidos), la banda 806-890 MHz está también atribuida, a título primario, al servicio móvil por satélite, a reserva de obtener el acuerdo indicado en el número 9.21. Este servicio está destinado para su utilización dentro de las fronteras nacionales.</w:t>
      </w:r>
    </w:p>
    <w:p w:rsidR="00F7521A" w:rsidRDefault="004A714B" w:rsidP="004A714B">
      <w:pPr>
        <w:pStyle w:val="Texto"/>
        <w:spacing w:after="0" w:line="240" w:lineRule="auto"/>
        <w:ind w:left="1134" w:right="1183" w:firstLine="0"/>
        <w:contextualSpacing/>
        <w:rPr>
          <w:rFonts w:ascii="ITC Avant Garde" w:hAnsi="ITC Avant Garde" w:cstheme="minorHAnsi"/>
          <w:i/>
          <w:color w:val="000000" w:themeColor="text1"/>
          <w:szCs w:val="22"/>
        </w:rPr>
      </w:pPr>
      <w:r w:rsidRPr="00F67508">
        <w:rPr>
          <w:rFonts w:ascii="ITC Avant Garde" w:hAnsi="ITC Avant Garde" w:cstheme="minorHAnsi"/>
          <w:b/>
          <w:i/>
          <w:color w:val="000000" w:themeColor="text1"/>
          <w:szCs w:val="22"/>
        </w:rPr>
        <w:t>5.317A</w:t>
      </w:r>
      <w:r w:rsidRPr="00F67508">
        <w:rPr>
          <w:rFonts w:ascii="ITC Avant Garde" w:hAnsi="ITC Avant Garde" w:cstheme="minorHAnsi"/>
          <w:i/>
          <w:color w:val="000000" w:themeColor="text1"/>
          <w:szCs w:val="22"/>
        </w:rPr>
        <w:t xml:space="preserve"> Las partes de la banda 698</w:t>
      </w:r>
      <w:r w:rsidRPr="00F67508">
        <w:rPr>
          <w:rFonts w:ascii="ITC Avant Garde" w:hAnsi="ITC Avant Garde" w:cstheme="minorHAnsi"/>
          <w:i/>
          <w:color w:val="000000" w:themeColor="text1"/>
          <w:szCs w:val="22"/>
        </w:rPr>
        <w:noBreakHyphen/>
        <w:t>960 MHz en la Región 2 y de la banda 790</w:t>
      </w:r>
      <w:r w:rsidRPr="00F67508">
        <w:rPr>
          <w:rFonts w:ascii="ITC Avant Garde" w:hAnsi="ITC Avant Garde" w:cstheme="minorHAnsi"/>
          <w:i/>
          <w:color w:val="000000" w:themeColor="text1"/>
          <w:szCs w:val="22"/>
        </w:rPr>
        <w:noBreakHyphen/>
        <w:t>960 MHz en las Regiones 1 y 3 atribuidas al servicio móvil a título primario se han identificado para su utilización por las administraciones que deseen introducir las Telecomunicaciones Móviles Internacionales (IMT). Véanse las Resoluciones 224 (Rev.CMR</w:t>
      </w:r>
      <w:r w:rsidRPr="00F67508">
        <w:rPr>
          <w:rFonts w:ascii="ITC Avant Garde" w:hAnsi="ITC Avant Garde" w:cstheme="minorHAnsi"/>
          <w:i/>
          <w:color w:val="000000" w:themeColor="text1"/>
          <w:szCs w:val="22"/>
        </w:rPr>
        <w:noBreakHyphen/>
        <w:t>07) y 749 (CMR</w:t>
      </w:r>
      <w:r w:rsidRPr="00F67508">
        <w:rPr>
          <w:rFonts w:ascii="ITC Avant Garde" w:hAnsi="ITC Avant Garde" w:cstheme="minorHAnsi"/>
          <w:i/>
          <w:color w:val="000000" w:themeColor="text1"/>
          <w:szCs w:val="22"/>
        </w:rPr>
        <w:noBreakHyphen/>
        <w:t>07). La identificación de estas bandas no excluye que se utilicen para otras aplicaciones de los servicios a los que están atribuidas y no implica prioridad alguna en el Reglamento de Radiocomunicaciones. (CMR07)</w:t>
      </w: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Notas Nacionales.</w:t>
      </w:r>
    </w:p>
    <w:p w:rsidR="00F7521A" w:rsidRDefault="004A714B" w:rsidP="004A714B">
      <w:pPr>
        <w:pStyle w:val="Texto"/>
        <w:spacing w:after="0" w:line="240" w:lineRule="auto"/>
        <w:ind w:left="1134" w:right="1133" w:firstLine="0"/>
        <w:contextualSpacing/>
        <w:rPr>
          <w:rFonts w:ascii="ITC Avant Garde" w:hAnsi="ITC Avant Garde" w:cstheme="minorHAnsi"/>
          <w:i/>
          <w:color w:val="000000" w:themeColor="text1"/>
        </w:rPr>
      </w:pPr>
      <w:r w:rsidRPr="00F67508">
        <w:rPr>
          <w:rFonts w:ascii="ITC Avant Garde" w:hAnsi="ITC Avant Garde" w:cstheme="minorHAnsi"/>
          <w:b/>
          <w:i/>
          <w:color w:val="000000" w:themeColor="text1"/>
        </w:rPr>
        <w:t xml:space="preserve">MX147 </w:t>
      </w:r>
      <w:r w:rsidRPr="00F67508">
        <w:rPr>
          <w:rFonts w:ascii="ITC Avant Garde" w:hAnsi="ITC Avant Garde" w:cstheme="minorHAnsi"/>
          <w:i/>
          <w:color w:val="000000" w:themeColor="text1"/>
        </w:rPr>
        <w:t>Las partes de la banda de frecuencias 698 – 960 MHz atribuidas al servicio móvil a título primario se han identificado para su utilización por las IMT, de conformidad con la Resolución 224 (Rev. CMR-12) y la nota internacional 5.317A del RR. Dicha identificación no excluye el uso de esta banda por ninguna aplicación de los servicios a los cuales está atribuida y no implica prioridad alguna en el RR.</w:t>
      </w:r>
    </w:p>
    <w:p w:rsidR="00F7521A" w:rsidRDefault="004A714B" w:rsidP="004A714B">
      <w:pPr>
        <w:pStyle w:val="Texto"/>
        <w:spacing w:after="0" w:line="240" w:lineRule="auto"/>
        <w:ind w:left="1134" w:right="1133" w:firstLine="0"/>
        <w:contextualSpacing/>
        <w:rPr>
          <w:rFonts w:ascii="ITC Avant Garde" w:hAnsi="ITC Avant Garde" w:cstheme="minorHAnsi"/>
          <w:i/>
          <w:color w:val="000000" w:themeColor="text1"/>
        </w:rPr>
      </w:pPr>
      <w:r w:rsidRPr="00F67508">
        <w:rPr>
          <w:rFonts w:ascii="ITC Avant Garde" w:hAnsi="ITC Avant Garde" w:cstheme="minorHAnsi"/>
          <w:b/>
          <w:i/>
          <w:color w:val="000000" w:themeColor="text1"/>
        </w:rPr>
        <w:t xml:space="preserve">MX150 </w:t>
      </w:r>
      <w:r w:rsidRPr="00F67508">
        <w:rPr>
          <w:rFonts w:ascii="ITC Avant Garde" w:hAnsi="ITC Avant Garde" w:cstheme="minorHAnsi"/>
          <w:i/>
          <w:color w:val="000000" w:themeColor="text1"/>
        </w:rPr>
        <w:t xml:space="preserve">La banda de frecuencias 806 – 824/851 – 869 MHz se encuentra bajo un proceso de revisión para su posible reordenamiento. Dicho reordenamiento contempla la determinación del segmento 806 – 814/851 – 859 MHz para la operación de sistemas de radio </w:t>
      </w:r>
      <w:proofErr w:type="spellStart"/>
      <w:r w:rsidRPr="00F67508">
        <w:rPr>
          <w:rFonts w:ascii="ITC Avant Garde" w:hAnsi="ITC Avant Garde" w:cstheme="minorHAnsi"/>
          <w:i/>
          <w:color w:val="000000" w:themeColor="text1"/>
        </w:rPr>
        <w:t>troncalizado</w:t>
      </w:r>
      <w:proofErr w:type="spellEnd"/>
      <w:r w:rsidRPr="00F67508">
        <w:rPr>
          <w:rFonts w:ascii="ITC Avant Garde" w:hAnsi="ITC Avant Garde" w:cstheme="minorHAnsi"/>
          <w:i/>
          <w:color w:val="000000" w:themeColor="text1"/>
        </w:rPr>
        <w:t xml:space="preserve"> de uso público para aplicaciones de misión crítica, así como la determinación del segmento 814 – 824/859 – 869 MHz para la provisión de servicios móviles de banda ancha. El Plan para la banda 806 – 824/851 – 869 MHz se encuentra disponible para su consulta en el siguiente enlace: </w:t>
      </w:r>
      <w:r w:rsidRPr="008F5AEE">
        <w:rPr>
          <w:rFonts w:ascii="ITC Avant Garde" w:hAnsi="ITC Avant Garde" w:cstheme="minorHAnsi"/>
          <w:i/>
        </w:rPr>
        <w:t>http://apps.ift.org.mx/publicdata/P_IFT_080715_208.pdf</w:t>
      </w:r>
    </w:p>
    <w:p w:rsidR="00F7521A" w:rsidRDefault="004A714B" w:rsidP="004A714B">
      <w:pPr>
        <w:pStyle w:val="Texto"/>
        <w:spacing w:after="0" w:line="240" w:lineRule="auto"/>
        <w:ind w:left="1134" w:right="1133" w:firstLine="0"/>
        <w:contextualSpacing/>
        <w:rPr>
          <w:rFonts w:ascii="ITC Avant Garde" w:hAnsi="ITC Avant Garde" w:cstheme="minorHAnsi"/>
          <w:i/>
          <w:color w:val="000000" w:themeColor="text1"/>
        </w:rPr>
      </w:pPr>
      <w:r w:rsidRPr="00F67508">
        <w:rPr>
          <w:rFonts w:ascii="ITC Avant Garde" w:hAnsi="ITC Avant Garde" w:cstheme="minorHAnsi"/>
          <w:b/>
          <w:i/>
          <w:color w:val="000000" w:themeColor="text1"/>
        </w:rPr>
        <w:t xml:space="preserve">MX151 </w:t>
      </w:r>
      <w:r w:rsidRPr="00F67508">
        <w:rPr>
          <w:rFonts w:ascii="ITC Avant Garde" w:hAnsi="ITC Avant Garde" w:cstheme="minorHAnsi"/>
          <w:i/>
          <w:color w:val="000000" w:themeColor="text1"/>
        </w:rPr>
        <w:t>El 16 de junio de 1994 se firmó en Williamsburg, Virginia, el Protocolo entre México y los Estados Unidos de América, relativo al uso de las bandas de frecuencias 806 – 824/851 – 869 MHz y 896 – 901/935 – 940 MHz para servicios terrenales de radiocomunicación, excepto radiodifusión a lo largo de la frontera común. La última enmienda a dicho Protocolo fue acordada el 8 de junio de 2012 en la Ciudad de Washington D.C.</w:t>
      </w: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Estado Actual.</w:t>
      </w:r>
    </w:p>
    <w:p w:rsidR="00F7521A" w:rsidRDefault="004A714B" w:rsidP="004A714B">
      <w:pPr>
        <w:contextualSpacing/>
        <w:jc w:val="both"/>
        <w:rPr>
          <w:rFonts w:ascii="ITC Avant Garde" w:hAnsi="ITC Avant Garde" w:cs="Arial"/>
          <w:color w:val="000000" w:themeColor="text1"/>
        </w:rPr>
      </w:pPr>
      <w:r w:rsidRPr="00F67508">
        <w:rPr>
          <w:rFonts w:ascii="ITC Avant Garde" w:hAnsi="ITC Avant Garde" w:cs="Arial"/>
          <w:color w:val="000000" w:themeColor="text1"/>
        </w:rPr>
        <w:lastRenderedPageBreak/>
        <w:t xml:space="preserve">Esta banda es empleada por concesionarios públicos y comerciales para </w:t>
      </w:r>
      <w:r>
        <w:rPr>
          <w:rFonts w:ascii="ITC Avant Garde" w:hAnsi="ITC Avant Garde" w:cs="Arial"/>
          <w:color w:val="000000" w:themeColor="text1"/>
        </w:rPr>
        <w:t>aplicaciones</w:t>
      </w:r>
      <w:r w:rsidRPr="00F67508">
        <w:rPr>
          <w:rFonts w:ascii="ITC Avant Garde" w:hAnsi="ITC Avant Garde" w:cs="Arial"/>
          <w:color w:val="000000" w:themeColor="text1"/>
        </w:rPr>
        <w:t xml:space="preserve"> </w:t>
      </w:r>
      <w:r>
        <w:rPr>
          <w:rFonts w:ascii="ITC Avant Garde" w:hAnsi="ITC Avant Garde" w:cs="Arial"/>
          <w:color w:val="000000" w:themeColor="text1"/>
        </w:rPr>
        <w:t xml:space="preserve">de radio </w:t>
      </w:r>
      <w:proofErr w:type="spellStart"/>
      <w:r w:rsidRPr="00F67508">
        <w:rPr>
          <w:rFonts w:ascii="ITC Avant Garde" w:hAnsi="ITC Avant Garde" w:cs="Arial"/>
          <w:color w:val="000000" w:themeColor="text1"/>
        </w:rPr>
        <w:t>troncalizado</w:t>
      </w:r>
      <w:proofErr w:type="spellEnd"/>
      <w:r w:rsidRPr="00F67508">
        <w:rPr>
          <w:rFonts w:ascii="ITC Avant Garde" w:hAnsi="ITC Avant Garde" w:cs="Arial"/>
          <w:color w:val="000000" w:themeColor="text1"/>
        </w:rPr>
        <w:t xml:space="preserve">. Adicionalmente, en el segmento 821-824/866-869 MHz operan diversos sistemas estatales y municipales de seguridad pública. </w:t>
      </w:r>
    </w:p>
    <w:p w:rsidR="00F7521A" w:rsidRDefault="004A714B" w:rsidP="004A714B">
      <w:pPr>
        <w:contextualSpacing/>
        <w:jc w:val="both"/>
        <w:rPr>
          <w:rFonts w:ascii="ITC Avant Garde" w:hAnsi="ITC Avant Garde" w:cs="Arial"/>
          <w:color w:val="000000" w:themeColor="text1"/>
        </w:rPr>
      </w:pPr>
      <w:r w:rsidRPr="00F67508">
        <w:rPr>
          <w:rFonts w:ascii="ITC Avant Garde" w:hAnsi="ITC Avant Garde" w:cs="Arial"/>
          <w:color w:val="000000" w:themeColor="text1"/>
        </w:rPr>
        <w:t>El 8 de junio de 2012 se formalizó la enmienda al Protocolo Bilateral entre México y los EUA relativo a la atribución y uso de las bandas de 806-824/851-869 MHz y 896-901/935-940 MHz para el servicio móvil terrestre a lo largo de la frontera común en una franja de 110 km a cada lado de la frontera. A continuación se ilustra la enmienda acordada respecto del protocolo original.</w:t>
      </w:r>
    </w:p>
    <w:p w:rsidR="00F7521A" w:rsidRDefault="004A714B" w:rsidP="004A714B">
      <w:pPr>
        <w:contextualSpacing/>
        <w:jc w:val="both"/>
        <w:rPr>
          <w:rFonts w:ascii="ITC Avant Garde" w:hAnsi="ITC Avant Garde" w:cs="Arial"/>
          <w:color w:val="000000" w:themeColor="text1"/>
        </w:rPr>
      </w:pPr>
      <w:r w:rsidRPr="00997CFA">
        <w:rPr>
          <w:noProof/>
          <w:lang w:eastAsia="es-MX"/>
        </w:rPr>
        <w:drawing>
          <wp:inline distT="0" distB="0" distL="0" distR="0" wp14:anchorId="50A8642F" wp14:editId="67184773">
            <wp:extent cx="5490210" cy="1935985"/>
            <wp:effectExtent l="0" t="0" r="0" b="7620"/>
            <wp:docPr id="1" name="Imagen 1" descr="Protocolo Original, Tx Movil base, Protocolo Enmendado" title="Estado Actual de la B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0210" cy="1935985"/>
                    </a:xfrm>
                    <a:prstGeom prst="rect">
                      <a:avLst/>
                    </a:prstGeom>
                    <a:noFill/>
                    <a:ln>
                      <a:noFill/>
                    </a:ln>
                  </pic:spPr>
                </pic:pic>
              </a:graphicData>
            </a:graphic>
          </wp:inline>
        </w:drawing>
      </w: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Estandarización.</w:t>
      </w:r>
    </w:p>
    <w:p w:rsidR="00F7521A" w:rsidRDefault="004A714B" w:rsidP="004A714B">
      <w:pPr>
        <w:contextualSpacing/>
        <w:jc w:val="both"/>
        <w:rPr>
          <w:rFonts w:ascii="ITC Avant Garde" w:hAnsi="ITC Avant Garde"/>
          <w:color w:val="000000" w:themeColor="text1"/>
        </w:rPr>
      </w:pPr>
      <w:r w:rsidRPr="00F67508">
        <w:rPr>
          <w:rFonts w:ascii="ITC Avant Garde" w:hAnsi="ITC Avant Garde"/>
          <w:color w:val="000000" w:themeColor="text1"/>
        </w:rPr>
        <w:t xml:space="preserve">De manera general, ésta banda ha sido empleada para el despliegue de redes de radio </w:t>
      </w:r>
      <w:proofErr w:type="spellStart"/>
      <w:r w:rsidRPr="00F67508">
        <w:rPr>
          <w:rFonts w:ascii="ITC Avant Garde" w:hAnsi="ITC Avant Garde"/>
          <w:color w:val="000000" w:themeColor="text1"/>
        </w:rPr>
        <w:t>troncalizado</w:t>
      </w:r>
      <w:proofErr w:type="spellEnd"/>
      <w:r w:rsidRPr="00F67508">
        <w:rPr>
          <w:rFonts w:ascii="ITC Avant Garde" w:hAnsi="ITC Avant Garde"/>
          <w:color w:val="000000" w:themeColor="text1"/>
        </w:rPr>
        <w:t xml:space="preserve"> en diferentes países de nuestro continente, lo que ha permitido el desarrollo de un ecosistema amplio de tecnologías para este tipo de aplicaciones, como es el caso de los estándares TETRA</w:t>
      </w:r>
      <w:r w:rsidRPr="00F67508">
        <w:rPr>
          <w:rStyle w:val="Refdenotaalpie"/>
          <w:rFonts w:ascii="ITC Avant Garde" w:hAnsi="ITC Avant Garde"/>
          <w:color w:val="000000" w:themeColor="text1"/>
        </w:rPr>
        <w:footnoteReference w:id="29"/>
      </w:r>
      <w:r w:rsidRPr="00F67508">
        <w:rPr>
          <w:rFonts w:ascii="ITC Avant Garde" w:hAnsi="ITC Avant Garde"/>
          <w:color w:val="000000" w:themeColor="text1"/>
        </w:rPr>
        <w:t xml:space="preserve"> y P25, mismos que se encuentran avalados por organismos internacionales como la ETSI</w:t>
      </w:r>
      <w:r w:rsidRPr="00F67508">
        <w:rPr>
          <w:rStyle w:val="Refdenotaalpie"/>
          <w:rFonts w:ascii="ITC Avant Garde" w:hAnsi="ITC Avant Garde"/>
          <w:color w:val="000000" w:themeColor="text1"/>
        </w:rPr>
        <w:footnoteReference w:id="30"/>
      </w:r>
      <w:r w:rsidRPr="00F67508">
        <w:rPr>
          <w:rFonts w:ascii="ITC Avant Garde" w:hAnsi="ITC Avant Garde"/>
          <w:color w:val="000000" w:themeColor="text1"/>
        </w:rPr>
        <w:t xml:space="preserve"> y la TIA</w:t>
      </w:r>
      <w:r w:rsidRPr="00F67508">
        <w:rPr>
          <w:rStyle w:val="Refdenotaalpie"/>
          <w:rFonts w:ascii="ITC Avant Garde" w:hAnsi="ITC Avant Garde"/>
          <w:color w:val="000000" w:themeColor="text1"/>
        </w:rPr>
        <w:footnoteReference w:id="31"/>
      </w:r>
      <w:r w:rsidRPr="00F67508">
        <w:rPr>
          <w:rFonts w:ascii="ITC Avant Garde" w:hAnsi="ITC Avant Garde"/>
          <w:color w:val="000000" w:themeColor="text1"/>
        </w:rPr>
        <w:t>, respectivamente.</w:t>
      </w:r>
    </w:p>
    <w:p w:rsidR="00F7521A" w:rsidRDefault="004A714B" w:rsidP="004A714B">
      <w:pPr>
        <w:contextualSpacing/>
        <w:jc w:val="both"/>
        <w:rPr>
          <w:rFonts w:ascii="ITC Avant Garde" w:hAnsi="ITC Avant Garde"/>
          <w:color w:val="000000" w:themeColor="text1"/>
        </w:rPr>
      </w:pPr>
      <w:r w:rsidRPr="00F67508">
        <w:rPr>
          <w:rFonts w:ascii="ITC Avant Garde" w:hAnsi="ITC Avant Garde"/>
          <w:color w:val="000000" w:themeColor="text1"/>
        </w:rPr>
        <w:t xml:space="preserve">De manera particular, el despliegue de redes de radio </w:t>
      </w:r>
      <w:proofErr w:type="spellStart"/>
      <w:r w:rsidRPr="00F67508">
        <w:rPr>
          <w:rFonts w:ascii="ITC Avant Garde" w:hAnsi="ITC Avant Garde"/>
          <w:color w:val="000000" w:themeColor="text1"/>
        </w:rPr>
        <w:t>troncalizado</w:t>
      </w:r>
      <w:proofErr w:type="spellEnd"/>
      <w:r w:rsidRPr="00F67508">
        <w:rPr>
          <w:rFonts w:ascii="ITC Avant Garde" w:hAnsi="ITC Avant Garde"/>
          <w:color w:val="000000" w:themeColor="text1"/>
        </w:rPr>
        <w:t xml:space="preserve"> en esta banda se ha orientado a satisfacer necesidades de seguridad pública, con base en otras variantes tecnológicas como es el caso de TETRAPOL</w:t>
      </w:r>
      <w:r w:rsidRPr="00F67508">
        <w:rPr>
          <w:rStyle w:val="Refdenotaalpie"/>
          <w:rFonts w:ascii="ITC Avant Garde" w:hAnsi="ITC Avant Garde"/>
          <w:color w:val="000000" w:themeColor="text1"/>
        </w:rPr>
        <w:footnoteReference w:id="32"/>
      </w:r>
      <w:r w:rsidRPr="00F67508">
        <w:rPr>
          <w:rFonts w:ascii="ITC Avant Garde" w:hAnsi="ITC Avant Garde"/>
          <w:color w:val="000000" w:themeColor="text1"/>
        </w:rPr>
        <w:t>, tecnología completamente digital que permite el desarrollo de sistemas de radio profesional para grupos cerrados de usuarios que cuenta con encriptación extremo-a-extremo.</w:t>
      </w: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Economías de Escala.</w:t>
      </w:r>
    </w:p>
    <w:p w:rsidR="00F7521A" w:rsidRDefault="004A714B" w:rsidP="004A714B">
      <w:pPr>
        <w:contextualSpacing/>
        <w:jc w:val="both"/>
        <w:rPr>
          <w:rFonts w:ascii="ITC Avant Garde" w:hAnsi="ITC Avant Garde"/>
          <w:color w:val="000000" w:themeColor="text1"/>
        </w:rPr>
      </w:pPr>
      <w:r w:rsidRPr="00F67508">
        <w:rPr>
          <w:rFonts w:ascii="ITC Avant Garde" w:hAnsi="ITC Avant Garde"/>
          <w:color w:val="000000" w:themeColor="text1"/>
        </w:rPr>
        <w:t xml:space="preserve">El despliegue generalizado de sistemas </w:t>
      </w:r>
      <w:proofErr w:type="spellStart"/>
      <w:r w:rsidRPr="00F67508">
        <w:rPr>
          <w:rFonts w:ascii="ITC Avant Garde" w:hAnsi="ITC Avant Garde"/>
          <w:color w:val="000000" w:themeColor="text1"/>
        </w:rPr>
        <w:t>troncalizados</w:t>
      </w:r>
      <w:proofErr w:type="spellEnd"/>
      <w:r w:rsidRPr="00F67508">
        <w:rPr>
          <w:rFonts w:ascii="ITC Avant Garde" w:hAnsi="ITC Avant Garde"/>
          <w:color w:val="000000" w:themeColor="text1"/>
        </w:rPr>
        <w:t xml:space="preserve"> en América y Europa está basado principalmente en los estándares P25, TETRA y en menor medida con la </w:t>
      </w:r>
      <w:r w:rsidRPr="00F67508">
        <w:rPr>
          <w:rFonts w:ascii="ITC Avant Garde" w:hAnsi="ITC Avant Garde"/>
          <w:color w:val="000000" w:themeColor="text1"/>
        </w:rPr>
        <w:lastRenderedPageBreak/>
        <w:t xml:space="preserve">tecnología TETRAPOL en prácticamente toda la gama de la banda 800 MHz, donde se ha generado un ecosistema ampliamente desarrollado. </w:t>
      </w:r>
    </w:p>
    <w:p w:rsidR="00F7521A" w:rsidRDefault="004A714B" w:rsidP="004A714B">
      <w:pPr>
        <w:contextualSpacing/>
        <w:jc w:val="both"/>
        <w:rPr>
          <w:rFonts w:ascii="ITC Avant Garde" w:hAnsi="ITC Avant Garde"/>
          <w:color w:val="000000" w:themeColor="text1"/>
        </w:rPr>
      </w:pPr>
      <w:r w:rsidRPr="00F67508">
        <w:rPr>
          <w:rFonts w:ascii="ITC Avant Garde" w:hAnsi="ITC Avant Garde"/>
          <w:color w:val="000000" w:themeColor="text1"/>
        </w:rPr>
        <w:t>En este sentido, y debido a que esta banda cuenta con un alto grado de armonización a nivel internacional, los equipos necesarios para operar bajo los estándares descritos se encuentran ampliamente disponibles a costos razonables para los usuarios.</w:t>
      </w:r>
    </w:p>
    <w:p w:rsidR="004A714B" w:rsidRPr="00F67508" w:rsidRDefault="004A714B" w:rsidP="004A714B">
      <w:pPr>
        <w:rPr>
          <w:rFonts w:ascii="ITC Avant Garde" w:hAnsi="ITC Avant Garde"/>
          <w:color w:val="000000" w:themeColor="text1"/>
        </w:rPr>
      </w:pPr>
      <w:r w:rsidRPr="00F67508">
        <w:rPr>
          <w:rFonts w:ascii="ITC Avant Garde" w:hAnsi="ITC Avant Garde"/>
          <w:color w:val="000000" w:themeColor="text1"/>
        </w:rPr>
        <w:br w:type="page"/>
      </w:r>
    </w:p>
    <w:p w:rsidR="00F7521A" w:rsidRDefault="00F7521A" w:rsidP="00F7521A">
      <w:bookmarkStart w:id="3" w:name="_Toc462678505"/>
    </w:p>
    <w:p w:rsidR="00F7521A" w:rsidRPr="007062E9" w:rsidRDefault="004A714B" w:rsidP="007062E9">
      <w:pPr>
        <w:pStyle w:val="Ttulo4"/>
        <w:keepNext/>
        <w:keepLines/>
        <w:pBdr>
          <w:top w:val="none" w:sz="0" w:space="0" w:color="auto"/>
          <w:left w:val="none" w:sz="0" w:space="0" w:color="auto"/>
          <w:bottom w:val="none" w:sz="0" w:space="0" w:color="auto"/>
          <w:right w:val="none" w:sz="0" w:space="0" w:color="auto"/>
          <w:between w:val="none" w:sz="0" w:space="0" w:color="auto"/>
        </w:pBdr>
        <w:spacing w:before="40"/>
        <w:ind w:left="0" w:firstLine="0"/>
        <w:jc w:val="center"/>
        <w:rPr>
          <w:rFonts w:ascii="ITC Avant Garde" w:eastAsiaTheme="majorEastAsia" w:hAnsi="ITC Avant Garde" w:cs="Times New Roman"/>
          <w:iCs/>
          <w:color w:val="000000" w:themeColor="text1"/>
          <w:sz w:val="20"/>
          <w:lang w:val="es-MX" w:eastAsia="es-ES"/>
        </w:rPr>
      </w:pPr>
      <w:r w:rsidRPr="007062E9">
        <w:rPr>
          <w:rFonts w:ascii="ITC Avant Garde" w:eastAsiaTheme="majorEastAsia" w:hAnsi="ITC Avant Garde" w:cs="Times New Roman"/>
          <w:iCs/>
          <w:color w:val="000000" w:themeColor="text1"/>
          <w:sz w:val="20"/>
          <w:lang w:val="es-MX" w:eastAsia="es-ES"/>
        </w:rPr>
        <w:t>BANDA DE FRECUENCIAS 824-849/869-894 MHz</w:t>
      </w:r>
      <w:bookmarkEnd w:id="3"/>
    </w:p>
    <w:p w:rsidR="004A714B" w:rsidRPr="00F67508"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Atribución.</w:t>
      </w:r>
    </w:p>
    <w:p w:rsidR="004A714B" w:rsidRPr="00F67508" w:rsidRDefault="004A714B" w:rsidP="004A714B">
      <w:pPr>
        <w:contextualSpacing/>
        <w:jc w:val="both"/>
        <w:rPr>
          <w:rFonts w:ascii="ITC Avant Garde" w:hAnsi="ITC Avant Garde"/>
          <w:b/>
          <w:color w:val="000000" w:themeColor="text1"/>
        </w:rPr>
      </w:pPr>
    </w:p>
    <w:tbl>
      <w:tblPr>
        <w:tblStyle w:val="Tabladelista3-nfasis21"/>
        <w:tblW w:w="6520" w:type="dxa"/>
        <w:jc w:val="center"/>
        <w:tblLayout w:type="fixed"/>
        <w:tblLook w:val="04A0" w:firstRow="1" w:lastRow="0" w:firstColumn="1" w:lastColumn="0" w:noHBand="0" w:noVBand="1"/>
        <w:tblCaption w:val="BANDA DE FRECUENCIAS 824-849/869-894"/>
        <w:tblDescription w:val="ATRIBUCIÓN"/>
      </w:tblPr>
      <w:tblGrid>
        <w:gridCol w:w="2268"/>
        <w:gridCol w:w="2126"/>
        <w:gridCol w:w="2126"/>
      </w:tblGrid>
      <w:tr w:rsidR="004A714B" w:rsidRPr="00F67508" w:rsidTr="004A714B">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100" w:firstRow="0" w:lastRow="0" w:firstColumn="1" w:lastColumn="0" w:oddVBand="0" w:evenVBand="0" w:oddHBand="0" w:evenHBand="0" w:firstRowFirstColumn="1" w:firstRowLastColumn="0" w:lastRowFirstColumn="0" w:lastRowLastColumn="0"/>
            <w:tcW w:w="2268" w:type="dxa"/>
            <w:noWrap/>
            <w:vAlign w:val="center"/>
            <w:hideMark/>
          </w:tcPr>
          <w:p w:rsidR="004A714B" w:rsidRPr="00F67508" w:rsidRDefault="004A714B" w:rsidP="004A714B">
            <w:pPr>
              <w:jc w:val="center"/>
              <w:rPr>
                <w:rFonts w:ascii="ITC Avant Garde" w:eastAsia="Times New Roman" w:hAnsi="ITC Avant Garde"/>
                <w:b w:val="0"/>
                <w:color w:val="000000"/>
                <w:sz w:val="16"/>
                <w:szCs w:val="22"/>
                <w:lang w:eastAsia="es-MX"/>
              </w:rPr>
            </w:pPr>
            <w:r w:rsidRPr="00F67508">
              <w:rPr>
                <w:rFonts w:ascii="ITC Avant Garde" w:hAnsi="ITC Avant Garde" w:cstheme="minorHAnsi"/>
                <w:color w:val="000000" w:themeColor="text1"/>
                <w:sz w:val="16"/>
                <w:szCs w:val="22"/>
              </w:rPr>
              <w:t>Banda de Frecuencias (MHz)</w:t>
            </w:r>
          </w:p>
        </w:tc>
        <w:tc>
          <w:tcPr>
            <w:tcW w:w="2126" w:type="dxa"/>
            <w:noWrap/>
            <w:vAlign w:val="center"/>
            <w:hideMark/>
          </w:tcPr>
          <w:p w:rsidR="004A714B" w:rsidRPr="00F67508" w:rsidRDefault="004A714B" w:rsidP="004A714B">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b w:val="0"/>
                <w:color w:val="000000"/>
                <w:sz w:val="16"/>
                <w:szCs w:val="22"/>
                <w:lang w:eastAsia="es-MX"/>
              </w:rPr>
            </w:pPr>
            <w:r w:rsidRPr="00F67508">
              <w:rPr>
                <w:rFonts w:ascii="ITC Avant Garde" w:hAnsi="ITC Avant Garde" w:cstheme="minorHAnsi"/>
                <w:color w:val="000000" w:themeColor="text1"/>
                <w:sz w:val="16"/>
                <w:szCs w:val="22"/>
              </w:rPr>
              <w:t>Atribución RR</w:t>
            </w:r>
          </w:p>
        </w:tc>
        <w:tc>
          <w:tcPr>
            <w:tcW w:w="2126" w:type="dxa"/>
            <w:noWrap/>
            <w:vAlign w:val="center"/>
            <w:hideMark/>
          </w:tcPr>
          <w:p w:rsidR="004A714B" w:rsidRPr="00F67508" w:rsidRDefault="004A714B" w:rsidP="004A714B">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b w:val="0"/>
                <w:color w:val="000000"/>
                <w:sz w:val="16"/>
                <w:szCs w:val="22"/>
                <w:lang w:eastAsia="es-MX"/>
              </w:rPr>
            </w:pPr>
            <w:r w:rsidRPr="00F67508">
              <w:rPr>
                <w:rFonts w:ascii="ITC Avant Garde" w:hAnsi="ITC Avant Garde" w:cstheme="minorHAnsi"/>
                <w:color w:val="000000" w:themeColor="text1"/>
                <w:sz w:val="16"/>
                <w:szCs w:val="22"/>
              </w:rPr>
              <w:t>Atribución CNAF</w:t>
            </w:r>
          </w:p>
        </w:tc>
      </w:tr>
      <w:tr w:rsidR="004A714B" w:rsidRPr="00F67508" w:rsidTr="004A71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rsidR="004A714B" w:rsidRPr="00F67508" w:rsidRDefault="004A714B" w:rsidP="004A714B">
            <w:pPr>
              <w:jc w:val="center"/>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806-890</w:t>
            </w:r>
          </w:p>
        </w:tc>
        <w:tc>
          <w:tcPr>
            <w:tcW w:w="2126" w:type="dxa"/>
            <w:noWrap/>
            <w:vAlign w:val="center"/>
            <w:hideMark/>
          </w:tcPr>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FIJO</w:t>
            </w:r>
          </w:p>
          <w:p w:rsidR="004A714B" w:rsidRDefault="004A714B" w:rsidP="004A714B">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MÓVIL</w:t>
            </w:r>
          </w:p>
          <w:p w:rsidR="004A714B" w:rsidRPr="00F67508" w:rsidRDefault="004A714B" w:rsidP="004A714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RADIODIFUSIÓN</w:t>
            </w:r>
          </w:p>
        </w:tc>
        <w:tc>
          <w:tcPr>
            <w:tcW w:w="2126" w:type="dxa"/>
            <w:vMerge w:val="restart"/>
            <w:noWrap/>
            <w:vAlign w:val="center"/>
            <w:hideMark/>
          </w:tcPr>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MÓVIL</w:t>
            </w:r>
          </w:p>
          <w:p w:rsidR="004A714B" w:rsidRPr="00F67508" w:rsidRDefault="004A714B" w:rsidP="004A714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MÓVIL AERONÁUTICO</w:t>
            </w:r>
          </w:p>
        </w:tc>
      </w:tr>
      <w:tr w:rsidR="004A714B" w:rsidRPr="00F67508" w:rsidTr="004A714B">
        <w:trPr>
          <w:trHeight w:val="300"/>
          <w:jc w:val="center"/>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rsidR="004A714B" w:rsidRPr="00F67508" w:rsidRDefault="004A714B" w:rsidP="004A714B">
            <w:pPr>
              <w:jc w:val="center"/>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890-902</w:t>
            </w:r>
          </w:p>
        </w:tc>
        <w:tc>
          <w:tcPr>
            <w:tcW w:w="2126" w:type="dxa"/>
            <w:noWrap/>
            <w:vAlign w:val="center"/>
            <w:hideMark/>
          </w:tcPr>
          <w:p w:rsidR="004A714B" w:rsidRPr="00F67508" w:rsidRDefault="004A714B" w:rsidP="004A714B">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FIJO</w:t>
            </w:r>
          </w:p>
          <w:p w:rsidR="004A714B" w:rsidRPr="00F67508" w:rsidRDefault="004A714B" w:rsidP="004A714B">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MÓVIL salvo móvil aeronáutico</w:t>
            </w:r>
          </w:p>
          <w:p w:rsidR="004A714B" w:rsidRPr="00F67508" w:rsidRDefault="004A714B" w:rsidP="004A714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Radiolocalización</w:t>
            </w:r>
          </w:p>
        </w:tc>
        <w:tc>
          <w:tcPr>
            <w:tcW w:w="2126" w:type="dxa"/>
            <w:vMerge/>
            <w:noWrap/>
            <w:vAlign w:val="center"/>
            <w:hideMark/>
          </w:tcPr>
          <w:p w:rsidR="004A714B" w:rsidRPr="00F67508" w:rsidRDefault="004A714B" w:rsidP="004A714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22"/>
                <w:lang w:eastAsia="es-MX"/>
              </w:rPr>
            </w:pPr>
          </w:p>
        </w:tc>
      </w:tr>
    </w:tbl>
    <w:p w:rsidR="004A714B" w:rsidRPr="00F67508" w:rsidRDefault="004A714B" w:rsidP="004A714B">
      <w:pPr>
        <w:contextualSpacing/>
        <w:jc w:val="both"/>
        <w:rPr>
          <w:rFonts w:ascii="ITC Avant Garde" w:hAnsi="ITC Avant Garde"/>
          <w:b/>
          <w:color w:val="000000" w:themeColor="text1"/>
        </w:rPr>
      </w:pP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Notas aplicables RR UIT.</w:t>
      </w:r>
    </w:p>
    <w:p w:rsidR="00F7521A" w:rsidRDefault="004A714B" w:rsidP="004A714B">
      <w:pPr>
        <w:pStyle w:val="Texto"/>
        <w:spacing w:after="0" w:line="240" w:lineRule="auto"/>
        <w:ind w:left="1134" w:right="1183" w:firstLine="0"/>
        <w:contextualSpacing/>
        <w:rPr>
          <w:rFonts w:ascii="ITC Avant Garde" w:hAnsi="ITC Avant Garde" w:cstheme="minorHAnsi"/>
          <w:i/>
          <w:color w:val="000000" w:themeColor="text1"/>
          <w:szCs w:val="22"/>
        </w:rPr>
      </w:pPr>
      <w:r w:rsidRPr="00F67508">
        <w:rPr>
          <w:rFonts w:ascii="ITC Avant Garde" w:hAnsi="ITC Avant Garde" w:cstheme="minorHAnsi"/>
          <w:b/>
          <w:i/>
          <w:color w:val="000000" w:themeColor="text1"/>
          <w:szCs w:val="22"/>
        </w:rPr>
        <w:t>5.317</w:t>
      </w:r>
      <w:r w:rsidRPr="00F67508">
        <w:rPr>
          <w:rFonts w:ascii="ITC Avant Garde" w:hAnsi="ITC Avant Garde" w:cstheme="minorHAnsi"/>
          <w:i/>
          <w:color w:val="000000" w:themeColor="text1"/>
          <w:szCs w:val="22"/>
        </w:rPr>
        <w:t xml:space="preserve"> Atribución adicional: en la Región 2 (excepto Brasil y Estados Unidos), la banda 806-890 MHz está también atribuida, a título primario, al servicio móvil por satélite, a reserva de obtener el acuerdo indicado en el número 9.21. Este servicio está destinado para su utilización dentro de las fronteras nacionales.</w:t>
      </w:r>
    </w:p>
    <w:p w:rsidR="00F7521A" w:rsidRDefault="004A714B" w:rsidP="004A714B">
      <w:pPr>
        <w:pStyle w:val="Texto"/>
        <w:spacing w:after="0" w:line="240" w:lineRule="auto"/>
        <w:ind w:left="1134" w:right="1183" w:firstLine="0"/>
        <w:contextualSpacing/>
        <w:rPr>
          <w:rFonts w:ascii="ITC Avant Garde" w:hAnsi="ITC Avant Garde" w:cstheme="minorHAnsi"/>
          <w:i/>
          <w:color w:val="000000" w:themeColor="text1"/>
          <w:szCs w:val="22"/>
        </w:rPr>
      </w:pPr>
      <w:r w:rsidRPr="00F67508">
        <w:rPr>
          <w:rFonts w:ascii="ITC Avant Garde" w:hAnsi="ITC Avant Garde" w:cstheme="minorHAnsi"/>
          <w:b/>
          <w:i/>
          <w:color w:val="000000" w:themeColor="text1"/>
          <w:szCs w:val="22"/>
        </w:rPr>
        <w:t>5.317A</w:t>
      </w:r>
      <w:r w:rsidRPr="00F67508">
        <w:rPr>
          <w:rFonts w:ascii="ITC Avant Garde" w:hAnsi="ITC Avant Garde" w:cstheme="minorHAnsi"/>
          <w:i/>
          <w:color w:val="000000" w:themeColor="text1"/>
          <w:szCs w:val="22"/>
        </w:rPr>
        <w:t xml:space="preserve"> Las partes de la banda 698</w:t>
      </w:r>
      <w:r w:rsidRPr="00F67508">
        <w:rPr>
          <w:rFonts w:ascii="ITC Avant Garde" w:hAnsi="ITC Avant Garde" w:cstheme="minorHAnsi"/>
          <w:i/>
          <w:color w:val="000000" w:themeColor="text1"/>
          <w:szCs w:val="22"/>
        </w:rPr>
        <w:noBreakHyphen/>
        <w:t>960 MHz en la Región 2 y de la banda 790</w:t>
      </w:r>
      <w:r w:rsidRPr="00F67508">
        <w:rPr>
          <w:rFonts w:ascii="ITC Avant Garde" w:hAnsi="ITC Avant Garde" w:cstheme="minorHAnsi"/>
          <w:i/>
          <w:color w:val="000000" w:themeColor="text1"/>
          <w:szCs w:val="22"/>
        </w:rPr>
        <w:noBreakHyphen/>
        <w:t>960 MHz en las Regiones 1 y 3 atribuidas al servicio móvil a título primario se han identificado para su utilización por las administraciones que deseen introducir las Telecomunicaciones Móviles Internacionales (IMT). Véanse las Resoluciones 224 (Rev.CMR</w:t>
      </w:r>
      <w:r w:rsidRPr="00F67508">
        <w:rPr>
          <w:rFonts w:ascii="ITC Avant Garde" w:hAnsi="ITC Avant Garde" w:cstheme="minorHAnsi"/>
          <w:i/>
          <w:color w:val="000000" w:themeColor="text1"/>
          <w:szCs w:val="22"/>
        </w:rPr>
        <w:noBreakHyphen/>
        <w:t>07) y 749 (CMR</w:t>
      </w:r>
      <w:r w:rsidRPr="00F67508">
        <w:rPr>
          <w:rFonts w:ascii="ITC Avant Garde" w:hAnsi="ITC Avant Garde" w:cstheme="minorHAnsi"/>
          <w:i/>
          <w:color w:val="000000" w:themeColor="text1"/>
          <w:szCs w:val="22"/>
        </w:rPr>
        <w:noBreakHyphen/>
        <w:t>07). La identificación de estas bandas no excluye que se utilicen para otras aplicaciones de los servicios a los que están atribuidas y no implica prioridad alguna en el Reglamento de Radiocomunicaciones. (CMR07)</w:t>
      </w:r>
    </w:p>
    <w:p w:rsidR="00F7521A" w:rsidRDefault="004A714B" w:rsidP="004A714B">
      <w:pPr>
        <w:pStyle w:val="Texto"/>
        <w:spacing w:after="0" w:line="240" w:lineRule="auto"/>
        <w:ind w:left="1134" w:right="1183" w:firstLine="0"/>
        <w:contextualSpacing/>
        <w:rPr>
          <w:rFonts w:ascii="ITC Avant Garde" w:hAnsi="ITC Avant Garde" w:cstheme="minorHAnsi"/>
          <w:i/>
          <w:color w:val="000000" w:themeColor="text1"/>
          <w:szCs w:val="22"/>
        </w:rPr>
      </w:pPr>
      <w:r w:rsidRPr="00F67508">
        <w:rPr>
          <w:rFonts w:ascii="ITC Avant Garde" w:hAnsi="ITC Avant Garde" w:cstheme="minorHAnsi"/>
          <w:b/>
          <w:i/>
          <w:color w:val="000000" w:themeColor="text1"/>
          <w:szCs w:val="22"/>
        </w:rPr>
        <w:t>5.318</w:t>
      </w:r>
      <w:r w:rsidRPr="00F67508">
        <w:rPr>
          <w:rFonts w:ascii="ITC Avant Garde" w:hAnsi="ITC Avant Garde" w:cstheme="minorHAnsi"/>
          <w:i/>
          <w:color w:val="000000" w:themeColor="text1"/>
          <w:szCs w:val="22"/>
        </w:rPr>
        <w:t xml:space="preserve"> Atribución adicional: en Canadá, Estados Unidos y México, las bandas 849-851 MHz y 894-896 MHz están además atribuidas al servicio móvil aeronáutico a título primario para la correspondencia pública con aeronaves. La utilización de la banda 849-851 MHz se limita a las transmisiones desde estaciones aeronáuticas y la utilización de la banda 894-896 MHz se limita a las transmisiones desde estaciones de aeronave.</w:t>
      </w: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Notas Nacionales.</w:t>
      </w:r>
    </w:p>
    <w:p w:rsidR="00F7521A" w:rsidRDefault="004A714B" w:rsidP="004A714B">
      <w:pPr>
        <w:pStyle w:val="Texto"/>
        <w:spacing w:after="0" w:line="240" w:lineRule="auto"/>
        <w:ind w:left="1134" w:right="1133" w:firstLine="0"/>
        <w:contextualSpacing/>
        <w:rPr>
          <w:rFonts w:ascii="ITC Avant Garde" w:hAnsi="ITC Avant Garde" w:cstheme="minorHAnsi"/>
          <w:i/>
          <w:color w:val="000000" w:themeColor="text1"/>
        </w:rPr>
      </w:pPr>
      <w:r w:rsidRPr="00F67508">
        <w:rPr>
          <w:rFonts w:ascii="ITC Avant Garde" w:hAnsi="ITC Avant Garde" w:cstheme="minorHAnsi"/>
          <w:b/>
          <w:i/>
          <w:color w:val="000000" w:themeColor="text1"/>
        </w:rPr>
        <w:t xml:space="preserve">MX147 </w:t>
      </w:r>
      <w:r w:rsidRPr="00F67508">
        <w:rPr>
          <w:rFonts w:ascii="ITC Avant Garde" w:hAnsi="ITC Avant Garde" w:cstheme="minorHAnsi"/>
          <w:i/>
          <w:color w:val="000000" w:themeColor="text1"/>
        </w:rPr>
        <w:t>Las partes de la banda de frecuencias 698 – 960 MHz atribuidas al servicio móvil a título primario se han identificado para su utilización por las IMT, de conformidad con la Resolución 224 (Rev. CMR-12) y la nota internacional 5.317A del RR. Dicha identificación no excluye el uso de esta banda por ninguna aplicación de los servicios a los cuales está atribuida y no implica prioridad alguna en el RR.</w:t>
      </w:r>
    </w:p>
    <w:p w:rsidR="00F7521A" w:rsidRDefault="004A714B" w:rsidP="004A714B">
      <w:pPr>
        <w:pStyle w:val="Texto"/>
        <w:spacing w:after="0" w:line="240" w:lineRule="auto"/>
        <w:ind w:left="1134" w:right="1133" w:firstLine="0"/>
        <w:contextualSpacing/>
        <w:rPr>
          <w:rFonts w:ascii="ITC Avant Garde" w:hAnsi="ITC Avant Garde"/>
          <w:i/>
          <w:color w:val="000000" w:themeColor="text1"/>
        </w:rPr>
      </w:pPr>
      <w:r w:rsidRPr="00F67508">
        <w:rPr>
          <w:rFonts w:ascii="ITC Avant Garde" w:hAnsi="ITC Avant Garde" w:cstheme="minorHAnsi"/>
          <w:b/>
          <w:i/>
          <w:color w:val="000000" w:themeColor="text1"/>
        </w:rPr>
        <w:t xml:space="preserve">MX150 </w:t>
      </w:r>
      <w:r w:rsidRPr="00F67508">
        <w:rPr>
          <w:rFonts w:ascii="ITC Avant Garde" w:hAnsi="ITC Avant Garde"/>
          <w:i/>
          <w:color w:val="000000" w:themeColor="text1"/>
        </w:rPr>
        <w:t xml:space="preserve">La banda de frecuencias 806 – 824/851 – 869 MHz se encuentra bajo un proceso de revisión para su posible reordenamiento. Dicho reordenamiento contempla la determinación del segmento 806 – 814/851 – 859 MHz para la operación de sistemas de radio </w:t>
      </w:r>
      <w:proofErr w:type="spellStart"/>
      <w:r w:rsidRPr="00F67508">
        <w:rPr>
          <w:rFonts w:ascii="ITC Avant Garde" w:hAnsi="ITC Avant Garde"/>
          <w:i/>
          <w:color w:val="000000" w:themeColor="text1"/>
        </w:rPr>
        <w:t>troncalizado</w:t>
      </w:r>
      <w:proofErr w:type="spellEnd"/>
      <w:r w:rsidRPr="00F67508">
        <w:rPr>
          <w:rFonts w:ascii="ITC Avant Garde" w:hAnsi="ITC Avant Garde"/>
          <w:i/>
          <w:color w:val="000000" w:themeColor="text1"/>
        </w:rPr>
        <w:t xml:space="preserve"> de uso público para aplicaciones de misión crítica, así como la determinación del segmento 814 – 824/859 – 869 MHz para la provisión de servicios móviles de banda ancha.</w:t>
      </w:r>
      <w:r w:rsidRPr="00F67508">
        <w:rPr>
          <w:rFonts w:ascii="ITC Avant Garde" w:hAnsi="ITC Avant Garde" w:cstheme="minorHAnsi"/>
          <w:i/>
          <w:color w:val="000000" w:themeColor="text1"/>
        </w:rPr>
        <w:t xml:space="preserve"> El Plan para la banda 806 – 824/851 – 869 MHz se encuentra disponible para su consulta en el siguiente enlace: </w:t>
      </w:r>
      <w:r w:rsidRPr="008F5AEE">
        <w:rPr>
          <w:rFonts w:ascii="ITC Avant Garde" w:hAnsi="ITC Avant Garde" w:cstheme="minorHAnsi"/>
          <w:i/>
        </w:rPr>
        <w:t>http://apps.ift.org.mx/publicdata/P_IFT_080715_208.pdf</w:t>
      </w:r>
    </w:p>
    <w:p w:rsidR="00F7521A" w:rsidRDefault="004A714B" w:rsidP="004A714B">
      <w:pPr>
        <w:pStyle w:val="Texto"/>
        <w:spacing w:after="0" w:line="240" w:lineRule="auto"/>
        <w:ind w:left="1134" w:right="1133" w:firstLine="0"/>
        <w:contextualSpacing/>
        <w:rPr>
          <w:rFonts w:ascii="ITC Avant Garde" w:hAnsi="ITC Avant Garde"/>
          <w:i/>
          <w:color w:val="000000" w:themeColor="text1"/>
        </w:rPr>
      </w:pPr>
      <w:r w:rsidRPr="00F67508">
        <w:rPr>
          <w:rFonts w:ascii="ITC Avant Garde" w:hAnsi="ITC Avant Garde" w:cstheme="minorHAnsi"/>
          <w:b/>
          <w:i/>
          <w:color w:val="000000" w:themeColor="text1"/>
        </w:rPr>
        <w:lastRenderedPageBreak/>
        <w:t>MX151</w:t>
      </w:r>
      <w:r w:rsidRPr="00F67508">
        <w:rPr>
          <w:rFonts w:ascii="ITC Avant Garde" w:hAnsi="ITC Avant Garde" w:cstheme="minorHAnsi"/>
          <w:i/>
          <w:color w:val="000000" w:themeColor="text1"/>
        </w:rPr>
        <w:t>El</w:t>
      </w:r>
      <w:r w:rsidRPr="00F67508">
        <w:rPr>
          <w:rFonts w:ascii="ITC Avant Garde" w:hAnsi="ITC Avant Garde"/>
          <w:i/>
          <w:color w:val="000000" w:themeColor="text1"/>
        </w:rPr>
        <w:t xml:space="preserve"> 16 de junio de 1994 se firmó en Williamsburg, Virginia, el Protocolo entre México y los Estados Unidos de América, relativo al uso de las bandas de frecuencias 806 – 824/851 – 869 MHz y 896 – 901/935 – 940 MHz para servicios terrenales de radiocomunicación, excepto radiodifusión a lo largo de la frontera común. La última enmienda a dicho Protocolo fue acordada el 8 de junio de 2012 en la Ciudad de Washington D.C.</w:t>
      </w:r>
    </w:p>
    <w:p w:rsidR="00F7521A" w:rsidRDefault="004A714B" w:rsidP="004A714B">
      <w:pPr>
        <w:pStyle w:val="Texto"/>
        <w:spacing w:after="0" w:line="240" w:lineRule="auto"/>
        <w:ind w:left="1134" w:right="1133" w:firstLine="0"/>
        <w:contextualSpacing/>
        <w:rPr>
          <w:rFonts w:ascii="ITC Avant Garde" w:hAnsi="ITC Avant Garde"/>
          <w:i/>
          <w:color w:val="000000" w:themeColor="text1"/>
        </w:rPr>
      </w:pPr>
      <w:r w:rsidRPr="00F67508">
        <w:rPr>
          <w:rFonts w:ascii="ITC Avant Garde" w:hAnsi="ITC Avant Garde" w:cstheme="minorHAnsi"/>
          <w:b/>
          <w:i/>
          <w:color w:val="000000" w:themeColor="text1"/>
        </w:rPr>
        <w:t>MX152</w:t>
      </w:r>
      <w:r w:rsidRPr="00F67508">
        <w:rPr>
          <w:rFonts w:ascii="ITC Avant Garde" w:hAnsi="ITC Avant Garde" w:cstheme="minorHAnsi"/>
          <w:i/>
          <w:color w:val="000000" w:themeColor="text1"/>
        </w:rPr>
        <w:t xml:space="preserve"> </w:t>
      </w:r>
      <w:r w:rsidRPr="00F67508">
        <w:rPr>
          <w:rFonts w:ascii="ITC Avant Garde" w:hAnsi="ITC Avant Garde"/>
          <w:i/>
          <w:color w:val="000000" w:themeColor="text1"/>
        </w:rPr>
        <w:t>La banda de frecuencias 824 – 849/869 – 894 MHz se encuentra identificada para la provisión de servicios IMT en México. La segmentación empleada se basa en un esquema FDD, en el cual el segmento 824 – 849 MHz se emplea para la transmisión móvil-base y el segmento 869 – 894 MHz se emplea para la transmisión base-móvil.</w:t>
      </w:r>
    </w:p>
    <w:p w:rsidR="00F7521A" w:rsidRDefault="004A714B" w:rsidP="004A714B">
      <w:pPr>
        <w:pStyle w:val="Texto"/>
        <w:spacing w:after="0" w:line="240" w:lineRule="auto"/>
        <w:ind w:left="1134" w:right="1133" w:firstLine="0"/>
        <w:contextualSpacing/>
        <w:rPr>
          <w:rFonts w:ascii="ITC Avant Garde" w:hAnsi="ITC Avant Garde"/>
          <w:i/>
          <w:color w:val="000000" w:themeColor="text1"/>
        </w:rPr>
      </w:pPr>
      <w:r w:rsidRPr="00F67508">
        <w:rPr>
          <w:rFonts w:ascii="ITC Avant Garde" w:hAnsi="ITC Avant Garde" w:cstheme="minorHAnsi"/>
          <w:b/>
          <w:i/>
          <w:color w:val="000000" w:themeColor="text1"/>
        </w:rPr>
        <w:t>MX153</w:t>
      </w:r>
      <w:r w:rsidRPr="00F67508">
        <w:rPr>
          <w:rFonts w:ascii="ITC Avant Garde" w:hAnsi="ITC Avant Garde"/>
          <w:i/>
          <w:color w:val="000000" w:themeColor="text1"/>
        </w:rPr>
        <w:t xml:space="preserve"> Diversos segmentos en la banda de 824 – 849/869 – 894 MHz se encuentran actualmente concesionados para la provisión de servicios IMT.</w:t>
      </w:r>
      <w:r w:rsidRPr="00F67508">
        <w:rPr>
          <w:rFonts w:ascii="ITC Avant Garde" w:hAnsi="ITC Avant Garde" w:cstheme="minorHAnsi"/>
          <w:i/>
          <w:color w:val="000000" w:themeColor="text1"/>
        </w:rPr>
        <w:t xml:space="preserve"> </w:t>
      </w:r>
    </w:p>
    <w:p w:rsidR="00F7521A" w:rsidRDefault="004A714B" w:rsidP="004A714B">
      <w:pPr>
        <w:pStyle w:val="Texto"/>
        <w:spacing w:after="0" w:line="240" w:lineRule="auto"/>
        <w:ind w:left="1134" w:right="1133" w:firstLine="0"/>
        <w:contextualSpacing/>
        <w:rPr>
          <w:rFonts w:ascii="ITC Avant Garde" w:hAnsi="ITC Avant Garde"/>
          <w:i/>
          <w:color w:val="000000" w:themeColor="text1"/>
        </w:rPr>
      </w:pPr>
      <w:r w:rsidRPr="00F67508">
        <w:rPr>
          <w:rFonts w:ascii="ITC Avant Garde" w:hAnsi="ITC Avant Garde" w:cstheme="minorHAnsi"/>
          <w:b/>
          <w:i/>
          <w:color w:val="000000" w:themeColor="text1"/>
        </w:rPr>
        <w:t>MX154</w:t>
      </w:r>
      <w:r w:rsidRPr="00F67508">
        <w:rPr>
          <w:rFonts w:ascii="ITC Avant Garde" w:hAnsi="ITC Avant Garde"/>
          <w:i/>
          <w:color w:val="000000" w:themeColor="text1"/>
        </w:rPr>
        <w:t xml:space="preserve"> El PABF de 2015 contempla el otorgamiento de concesiones de uso social en los segmentos disponibles de la banda 824 – 849/869 – 894 MHz, para la provisión de servicios de conectividad en zonas desatendidas del país.</w:t>
      </w:r>
    </w:p>
    <w:p w:rsidR="00F7521A" w:rsidRDefault="004A714B" w:rsidP="004A714B">
      <w:pPr>
        <w:pStyle w:val="Texto"/>
        <w:spacing w:after="0" w:line="240" w:lineRule="auto"/>
        <w:ind w:left="1134" w:right="1133" w:firstLine="0"/>
        <w:contextualSpacing/>
        <w:rPr>
          <w:rFonts w:ascii="ITC Avant Garde" w:hAnsi="ITC Avant Garde"/>
          <w:i/>
          <w:color w:val="000000" w:themeColor="text1"/>
        </w:rPr>
      </w:pPr>
      <w:r w:rsidRPr="00F67508">
        <w:rPr>
          <w:rFonts w:ascii="ITC Avant Garde" w:hAnsi="ITC Avant Garde" w:cstheme="minorHAnsi"/>
          <w:b/>
          <w:i/>
          <w:color w:val="000000" w:themeColor="text1"/>
        </w:rPr>
        <w:t>MX155</w:t>
      </w:r>
      <w:r w:rsidRPr="00F67508">
        <w:rPr>
          <w:rFonts w:ascii="ITC Avant Garde" w:hAnsi="ITC Avant Garde"/>
          <w:b/>
          <w:i/>
          <w:color w:val="000000" w:themeColor="text1"/>
        </w:rPr>
        <w:t xml:space="preserve"> </w:t>
      </w:r>
      <w:r w:rsidRPr="00F67508">
        <w:rPr>
          <w:rFonts w:ascii="ITC Avant Garde" w:hAnsi="ITC Avant Garde"/>
          <w:i/>
          <w:color w:val="000000" w:themeColor="text1"/>
        </w:rPr>
        <w:t>El 16 de junio de 1994 se firmó en Williamsburg, Virginia el Protocolo entre México y los Estados Unidos de América, relativo al uso de la banda 824 – 849/869 – 894 MHz para los servicios de radiocomunicación de sistemas celulares a lo largo de la frontera común.</w:t>
      </w:r>
      <w:r w:rsidRPr="00F67508">
        <w:rPr>
          <w:rFonts w:ascii="ITC Avant Garde" w:hAnsi="ITC Avant Garde" w:cstheme="minorHAnsi"/>
          <w:i/>
          <w:color w:val="000000" w:themeColor="text1"/>
        </w:rPr>
        <w:t xml:space="preserve"> </w:t>
      </w:r>
    </w:p>
    <w:p w:rsidR="00F7521A" w:rsidRDefault="004A714B" w:rsidP="004A714B">
      <w:pPr>
        <w:pStyle w:val="Texto"/>
        <w:spacing w:after="0" w:line="240" w:lineRule="auto"/>
        <w:ind w:left="1134" w:right="1133" w:firstLine="0"/>
        <w:contextualSpacing/>
        <w:rPr>
          <w:rFonts w:ascii="ITC Avant Garde" w:hAnsi="ITC Avant Garde"/>
          <w:b/>
          <w:i/>
          <w:color w:val="000000" w:themeColor="text1"/>
        </w:rPr>
      </w:pPr>
      <w:r w:rsidRPr="00F67508">
        <w:rPr>
          <w:rFonts w:ascii="ITC Avant Garde" w:hAnsi="ITC Avant Garde" w:cstheme="minorHAnsi"/>
          <w:b/>
          <w:i/>
          <w:color w:val="000000" w:themeColor="text1"/>
        </w:rPr>
        <w:t>MX156</w:t>
      </w:r>
      <w:r w:rsidRPr="00F67508">
        <w:rPr>
          <w:rFonts w:ascii="ITC Avant Garde" w:hAnsi="ITC Avant Garde"/>
          <w:b/>
          <w:i/>
          <w:color w:val="000000" w:themeColor="text1"/>
        </w:rPr>
        <w:t xml:space="preserve"> </w:t>
      </w:r>
      <w:r w:rsidRPr="00F67508">
        <w:rPr>
          <w:rFonts w:ascii="ITC Avant Garde" w:hAnsi="ITC Avant Garde"/>
          <w:i/>
          <w:color w:val="000000" w:themeColor="text1"/>
        </w:rPr>
        <w:t>Las especificaciones técnicas para los sistemas de radiotelefonía con tecnología celular que operan en la banda 824 – 849/869 – 894 MHz, se encuentran contenidas en la NOM-081-SCT1-</w:t>
      </w:r>
      <w:r w:rsidRPr="00F67508">
        <w:rPr>
          <w:rFonts w:ascii="ITC Avant Garde" w:hAnsi="ITC Avant Garde" w:cstheme="minorHAnsi"/>
          <w:i/>
          <w:color w:val="000000" w:themeColor="text1"/>
        </w:rPr>
        <w:t xml:space="preserve"> </w:t>
      </w:r>
      <w:r w:rsidRPr="00F67508">
        <w:rPr>
          <w:rFonts w:ascii="ITC Avant Garde" w:hAnsi="ITC Avant Garde"/>
          <w:i/>
          <w:color w:val="000000" w:themeColor="text1"/>
        </w:rPr>
        <w:t>1993, publicada en el DOF el 19 de agosto de 1994.</w:t>
      </w:r>
      <w:r w:rsidRPr="00F67508">
        <w:rPr>
          <w:rFonts w:ascii="ITC Avant Garde" w:hAnsi="ITC Avant Garde" w:cstheme="minorHAnsi"/>
          <w:b/>
          <w:i/>
          <w:color w:val="000000" w:themeColor="text1"/>
        </w:rPr>
        <w:t xml:space="preserve"> </w:t>
      </w:r>
    </w:p>
    <w:p w:rsidR="00F7521A" w:rsidRDefault="004A714B" w:rsidP="004A714B">
      <w:pPr>
        <w:pStyle w:val="Texto"/>
        <w:spacing w:after="0" w:line="240" w:lineRule="auto"/>
        <w:ind w:left="1134" w:right="1133" w:firstLine="0"/>
        <w:contextualSpacing/>
        <w:rPr>
          <w:rFonts w:ascii="ITC Avant Garde" w:hAnsi="ITC Avant Garde"/>
          <w:i/>
          <w:color w:val="000000" w:themeColor="text1"/>
        </w:rPr>
      </w:pPr>
      <w:r w:rsidRPr="00F67508">
        <w:rPr>
          <w:rFonts w:ascii="ITC Avant Garde" w:hAnsi="ITC Avant Garde" w:cstheme="minorHAnsi"/>
          <w:b/>
          <w:i/>
          <w:color w:val="000000" w:themeColor="text1"/>
        </w:rPr>
        <w:t>MX157</w:t>
      </w:r>
      <w:r w:rsidRPr="00F67508">
        <w:rPr>
          <w:rFonts w:ascii="ITC Avant Garde" w:hAnsi="ITC Avant Garde"/>
          <w:b/>
          <w:i/>
          <w:color w:val="000000" w:themeColor="text1"/>
        </w:rPr>
        <w:t xml:space="preserve"> </w:t>
      </w:r>
      <w:r w:rsidRPr="00F67508">
        <w:rPr>
          <w:rFonts w:ascii="ITC Avant Garde" w:hAnsi="ITC Avant Garde"/>
          <w:i/>
          <w:color w:val="000000" w:themeColor="text1"/>
        </w:rPr>
        <w:t>El 16 de junio de 1994 se firmó en Williamsburg, Virginia el Protocolo entre México y los Estados Unidos de América, relativo al uso de la banda 849 – 851/894 – 896 MHz para el servicio público de radiocomunicación aire a tierra.</w:t>
      </w:r>
    </w:p>
    <w:p w:rsidR="00F7521A" w:rsidRDefault="004A714B" w:rsidP="004A714B">
      <w:pPr>
        <w:pStyle w:val="Texto"/>
        <w:spacing w:after="0" w:line="240" w:lineRule="auto"/>
        <w:ind w:left="1134" w:right="1133" w:firstLine="0"/>
        <w:contextualSpacing/>
        <w:rPr>
          <w:rFonts w:ascii="ITC Avant Garde" w:hAnsi="ITC Avant Garde"/>
          <w:b/>
          <w:i/>
          <w:color w:val="000000" w:themeColor="text1"/>
        </w:rPr>
      </w:pPr>
      <w:r w:rsidRPr="00F67508">
        <w:rPr>
          <w:rFonts w:ascii="ITC Avant Garde" w:hAnsi="ITC Avant Garde" w:cstheme="minorHAnsi"/>
          <w:b/>
          <w:i/>
          <w:color w:val="000000" w:themeColor="text1"/>
        </w:rPr>
        <w:t>MX158</w:t>
      </w:r>
      <w:r w:rsidRPr="00F67508">
        <w:rPr>
          <w:rFonts w:ascii="ITC Avant Garde" w:hAnsi="ITC Avant Garde"/>
          <w:b/>
          <w:i/>
          <w:color w:val="000000" w:themeColor="text1"/>
        </w:rPr>
        <w:t xml:space="preserve"> </w:t>
      </w:r>
      <w:r w:rsidRPr="00F67508">
        <w:rPr>
          <w:rFonts w:ascii="ITC Avant Garde" w:hAnsi="ITC Avant Garde"/>
          <w:i/>
          <w:color w:val="000000" w:themeColor="text1"/>
        </w:rPr>
        <w:t>El 16 de mayo de 1995 se firmó en Washington, D.C. el Protocolo entre México y los Estados Unidos de América, relativo al uso de las bandas 901 – 902 MHz, 930 – 931 MHz y 940 – 941 MHz para los servicios de comunicaciones personales, a lo largo de la frontera común</w:t>
      </w:r>
      <w:r w:rsidRPr="00F67508">
        <w:rPr>
          <w:rFonts w:ascii="ITC Avant Garde" w:hAnsi="ITC Avant Garde"/>
          <w:b/>
          <w:i/>
          <w:color w:val="000000" w:themeColor="text1"/>
        </w:rPr>
        <w:t>.</w:t>
      </w: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Estado Actual.</w:t>
      </w:r>
    </w:p>
    <w:p w:rsidR="00F7521A" w:rsidRDefault="004A714B" w:rsidP="004A714B">
      <w:pPr>
        <w:tabs>
          <w:tab w:val="right" w:leader="dot" w:pos="8828"/>
        </w:tabs>
        <w:contextualSpacing/>
        <w:jc w:val="both"/>
        <w:rPr>
          <w:rFonts w:ascii="ITC Avant Garde" w:eastAsia="Times New Roman" w:hAnsi="ITC Avant Garde" w:cstheme="minorHAnsi"/>
          <w:color w:val="000000" w:themeColor="text1"/>
          <w:lang w:val="es-ES" w:eastAsia="es-ES"/>
        </w:rPr>
      </w:pPr>
      <w:r>
        <w:rPr>
          <w:rFonts w:ascii="ITC Avant Garde" w:eastAsia="Times New Roman" w:hAnsi="ITC Avant Garde" w:cstheme="minorHAnsi"/>
          <w:color w:val="000000" w:themeColor="text1"/>
          <w:lang w:val="es-ES" w:eastAsia="es-ES"/>
        </w:rPr>
        <w:t>Diversos segmentos de e</w:t>
      </w:r>
      <w:r w:rsidRPr="00F67508">
        <w:rPr>
          <w:rFonts w:ascii="ITC Avant Garde" w:eastAsia="Times New Roman" w:hAnsi="ITC Avant Garde" w:cstheme="minorHAnsi"/>
          <w:color w:val="000000" w:themeColor="text1"/>
          <w:lang w:val="es-ES" w:eastAsia="es-ES"/>
        </w:rPr>
        <w:t>sta banda se encuentra</w:t>
      </w:r>
      <w:r>
        <w:rPr>
          <w:rFonts w:ascii="ITC Avant Garde" w:eastAsia="Times New Roman" w:hAnsi="ITC Avant Garde" w:cstheme="minorHAnsi"/>
          <w:color w:val="000000" w:themeColor="text1"/>
          <w:lang w:val="es-ES" w:eastAsia="es-ES"/>
        </w:rPr>
        <w:t>n</w:t>
      </w:r>
      <w:r w:rsidRPr="00F67508">
        <w:rPr>
          <w:rFonts w:ascii="ITC Avant Garde" w:eastAsia="Times New Roman" w:hAnsi="ITC Avant Garde" w:cstheme="minorHAnsi"/>
          <w:color w:val="000000" w:themeColor="text1"/>
          <w:lang w:val="es-ES" w:eastAsia="es-ES"/>
        </w:rPr>
        <w:t xml:space="preserve"> concesionad</w:t>
      </w:r>
      <w:r>
        <w:rPr>
          <w:rFonts w:ascii="ITC Avant Garde" w:eastAsia="Times New Roman" w:hAnsi="ITC Avant Garde" w:cstheme="minorHAnsi"/>
          <w:color w:val="000000" w:themeColor="text1"/>
          <w:lang w:val="es-ES" w:eastAsia="es-ES"/>
        </w:rPr>
        <w:t>os</w:t>
      </w:r>
      <w:r w:rsidRPr="00F67508">
        <w:rPr>
          <w:rFonts w:ascii="ITC Avant Garde" w:eastAsia="Times New Roman" w:hAnsi="ITC Avant Garde" w:cstheme="minorHAnsi"/>
          <w:color w:val="000000" w:themeColor="text1"/>
          <w:lang w:val="es-ES" w:eastAsia="es-ES"/>
        </w:rPr>
        <w:t xml:space="preserve"> para la provisión del servicio de </w:t>
      </w:r>
      <w:r>
        <w:rPr>
          <w:rFonts w:ascii="ITC Avant Garde" w:eastAsia="Times New Roman" w:hAnsi="ITC Avant Garde" w:cstheme="minorHAnsi"/>
          <w:color w:val="000000" w:themeColor="text1"/>
          <w:lang w:val="es-ES" w:eastAsia="es-ES"/>
        </w:rPr>
        <w:t>comunicación</w:t>
      </w:r>
      <w:r w:rsidRPr="00F67508">
        <w:rPr>
          <w:rFonts w:ascii="ITC Avant Garde" w:eastAsia="Times New Roman" w:hAnsi="ITC Avant Garde" w:cstheme="minorHAnsi"/>
          <w:color w:val="000000" w:themeColor="text1"/>
          <w:lang w:val="es-ES" w:eastAsia="es-ES"/>
        </w:rPr>
        <w:t xml:space="preserve"> móvil. El segmento de 825-835/870-880 MHz se identifica como banda A y el de 835-845/880-890 MHz como la banda B. Dentro de esta misma banda se identifican los segmentos de 824-825/869-870 MHz y 845-846.5/890-891.5 MHz, que se conocen como ampliación de la banda A (A’), mientras que el segmento de 846.5 - 849/891.5 - 894 MHz se identifica como ampliación de la banda B (B´). </w:t>
      </w:r>
    </w:p>
    <w:p w:rsidR="00F7521A" w:rsidRDefault="004A714B" w:rsidP="004A714B">
      <w:pPr>
        <w:contextualSpacing/>
        <w:jc w:val="both"/>
        <w:rPr>
          <w:rFonts w:ascii="ITC Avant Garde" w:eastAsia="Times New Roman" w:hAnsi="ITC Avant Garde" w:cstheme="minorHAnsi"/>
          <w:color w:val="000000" w:themeColor="text1"/>
          <w:lang w:val="es-ES" w:eastAsia="es-ES"/>
        </w:rPr>
      </w:pPr>
      <w:r w:rsidRPr="00F67508">
        <w:rPr>
          <w:rFonts w:ascii="ITC Avant Garde" w:eastAsia="Times New Roman" w:hAnsi="ITC Avant Garde" w:cstheme="minorHAnsi"/>
          <w:color w:val="000000" w:themeColor="text1"/>
          <w:lang w:val="es-ES" w:eastAsia="es-ES"/>
        </w:rPr>
        <w:t xml:space="preserve">Algunos de estos segmentos de ampliación fueron concesionados antes de la emisión de la </w:t>
      </w:r>
      <w:r>
        <w:rPr>
          <w:rFonts w:ascii="ITC Avant Garde" w:eastAsia="Times New Roman" w:hAnsi="ITC Avant Garde" w:cstheme="minorHAnsi"/>
          <w:color w:val="000000" w:themeColor="text1"/>
          <w:lang w:val="es-ES" w:eastAsia="es-ES"/>
        </w:rPr>
        <w:t xml:space="preserve">abrogada </w:t>
      </w:r>
      <w:r w:rsidRPr="00F67508">
        <w:rPr>
          <w:rFonts w:ascii="ITC Avant Garde" w:eastAsia="Times New Roman" w:hAnsi="ITC Avant Garde" w:cstheme="minorHAnsi"/>
          <w:color w:val="000000" w:themeColor="text1"/>
          <w:lang w:val="es-ES" w:eastAsia="es-ES"/>
        </w:rPr>
        <w:t>Ley Federal de Telecomunicaciones, mientras que los segmentos restantes se encuentran actualmente disponibles. Cabe señalar que los segmentos otorgados cuentan sólo con coberturas parciales de la región correspondiente.</w:t>
      </w:r>
    </w:p>
    <w:p w:rsidR="00F7521A" w:rsidRDefault="004A714B" w:rsidP="004A714B">
      <w:pPr>
        <w:contextualSpacing/>
        <w:jc w:val="both"/>
        <w:rPr>
          <w:rFonts w:ascii="ITC Avant Garde" w:eastAsia="Times New Roman" w:hAnsi="ITC Avant Garde" w:cstheme="minorHAnsi"/>
          <w:color w:val="000000" w:themeColor="text1"/>
          <w:lang w:val="es-ES" w:eastAsia="es-ES"/>
        </w:rPr>
      </w:pPr>
      <w:r w:rsidRPr="00F67508">
        <w:rPr>
          <w:rFonts w:ascii="ITC Avant Garde" w:eastAsia="Times New Roman" w:hAnsi="ITC Avant Garde" w:cstheme="minorHAnsi"/>
          <w:color w:val="000000" w:themeColor="text1"/>
          <w:lang w:val="es-ES" w:eastAsia="es-ES"/>
        </w:rPr>
        <w:t>La tenencia y disponibilidad</w:t>
      </w:r>
      <w:r>
        <w:rPr>
          <w:rFonts w:ascii="ITC Avant Garde" w:eastAsia="Times New Roman" w:hAnsi="ITC Avant Garde" w:cstheme="minorHAnsi"/>
          <w:color w:val="000000" w:themeColor="text1"/>
          <w:lang w:val="es-ES" w:eastAsia="es-ES"/>
        </w:rPr>
        <w:t xml:space="preserve"> actual</w:t>
      </w:r>
      <w:r w:rsidRPr="00F67508">
        <w:rPr>
          <w:rFonts w:ascii="ITC Avant Garde" w:eastAsia="Times New Roman" w:hAnsi="ITC Avant Garde" w:cstheme="minorHAnsi"/>
          <w:color w:val="000000" w:themeColor="text1"/>
          <w:lang w:val="es-ES" w:eastAsia="es-ES"/>
        </w:rPr>
        <w:t xml:space="preserve"> de espectro en esta banda se muestra a continuación</w:t>
      </w:r>
      <w:r>
        <w:rPr>
          <w:rFonts w:ascii="ITC Avant Garde" w:eastAsia="Times New Roman" w:hAnsi="ITC Avant Garde" w:cstheme="minorHAnsi"/>
          <w:color w:val="000000" w:themeColor="text1"/>
          <w:lang w:val="es-ES" w:eastAsia="es-ES"/>
        </w:rPr>
        <w:t>:</w:t>
      </w:r>
    </w:p>
    <w:p w:rsidR="00F7521A" w:rsidRDefault="004A714B" w:rsidP="004A714B">
      <w:pPr>
        <w:contextualSpacing/>
        <w:jc w:val="both"/>
        <w:rPr>
          <w:rFonts w:ascii="ITC Avant Garde" w:eastAsia="Times New Roman" w:hAnsi="ITC Avant Garde" w:cstheme="minorHAnsi"/>
          <w:color w:val="000000" w:themeColor="text1"/>
          <w:lang w:val="es-ES" w:eastAsia="es-ES"/>
        </w:rPr>
      </w:pPr>
      <w:r w:rsidRPr="00F52DDD">
        <w:rPr>
          <w:noProof/>
          <w:lang w:eastAsia="es-MX"/>
        </w:rPr>
        <w:lastRenderedPageBreak/>
        <w:drawing>
          <wp:inline distT="0" distB="0" distL="0" distR="0" wp14:anchorId="2979E198" wp14:editId="43D03D64">
            <wp:extent cx="5490210" cy="3848032"/>
            <wp:effectExtent l="0" t="0" r="0" b="635"/>
            <wp:docPr id="5" name="Imagen 5" descr="TX MOVIL, TX BASE, ANCHO POR SEGMENTO, POR DUPLEX Y REGION 1 A REGION 9" title="DISPONIBILIDAD DE ESPEC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90210" cy="3848032"/>
                    </a:xfrm>
                    <a:prstGeom prst="rect">
                      <a:avLst/>
                    </a:prstGeom>
                    <a:noFill/>
                    <a:ln>
                      <a:noFill/>
                    </a:ln>
                  </pic:spPr>
                </pic:pic>
              </a:graphicData>
            </a:graphic>
          </wp:inline>
        </w:drawing>
      </w: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Estandarización.</w:t>
      </w:r>
    </w:p>
    <w:p w:rsidR="00F7521A" w:rsidRDefault="004A714B" w:rsidP="004A714B">
      <w:pPr>
        <w:contextualSpacing/>
        <w:jc w:val="both"/>
        <w:rPr>
          <w:rFonts w:ascii="ITC Avant Garde" w:hAnsi="ITC Avant Garde"/>
          <w:color w:val="000000" w:themeColor="text1"/>
        </w:rPr>
      </w:pPr>
      <w:r w:rsidRPr="00F67508">
        <w:rPr>
          <w:rFonts w:ascii="ITC Avant Garde" w:hAnsi="ITC Avant Garde"/>
          <w:color w:val="000000" w:themeColor="text1"/>
        </w:rPr>
        <w:t>La banda de frecuencias 698-960 MHz, ha sido identificada por la UIT para su utilización por las IMT. En lo concerniente al segmento 824-849/869-894 MHz, éste se encuentra contemplado en la banda 5 de los perfiles estandarizados por el 3GPP. Por otro lado, la recomendación UIT-R M.1036</w:t>
      </w:r>
      <w:r w:rsidRPr="00F67508">
        <w:rPr>
          <w:rFonts w:ascii="ITC Avant Garde" w:hAnsi="ITC Avant Garde"/>
          <w:color w:val="000000" w:themeColor="text1"/>
          <w:vertAlign w:val="superscript"/>
        </w:rPr>
        <w:footnoteReference w:id="33"/>
      </w:r>
      <w:r w:rsidRPr="00F67508">
        <w:rPr>
          <w:rFonts w:ascii="ITC Avant Garde" w:hAnsi="ITC Avant Garde"/>
          <w:color w:val="000000" w:themeColor="text1"/>
        </w:rPr>
        <w:t xml:space="preserve"> </w:t>
      </w:r>
      <w:r w:rsidRPr="00F67508">
        <w:rPr>
          <w:rFonts w:ascii="ITC Avant Garde" w:hAnsi="ITC Avant Garde"/>
          <w:i/>
          <w:color w:val="000000" w:themeColor="text1"/>
        </w:rPr>
        <w:t>“Disposiciones de frecuencias para la implementación de la componente terrenal de las telecomunicaciones móviles internacionales (IMT) en las bandas determinadas para las IMT en el Reglamento de Radiocomunicaciones (RR)”</w:t>
      </w:r>
      <w:r w:rsidRPr="00F67508">
        <w:rPr>
          <w:rFonts w:ascii="ITC Avant Garde" w:hAnsi="ITC Avant Garde"/>
          <w:color w:val="000000" w:themeColor="text1"/>
        </w:rPr>
        <w:t>, incluye en la sección 2 la disposición de frecuencias sugerida a implementar en la banda 824-849/869-894 MHz. Esta disposición consiste en dos bloques apareados de 25 MHz cada uno, utilizando tecnología</w:t>
      </w:r>
      <w:r>
        <w:rPr>
          <w:rFonts w:ascii="ITC Avant Garde" w:hAnsi="ITC Avant Garde"/>
          <w:color w:val="000000" w:themeColor="text1"/>
        </w:rPr>
        <w:t xml:space="preserve"> de </w:t>
      </w:r>
      <w:proofErr w:type="spellStart"/>
      <w:r>
        <w:rPr>
          <w:rFonts w:ascii="ITC Avant Garde" w:hAnsi="ITC Avant Garde"/>
          <w:color w:val="000000" w:themeColor="text1"/>
        </w:rPr>
        <w:t>duplexación</w:t>
      </w:r>
      <w:proofErr w:type="spellEnd"/>
      <w:r>
        <w:rPr>
          <w:rFonts w:ascii="ITC Avant Garde" w:hAnsi="ITC Avant Garde"/>
          <w:color w:val="000000" w:themeColor="text1"/>
        </w:rPr>
        <w:t xml:space="preserve"> por división de frecuencia</w:t>
      </w:r>
      <w:r w:rsidRPr="00F67508">
        <w:rPr>
          <w:rFonts w:ascii="ITC Avant Garde" w:hAnsi="ITC Avant Garde"/>
          <w:color w:val="000000" w:themeColor="text1"/>
        </w:rPr>
        <w:t xml:space="preserve"> </w:t>
      </w:r>
      <w:r>
        <w:rPr>
          <w:rFonts w:ascii="ITC Avant Garde" w:hAnsi="ITC Avant Garde"/>
          <w:color w:val="000000" w:themeColor="text1"/>
        </w:rPr>
        <w:t>(</w:t>
      </w:r>
      <w:r w:rsidRPr="00F67508">
        <w:rPr>
          <w:rFonts w:ascii="ITC Avant Garde" w:hAnsi="ITC Avant Garde"/>
          <w:color w:val="000000" w:themeColor="text1"/>
        </w:rPr>
        <w:t>FDD</w:t>
      </w:r>
      <w:r>
        <w:rPr>
          <w:rFonts w:ascii="ITC Avant Garde" w:hAnsi="ITC Avant Garde"/>
          <w:color w:val="000000" w:themeColor="text1"/>
        </w:rPr>
        <w:t xml:space="preserve"> </w:t>
      </w:r>
      <w:proofErr w:type="spellStart"/>
      <w:r>
        <w:rPr>
          <w:rFonts w:ascii="ITC Avant Garde" w:hAnsi="ITC Avant Garde"/>
          <w:i/>
          <w:color w:val="000000" w:themeColor="text1"/>
        </w:rPr>
        <w:t>Frequency-Division</w:t>
      </w:r>
      <w:proofErr w:type="spellEnd"/>
      <w:r>
        <w:rPr>
          <w:rFonts w:ascii="ITC Avant Garde" w:hAnsi="ITC Avant Garde"/>
          <w:i/>
          <w:color w:val="000000" w:themeColor="text1"/>
        </w:rPr>
        <w:t xml:space="preserve"> </w:t>
      </w:r>
      <w:proofErr w:type="spellStart"/>
      <w:r>
        <w:rPr>
          <w:rFonts w:ascii="ITC Avant Garde" w:hAnsi="ITC Avant Garde"/>
          <w:i/>
          <w:color w:val="000000" w:themeColor="text1"/>
        </w:rPr>
        <w:t>Duplexing</w:t>
      </w:r>
      <w:proofErr w:type="spellEnd"/>
      <w:r>
        <w:rPr>
          <w:rFonts w:ascii="ITC Avant Garde" w:hAnsi="ITC Avant Garde"/>
          <w:i/>
          <w:color w:val="000000" w:themeColor="text1"/>
        </w:rPr>
        <w:t>,</w:t>
      </w:r>
      <w:r>
        <w:rPr>
          <w:rFonts w:ascii="ITC Avant Garde" w:hAnsi="ITC Avant Garde"/>
          <w:color w:val="000000" w:themeColor="text1"/>
        </w:rPr>
        <w:t xml:space="preserve"> por sus siglas en inglés)</w:t>
      </w:r>
      <w:r w:rsidRPr="00F67508">
        <w:rPr>
          <w:rFonts w:ascii="ITC Avant Garde" w:hAnsi="ITC Avant Garde"/>
          <w:color w:val="000000" w:themeColor="text1"/>
        </w:rPr>
        <w:t>.</w:t>
      </w: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Economías de Escala.</w:t>
      </w:r>
    </w:p>
    <w:p w:rsidR="00F7521A" w:rsidRDefault="004A714B" w:rsidP="004A714B">
      <w:pPr>
        <w:contextualSpacing/>
        <w:jc w:val="both"/>
        <w:rPr>
          <w:rFonts w:ascii="ITC Avant Garde" w:hAnsi="ITC Avant Garde"/>
          <w:color w:val="000000" w:themeColor="text1"/>
        </w:rPr>
      </w:pPr>
      <w:r w:rsidRPr="00F67508">
        <w:rPr>
          <w:rFonts w:ascii="ITC Avant Garde" w:hAnsi="ITC Avant Garde"/>
          <w:color w:val="000000" w:themeColor="text1"/>
        </w:rPr>
        <w:t xml:space="preserve">Esta banda es una de las más armonizadas y estandarizadas en el mundo; cuenta con un mercado potencial de más de 630 millones de usuarios, principalmente </w:t>
      </w:r>
      <w:r w:rsidRPr="00F67508">
        <w:rPr>
          <w:rFonts w:ascii="ITC Avant Garde" w:hAnsi="ITC Avant Garde"/>
          <w:color w:val="000000" w:themeColor="text1"/>
        </w:rPr>
        <w:lastRenderedPageBreak/>
        <w:t xml:space="preserve">en América y Asia. En tal virtud, desde el punto de vista de economías de escala, se considera viable el </w:t>
      </w:r>
      <w:proofErr w:type="spellStart"/>
      <w:r w:rsidRPr="00F67508">
        <w:rPr>
          <w:rFonts w:ascii="ITC Avant Garde" w:hAnsi="ITC Avant Garde"/>
          <w:color w:val="000000" w:themeColor="text1"/>
        </w:rPr>
        <w:t>concesionamiento</w:t>
      </w:r>
      <w:proofErr w:type="spellEnd"/>
      <w:r w:rsidRPr="00F67508">
        <w:rPr>
          <w:rFonts w:ascii="ITC Avant Garde" w:hAnsi="ITC Avant Garde"/>
          <w:color w:val="000000" w:themeColor="text1"/>
        </w:rPr>
        <w:t xml:space="preserve"> de esta banda de frecuencias dada la amplia disponibilidad de equipos terminales y equipos de red estandarizados e interoperables.</w:t>
      </w:r>
    </w:p>
    <w:p w:rsidR="00F7521A" w:rsidRDefault="004A714B" w:rsidP="004A714B">
      <w:pPr>
        <w:contextualSpacing/>
        <w:jc w:val="both"/>
        <w:rPr>
          <w:rFonts w:ascii="ITC Avant Garde" w:hAnsi="ITC Avant Garde"/>
          <w:color w:val="000000" w:themeColor="text1"/>
        </w:rPr>
      </w:pPr>
      <w:r w:rsidRPr="00F67508">
        <w:rPr>
          <w:rFonts w:ascii="ITC Avant Garde" w:hAnsi="ITC Avant Garde"/>
          <w:color w:val="000000" w:themeColor="text1"/>
        </w:rPr>
        <w:t xml:space="preserve">Por otra parte, cabe mencionar que los segmentos mencionados a continuación, cuyo estado de asignación, así como su alto grado de estandarización al ser parte de una banda identificada </w:t>
      </w:r>
      <w:r>
        <w:rPr>
          <w:rFonts w:ascii="ITC Avant Garde" w:hAnsi="ITC Avant Garde"/>
          <w:color w:val="000000" w:themeColor="text1"/>
        </w:rPr>
        <w:t>para las Telecomunicaciones Móviles Internacionales</w:t>
      </w:r>
      <w:r w:rsidRPr="00F67508">
        <w:rPr>
          <w:rFonts w:ascii="ITC Avant Garde" w:hAnsi="ITC Avant Garde"/>
          <w:color w:val="000000" w:themeColor="text1"/>
        </w:rPr>
        <w:t xml:space="preserve"> </w:t>
      </w:r>
      <w:r>
        <w:rPr>
          <w:rFonts w:ascii="ITC Avant Garde" w:hAnsi="ITC Avant Garde"/>
          <w:color w:val="000000" w:themeColor="text1"/>
        </w:rPr>
        <w:t>(</w:t>
      </w:r>
      <w:r w:rsidRPr="00F67508">
        <w:rPr>
          <w:rFonts w:ascii="ITC Avant Garde" w:hAnsi="ITC Avant Garde"/>
          <w:color w:val="000000" w:themeColor="text1"/>
        </w:rPr>
        <w:t>IMT</w:t>
      </w:r>
      <w:r>
        <w:rPr>
          <w:rFonts w:ascii="ITC Avant Garde" w:hAnsi="ITC Avant Garde"/>
          <w:color w:val="000000" w:themeColor="text1"/>
        </w:rPr>
        <w:t xml:space="preserve"> </w:t>
      </w:r>
      <w:r w:rsidRPr="008F5DED">
        <w:rPr>
          <w:rFonts w:ascii="ITC Avant Garde" w:hAnsi="ITC Avant Garde"/>
          <w:i/>
          <w:color w:val="000000" w:themeColor="text1"/>
        </w:rPr>
        <w:t xml:space="preserve">International Mobile </w:t>
      </w:r>
      <w:proofErr w:type="spellStart"/>
      <w:r w:rsidRPr="008F5DED">
        <w:rPr>
          <w:rFonts w:ascii="ITC Avant Garde" w:hAnsi="ITC Avant Garde"/>
          <w:i/>
          <w:color w:val="000000" w:themeColor="text1"/>
        </w:rPr>
        <w:t>Telecommunicactions</w:t>
      </w:r>
      <w:proofErr w:type="spellEnd"/>
      <w:r>
        <w:rPr>
          <w:rFonts w:ascii="ITC Avant Garde" w:hAnsi="ITC Avant Garde"/>
          <w:color w:val="000000" w:themeColor="text1"/>
        </w:rPr>
        <w:t>, por sus siglas en inglés) por la Unión Internacional de Telecomunicaciones (UIT),</w:t>
      </w:r>
      <w:r w:rsidRPr="00F67508">
        <w:rPr>
          <w:rFonts w:ascii="ITC Avant Garde" w:hAnsi="ITC Avant Garde"/>
          <w:color w:val="000000" w:themeColor="text1"/>
        </w:rPr>
        <w:t xml:space="preserve"> permiten que dichos segmentos sean contemplados como espectro propicio para el despliegue de redes inalámbricas móviles de carácter social en diversas localidades rurales del territorio nacional.</w:t>
      </w:r>
    </w:p>
    <w:p w:rsidR="004A714B" w:rsidRPr="00F67508" w:rsidRDefault="004A714B" w:rsidP="00192567">
      <w:pPr>
        <w:pStyle w:val="Prrafodelista"/>
        <w:numPr>
          <w:ilvl w:val="0"/>
          <w:numId w:val="4"/>
        </w:numPr>
        <w:contextualSpacing/>
        <w:jc w:val="both"/>
        <w:rPr>
          <w:rFonts w:ascii="ITC Avant Garde" w:hAnsi="ITC Avant Garde"/>
          <w:b/>
          <w:color w:val="000000" w:themeColor="text1"/>
          <w:sz w:val="22"/>
          <w:szCs w:val="22"/>
        </w:rPr>
      </w:pPr>
      <w:r w:rsidRPr="00F67508">
        <w:rPr>
          <w:rFonts w:ascii="ITC Avant Garde" w:hAnsi="ITC Avant Garde"/>
          <w:b/>
          <w:color w:val="000000" w:themeColor="text1"/>
          <w:sz w:val="22"/>
          <w:szCs w:val="22"/>
        </w:rPr>
        <w:t>824-825/869-870 MHz.</w:t>
      </w:r>
    </w:p>
    <w:p w:rsidR="00F7521A" w:rsidRDefault="004A714B" w:rsidP="004A714B">
      <w:pPr>
        <w:pStyle w:val="Prrafodelista"/>
        <w:contextualSpacing/>
        <w:jc w:val="both"/>
        <w:rPr>
          <w:rFonts w:ascii="ITC Avant Garde" w:hAnsi="ITC Avant Garde"/>
          <w:color w:val="000000" w:themeColor="text1"/>
          <w:sz w:val="22"/>
          <w:szCs w:val="22"/>
        </w:rPr>
      </w:pPr>
      <w:r w:rsidRPr="00F67508">
        <w:rPr>
          <w:rFonts w:ascii="ITC Avant Garde" w:hAnsi="ITC Avant Garde"/>
          <w:color w:val="000000" w:themeColor="text1"/>
          <w:sz w:val="22"/>
          <w:szCs w:val="22"/>
        </w:rPr>
        <w:t xml:space="preserve">Este rango de frecuencias se encuentra disponible a nivel nacional, exceptuando </w:t>
      </w:r>
      <w:r w:rsidRPr="00B24CF5">
        <w:rPr>
          <w:rFonts w:ascii="ITC Avant Garde" w:hAnsi="ITC Avant Garde"/>
          <w:color w:val="000000" w:themeColor="text1"/>
          <w:sz w:val="22"/>
          <w:szCs w:val="22"/>
        </w:rPr>
        <w:t xml:space="preserve">localidades </w:t>
      </w:r>
      <w:r>
        <w:rPr>
          <w:rFonts w:ascii="ITC Avant Garde" w:hAnsi="ITC Avant Garde"/>
          <w:color w:val="000000" w:themeColor="text1"/>
          <w:sz w:val="22"/>
          <w:szCs w:val="22"/>
        </w:rPr>
        <w:t>específicas en</w:t>
      </w:r>
      <w:r w:rsidRPr="00B24CF5">
        <w:rPr>
          <w:rFonts w:ascii="ITC Avant Garde" w:hAnsi="ITC Avant Garde"/>
          <w:color w:val="000000" w:themeColor="text1"/>
          <w:sz w:val="22"/>
          <w:szCs w:val="22"/>
        </w:rPr>
        <w:t xml:space="preserve"> las Regiones 2, 3, 6 y 7</w:t>
      </w:r>
      <w:r>
        <w:rPr>
          <w:rFonts w:ascii="ITC Avant Garde" w:hAnsi="ITC Avant Garde"/>
          <w:color w:val="000000" w:themeColor="text1"/>
          <w:sz w:val="22"/>
          <w:szCs w:val="22"/>
        </w:rPr>
        <w:t xml:space="preserve">, así como </w:t>
      </w:r>
      <w:r w:rsidRPr="00F67508">
        <w:rPr>
          <w:rFonts w:ascii="ITC Avant Garde" w:hAnsi="ITC Avant Garde"/>
          <w:color w:val="000000" w:themeColor="text1"/>
          <w:sz w:val="22"/>
          <w:szCs w:val="22"/>
        </w:rPr>
        <w:t xml:space="preserve">las ciudades de Monterrey (Región 4), Guadalajara (Región 5) y </w:t>
      </w:r>
      <w:r>
        <w:rPr>
          <w:rFonts w:ascii="ITC Avant Garde" w:hAnsi="ITC Avant Garde"/>
          <w:color w:val="000000" w:themeColor="text1"/>
          <w:sz w:val="22"/>
          <w:szCs w:val="22"/>
        </w:rPr>
        <w:t>la</w:t>
      </w:r>
      <w:r w:rsidRPr="00F67508">
        <w:rPr>
          <w:rFonts w:ascii="ITC Avant Garde" w:hAnsi="ITC Avant Garde"/>
          <w:color w:val="000000" w:themeColor="text1"/>
          <w:sz w:val="22"/>
          <w:szCs w:val="22"/>
        </w:rPr>
        <w:t xml:space="preserve"> </w:t>
      </w:r>
      <w:r>
        <w:rPr>
          <w:rFonts w:ascii="ITC Avant Garde" w:hAnsi="ITC Avant Garde"/>
          <w:color w:val="000000" w:themeColor="text1"/>
          <w:sz w:val="22"/>
          <w:szCs w:val="22"/>
        </w:rPr>
        <w:t xml:space="preserve">Ciudad de México </w:t>
      </w:r>
      <w:r w:rsidRPr="00F67508">
        <w:rPr>
          <w:rFonts w:ascii="ITC Avant Garde" w:hAnsi="ITC Avant Garde"/>
          <w:color w:val="000000" w:themeColor="text1"/>
          <w:sz w:val="22"/>
          <w:szCs w:val="22"/>
        </w:rPr>
        <w:t>(Región 9).</w:t>
      </w:r>
    </w:p>
    <w:p w:rsidR="004A714B" w:rsidRPr="00F67508" w:rsidRDefault="004A714B" w:rsidP="00192567">
      <w:pPr>
        <w:pStyle w:val="Prrafodelista"/>
        <w:numPr>
          <w:ilvl w:val="0"/>
          <w:numId w:val="4"/>
        </w:numPr>
        <w:contextualSpacing/>
        <w:jc w:val="both"/>
        <w:rPr>
          <w:rFonts w:ascii="ITC Avant Garde" w:hAnsi="ITC Avant Garde"/>
          <w:b/>
          <w:color w:val="000000" w:themeColor="text1"/>
          <w:sz w:val="22"/>
          <w:szCs w:val="22"/>
        </w:rPr>
      </w:pPr>
      <w:r w:rsidRPr="00F67508">
        <w:rPr>
          <w:rFonts w:ascii="ITC Avant Garde" w:hAnsi="ITC Avant Garde"/>
          <w:b/>
          <w:color w:val="000000" w:themeColor="text1"/>
          <w:sz w:val="22"/>
          <w:szCs w:val="22"/>
        </w:rPr>
        <w:t>845-846.5/890-891.5 MHz.</w:t>
      </w:r>
    </w:p>
    <w:p w:rsidR="00F7521A" w:rsidRDefault="004A714B" w:rsidP="004A714B">
      <w:pPr>
        <w:pStyle w:val="Prrafodelista"/>
        <w:contextualSpacing/>
        <w:jc w:val="both"/>
        <w:rPr>
          <w:rFonts w:ascii="ITC Avant Garde" w:hAnsi="ITC Avant Garde"/>
          <w:color w:val="000000" w:themeColor="text1"/>
          <w:sz w:val="22"/>
          <w:szCs w:val="22"/>
        </w:rPr>
      </w:pPr>
      <w:r w:rsidRPr="00F67508">
        <w:rPr>
          <w:rFonts w:ascii="ITC Avant Garde" w:hAnsi="ITC Avant Garde"/>
          <w:color w:val="000000" w:themeColor="text1"/>
          <w:sz w:val="22"/>
          <w:szCs w:val="22"/>
        </w:rPr>
        <w:t>Este rango de frecuencias se encuentra disponible a nivel nacional, exceptuando las ciudades de Guadalajara (Región 5) y la Ciudad de México (Región 9).</w:t>
      </w:r>
    </w:p>
    <w:p w:rsidR="004A714B" w:rsidRPr="00F67508" w:rsidRDefault="004A714B" w:rsidP="00192567">
      <w:pPr>
        <w:pStyle w:val="Prrafodelista"/>
        <w:numPr>
          <w:ilvl w:val="0"/>
          <w:numId w:val="4"/>
        </w:numPr>
        <w:contextualSpacing/>
        <w:jc w:val="both"/>
        <w:rPr>
          <w:rFonts w:ascii="ITC Avant Garde" w:hAnsi="ITC Avant Garde"/>
          <w:b/>
          <w:color w:val="000000" w:themeColor="text1"/>
          <w:sz w:val="22"/>
          <w:szCs w:val="22"/>
        </w:rPr>
      </w:pPr>
      <w:r w:rsidRPr="00F67508">
        <w:rPr>
          <w:rFonts w:ascii="ITC Avant Garde" w:hAnsi="ITC Avant Garde"/>
          <w:b/>
          <w:color w:val="000000" w:themeColor="text1"/>
          <w:sz w:val="22"/>
          <w:szCs w:val="22"/>
        </w:rPr>
        <w:t>846.5-849/891.5-894 MHz.</w:t>
      </w:r>
    </w:p>
    <w:p w:rsidR="00F7521A" w:rsidRDefault="004A714B" w:rsidP="004A714B">
      <w:pPr>
        <w:pStyle w:val="Prrafodelista"/>
        <w:contextualSpacing/>
        <w:jc w:val="both"/>
        <w:rPr>
          <w:rFonts w:ascii="ITC Avant Garde" w:hAnsi="ITC Avant Garde"/>
          <w:color w:val="000000" w:themeColor="text1"/>
          <w:sz w:val="22"/>
          <w:szCs w:val="22"/>
        </w:rPr>
      </w:pPr>
      <w:r w:rsidRPr="00F67508">
        <w:rPr>
          <w:rFonts w:ascii="ITC Avant Garde" w:hAnsi="ITC Avant Garde"/>
          <w:color w:val="000000" w:themeColor="text1"/>
          <w:sz w:val="22"/>
          <w:szCs w:val="22"/>
        </w:rPr>
        <w:t xml:space="preserve">Este rango de frecuencias se encuentra disponible </w:t>
      </w:r>
      <w:r w:rsidRPr="00F8233C">
        <w:rPr>
          <w:rFonts w:ascii="ITC Avant Garde" w:hAnsi="ITC Avant Garde"/>
          <w:color w:val="000000" w:themeColor="text1"/>
          <w:sz w:val="22"/>
          <w:szCs w:val="22"/>
        </w:rPr>
        <w:t>en su totalidad en las Regiones 1, 2, 4, 5 y 6; y parcialmente disponible en las Regiones 7 y 8</w:t>
      </w:r>
      <w:r w:rsidRPr="00F67508">
        <w:rPr>
          <w:rFonts w:ascii="ITC Avant Garde" w:hAnsi="ITC Avant Garde"/>
          <w:color w:val="000000" w:themeColor="text1"/>
          <w:sz w:val="22"/>
          <w:szCs w:val="22"/>
        </w:rPr>
        <w:t xml:space="preserve">. En lo tocante a las Regiones 3 y 9, existen 80 kHz disponibles dentro de dicho rango de frecuencias. </w:t>
      </w:r>
    </w:p>
    <w:p w:rsidR="004A714B" w:rsidRDefault="004A714B" w:rsidP="004A714B">
      <w:pPr>
        <w:rPr>
          <w:rFonts w:ascii="ITC Avant Garde" w:hAnsi="ITC Avant Garde" w:cs="Arial Unicode MS"/>
          <w:color w:val="000000" w:themeColor="text1"/>
          <w:u w:color="000000"/>
          <w:lang w:val="es-ES_tradnl"/>
        </w:rPr>
      </w:pPr>
      <w:r>
        <w:rPr>
          <w:rFonts w:ascii="ITC Avant Garde" w:hAnsi="ITC Avant Garde"/>
          <w:color w:val="000000" w:themeColor="text1"/>
        </w:rPr>
        <w:br w:type="page"/>
      </w:r>
    </w:p>
    <w:p w:rsidR="00F7521A" w:rsidRPr="007062E9" w:rsidRDefault="004A714B" w:rsidP="007062E9">
      <w:pPr>
        <w:pStyle w:val="Ttulo3"/>
        <w:keepNext/>
        <w:keepLines/>
        <w:pBdr>
          <w:top w:val="none" w:sz="0" w:space="0" w:color="auto"/>
          <w:left w:val="none" w:sz="0" w:space="0" w:color="auto"/>
          <w:bottom w:val="none" w:sz="0" w:space="0" w:color="auto"/>
          <w:right w:val="none" w:sz="0" w:space="0" w:color="auto"/>
          <w:between w:val="none" w:sz="0" w:space="0" w:color="auto"/>
        </w:pBdr>
        <w:spacing w:before="40" w:line="259" w:lineRule="auto"/>
        <w:ind w:left="0" w:firstLine="0"/>
        <w:rPr>
          <w:rFonts w:cs="Helv"/>
          <w:color w:val="auto"/>
          <w:sz w:val="22"/>
          <w:szCs w:val="22"/>
          <w:lang w:val="es-ES_tradnl"/>
        </w:rPr>
      </w:pPr>
      <w:bookmarkStart w:id="4" w:name="_Toc462678506"/>
      <w:r w:rsidRPr="007062E9">
        <w:rPr>
          <w:rFonts w:cs="Helv"/>
          <w:color w:val="auto"/>
          <w:sz w:val="22"/>
          <w:szCs w:val="22"/>
          <w:lang w:val="es-ES_tradnl"/>
        </w:rPr>
        <w:lastRenderedPageBreak/>
        <w:t>RADIODIFUSIÓN</w:t>
      </w:r>
      <w:bookmarkEnd w:id="4"/>
    </w:p>
    <w:p w:rsidR="00F7521A" w:rsidRPr="007062E9" w:rsidRDefault="004A714B" w:rsidP="007062E9">
      <w:pPr>
        <w:pStyle w:val="Ttulo4"/>
        <w:keepNext/>
        <w:keepLines/>
        <w:pBdr>
          <w:top w:val="none" w:sz="0" w:space="0" w:color="auto"/>
          <w:left w:val="none" w:sz="0" w:space="0" w:color="auto"/>
          <w:bottom w:val="none" w:sz="0" w:space="0" w:color="auto"/>
          <w:right w:val="none" w:sz="0" w:space="0" w:color="auto"/>
          <w:between w:val="none" w:sz="0" w:space="0" w:color="auto"/>
        </w:pBdr>
        <w:spacing w:before="40"/>
        <w:ind w:left="0" w:firstLine="0"/>
        <w:jc w:val="center"/>
        <w:rPr>
          <w:rFonts w:ascii="ITC Avant Garde" w:eastAsiaTheme="majorEastAsia" w:hAnsi="ITC Avant Garde" w:cs="Times New Roman"/>
          <w:iCs/>
          <w:color w:val="000000" w:themeColor="text1"/>
          <w:sz w:val="20"/>
          <w:lang w:val="es-MX" w:eastAsia="es-ES"/>
        </w:rPr>
      </w:pPr>
      <w:bookmarkStart w:id="5" w:name="_Toc462678507"/>
      <w:r w:rsidRPr="007062E9">
        <w:rPr>
          <w:rFonts w:ascii="ITC Avant Garde" w:eastAsiaTheme="majorEastAsia" w:hAnsi="ITC Avant Garde" w:cs="Times New Roman"/>
          <w:iCs/>
          <w:color w:val="000000" w:themeColor="text1"/>
          <w:sz w:val="20"/>
          <w:lang w:val="es-MX" w:eastAsia="es-ES"/>
        </w:rPr>
        <w:t>BANDAS DE FRECUENCIAS 535-1605 kHz y 1605-1705 kHz (AM estándar y ampliada)</w:t>
      </w:r>
      <w:bookmarkEnd w:id="5"/>
      <w:r w:rsidRPr="007062E9">
        <w:rPr>
          <w:rFonts w:ascii="ITC Avant Garde" w:eastAsiaTheme="majorEastAsia" w:hAnsi="ITC Avant Garde" w:cs="Times New Roman"/>
          <w:iCs/>
          <w:color w:val="000000" w:themeColor="text1"/>
          <w:sz w:val="20"/>
          <w:lang w:val="es-MX" w:eastAsia="es-ES"/>
        </w:rPr>
        <w:t xml:space="preserve"> </w:t>
      </w: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Atribución.</w:t>
      </w:r>
    </w:p>
    <w:p w:rsidR="004A714B" w:rsidRPr="00F67508" w:rsidRDefault="004A714B" w:rsidP="004A714B">
      <w:pPr>
        <w:contextualSpacing/>
        <w:jc w:val="both"/>
        <w:rPr>
          <w:rFonts w:ascii="ITC Avant Garde" w:hAnsi="ITC Avant Garde"/>
          <w:b/>
          <w:color w:val="000000" w:themeColor="text1"/>
        </w:rPr>
      </w:pPr>
    </w:p>
    <w:tbl>
      <w:tblPr>
        <w:tblStyle w:val="Tabladelista3-nfasis21"/>
        <w:tblW w:w="6520" w:type="dxa"/>
        <w:jc w:val="center"/>
        <w:tblLayout w:type="fixed"/>
        <w:tblLook w:val="04A0" w:firstRow="1" w:lastRow="0" w:firstColumn="1" w:lastColumn="0" w:noHBand="0" w:noVBand="1"/>
        <w:tblCaption w:val="BANDAS DE FRECUANCIAS 535- 1605 Y 1605-1705 "/>
        <w:tblDescription w:val="ATRIBUCION "/>
      </w:tblPr>
      <w:tblGrid>
        <w:gridCol w:w="2268"/>
        <w:gridCol w:w="2126"/>
        <w:gridCol w:w="2126"/>
      </w:tblGrid>
      <w:tr w:rsidR="004A714B" w:rsidRPr="00F67508" w:rsidTr="004A714B">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100" w:firstRow="0" w:lastRow="0" w:firstColumn="1" w:lastColumn="0" w:oddVBand="0" w:evenVBand="0" w:oddHBand="0" w:evenHBand="0" w:firstRowFirstColumn="1" w:firstRowLastColumn="0" w:lastRowFirstColumn="0" w:lastRowLastColumn="0"/>
            <w:tcW w:w="2268" w:type="dxa"/>
            <w:noWrap/>
            <w:vAlign w:val="center"/>
            <w:hideMark/>
          </w:tcPr>
          <w:p w:rsidR="004A714B" w:rsidRPr="00F67508" w:rsidRDefault="004A714B" w:rsidP="004A714B">
            <w:pPr>
              <w:jc w:val="center"/>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Banda de Frecuencias (kHz)</w:t>
            </w:r>
          </w:p>
        </w:tc>
        <w:tc>
          <w:tcPr>
            <w:tcW w:w="2126" w:type="dxa"/>
            <w:noWrap/>
            <w:vAlign w:val="center"/>
            <w:hideMark/>
          </w:tcPr>
          <w:p w:rsidR="004A714B" w:rsidRPr="00F67508" w:rsidRDefault="004A714B" w:rsidP="004A714B">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Atribución RR</w:t>
            </w:r>
          </w:p>
        </w:tc>
        <w:tc>
          <w:tcPr>
            <w:tcW w:w="2126" w:type="dxa"/>
            <w:noWrap/>
            <w:vAlign w:val="center"/>
            <w:hideMark/>
          </w:tcPr>
          <w:p w:rsidR="004A714B" w:rsidRPr="00F67508" w:rsidRDefault="004A714B" w:rsidP="004A714B">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Atribución CNAF</w:t>
            </w:r>
          </w:p>
        </w:tc>
      </w:tr>
      <w:tr w:rsidR="004A714B" w:rsidRPr="00F67508" w:rsidTr="004A71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rsidR="004A714B" w:rsidRPr="00F67508" w:rsidRDefault="004A714B" w:rsidP="004A714B">
            <w:pPr>
              <w:jc w:val="center"/>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535-1605</w:t>
            </w:r>
          </w:p>
        </w:tc>
        <w:tc>
          <w:tcPr>
            <w:tcW w:w="2126" w:type="dxa"/>
            <w:noWrap/>
            <w:vAlign w:val="center"/>
            <w:hideMark/>
          </w:tcPr>
          <w:p w:rsidR="004A714B" w:rsidRPr="00F67508" w:rsidRDefault="004A714B" w:rsidP="004A714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RADIODIFUSIÓN</w:t>
            </w:r>
          </w:p>
        </w:tc>
        <w:tc>
          <w:tcPr>
            <w:tcW w:w="2126" w:type="dxa"/>
            <w:noWrap/>
            <w:vAlign w:val="center"/>
            <w:hideMark/>
          </w:tcPr>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RADIODIFUSIÓN</w:t>
            </w:r>
          </w:p>
        </w:tc>
      </w:tr>
      <w:tr w:rsidR="004A714B" w:rsidRPr="00F67508" w:rsidTr="004A714B">
        <w:trPr>
          <w:trHeight w:val="300"/>
          <w:jc w:val="center"/>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rsidR="004A714B" w:rsidRPr="00F67508" w:rsidRDefault="004A714B" w:rsidP="004A714B">
            <w:pPr>
              <w:jc w:val="center"/>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1605-1625</w:t>
            </w:r>
          </w:p>
        </w:tc>
        <w:tc>
          <w:tcPr>
            <w:tcW w:w="2126" w:type="dxa"/>
            <w:noWrap/>
            <w:vAlign w:val="center"/>
            <w:hideMark/>
          </w:tcPr>
          <w:p w:rsidR="004A714B" w:rsidRPr="00F67508" w:rsidRDefault="004A714B" w:rsidP="004A714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RADIODIFUSIÓN</w:t>
            </w:r>
          </w:p>
        </w:tc>
        <w:tc>
          <w:tcPr>
            <w:tcW w:w="2126" w:type="dxa"/>
            <w:noWrap/>
            <w:vAlign w:val="center"/>
            <w:hideMark/>
          </w:tcPr>
          <w:p w:rsidR="004A714B" w:rsidRPr="00F67508" w:rsidRDefault="004A714B" w:rsidP="004A714B">
            <w:pPr>
              <w:contextualSpacing/>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RADIODIFUSIÓN</w:t>
            </w:r>
          </w:p>
        </w:tc>
      </w:tr>
      <w:tr w:rsidR="004A714B" w:rsidRPr="00F67508" w:rsidTr="004A71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rsidR="004A714B" w:rsidRPr="00F67508" w:rsidRDefault="004A714B" w:rsidP="004A714B">
            <w:pPr>
              <w:jc w:val="center"/>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1625-1705</w:t>
            </w:r>
          </w:p>
          <w:p w:rsidR="004A714B" w:rsidRPr="00F67508" w:rsidRDefault="004A714B" w:rsidP="004A714B">
            <w:pPr>
              <w:jc w:val="center"/>
              <w:rPr>
                <w:rFonts w:ascii="ITC Avant Garde" w:hAnsi="ITC Avant Garde" w:cstheme="minorHAnsi"/>
                <w:color w:val="000000" w:themeColor="text1"/>
                <w:sz w:val="16"/>
                <w:szCs w:val="22"/>
              </w:rPr>
            </w:pPr>
          </w:p>
        </w:tc>
        <w:tc>
          <w:tcPr>
            <w:tcW w:w="2126" w:type="dxa"/>
            <w:noWrap/>
            <w:vAlign w:val="center"/>
            <w:hideMark/>
          </w:tcPr>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FIJO</w:t>
            </w:r>
          </w:p>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MÓVIL</w:t>
            </w:r>
          </w:p>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RADIODIFUSIÓN</w:t>
            </w:r>
          </w:p>
          <w:p w:rsidR="004A714B" w:rsidRPr="00F67508" w:rsidRDefault="004A714B" w:rsidP="004A714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Radiolocalización</w:t>
            </w:r>
          </w:p>
        </w:tc>
        <w:tc>
          <w:tcPr>
            <w:tcW w:w="2126" w:type="dxa"/>
            <w:noWrap/>
            <w:vAlign w:val="center"/>
            <w:hideMark/>
          </w:tcPr>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FIJO</w:t>
            </w:r>
          </w:p>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MÓVIL</w:t>
            </w:r>
          </w:p>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RADIODIFUSIÓN</w:t>
            </w:r>
          </w:p>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Radiolocalización</w:t>
            </w:r>
          </w:p>
        </w:tc>
      </w:tr>
    </w:tbl>
    <w:p w:rsidR="004A714B" w:rsidRPr="00F67508" w:rsidRDefault="004A714B" w:rsidP="004A714B">
      <w:pPr>
        <w:contextualSpacing/>
        <w:jc w:val="both"/>
        <w:rPr>
          <w:rFonts w:ascii="ITC Avant Garde" w:hAnsi="ITC Avant Garde"/>
          <w:b/>
          <w:color w:val="000000" w:themeColor="text1"/>
        </w:rPr>
      </w:pP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Notas aplicables RR UIT.</w:t>
      </w:r>
    </w:p>
    <w:p w:rsidR="004A714B" w:rsidRPr="00F67508" w:rsidRDefault="004A714B" w:rsidP="004A714B">
      <w:pPr>
        <w:pStyle w:val="Texto"/>
        <w:spacing w:after="0" w:line="240" w:lineRule="auto"/>
        <w:ind w:left="1134" w:right="1183" w:firstLine="0"/>
        <w:contextualSpacing/>
        <w:rPr>
          <w:rFonts w:ascii="ITC Avant Garde" w:hAnsi="ITC Avant Garde" w:cstheme="minorHAnsi"/>
          <w:i/>
          <w:color w:val="000000" w:themeColor="text1"/>
          <w:szCs w:val="22"/>
        </w:rPr>
      </w:pPr>
      <w:r w:rsidRPr="00F67508">
        <w:rPr>
          <w:rFonts w:ascii="ITC Avant Garde" w:hAnsi="ITC Avant Garde" w:cstheme="minorHAnsi"/>
          <w:b/>
          <w:i/>
          <w:color w:val="000000" w:themeColor="text1"/>
          <w:szCs w:val="22"/>
        </w:rPr>
        <w:t xml:space="preserve">5.89 </w:t>
      </w:r>
      <w:r w:rsidRPr="00F67508">
        <w:rPr>
          <w:rFonts w:ascii="ITC Avant Garde" w:hAnsi="ITC Avant Garde" w:cstheme="minorHAnsi"/>
          <w:i/>
          <w:color w:val="000000" w:themeColor="text1"/>
          <w:szCs w:val="22"/>
        </w:rPr>
        <w:t>En la Región 2, la utilización de la banda 1 605-1 705 kHz por las estaciones del servicio de radiodifusión está sujeta al Plan establecido por la Conferencia Administrativa Regional de Radiocomunicaciones (Río de Janeiro, 1988).</w:t>
      </w:r>
    </w:p>
    <w:p w:rsidR="00F7521A" w:rsidRDefault="004A714B" w:rsidP="004A714B">
      <w:pPr>
        <w:pStyle w:val="Texto"/>
        <w:spacing w:after="0" w:line="240" w:lineRule="auto"/>
        <w:ind w:left="1134" w:right="1183" w:firstLine="0"/>
        <w:contextualSpacing/>
        <w:rPr>
          <w:rFonts w:ascii="ITC Avant Garde" w:hAnsi="ITC Avant Garde" w:cstheme="minorHAnsi"/>
          <w:i/>
          <w:color w:val="000000" w:themeColor="text1"/>
          <w:szCs w:val="22"/>
        </w:rPr>
      </w:pPr>
      <w:r w:rsidRPr="00F67508">
        <w:rPr>
          <w:rFonts w:ascii="ITC Avant Garde" w:hAnsi="ITC Avant Garde" w:cstheme="minorHAnsi"/>
          <w:i/>
          <w:color w:val="000000" w:themeColor="text1"/>
          <w:szCs w:val="22"/>
        </w:rPr>
        <w:t>El examen de las asignaciones de frecuencia a estaciones de los servicios fijo y móvil en la banda 1 625-1 705 kHz, tendrá en cuenta las adjudicaciones que aparecen en el Plan establecido por la Conferencia Administrativa Regional de Radiocomunicaciones (Río de Janeiro, 1988).</w:t>
      </w:r>
    </w:p>
    <w:p w:rsidR="00F7521A" w:rsidRDefault="004A714B" w:rsidP="004A714B">
      <w:pPr>
        <w:pStyle w:val="Texto"/>
        <w:spacing w:after="0" w:line="240" w:lineRule="auto"/>
        <w:ind w:left="1134" w:right="1183" w:firstLine="0"/>
        <w:contextualSpacing/>
        <w:rPr>
          <w:rFonts w:ascii="ITC Avant Garde" w:hAnsi="ITC Avant Garde" w:cstheme="minorHAnsi"/>
          <w:i/>
          <w:color w:val="000000" w:themeColor="text1"/>
          <w:szCs w:val="22"/>
        </w:rPr>
      </w:pPr>
      <w:r w:rsidRPr="00F67508">
        <w:rPr>
          <w:rFonts w:ascii="ITC Avant Garde" w:hAnsi="ITC Avant Garde" w:cstheme="minorHAnsi"/>
          <w:b/>
          <w:i/>
          <w:color w:val="000000" w:themeColor="text1"/>
          <w:szCs w:val="22"/>
        </w:rPr>
        <w:t>5.90</w:t>
      </w:r>
      <w:r w:rsidRPr="00F67508">
        <w:rPr>
          <w:rFonts w:ascii="ITC Avant Garde" w:hAnsi="ITC Avant Garde" w:cstheme="minorHAnsi"/>
          <w:i/>
          <w:color w:val="000000" w:themeColor="text1"/>
          <w:szCs w:val="22"/>
        </w:rPr>
        <w:t xml:space="preserve"> En la banda 1 605-1 705 kHz, cuando una estación del servicio de radiodifusión de la Región 2 resulte afectada, la zona de servicio de las estaciones del servicio móvil marítimo en la Región 1 se limitará a la determinada por la propagación de la onda de superficie.</w:t>
      </w: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Notas Nacionales.</w:t>
      </w:r>
    </w:p>
    <w:p w:rsidR="00F7521A" w:rsidRDefault="004A714B" w:rsidP="004A714B">
      <w:pPr>
        <w:pStyle w:val="Texto"/>
        <w:spacing w:after="0" w:line="240" w:lineRule="auto"/>
        <w:ind w:left="1134" w:right="1275" w:firstLine="0"/>
        <w:rPr>
          <w:rFonts w:ascii="ITC Avant Garde" w:hAnsi="ITC Avant Garde"/>
          <w:i/>
          <w:szCs w:val="16"/>
          <w:lang w:val="es-MX"/>
        </w:rPr>
      </w:pPr>
      <w:r w:rsidRPr="00F67508">
        <w:rPr>
          <w:rFonts w:ascii="ITC Avant Garde" w:hAnsi="ITC Avant Garde"/>
          <w:b/>
          <w:i/>
          <w:szCs w:val="16"/>
          <w:lang w:val="es-MX"/>
        </w:rPr>
        <w:t>MX20</w:t>
      </w:r>
      <w:r w:rsidRPr="00F67508">
        <w:rPr>
          <w:rFonts w:ascii="ITC Avant Garde" w:hAnsi="ITC Avant Garde"/>
          <w:i/>
          <w:szCs w:val="16"/>
          <w:lang w:val="es-MX"/>
        </w:rPr>
        <w:t xml:space="preserve"> La banda de frecuencias 535 – 1605 kHz se emplea para la provisión del servicio de radiodifusión sonora en AM.</w:t>
      </w:r>
    </w:p>
    <w:p w:rsidR="00F7521A" w:rsidRDefault="004A714B" w:rsidP="004A714B">
      <w:pPr>
        <w:pStyle w:val="Texto"/>
        <w:spacing w:after="0" w:line="240" w:lineRule="auto"/>
        <w:ind w:left="1134" w:right="1275" w:firstLine="0"/>
        <w:rPr>
          <w:rFonts w:ascii="ITC Avant Garde" w:hAnsi="ITC Avant Garde"/>
          <w:b/>
          <w:i/>
          <w:lang w:val="es-MX"/>
        </w:rPr>
      </w:pPr>
      <w:r w:rsidRPr="00F67508">
        <w:rPr>
          <w:rFonts w:ascii="ITC Avant Garde" w:hAnsi="ITC Avant Garde"/>
          <w:b/>
          <w:i/>
          <w:szCs w:val="16"/>
          <w:lang w:val="es-MX"/>
        </w:rPr>
        <w:t>MX21</w:t>
      </w:r>
      <w:r w:rsidRPr="00F67508">
        <w:rPr>
          <w:rFonts w:ascii="ITC Avant Garde" w:hAnsi="ITC Avant Garde"/>
          <w:b/>
          <w:i/>
          <w:lang w:val="es-MX"/>
        </w:rPr>
        <w:t xml:space="preserve"> </w:t>
      </w:r>
      <w:r w:rsidRPr="00F67508">
        <w:rPr>
          <w:rFonts w:ascii="ITC Avant Garde" w:hAnsi="ITC Avant Garde"/>
          <w:i/>
          <w:szCs w:val="16"/>
          <w:lang w:val="es-MX"/>
        </w:rPr>
        <w:t>Las especificaciones y requerimientos mínimos para la instalación y operación de las estaciones de radiodifusión sonora en AM para la banda 535 – 1705 kHz se encuentran contenidas en la disposición técnica IFT-001-2015, publicada en el DOF el 31 de agosto de 2015.</w:t>
      </w:r>
    </w:p>
    <w:p w:rsidR="00F7521A" w:rsidRDefault="004A714B" w:rsidP="004A714B">
      <w:pPr>
        <w:pStyle w:val="Texto"/>
        <w:spacing w:after="0" w:line="240" w:lineRule="auto"/>
        <w:ind w:left="1134" w:right="1275" w:firstLine="0"/>
        <w:rPr>
          <w:rFonts w:ascii="ITC Avant Garde" w:hAnsi="ITC Avant Garde"/>
          <w:i/>
          <w:szCs w:val="16"/>
          <w:lang w:val="es-MX"/>
        </w:rPr>
      </w:pPr>
      <w:r w:rsidRPr="00F67508">
        <w:rPr>
          <w:rFonts w:ascii="ITC Avant Garde" w:hAnsi="ITC Avant Garde"/>
          <w:b/>
          <w:i/>
          <w:szCs w:val="16"/>
          <w:lang w:val="es-MX"/>
        </w:rPr>
        <w:t>MX22</w:t>
      </w:r>
      <w:r w:rsidRPr="00F67508">
        <w:rPr>
          <w:rFonts w:ascii="ITC Avant Garde" w:hAnsi="ITC Avant Garde"/>
          <w:i/>
          <w:szCs w:val="16"/>
          <w:lang w:val="es-MX"/>
        </w:rPr>
        <w:t xml:space="preserve"> El 28 de agosto de 1986 se firmó en la Ciudad de México, el Convenio entre México y los Estados Unidos de América, relativo al uso de la banda 535 – 1605 kHz por el servicio de radiodifusión en AM.</w:t>
      </w:r>
    </w:p>
    <w:p w:rsidR="00F7521A" w:rsidRDefault="004A714B" w:rsidP="004A714B">
      <w:pPr>
        <w:pStyle w:val="Texto"/>
        <w:spacing w:after="0" w:line="240" w:lineRule="auto"/>
        <w:ind w:left="1134" w:right="1275" w:firstLine="0"/>
        <w:rPr>
          <w:rFonts w:ascii="ITC Avant Garde" w:hAnsi="ITC Avant Garde"/>
          <w:i/>
          <w:szCs w:val="16"/>
          <w:lang w:val="es-MX"/>
        </w:rPr>
      </w:pPr>
      <w:r w:rsidRPr="00F67508">
        <w:rPr>
          <w:rFonts w:ascii="ITC Avant Garde" w:hAnsi="ITC Avant Garde"/>
          <w:b/>
          <w:i/>
          <w:szCs w:val="16"/>
          <w:lang w:val="es-MX"/>
        </w:rPr>
        <w:t>MX23.</w:t>
      </w:r>
      <w:r w:rsidRPr="00F67508">
        <w:rPr>
          <w:rFonts w:ascii="ITC Avant Garde" w:hAnsi="ITC Avant Garde"/>
          <w:i/>
          <w:szCs w:val="16"/>
          <w:lang w:val="es-MX"/>
        </w:rPr>
        <w:t xml:space="preserve"> La coordinación para la operación de la banda de 535 – 1605 kHz, con otros países de América exceptuando los Estados Unidos de América, se realiza con base en el Acuerdo Regional sobre el servicio de radiodifusión por ondas </w:t>
      </w:r>
      <w:proofErr w:type="spellStart"/>
      <w:r w:rsidRPr="00F67508">
        <w:rPr>
          <w:rFonts w:ascii="ITC Avant Garde" w:hAnsi="ITC Avant Garde"/>
          <w:i/>
          <w:szCs w:val="16"/>
          <w:lang w:val="es-MX"/>
        </w:rPr>
        <w:t>hectométricas</w:t>
      </w:r>
      <w:proofErr w:type="spellEnd"/>
      <w:r w:rsidRPr="00F67508">
        <w:rPr>
          <w:rFonts w:ascii="ITC Avant Garde" w:hAnsi="ITC Avant Garde"/>
          <w:i/>
          <w:szCs w:val="16"/>
          <w:lang w:val="es-MX"/>
        </w:rPr>
        <w:t xml:space="preserve"> en la Región 2, firmado en Río de Janeiro, Brasil el 19 de diciembre de 1981, mismo que entró que entró en vigor el 1 de julio de 1983 (el Acuerdo Regional de Río de Janeiro).</w:t>
      </w:r>
    </w:p>
    <w:p w:rsidR="00F7521A" w:rsidRDefault="004A714B" w:rsidP="004A714B">
      <w:pPr>
        <w:pStyle w:val="Texto"/>
        <w:spacing w:after="0" w:line="240" w:lineRule="auto"/>
        <w:ind w:left="1134" w:right="1275" w:firstLine="0"/>
        <w:rPr>
          <w:rFonts w:ascii="ITC Avant Garde" w:hAnsi="ITC Avant Garde"/>
          <w:i/>
          <w:szCs w:val="16"/>
          <w:lang w:val="es-MX"/>
        </w:rPr>
      </w:pPr>
      <w:r w:rsidRPr="00F67508">
        <w:rPr>
          <w:rFonts w:ascii="ITC Avant Garde" w:hAnsi="ITC Avant Garde"/>
          <w:b/>
          <w:i/>
          <w:szCs w:val="16"/>
          <w:lang w:val="es-MX"/>
        </w:rPr>
        <w:t>MX24.</w:t>
      </w:r>
      <w:r w:rsidRPr="00F67508">
        <w:rPr>
          <w:rFonts w:ascii="ITC Avant Garde" w:hAnsi="ITC Avant Garde"/>
          <w:i/>
          <w:szCs w:val="16"/>
          <w:lang w:val="es-MX"/>
        </w:rPr>
        <w:t xml:space="preserve"> La banda de frecuencias 1605 – 1705 kHz se encuentra destinada para la provisión del servicio de radiodifusión sonora en AM.</w:t>
      </w:r>
    </w:p>
    <w:p w:rsidR="00F7521A" w:rsidRDefault="004A714B" w:rsidP="004A714B">
      <w:pPr>
        <w:pStyle w:val="Texto"/>
        <w:spacing w:after="0" w:line="240" w:lineRule="auto"/>
        <w:ind w:left="1134" w:right="1275" w:firstLine="0"/>
        <w:rPr>
          <w:rFonts w:ascii="ITC Avant Garde" w:hAnsi="ITC Avant Garde"/>
          <w:i/>
          <w:szCs w:val="16"/>
          <w:lang w:val="es-MX"/>
        </w:rPr>
      </w:pPr>
      <w:r w:rsidRPr="00F67508">
        <w:rPr>
          <w:rFonts w:ascii="ITC Avant Garde" w:hAnsi="ITC Avant Garde"/>
          <w:b/>
          <w:i/>
          <w:szCs w:val="16"/>
          <w:lang w:val="es-MX"/>
        </w:rPr>
        <w:t>MX25.</w:t>
      </w:r>
      <w:r w:rsidRPr="00F67508">
        <w:rPr>
          <w:rFonts w:ascii="ITC Avant Garde" w:hAnsi="ITC Avant Garde"/>
          <w:i/>
          <w:szCs w:val="16"/>
          <w:lang w:val="es-MX"/>
        </w:rPr>
        <w:t xml:space="preserve"> El 11 de agosto de 1992 se firmó en Querétaro, Querétaro, el Acuerdo entre México y los Estados Unidos de América, relativo al uso de la banda de 1605 – 1705 kHz por el servicio de radiodifusión de AM. Las disposiciones del Acuerdo se aplican también para asegurar la compatibilidad entre estaciones de radiodifusión en esta banda y en el segmento de 1585 – 1605 kHz.</w:t>
      </w:r>
    </w:p>
    <w:p w:rsidR="00F7521A" w:rsidRDefault="004A714B" w:rsidP="004A714B">
      <w:pPr>
        <w:pStyle w:val="Texto"/>
        <w:spacing w:after="0" w:line="240" w:lineRule="auto"/>
        <w:ind w:left="1134" w:right="1275" w:firstLine="0"/>
        <w:rPr>
          <w:rFonts w:ascii="ITC Avant Garde" w:hAnsi="ITC Avant Garde"/>
          <w:i/>
          <w:szCs w:val="16"/>
          <w:lang w:val="es-MX"/>
        </w:rPr>
      </w:pPr>
      <w:r w:rsidRPr="00F67508">
        <w:rPr>
          <w:rFonts w:ascii="ITC Avant Garde" w:hAnsi="ITC Avant Garde"/>
          <w:b/>
          <w:i/>
          <w:szCs w:val="16"/>
          <w:lang w:val="es-MX"/>
        </w:rPr>
        <w:lastRenderedPageBreak/>
        <w:t>MX26.</w:t>
      </w:r>
      <w:r w:rsidRPr="00F67508">
        <w:rPr>
          <w:rFonts w:ascii="ITC Avant Garde" w:hAnsi="ITC Avant Garde"/>
          <w:i/>
          <w:szCs w:val="16"/>
          <w:lang w:val="es-MX"/>
        </w:rPr>
        <w:t xml:space="preserve"> La coordinación para la operación de la banda 1605 – 1705 kHz, con los países del continente americano, a excepción de los Estados Unidos de América, se efectúa con base en el Acuerdo Regional de Río de Janeiro.</w:t>
      </w:r>
    </w:p>
    <w:p w:rsidR="00F7521A" w:rsidRDefault="004A714B" w:rsidP="004A714B">
      <w:pPr>
        <w:contextualSpacing/>
        <w:jc w:val="both"/>
        <w:rPr>
          <w:rFonts w:ascii="ITC Avant Garde" w:hAnsi="ITC Avant Garde"/>
          <w:b/>
          <w:color w:val="000000" w:themeColor="text1"/>
        </w:rPr>
      </w:pPr>
      <w:r w:rsidRPr="00A5766C">
        <w:rPr>
          <w:rFonts w:ascii="ITC Avant Garde" w:hAnsi="ITC Avant Garde"/>
          <w:b/>
          <w:color w:val="000000" w:themeColor="text1"/>
        </w:rPr>
        <w:t>Disposici</w:t>
      </w:r>
      <w:r w:rsidRPr="005D4144">
        <w:rPr>
          <w:rFonts w:ascii="ITC Avant Garde" w:hAnsi="ITC Avant Garde"/>
          <w:b/>
          <w:color w:val="000000" w:themeColor="text1"/>
        </w:rPr>
        <w:t>ón Técnica:</w:t>
      </w:r>
      <w:r>
        <w:rPr>
          <w:rFonts w:ascii="ITC Avant Garde" w:hAnsi="ITC Avant Garde"/>
          <w:b/>
          <w:color w:val="000000" w:themeColor="text1"/>
        </w:rPr>
        <w:t xml:space="preserve"> </w:t>
      </w:r>
      <w:r w:rsidRPr="00A5766C">
        <w:rPr>
          <w:rFonts w:ascii="ITC Avant Garde" w:hAnsi="ITC Avant Garde"/>
          <w:color w:val="000000" w:themeColor="text1"/>
        </w:rPr>
        <w:t>IFT-001-2015: Especificaciones y requerimientos para la instalación y operación de las estaciones de radiodifusión sonora en Amplitud Modulada en la banda de 535 kHz a 1705 kHz</w:t>
      </w: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Estado Actual.</w:t>
      </w:r>
    </w:p>
    <w:p w:rsidR="00F7521A" w:rsidRDefault="004A714B" w:rsidP="004A714B">
      <w:pPr>
        <w:tabs>
          <w:tab w:val="right" w:leader="dot" w:pos="8828"/>
        </w:tabs>
        <w:contextualSpacing/>
        <w:jc w:val="both"/>
        <w:rPr>
          <w:rFonts w:ascii="ITC Avant Garde" w:eastAsia="Times New Roman" w:hAnsi="ITC Avant Garde" w:cstheme="minorHAnsi"/>
          <w:color w:val="000000" w:themeColor="text1"/>
          <w:lang w:val="es-ES" w:eastAsia="es-ES"/>
        </w:rPr>
      </w:pPr>
      <w:r w:rsidRPr="00F67508">
        <w:rPr>
          <w:rFonts w:ascii="ITC Avant Garde" w:eastAsia="Times New Roman" w:hAnsi="ITC Avant Garde" w:cstheme="minorHAnsi"/>
          <w:color w:val="000000" w:themeColor="text1"/>
          <w:lang w:val="es-ES" w:eastAsia="es-ES"/>
        </w:rPr>
        <w:t>Esta banda de frecuencias es utilizada a nivel Regional para la prestación de servicios de radiodifusión sonora de amplitud modulada, dado que se trata de un servicio de interés público.</w:t>
      </w:r>
    </w:p>
    <w:p w:rsidR="00F7521A" w:rsidRDefault="004A714B" w:rsidP="004A714B">
      <w:pPr>
        <w:contextualSpacing/>
        <w:jc w:val="both"/>
        <w:rPr>
          <w:rFonts w:ascii="ITC Avant Garde" w:hAnsi="ITC Avant Garde"/>
          <w:color w:val="000000" w:themeColor="text1"/>
        </w:rPr>
      </w:pPr>
      <w:r w:rsidRPr="00F67508">
        <w:rPr>
          <w:rFonts w:ascii="ITC Avant Garde" w:hAnsi="ITC Avant Garde"/>
          <w:color w:val="000000" w:themeColor="text1"/>
        </w:rPr>
        <w:t xml:space="preserve">En el caso de México, la ocupación de la banda de frecuencias 535 kHz a 1605 kHz ha disminuido a partir de la publicación en el Diario Oficial de la Federación del </w:t>
      </w:r>
      <w:r w:rsidRPr="00F67508">
        <w:rPr>
          <w:rFonts w:ascii="ITC Avant Garde" w:hAnsi="ITC Avant Garde"/>
          <w:i/>
          <w:color w:val="000000" w:themeColor="text1"/>
        </w:rPr>
        <w:t>“Acuerdo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r w:rsidRPr="00F67508">
        <w:rPr>
          <w:rFonts w:ascii="ITC Avant Garde" w:hAnsi="ITC Avant Garde"/>
          <w:color w:val="000000" w:themeColor="text1"/>
        </w:rPr>
        <w:t xml:space="preserve"> el 15 de septiembre de 2008.</w:t>
      </w: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Estandarización.</w:t>
      </w:r>
    </w:p>
    <w:p w:rsidR="00F7521A" w:rsidRDefault="004A714B" w:rsidP="004A714B">
      <w:pPr>
        <w:pStyle w:val="Textoindependiente"/>
      </w:pPr>
      <w:r w:rsidRPr="00F67508">
        <w:t xml:space="preserve">La </w:t>
      </w:r>
      <w:proofErr w:type="spellStart"/>
      <w:r w:rsidRPr="00F67508">
        <w:t>banda</w:t>
      </w:r>
      <w:proofErr w:type="spellEnd"/>
      <w:r w:rsidRPr="00F67508">
        <w:t xml:space="preserve"> 535 kHz a 1705 kHz </w:t>
      </w:r>
      <w:proofErr w:type="spellStart"/>
      <w:r w:rsidRPr="00F67508">
        <w:t>está</w:t>
      </w:r>
      <w:proofErr w:type="spellEnd"/>
      <w:r w:rsidRPr="00F67508">
        <w:t xml:space="preserve"> </w:t>
      </w:r>
      <w:proofErr w:type="spellStart"/>
      <w:r w:rsidRPr="00F67508">
        <w:t>atribuida</w:t>
      </w:r>
      <w:proofErr w:type="spellEnd"/>
      <w:r w:rsidRPr="00F67508">
        <w:t xml:space="preserve"> al </w:t>
      </w:r>
      <w:proofErr w:type="spellStart"/>
      <w:r w:rsidRPr="00F67508">
        <w:t>servicio</w:t>
      </w:r>
      <w:proofErr w:type="spellEnd"/>
      <w:r w:rsidRPr="00F67508">
        <w:t xml:space="preserve"> de </w:t>
      </w:r>
      <w:proofErr w:type="spellStart"/>
      <w:r w:rsidRPr="00F67508">
        <w:t>radiodifusión</w:t>
      </w:r>
      <w:proofErr w:type="spellEnd"/>
      <w:r w:rsidRPr="00F67508">
        <w:t xml:space="preserve"> </w:t>
      </w:r>
      <w:proofErr w:type="spellStart"/>
      <w:r w:rsidRPr="00F67508">
        <w:t>conforme</w:t>
      </w:r>
      <w:proofErr w:type="spellEnd"/>
      <w:r w:rsidRPr="00F67508">
        <w:t xml:space="preserve"> al </w:t>
      </w:r>
      <w:proofErr w:type="spellStart"/>
      <w:r w:rsidRPr="00F67508">
        <w:t>Artículo</w:t>
      </w:r>
      <w:proofErr w:type="spellEnd"/>
      <w:r w:rsidRPr="00F67508">
        <w:t xml:space="preserve"> 8 del </w:t>
      </w:r>
      <w:proofErr w:type="spellStart"/>
      <w:r w:rsidRPr="00F67508">
        <w:t>Reglamento</w:t>
      </w:r>
      <w:proofErr w:type="spellEnd"/>
      <w:r w:rsidRPr="00F67508">
        <w:t xml:space="preserve"> de </w:t>
      </w:r>
      <w:proofErr w:type="spellStart"/>
      <w:r w:rsidRPr="00F67508">
        <w:t>Radiocomunicaciones</w:t>
      </w:r>
      <w:proofErr w:type="spellEnd"/>
      <w:r w:rsidRPr="00F67508">
        <w:t xml:space="preserve">. </w:t>
      </w:r>
      <w:proofErr w:type="spellStart"/>
      <w:r w:rsidRPr="00F67508">
        <w:t>En</w:t>
      </w:r>
      <w:proofErr w:type="spellEnd"/>
      <w:r w:rsidRPr="00F67508">
        <w:t xml:space="preserve"> la </w:t>
      </w:r>
      <w:proofErr w:type="spellStart"/>
      <w:r w:rsidRPr="00F67508">
        <w:t>Región</w:t>
      </w:r>
      <w:proofErr w:type="spellEnd"/>
      <w:r w:rsidRPr="00F67508">
        <w:t xml:space="preserve"> 2 (</w:t>
      </w:r>
      <w:proofErr w:type="spellStart"/>
      <w:r w:rsidRPr="00F67508">
        <w:t>Américas</w:t>
      </w:r>
      <w:proofErr w:type="spellEnd"/>
      <w:r w:rsidRPr="00F67508">
        <w:t xml:space="preserve">) </w:t>
      </w:r>
      <w:proofErr w:type="spellStart"/>
      <w:r w:rsidRPr="00F67508">
        <w:t>las</w:t>
      </w:r>
      <w:proofErr w:type="spellEnd"/>
      <w:r w:rsidRPr="00F67508">
        <w:t xml:space="preserve"> </w:t>
      </w:r>
      <w:proofErr w:type="spellStart"/>
      <w:r w:rsidRPr="00F67508">
        <w:t>estaciones</w:t>
      </w:r>
      <w:proofErr w:type="spellEnd"/>
      <w:r w:rsidRPr="00F67508">
        <w:t xml:space="preserve"> de </w:t>
      </w:r>
      <w:proofErr w:type="spellStart"/>
      <w:r w:rsidRPr="00F67508">
        <w:t>Radiodifusión</w:t>
      </w:r>
      <w:proofErr w:type="spellEnd"/>
      <w:r w:rsidRPr="00F67508">
        <w:t xml:space="preserve"> AM </w:t>
      </w:r>
      <w:proofErr w:type="spellStart"/>
      <w:r w:rsidRPr="00F67508">
        <w:t>operan</w:t>
      </w:r>
      <w:proofErr w:type="spellEnd"/>
      <w:r w:rsidRPr="00F67508">
        <w:t xml:space="preserve"> </w:t>
      </w:r>
      <w:proofErr w:type="spellStart"/>
      <w:r w:rsidRPr="00F67508">
        <w:t>conforme</w:t>
      </w:r>
      <w:proofErr w:type="spellEnd"/>
      <w:r w:rsidRPr="00F67508">
        <w:t xml:space="preserve"> al </w:t>
      </w:r>
      <w:proofErr w:type="spellStart"/>
      <w:r w:rsidRPr="00F67508">
        <w:t>Acuerdo</w:t>
      </w:r>
      <w:proofErr w:type="spellEnd"/>
      <w:r w:rsidRPr="00F67508">
        <w:t xml:space="preserve"> regional </w:t>
      </w:r>
      <w:proofErr w:type="spellStart"/>
      <w:r w:rsidRPr="00F67508">
        <w:t>sobre</w:t>
      </w:r>
      <w:proofErr w:type="spellEnd"/>
      <w:r w:rsidRPr="00F67508">
        <w:t xml:space="preserve"> el </w:t>
      </w:r>
      <w:proofErr w:type="spellStart"/>
      <w:r w:rsidRPr="00F67508">
        <w:t>servicio</w:t>
      </w:r>
      <w:proofErr w:type="spellEnd"/>
      <w:r w:rsidRPr="00F67508">
        <w:t xml:space="preserve"> de </w:t>
      </w:r>
      <w:proofErr w:type="spellStart"/>
      <w:r w:rsidRPr="00F67508">
        <w:t>radiodifusión</w:t>
      </w:r>
      <w:proofErr w:type="spellEnd"/>
      <w:r w:rsidRPr="00F67508">
        <w:t xml:space="preserve"> </w:t>
      </w:r>
      <w:proofErr w:type="spellStart"/>
      <w:r w:rsidRPr="00F67508">
        <w:t>por</w:t>
      </w:r>
      <w:proofErr w:type="spellEnd"/>
      <w:r w:rsidRPr="00F67508">
        <w:t xml:space="preserve"> </w:t>
      </w:r>
      <w:proofErr w:type="spellStart"/>
      <w:r w:rsidRPr="00F67508">
        <w:t>ondas</w:t>
      </w:r>
      <w:proofErr w:type="spellEnd"/>
      <w:r w:rsidRPr="00F67508">
        <w:t xml:space="preserve"> </w:t>
      </w:r>
      <w:proofErr w:type="spellStart"/>
      <w:r w:rsidRPr="00F67508">
        <w:t>Hectométricas</w:t>
      </w:r>
      <w:proofErr w:type="spellEnd"/>
      <w:r w:rsidRPr="00F67508">
        <w:t xml:space="preserve"> (</w:t>
      </w:r>
      <w:proofErr w:type="spellStart"/>
      <w:r w:rsidRPr="00F67508">
        <w:t>Acuerdo</w:t>
      </w:r>
      <w:proofErr w:type="spellEnd"/>
      <w:r w:rsidRPr="00F67508">
        <w:t xml:space="preserve"> de Rio de Janeiro, 1981) y </w:t>
      </w:r>
      <w:proofErr w:type="spellStart"/>
      <w:r w:rsidRPr="00F67508">
        <w:t>en</w:t>
      </w:r>
      <w:proofErr w:type="spellEnd"/>
      <w:r w:rsidRPr="00F67508">
        <w:t xml:space="preserve"> la </w:t>
      </w:r>
      <w:proofErr w:type="spellStart"/>
      <w:r w:rsidRPr="00F67508">
        <w:t>banda</w:t>
      </w:r>
      <w:proofErr w:type="spellEnd"/>
      <w:r w:rsidRPr="00F67508">
        <w:t xml:space="preserve"> </w:t>
      </w:r>
      <w:proofErr w:type="spellStart"/>
      <w:r w:rsidRPr="00F67508">
        <w:t>ampliada</w:t>
      </w:r>
      <w:proofErr w:type="spellEnd"/>
      <w:r w:rsidRPr="00F67508">
        <w:t xml:space="preserve"> </w:t>
      </w:r>
      <w:proofErr w:type="spellStart"/>
      <w:r w:rsidRPr="00F67508">
        <w:t>bajo</w:t>
      </w:r>
      <w:proofErr w:type="spellEnd"/>
      <w:r w:rsidRPr="00F67508">
        <w:t xml:space="preserve"> </w:t>
      </w:r>
      <w:proofErr w:type="spellStart"/>
      <w:r w:rsidRPr="00F67508">
        <w:t>las</w:t>
      </w:r>
      <w:proofErr w:type="spellEnd"/>
      <w:r w:rsidRPr="00F67508">
        <w:t xml:space="preserve"> </w:t>
      </w:r>
      <w:proofErr w:type="spellStart"/>
      <w:r w:rsidRPr="00F67508">
        <w:t>Actas</w:t>
      </w:r>
      <w:proofErr w:type="spellEnd"/>
      <w:r w:rsidRPr="00F67508">
        <w:t xml:space="preserve"> finales de Rio de Janeiro de 1988. La </w:t>
      </w:r>
      <w:proofErr w:type="spellStart"/>
      <w:r w:rsidRPr="00F67508">
        <w:t>clase</w:t>
      </w:r>
      <w:proofErr w:type="spellEnd"/>
      <w:r w:rsidRPr="00F67508">
        <w:t xml:space="preserve"> de </w:t>
      </w:r>
      <w:proofErr w:type="spellStart"/>
      <w:r w:rsidRPr="00F67508">
        <w:t>emisión</w:t>
      </w:r>
      <w:proofErr w:type="spellEnd"/>
      <w:r w:rsidRPr="00F67508">
        <w:t xml:space="preserve"> principal </w:t>
      </w:r>
      <w:proofErr w:type="spellStart"/>
      <w:r w:rsidRPr="00F67508">
        <w:t>utilizada</w:t>
      </w:r>
      <w:proofErr w:type="spellEnd"/>
      <w:r w:rsidRPr="00F67508">
        <w:t xml:space="preserve"> </w:t>
      </w:r>
      <w:proofErr w:type="spellStart"/>
      <w:r w:rsidRPr="00F67508">
        <w:t>es</w:t>
      </w:r>
      <w:proofErr w:type="spellEnd"/>
      <w:r w:rsidRPr="00F67508">
        <w:t xml:space="preserve"> </w:t>
      </w:r>
      <w:proofErr w:type="gramStart"/>
      <w:r w:rsidRPr="00F67508">
        <w:t>del</w:t>
      </w:r>
      <w:proofErr w:type="gramEnd"/>
      <w:r w:rsidRPr="00F67508">
        <w:t xml:space="preserve"> </w:t>
      </w:r>
      <w:proofErr w:type="spellStart"/>
      <w:r w:rsidRPr="00F67508">
        <w:t>tipo</w:t>
      </w:r>
      <w:proofErr w:type="spellEnd"/>
      <w:r w:rsidRPr="00F67508">
        <w:t xml:space="preserve"> A3E.</w:t>
      </w:r>
    </w:p>
    <w:p w:rsidR="00F7521A" w:rsidRDefault="004A714B" w:rsidP="004A714B">
      <w:pPr>
        <w:contextualSpacing/>
        <w:jc w:val="both"/>
        <w:rPr>
          <w:rFonts w:ascii="ITC Avant Garde" w:hAnsi="ITC Avant Garde"/>
          <w:color w:val="000000" w:themeColor="text1"/>
        </w:rPr>
      </w:pPr>
      <w:r w:rsidRPr="00F67508">
        <w:rPr>
          <w:rFonts w:ascii="ITC Avant Garde" w:hAnsi="ITC Avant Garde"/>
          <w:color w:val="000000" w:themeColor="text1"/>
        </w:rPr>
        <w:t xml:space="preserve">En el año 2011 se publicó el </w:t>
      </w:r>
      <w:r w:rsidRPr="00F67508">
        <w:rPr>
          <w:rFonts w:ascii="ITC Avant Garde" w:hAnsi="ITC Avant Garde"/>
          <w:i/>
          <w:color w:val="000000" w:themeColor="text1"/>
        </w:rPr>
        <w:t>Acuerdo por el que se adopta el estándar para la radio digital terrestre y se establece la política para que los concesionarios y permisionarios de radiodifusión en las bandas 535-1705 kHz y 88-108 MHz, lleven a cabo la transición a la tecnología digital en forma voluntaria</w:t>
      </w:r>
      <w:r w:rsidRPr="00F67508">
        <w:rPr>
          <w:rFonts w:ascii="ITC Avant Garde" w:hAnsi="ITC Avant Garde"/>
          <w:color w:val="000000" w:themeColor="text1"/>
        </w:rPr>
        <w:t>, lo que permite a los concesionarios solicitar la autorización para realizar transmisiones digitales.</w:t>
      </w: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Economías de Escala.</w:t>
      </w:r>
    </w:p>
    <w:p w:rsidR="00F7521A" w:rsidRDefault="004A714B" w:rsidP="004A714B">
      <w:pPr>
        <w:contextualSpacing/>
        <w:jc w:val="both"/>
        <w:rPr>
          <w:rFonts w:ascii="ITC Avant Garde" w:hAnsi="ITC Avant Garde"/>
          <w:color w:val="000000" w:themeColor="text1"/>
        </w:rPr>
      </w:pPr>
      <w:r w:rsidRPr="00F67508">
        <w:rPr>
          <w:rFonts w:ascii="ITC Avant Garde" w:hAnsi="ITC Avant Garde"/>
          <w:color w:val="000000" w:themeColor="text1"/>
        </w:rPr>
        <w:t>En la actualidad existen diversos proveedores que permiten la obtención de equipos a costos razonables en esta banda de frecuencias.</w:t>
      </w: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color w:val="000000" w:themeColor="text1"/>
        </w:rPr>
        <w:t>Con la adopción de nuevas tecnologías, se prevé que el costo de equipos necesarios para operar en esta banda continúe siendo accesible para los usuarios que estén interesados en hacer uso de la misma.</w:t>
      </w:r>
    </w:p>
    <w:p w:rsidR="004A714B" w:rsidRPr="00F67508" w:rsidRDefault="004A714B" w:rsidP="004A714B">
      <w:pPr>
        <w:rPr>
          <w:rFonts w:ascii="ITC Avant Garde" w:hAnsi="ITC Avant Garde" w:cs="Arial Unicode MS"/>
          <w:b/>
          <w:bCs/>
          <w:color w:val="000000" w:themeColor="text1"/>
          <w:u w:color="000000"/>
          <w:lang w:val="es-ES_tradnl"/>
        </w:rPr>
      </w:pPr>
      <w:r w:rsidRPr="00F67508">
        <w:rPr>
          <w:rFonts w:ascii="ITC Avant Garde" w:hAnsi="ITC Avant Garde"/>
        </w:rPr>
        <w:br w:type="page"/>
      </w:r>
    </w:p>
    <w:p w:rsidR="00F7521A" w:rsidRPr="007062E9" w:rsidRDefault="004A714B" w:rsidP="007062E9">
      <w:pPr>
        <w:pStyle w:val="Ttulo4"/>
        <w:keepNext/>
        <w:keepLines/>
        <w:pBdr>
          <w:top w:val="none" w:sz="0" w:space="0" w:color="auto"/>
          <w:left w:val="none" w:sz="0" w:space="0" w:color="auto"/>
          <w:bottom w:val="none" w:sz="0" w:space="0" w:color="auto"/>
          <w:right w:val="none" w:sz="0" w:space="0" w:color="auto"/>
          <w:between w:val="none" w:sz="0" w:space="0" w:color="auto"/>
        </w:pBdr>
        <w:spacing w:before="40"/>
        <w:ind w:left="0" w:firstLine="0"/>
        <w:jc w:val="center"/>
        <w:rPr>
          <w:rFonts w:ascii="ITC Avant Garde" w:eastAsiaTheme="majorEastAsia" w:hAnsi="ITC Avant Garde" w:cs="Times New Roman"/>
          <w:iCs/>
          <w:color w:val="000000" w:themeColor="text1"/>
          <w:sz w:val="20"/>
          <w:lang w:val="es-MX" w:eastAsia="es-ES"/>
        </w:rPr>
      </w:pPr>
      <w:bookmarkStart w:id="6" w:name="_Toc462678508"/>
      <w:r w:rsidRPr="007062E9">
        <w:rPr>
          <w:rFonts w:ascii="ITC Avant Garde" w:eastAsiaTheme="majorEastAsia" w:hAnsi="ITC Avant Garde" w:cs="Times New Roman"/>
          <w:iCs/>
          <w:color w:val="000000" w:themeColor="text1"/>
          <w:sz w:val="20"/>
          <w:lang w:val="es-MX" w:eastAsia="es-ES"/>
        </w:rPr>
        <w:lastRenderedPageBreak/>
        <w:t>BANDA DE FRECUENCIAS 88-108 MHz (FM)</w:t>
      </w:r>
      <w:bookmarkEnd w:id="6"/>
    </w:p>
    <w:p w:rsidR="004A714B" w:rsidRPr="00F67508"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Atribución.</w:t>
      </w:r>
    </w:p>
    <w:p w:rsidR="004A714B" w:rsidRPr="00F67508" w:rsidRDefault="004A714B" w:rsidP="004A714B">
      <w:pPr>
        <w:contextualSpacing/>
        <w:jc w:val="both"/>
        <w:rPr>
          <w:rFonts w:ascii="ITC Avant Garde" w:hAnsi="ITC Avant Garde"/>
          <w:b/>
          <w:color w:val="000000" w:themeColor="text1"/>
        </w:rPr>
      </w:pPr>
    </w:p>
    <w:tbl>
      <w:tblPr>
        <w:tblStyle w:val="Tabladelista3-nfasis21"/>
        <w:tblW w:w="6520" w:type="dxa"/>
        <w:jc w:val="center"/>
        <w:tblLayout w:type="fixed"/>
        <w:tblLook w:val="04A0" w:firstRow="1" w:lastRow="0" w:firstColumn="1" w:lastColumn="0" w:noHBand="0" w:noVBand="1"/>
        <w:tblCaption w:val="BANDA DE FRECUANCIAS 88-108 MHZ"/>
        <w:tblDescription w:val="ATRIBUCION BANDA DE FRECUENCIA, ATRIBUCION RR Y ATIBUCION CNAF"/>
      </w:tblPr>
      <w:tblGrid>
        <w:gridCol w:w="2268"/>
        <w:gridCol w:w="2126"/>
        <w:gridCol w:w="2126"/>
      </w:tblGrid>
      <w:tr w:rsidR="004A714B" w:rsidRPr="00F67508" w:rsidTr="004A714B">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100" w:firstRow="0" w:lastRow="0" w:firstColumn="1" w:lastColumn="0" w:oddVBand="0" w:evenVBand="0" w:oddHBand="0" w:evenHBand="0" w:firstRowFirstColumn="1" w:firstRowLastColumn="0" w:lastRowFirstColumn="0" w:lastRowLastColumn="0"/>
            <w:tcW w:w="2268" w:type="dxa"/>
            <w:noWrap/>
            <w:vAlign w:val="center"/>
            <w:hideMark/>
          </w:tcPr>
          <w:p w:rsidR="004A714B" w:rsidRPr="00F67508" w:rsidRDefault="004A714B" w:rsidP="004A714B">
            <w:pPr>
              <w:jc w:val="center"/>
              <w:rPr>
                <w:rFonts w:ascii="ITC Avant Garde" w:eastAsia="Times New Roman" w:hAnsi="ITC Avant Garde"/>
                <w:color w:val="000000"/>
                <w:sz w:val="16"/>
                <w:szCs w:val="16"/>
                <w:lang w:eastAsia="es-MX"/>
              </w:rPr>
            </w:pPr>
            <w:r w:rsidRPr="00F67508">
              <w:rPr>
                <w:rFonts w:ascii="ITC Avant Garde" w:hAnsi="ITC Avant Garde" w:cstheme="minorHAnsi"/>
                <w:color w:val="000000" w:themeColor="text1"/>
                <w:sz w:val="16"/>
                <w:szCs w:val="16"/>
              </w:rPr>
              <w:t>Banda de Frecuencias (MHz)</w:t>
            </w:r>
          </w:p>
        </w:tc>
        <w:tc>
          <w:tcPr>
            <w:tcW w:w="2126" w:type="dxa"/>
            <w:noWrap/>
            <w:vAlign w:val="center"/>
            <w:hideMark/>
          </w:tcPr>
          <w:p w:rsidR="004A714B" w:rsidRPr="00F67508" w:rsidRDefault="004A714B" w:rsidP="004A714B">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F67508">
              <w:rPr>
                <w:rFonts w:ascii="ITC Avant Garde" w:hAnsi="ITC Avant Garde" w:cstheme="minorHAnsi"/>
                <w:color w:val="000000" w:themeColor="text1"/>
                <w:sz w:val="16"/>
                <w:szCs w:val="16"/>
              </w:rPr>
              <w:t>Atribución RR</w:t>
            </w:r>
          </w:p>
        </w:tc>
        <w:tc>
          <w:tcPr>
            <w:tcW w:w="2126" w:type="dxa"/>
            <w:noWrap/>
            <w:vAlign w:val="center"/>
            <w:hideMark/>
          </w:tcPr>
          <w:p w:rsidR="004A714B" w:rsidRPr="00F67508" w:rsidRDefault="004A714B" w:rsidP="004A714B">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F67508">
              <w:rPr>
                <w:rFonts w:ascii="ITC Avant Garde" w:hAnsi="ITC Avant Garde" w:cstheme="minorHAnsi"/>
                <w:color w:val="000000" w:themeColor="text1"/>
                <w:sz w:val="16"/>
                <w:szCs w:val="16"/>
              </w:rPr>
              <w:t>Atribución CNAF</w:t>
            </w:r>
          </w:p>
        </w:tc>
      </w:tr>
      <w:tr w:rsidR="004A714B" w:rsidRPr="00F67508" w:rsidTr="004A71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rsidR="004A714B" w:rsidRPr="00F67508" w:rsidRDefault="004A714B" w:rsidP="004A714B">
            <w:pPr>
              <w:jc w:val="center"/>
              <w:rPr>
                <w:rFonts w:ascii="ITC Avant Garde" w:eastAsia="Times New Roman" w:hAnsi="ITC Avant Garde"/>
                <w:color w:val="000000"/>
                <w:sz w:val="16"/>
                <w:szCs w:val="16"/>
                <w:lang w:eastAsia="es-MX"/>
              </w:rPr>
            </w:pPr>
            <w:r w:rsidRPr="00F67508">
              <w:rPr>
                <w:rFonts w:ascii="ITC Avant Garde" w:hAnsi="ITC Avant Garde" w:cstheme="minorHAnsi"/>
                <w:color w:val="000000" w:themeColor="text1"/>
                <w:sz w:val="16"/>
                <w:szCs w:val="16"/>
              </w:rPr>
              <w:t>88-100</w:t>
            </w:r>
          </w:p>
        </w:tc>
        <w:tc>
          <w:tcPr>
            <w:tcW w:w="2126" w:type="dxa"/>
            <w:noWrap/>
            <w:vAlign w:val="center"/>
            <w:hideMark/>
          </w:tcPr>
          <w:p w:rsidR="004A714B" w:rsidRPr="00F67508" w:rsidRDefault="004A714B" w:rsidP="004A714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F67508">
              <w:rPr>
                <w:rFonts w:ascii="ITC Avant Garde" w:hAnsi="ITC Avant Garde" w:cstheme="minorHAnsi"/>
                <w:color w:val="000000" w:themeColor="text1"/>
                <w:sz w:val="16"/>
                <w:szCs w:val="16"/>
              </w:rPr>
              <w:t>RADIODIFUSIÓN</w:t>
            </w:r>
          </w:p>
        </w:tc>
        <w:tc>
          <w:tcPr>
            <w:tcW w:w="2126" w:type="dxa"/>
            <w:vMerge w:val="restart"/>
            <w:noWrap/>
            <w:vAlign w:val="center"/>
            <w:hideMark/>
          </w:tcPr>
          <w:p w:rsidR="004A714B" w:rsidRPr="00F67508" w:rsidRDefault="004A714B" w:rsidP="004A714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16"/>
                <w:lang w:eastAsia="es-MX"/>
              </w:rPr>
            </w:pPr>
            <w:r w:rsidRPr="00F67508">
              <w:rPr>
                <w:rFonts w:ascii="ITC Avant Garde" w:hAnsi="ITC Avant Garde" w:cstheme="minorHAnsi"/>
                <w:color w:val="000000" w:themeColor="text1"/>
                <w:sz w:val="16"/>
                <w:szCs w:val="16"/>
              </w:rPr>
              <w:t>RADIODIFUSIÓN</w:t>
            </w:r>
          </w:p>
        </w:tc>
      </w:tr>
      <w:tr w:rsidR="004A714B" w:rsidRPr="00F67508" w:rsidTr="004A714B">
        <w:trPr>
          <w:trHeight w:val="300"/>
          <w:jc w:val="center"/>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rsidR="004A714B" w:rsidRPr="00F67508" w:rsidRDefault="004A714B" w:rsidP="004A714B">
            <w:pPr>
              <w:jc w:val="center"/>
              <w:rPr>
                <w:rFonts w:ascii="ITC Avant Garde" w:eastAsia="Times New Roman" w:hAnsi="ITC Avant Garde"/>
                <w:color w:val="000000"/>
                <w:sz w:val="16"/>
                <w:szCs w:val="16"/>
                <w:lang w:eastAsia="es-MX"/>
              </w:rPr>
            </w:pPr>
            <w:r w:rsidRPr="00F67508">
              <w:rPr>
                <w:rFonts w:ascii="ITC Avant Garde" w:hAnsi="ITC Avant Garde" w:cstheme="minorHAnsi"/>
                <w:color w:val="000000" w:themeColor="text1"/>
                <w:sz w:val="16"/>
                <w:szCs w:val="16"/>
              </w:rPr>
              <w:t>100-108</w:t>
            </w:r>
          </w:p>
        </w:tc>
        <w:tc>
          <w:tcPr>
            <w:tcW w:w="2126" w:type="dxa"/>
            <w:noWrap/>
            <w:vAlign w:val="center"/>
            <w:hideMark/>
          </w:tcPr>
          <w:p w:rsidR="004A714B" w:rsidRPr="00F67508" w:rsidRDefault="004A714B" w:rsidP="004A714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r w:rsidRPr="00F67508">
              <w:rPr>
                <w:rFonts w:ascii="ITC Avant Garde" w:hAnsi="ITC Avant Garde" w:cstheme="minorHAnsi"/>
                <w:color w:val="000000" w:themeColor="text1"/>
                <w:sz w:val="16"/>
                <w:szCs w:val="16"/>
              </w:rPr>
              <w:t>RADIODIFUSIÓN</w:t>
            </w:r>
          </w:p>
        </w:tc>
        <w:tc>
          <w:tcPr>
            <w:tcW w:w="2126" w:type="dxa"/>
            <w:vMerge/>
            <w:noWrap/>
            <w:vAlign w:val="center"/>
            <w:hideMark/>
          </w:tcPr>
          <w:p w:rsidR="004A714B" w:rsidRPr="00F67508" w:rsidRDefault="004A714B" w:rsidP="004A714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16"/>
                <w:lang w:eastAsia="es-MX"/>
              </w:rPr>
            </w:pPr>
          </w:p>
        </w:tc>
      </w:tr>
    </w:tbl>
    <w:p w:rsidR="004A714B" w:rsidRPr="00F67508" w:rsidRDefault="004A714B" w:rsidP="004A714B">
      <w:pPr>
        <w:contextualSpacing/>
        <w:jc w:val="both"/>
        <w:rPr>
          <w:rFonts w:ascii="ITC Avant Garde" w:hAnsi="ITC Avant Garde"/>
          <w:b/>
          <w:color w:val="000000" w:themeColor="text1"/>
        </w:rPr>
      </w:pP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Notas aplicables RR UIT.</w:t>
      </w:r>
    </w:p>
    <w:p w:rsidR="00F7521A" w:rsidRDefault="004A714B" w:rsidP="004A714B">
      <w:pPr>
        <w:pStyle w:val="Texto"/>
        <w:spacing w:after="0" w:line="240" w:lineRule="auto"/>
        <w:ind w:left="1134" w:right="1275" w:firstLine="0"/>
        <w:rPr>
          <w:rFonts w:ascii="ITC Avant Garde" w:hAnsi="ITC Avant Garde"/>
          <w:szCs w:val="16"/>
          <w:lang w:val="es-MX"/>
        </w:rPr>
      </w:pPr>
      <w:r w:rsidRPr="00F67508">
        <w:rPr>
          <w:rFonts w:ascii="ITC Avant Garde" w:hAnsi="ITC Avant Garde"/>
          <w:szCs w:val="16"/>
          <w:lang w:val="es-MX"/>
        </w:rPr>
        <w:t>Sin notas relevantes.</w:t>
      </w: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Notas Nacionales.</w:t>
      </w:r>
    </w:p>
    <w:p w:rsidR="00F7521A" w:rsidRDefault="004A714B" w:rsidP="004A714B">
      <w:pPr>
        <w:pStyle w:val="Texto"/>
        <w:spacing w:after="0" w:line="240" w:lineRule="auto"/>
        <w:ind w:left="1134" w:right="1275" w:firstLine="0"/>
        <w:rPr>
          <w:rFonts w:ascii="ITC Avant Garde" w:hAnsi="ITC Avant Garde"/>
          <w:i/>
          <w:szCs w:val="16"/>
          <w:lang w:val="es-MX"/>
        </w:rPr>
      </w:pPr>
      <w:r w:rsidRPr="00F67508">
        <w:rPr>
          <w:rFonts w:ascii="ITC Avant Garde" w:hAnsi="ITC Avant Garde"/>
          <w:b/>
          <w:i/>
          <w:szCs w:val="16"/>
          <w:lang w:val="es-MX"/>
        </w:rPr>
        <w:t>MX96.</w:t>
      </w:r>
      <w:r w:rsidRPr="00F67508">
        <w:rPr>
          <w:rFonts w:ascii="ITC Avant Garde" w:hAnsi="ITC Avant Garde"/>
          <w:i/>
          <w:szCs w:val="16"/>
          <w:lang w:val="es-MX"/>
        </w:rPr>
        <w:t xml:space="preserve"> La banda de frecuencias 88 – 108 MHz se emplea para la provisión del servicio de radiodifusión sonora en FM.</w:t>
      </w:r>
    </w:p>
    <w:p w:rsidR="00F7521A" w:rsidRDefault="004A714B" w:rsidP="004A714B">
      <w:pPr>
        <w:pStyle w:val="Texto"/>
        <w:spacing w:after="0" w:line="240" w:lineRule="auto"/>
        <w:ind w:left="1134" w:right="1275" w:firstLine="0"/>
        <w:rPr>
          <w:rFonts w:ascii="ITC Avant Garde" w:hAnsi="ITC Avant Garde"/>
          <w:i/>
          <w:szCs w:val="16"/>
          <w:lang w:val="es-MX"/>
        </w:rPr>
      </w:pPr>
      <w:r w:rsidRPr="00F67508">
        <w:rPr>
          <w:rFonts w:ascii="ITC Avant Garde" w:hAnsi="ITC Avant Garde"/>
          <w:b/>
          <w:i/>
          <w:szCs w:val="16"/>
          <w:lang w:val="es-MX"/>
        </w:rPr>
        <w:t>MX97</w:t>
      </w:r>
      <w:r w:rsidRPr="00F67508">
        <w:rPr>
          <w:rFonts w:ascii="ITC Avant Garde" w:hAnsi="ITC Avant Garde"/>
          <w:i/>
          <w:szCs w:val="16"/>
          <w:lang w:val="es-MX"/>
        </w:rPr>
        <w:t>. El 11 de agosto de 1992 se firmó en Querétaro, Querétaro, el Acuerdo entre México y los Estados Unidos de América, relativo al uso de la banda de 88 – 108 MHz por el servicio de radiodifusión sonora en FM.</w:t>
      </w:r>
    </w:p>
    <w:p w:rsidR="00F7521A" w:rsidRDefault="004A714B" w:rsidP="004A714B">
      <w:pPr>
        <w:pStyle w:val="Texto"/>
        <w:spacing w:after="0" w:line="240" w:lineRule="auto"/>
        <w:ind w:left="1134" w:right="1275" w:firstLine="0"/>
        <w:rPr>
          <w:rFonts w:ascii="ITC Avant Garde" w:hAnsi="ITC Avant Garde"/>
          <w:i/>
          <w:szCs w:val="16"/>
          <w:lang w:val="es-MX"/>
        </w:rPr>
      </w:pPr>
      <w:r w:rsidRPr="00F67508">
        <w:rPr>
          <w:rFonts w:ascii="ITC Avant Garde" w:hAnsi="ITC Avant Garde"/>
          <w:b/>
          <w:i/>
          <w:szCs w:val="16"/>
          <w:lang w:val="es-MX"/>
        </w:rPr>
        <w:t>MX98</w:t>
      </w:r>
      <w:r w:rsidRPr="00F67508">
        <w:rPr>
          <w:rFonts w:ascii="ITC Avant Garde" w:hAnsi="ITC Avant Garde"/>
          <w:i/>
          <w:szCs w:val="16"/>
          <w:lang w:val="es-MX"/>
        </w:rPr>
        <w:t xml:space="preserve"> Las especificaciones y requerimientos mínimos para la instalación y operación de las estaciones de radiodifusión sonora en FM, se encuentran contenidas en la disposición técnica IFT- 002-2014, modificada y publicada en el DOF el 31 de agosto de 2015.</w:t>
      </w:r>
    </w:p>
    <w:p w:rsidR="00F7521A" w:rsidRDefault="004A714B" w:rsidP="004A714B">
      <w:pPr>
        <w:contextualSpacing/>
        <w:jc w:val="both"/>
        <w:rPr>
          <w:rFonts w:ascii="ITC Avant Garde" w:hAnsi="ITC Avant Garde"/>
          <w:color w:val="000000" w:themeColor="text1"/>
        </w:rPr>
      </w:pPr>
      <w:r w:rsidRPr="003A6219">
        <w:rPr>
          <w:rFonts w:ascii="ITC Avant Garde" w:hAnsi="ITC Avant Garde"/>
          <w:b/>
          <w:color w:val="000000" w:themeColor="text1"/>
        </w:rPr>
        <w:t>Disposición Técnica:</w:t>
      </w:r>
      <w:r>
        <w:rPr>
          <w:rFonts w:ascii="ITC Avant Garde" w:hAnsi="ITC Avant Garde"/>
          <w:b/>
          <w:color w:val="000000" w:themeColor="text1"/>
        </w:rPr>
        <w:t xml:space="preserve"> </w:t>
      </w:r>
      <w:r w:rsidRPr="00A5766C">
        <w:rPr>
          <w:rFonts w:ascii="ITC Avant Garde" w:hAnsi="ITC Avant Garde"/>
          <w:color w:val="000000" w:themeColor="text1"/>
        </w:rPr>
        <w:t>IFT-002-2016: Especificaciones y requerimientos para la instalación y operación de las estaciones de radiodifusión sonora en frecuencia modulada en la banda de 88 MHz a 108 MHz</w:t>
      </w:r>
      <w:r>
        <w:rPr>
          <w:rFonts w:ascii="ITC Avant Garde" w:hAnsi="ITC Avant Garde"/>
          <w:color w:val="000000" w:themeColor="text1"/>
        </w:rPr>
        <w:t>.</w:t>
      </w: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Estado Actual.</w:t>
      </w:r>
    </w:p>
    <w:p w:rsidR="00F7521A" w:rsidRDefault="004A714B" w:rsidP="004A714B">
      <w:pPr>
        <w:tabs>
          <w:tab w:val="right" w:leader="dot" w:pos="8828"/>
        </w:tabs>
        <w:contextualSpacing/>
        <w:jc w:val="both"/>
        <w:rPr>
          <w:rFonts w:ascii="ITC Avant Garde" w:eastAsia="Times New Roman" w:hAnsi="ITC Avant Garde" w:cstheme="minorHAnsi"/>
          <w:color w:val="000000" w:themeColor="text1"/>
          <w:lang w:val="es-ES" w:eastAsia="es-ES"/>
        </w:rPr>
      </w:pPr>
      <w:r w:rsidRPr="00F67508">
        <w:rPr>
          <w:rFonts w:ascii="ITC Avant Garde" w:eastAsia="Times New Roman" w:hAnsi="ITC Avant Garde" w:cstheme="minorHAnsi"/>
          <w:color w:val="000000" w:themeColor="text1"/>
          <w:lang w:val="es-ES" w:eastAsia="es-ES"/>
        </w:rPr>
        <w:t>Esta banda de frecuencias es ampliamente utilizada a nivel Regional para la prestación de servicios de radiodifusión sonora de frecuencia modulada, dado que se trata de un servicio de interés público.</w:t>
      </w:r>
    </w:p>
    <w:p w:rsidR="00F7521A" w:rsidRDefault="004A714B" w:rsidP="004A714B">
      <w:pPr>
        <w:contextualSpacing/>
        <w:jc w:val="both"/>
        <w:rPr>
          <w:rFonts w:ascii="ITC Avant Garde" w:hAnsi="ITC Avant Garde"/>
          <w:color w:val="000000" w:themeColor="text1"/>
        </w:rPr>
      </w:pPr>
      <w:r w:rsidRPr="00F67508">
        <w:rPr>
          <w:rFonts w:ascii="ITC Avant Garde" w:hAnsi="ITC Avant Garde"/>
          <w:color w:val="000000" w:themeColor="text1"/>
        </w:rPr>
        <w:t xml:space="preserve">En el caso de México, la ocupación de la banda de frecuencias 88 MHz a 108 MHz aumentó a partir de la publicación en el Diario Oficial de la Federación del </w:t>
      </w:r>
      <w:r w:rsidRPr="00F67508">
        <w:rPr>
          <w:rFonts w:ascii="ITC Avant Garde" w:hAnsi="ITC Avant Garde"/>
          <w:i/>
          <w:color w:val="000000" w:themeColor="text1"/>
        </w:rPr>
        <w:t>“Acuerdo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r w:rsidRPr="00F67508">
        <w:rPr>
          <w:rFonts w:ascii="ITC Avant Garde" w:hAnsi="ITC Avant Garde"/>
          <w:color w:val="000000" w:themeColor="text1"/>
        </w:rPr>
        <w:t xml:space="preserve"> el 15 de septiembre de 2008.</w:t>
      </w: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Estandarización.</w:t>
      </w:r>
    </w:p>
    <w:p w:rsidR="00F7521A" w:rsidRDefault="004A714B" w:rsidP="004A714B">
      <w:pPr>
        <w:contextualSpacing/>
        <w:jc w:val="both"/>
        <w:rPr>
          <w:rFonts w:ascii="ITC Avant Garde" w:hAnsi="ITC Avant Garde"/>
          <w:color w:val="000000" w:themeColor="text1"/>
        </w:rPr>
      </w:pPr>
      <w:r w:rsidRPr="00F67508">
        <w:rPr>
          <w:rFonts w:ascii="ITC Avant Garde" w:hAnsi="ITC Avant Garde"/>
          <w:color w:val="000000" w:themeColor="text1"/>
        </w:rPr>
        <w:t>La clase de emisión principal utilizada es del tipo F3. Utiliza una modulación en frecuencia.</w:t>
      </w:r>
    </w:p>
    <w:p w:rsidR="00F7521A" w:rsidRDefault="004A714B" w:rsidP="004A714B">
      <w:pPr>
        <w:contextualSpacing/>
        <w:jc w:val="both"/>
        <w:rPr>
          <w:rFonts w:ascii="ITC Avant Garde" w:hAnsi="ITC Avant Garde"/>
          <w:color w:val="000000" w:themeColor="text1"/>
        </w:rPr>
      </w:pPr>
      <w:r w:rsidRPr="00F67508">
        <w:rPr>
          <w:rFonts w:ascii="ITC Avant Garde" w:hAnsi="ITC Avant Garde"/>
          <w:color w:val="000000" w:themeColor="text1"/>
        </w:rPr>
        <w:t xml:space="preserve">En cuanto a la Tecnología digital, en sesión ordinaria del 18 de mayo de 2011, la extinta Comisión emitió el </w:t>
      </w:r>
      <w:r w:rsidRPr="00F67508">
        <w:rPr>
          <w:rFonts w:ascii="ITC Avant Garde" w:hAnsi="ITC Avant Garde"/>
          <w:i/>
          <w:color w:val="000000" w:themeColor="text1"/>
        </w:rPr>
        <w:t>“Acuerdo por el que se adopta el estándar para la radio digital terrestre y se establece la política para que los concesionarios y permisionarios de radiodifusión en las bandas 535-1705 kHz y 88-108 MHz lleve a cabo la transición a la Tecnología Digital en forma voluntaria”</w:t>
      </w:r>
      <w:r w:rsidRPr="00F67508">
        <w:rPr>
          <w:rFonts w:ascii="ITC Avant Garde" w:hAnsi="ITC Avant Garde"/>
          <w:color w:val="000000" w:themeColor="text1"/>
        </w:rPr>
        <w:t xml:space="preserve">. Mediante este </w:t>
      </w:r>
      <w:r w:rsidRPr="00F67508">
        <w:rPr>
          <w:rFonts w:ascii="ITC Avant Garde" w:hAnsi="ITC Avant Garde"/>
          <w:color w:val="000000" w:themeColor="text1"/>
        </w:rPr>
        <w:lastRenderedPageBreak/>
        <w:t>acuerdo, se adoptó en México el estándar de radio digital terrestre “IBOC” (del inglés “</w:t>
      </w:r>
      <w:r w:rsidRPr="00F67508">
        <w:rPr>
          <w:rFonts w:ascii="ITC Avant Garde" w:hAnsi="ITC Avant Garde"/>
          <w:i/>
          <w:color w:val="000000" w:themeColor="text1"/>
        </w:rPr>
        <w:t xml:space="preserve">In Band </w:t>
      </w:r>
      <w:proofErr w:type="spellStart"/>
      <w:r w:rsidRPr="00F67508">
        <w:rPr>
          <w:rFonts w:ascii="ITC Avant Garde" w:hAnsi="ITC Avant Garde"/>
          <w:i/>
          <w:color w:val="000000" w:themeColor="text1"/>
        </w:rPr>
        <w:t>On</w:t>
      </w:r>
      <w:proofErr w:type="spellEnd"/>
      <w:r w:rsidRPr="00F67508">
        <w:rPr>
          <w:rFonts w:ascii="ITC Avant Garde" w:hAnsi="ITC Avant Garde"/>
          <w:i/>
          <w:color w:val="000000" w:themeColor="text1"/>
        </w:rPr>
        <w:t xml:space="preserve"> </w:t>
      </w:r>
      <w:proofErr w:type="spellStart"/>
      <w:r w:rsidRPr="00F67508">
        <w:rPr>
          <w:rFonts w:ascii="ITC Avant Garde" w:hAnsi="ITC Avant Garde"/>
          <w:i/>
          <w:color w:val="000000" w:themeColor="text1"/>
        </w:rPr>
        <w:t>Channel</w:t>
      </w:r>
      <w:proofErr w:type="spellEnd"/>
      <w:r w:rsidRPr="00F67508">
        <w:rPr>
          <w:rFonts w:ascii="ITC Avant Garde" w:hAnsi="ITC Avant Garde"/>
          <w:i/>
          <w:color w:val="000000" w:themeColor="text1"/>
        </w:rPr>
        <w:t>”</w:t>
      </w:r>
      <w:r w:rsidRPr="00F67508">
        <w:rPr>
          <w:rFonts w:ascii="ITC Avant Garde" w:hAnsi="ITC Avant Garde"/>
          <w:color w:val="000000" w:themeColor="text1"/>
        </w:rPr>
        <w:t xml:space="preserve">). </w:t>
      </w: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Economías de Escala.</w:t>
      </w:r>
    </w:p>
    <w:p w:rsidR="004A714B" w:rsidRPr="00F67508" w:rsidRDefault="004A714B" w:rsidP="004A714B">
      <w:pPr>
        <w:contextualSpacing/>
        <w:jc w:val="both"/>
        <w:rPr>
          <w:rFonts w:ascii="ITC Avant Garde" w:hAnsi="ITC Avant Garde"/>
          <w:color w:val="000000" w:themeColor="text1"/>
        </w:rPr>
      </w:pPr>
      <w:r w:rsidRPr="00F67508">
        <w:rPr>
          <w:rFonts w:ascii="ITC Avant Garde" w:hAnsi="ITC Avant Garde"/>
          <w:color w:val="000000" w:themeColor="text1"/>
        </w:rPr>
        <w:t>En la actualidad existen diversos proveedores que permiten la obtención de equipos a costos razonables en esta banda de frecuencias. La adopción del estándar digital IBOC por varios países favorecerá la economía de escala de este mercado a fin de que el precio de los receptores sea accesible al público radioescucha y para que se cuente con la diversidad de productos, facilitando con ello la migración a la radio digital terrestre (RDT).</w:t>
      </w:r>
    </w:p>
    <w:p w:rsidR="004A714B" w:rsidRPr="00F67508" w:rsidRDefault="004A714B" w:rsidP="004A714B">
      <w:pPr>
        <w:rPr>
          <w:rFonts w:ascii="ITC Avant Garde" w:hAnsi="ITC Avant Garde"/>
          <w:b/>
          <w:color w:val="000000" w:themeColor="text1"/>
        </w:rPr>
      </w:pPr>
      <w:r w:rsidRPr="00F67508">
        <w:rPr>
          <w:rFonts w:ascii="ITC Avant Garde" w:hAnsi="ITC Avant Garde"/>
          <w:b/>
          <w:color w:val="000000" w:themeColor="text1"/>
        </w:rPr>
        <w:br w:type="page"/>
      </w:r>
    </w:p>
    <w:p w:rsidR="00F7521A" w:rsidRPr="007062E9" w:rsidRDefault="004A714B" w:rsidP="007062E9">
      <w:pPr>
        <w:pStyle w:val="Ttulo4"/>
        <w:keepNext/>
        <w:keepLines/>
        <w:pBdr>
          <w:top w:val="none" w:sz="0" w:space="0" w:color="auto"/>
          <w:left w:val="none" w:sz="0" w:space="0" w:color="auto"/>
          <w:bottom w:val="none" w:sz="0" w:space="0" w:color="auto"/>
          <w:right w:val="none" w:sz="0" w:space="0" w:color="auto"/>
          <w:between w:val="none" w:sz="0" w:space="0" w:color="auto"/>
        </w:pBdr>
        <w:spacing w:before="40"/>
        <w:ind w:left="0" w:firstLine="0"/>
        <w:jc w:val="center"/>
        <w:rPr>
          <w:rFonts w:ascii="ITC Avant Garde" w:eastAsiaTheme="majorEastAsia" w:hAnsi="ITC Avant Garde" w:cs="Times New Roman"/>
          <w:iCs/>
          <w:color w:val="000000" w:themeColor="text1"/>
          <w:sz w:val="20"/>
          <w:lang w:val="es-MX" w:eastAsia="es-ES"/>
        </w:rPr>
      </w:pPr>
      <w:bookmarkStart w:id="7" w:name="_Toc462678509"/>
      <w:r w:rsidRPr="007062E9">
        <w:rPr>
          <w:rFonts w:ascii="ITC Avant Garde" w:eastAsiaTheme="majorEastAsia" w:hAnsi="ITC Avant Garde" w:cs="Times New Roman"/>
          <w:iCs/>
          <w:color w:val="000000" w:themeColor="text1"/>
          <w:sz w:val="20"/>
          <w:lang w:val="es-MX" w:eastAsia="es-ES"/>
        </w:rPr>
        <w:lastRenderedPageBreak/>
        <w:t>BANDAS DE FRECUENCIAS 174-216 MHz (TDT-VHF) Y</w:t>
      </w:r>
      <w:bookmarkStart w:id="8" w:name="_Toc462678510"/>
      <w:bookmarkEnd w:id="7"/>
      <w:r w:rsidR="00F7521A" w:rsidRPr="007062E9">
        <w:rPr>
          <w:rFonts w:ascii="ITC Avant Garde" w:eastAsiaTheme="majorEastAsia" w:hAnsi="ITC Avant Garde" w:cs="Times New Roman"/>
          <w:iCs/>
          <w:color w:val="000000" w:themeColor="text1"/>
          <w:sz w:val="20"/>
          <w:lang w:val="es-MX" w:eastAsia="es-ES"/>
        </w:rPr>
        <w:t xml:space="preserve"> </w:t>
      </w:r>
      <w:r w:rsidRPr="007062E9">
        <w:rPr>
          <w:rFonts w:ascii="ITC Avant Garde" w:eastAsiaTheme="majorEastAsia" w:hAnsi="ITC Avant Garde" w:cs="Times New Roman"/>
          <w:iCs/>
          <w:color w:val="000000" w:themeColor="text1"/>
          <w:sz w:val="20"/>
          <w:lang w:val="es-MX" w:eastAsia="es-ES"/>
        </w:rPr>
        <w:t>470-608 MHz (TDT-UHF)</w:t>
      </w:r>
      <w:bookmarkEnd w:id="8"/>
    </w:p>
    <w:p w:rsidR="00F7521A" w:rsidRDefault="004A714B" w:rsidP="004A714B">
      <w:pPr>
        <w:contextualSpacing/>
        <w:jc w:val="both"/>
        <w:rPr>
          <w:rFonts w:ascii="ITC Avant Garde" w:hAnsi="ITC Avant Garde"/>
          <w:b/>
          <w:color w:val="000000" w:themeColor="text1"/>
          <w:u w:val="single"/>
        </w:rPr>
      </w:pPr>
      <w:r w:rsidRPr="00F67508">
        <w:rPr>
          <w:rFonts w:ascii="ITC Avant Garde" w:hAnsi="ITC Avant Garde"/>
          <w:b/>
          <w:color w:val="000000" w:themeColor="text1"/>
          <w:u w:val="single"/>
        </w:rPr>
        <w:t>VHF</w:t>
      </w:r>
    </w:p>
    <w:p w:rsidR="004A714B" w:rsidRPr="00F67508"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Atribución.</w:t>
      </w:r>
    </w:p>
    <w:p w:rsidR="004A714B" w:rsidRPr="00F67508" w:rsidRDefault="004A714B" w:rsidP="004A714B">
      <w:pPr>
        <w:contextualSpacing/>
        <w:jc w:val="both"/>
        <w:rPr>
          <w:rFonts w:ascii="ITC Avant Garde" w:hAnsi="ITC Avant Garde"/>
          <w:b/>
          <w:color w:val="000000" w:themeColor="text1"/>
        </w:rPr>
      </w:pPr>
    </w:p>
    <w:tbl>
      <w:tblPr>
        <w:tblStyle w:val="Tabladelista3-nfasis21"/>
        <w:tblW w:w="6520" w:type="dxa"/>
        <w:jc w:val="center"/>
        <w:tblLayout w:type="fixed"/>
        <w:tblLook w:val="04A0" w:firstRow="1" w:lastRow="0" w:firstColumn="1" w:lastColumn="0" w:noHBand="0" w:noVBand="1"/>
        <w:tblCaption w:val="VHF"/>
        <w:tblDescription w:val="ATRIBUCIÓN"/>
      </w:tblPr>
      <w:tblGrid>
        <w:gridCol w:w="2268"/>
        <w:gridCol w:w="2126"/>
        <w:gridCol w:w="2126"/>
      </w:tblGrid>
      <w:tr w:rsidR="004A714B" w:rsidRPr="00F67508" w:rsidTr="004A714B">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100" w:firstRow="0" w:lastRow="0" w:firstColumn="1" w:lastColumn="0" w:oddVBand="0" w:evenVBand="0" w:oddHBand="0" w:evenHBand="0" w:firstRowFirstColumn="1" w:firstRowLastColumn="0" w:lastRowFirstColumn="0" w:lastRowLastColumn="0"/>
            <w:tcW w:w="2268" w:type="dxa"/>
            <w:noWrap/>
            <w:vAlign w:val="center"/>
            <w:hideMark/>
          </w:tcPr>
          <w:p w:rsidR="004A714B" w:rsidRPr="00F67508" w:rsidRDefault="004A714B" w:rsidP="004A714B">
            <w:pPr>
              <w:jc w:val="center"/>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Banda de Frecuencias (MHz)</w:t>
            </w:r>
          </w:p>
        </w:tc>
        <w:tc>
          <w:tcPr>
            <w:tcW w:w="2126" w:type="dxa"/>
            <w:noWrap/>
            <w:vAlign w:val="center"/>
            <w:hideMark/>
          </w:tcPr>
          <w:p w:rsidR="004A714B" w:rsidRPr="00F67508" w:rsidRDefault="004A714B" w:rsidP="004A714B">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Atribución RR</w:t>
            </w:r>
          </w:p>
        </w:tc>
        <w:tc>
          <w:tcPr>
            <w:tcW w:w="2126" w:type="dxa"/>
            <w:noWrap/>
            <w:vAlign w:val="center"/>
            <w:hideMark/>
          </w:tcPr>
          <w:p w:rsidR="004A714B" w:rsidRPr="00F67508" w:rsidRDefault="004A714B" w:rsidP="004A714B">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Atribución CNAF</w:t>
            </w:r>
          </w:p>
        </w:tc>
      </w:tr>
      <w:tr w:rsidR="004A714B" w:rsidRPr="00F67508" w:rsidTr="004A71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rsidR="004A714B" w:rsidRPr="00F67508" w:rsidRDefault="004A714B" w:rsidP="004A714B">
            <w:pPr>
              <w:jc w:val="center"/>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174-216</w:t>
            </w:r>
          </w:p>
        </w:tc>
        <w:tc>
          <w:tcPr>
            <w:tcW w:w="2126" w:type="dxa"/>
            <w:noWrap/>
            <w:vAlign w:val="center"/>
            <w:hideMark/>
          </w:tcPr>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RADIODIFUSIÓN</w:t>
            </w:r>
          </w:p>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Fijo</w:t>
            </w:r>
          </w:p>
          <w:p w:rsidR="004A714B" w:rsidRPr="00F67508" w:rsidRDefault="004A714B" w:rsidP="004A714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Móvil</w:t>
            </w:r>
          </w:p>
        </w:tc>
        <w:tc>
          <w:tcPr>
            <w:tcW w:w="2126" w:type="dxa"/>
            <w:noWrap/>
            <w:vAlign w:val="center"/>
            <w:hideMark/>
          </w:tcPr>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FIJO</w:t>
            </w:r>
          </w:p>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MÓVIL</w:t>
            </w:r>
          </w:p>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RADIODIFUSIÓN</w:t>
            </w:r>
          </w:p>
        </w:tc>
      </w:tr>
    </w:tbl>
    <w:p w:rsidR="004A714B" w:rsidRPr="00F67508" w:rsidRDefault="004A714B" w:rsidP="004A714B">
      <w:pPr>
        <w:contextualSpacing/>
        <w:jc w:val="both"/>
        <w:rPr>
          <w:rFonts w:ascii="ITC Avant Garde" w:hAnsi="ITC Avant Garde"/>
          <w:b/>
          <w:color w:val="000000" w:themeColor="text1"/>
        </w:rPr>
      </w:pP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Notas aplicables RR UIT.</w:t>
      </w:r>
    </w:p>
    <w:p w:rsidR="00F7521A" w:rsidRDefault="004A714B" w:rsidP="004A714B">
      <w:pPr>
        <w:autoSpaceDE w:val="0"/>
        <w:autoSpaceDN w:val="0"/>
        <w:adjustRightInd w:val="0"/>
        <w:ind w:left="1134" w:right="1275"/>
        <w:jc w:val="both"/>
        <w:rPr>
          <w:rFonts w:ascii="ITC Avant Garde" w:eastAsia="TimesNewRoman" w:hAnsi="ITC Avant Garde" w:cs="TimesNewRoman"/>
          <w:sz w:val="18"/>
          <w:szCs w:val="18"/>
          <w:lang w:eastAsia="es-ES"/>
        </w:rPr>
      </w:pPr>
      <w:r w:rsidRPr="00F67508">
        <w:rPr>
          <w:rFonts w:ascii="ITC Avant Garde" w:hAnsi="ITC Avant Garde" w:cs="TimesNewRoman,Bold"/>
          <w:b/>
          <w:bCs/>
          <w:sz w:val="18"/>
          <w:szCs w:val="18"/>
          <w:lang w:eastAsia="es-ES"/>
        </w:rPr>
        <w:t xml:space="preserve">5.234 </w:t>
      </w:r>
      <w:r w:rsidRPr="00F67508">
        <w:rPr>
          <w:rFonts w:ascii="ITC Avant Garde" w:hAnsi="ITC Avant Garde" w:cs="TimesNewRoman,Italic"/>
          <w:i/>
          <w:iCs/>
          <w:sz w:val="18"/>
          <w:szCs w:val="18"/>
          <w:lang w:eastAsia="es-ES"/>
        </w:rPr>
        <w:t xml:space="preserve">Categoría de servicio diferente: </w:t>
      </w:r>
      <w:r w:rsidRPr="00F67508">
        <w:rPr>
          <w:rFonts w:ascii="ITC Avant Garde" w:eastAsia="TimesNewRoman" w:hAnsi="ITC Avant Garde" w:cs="TimesNewRoman"/>
          <w:sz w:val="18"/>
          <w:szCs w:val="18"/>
          <w:lang w:eastAsia="es-ES"/>
        </w:rPr>
        <w:t>en México, la atribución de la banda 174-216 MHz a los servicios fijo y móvil se hace a titulo primario (véase el número 5.33).</w:t>
      </w: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Notas Nacionales.</w:t>
      </w:r>
    </w:p>
    <w:p w:rsidR="00F7521A" w:rsidRDefault="004A714B" w:rsidP="004A714B">
      <w:pPr>
        <w:pStyle w:val="Texto"/>
        <w:spacing w:after="0" w:line="240" w:lineRule="auto"/>
        <w:ind w:left="1134" w:right="1275" w:firstLine="0"/>
        <w:rPr>
          <w:rFonts w:ascii="ITC Avant Garde" w:hAnsi="ITC Avant Garde"/>
          <w:i/>
          <w:szCs w:val="16"/>
          <w:lang w:val="es-MX"/>
        </w:rPr>
      </w:pPr>
      <w:r w:rsidRPr="00F67508">
        <w:rPr>
          <w:rFonts w:ascii="ITC Avant Garde" w:hAnsi="ITC Avant Garde"/>
          <w:b/>
          <w:i/>
          <w:szCs w:val="16"/>
          <w:lang w:val="es-MX"/>
        </w:rPr>
        <w:t>MX88.</w:t>
      </w:r>
      <w:r w:rsidRPr="00F67508">
        <w:rPr>
          <w:rFonts w:ascii="ITC Avant Garde" w:hAnsi="ITC Avant Garde"/>
          <w:i/>
          <w:szCs w:val="16"/>
          <w:lang w:val="es-MX"/>
        </w:rPr>
        <w:t xml:space="preserve"> El 2 de abril de 1997 se firmó en la Ciudad de México, el Memorándum de Entendimiento entre México y los Estados Unidos de América, relativo al uso de las bandas de 54 – 72 MHz, 76 – 88 MHz, 174 – 216 MHz y 470 – 806 MHz, para el servicio de radiodifusión de televisión digital, a lo largo de la frontera común.</w:t>
      </w:r>
    </w:p>
    <w:p w:rsidR="00F7521A" w:rsidRDefault="004A714B" w:rsidP="004A714B">
      <w:pPr>
        <w:pStyle w:val="Texto"/>
        <w:spacing w:after="0" w:line="240" w:lineRule="auto"/>
        <w:ind w:left="1134" w:right="1275" w:firstLine="0"/>
        <w:rPr>
          <w:rFonts w:ascii="ITC Avant Garde" w:hAnsi="ITC Avant Garde"/>
          <w:i/>
          <w:szCs w:val="16"/>
          <w:lang w:val="es-MX"/>
        </w:rPr>
      </w:pPr>
      <w:r w:rsidRPr="00F67508">
        <w:rPr>
          <w:rFonts w:ascii="ITC Avant Garde" w:hAnsi="ITC Avant Garde"/>
          <w:b/>
          <w:i/>
          <w:szCs w:val="16"/>
          <w:lang w:val="es-MX"/>
        </w:rPr>
        <w:t>MX89</w:t>
      </w:r>
      <w:r w:rsidRPr="00F67508">
        <w:rPr>
          <w:rFonts w:ascii="ITC Avant Garde" w:hAnsi="ITC Avant Garde"/>
          <w:i/>
          <w:szCs w:val="16"/>
          <w:lang w:val="es-MX"/>
        </w:rPr>
        <w:t xml:space="preserve"> Las especificaciones y requerimientos mínimos para la instalación y operación de las estaciones de radiodifusión de televisión analógica, se encuentran contenidas en la disposición técnica IFT-003-2014, modificada y publicada en el DOF el 1 de septiembre de 2015.</w:t>
      </w:r>
    </w:p>
    <w:p w:rsidR="00F7521A" w:rsidRDefault="004A714B" w:rsidP="004A714B">
      <w:pPr>
        <w:pStyle w:val="Texto"/>
        <w:spacing w:after="0" w:line="240" w:lineRule="auto"/>
        <w:ind w:left="1134" w:right="1275" w:firstLine="0"/>
        <w:rPr>
          <w:rFonts w:ascii="ITC Avant Garde" w:hAnsi="ITC Avant Garde"/>
          <w:i/>
          <w:szCs w:val="16"/>
          <w:lang w:val="es-MX"/>
        </w:rPr>
      </w:pPr>
      <w:r w:rsidRPr="00F67508">
        <w:rPr>
          <w:rFonts w:ascii="ITC Avant Garde" w:hAnsi="ITC Avant Garde"/>
          <w:b/>
          <w:i/>
          <w:szCs w:val="16"/>
          <w:lang w:val="es-MX"/>
        </w:rPr>
        <w:t>MX90</w:t>
      </w:r>
      <w:r w:rsidRPr="00F67508">
        <w:rPr>
          <w:rFonts w:ascii="ITC Avant Garde" w:hAnsi="ITC Avant Garde"/>
          <w:b/>
          <w:i/>
          <w:lang w:val="es-MX"/>
        </w:rPr>
        <w:t xml:space="preserve"> </w:t>
      </w:r>
      <w:r w:rsidRPr="00F67508">
        <w:rPr>
          <w:rFonts w:ascii="ITC Avant Garde" w:hAnsi="ITC Avant Garde"/>
          <w:i/>
          <w:szCs w:val="16"/>
          <w:lang w:val="es-MX"/>
        </w:rPr>
        <w:t xml:space="preserve">El 11 de septiembre de 2014 fue publicada en el DOF la Política para la Transición a la Televisión Digital Terrestre. Dicho documento establece las disposiciones generales aplicables a la transición a la TDT que serán de observancia general para el sector involucrado. </w:t>
      </w:r>
    </w:p>
    <w:p w:rsidR="004A714B" w:rsidRPr="00F67508" w:rsidRDefault="004A714B" w:rsidP="004A714B">
      <w:pPr>
        <w:pStyle w:val="Texto"/>
        <w:spacing w:after="0" w:line="240" w:lineRule="auto"/>
        <w:ind w:left="1134" w:right="1275" w:firstLine="0"/>
        <w:rPr>
          <w:rFonts w:ascii="ITC Avant Garde" w:hAnsi="ITC Avant Garde"/>
          <w:b/>
          <w:i/>
          <w:lang w:val="es-MX"/>
        </w:rPr>
      </w:pPr>
      <w:r w:rsidRPr="00F67508">
        <w:rPr>
          <w:rFonts w:ascii="ITC Avant Garde" w:hAnsi="ITC Avant Garde"/>
          <w:b/>
          <w:i/>
          <w:szCs w:val="16"/>
          <w:lang w:val="es-MX"/>
        </w:rPr>
        <w:t>MX117</w:t>
      </w:r>
      <w:r w:rsidRPr="00F67508">
        <w:rPr>
          <w:rFonts w:ascii="ITC Avant Garde" w:hAnsi="ITC Avant Garde"/>
          <w:b/>
          <w:i/>
          <w:lang w:val="es-MX"/>
        </w:rPr>
        <w:t xml:space="preserve"> </w:t>
      </w:r>
      <w:r w:rsidRPr="00F67508">
        <w:rPr>
          <w:rFonts w:ascii="ITC Avant Garde" w:hAnsi="ITC Avant Garde"/>
          <w:i/>
          <w:szCs w:val="16"/>
          <w:lang w:val="es-MX"/>
        </w:rPr>
        <w:t xml:space="preserve">La banda de frecuencias 174 – 216 MHz se emplea para la provisión del servicio de radiodifusión de televisión en VHF. </w:t>
      </w:r>
    </w:p>
    <w:p w:rsidR="004A714B" w:rsidRPr="00F67508" w:rsidRDefault="004A714B" w:rsidP="004A714B">
      <w:pPr>
        <w:pStyle w:val="Texto"/>
        <w:spacing w:after="0" w:line="240" w:lineRule="auto"/>
        <w:ind w:left="1134" w:right="1275" w:firstLine="0"/>
        <w:rPr>
          <w:rFonts w:ascii="ITC Avant Garde" w:hAnsi="ITC Avant Garde"/>
          <w:b/>
          <w:i/>
          <w:lang w:val="es-MX"/>
        </w:rPr>
      </w:pPr>
    </w:p>
    <w:tbl>
      <w:tblPr>
        <w:tblStyle w:val="Tablaconcuadrcula"/>
        <w:tblW w:w="0" w:type="auto"/>
        <w:jc w:val="center"/>
        <w:tblLook w:val="04A0" w:firstRow="1" w:lastRow="0" w:firstColumn="1" w:lastColumn="0" w:noHBand="0" w:noVBand="1"/>
        <w:tblCaption w:val="MX117"/>
        <w:tblDescription w:val="CANAL Y RANGO DE FRECUENCIAS"/>
      </w:tblPr>
      <w:tblGrid>
        <w:gridCol w:w="835"/>
        <w:gridCol w:w="2274"/>
        <w:gridCol w:w="222"/>
        <w:gridCol w:w="835"/>
        <w:gridCol w:w="2274"/>
      </w:tblGrid>
      <w:tr w:rsidR="004A714B" w:rsidRPr="00F67508" w:rsidTr="004A714B">
        <w:trPr>
          <w:trHeight w:val="340"/>
          <w:tblHeader/>
          <w:jc w:val="center"/>
        </w:trPr>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Canal</w:t>
            </w:r>
          </w:p>
        </w:tc>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Rango de Frecuencias</w:t>
            </w:r>
          </w:p>
        </w:tc>
        <w:tc>
          <w:tcPr>
            <w:tcW w:w="0" w:type="auto"/>
            <w:tcBorders>
              <w:top w:val="nil"/>
              <w:bottom w:val="nil"/>
            </w:tcBorders>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Canal</w:t>
            </w: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Rango de Frecuencias</w:t>
            </w:r>
          </w:p>
        </w:tc>
      </w:tr>
      <w:tr w:rsidR="004A714B" w:rsidRPr="00F67508" w:rsidTr="004A714B">
        <w:trPr>
          <w:trHeight w:val="340"/>
          <w:jc w:val="center"/>
        </w:trPr>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7</w:t>
            </w:r>
          </w:p>
        </w:tc>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174-180 MHz</w:t>
            </w:r>
          </w:p>
        </w:tc>
        <w:tc>
          <w:tcPr>
            <w:tcW w:w="0" w:type="auto"/>
            <w:tcBorders>
              <w:top w:val="nil"/>
              <w:bottom w:val="nil"/>
            </w:tcBorders>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11</w:t>
            </w: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198-204 MHz</w:t>
            </w:r>
          </w:p>
        </w:tc>
      </w:tr>
      <w:tr w:rsidR="004A714B" w:rsidRPr="00F67508" w:rsidTr="004A714B">
        <w:trPr>
          <w:trHeight w:val="340"/>
          <w:jc w:val="center"/>
        </w:trPr>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8</w:t>
            </w:r>
          </w:p>
        </w:tc>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180-186 MHz</w:t>
            </w:r>
          </w:p>
        </w:tc>
        <w:tc>
          <w:tcPr>
            <w:tcW w:w="0" w:type="auto"/>
            <w:tcBorders>
              <w:top w:val="nil"/>
              <w:bottom w:val="nil"/>
            </w:tcBorders>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12</w:t>
            </w: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204-210 MHz</w:t>
            </w:r>
          </w:p>
        </w:tc>
      </w:tr>
      <w:tr w:rsidR="004A714B" w:rsidRPr="00F67508" w:rsidTr="004A714B">
        <w:trPr>
          <w:trHeight w:val="340"/>
          <w:jc w:val="center"/>
        </w:trPr>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9</w:t>
            </w:r>
          </w:p>
        </w:tc>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186-192 MHz</w:t>
            </w:r>
          </w:p>
        </w:tc>
        <w:tc>
          <w:tcPr>
            <w:tcW w:w="0" w:type="auto"/>
            <w:tcBorders>
              <w:top w:val="nil"/>
              <w:bottom w:val="nil"/>
            </w:tcBorders>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p>
        </w:tc>
        <w:tc>
          <w:tcPr>
            <w:tcW w:w="0" w:type="auto"/>
            <w:tcBorders>
              <w:bottom w:val="single" w:sz="4" w:space="0" w:color="auto"/>
            </w:tcBorders>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13</w:t>
            </w:r>
          </w:p>
        </w:tc>
        <w:tc>
          <w:tcPr>
            <w:tcW w:w="0" w:type="auto"/>
            <w:tcBorders>
              <w:bottom w:val="single" w:sz="4" w:space="0" w:color="auto"/>
            </w:tcBorders>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210-216 MHz</w:t>
            </w:r>
          </w:p>
        </w:tc>
      </w:tr>
      <w:tr w:rsidR="004A714B" w:rsidRPr="00F67508" w:rsidTr="004A714B">
        <w:trPr>
          <w:trHeight w:val="340"/>
          <w:jc w:val="center"/>
        </w:trPr>
        <w:tc>
          <w:tcPr>
            <w:tcW w:w="0" w:type="auto"/>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10</w:t>
            </w:r>
          </w:p>
        </w:tc>
        <w:tc>
          <w:tcPr>
            <w:tcW w:w="0" w:type="auto"/>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192-198 MHz</w:t>
            </w:r>
          </w:p>
        </w:tc>
        <w:tc>
          <w:tcPr>
            <w:tcW w:w="0" w:type="auto"/>
            <w:tcBorders>
              <w:top w:val="nil"/>
              <w:bottom w:val="nil"/>
              <w:right w:val="nil"/>
            </w:tcBorders>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p>
        </w:tc>
        <w:tc>
          <w:tcPr>
            <w:tcW w:w="0" w:type="auto"/>
            <w:tcBorders>
              <w:left w:val="nil"/>
              <w:bottom w:val="nil"/>
              <w:right w:val="nil"/>
            </w:tcBorders>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p>
        </w:tc>
        <w:tc>
          <w:tcPr>
            <w:tcW w:w="0" w:type="auto"/>
            <w:tcBorders>
              <w:left w:val="nil"/>
              <w:bottom w:val="nil"/>
              <w:right w:val="nil"/>
            </w:tcBorders>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p>
        </w:tc>
      </w:tr>
    </w:tbl>
    <w:p w:rsidR="004A714B" w:rsidRPr="00F67508" w:rsidRDefault="004A714B" w:rsidP="004A714B">
      <w:pPr>
        <w:rPr>
          <w:rFonts w:ascii="ITC Avant Garde" w:hAnsi="ITC Avant Garde"/>
          <w:b/>
          <w:color w:val="000000" w:themeColor="text1"/>
          <w:u w:val="single"/>
        </w:rPr>
      </w:pPr>
      <w:r w:rsidRPr="00F67508">
        <w:rPr>
          <w:rFonts w:ascii="ITC Avant Garde" w:hAnsi="ITC Avant Garde"/>
          <w:b/>
          <w:color w:val="000000" w:themeColor="text1"/>
          <w:u w:val="single"/>
        </w:rPr>
        <w:br w:type="page"/>
      </w:r>
    </w:p>
    <w:p w:rsidR="00F7521A" w:rsidRDefault="004A714B" w:rsidP="004A714B">
      <w:pPr>
        <w:contextualSpacing/>
        <w:jc w:val="both"/>
        <w:rPr>
          <w:rFonts w:ascii="ITC Avant Garde" w:hAnsi="ITC Avant Garde"/>
          <w:b/>
          <w:color w:val="000000" w:themeColor="text1"/>
          <w:u w:val="single"/>
        </w:rPr>
      </w:pPr>
      <w:r w:rsidRPr="00F67508">
        <w:rPr>
          <w:rFonts w:ascii="ITC Avant Garde" w:hAnsi="ITC Avant Garde"/>
          <w:b/>
          <w:color w:val="000000" w:themeColor="text1"/>
          <w:u w:val="single"/>
        </w:rPr>
        <w:lastRenderedPageBreak/>
        <w:t>UHF</w:t>
      </w:r>
    </w:p>
    <w:p w:rsidR="004A714B" w:rsidRPr="00F67508"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Atribución.</w:t>
      </w:r>
    </w:p>
    <w:p w:rsidR="004A714B" w:rsidRPr="00F67508" w:rsidRDefault="004A714B" w:rsidP="004A714B">
      <w:pPr>
        <w:contextualSpacing/>
        <w:jc w:val="both"/>
        <w:rPr>
          <w:rFonts w:ascii="ITC Avant Garde" w:hAnsi="ITC Avant Garde"/>
          <w:b/>
          <w:color w:val="000000" w:themeColor="text1"/>
        </w:rPr>
      </w:pPr>
    </w:p>
    <w:tbl>
      <w:tblPr>
        <w:tblStyle w:val="Tabladelista3-nfasis21"/>
        <w:tblW w:w="6520" w:type="dxa"/>
        <w:jc w:val="center"/>
        <w:tblLayout w:type="fixed"/>
        <w:tblLook w:val="04A0" w:firstRow="1" w:lastRow="0" w:firstColumn="1" w:lastColumn="0" w:noHBand="0" w:noVBand="1"/>
        <w:tblCaption w:val="UHF"/>
        <w:tblDescription w:val="ATRIBUCIÓN BANDA DE FRECUANCIA, ATRIBUCIÓN RR Y ATRIBUCIÓN CNAF"/>
      </w:tblPr>
      <w:tblGrid>
        <w:gridCol w:w="2268"/>
        <w:gridCol w:w="2126"/>
        <w:gridCol w:w="2126"/>
      </w:tblGrid>
      <w:tr w:rsidR="004A714B" w:rsidRPr="00F67508" w:rsidTr="004A714B">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100" w:firstRow="0" w:lastRow="0" w:firstColumn="1" w:lastColumn="0" w:oddVBand="0" w:evenVBand="0" w:oddHBand="0" w:evenHBand="0" w:firstRowFirstColumn="1" w:firstRowLastColumn="0" w:lastRowFirstColumn="0" w:lastRowLastColumn="0"/>
            <w:tcW w:w="2268" w:type="dxa"/>
            <w:noWrap/>
            <w:vAlign w:val="center"/>
            <w:hideMark/>
          </w:tcPr>
          <w:p w:rsidR="004A714B" w:rsidRPr="00F67508" w:rsidRDefault="004A714B" w:rsidP="004A714B">
            <w:pPr>
              <w:jc w:val="center"/>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Banda de Frecuencias (MHz)</w:t>
            </w:r>
          </w:p>
        </w:tc>
        <w:tc>
          <w:tcPr>
            <w:tcW w:w="2126" w:type="dxa"/>
            <w:noWrap/>
            <w:vAlign w:val="center"/>
            <w:hideMark/>
          </w:tcPr>
          <w:p w:rsidR="004A714B" w:rsidRPr="00F67508" w:rsidRDefault="004A714B" w:rsidP="004A714B">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Atribución RR</w:t>
            </w:r>
          </w:p>
        </w:tc>
        <w:tc>
          <w:tcPr>
            <w:tcW w:w="2126" w:type="dxa"/>
            <w:noWrap/>
            <w:vAlign w:val="center"/>
            <w:hideMark/>
          </w:tcPr>
          <w:p w:rsidR="004A714B" w:rsidRPr="00F67508" w:rsidRDefault="004A714B" w:rsidP="004A714B">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Atribución CNAF</w:t>
            </w:r>
          </w:p>
        </w:tc>
      </w:tr>
      <w:tr w:rsidR="004A714B" w:rsidRPr="00F67508" w:rsidTr="004A71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rsidR="004A714B" w:rsidRPr="00F67508" w:rsidRDefault="004A714B" w:rsidP="004A714B">
            <w:pPr>
              <w:jc w:val="center"/>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470-512</w:t>
            </w:r>
          </w:p>
        </w:tc>
        <w:tc>
          <w:tcPr>
            <w:tcW w:w="2126" w:type="dxa"/>
            <w:noWrap/>
            <w:vAlign w:val="center"/>
            <w:hideMark/>
          </w:tcPr>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RADIODIFUSIÓN</w:t>
            </w:r>
          </w:p>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Fijo</w:t>
            </w:r>
          </w:p>
          <w:p w:rsidR="004A714B" w:rsidRPr="00F67508" w:rsidRDefault="004A714B" w:rsidP="004A714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Móvil</w:t>
            </w:r>
          </w:p>
        </w:tc>
        <w:tc>
          <w:tcPr>
            <w:tcW w:w="2126" w:type="dxa"/>
            <w:noWrap/>
            <w:vAlign w:val="center"/>
            <w:hideMark/>
          </w:tcPr>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FIJO</w:t>
            </w:r>
          </w:p>
          <w:p w:rsidR="004A714B" w:rsidRPr="00F67508" w:rsidRDefault="004A714B" w:rsidP="004A714B">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color w:val="000000" w:themeColor="text1"/>
                <w:sz w:val="16"/>
                <w:szCs w:val="22"/>
              </w:rPr>
            </w:pPr>
            <w:r w:rsidRPr="00F67508">
              <w:rPr>
                <w:rFonts w:ascii="ITC Avant Garde" w:hAnsi="ITC Avant Garde" w:cstheme="minorHAnsi"/>
                <w:color w:val="000000" w:themeColor="text1"/>
                <w:sz w:val="16"/>
                <w:szCs w:val="22"/>
              </w:rPr>
              <w:t>MÓVIL</w:t>
            </w:r>
          </w:p>
          <w:p w:rsidR="004A714B" w:rsidRPr="00F67508" w:rsidRDefault="004A714B" w:rsidP="004A714B">
            <w:pPr>
              <w:contextualSpacing/>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RADIODIFUSIÓN</w:t>
            </w:r>
          </w:p>
        </w:tc>
      </w:tr>
      <w:tr w:rsidR="004A714B" w:rsidRPr="00F67508" w:rsidTr="004A714B">
        <w:trPr>
          <w:trHeight w:val="300"/>
          <w:jc w:val="center"/>
        </w:trPr>
        <w:tc>
          <w:tcPr>
            <w:cnfStyle w:val="001000000000" w:firstRow="0" w:lastRow="0" w:firstColumn="1" w:lastColumn="0" w:oddVBand="0" w:evenVBand="0" w:oddHBand="0" w:evenHBand="0" w:firstRowFirstColumn="0" w:firstRowLastColumn="0" w:lastRowFirstColumn="0" w:lastRowLastColumn="0"/>
            <w:tcW w:w="2268" w:type="dxa"/>
            <w:noWrap/>
            <w:vAlign w:val="center"/>
          </w:tcPr>
          <w:p w:rsidR="004A714B" w:rsidRPr="00F67508" w:rsidRDefault="004A714B" w:rsidP="004A714B">
            <w:pPr>
              <w:jc w:val="center"/>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512-608</w:t>
            </w:r>
          </w:p>
        </w:tc>
        <w:tc>
          <w:tcPr>
            <w:tcW w:w="2126" w:type="dxa"/>
            <w:noWrap/>
            <w:vAlign w:val="center"/>
          </w:tcPr>
          <w:p w:rsidR="004A714B" w:rsidRPr="00F67508" w:rsidRDefault="004A714B" w:rsidP="004A714B">
            <w:pPr>
              <w:contextualSpacing/>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22"/>
                <w:lang w:eastAsia="es-MX"/>
              </w:rPr>
            </w:pPr>
            <w:r w:rsidRPr="00F67508">
              <w:rPr>
                <w:rFonts w:ascii="ITC Avant Garde" w:hAnsi="ITC Avant Garde" w:cstheme="minorHAnsi"/>
                <w:color w:val="000000" w:themeColor="text1"/>
                <w:sz w:val="16"/>
                <w:szCs w:val="22"/>
              </w:rPr>
              <w:t>RADIODIFUSIÓN</w:t>
            </w:r>
          </w:p>
        </w:tc>
        <w:tc>
          <w:tcPr>
            <w:tcW w:w="2126" w:type="dxa"/>
            <w:noWrap/>
            <w:vAlign w:val="center"/>
          </w:tcPr>
          <w:p w:rsidR="004A714B" w:rsidRPr="00F67508" w:rsidRDefault="004A714B" w:rsidP="004A714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olor w:val="000000"/>
                <w:sz w:val="16"/>
                <w:szCs w:val="22"/>
                <w:lang w:eastAsia="es-MX"/>
              </w:rPr>
            </w:pPr>
          </w:p>
        </w:tc>
      </w:tr>
    </w:tbl>
    <w:p w:rsidR="004A714B" w:rsidRPr="00F67508" w:rsidRDefault="004A714B" w:rsidP="004A714B">
      <w:pPr>
        <w:contextualSpacing/>
        <w:jc w:val="both"/>
        <w:rPr>
          <w:rFonts w:ascii="ITC Avant Garde" w:hAnsi="ITC Avant Garde"/>
          <w:b/>
          <w:color w:val="000000" w:themeColor="text1"/>
        </w:rPr>
      </w:pP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Notas aplicables RR UIT.</w:t>
      </w:r>
    </w:p>
    <w:p w:rsidR="00F7521A" w:rsidRDefault="004A714B" w:rsidP="004A714B">
      <w:pPr>
        <w:pStyle w:val="Texto"/>
        <w:spacing w:after="0" w:line="240" w:lineRule="auto"/>
        <w:ind w:left="1134" w:right="1183" w:firstLine="0"/>
        <w:contextualSpacing/>
        <w:rPr>
          <w:rFonts w:ascii="ITC Avant Garde" w:hAnsi="ITC Avant Garde" w:cstheme="minorHAnsi"/>
          <w:i/>
          <w:color w:val="000000" w:themeColor="text1"/>
          <w:szCs w:val="22"/>
        </w:rPr>
      </w:pPr>
      <w:r w:rsidRPr="00F67508">
        <w:rPr>
          <w:rFonts w:ascii="ITC Avant Garde" w:hAnsi="ITC Avant Garde" w:cstheme="minorHAnsi"/>
          <w:b/>
          <w:i/>
          <w:color w:val="000000" w:themeColor="text1"/>
          <w:szCs w:val="22"/>
        </w:rPr>
        <w:t>5.292</w:t>
      </w:r>
      <w:r w:rsidRPr="00F67508">
        <w:rPr>
          <w:rFonts w:ascii="ITC Avant Garde" w:hAnsi="ITC Avant Garde" w:cstheme="minorHAnsi"/>
          <w:i/>
          <w:color w:val="000000" w:themeColor="text1"/>
          <w:szCs w:val="22"/>
        </w:rPr>
        <w:t xml:space="preserve"> Categoría de servicio diferente: en México la atribución de la banda 470</w:t>
      </w:r>
      <w:r w:rsidRPr="00F67508">
        <w:rPr>
          <w:rFonts w:ascii="ITC Avant Garde" w:hAnsi="ITC Avant Garde" w:cstheme="minorHAnsi"/>
          <w:i/>
          <w:color w:val="000000" w:themeColor="text1"/>
          <w:szCs w:val="22"/>
        </w:rPr>
        <w:noBreakHyphen/>
        <w:t>512 MHz a los servicios fijo y móvil y, en Argentina, Uruguay y Venezuela, al servicio móvil es a título primario (véase el número 5.33), a reserva de obtener el acuerdo indicado en el número 9.21. (CMR</w:t>
      </w:r>
      <w:r w:rsidRPr="00F67508">
        <w:rPr>
          <w:rFonts w:ascii="ITC Avant Garde" w:hAnsi="ITC Avant Garde" w:cstheme="minorHAnsi"/>
          <w:i/>
          <w:color w:val="000000" w:themeColor="text1"/>
          <w:szCs w:val="22"/>
        </w:rPr>
        <w:noBreakHyphen/>
        <w:t>07)</w:t>
      </w:r>
    </w:p>
    <w:p w:rsidR="00F7521A" w:rsidRDefault="004A714B" w:rsidP="004A714B">
      <w:pPr>
        <w:pStyle w:val="Texto"/>
        <w:spacing w:after="0" w:line="240" w:lineRule="auto"/>
        <w:ind w:left="1134" w:right="1183" w:firstLine="0"/>
        <w:contextualSpacing/>
        <w:rPr>
          <w:rFonts w:ascii="ITC Avant Garde" w:hAnsi="ITC Avant Garde" w:cstheme="minorHAnsi"/>
          <w:i/>
          <w:color w:val="000000" w:themeColor="text1"/>
          <w:szCs w:val="22"/>
        </w:rPr>
      </w:pPr>
      <w:r w:rsidRPr="00F67508">
        <w:rPr>
          <w:rFonts w:ascii="ITC Avant Garde" w:hAnsi="ITC Avant Garde" w:cstheme="minorHAnsi"/>
          <w:b/>
          <w:i/>
          <w:color w:val="000000" w:themeColor="text1"/>
          <w:szCs w:val="22"/>
        </w:rPr>
        <w:t>5.293</w:t>
      </w:r>
      <w:r w:rsidRPr="00F67508">
        <w:rPr>
          <w:rFonts w:ascii="ITC Avant Garde" w:hAnsi="ITC Avant Garde" w:cstheme="minorHAnsi"/>
          <w:i/>
          <w:color w:val="000000" w:themeColor="text1"/>
          <w:szCs w:val="22"/>
        </w:rPr>
        <w:t xml:space="preserve"> Categoría de servicio diferente: en Canadá, Chile, Colombia, Cuba, Estados Unidos, Guyana, Honduras, Jamaica, México, Panamá y Perú, la atribución de las bandas 470-512 MHz y 614</w:t>
      </w:r>
      <w:r w:rsidRPr="00F67508">
        <w:rPr>
          <w:rFonts w:ascii="ITC Avant Garde" w:hAnsi="ITC Avant Garde" w:cstheme="minorHAnsi"/>
          <w:i/>
          <w:color w:val="000000" w:themeColor="text1"/>
          <w:szCs w:val="22"/>
        </w:rPr>
        <w:noBreakHyphen/>
        <w:t>806 MHz al servicio fijo es a título primario (véase el número 5.33), a reserva de obtener el acuerdo indicado en el número 9.21. En Canadá, Chile, Colombia, Cuba, Estados Unidos, Guyana, Honduras, Jamaica, México, Panamá y Perú, la atribución de las bandas 470-512 MHz y 614</w:t>
      </w:r>
      <w:r w:rsidRPr="00F67508">
        <w:rPr>
          <w:rFonts w:ascii="ITC Avant Garde" w:hAnsi="ITC Avant Garde" w:cstheme="minorHAnsi"/>
          <w:i/>
          <w:color w:val="000000" w:themeColor="text1"/>
          <w:szCs w:val="22"/>
        </w:rPr>
        <w:noBreakHyphen/>
        <w:t>698 MHz al servicio móvil es a título primario (véase el número 5.33), sujeto al acuerdo obtenido con arreglo al número 9.21. En Argentina y Ecuador, la banda 470-512 MHz está atribuida a título primario a los servicios fijo y móvil (véase el número 5.33), sujeto a la obtención de un acuerdo con arreglo al número 9.21. (CMR</w:t>
      </w:r>
      <w:r w:rsidRPr="00F67508">
        <w:rPr>
          <w:rFonts w:ascii="ITC Avant Garde" w:hAnsi="ITC Avant Garde" w:cstheme="minorHAnsi"/>
          <w:i/>
          <w:color w:val="000000" w:themeColor="text1"/>
          <w:szCs w:val="22"/>
        </w:rPr>
        <w:noBreakHyphen/>
        <w:t>07)</w:t>
      </w:r>
    </w:p>
    <w:p w:rsidR="00F7521A" w:rsidRDefault="004A714B" w:rsidP="004A714B">
      <w:pPr>
        <w:pStyle w:val="Texto"/>
        <w:spacing w:after="0" w:line="240" w:lineRule="auto"/>
        <w:ind w:left="1134" w:right="1183" w:firstLine="0"/>
        <w:contextualSpacing/>
        <w:rPr>
          <w:rFonts w:ascii="ITC Avant Garde" w:hAnsi="ITC Avant Garde" w:cstheme="minorHAnsi"/>
          <w:i/>
          <w:color w:val="000000" w:themeColor="text1"/>
          <w:sz w:val="22"/>
          <w:szCs w:val="22"/>
        </w:rPr>
      </w:pPr>
      <w:r w:rsidRPr="00F67508">
        <w:rPr>
          <w:rFonts w:ascii="ITC Avant Garde" w:hAnsi="ITC Avant Garde" w:cstheme="minorHAnsi"/>
          <w:b/>
          <w:i/>
          <w:color w:val="000000" w:themeColor="text1"/>
          <w:szCs w:val="22"/>
        </w:rPr>
        <w:t>5.297</w:t>
      </w:r>
      <w:r w:rsidRPr="00F67508">
        <w:rPr>
          <w:rFonts w:ascii="ITC Avant Garde" w:hAnsi="ITC Avant Garde" w:cstheme="minorHAnsi"/>
          <w:i/>
          <w:color w:val="000000" w:themeColor="text1"/>
          <w:szCs w:val="22"/>
        </w:rPr>
        <w:t xml:space="preserve"> Atribución adicional: en Canadá, Costa Rica, Cuba, El Salvador, Estados Unidos, Guatemala, Guyana, Honduras, Jamaica y México, la banda 512-608 MHz está también atribuida, a título primario, a los servicios fijo y móvil, a reserva de obtener el acuerdo indicado en el número 9.21. (CMR</w:t>
      </w:r>
      <w:r w:rsidRPr="00F67508">
        <w:rPr>
          <w:rFonts w:ascii="ITC Avant Garde" w:hAnsi="ITC Avant Garde" w:cstheme="minorHAnsi"/>
          <w:i/>
          <w:color w:val="000000" w:themeColor="text1"/>
          <w:szCs w:val="22"/>
        </w:rPr>
        <w:noBreakHyphen/>
        <w:t>07)</w:t>
      </w: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Notas Nacionales.</w:t>
      </w:r>
    </w:p>
    <w:p w:rsidR="00F7521A" w:rsidRDefault="004A714B" w:rsidP="004A714B">
      <w:pPr>
        <w:pStyle w:val="Texto"/>
        <w:tabs>
          <w:tab w:val="num" w:pos="851"/>
        </w:tabs>
        <w:spacing w:after="0" w:line="240" w:lineRule="auto"/>
        <w:ind w:left="1134" w:right="1133" w:firstLine="0"/>
        <w:rPr>
          <w:rFonts w:ascii="ITC Avant Garde" w:hAnsi="ITC Avant Garde"/>
          <w:i/>
          <w:szCs w:val="16"/>
          <w:lang w:val="es-MX"/>
        </w:rPr>
      </w:pPr>
      <w:r w:rsidRPr="00F67508">
        <w:rPr>
          <w:rFonts w:ascii="ITC Avant Garde" w:hAnsi="ITC Avant Garde"/>
          <w:b/>
          <w:i/>
          <w:szCs w:val="16"/>
          <w:lang w:val="es-MX"/>
        </w:rPr>
        <w:t>MX88</w:t>
      </w:r>
      <w:r w:rsidRPr="00F67508">
        <w:rPr>
          <w:rFonts w:ascii="ITC Avant Garde" w:hAnsi="ITC Avant Garde"/>
          <w:i/>
          <w:szCs w:val="16"/>
          <w:lang w:val="es-MX"/>
        </w:rPr>
        <w:t xml:space="preserve"> El 2 de abril de 1997 se firmó en la Ciudad de México, el Memorándum de Entendimiento entre México y los Estados Unidos de América, relativo al uso de las bandas de 54 – 72 MHz, 76 – 88 MHz, 174 – 216 MHz y 470 – 806 MHz, para el servicio de radiodifusión de televisión digital, a lo largo de la frontera común.</w:t>
      </w:r>
    </w:p>
    <w:p w:rsidR="00F7521A" w:rsidRDefault="004A714B" w:rsidP="004A714B">
      <w:pPr>
        <w:pStyle w:val="Texto"/>
        <w:spacing w:after="0" w:line="240" w:lineRule="auto"/>
        <w:ind w:left="1134" w:right="1275" w:firstLine="0"/>
        <w:rPr>
          <w:rFonts w:ascii="ITC Avant Garde" w:hAnsi="ITC Avant Garde"/>
          <w:i/>
          <w:szCs w:val="16"/>
          <w:lang w:val="es-MX"/>
        </w:rPr>
      </w:pPr>
      <w:r w:rsidRPr="00F67508">
        <w:rPr>
          <w:rFonts w:ascii="ITC Avant Garde" w:hAnsi="ITC Avant Garde"/>
          <w:b/>
          <w:i/>
          <w:szCs w:val="16"/>
          <w:lang w:val="es-MX"/>
        </w:rPr>
        <w:t>MX89</w:t>
      </w:r>
      <w:r w:rsidRPr="00F67508">
        <w:rPr>
          <w:rFonts w:ascii="ITC Avant Garde" w:hAnsi="ITC Avant Garde"/>
          <w:i/>
          <w:szCs w:val="16"/>
          <w:lang w:val="es-MX"/>
        </w:rPr>
        <w:t xml:space="preserve"> Las especificaciones y requerimientos mínimos para la instalación y operación de las estaciones de radiodifusión de televisión analógica, se encuentran contenidas en la disposición técnica IFT-003-2014, modificada y publicada en el DOF el 1 de septiembre de 2015.</w:t>
      </w:r>
    </w:p>
    <w:p w:rsidR="004A714B" w:rsidRPr="00F67508" w:rsidRDefault="004A714B" w:rsidP="004A714B">
      <w:pPr>
        <w:pStyle w:val="Texto"/>
        <w:spacing w:after="0" w:line="240" w:lineRule="auto"/>
        <w:ind w:left="1134" w:right="1275" w:firstLine="0"/>
        <w:rPr>
          <w:rFonts w:ascii="ITC Avant Garde" w:hAnsi="ITC Avant Garde"/>
          <w:i/>
          <w:szCs w:val="16"/>
          <w:lang w:val="es-MX"/>
        </w:rPr>
      </w:pPr>
    </w:p>
    <w:p w:rsidR="00F7521A" w:rsidRDefault="004A714B" w:rsidP="004A714B">
      <w:pPr>
        <w:pStyle w:val="Texto"/>
        <w:spacing w:after="0" w:line="240" w:lineRule="auto"/>
        <w:ind w:left="1134" w:right="1275" w:firstLine="0"/>
        <w:rPr>
          <w:rFonts w:ascii="ITC Avant Garde" w:hAnsi="ITC Avant Garde"/>
          <w:i/>
          <w:szCs w:val="16"/>
          <w:lang w:val="es-MX"/>
        </w:rPr>
      </w:pPr>
      <w:r w:rsidRPr="00F67508">
        <w:rPr>
          <w:rFonts w:ascii="ITC Avant Garde" w:hAnsi="ITC Avant Garde"/>
          <w:b/>
          <w:i/>
          <w:szCs w:val="16"/>
          <w:lang w:val="es-MX"/>
        </w:rPr>
        <w:t xml:space="preserve">MX90 </w:t>
      </w:r>
      <w:r w:rsidRPr="00F67508">
        <w:rPr>
          <w:rFonts w:ascii="ITC Avant Garde" w:hAnsi="ITC Avant Garde"/>
          <w:i/>
          <w:szCs w:val="16"/>
          <w:lang w:val="es-MX"/>
        </w:rPr>
        <w:t xml:space="preserve">El 11 de septiembre de 2014 fue publicada en el DOF la Política para la Transición a la Televisión Digital Terrestre. Dicho documento establece las disposiciones generales aplicables a la transición a la TDT que serán de observancia general para el sector involucrado. </w:t>
      </w:r>
    </w:p>
    <w:p w:rsidR="00F7521A" w:rsidRDefault="004A714B" w:rsidP="004A714B">
      <w:pPr>
        <w:pStyle w:val="Texto"/>
        <w:spacing w:after="0" w:line="240" w:lineRule="auto"/>
        <w:ind w:left="1134" w:right="1275" w:firstLine="0"/>
        <w:rPr>
          <w:rFonts w:ascii="ITC Avant Garde" w:hAnsi="ITC Avant Garde"/>
          <w:i/>
          <w:szCs w:val="16"/>
          <w:lang w:val="es-MX"/>
        </w:rPr>
      </w:pPr>
      <w:r w:rsidRPr="00F67508">
        <w:rPr>
          <w:rFonts w:ascii="ITC Avant Garde" w:hAnsi="ITC Avant Garde"/>
          <w:b/>
          <w:i/>
          <w:szCs w:val="16"/>
          <w:lang w:val="es-MX"/>
        </w:rPr>
        <w:t>MX141</w:t>
      </w:r>
      <w:r w:rsidRPr="00F67508">
        <w:rPr>
          <w:rFonts w:ascii="ITC Avant Garde" w:hAnsi="ITC Avant Garde"/>
          <w:i/>
          <w:szCs w:val="16"/>
          <w:lang w:val="es-MX"/>
        </w:rPr>
        <w:t xml:space="preserve"> La banda de frecuencias 470 – 512 MHz se encuentra bajo un proceso de reordenamiento, con la finalidad de que dicha banda sea utilizada exclusivamente por el servicio de radiodifusión de televisión.</w:t>
      </w:r>
    </w:p>
    <w:p w:rsidR="00F7521A" w:rsidRDefault="004A714B" w:rsidP="004A714B">
      <w:pPr>
        <w:pStyle w:val="Texto"/>
        <w:spacing w:after="0" w:line="240" w:lineRule="auto"/>
        <w:ind w:left="1134" w:right="1275" w:firstLine="0"/>
        <w:rPr>
          <w:rFonts w:ascii="ITC Avant Garde" w:hAnsi="ITC Avant Garde"/>
          <w:i/>
          <w:szCs w:val="16"/>
          <w:lang w:val="es-MX"/>
        </w:rPr>
      </w:pPr>
      <w:r w:rsidRPr="00F67508">
        <w:rPr>
          <w:rFonts w:ascii="ITC Avant Garde" w:hAnsi="ITC Avant Garde"/>
          <w:b/>
          <w:i/>
          <w:szCs w:val="16"/>
          <w:lang w:val="es-MX"/>
        </w:rPr>
        <w:lastRenderedPageBreak/>
        <w:t>MX142</w:t>
      </w:r>
      <w:r w:rsidRPr="00F67508">
        <w:rPr>
          <w:rFonts w:ascii="ITC Avant Garde" w:hAnsi="ITC Avant Garde"/>
          <w:i/>
          <w:szCs w:val="16"/>
          <w:lang w:val="es-MX"/>
        </w:rPr>
        <w:t xml:space="preserve"> El 16 de junio de 1994, se firmó en Williamsburg, Virginia el Protocolo entre México y los Estados Unidos de América, relativo al uso de la banda 470 – 512 MHz para el servicio móvil terrestre a lo largo de la frontera común. </w:t>
      </w:r>
    </w:p>
    <w:p w:rsidR="004A714B" w:rsidRPr="00F67508" w:rsidRDefault="004A714B" w:rsidP="004A714B">
      <w:pPr>
        <w:pStyle w:val="Texto"/>
        <w:spacing w:after="0" w:line="240" w:lineRule="auto"/>
        <w:ind w:left="1134" w:right="1275" w:firstLine="0"/>
        <w:rPr>
          <w:rFonts w:ascii="ITC Avant Garde" w:hAnsi="ITC Avant Garde"/>
          <w:i/>
          <w:szCs w:val="16"/>
          <w:lang w:val="es-MX"/>
        </w:rPr>
      </w:pPr>
      <w:r w:rsidRPr="00F67508">
        <w:rPr>
          <w:rFonts w:ascii="ITC Avant Garde" w:hAnsi="ITC Avant Garde"/>
          <w:b/>
          <w:i/>
          <w:szCs w:val="16"/>
          <w:lang w:val="es-MX"/>
        </w:rPr>
        <w:t>MX143</w:t>
      </w:r>
      <w:r w:rsidRPr="00F67508">
        <w:rPr>
          <w:rFonts w:ascii="ITC Avant Garde" w:hAnsi="ITC Avant Garde"/>
          <w:i/>
          <w:szCs w:val="16"/>
          <w:lang w:val="es-MX"/>
        </w:rPr>
        <w:t xml:space="preserve"> La banda de frecuencias 470 – 608 MHz se emplea para la provisión del servicio de radiodifusión de televisión en UHF. Canales del 14 al 36 (470 – 608 MHz).</w:t>
      </w:r>
    </w:p>
    <w:p w:rsidR="004A714B" w:rsidRPr="00F67508" w:rsidRDefault="004A714B" w:rsidP="004A714B">
      <w:pPr>
        <w:pStyle w:val="Texto"/>
        <w:tabs>
          <w:tab w:val="num" w:pos="851"/>
        </w:tabs>
        <w:spacing w:after="0" w:line="240" w:lineRule="auto"/>
        <w:ind w:left="1134" w:right="1133" w:firstLine="0"/>
        <w:rPr>
          <w:rFonts w:ascii="ITC Avant Garde" w:hAnsi="ITC Avant Garde"/>
          <w:i/>
          <w:szCs w:val="16"/>
          <w:lang w:val="es-MX"/>
        </w:rPr>
      </w:pPr>
    </w:p>
    <w:tbl>
      <w:tblPr>
        <w:tblStyle w:val="Tablaconcuadrcula"/>
        <w:tblW w:w="0" w:type="auto"/>
        <w:jc w:val="center"/>
        <w:tblLook w:val="04A0" w:firstRow="1" w:lastRow="0" w:firstColumn="1" w:lastColumn="0" w:noHBand="0" w:noVBand="1"/>
        <w:tblCaption w:val="MX143"/>
        <w:tblDescription w:val="CANAL Y RANGO DE FRECUENCIAS "/>
      </w:tblPr>
      <w:tblGrid>
        <w:gridCol w:w="835"/>
        <w:gridCol w:w="2274"/>
        <w:gridCol w:w="222"/>
        <w:gridCol w:w="835"/>
        <w:gridCol w:w="2274"/>
      </w:tblGrid>
      <w:tr w:rsidR="004A714B" w:rsidRPr="00F67508" w:rsidTr="004A714B">
        <w:trPr>
          <w:trHeight w:val="340"/>
          <w:tblHeader/>
          <w:jc w:val="center"/>
        </w:trPr>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Canal</w:t>
            </w:r>
          </w:p>
        </w:tc>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Rango de Frecuencias</w:t>
            </w:r>
          </w:p>
        </w:tc>
        <w:tc>
          <w:tcPr>
            <w:tcW w:w="0" w:type="auto"/>
            <w:tcBorders>
              <w:top w:val="nil"/>
              <w:bottom w:val="nil"/>
            </w:tcBorders>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Canal</w:t>
            </w: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Rango de Frecuencias</w:t>
            </w:r>
          </w:p>
        </w:tc>
      </w:tr>
      <w:tr w:rsidR="004A714B" w:rsidRPr="00F67508" w:rsidTr="004A714B">
        <w:trPr>
          <w:trHeight w:val="340"/>
          <w:jc w:val="center"/>
        </w:trPr>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14</w:t>
            </w:r>
          </w:p>
        </w:tc>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470 – 476 MHz</w:t>
            </w:r>
          </w:p>
        </w:tc>
        <w:tc>
          <w:tcPr>
            <w:tcW w:w="0" w:type="auto"/>
            <w:tcBorders>
              <w:top w:val="nil"/>
              <w:bottom w:val="nil"/>
            </w:tcBorders>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26</w:t>
            </w: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542 – 548 MHz</w:t>
            </w:r>
          </w:p>
        </w:tc>
      </w:tr>
      <w:tr w:rsidR="004A714B" w:rsidRPr="00F67508" w:rsidTr="004A714B">
        <w:trPr>
          <w:trHeight w:val="340"/>
          <w:jc w:val="center"/>
        </w:trPr>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15</w:t>
            </w:r>
          </w:p>
        </w:tc>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476 – 482 MHz</w:t>
            </w:r>
          </w:p>
        </w:tc>
        <w:tc>
          <w:tcPr>
            <w:tcW w:w="0" w:type="auto"/>
            <w:tcBorders>
              <w:top w:val="nil"/>
              <w:bottom w:val="nil"/>
            </w:tcBorders>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27</w:t>
            </w: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548 – 554 MHz</w:t>
            </w:r>
          </w:p>
        </w:tc>
      </w:tr>
      <w:tr w:rsidR="004A714B" w:rsidRPr="00F67508" w:rsidTr="004A714B">
        <w:trPr>
          <w:trHeight w:val="340"/>
          <w:jc w:val="center"/>
        </w:trPr>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16</w:t>
            </w:r>
          </w:p>
        </w:tc>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482 – 488 MHz</w:t>
            </w:r>
          </w:p>
        </w:tc>
        <w:tc>
          <w:tcPr>
            <w:tcW w:w="0" w:type="auto"/>
            <w:tcBorders>
              <w:top w:val="nil"/>
              <w:bottom w:val="nil"/>
            </w:tcBorders>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28</w:t>
            </w: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554 – 560 MHz</w:t>
            </w:r>
          </w:p>
        </w:tc>
      </w:tr>
      <w:tr w:rsidR="004A714B" w:rsidRPr="00F67508" w:rsidTr="004A714B">
        <w:trPr>
          <w:trHeight w:val="340"/>
          <w:jc w:val="center"/>
        </w:trPr>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17</w:t>
            </w:r>
          </w:p>
        </w:tc>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488 – 494 MHz</w:t>
            </w:r>
          </w:p>
        </w:tc>
        <w:tc>
          <w:tcPr>
            <w:tcW w:w="0" w:type="auto"/>
            <w:tcBorders>
              <w:top w:val="nil"/>
              <w:bottom w:val="nil"/>
            </w:tcBorders>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29</w:t>
            </w: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560 – 566 MHz</w:t>
            </w:r>
          </w:p>
        </w:tc>
      </w:tr>
      <w:tr w:rsidR="004A714B" w:rsidRPr="00F67508" w:rsidTr="004A714B">
        <w:trPr>
          <w:trHeight w:val="340"/>
          <w:jc w:val="center"/>
        </w:trPr>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18</w:t>
            </w:r>
          </w:p>
        </w:tc>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494 – 500 MHz</w:t>
            </w:r>
          </w:p>
        </w:tc>
        <w:tc>
          <w:tcPr>
            <w:tcW w:w="0" w:type="auto"/>
            <w:tcBorders>
              <w:top w:val="nil"/>
              <w:bottom w:val="nil"/>
            </w:tcBorders>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30</w:t>
            </w: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566 – 572 MHz</w:t>
            </w:r>
          </w:p>
        </w:tc>
      </w:tr>
      <w:tr w:rsidR="004A714B" w:rsidRPr="00F67508" w:rsidTr="004A714B">
        <w:trPr>
          <w:trHeight w:val="340"/>
          <w:jc w:val="center"/>
        </w:trPr>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19</w:t>
            </w:r>
          </w:p>
        </w:tc>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500 – 506 MHz</w:t>
            </w:r>
          </w:p>
        </w:tc>
        <w:tc>
          <w:tcPr>
            <w:tcW w:w="0" w:type="auto"/>
            <w:tcBorders>
              <w:top w:val="nil"/>
              <w:bottom w:val="nil"/>
            </w:tcBorders>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31</w:t>
            </w: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572 – 578 MHz</w:t>
            </w:r>
          </w:p>
        </w:tc>
      </w:tr>
      <w:tr w:rsidR="004A714B" w:rsidRPr="00F67508" w:rsidTr="004A714B">
        <w:trPr>
          <w:trHeight w:val="340"/>
          <w:jc w:val="center"/>
        </w:trPr>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20</w:t>
            </w:r>
          </w:p>
        </w:tc>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506 – 512 MHz</w:t>
            </w:r>
          </w:p>
        </w:tc>
        <w:tc>
          <w:tcPr>
            <w:tcW w:w="0" w:type="auto"/>
            <w:tcBorders>
              <w:top w:val="nil"/>
              <w:bottom w:val="nil"/>
            </w:tcBorders>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32</w:t>
            </w: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578 – 584 MHz</w:t>
            </w:r>
          </w:p>
        </w:tc>
      </w:tr>
      <w:tr w:rsidR="004A714B" w:rsidRPr="00F67508" w:rsidTr="004A714B">
        <w:trPr>
          <w:trHeight w:val="340"/>
          <w:jc w:val="center"/>
        </w:trPr>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21</w:t>
            </w:r>
          </w:p>
        </w:tc>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512 – 518 MHz</w:t>
            </w:r>
          </w:p>
        </w:tc>
        <w:tc>
          <w:tcPr>
            <w:tcW w:w="0" w:type="auto"/>
            <w:tcBorders>
              <w:top w:val="nil"/>
              <w:bottom w:val="nil"/>
            </w:tcBorders>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33</w:t>
            </w: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584 – 590 MHz</w:t>
            </w:r>
          </w:p>
        </w:tc>
      </w:tr>
      <w:tr w:rsidR="004A714B" w:rsidRPr="00F67508" w:rsidTr="004A714B">
        <w:trPr>
          <w:trHeight w:val="340"/>
          <w:jc w:val="center"/>
        </w:trPr>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22</w:t>
            </w:r>
          </w:p>
        </w:tc>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518 – 524 MHz</w:t>
            </w:r>
          </w:p>
        </w:tc>
        <w:tc>
          <w:tcPr>
            <w:tcW w:w="0" w:type="auto"/>
            <w:tcBorders>
              <w:top w:val="nil"/>
              <w:bottom w:val="nil"/>
            </w:tcBorders>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34</w:t>
            </w: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590 – 596 MHz</w:t>
            </w:r>
          </w:p>
        </w:tc>
      </w:tr>
      <w:tr w:rsidR="004A714B" w:rsidRPr="00F67508" w:rsidTr="004A714B">
        <w:trPr>
          <w:trHeight w:val="340"/>
          <w:jc w:val="center"/>
        </w:trPr>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23</w:t>
            </w:r>
          </w:p>
        </w:tc>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524 – 530 MHz</w:t>
            </w:r>
          </w:p>
        </w:tc>
        <w:tc>
          <w:tcPr>
            <w:tcW w:w="0" w:type="auto"/>
            <w:tcBorders>
              <w:top w:val="nil"/>
              <w:bottom w:val="nil"/>
            </w:tcBorders>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35</w:t>
            </w:r>
          </w:p>
        </w:tc>
        <w:tc>
          <w:tcPr>
            <w:tcW w:w="0" w:type="auto"/>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596 – 602 MHz</w:t>
            </w:r>
          </w:p>
        </w:tc>
      </w:tr>
      <w:tr w:rsidR="004A714B" w:rsidRPr="00F67508" w:rsidTr="004A714B">
        <w:trPr>
          <w:trHeight w:val="340"/>
          <w:jc w:val="center"/>
        </w:trPr>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24</w:t>
            </w:r>
          </w:p>
        </w:tc>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530 – 536 MHz</w:t>
            </w:r>
          </w:p>
        </w:tc>
        <w:tc>
          <w:tcPr>
            <w:tcW w:w="0" w:type="auto"/>
            <w:tcBorders>
              <w:top w:val="nil"/>
              <w:bottom w:val="nil"/>
            </w:tcBorders>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p>
        </w:tc>
        <w:tc>
          <w:tcPr>
            <w:tcW w:w="0" w:type="auto"/>
            <w:tcBorders>
              <w:bottom w:val="single" w:sz="4" w:space="0" w:color="auto"/>
            </w:tcBorders>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36</w:t>
            </w:r>
          </w:p>
        </w:tc>
        <w:tc>
          <w:tcPr>
            <w:tcW w:w="0" w:type="auto"/>
            <w:tcBorders>
              <w:bottom w:val="single" w:sz="4" w:space="0" w:color="auto"/>
            </w:tcBorders>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602 – 608 MHz</w:t>
            </w:r>
          </w:p>
        </w:tc>
      </w:tr>
      <w:tr w:rsidR="004A714B" w:rsidRPr="00F67508" w:rsidTr="004A714B">
        <w:trPr>
          <w:trHeight w:val="340"/>
          <w:jc w:val="center"/>
        </w:trPr>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25</w:t>
            </w:r>
          </w:p>
        </w:tc>
        <w:tc>
          <w:tcPr>
            <w:tcW w:w="0" w:type="auto"/>
            <w:vAlign w:val="center"/>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r w:rsidRPr="00F67508">
              <w:rPr>
                <w:rFonts w:ascii="ITC Avant Garde" w:hAnsi="ITC Avant Garde"/>
                <w:i/>
                <w:szCs w:val="16"/>
                <w:lang w:val="es-MX"/>
              </w:rPr>
              <w:t>536 – 542 MHz</w:t>
            </w:r>
          </w:p>
        </w:tc>
        <w:tc>
          <w:tcPr>
            <w:tcW w:w="0" w:type="auto"/>
            <w:tcBorders>
              <w:top w:val="nil"/>
              <w:bottom w:val="nil"/>
              <w:right w:val="nil"/>
            </w:tcBorders>
          </w:tcPr>
          <w:p w:rsidR="004A714B" w:rsidRPr="00F67508" w:rsidRDefault="004A714B" w:rsidP="004A714B">
            <w:pPr>
              <w:pStyle w:val="Texto"/>
              <w:tabs>
                <w:tab w:val="num" w:pos="851"/>
              </w:tabs>
              <w:spacing w:after="0" w:line="240" w:lineRule="auto"/>
              <w:ind w:right="80" w:firstLine="0"/>
              <w:jc w:val="center"/>
              <w:rPr>
                <w:rFonts w:ascii="ITC Avant Garde" w:hAnsi="ITC Avant Garde"/>
                <w:i/>
                <w:szCs w:val="16"/>
                <w:lang w:val="es-MX"/>
              </w:rPr>
            </w:pPr>
          </w:p>
        </w:tc>
        <w:tc>
          <w:tcPr>
            <w:tcW w:w="0" w:type="auto"/>
            <w:tcBorders>
              <w:left w:val="nil"/>
              <w:bottom w:val="nil"/>
              <w:right w:val="nil"/>
            </w:tcBorders>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p>
        </w:tc>
        <w:tc>
          <w:tcPr>
            <w:tcW w:w="0" w:type="auto"/>
            <w:tcBorders>
              <w:left w:val="nil"/>
              <w:bottom w:val="nil"/>
              <w:right w:val="nil"/>
            </w:tcBorders>
            <w:vAlign w:val="center"/>
          </w:tcPr>
          <w:p w:rsidR="004A714B" w:rsidRDefault="004A714B" w:rsidP="004A714B">
            <w:pPr>
              <w:pStyle w:val="Texto"/>
              <w:tabs>
                <w:tab w:val="num" w:pos="851"/>
              </w:tabs>
              <w:spacing w:after="0" w:line="240" w:lineRule="auto"/>
              <w:ind w:right="80" w:firstLine="0"/>
              <w:jc w:val="center"/>
              <w:rPr>
                <w:rFonts w:ascii="ITC Avant Garde" w:hAnsi="ITC Avant Garde"/>
                <w:i/>
                <w:szCs w:val="16"/>
                <w:lang w:val="es-MX"/>
              </w:rPr>
            </w:pPr>
          </w:p>
        </w:tc>
      </w:tr>
    </w:tbl>
    <w:p w:rsidR="00F7521A" w:rsidRDefault="00F7521A" w:rsidP="004A714B">
      <w:pPr>
        <w:pStyle w:val="Texto"/>
        <w:tabs>
          <w:tab w:val="num" w:pos="851"/>
        </w:tabs>
        <w:spacing w:after="0" w:line="240" w:lineRule="auto"/>
        <w:ind w:right="80" w:firstLine="0"/>
        <w:jc w:val="center"/>
        <w:rPr>
          <w:rFonts w:ascii="ITC Avant Garde" w:hAnsi="ITC Avant Garde"/>
          <w:i/>
          <w:szCs w:val="16"/>
          <w:lang w:val="es-MX"/>
        </w:rPr>
      </w:pPr>
    </w:p>
    <w:p w:rsidR="00F7521A" w:rsidRDefault="004A714B" w:rsidP="004A714B">
      <w:pPr>
        <w:contextualSpacing/>
        <w:jc w:val="both"/>
        <w:rPr>
          <w:rFonts w:ascii="ITC Avant Garde" w:hAnsi="ITC Avant Garde"/>
          <w:color w:val="000000" w:themeColor="text1"/>
        </w:rPr>
      </w:pPr>
      <w:r w:rsidRPr="003A6219">
        <w:rPr>
          <w:rFonts w:ascii="ITC Avant Garde" w:hAnsi="ITC Avant Garde"/>
          <w:b/>
          <w:color w:val="000000" w:themeColor="text1"/>
        </w:rPr>
        <w:t>Disposición Técnica:</w:t>
      </w:r>
      <w:r>
        <w:rPr>
          <w:rFonts w:ascii="ITC Avant Garde" w:hAnsi="ITC Avant Garde"/>
          <w:b/>
          <w:color w:val="000000" w:themeColor="text1"/>
        </w:rPr>
        <w:t xml:space="preserve"> </w:t>
      </w:r>
      <w:r w:rsidRPr="00A5766C">
        <w:rPr>
          <w:rFonts w:ascii="ITC Avant Garde" w:hAnsi="ITC Avant Garde"/>
          <w:color w:val="000000" w:themeColor="text1"/>
        </w:rPr>
        <w:t>IFT-0</w:t>
      </w:r>
      <w:r>
        <w:rPr>
          <w:rFonts w:ascii="ITC Avant Garde" w:hAnsi="ITC Avant Garde"/>
          <w:color w:val="000000" w:themeColor="text1"/>
        </w:rPr>
        <w:t>13</w:t>
      </w:r>
      <w:r w:rsidRPr="00A5766C">
        <w:rPr>
          <w:rFonts w:ascii="ITC Avant Garde" w:hAnsi="ITC Avant Garde"/>
          <w:color w:val="000000" w:themeColor="text1"/>
        </w:rPr>
        <w:t xml:space="preserve">-2016: Especificaciones y requerimientos </w:t>
      </w:r>
      <w:r>
        <w:rPr>
          <w:rFonts w:ascii="ITC Avant Garde" w:hAnsi="ITC Avant Garde"/>
          <w:color w:val="000000" w:themeColor="text1"/>
        </w:rPr>
        <w:t>mínimos para la instalación y operación de estaciones de televisión, equipos auxiliares y equipos complementarios.</w:t>
      </w:r>
    </w:p>
    <w:p w:rsidR="00F7521A" w:rsidRDefault="004A714B" w:rsidP="004A714B">
      <w:pPr>
        <w:contextualSpacing/>
        <w:jc w:val="both"/>
        <w:rPr>
          <w:rFonts w:ascii="ITC Avant Garde" w:hAnsi="ITC Avant Garde"/>
          <w:b/>
          <w:color w:val="000000" w:themeColor="text1"/>
        </w:rPr>
      </w:pPr>
      <w:r w:rsidRPr="001F4A89">
        <w:rPr>
          <w:rFonts w:ascii="ITC Avant Garde" w:hAnsi="ITC Avant Garde"/>
          <w:b/>
          <w:color w:val="000000" w:themeColor="text1"/>
        </w:rPr>
        <w:t>Estado Actual.</w:t>
      </w:r>
    </w:p>
    <w:p w:rsidR="00F7521A" w:rsidRDefault="004A714B" w:rsidP="004A714B">
      <w:pPr>
        <w:tabs>
          <w:tab w:val="right" w:leader="dot" w:pos="8828"/>
        </w:tabs>
        <w:contextualSpacing/>
        <w:jc w:val="both"/>
        <w:rPr>
          <w:rFonts w:ascii="ITC Avant Garde" w:eastAsia="Times New Roman" w:hAnsi="ITC Avant Garde" w:cstheme="minorHAnsi"/>
          <w:color w:val="000000" w:themeColor="text1"/>
          <w:lang w:val="es-ES" w:eastAsia="es-ES"/>
        </w:rPr>
      </w:pPr>
      <w:r w:rsidRPr="001F4A89">
        <w:rPr>
          <w:rFonts w:ascii="ITC Avant Garde" w:eastAsia="Times New Roman" w:hAnsi="ITC Avant Garde" w:cstheme="minorHAnsi"/>
          <w:color w:val="000000" w:themeColor="text1"/>
          <w:lang w:val="es-ES" w:eastAsia="es-ES"/>
        </w:rPr>
        <w:t>Esta banda de frecuencias es ampliamente utilizada a nivel internacional para la prestación de servicios de radiodifusión de televisión, dado que se cuenta con estándares y economías a escala suficientes con el objeto de proveer un servicio de interés público.</w:t>
      </w:r>
    </w:p>
    <w:p w:rsidR="00F7521A" w:rsidRDefault="004A714B" w:rsidP="004A714B">
      <w:pPr>
        <w:contextualSpacing/>
        <w:jc w:val="both"/>
        <w:rPr>
          <w:rFonts w:ascii="ITC Avant Garde" w:hAnsi="ITC Avant Garde"/>
          <w:color w:val="000000" w:themeColor="text1"/>
        </w:rPr>
      </w:pPr>
      <w:r w:rsidRPr="009D23B9">
        <w:rPr>
          <w:rFonts w:ascii="ITC Avant Garde" w:hAnsi="ITC Avant Garde"/>
          <w:color w:val="000000" w:themeColor="text1"/>
        </w:rPr>
        <w:t xml:space="preserve">En el caso de México, dado el proceso de transición a la televisión digital terrestre la disponibilidad de canales en esta banda disminuyó </w:t>
      </w:r>
      <w:r>
        <w:rPr>
          <w:rFonts w:ascii="ITC Avant Garde" w:hAnsi="ITC Avant Garde"/>
          <w:color w:val="000000" w:themeColor="text1"/>
        </w:rPr>
        <w:t>como consecuencia de la</w:t>
      </w:r>
      <w:r w:rsidRPr="009D23B9">
        <w:rPr>
          <w:rFonts w:ascii="ITC Avant Garde" w:hAnsi="ITC Avant Garde"/>
          <w:color w:val="000000" w:themeColor="text1"/>
        </w:rPr>
        <w:t xml:space="preserve"> restricción establecida en la política de transición a la televisión digital terrestre en cuanto a utilizar preferentemente canales entre el canal 7 y el 36.</w:t>
      </w:r>
    </w:p>
    <w:p w:rsidR="00F7521A" w:rsidRDefault="004A714B" w:rsidP="004A714B">
      <w:pPr>
        <w:contextualSpacing/>
        <w:jc w:val="both"/>
        <w:rPr>
          <w:rFonts w:ascii="ITC Avant Garde" w:hAnsi="ITC Avant Garde"/>
          <w:color w:val="000000" w:themeColor="text1"/>
        </w:rPr>
      </w:pPr>
      <w:r>
        <w:rPr>
          <w:rFonts w:ascii="ITC Avant Garde" w:hAnsi="ITC Avant Garde"/>
          <w:color w:val="000000" w:themeColor="text1"/>
        </w:rPr>
        <w:t xml:space="preserve">En este sentido, el Programa de Trabajo para reorganizar el espectro a estaciones de radio y televisión, aprobado por el Pleno del Instituto el 16 de diciembre de 2014, </w:t>
      </w:r>
      <w:r w:rsidRPr="009D23B9">
        <w:rPr>
          <w:rFonts w:ascii="ITC Avant Garde" w:hAnsi="ITC Avant Garde"/>
          <w:color w:val="000000" w:themeColor="text1"/>
        </w:rPr>
        <w:t xml:space="preserve">modificado mediante Acuerdo P/IFT/170816/427, de fecha 17 de agosto de 2016, </w:t>
      </w:r>
      <w:r>
        <w:rPr>
          <w:rFonts w:ascii="ITC Avant Garde" w:hAnsi="ITC Avant Garde"/>
          <w:color w:val="000000" w:themeColor="text1"/>
        </w:rPr>
        <w:t xml:space="preserve">establece un programa de reordenamiento del segmento 470-512 MHz para uso exclusivo de servicios de radiodifusión, con lo cual se podrá </w:t>
      </w:r>
      <w:r w:rsidRPr="009D23B9">
        <w:rPr>
          <w:rFonts w:ascii="ITC Avant Garde" w:hAnsi="ITC Avant Garde"/>
          <w:color w:val="000000" w:themeColor="text1"/>
        </w:rPr>
        <w:t xml:space="preserve">poder llevar a cabo el reordenamiento de los más de 200 canales de televisión radiodifundida </w:t>
      </w:r>
      <w:r w:rsidRPr="009D23B9">
        <w:rPr>
          <w:rFonts w:ascii="ITC Avant Garde" w:hAnsi="ITC Avant Garde"/>
          <w:color w:val="000000" w:themeColor="text1"/>
        </w:rPr>
        <w:lastRenderedPageBreak/>
        <w:t>digital que hoy operan en el país en la banda de UHF, por arriba del canal 37, para que lo hagan por debajo de ese canal</w:t>
      </w:r>
      <w:r>
        <w:rPr>
          <w:rFonts w:ascii="ITC Avant Garde" w:hAnsi="ITC Avant Garde"/>
          <w:color w:val="000000" w:themeColor="text1"/>
        </w:rPr>
        <w:t>.</w:t>
      </w: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Estandarización.</w:t>
      </w:r>
    </w:p>
    <w:p w:rsidR="00F7521A" w:rsidRDefault="004A714B" w:rsidP="004A714B">
      <w:pPr>
        <w:contextualSpacing/>
        <w:jc w:val="both"/>
        <w:rPr>
          <w:rFonts w:ascii="ITC Avant Garde" w:hAnsi="ITC Avant Garde"/>
          <w:color w:val="000000" w:themeColor="text1"/>
        </w:rPr>
      </w:pPr>
      <w:r w:rsidRPr="00F67508">
        <w:rPr>
          <w:rFonts w:ascii="ITC Avant Garde" w:hAnsi="ITC Avant Garde"/>
          <w:color w:val="000000" w:themeColor="text1"/>
        </w:rPr>
        <w:t>Es estándar de televisión analógica utilizado en nuestro país es el NTSC y para el caso de televisión digital se adoptó el estándar ATSC/53 en el año de 2004.</w:t>
      </w:r>
    </w:p>
    <w:p w:rsidR="00F7521A" w:rsidRDefault="004A714B" w:rsidP="004A714B">
      <w:pPr>
        <w:contextualSpacing/>
        <w:jc w:val="both"/>
        <w:rPr>
          <w:rFonts w:ascii="ITC Avant Garde" w:hAnsi="ITC Avant Garde"/>
          <w:color w:val="000000" w:themeColor="text1"/>
        </w:rPr>
      </w:pPr>
      <w:r w:rsidRPr="00F67508">
        <w:rPr>
          <w:rFonts w:ascii="ITC Avant Garde" w:hAnsi="ITC Avant Garde"/>
          <w:color w:val="000000" w:themeColor="text1"/>
        </w:rPr>
        <w:t>Con la adopción del estándar digital se hace un uso más eficiente del espectro, lo que permite optimizar y usar eficientemente esta banda.</w:t>
      </w:r>
    </w:p>
    <w:p w:rsidR="00F7521A" w:rsidRDefault="004A714B" w:rsidP="004A714B">
      <w:pPr>
        <w:contextualSpacing/>
        <w:jc w:val="both"/>
        <w:rPr>
          <w:rFonts w:ascii="ITC Avant Garde" w:hAnsi="ITC Avant Garde"/>
          <w:b/>
          <w:color w:val="000000" w:themeColor="text1"/>
        </w:rPr>
      </w:pPr>
      <w:r w:rsidRPr="00F67508">
        <w:rPr>
          <w:rFonts w:ascii="ITC Avant Garde" w:hAnsi="ITC Avant Garde"/>
          <w:b/>
          <w:color w:val="000000" w:themeColor="text1"/>
        </w:rPr>
        <w:t>Economías de Escala.</w:t>
      </w:r>
    </w:p>
    <w:p w:rsidR="00F7521A" w:rsidRDefault="004A714B" w:rsidP="004A714B">
      <w:pPr>
        <w:contextualSpacing/>
        <w:jc w:val="both"/>
        <w:rPr>
          <w:rFonts w:ascii="ITC Avant Garde" w:hAnsi="ITC Avant Garde"/>
          <w:color w:val="000000" w:themeColor="text1"/>
        </w:rPr>
      </w:pPr>
      <w:r w:rsidRPr="00F67508">
        <w:rPr>
          <w:rFonts w:ascii="ITC Avant Garde" w:hAnsi="ITC Avant Garde"/>
          <w:color w:val="000000" w:themeColor="text1"/>
        </w:rPr>
        <w:t>En la actualidad existen diversos proveedores de equipos transmisores y receptores compatibles con el estándar ATSC/53, posibilitando una amplia gama de equipamiento que permite su disponibilidad a costos razonables.</w:t>
      </w:r>
    </w:p>
    <w:p w:rsidR="00F7521A" w:rsidRDefault="004A714B" w:rsidP="004A714B">
      <w:pPr>
        <w:pStyle w:val="Textoindependiente"/>
      </w:pPr>
      <w:r w:rsidRPr="00F67508">
        <w:t xml:space="preserve">La </w:t>
      </w:r>
      <w:proofErr w:type="spellStart"/>
      <w:r w:rsidRPr="00F67508">
        <w:t>adopción</w:t>
      </w:r>
      <w:proofErr w:type="spellEnd"/>
      <w:r w:rsidRPr="00F67508">
        <w:t xml:space="preserve"> del </w:t>
      </w:r>
      <w:proofErr w:type="spellStart"/>
      <w:r w:rsidRPr="00F67508">
        <w:t>estándar</w:t>
      </w:r>
      <w:proofErr w:type="spellEnd"/>
      <w:r w:rsidRPr="00F67508">
        <w:t xml:space="preserve"> digital </w:t>
      </w:r>
      <w:proofErr w:type="spellStart"/>
      <w:r w:rsidRPr="00F67508">
        <w:t>por</w:t>
      </w:r>
      <w:proofErr w:type="spellEnd"/>
      <w:r w:rsidRPr="00F67508">
        <w:t xml:space="preserve"> </w:t>
      </w:r>
      <w:proofErr w:type="spellStart"/>
      <w:r w:rsidRPr="00F67508">
        <w:t>varios</w:t>
      </w:r>
      <w:proofErr w:type="spellEnd"/>
      <w:r w:rsidRPr="00F67508">
        <w:t xml:space="preserve"> </w:t>
      </w:r>
      <w:proofErr w:type="spellStart"/>
      <w:r w:rsidRPr="00F67508">
        <w:t>países</w:t>
      </w:r>
      <w:proofErr w:type="spellEnd"/>
      <w:r w:rsidRPr="00F67508">
        <w:t xml:space="preserve"> del </w:t>
      </w:r>
      <w:proofErr w:type="spellStart"/>
      <w:r w:rsidRPr="00F67508">
        <w:t>continente</w:t>
      </w:r>
      <w:proofErr w:type="spellEnd"/>
      <w:r w:rsidRPr="00F67508">
        <w:t xml:space="preserve"> </w:t>
      </w:r>
      <w:proofErr w:type="spellStart"/>
      <w:r w:rsidRPr="00F67508">
        <w:t>americano</w:t>
      </w:r>
      <w:proofErr w:type="spellEnd"/>
      <w:r w:rsidRPr="00F67508">
        <w:t xml:space="preserve"> </w:t>
      </w:r>
      <w:proofErr w:type="spellStart"/>
      <w:r w:rsidRPr="00F67508">
        <w:t>favorecerá</w:t>
      </w:r>
      <w:proofErr w:type="spellEnd"/>
      <w:r w:rsidRPr="00F67508">
        <w:t xml:space="preserve"> </w:t>
      </w:r>
      <w:proofErr w:type="spellStart"/>
      <w:r w:rsidRPr="00F67508">
        <w:t>las</w:t>
      </w:r>
      <w:proofErr w:type="spellEnd"/>
      <w:r w:rsidRPr="00F67508">
        <w:t xml:space="preserve"> </w:t>
      </w:r>
      <w:proofErr w:type="spellStart"/>
      <w:r w:rsidRPr="00F67508">
        <w:t>economías</w:t>
      </w:r>
      <w:proofErr w:type="spellEnd"/>
      <w:r w:rsidRPr="00F67508">
        <w:t xml:space="preserve"> de </w:t>
      </w:r>
      <w:proofErr w:type="spellStart"/>
      <w:r w:rsidRPr="00F67508">
        <w:t>escala</w:t>
      </w:r>
      <w:proofErr w:type="spellEnd"/>
      <w:r w:rsidRPr="00F67508">
        <w:t xml:space="preserve"> de </w:t>
      </w:r>
      <w:proofErr w:type="spellStart"/>
      <w:r w:rsidRPr="00F67508">
        <w:t>este</w:t>
      </w:r>
      <w:proofErr w:type="spellEnd"/>
      <w:r w:rsidRPr="00F67508">
        <w:t xml:space="preserve"> </w:t>
      </w:r>
      <w:proofErr w:type="spellStart"/>
      <w:r w:rsidRPr="00F67508">
        <w:t>mercado</w:t>
      </w:r>
      <w:proofErr w:type="spellEnd"/>
      <w:r w:rsidRPr="00F67508">
        <w:t xml:space="preserve"> a fin de </w:t>
      </w:r>
      <w:proofErr w:type="spellStart"/>
      <w:r w:rsidRPr="00F67508">
        <w:t>que</w:t>
      </w:r>
      <w:proofErr w:type="spellEnd"/>
      <w:r w:rsidRPr="00F67508">
        <w:t xml:space="preserve"> el </w:t>
      </w:r>
      <w:proofErr w:type="spellStart"/>
      <w:r w:rsidRPr="00F67508">
        <w:t>precio</w:t>
      </w:r>
      <w:proofErr w:type="spellEnd"/>
      <w:r w:rsidRPr="00F67508">
        <w:t xml:space="preserve"> de los </w:t>
      </w:r>
      <w:proofErr w:type="spellStart"/>
      <w:r w:rsidRPr="00F67508">
        <w:t>receptores</w:t>
      </w:r>
      <w:proofErr w:type="spellEnd"/>
      <w:r w:rsidRPr="00F67508">
        <w:t xml:space="preserve"> sea </w:t>
      </w:r>
      <w:proofErr w:type="spellStart"/>
      <w:r w:rsidRPr="00F67508">
        <w:t>cada</w:t>
      </w:r>
      <w:proofErr w:type="spellEnd"/>
      <w:r w:rsidRPr="00F67508">
        <w:t xml:space="preserve"> </w:t>
      </w:r>
      <w:proofErr w:type="spellStart"/>
      <w:r w:rsidRPr="00F67508">
        <w:t>vez</w:t>
      </w:r>
      <w:proofErr w:type="spellEnd"/>
      <w:r w:rsidRPr="00F67508">
        <w:t xml:space="preserve"> </w:t>
      </w:r>
      <w:proofErr w:type="spellStart"/>
      <w:r w:rsidRPr="00F67508">
        <w:t>más</w:t>
      </w:r>
      <w:proofErr w:type="spellEnd"/>
      <w:r w:rsidRPr="00F67508">
        <w:t xml:space="preserve"> </w:t>
      </w:r>
      <w:proofErr w:type="spellStart"/>
      <w:r w:rsidRPr="00F67508">
        <w:t>accesible</w:t>
      </w:r>
      <w:proofErr w:type="spellEnd"/>
      <w:r w:rsidRPr="00F67508">
        <w:t xml:space="preserve"> al </w:t>
      </w:r>
      <w:proofErr w:type="spellStart"/>
      <w:r w:rsidRPr="00F67508">
        <w:t>público</w:t>
      </w:r>
      <w:proofErr w:type="spellEnd"/>
      <w:r w:rsidRPr="00F67508">
        <w:t xml:space="preserve"> </w:t>
      </w:r>
      <w:proofErr w:type="spellStart"/>
      <w:r w:rsidRPr="00F67508">
        <w:t>televidente</w:t>
      </w:r>
      <w:proofErr w:type="spellEnd"/>
      <w:r w:rsidRPr="00F67508">
        <w:t xml:space="preserve"> y para </w:t>
      </w:r>
      <w:proofErr w:type="spellStart"/>
      <w:r w:rsidRPr="00F67508">
        <w:t>que</w:t>
      </w:r>
      <w:proofErr w:type="spellEnd"/>
      <w:r w:rsidRPr="00F67508">
        <w:t xml:space="preserve"> se </w:t>
      </w:r>
      <w:proofErr w:type="spellStart"/>
      <w:r w:rsidRPr="00F67508">
        <w:t>cuente</w:t>
      </w:r>
      <w:proofErr w:type="spellEnd"/>
      <w:r w:rsidRPr="00F67508">
        <w:t xml:space="preserve"> con mayor </w:t>
      </w:r>
      <w:proofErr w:type="spellStart"/>
      <w:r w:rsidRPr="00F67508">
        <w:t>diversidad</w:t>
      </w:r>
      <w:proofErr w:type="spellEnd"/>
      <w:r w:rsidRPr="00F67508">
        <w:t xml:space="preserve"> de </w:t>
      </w:r>
      <w:proofErr w:type="spellStart"/>
      <w:r w:rsidRPr="00F67508">
        <w:t>productos</w:t>
      </w:r>
      <w:proofErr w:type="spellEnd"/>
      <w:r w:rsidRPr="00F67508">
        <w:t xml:space="preserve">, </w:t>
      </w:r>
      <w:proofErr w:type="spellStart"/>
      <w:r w:rsidRPr="00F67508">
        <w:t>facilitando</w:t>
      </w:r>
      <w:proofErr w:type="spellEnd"/>
      <w:r w:rsidRPr="00F67508">
        <w:t xml:space="preserve"> con </w:t>
      </w:r>
      <w:proofErr w:type="spellStart"/>
      <w:r w:rsidRPr="00F67508">
        <w:t>ello</w:t>
      </w:r>
      <w:proofErr w:type="spellEnd"/>
      <w:r w:rsidRPr="00F67508">
        <w:t xml:space="preserve"> la </w:t>
      </w:r>
      <w:proofErr w:type="spellStart"/>
      <w:r w:rsidRPr="00F67508">
        <w:t>migración</w:t>
      </w:r>
      <w:proofErr w:type="spellEnd"/>
      <w:r w:rsidRPr="00F67508">
        <w:t xml:space="preserve"> a la </w:t>
      </w:r>
      <w:proofErr w:type="spellStart"/>
      <w:r w:rsidRPr="00F67508">
        <w:t>tecnología</w:t>
      </w:r>
      <w:proofErr w:type="spellEnd"/>
      <w:r w:rsidRPr="00F67508">
        <w:t xml:space="preserve"> digital.</w:t>
      </w:r>
    </w:p>
    <w:p w:rsidR="00986D2A" w:rsidRPr="00711B86" w:rsidRDefault="00986D2A" w:rsidP="004A714B">
      <w:pPr>
        <w:spacing w:after="101" w:line="278" w:lineRule="exact"/>
        <w:jc w:val="right"/>
        <w:rPr>
          <w:rFonts w:ascii="Arial" w:eastAsia="Times New Roman" w:hAnsi="Arial" w:cs="Arial"/>
          <w:b/>
          <w:sz w:val="18"/>
          <w:szCs w:val="20"/>
          <w:lang w:val="es-ES_tradnl" w:eastAsia="es-ES"/>
        </w:rPr>
      </w:pPr>
    </w:p>
    <w:sectPr w:rsidR="00986D2A" w:rsidRPr="00711B86" w:rsidSect="004A714B">
      <w:type w:val="continuous"/>
      <w:pgSz w:w="12240" w:h="15840" w:code="1"/>
      <w:pgMar w:top="2268" w:right="1797" w:bottom="1559" w:left="1797" w:header="993"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3F0" w:rsidRDefault="007413F0" w:rsidP="005B12CA">
      <w:pPr>
        <w:spacing w:after="0" w:line="240" w:lineRule="auto"/>
      </w:pPr>
      <w:r>
        <w:separator/>
      </w:r>
    </w:p>
  </w:endnote>
  <w:endnote w:type="continuationSeparator" w:id="0">
    <w:p w:rsidR="007413F0" w:rsidRDefault="007413F0" w:rsidP="005B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504020202030204"/>
    <w:charset w:val="00"/>
    <w:family w:val="swiss"/>
    <w:pitch w:val="variable"/>
    <w:sig w:usb0="00000007"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Catriel">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Bold">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TimesNewRoman,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14B" w:rsidRPr="004A714B" w:rsidRDefault="004A714B" w:rsidP="004A71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14B" w:rsidRPr="008F5AEE" w:rsidRDefault="004A714B" w:rsidP="004A714B">
    <w:pPr>
      <w:pStyle w:val="Piedepgina"/>
      <w:jc w:val="right"/>
      <w:rPr>
        <w:rFonts w:ascii="ITC Avant Garde" w:hAnsi="ITC Avant Garde"/>
        <w:b/>
        <w:sz w:val="16"/>
        <w:szCs w:val="16"/>
      </w:rPr>
    </w:pPr>
    <w:r w:rsidRPr="00293219">
      <w:rPr>
        <w:rFonts w:ascii="ITC Avant Garde" w:hAnsi="ITC Avant Garde"/>
        <w:b/>
        <w:sz w:val="16"/>
        <w:szCs w:val="16"/>
      </w:rPr>
      <w:fldChar w:fldCharType="begin"/>
    </w:r>
    <w:r w:rsidRPr="00293219">
      <w:rPr>
        <w:rFonts w:ascii="ITC Avant Garde" w:hAnsi="ITC Avant Garde"/>
        <w:b/>
        <w:sz w:val="16"/>
        <w:szCs w:val="16"/>
      </w:rPr>
      <w:instrText xml:space="preserve"> PAGE </w:instrText>
    </w:r>
    <w:r w:rsidRPr="00293219">
      <w:rPr>
        <w:rFonts w:ascii="ITC Avant Garde" w:hAnsi="ITC Avant Garde"/>
        <w:b/>
        <w:sz w:val="16"/>
        <w:szCs w:val="16"/>
      </w:rPr>
      <w:fldChar w:fldCharType="separate"/>
    </w:r>
    <w:r w:rsidR="007062E9">
      <w:rPr>
        <w:rFonts w:ascii="ITC Avant Garde" w:hAnsi="ITC Avant Garde"/>
        <w:b/>
        <w:noProof/>
        <w:sz w:val="16"/>
        <w:szCs w:val="16"/>
      </w:rPr>
      <w:t>12</w:t>
    </w:r>
    <w:r w:rsidRPr="00293219">
      <w:rPr>
        <w:rFonts w:ascii="ITC Avant Garde" w:hAnsi="ITC Avant Garde"/>
        <w:b/>
        <w:sz w:val="16"/>
        <w:szCs w:val="16"/>
      </w:rPr>
      <w:fldChar w:fldCharType="end"/>
    </w:r>
    <w:r w:rsidRPr="00293219">
      <w:rPr>
        <w:rFonts w:ascii="ITC Avant Garde" w:hAnsi="ITC Avant Garde"/>
        <w:b/>
        <w:sz w:val="16"/>
        <w:szCs w:val="16"/>
      </w:rPr>
      <w:t xml:space="preserve"> de </w:t>
    </w:r>
    <w:r w:rsidR="007062E9">
      <w:rPr>
        <w:rFonts w:ascii="ITC Avant Garde" w:hAnsi="ITC Avant Garde"/>
        <w:b/>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3F0" w:rsidRDefault="007413F0" w:rsidP="005B12CA">
      <w:pPr>
        <w:spacing w:after="0" w:line="240" w:lineRule="auto"/>
      </w:pPr>
      <w:r>
        <w:separator/>
      </w:r>
    </w:p>
  </w:footnote>
  <w:footnote w:type="continuationSeparator" w:id="0">
    <w:p w:rsidR="007413F0" w:rsidRDefault="007413F0" w:rsidP="005B12CA">
      <w:pPr>
        <w:spacing w:after="0" w:line="240" w:lineRule="auto"/>
      </w:pPr>
      <w:r>
        <w:continuationSeparator/>
      </w:r>
    </w:p>
  </w:footnote>
  <w:footnote w:id="1">
    <w:p w:rsidR="005B12CA" w:rsidRPr="00873151" w:rsidRDefault="005B12CA" w:rsidP="005B12CA">
      <w:pPr>
        <w:pStyle w:val="Texto"/>
        <w:spacing w:after="0" w:line="240" w:lineRule="auto"/>
        <w:ind w:firstLine="0"/>
        <w:rPr>
          <w:sz w:val="14"/>
          <w:szCs w:val="14"/>
        </w:rPr>
      </w:pPr>
      <w:r w:rsidRPr="0037311D">
        <w:rPr>
          <w:rStyle w:val="Refdenotaalpie"/>
        </w:rPr>
        <w:footnoteRef/>
      </w:r>
      <w:r w:rsidRPr="00873151">
        <w:rPr>
          <w:sz w:val="14"/>
          <w:szCs w:val="14"/>
        </w:rPr>
        <w:t xml:space="preserve"> Las solicitudes de inclusión recibidas previamente a esta fecha fueron analizadas para efectos del Programa 2017, publicado en el DOF el 08 de noviembre de 2016. </w:t>
      </w:r>
    </w:p>
  </w:footnote>
  <w:footnote w:id="2">
    <w:p w:rsidR="005B12CA" w:rsidRPr="00873151" w:rsidRDefault="005B12CA" w:rsidP="005B12CA">
      <w:pPr>
        <w:pStyle w:val="Texto"/>
        <w:spacing w:after="0" w:line="240" w:lineRule="auto"/>
        <w:ind w:firstLine="0"/>
        <w:rPr>
          <w:sz w:val="14"/>
          <w:szCs w:val="14"/>
        </w:rPr>
      </w:pPr>
      <w:r w:rsidRPr="0037311D">
        <w:rPr>
          <w:rStyle w:val="Refdenotaalpie"/>
        </w:rPr>
        <w:footnoteRef/>
      </w:r>
      <w:r w:rsidRPr="00873151">
        <w:rPr>
          <w:position w:val="8"/>
          <w:sz w:val="14"/>
          <w:szCs w:val="14"/>
        </w:rPr>
        <w:t xml:space="preserve"> </w:t>
      </w:r>
      <w:r w:rsidRPr="00873151">
        <w:rPr>
          <w:sz w:val="14"/>
          <w:szCs w:val="14"/>
        </w:rPr>
        <w:t xml:space="preserve">Con propósitos de comunicación privada (Artículo 76 fracción III inciso a de </w:t>
      </w:r>
      <w:smartTag w:uri="urn:schemas-microsoft-com:office:smarttags" w:element="PersonName">
        <w:smartTagPr>
          <w:attr w:name="ProductID" w:val="la Ley"/>
        </w:smartTagPr>
        <w:r w:rsidRPr="00873151">
          <w:rPr>
            <w:sz w:val="14"/>
            <w:szCs w:val="14"/>
          </w:rPr>
          <w:t>la Ley</w:t>
        </w:r>
      </w:smartTag>
      <w:r w:rsidRPr="00873151">
        <w:rPr>
          <w:sz w:val="14"/>
          <w:szCs w:val="14"/>
        </w:rPr>
        <w:t>).</w:t>
      </w:r>
    </w:p>
  </w:footnote>
  <w:footnote w:id="3">
    <w:p w:rsidR="005B12CA" w:rsidRPr="00873151" w:rsidRDefault="005B12CA" w:rsidP="005B12CA">
      <w:pPr>
        <w:pStyle w:val="Texto"/>
        <w:spacing w:after="0" w:line="240" w:lineRule="auto"/>
        <w:ind w:firstLine="0"/>
        <w:rPr>
          <w:sz w:val="14"/>
          <w:szCs w:val="14"/>
        </w:rPr>
      </w:pPr>
      <w:r w:rsidRPr="0037311D">
        <w:rPr>
          <w:rStyle w:val="Refdenotaalpie"/>
        </w:rPr>
        <w:footnoteRef/>
      </w:r>
      <w:r w:rsidRPr="00873151">
        <w:rPr>
          <w:sz w:val="14"/>
          <w:szCs w:val="14"/>
        </w:rPr>
        <w:t xml:space="preserve"> En la práctica decisoria del Instituto se entiende por </w:t>
      </w:r>
      <w:r w:rsidRPr="00873151">
        <w:rPr>
          <w:color w:val="000000"/>
          <w:sz w:val="14"/>
          <w:szCs w:val="14"/>
        </w:rPr>
        <w:t xml:space="preserve">GIE el </w:t>
      </w:r>
      <w:r w:rsidRPr="00873151">
        <w:rPr>
          <w:sz w:val="14"/>
          <w:szCs w:val="14"/>
        </w:rPr>
        <w:t xml:space="preserve">conjunto de sujetos de derecho con intereses comerciales y financieros afines que coordinan sus actividades para participar en los mercados y actividades económicas, a través del control o influencia decisiva, directa o indirecta, que uno de sus integrantes ejerce sobre los demás. Ver, por ejemplo, Jurisprudencia por reiteración I.4º.A. J/66, con número de registro 168,470, emitida en </w:t>
      </w:r>
      <w:smartTag w:uri="urn:schemas-microsoft-com:office:smarttags" w:element="PersonName">
        <w:smartTagPr>
          <w:attr w:name="ProductID" w:val="la Novena"/>
        </w:smartTagPr>
        <w:r w:rsidRPr="00873151">
          <w:rPr>
            <w:sz w:val="14"/>
            <w:szCs w:val="14"/>
          </w:rPr>
          <w:t>la Novena</w:t>
        </w:r>
      </w:smartTag>
      <w:r w:rsidRPr="00873151">
        <w:rPr>
          <w:sz w:val="14"/>
          <w:szCs w:val="14"/>
        </w:rPr>
        <w:t xml:space="preserve"> Época y publicada en el Semanario Judicial de </w:t>
      </w:r>
      <w:smartTag w:uri="urn:schemas-microsoft-com:office:smarttags" w:element="PersonName">
        <w:smartTagPr>
          <w:attr w:name="ProductID" w:val="La Federaci￳n"/>
        </w:smartTagPr>
        <w:r w:rsidRPr="00873151">
          <w:rPr>
            <w:sz w:val="14"/>
            <w:szCs w:val="14"/>
          </w:rPr>
          <w:t>la Federación</w:t>
        </w:r>
      </w:smartTag>
      <w:r w:rsidRPr="00873151">
        <w:rPr>
          <w:sz w:val="14"/>
          <w:szCs w:val="14"/>
        </w:rPr>
        <w:t xml:space="preserve"> y su Gaceta (t. XXVIII), en noviembre de 2008, visible a página 1,244.</w:t>
      </w:r>
    </w:p>
  </w:footnote>
  <w:footnote w:id="4">
    <w:p w:rsidR="005B12CA" w:rsidRPr="00873151" w:rsidRDefault="005B12CA" w:rsidP="005B12CA">
      <w:pPr>
        <w:pStyle w:val="Texto"/>
        <w:spacing w:after="0" w:line="240" w:lineRule="auto"/>
        <w:ind w:firstLine="0"/>
        <w:rPr>
          <w:sz w:val="14"/>
          <w:szCs w:val="14"/>
        </w:rPr>
      </w:pPr>
      <w:r w:rsidRPr="0037311D">
        <w:rPr>
          <w:rStyle w:val="Refdenotaalpie"/>
        </w:rPr>
        <w:footnoteRef/>
      </w:r>
      <w:r w:rsidRPr="00873151">
        <w:rPr>
          <w:sz w:val="14"/>
          <w:szCs w:val="14"/>
        </w:rPr>
        <w:t xml:space="preserve"> Esta referencia de 35%, se encuentra en el “CRITERIO TÉCNICO PARA EL CÁLCULO Y APLICACIÓN DE UN ÍNDICE CUANTITATIVO A FIN DE DETERMINAR EL GRADO DE CONCENTRACIÓN EN LOS MERCADOS Y SERVICIOS CORRESPONDIENTES A LOS SECTORES DE TELECOMUNICACIONES Y RADIODIFUSIÓN”.</w:t>
      </w:r>
    </w:p>
  </w:footnote>
  <w:footnote w:id="5">
    <w:p w:rsidR="005B12CA" w:rsidRPr="00873151" w:rsidRDefault="005B12CA" w:rsidP="005B12CA">
      <w:pPr>
        <w:pStyle w:val="Texto"/>
        <w:spacing w:after="0" w:line="240" w:lineRule="auto"/>
        <w:ind w:firstLine="0"/>
        <w:rPr>
          <w:sz w:val="14"/>
          <w:szCs w:val="14"/>
        </w:rPr>
      </w:pPr>
      <w:r w:rsidRPr="0037311D">
        <w:rPr>
          <w:rStyle w:val="Refdenotaalpie"/>
        </w:rPr>
        <w:footnoteRef/>
      </w:r>
      <w:r w:rsidRPr="00873151">
        <w:rPr>
          <w:sz w:val="14"/>
          <w:szCs w:val="14"/>
        </w:rPr>
        <w:t xml:space="preserve">Conforme a: </w:t>
      </w:r>
    </w:p>
    <w:p w:rsidR="005B12CA" w:rsidRPr="00873151" w:rsidRDefault="005B12CA" w:rsidP="005B12CA">
      <w:pPr>
        <w:pStyle w:val="Texto"/>
        <w:spacing w:after="0" w:line="240" w:lineRule="auto"/>
        <w:ind w:left="432" w:hanging="432"/>
        <w:rPr>
          <w:sz w:val="14"/>
          <w:szCs w:val="14"/>
        </w:rPr>
      </w:pPr>
      <w:r w:rsidRPr="00873151">
        <w:rPr>
          <w:sz w:val="14"/>
          <w:szCs w:val="14"/>
        </w:rPr>
        <w:t>i)</w:t>
      </w:r>
      <w:r w:rsidRPr="00873151">
        <w:rPr>
          <w:sz w:val="14"/>
          <w:szCs w:val="14"/>
        </w:rPr>
        <w:tab/>
        <w:t xml:space="preserve">“RESOLUCIÓN por la que se da a conocer el método para el cálculo de los índices para determinar el grado de concentración que exista en el mercado relevante y los criterios para su aplicación”, emitida por la extinta Comisión Federal de Competencia y publicada en el Diario Oficial de </w:t>
      </w:r>
      <w:smartTag w:uri="urn:schemas-microsoft-com:office:smarttags" w:element="PersonName">
        <w:smartTagPr>
          <w:attr w:name="ProductID" w:val="La Federaci￳n"/>
        </w:smartTagPr>
        <w:r w:rsidRPr="00873151">
          <w:rPr>
            <w:sz w:val="14"/>
            <w:szCs w:val="14"/>
          </w:rPr>
          <w:t>la Federación</w:t>
        </w:r>
      </w:smartTag>
      <w:r w:rsidRPr="00873151">
        <w:rPr>
          <w:sz w:val="14"/>
          <w:szCs w:val="14"/>
        </w:rPr>
        <w:t xml:space="preserve"> el 24 de julio de 1998. Disponible en: </w:t>
      </w:r>
      <w:r w:rsidRPr="00873151">
        <w:rPr>
          <w:sz w:val="14"/>
          <w:szCs w:val="14"/>
          <w:u w:val="single"/>
        </w:rPr>
        <w:t xml:space="preserve">http://dof.gob.mx/nota_detalle.php?codigo=4888039&amp;fecha=24/07/1998. </w:t>
      </w:r>
      <w:r w:rsidRPr="00873151">
        <w:rPr>
          <w:sz w:val="14"/>
          <w:szCs w:val="14"/>
        </w:rPr>
        <w:t>Para casos evaluados antes del doce de abril de 2017; y</w:t>
      </w:r>
    </w:p>
    <w:p w:rsidR="005B12CA" w:rsidRPr="00873151" w:rsidRDefault="005B12CA" w:rsidP="005B12CA">
      <w:pPr>
        <w:pStyle w:val="Texto"/>
        <w:spacing w:after="0" w:line="240" w:lineRule="auto"/>
        <w:ind w:left="432" w:hanging="432"/>
        <w:rPr>
          <w:sz w:val="14"/>
          <w:szCs w:val="14"/>
        </w:rPr>
      </w:pPr>
      <w:r w:rsidRPr="00873151">
        <w:rPr>
          <w:sz w:val="14"/>
          <w:szCs w:val="14"/>
        </w:rPr>
        <w:t>ii)</w:t>
      </w:r>
      <w:r w:rsidRPr="00873151">
        <w:rPr>
          <w:sz w:val="14"/>
          <w:szCs w:val="14"/>
        </w:rPr>
        <w:tab/>
        <w:t xml:space="preserve">“ACUERDO mediante el cual el Pleno del Instituto Federal de Telecomunicaciones expide el criterio técnico para el cálculo y aplicación de un índice cuantitativo a fin de determinar el grado de concentración en los mercados y servicios correspondientes a los sectores de telecomunicaciones y radiodifusión”, emitido por Instituto Federal de Telecomunicaciones y publicado en el Diario Oficial de </w:t>
      </w:r>
      <w:smartTag w:uri="urn:schemas-microsoft-com:office:smarttags" w:element="PersonName">
        <w:smartTagPr>
          <w:attr w:name="ProductID" w:val="La Federaci￳n"/>
        </w:smartTagPr>
        <w:r w:rsidRPr="00873151">
          <w:rPr>
            <w:sz w:val="14"/>
            <w:szCs w:val="14"/>
          </w:rPr>
          <w:t>la Federación</w:t>
        </w:r>
      </w:smartTag>
      <w:r w:rsidRPr="00873151">
        <w:rPr>
          <w:sz w:val="14"/>
          <w:szCs w:val="14"/>
        </w:rPr>
        <w:t xml:space="preserve"> el once de abril de 2016. Disponible en </w:t>
      </w:r>
      <w:r w:rsidRPr="00873151">
        <w:rPr>
          <w:sz w:val="14"/>
          <w:szCs w:val="14"/>
          <w:u w:val="single"/>
        </w:rPr>
        <w:t>http://www.dof.gob.mx/nota_detalle.php?codigo=5432595&amp;fecha=11/04/2016.</w:t>
      </w:r>
      <w:r w:rsidRPr="00873151">
        <w:rPr>
          <w:sz w:val="14"/>
          <w:szCs w:val="14"/>
        </w:rPr>
        <w:t xml:space="preserve"> Para casos evaluados a partir del doce de abril de 2017.</w:t>
      </w:r>
    </w:p>
  </w:footnote>
  <w:footnote w:id="6">
    <w:p w:rsidR="005B12CA" w:rsidRPr="00873151" w:rsidRDefault="005B12CA" w:rsidP="005B12CA">
      <w:pPr>
        <w:pStyle w:val="Texto"/>
        <w:spacing w:after="0" w:line="240" w:lineRule="auto"/>
        <w:ind w:firstLine="0"/>
        <w:rPr>
          <w:sz w:val="14"/>
          <w:szCs w:val="14"/>
        </w:rPr>
      </w:pPr>
      <w:r w:rsidRPr="0037311D">
        <w:rPr>
          <w:rStyle w:val="Refdenotaalpie"/>
        </w:rPr>
        <w:footnoteRef/>
      </w:r>
      <w:r w:rsidRPr="00873151">
        <w:rPr>
          <w:sz w:val="14"/>
          <w:szCs w:val="14"/>
        </w:rPr>
        <w:t xml:space="preserve"> Ver, por ejemplo, las versiones públicas de las Resoluciones emitidas en los expedientes E-IFT/UC/OCC/0001/2013, </w:t>
      </w:r>
      <w:r>
        <w:rPr>
          <w:sz w:val="14"/>
          <w:szCs w:val="14"/>
        </w:rPr>
        <w:br/>
      </w:r>
      <w:r w:rsidRPr="00873151">
        <w:rPr>
          <w:sz w:val="14"/>
          <w:szCs w:val="14"/>
        </w:rPr>
        <w:t>E-IFT/UC/OCC/0007/2013 y E-IFT/UC/ONP/0012/2013. Disponibles, respectivamente, en:</w:t>
      </w:r>
    </w:p>
    <w:p w:rsidR="005B12CA" w:rsidRPr="00873151" w:rsidRDefault="005B12CA" w:rsidP="005B12CA">
      <w:pPr>
        <w:pStyle w:val="Texto"/>
        <w:spacing w:after="0" w:line="240" w:lineRule="auto"/>
        <w:ind w:firstLine="0"/>
        <w:rPr>
          <w:sz w:val="14"/>
          <w:szCs w:val="14"/>
        </w:rPr>
      </w:pPr>
      <w:r w:rsidRPr="00873151">
        <w:rPr>
          <w:sz w:val="14"/>
          <w:szCs w:val="14"/>
          <w:u w:val="single"/>
        </w:rPr>
        <w:t>http</w:t>
      </w:r>
      <w:proofErr w:type="gramStart"/>
      <w:r w:rsidRPr="00873151">
        <w:rPr>
          <w:sz w:val="14"/>
          <w:szCs w:val="14"/>
          <w:u w:val="single"/>
        </w:rPr>
        <w:t>:/</w:t>
      </w:r>
      <w:proofErr w:type="gramEnd"/>
      <w:r w:rsidRPr="00873151">
        <w:rPr>
          <w:sz w:val="14"/>
          <w:szCs w:val="14"/>
          <w:u w:val="single"/>
        </w:rPr>
        <w:t>/apps.ift.org.mx/publicdata/versionpublicapift18031590_1.pdf</w:t>
      </w:r>
      <w:r w:rsidRPr="00873151">
        <w:rPr>
          <w:sz w:val="14"/>
          <w:szCs w:val="14"/>
        </w:rPr>
        <w:t xml:space="preserve">, páginas 45 a 49; </w:t>
      </w:r>
      <w:r w:rsidRPr="00873151">
        <w:rPr>
          <w:sz w:val="14"/>
          <w:szCs w:val="14"/>
          <w:u w:val="single"/>
        </w:rPr>
        <w:t>http://apps.ift.org.mx/publicdata/versionpublicapift18031591_2, páginas 47 a 53, .</w:t>
      </w:r>
      <w:proofErr w:type="spellStart"/>
      <w:r w:rsidRPr="00873151">
        <w:rPr>
          <w:sz w:val="14"/>
          <w:szCs w:val="14"/>
          <w:u w:val="single"/>
        </w:rPr>
        <w:t>pdf</w:t>
      </w:r>
      <w:proofErr w:type="spellEnd"/>
      <w:r w:rsidRPr="00873151">
        <w:rPr>
          <w:sz w:val="14"/>
          <w:szCs w:val="14"/>
        </w:rPr>
        <w:t xml:space="preserve"> y </w:t>
      </w:r>
      <w:r w:rsidRPr="00873151">
        <w:rPr>
          <w:sz w:val="14"/>
          <w:szCs w:val="14"/>
          <w:u w:val="single"/>
        </w:rPr>
        <w:t>http://apps.ift.org.mx/publicdata/versionpublicapift18031592.pdf,páginas</w:t>
      </w:r>
      <w:r w:rsidRPr="00873151">
        <w:rPr>
          <w:sz w:val="14"/>
          <w:szCs w:val="14"/>
        </w:rPr>
        <w:t xml:space="preserve"> 37 a 42.</w:t>
      </w:r>
    </w:p>
  </w:footnote>
  <w:footnote w:id="7">
    <w:p w:rsidR="005B12CA" w:rsidRPr="00873151" w:rsidRDefault="005B12CA" w:rsidP="005B12CA">
      <w:pPr>
        <w:pStyle w:val="Texto"/>
        <w:spacing w:after="0" w:line="240" w:lineRule="auto"/>
        <w:ind w:firstLine="0"/>
        <w:rPr>
          <w:sz w:val="14"/>
          <w:szCs w:val="14"/>
        </w:rPr>
      </w:pPr>
      <w:r w:rsidRPr="0037311D">
        <w:rPr>
          <w:rStyle w:val="Refdenotaalpie"/>
        </w:rPr>
        <w:footnoteRef/>
      </w:r>
      <w:r w:rsidRPr="00873151">
        <w:rPr>
          <w:sz w:val="14"/>
          <w:szCs w:val="14"/>
        </w:rPr>
        <w:t xml:space="preserve"> Conforme a los segmentos disponibles, en los términos previstos en el presente Acuerdo y su Anexo 1.</w:t>
      </w:r>
    </w:p>
  </w:footnote>
  <w:footnote w:id="8">
    <w:p w:rsidR="005B12CA" w:rsidRPr="00873151" w:rsidRDefault="005B12CA" w:rsidP="005B12CA">
      <w:pPr>
        <w:pStyle w:val="Texto"/>
        <w:spacing w:after="0" w:line="240" w:lineRule="auto"/>
        <w:ind w:firstLine="0"/>
        <w:rPr>
          <w:sz w:val="14"/>
          <w:szCs w:val="14"/>
        </w:rPr>
      </w:pPr>
      <w:r w:rsidRPr="0037311D">
        <w:rPr>
          <w:rStyle w:val="Refdenotaalpie"/>
        </w:rPr>
        <w:footnoteRef/>
      </w:r>
      <w:r w:rsidRPr="00873151">
        <w:rPr>
          <w:sz w:val="14"/>
          <w:szCs w:val="14"/>
        </w:rPr>
        <w:t xml:space="preserve"> Conforme a los canales previstos en el presente Acuerdo y su Anexo 1, y lo establecido para la reserva de estaciones de radiodifusión comunitarias e indígenas.</w:t>
      </w:r>
    </w:p>
  </w:footnote>
  <w:footnote w:id="9">
    <w:p w:rsidR="005B12CA" w:rsidRPr="00873151" w:rsidRDefault="005B12CA" w:rsidP="005B12CA">
      <w:pPr>
        <w:pStyle w:val="Texto"/>
        <w:spacing w:after="0" w:line="240" w:lineRule="auto"/>
        <w:ind w:firstLine="0"/>
        <w:rPr>
          <w:sz w:val="14"/>
          <w:szCs w:val="14"/>
        </w:rPr>
      </w:pPr>
      <w:r w:rsidRPr="0037311D">
        <w:rPr>
          <w:rStyle w:val="Refdenotaalpie"/>
        </w:rPr>
        <w:footnoteRef/>
      </w:r>
      <w:r w:rsidRPr="00873151">
        <w:rPr>
          <w:sz w:val="14"/>
          <w:szCs w:val="14"/>
        </w:rPr>
        <w:t xml:space="preserve"> Ver nota MX134 del Cuadro Nacional de Atribución de Frecuencias publicado en el DOF el 20 de octubre del 2015.</w:t>
      </w:r>
    </w:p>
  </w:footnote>
  <w:footnote w:id="10">
    <w:p w:rsidR="005B12CA" w:rsidRPr="00873151" w:rsidRDefault="005B12CA" w:rsidP="005B12CA">
      <w:pPr>
        <w:pStyle w:val="Texto"/>
        <w:spacing w:after="0" w:line="240" w:lineRule="auto"/>
        <w:ind w:firstLine="0"/>
        <w:rPr>
          <w:sz w:val="14"/>
          <w:szCs w:val="14"/>
        </w:rPr>
      </w:pPr>
      <w:r w:rsidRPr="0037311D">
        <w:rPr>
          <w:rStyle w:val="Refdenotaalpie"/>
        </w:rPr>
        <w:footnoteRef/>
      </w:r>
      <w:r w:rsidRPr="00873151">
        <w:rPr>
          <w:sz w:val="14"/>
          <w:szCs w:val="14"/>
        </w:rPr>
        <w:t xml:space="preserve"> Conforme al Plan de </w:t>
      </w:r>
      <w:smartTag w:uri="urn:schemas-microsoft-com:office:smarttags" w:element="PersonName">
        <w:smartTagPr>
          <w:attr w:name="ProductID" w:val="la Banda"/>
        </w:smartTagPr>
        <w:r w:rsidRPr="00873151">
          <w:rPr>
            <w:sz w:val="14"/>
            <w:szCs w:val="14"/>
          </w:rPr>
          <w:t>la Banda</w:t>
        </w:r>
      </w:smartTag>
      <w:r w:rsidRPr="00873151">
        <w:rPr>
          <w:sz w:val="14"/>
          <w:szCs w:val="14"/>
        </w:rPr>
        <w:t xml:space="preserve"> 806-824/851-869 MHz aprobado por el Pleno del Instituto el 1 de septiembre de 2016 mediante su XXVII Sesión Ordinaria.</w:t>
      </w:r>
    </w:p>
  </w:footnote>
  <w:footnote w:id="11">
    <w:p w:rsidR="005B12CA" w:rsidRPr="00873151" w:rsidRDefault="005B12CA" w:rsidP="005B12CA">
      <w:pPr>
        <w:pStyle w:val="Texto"/>
        <w:spacing w:after="0" w:line="240" w:lineRule="auto"/>
        <w:ind w:firstLine="0"/>
        <w:rPr>
          <w:sz w:val="14"/>
          <w:szCs w:val="14"/>
        </w:rPr>
      </w:pPr>
      <w:r w:rsidRPr="0037311D">
        <w:rPr>
          <w:rStyle w:val="Refdenotaalpie"/>
        </w:rPr>
        <w:footnoteRef/>
      </w:r>
      <w:r w:rsidRPr="00873151">
        <w:rPr>
          <w:sz w:val="14"/>
          <w:szCs w:val="14"/>
        </w:rPr>
        <w:t xml:space="preserve"> Ver nota MX154 del Cuadro Nacional de Atribución de Frecuencias, publicado en el DOF el 20 de octubre del 2015.</w:t>
      </w:r>
    </w:p>
  </w:footnote>
  <w:footnote w:id="12">
    <w:p w:rsidR="005B12CA" w:rsidRPr="00873151" w:rsidRDefault="005B12CA" w:rsidP="005B12CA">
      <w:pPr>
        <w:pStyle w:val="Texto"/>
        <w:spacing w:after="0" w:line="240" w:lineRule="auto"/>
        <w:ind w:firstLine="0"/>
        <w:rPr>
          <w:sz w:val="14"/>
          <w:szCs w:val="14"/>
        </w:rPr>
      </w:pPr>
      <w:r w:rsidRPr="0037311D">
        <w:rPr>
          <w:rStyle w:val="Refdenotaalpie"/>
        </w:rPr>
        <w:footnoteRef/>
      </w:r>
      <w:r w:rsidRPr="00873151">
        <w:rPr>
          <w:sz w:val="14"/>
          <w:szCs w:val="14"/>
        </w:rPr>
        <w:t xml:space="preserve"> Para mayor referencia véanse las valoraciones establecidas en el Anexo 2 del presente Acuerdo denominado “Valoración de Solicitudes presentadas por los Interesados para el Programa Anual de Uso y Aprovechamiento de Bandas de Frecuencias 2017”.</w:t>
      </w:r>
    </w:p>
  </w:footnote>
  <w:footnote w:id="13">
    <w:p w:rsidR="005B12CA" w:rsidRPr="00873151" w:rsidRDefault="005B12CA" w:rsidP="005B12CA">
      <w:pPr>
        <w:pStyle w:val="Texto"/>
        <w:spacing w:after="0" w:line="240" w:lineRule="auto"/>
        <w:ind w:firstLine="0"/>
        <w:rPr>
          <w:sz w:val="14"/>
          <w:szCs w:val="14"/>
        </w:rPr>
      </w:pPr>
      <w:r w:rsidRPr="0037311D">
        <w:rPr>
          <w:rStyle w:val="Refdenotaalpie"/>
        </w:rPr>
        <w:footnoteRef/>
      </w:r>
      <w:r w:rsidRPr="00873151">
        <w:rPr>
          <w:sz w:val="14"/>
          <w:szCs w:val="14"/>
        </w:rPr>
        <w:t xml:space="preserve"> Misma que puede consultarse en el enlace siguiente: </w:t>
      </w:r>
    </w:p>
    <w:p w:rsidR="005B12CA" w:rsidRPr="00873151" w:rsidRDefault="005B12CA" w:rsidP="005B12CA">
      <w:pPr>
        <w:pStyle w:val="Texto"/>
        <w:spacing w:after="0" w:line="240" w:lineRule="auto"/>
        <w:ind w:firstLine="0"/>
        <w:rPr>
          <w:sz w:val="14"/>
          <w:szCs w:val="14"/>
        </w:rPr>
      </w:pPr>
      <w:r w:rsidRPr="00873151">
        <w:rPr>
          <w:sz w:val="14"/>
          <w:szCs w:val="14"/>
        </w:rPr>
        <w:t xml:space="preserve"> </w:t>
      </w:r>
      <w:r w:rsidRPr="00873151">
        <w:rPr>
          <w:sz w:val="14"/>
          <w:szCs w:val="14"/>
          <w:u w:val="single"/>
        </w:rPr>
        <w:t>http://dof.gob.mx/nota_detalle.php?codigo=5405651&amp;fecha=31/08/2015</w:t>
      </w:r>
    </w:p>
  </w:footnote>
  <w:footnote w:id="14">
    <w:p w:rsidR="005B12CA" w:rsidRPr="00873151" w:rsidRDefault="005B12CA" w:rsidP="005B12CA">
      <w:pPr>
        <w:pStyle w:val="Texto"/>
        <w:spacing w:after="0" w:line="240" w:lineRule="auto"/>
        <w:ind w:firstLine="0"/>
        <w:rPr>
          <w:sz w:val="14"/>
          <w:szCs w:val="14"/>
        </w:rPr>
      </w:pPr>
      <w:r w:rsidRPr="0037311D">
        <w:rPr>
          <w:rStyle w:val="Refdenotaalpie"/>
        </w:rPr>
        <w:footnoteRef/>
      </w:r>
      <w:r w:rsidRPr="00873151">
        <w:rPr>
          <w:sz w:val="14"/>
          <w:szCs w:val="14"/>
        </w:rPr>
        <w:t xml:space="preserve"> Con propósitos de experimentación, comprobación de viabilidad técnica y económica de tecnologías en desarrollo, pruebas temporales de equipo o radioaficionados, así como para satisfacer necesidades de comunicación para embajadas o misiones diplomáticas que visiten el país.</w:t>
      </w:r>
    </w:p>
  </w:footnote>
  <w:footnote w:id="15">
    <w:p w:rsidR="005B12CA" w:rsidRPr="00873151" w:rsidRDefault="005B12CA" w:rsidP="005B12CA">
      <w:pPr>
        <w:pStyle w:val="Texto"/>
        <w:spacing w:after="0" w:line="240" w:lineRule="auto"/>
        <w:ind w:firstLine="0"/>
        <w:rPr>
          <w:sz w:val="14"/>
          <w:szCs w:val="14"/>
        </w:rPr>
      </w:pPr>
      <w:r w:rsidRPr="0037311D">
        <w:rPr>
          <w:rStyle w:val="Refdenotaalpie"/>
        </w:rPr>
        <w:footnoteRef/>
      </w:r>
      <w:r w:rsidRPr="00873151">
        <w:rPr>
          <w:sz w:val="14"/>
          <w:szCs w:val="14"/>
        </w:rPr>
        <w:t xml:space="preserve"> La operación de esta Banda estará sujeta a lo establecido en el </w:t>
      </w:r>
      <w:r w:rsidRPr="00873151">
        <w:rPr>
          <w:i/>
          <w:sz w:val="14"/>
          <w:szCs w:val="14"/>
        </w:rPr>
        <w:t xml:space="preserve">“PROTOCOLO ENTRE </w:t>
      </w:r>
      <w:smartTag w:uri="urn:schemas-microsoft-com:office:smarttags" w:element="PersonName">
        <w:smartTagPr>
          <w:attr w:name="ProductID" w:val="LA SECRETARￍA DE"/>
        </w:smartTagPr>
        <w:r w:rsidRPr="00873151">
          <w:rPr>
            <w:i/>
            <w:sz w:val="14"/>
            <w:szCs w:val="14"/>
          </w:rPr>
          <w:t>LA SECRETARÍA DE</w:t>
        </w:r>
      </w:smartTag>
      <w:r w:rsidRPr="00873151">
        <w:rPr>
          <w:i/>
          <w:sz w:val="14"/>
          <w:szCs w:val="14"/>
        </w:rPr>
        <w:t xml:space="preserve"> COMUNICACIONES Y TRANSPORTES DE ESTADO LOS ESTADOS UNIDOS MEXICANOS Y EL DEPARTAMENTO DE LOS ESTADOS UNIDOS DE AMÉRICA RELATIVO A </w:t>
      </w:r>
      <w:smartTag w:uri="urn:schemas-microsoft-com:office:smarttags" w:element="PersonName">
        <w:smartTagPr>
          <w:attr w:name="ProductID" w:val="LA ADJUDICACIￓN"/>
        </w:smartTagPr>
        <w:r w:rsidRPr="00873151">
          <w:rPr>
            <w:i/>
            <w:sz w:val="14"/>
            <w:szCs w:val="14"/>
          </w:rPr>
          <w:t>LA ADJUDICACIÓN</w:t>
        </w:r>
      </w:smartTag>
      <w:r w:rsidRPr="00873151">
        <w:rPr>
          <w:i/>
          <w:sz w:val="14"/>
          <w:szCs w:val="14"/>
        </w:rPr>
        <w:t xml:space="preserve">, ASIGNACIÓN Y USO DE RADIOFRECUENCIAS EN LAS BANDAS DE 806-824/851 MHz Y 896-901/935-940 MHz PARA SERVICIOS TERRENALES DE RADIODIFUSIÓN EXCEPTO RADIODIFUSIÓN A LO LARGO DE </w:t>
      </w:r>
      <w:smartTag w:uri="urn:schemas-microsoft-com:office:smarttags" w:element="PersonName">
        <w:smartTagPr>
          <w:attr w:name="ProductID" w:val="LA FRONTERA COMÚN.”"/>
        </w:smartTagPr>
        <w:r w:rsidRPr="00873151">
          <w:rPr>
            <w:i/>
            <w:sz w:val="14"/>
            <w:szCs w:val="14"/>
          </w:rPr>
          <w:t>LA FRONTERA COMÚN.”</w:t>
        </w:r>
      </w:smartTag>
      <w:r w:rsidRPr="00873151">
        <w:rPr>
          <w:sz w:val="14"/>
          <w:szCs w:val="14"/>
        </w:rPr>
        <w:t xml:space="preserve"> Dicho protocolo puede ser consultado en la liga electrónica siguiente: </w:t>
      </w:r>
    </w:p>
    <w:p w:rsidR="005B12CA" w:rsidRPr="00873151" w:rsidRDefault="005B12CA" w:rsidP="005B12CA">
      <w:pPr>
        <w:pStyle w:val="Texto"/>
        <w:spacing w:after="0" w:line="240" w:lineRule="auto"/>
        <w:ind w:firstLine="0"/>
        <w:rPr>
          <w:sz w:val="14"/>
          <w:szCs w:val="14"/>
        </w:rPr>
      </w:pPr>
      <w:r w:rsidRPr="00873151">
        <w:rPr>
          <w:sz w:val="14"/>
          <w:szCs w:val="14"/>
        </w:rPr>
        <w:t>http://www.ift.org.mx/industria/asuntos-internacionales/acuerdos-bilaterales-con-estados-unidos-de-america</w:t>
      </w:r>
    </w:p>
  </w:footnote>
  <w:footnote w:id="16">
    <w:p w:rsidR="005B12CA" w:rsidRPr="00873151" w:rsidRDefault="005B12CA" w:rsidP="005B12CA">
      <w:pPr>
        <w:pStyle w:val="Texto"/>
        <w:spacing w:after="0" w:line="240" w:lineRule="auto"/>
        <w:ind w:firstLine="0"/>
        <w:rPr>
          <w:color w:val="000000"/>
          <w:sz w:val="14"/>
          <w:szCs w:val="14"/>
        </w:rPr>
      </w:pPr>
      <w:r w:rsidRPr="0037311D">
        <w:rPr>
          <w:rStyle w:val="Refdenotaalpie"/>
        </w:rPr>
        <w:footnoteRef/>
      </w:r>
      <w:r w:rsidRPr="00873151">
        <w:rPr>
          <w:sz w:val="14"/>
          <w:szCs w:val="14"/>
        </w:rPr>
        <w:t xml:space="preserve"> </w:t>
      </w:r>
      <w:r w:rsidRPr="00873151">
        <w:rPr>
          <w:color w:val="000000"/>
          <w:sz w:val="14"/>
          <w:szCs w:val="14"/>
        </w:rPr>
        <w:t>El proceso de reordenamiento estará sujeto a lo dispuesto en el Acuerdo P/IFT/010916/457 mediante el cual el Pleno del Instituto, aprobó el “</w:t>
      </w:r>
      <w:r w:rsidRPr="00873151">
        <w:rPr>
          <w:i/>
          <w:color w:val="000000"/>
          <w:sz w:val="14"/>
          <w:szCs w:val="14"/>
        </w:rPr>
        <w:t xml:space="preserve">Plan de </w:t>
      </w:r>
      <w:smartTag w:uri="urn:schemas-microsoft-com:office:smarttags" w:element="PersonName">
        <w:smartTagPr>
          <w:attr w:name="ProductID" w:val="la Banda"/>
        </w:smartTagPr>
        <w:r w:rsidRPr="00873151">
          <w:rPr>
            <w:i/>
            <w:color w:val="000000"/>
            <w:sz w:val="14"/>
            <w:szCs w:val="14"/>
          </w:rPr>
          <w:t>la Banda</w:t>
        </w:r>
      </w:smartTag>
      <w:r w:rsidRPr="00873151">
        <w:rPr>
          <w:i/>
          <w:color w:val="000000"/>
          <w:sz w:val="14"/>
          <w:szCs w:val="14"/>
        </w:rPr>
        <w:t xml:space="preserve"> 806-824/851-869 MHz y aprueba la propuesta de cambio de bandas de frecuencias a las personas físicas o morales, que sean titulares de derecho sobre el uso, aprovechamiento y explotación de </w:t>
      </w:r>
      <w:smartTag w:uri="urn:schemas-microsoft-com:office:smarttags" w:element="PersonName">
        <w:smartTagPr>
          <w:attr w:name="ProductID" w:val="la Banda"/>
        </w:smartTagPr>
        <w:r w:rsidRPr="00873151">
          <w:rPr>
            <w:i/>
            <w:color w:val="000000"/>
            <w:sz w:val="14"/>
            <w:szCs w:val="14"/>
          </w:rPr>
          <w:t>la Banda</w:t>
        </w:r>
      </w:smartTag>
      <w:r w:rsidRPr="00873151">
        <w:rPr>
          <w:i/>
          <w:color w:val="000000"/>
          <w:sz w:val="14"/>
          <w:szCs w:val="14"/>
        </w:rPr>
        <w:t xml:space="preserve"> de Frecuencias 806-824/851-869 MHz.</w:t>
      </w:r>
      <w:r w:rsidRPr="00873151">
        <w:rPr>
          <w:color w:val="000000"/>
          <w:sz w:val="14"/>
          <w:szCs w:val="14"/>
        </w:rPr>
        <w:t>”, mismo que fue publicado en el DOF el 13 de septiembre de 2016, consultable en el enlace siguiente:</w:t>
      </w:r>
    </w:p>
    <w:p w:rsidR="005B12CA" w:rsidRPr="00873151" w:rsidRDefault="005B12CA" w:rsidP="005B12CA">
      <w:pPr>
        <w:pStyle w:val="Texto"/>
        <w:spacing w:after="0" w:line="240" w:lineRule="auto"/>
        <w:ind w:firstLine="0"/>
        <w:rPr>
          <w:sz w:val="14"/>
          <w:szCs w:val="14"/>
        </w:rPr>
      </w:pPr>
      <w:r w:rsidRPr="00873151">
        <w:rPr>
          <w:color w:val="000000"/>
          <w:sz w:val="14"/>
          <w:szCs w:val="14"/>
        </w:rPr>
        <w:t>http://www.dof.gob.mx/nota_detalle.php?codigo=5452357&amp;fecha=13/09/2016</w:t>
      </w:r>
    </w:p>
  </w:footnote>
  <w:footnote w:id="17">
    <w:p w:rsidR="005B12CA" w:rsidRPr="00873151" w:rsidRDefault="005B12CA" w:rsidP="005B12CA">
      <w:pPr>
        <w:pStyle w:val="Texto"/>
        <w:spacing w:after="0" w:line="240" w:lineRule="auto"/>
        <w:ind w:firstLine="0"/>
        <w:rPr>
          <w:sz w:val="14"/>
          <w:szCs w:val="14"/>
        </w:rPr>
      </w:pPr>
      <w:r w:rsidRPr="0037311D">
        <w:rPr>
          <w:rStyle w:val="Refdenotaalpie"/>
        </w:rPr>
        <w:footnoteRef/>
      </w:r>
      <w:r w:rsidRPr="00873151">
        <w:rPr>
          <w:b/>
          <w:sz w:val="14"/>
          <w:szCs w:val="14"/>
          <w:u w:val="single"/>
        </w:rPr>
        <w:t xml:space="preserve"> </w:t>
      </w:r>
      <w:r w:rsidRPr="00873151">
        <w:rPr>
          <w:b/>
          <w:color w:val="000000"/>
          <w:sz w:val="14"/>
          <w:szCs w:val="14"/>
          <w:u w:val="single"/>
        </w:rPr>
        <w:t xml:space="preserve">Disponibilidad sujeta a la resolución de la prórroga de la estación 105.3 MHz de </w:t>
      </w:r>
      <w:smartTag w:uri="urn:schemas-microsoft-com:office:smarttags" w:element="PersonName">
        <w:smartTagPr>
          <w:attr w:name="ProductID" w:val="la Universidad Aut￳noma"/>
        </w:smartTagPr>
        <w:r w:rsidRPr="00873151">
          <w:rPr>
            <w:b/>
            <w:color w:val="000000"/>
            <w:sz w:val="14"/>
            <w:szCs w:val="14"/>
            <w:u w:val="single"/>
          </w:rPr>
          <w:t>la Universidad Autónoma</w:t>
        </w:r>
      </w:smartTag>
      <w:r w:rsidRPr="00873151">
        <w:rPr>
          <w:b/>
          <w:color w:val="000000"/>
          <w:sz w:val="14"/>
          <w:szCs w:val="14"/>
          <w:u w:val="single"/>
        </w:rPr>
        <w:t xml:space="preserve"> de Chihuahua.</w:t>
      </w:r>
    </w:p>
  </w:footnote>
  <w:footnote w:id="18">
    <w:p w:rsidR="005B12CA" w:rsidRPr="00873151" w:rsidRDefault="005B12CA" w:rsidP="005B12CA">
      <w:pPr>
        <w:pStyle w:val="Texto"/>
        <w:spacing w:after="0" w:line="240" w:lineRule="auto"/>
        <w:ind w:firstLine="0"/>
        <w:rPr>
          <w:sz w:val="14"/>
          <w:szCs w:val="14"/>
        </w:rPr>
      </w:pPr>
      <w:r w:rsidRPr="0037311D">
        <w:rPr>
          <w:rStyle w:val="Refdenotaalpie"/>
        </w:rPr>
        <w:footnoteRef/>
      </w:r>
      <w:r w:rsidRPr="00AB3D6D">
        <w:rPr>
          <w:b/>
          <w:sz w:val="16"/>
          <w:szCs w:val="16"/>
          <w:u w:val="single"/>
          <w:vertAlign w:val="superscript"/>
        </w:rPr>
        <w:t xml:space="preserve"> </w:t>
      </w:r>
      <w:r w:rsidRPr="00873151">
        <w:rPr>
          <w:b/>
          <w:color w:val="000000"/>
          <w:sz w:val="14"/>
          <w:szCs w:val="14"/>
          <w:u w:val="single"/>
        </w:rPr>
        <w:t>Disponibilidad sujeta a la resolución de la prórroga de la estación 105.5 MHz del Gobierno del Estado de México.</w:t>
      </w:r>
    </w:p>
  </w:footnote>
  <w:footnote w:id="19">
    <w:p w:rsidR="005B12CA" w:rsidRPr="00873151" w:rsidRDefault="005B12CA" w:rsidP="005B12CA">
      <w:pPr>
        <w:pStyle w:val="Texto"/>
        <w:spacing w:after="0" w:line="240" w:lineRule="auto"/>
        <w:ind w:firstLine="0"/>
        <w:rPr>
          <w:sz w:val="14"/>
          <w:szCs w:val="14"/>
        </w:rPr>
      </w:pPr>
      <w:r w:rsidRPr="0037311D">
        <w:rPr>
          <w:rStyle w:val="Refdenotaalpie"/>
        </w:rPr>
        <w:footnoteRef/>
      </w:r>
      <w:r w:rsidRPr="00873151">
        <w:rPr>
          <w:b/>
          <w:color w:val="000000"/>
          <w:sz w:val="14"/>
          <w:szCs w:val="14"/>
          <w:u w:val="single"/>
        </w:rPr>
        <w:t xml:space="preserve"> Disponibilidad sujeta a la resolución de la prórroga de la estación 99.7 de </w:t>
      </w:r>
      <w:smartTag w:uri="urn:schemas-microsoft-com:office:smarttags" w:element="PersonName">
        <w:smartTagPr>
          <w:attr w:name="ProductID" w:val="la Universidad Aut￳noma"/>
        </w:smartTagPr>
        <w:r w:rsidRPr="00873151">
          <w:rPr>
            <w:b/>
            <w:color w:val="000000"/>
            <w:sz w:val="14"/>
            <w:szCs w:val="14"/>
            <w:u w:val="single"/>
          </w:rPr>
          <w:t>la Universidad Autónoma</w:t>
        </w:r>
      </w:smartTag>
      <w:r w:rsidRPr="00873151">
        <w:rPr>
          <w:b/>
          <w:color w:val="000000"/>
          <w:sz w:val="14"/>
          <w:szCs w:val="14"/>
          <w:u w:val="single"/>
        </w:rPr>
        <w:t xml:space="preserve"> del Estado de México.</w:t>
      </w:r>
    </w:p>
  </w:footnote>
  <w:footnote w:id="20">
    <w:p w:rsidR="005B12CA" w:rsidRPr="00873151" w:rsidRDefault="005B12CA" w:rsidP="005B12CA">
      <w:pPr>
        <w:pStyle w:val="Texto"/>
        <w:spacing w:after="0" w:line="240" w:lineRule="auto"/>
        <w:ind w:firstLine="0"/>
        <w:rPr>
          <w:sz w:val="14"/>
          <w:szCs w:val="14"/>
        </w:rPr>
      </w:pPr>
      <w:r w:rsidRPr="0037311D">
        <w:rPr>
          <w:rStyle w:val="Refdenotaalpie"/>
        </w:rPr>
        <w:footnoteRef/>
      </w:r>
      <w:r w:rsidRPr="00873151">
        <w:rPr>
          <w:b/>
          <w:color w:val="000000"/>
          <w:sz w:val="14"/>
          <w:szCs w:val="14"/>
          <w:u w:val="single"/>
        </w:rPr>
        <w:t xml:space="preserve"> Disponibilidad sujeta a la resolución de la prórroga de la estación 91.7 MHz del Gobierno del Estado de México.</w:t>
      </w:r>
    </w:p>
  </w:footnote>
  <w:footnote w:id="21">
    <w:p w:rsidR="005B12CA" w:rsidRPr="00397068" w:rsidRDefault="005B12CA" w:rsidP="005B12CA">
      <w:pPr>
        <w:pStyle w:val="Texto"/>
        <w:spacing w:after="0" w:line="240" w:lineRule="auto"/>
        <w:ind w:firstLine="0"/>
        <w:rPr>
          <w:b/>
          <w:sz w:val="14"/>
          <w:szCs w:val="14"/>
        </w:rPr>
      </w:pPr>
      <w:r w:rsidRPr="0037311D">
        <w:rPr>
          <w:rStyle w:val="Refdenotaalpie"/>
        </w:rPr>
        <w:footnoteRef/>
      </w:r>
      <w:r w:rsidRPr="00397068">
        <w:rPr>
          <w:b/>
          <w:sz w:val="14"/>
          <w:szCs w:val="14"/>
        </w:rPr>
        <w:t xml:space="preserve"> </w:t>
      </w:r>
      <w:r w:rsidRPr="00397068">
        <w:rPr>
          <w:b/>
          <w:color w:val="000000"/>
          <w:sz w:val="14"/>
          <w:szCs w:val="14"/>
          <w:u w:val="single"/>
        </w:rPr>
        <w:t>Disponibilidad sujeta a la resolución de la prórroga de la estación 96.5 MHz del Gobierno del Estado de Nuevo León.</w:t>
      </w:r>
    </w:p>
  </w:footnote>
  <w:footnote w:id="22">
    <w:p w:rsidR="005B12CA" w:rsidRPr="00873151" w:rsidRDefault="005B12CA" w:rsidP="005B12CA">
      <w:pPr>
        <w:pStyle w:val="Texto"/>
        <w:spacing w:after="0" w:line="240" w:lineRule="auto"/>
        <w:ind w:firstLine="0"/>
        <w:rPr>
          <w:sz w:val="14"/>
          <w:szCs w:val="14"/>
        </w:rPr>
      </w:pPr>
      <w:r w:rsidRPr="0037311D">
        <w:rPr>
          <w:rStyle w:val="Refdenotaalpie"/>
        </w:rPr>
        <w:footnoteRef/>
      </w:r>
      <w:r w:rsidRPr="00873151">
        <w:rPr>
          <w:sz w:val="14"/>
          <w:szCs w:val="14"/>
        </w:rPr>
        <w:t xml:space="preserve"> </w:t>
      </w:r>
      <w:r w:rsidRPr="00873151">
        <w:rPr>
          <w:b/>
          <w:color w:val="000000"/>
          <w:sz w:val="14"/>
          <w:szCs w:val="14"/>
          <w:u w:val="single"/>
        </w:rPr>
        <w:t>Disponibilidad sujeta a la resolución de la prórroga de la estación 102.1 MHz del Gobierno del Estado de Nuevo León.</w:t>
      </w:r>
    </w:p>
  </w:footnote>
  <w:footnote w:id="23">
    <w:p w:rsidR="005B12CA" w:rsidRPr="00873151" w:rsidRDefault="005B12CA" w:rsidP="005B12CA">
      <w:pPr>
        <w:pStyle w:val="Texto"/>
        <w:spacing w:after="0" w:line="240" w:lineRule="auto"/>
        <w:ind w:firstLine="0"/>
        <w:rPr>
          <w:sz w:val="14"/>
          <w:szCs w:val="14"/>
        </w:rPr>
      </w:pPr>
      <w:r w:rsidRPr="0037311D">
        <w:rPr>
          <w:rStyle w:val="Refdenotaalpie"/>
        </w:rPr>
        <w:footnoteRef/>
      </w:r>
      <w:r w:rsidRPr="00873151">
        <w:rPr>
          <w:sz w:val="14"/>
          <w:szCs w:val="14"/>
        </w:rPr>
        <w:t xml:space="preserve"> </w:t>
      </w:r>
      <w:r w:rsidRPr="00873151">
        <w:rPr>
          <w:b/>
          <w:color w:val="000000"/>
          <w:sz w:val="14"/>
          <w:szCs w:val="14"/>
          <w:u w:val="single"/>
        </w:rPr>
        <w:t>Disponibilidad sujeta a la resolución de la prórroga de la estación 95.1 MHz del Gobierno del Estado de Querétaro.</w:t>
      </w:r>
    </w:p>
  </w:footnote>
  <w:footnote w:id="24">
    <w:p w:rsidR="005B12CA" w:rsidRPr="00873151" w:rsidRDefault="005B12CA" w:rsidP="005B12CA">
      <w:pPr>
        <w:pStyle w:val="Texto"/>
        <w:spacing w:after="0" w:line="240" w:lineRule="auto"/>
        <w:ind w:firstLine="0"/>
        <w:rPr>
          <w:b/>
          <w:color w:val="000000"/>
          <w:sz w:val="14"/>
          <w:szCs w:val="14"/>
          <w:u w:val="single"/>
        </w:rPr>
      </w:pPr>
      <w:r w:rsidRPr="0037311D">
        <w:rPr>
          <w:rStyle w:val="Refdenotaalpie"/>
        </w:rPr>
        <w:footnoteRef/>
      </w:r>
      <w:r w:rsidRPr="00873151">
        <w:rPr>
          <w:sz w:val="14"/>
          <w:szCs w:val="14"/>
        </w:rPr>
        <w:t xml:space="preserve"> </w:t>
      </w:r>
      <w:r w:rsidRPr="00873151">
        <w:rPr>
          <w:b/>
          <w:color w:val="000000"/>
          <w:sz w:val="14"/>
          <w:szCs w:val="14"/>
          <w:u w:val="single"/>
        </w:rPr>
        <w:t>Disponibilidad sujeta a la resolución de la prórroga de la estación 97.3 MHz de Desarrollo Comunitario y Cultural MA NGHUE, A.C.</w:t>
      </w:r>
    </w:p>
  </w:footnote>
  <w:footnote w:id="25">
    <w:p w:rsidR="004A714B" w:rsidRPr="00F046F4" w:rsidRDefault="004A714B" w:rsidP="004A714B">
      <w:pPr>
        <w:pStyle w:val="Textonotapie"/>
        <w:rPr>
          <w:rFonts w:ascii="ITC Avant Garde" w:hAnsi="ITC Avant Garde"/>
          <w:sz w:val="16"/>
        </w:rPr>
      </w:pPr>
      <w:r w:rsidRPr="00525BA2">
        <w:rPr>
          <w:rStyle w:val="Refdenotaalpie"/>
          <w:rFonts w:ascii="ITC Avant Garde" w:hAnsi="ITC Avant Garde"/>
          <w:sz w:val="14"/>
        </w:rPr>
        <w:footnoteRef/>
      </w:r>
      <w:r>
        <w:rPr>
          <w:rFonts w:ascii="ITC Avant Garde" w:hAnsi="ITC Avant Garde"/>
          <w:sz w:val="14"/>
        </w:rPr>
        <w:t xml:space="preserve"> Del 6</w:t>
      </w:r>
      <w:r w:rsidRPr="00525BA2">
        <w:rPr>
          <w:rFonts w:ascii="ITC Avant Garde" w:hAnsi="ITC Avant Garde"/>
          <w:sz w:val="14"/>
        </w:rPr>
        <w:t xml:space="preserve"> de </w:t>
      </w:r>
      <w:r>
        <w:rPr>
          <w:rFonts w:ascii="ITC Avant Garde" w:hAnsi="ITC Avant Garde"/>
          <w:sz w:val="14"/>
        </w:rPr>
        <w:t>agosto al 21 de diciembre de 2016</w:t>
      </w:r>
      <w:r w:rsidRPr="00525BA2">
        <w:rPr>
          <w:rFonts w:ascii="ITC Avant Garde" w:hAnsi="ITC Avant Garde"/>
          <w:sz w:val="14"/>
        </w:rPr>
        <w:t>.</w:t>
      </w:r>
    </w:p>
  </w:footnote>
  <w:footnote w:id="26">
    <w:p w:rsidR="004A714B" w:rsidRDefault="004A714B" w:rsidP="004A714B">
      <w:pPr>
        <w:autoSpaceDE w:val="0"/>
        <w:autoSpaceDN w:val="0"/>
        <w:adjustRightInd w:val="0"/>
        <w:spacing w:after="0" w:line="240" w:lineRule="auto"/>
      </w:pPr>
      <w:r w:rsidRPr="002F547A">
        <w:rPr>
          <w:rFonts w:ascii="ITC Avant Garde" w:hAnsi="ITC Avant Garde"/>
          <w:sz w:val="14"/>
          <w:szCs w:val="24"/>
          <w:vertAlign w:val="superscript"/>
        </w:rPr>
        <w:footnoteRef/>
      </w:r>
      <w:r w:rsidRPr="002F547A">
        <w:rPr>
          <w:rFonts w:ascii="ITC Avant Garde" w:hAnsi="ITC Avant Garde"/>
          <w:sz w:val="14"/>
          <w:szCs w:val="24"/>
        </w:rPr>
        <w:t xml:space="preserve"> “</w:t>
      </w:r>
      <w:r>
        <w:rPr>
          <w:rFonts w:ascii="ITC Avant Garde" w:hAnsi="ITC Avant Garde"/>
          <w:sz w:val="14"/>
          <w:szCs w:val="24"/>
        </w:rPr>
        <w:t>Acuerdo</w:t>
      </w:r>
      <w:r w:rsidRPr="002F547A">
        <w:rPr>
          <w:rFonts w:ascii="ITC Avant Garde" w:hAnsi="ITC Avant Garde"/>
          <w:sz w:val="14"/>
          <w:szCs w:val="24"/>
        </w:rPr>
        <w:t xml:space="preserve">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r>
        <w:rPr>
          <w:rFonts w:ascii="ITC Avant Garde" w:hAnsi="ITC Avant Garde"/>
          <w:sz w:val="14"/>
          <w:szCs w:val="24"/>
        </w:rPr>
        <w:t>”</w:t>
      </w:r>
      <w:r w:rsidRPr="002F547A">
        <w:rPr>
          <w:rFonts w:ascii="ITC Avant Garde" w:hAnsi="ITC Avant Garde"/>
          <w:sz w:val="14"/>
          <w:szCs w:val="24"/>
        </w:rPr>
        <w:t>. Publicado en el DOF el 15 de septiembre de 2008.</w:t>
      </w:r>
    </w:p>
  </w:footnote>
  <w:footnote w:id="27">
    <w:p w:rsidR="004A714B" w:rsidRPr="009E5DFA" w:rsidRDefault="004A714B" w:rsidP="004A714B">
      <w:pPr>
        <w:pStyle w:val="Textonotapie"/>
        <w:rPr>
          <w:rFonts w:ascii="ITC Avant Garde" w:hAnsi="ITC Avant Garde"/>
          <w:sz w:val="16"/>
          <w:szCs w:val="16"/>
        </w:rPr>
      </w:pPr>
      <w:r w:rsidRPr="009E5DFA">
        <w:rPr>
          <w:rStyle w:val="Refdenotaalpie"/>
          <w:rFonts w:ascii="ITC Avant Garde" w:hAnsi="ITC Avant Garde"/>
          <w:sz w:val="16"/>
          <w:szCs w:val="16"/>
        </w:rPr>
        <w:footnoteRef/>
      </w:r>
      <w:r w:rsidRPr="009E5DFA">
        <w:rPr>
          <w:rFonts w:ascii="ITC Avant Garde" w:hAnsi="ITC Avant Garde"/>
          <w:sz w:val="16"/>
          <w:szCs w:val="16"/>
        </w:rPr>
        <w:t xml:space="preserve"> Fecha de ingreso a la Unidad de Espectro Radioeléctrico. </w:t>
      </w:r>
    </w:p>
  </w:footnote>
  <w:footnote w:id="28">
    <w:p w:rsidR="004A714B" w:rsidRDefault="004A714B" w:rsidP="004A714B">
      <w:pPr>
        <w:pStyle w:val="Textonotapie"/>
      </w:pPr>
      <w:r>
        <w:rPr>
          <w:rStyle w:val="Refdenotaalpie"/>
        </w:rPr>
        <w:footnoteRef/>
      </w:r>
      <w:r>
        <w:t xml:space="preserve"> </w:t>
      </w:r>
      <w:r w:rsidRPr="009E5DFA">
        <w:rPr>
          <w:rStyle w:val="Refdenotaalpie"/>
          <w:rFonts w:ascii="ITC Avant Garde" w:hAnsi="ITC Avant Garde"/>
          <w:sz w:val="16"/>
          <w:szCs w:val="16"/>
        </w:rPr>
        <w:footnoteRef/>
      </w:r>
      <w:r w:rsidRPr="009E5DFA">
        <w:rPr>
          <w:rFonts w:ascii="ITC Avant Garde" w:hAnsi="ITC Avant Garde"/>
          <w:sz w:val="16"/>
          <w:szCs w:val="16"/>
        </w:rPr>
        <w:t xml:space="preserve"> Fecha de ingreso a la Unidad de Espectro Radioeléctrico.</w:t>
      </w:r>
    </w:p>
  </w:footnote>
  <w:footnote w:id="29">
    <w:p w:rsidR="004A714B" w:rsidRPr="001511A0" w:rsidRDefault="004A714B" w:rsidP="004A714B">
      <w:pPr>
        <w:pStyle w:val="Textonotapie"/>
        <w:rPr>
          <w:rFonts w:ascii="ITC Avant Garde" w:hAnsi="ITC Avant Garde"/>
          <w:sz w:val="16"/>
          <w:szCs w:val="16"/>
          <w:lang w:val="en-US"/>
        </w:rPr>
      </w:pPr>
      <w:r w:rsidRPr="001511A0">
        <w:rPr>
          <w:rStyle w:val="Refdenotaalpie"/>
          <w:rFonts w:ascii="ITC Avant Garde" w:hAnsi="ITC Avant Garde"/>
          <w:sz w:val="16"/>
          <w:szCs w:val="16"/>
        </w:rPr>
        <w:footnoteRef/>
      </w:r>
      <w:r w:rsidRPr="001511A0">
        <w:rPr>
          <w:rFonts w:ascii="ITC Avant Garde" w:hAnsi="ITC Avant Garde"/>
          <w:sz w:val="16"/>
          <w:szCs w:val="16"/>
          <w:lang w:val="en-US"/>
        </w:rPr>
        <w:t xml:space="preserve"> </w:t>
      </w:r>
      <w:r w:rsidRPr="001511A0">
        <w:rPr>
          <w:rFonts w:ascii="ITC Avant Garde" w:hAnsi="ITC Avant Garde"/>
          <w:i/>
          <w:sz w:val="16"/>
          <w:szCs w:val="16"/>
          <w:lang w:val="en-US"/>
        </w:rPr>
        <w:t>Trans European Trunked Radio</w:t>
      </w:r>
    </w:p>
  </w:footnote>
  <w:footnote w:id="30">
    <w:p w:rsidR="004A714B" w:rsidRPr="00554031" w:rsidRDefault="004A714B" w:rsidP="004A714B">
      <w:pPr>
        <w:pStyle w:val="Textonotapie"/>
        <w:rPr>
          <w:rFonts w:ascii="ITC Avant Garde" w:hAnsi="ITC Avant Garde"/>
          <w:i/>
          <w:sz w:val="16"/>
          <w:szCs w:val="16"/>
          <w:lang w:val="en-US"/>
        </w:rPr>
      </w:pPr>
      <w:r w:rsidRPr="001511A0">
        <w:rPr>
          <w:rStyle w:val="Refdenotaalpie"/>
          <w:rFonts w:ascii="ITC Avant Garde" w:hAnsi="ITC Avant Garde"/>
          <w:sz w:val="16"/>
          <w:szCs w:val="16"/>
        </w:rPr>
        <w:footnoteRef/>
      </w:r>
      <w:r w:rsidRPr="001511A0">
        <w:rPr>
          <w:rFonts w:ascii="ITC Avant Garde" w:hAnsi="ITC Avant Garde"/>
          <w:sz w:val="16"/>
          <w:szCs w:val="16"/>
          <w:lang w:val="en-US"/>
        </w:rPr>
        <w:t xml:space="preserve"> </w:t>
      </w:r>
      <w:r w:rsidRPr="00554031">
        <w:rPr>
          <w:rFonts w:ascii="ITC Avant Garde" w:hAnsi="ITC Avant Garde"/>
          <w:sz w:val="16"/>
          <w:szCs w:val="16"/>
          <w:lang w:val="en-US"/>
        </w:rPr>
        <w:t xml:space="preserve">ETSI: </w:t>
      </w:r>
      <w:r w:rsidRPr="00554031">
        <w:rPr>
          <w:rFonts w:ascii="ITC Avant Garde" w:hAnsi="ITC Avant Garde"/>
          <w:i/>
          <w:sz w:val="16"/>
          <w:szCs w:val="16"/>
          <w:lang w:val="en-US"/>
        </w:rPr>
        <w:t>European Telecommunications Standards Institute</w:t>
      </w:r>
    </w:p>
  </w:footnote>
  <w:footnote w:id="31">
    <w:p w:rsidR="004A714B" w:rsidRPr="00554031" w:rsidRDefault="004A714B" w:rsidP="004A714B">
      <w:pPr>
        <w:pStyle w:val="Textonotapie"/>
        <w:rPr>
          <w:rFonts w:ascii="ITC Avant Garde" w:hAnsi="ITC Avant Garde"/>
          <w:sz w:val="16"/>
          <w:szCs w:val="16"/>
          <w:lang w:val="en-US"/>
        </w:rPr>
      </w:pPr>
      <w:r w:rsidRPr="00554031">
        <w:rPr>
          <w:rStyle w:val="Refdenotaalpie"/>
          <w:rFonts w:ascii="ITC Avant Garde" w:hAnsi="ITC Avant Garde"/>
          <w:sz w:val="16"/>
          <w:szCs w:val="16"/>
        </w:rPr>
        <w:footnoteRef/>
      </w:r>
      <w:r w:rsidRPr="00554031">
        <w:rPr>
          <w:rFonts w:ascii="ITC Avant Garde" w:hAnsi="ITC Avant Garde"/>
          <w:sz w:val="16"/>
          <w:szCs w:val="16"/>
          <w:lang w:val="en-US"/>
        </w:rPr>
        <w:t xml:space="preserve"> TIA: </w:t>
      </w:r>
      <w:r w:rsidRPr="00554031">
        <w:rPr>
          <w:rFonts w:ascii="ITC Avant Garde" w:hAnsi="ITC Avant Garde"/>
          <w:i/>
          <w:iCs/>
          <w:sz w:val="16"/>
          <w:szCs w:val="16"/>
          <w:lang w:val="en-US"/>
        </w:rPr>
        <w:t>Telecommunications Industry Association</w:t>
      </w:r>
    </w:p>
  </w:footnote>
  <w:footnote w:id="32">
    <w:p w:rsidR="004A714B" w:rsidRPr="00554031" w:rsidRDefault="004A714B" w:rsidP="004A714B">
      <w:pPr>
        <w:pStyle w:val="Textonotapie"/>
        <w:rPr>
          <w:rFonts w:ascii="ITC Avant Garde" w:hAnsi="ITC Avant Garde"/>
          <w:sz w:val="16"/>
          <w:szCs w:val="16"/>
          <w:lang w:val="en-US"/>
        </w:rPr>
      </w:pPr>
      <w:r w:rsidRPr="00554031">
        <w:rPr>
          <w:rStyle w:val="Refdenotaalpie"/>
          <w:rFonts w:ascii="ITC Avant Garde" w:hAnsi="ITC Avant Garde"/>
          <w:sz w:val="16"/>
          <w:szCs w:val="16"/>
        </w:rPr>
        <w:footnoteRef/>
      </w:r>
      <w:r w:rsidRPr="00554031">
        <w:rPr>
          <w:rFonts w:ascii="ITC Avant Garde" w:hAnsi="ITC Avant Garde"/>
          <w:sz w:val="16"/>
          <w:szCs w:val="16"/>
          <w:lang w:val="en-US"/>
        </w:rPr>
        <w:t xml:space="preserve"> </w:t>
      </w:r>
      <w:r w:rsidRPr="00554031">
        <w:rPr>
          <w:rFonts w:ascii="ITC Avant Garde" w:hAnsi="ITC Avant Garde"/>
          <w:i/>
          <w:sz w:val="16"/>
          <w:szCs w:val="16"/>
          <w:lang w:val="en-US"/>
        </w:rPr>
        <w:t>Trans European Trunked Radio - Police</w:t>
      </w:r>
    </w:p>
  </w:footnote>
  <w:footnote w:id="33">
    <w:p w:rsidR="004A714B" w:rsidRPr="00554031" w:rsidRDefault="004A714B" w:rsidP="004A714B">
      <w:pPr>
        <w:pStyle w:val="Textonotapie"/>
        <w:rPr>
          <w:rFonts w:ascii="ITC Avant Garde" w:hAnsi="ITC Avant Garde"/>
          <w:sz w:val="16"/>
          <w:szCs w:val="16"/>
          <w:lang w:val="en-US"/>
        </w:rPr>
      </w:pPr>
      <w:r w:rsidRPr="001511A0">
        <w:rPr>
          <w:rStyle w:val="Refdenotaalpie"/>
          <w:rFonts w:ascii="ITC Avant Garde" w:hAnsi="ITC Avant Garde"/>
          <w:sz w:val="16"/>
          <w:szCs w:val="16"/>
        </w:rPr>
        <w:footnoteRef/>
      </w:r>
      <w:r w:rsidRPr="001511A0">
        <w:rPr>
          <w:rFonts w:ascii="ITC Avant Garde" w:hAnsi="ITC Avant Garde"/>
          <w:sz w:val="16"/>
          <w:szCs w:val="16"/>
          <w:lang w:val="en-US"/>
        </w:rPr>
        <w:t xml:space="preserve"> http://www.itu.int/dms_pubrec/itu-r/rec/m/R-REC-M.1036-4-201203-I!!PDF-E.pdf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14B" w:rsidRPr="00B5003B" w:rsidRDefault="00CC1A16" w:rsidP="004A714B">
    <w:pPr>
      <w:pStyle w:val="Fechas"/>
      <w:rPr>
        <w:rFonts w:cs="Times New Roman"/>
      </w:rPr>
    </w:pPr>
    <w:r w:rsidRPr="00B5003B">
      <w:rPr>
        <w:rFonts w:cs="Times New Roman"/>
      </w:rPr>
      <w:t xml:space="preserve">     (Primera Sección)</w:t>
    </w:r>
    <w:r w:rsidRPr="00B5003B">
      <w:rPr>
        <w:rFonts w:cs="Times New Roman"/>
      </w:rPr>
      <w:tab/>
      <w:t>DIARIO OFICIAL</w:t>
    </w:r>
    <w:r w:rsidRPr="00B5003B">
      <w:rPr>
        <w:rFonts w:cs="Times New Roman"/>
      </w:rPr>
      <w:tab/>
    </w:r>
    <w:proofErr w:type="gramStart"/>
    <w:r w:rsidRPr="00B5003B">
      <w:rPr>
        <w:rFonts w:cs="Times New Roman"/>
      </w:rPr>
      <w:t>Viernes</w:t>
    </w:r>
    <w:proofErr w:type="gramEnd"/>
    <w:r w:rsidRPr="00B5003B">
      <w:rPr>
        <w:rFonts w:cs="Times New Roman"/>
      </w:rPr>
      <w:t xml:space="preserve"> 3 de marzo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14B" w:rsidRPr="00B5003B" w:rsidRDefault="00CC1A16" w:rsidP="004A714B">
    <w:pPr>
      <w:pStyle w:val="Fechas"/>
      <w:rPr>
        <w:rFonts w:cs="Times New Roman"/>
      </w:rPr>
    </w:pPr>
    <w:r w:rsidRPr="00B5003B">
      <w:rPr>
        <w:rFonts w:cs="Times New Roman"/>
      </w:rPr>
      <w:t>Viernes 3 de marzo de 2017</w:t>
    </w:r>
    <w:r w:rsidRPr="00B5003B">
      <w:rPr>
        <w:rFonts w:cs="Times New Roman"/>
      </w:rPr>
      <w:tab/>
      <w:t>DIARIO OFICIAL</w:t>
    </w:r>
    <w:r w:rsidRPr="00B5003B">
      <w:rPr>
        <w:rFonts w:cs="Times New Roman"/>
      </w:rPr>
      <w:tab/>
      <w:t>(Primera Sección)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14B" w:rsidRDefault="007413F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14B" w:rsidRDefault="004A714B" w:rsidP="004A714B">
    <w:pPr>
      <w:spacing w:after="0" w:line="240" w:lineRule="auto"/>
      <w:jc w:val="center"/>
      <w:rPr>
        <w:rFonts w:ascii="ITC Avant Garde" w:hAnsi="ITC Avant Garde" w:cs="Arial"/>
        <w:b/>
        <w:sz w:val="18"/>
      </w:rPr>
    </w:pPr>
    <w:r w:rsidRPr="00691975">
      <w:rPr>
        <w:rFonts w:ascii="ITC Avant Garde" w:hAnsi="ITC Avant Garde" w:cs="Arial"/>
        <w:b/>
        <w:sz w:val="18"/>
      </w:rPr>
      <w:t xml:space="preserve"> SOLICITUDES PRESENTADAS POR LOS INTERESADOS PARA EL PROGRAMA</w:t>
    </w:r>
  </w:p>
  <w:p w:rsidR="004A714B" w:rsidRPr="00691975" w:rsidRDefault="004A714B" w:rsidP="004A714B">
    <w:pPr>
      <w:spacing w:after="0" w:line="240" w:lineRule="auto"/>
      <w:jc w:val="center"/>
      <w:rPr>
        <w:rFonts w:ascii="ITC Avant Garde" w:hAnsi="ITC Avant Garde" w:cs="Arial"/>
        <w:b/>
        <w:sz w:val="14"/>
      </w:rPr>
    </w:pPr>
    <w:r w:rsidRPr="00691975">
      <w:rPr>
        <w:rFonts w:ascii="ITC Avant Garde" w:hAnsi="ITC Avant Garde" w:cs="Arial"/>
        <w:b/>
        <w:sz w:val="18"/>
      </w:rPr>
      <w:t xml:space="preserve"> ANUAL DE USO Y APROVECHAMIENTO DE BANDAS DE FRECUENCIAS 201</w:t>
    </w:r>
    <w:r>
      <w:rPr>
        <w:rFonts w:ascii="ITC Avant Garde" w:hAnsi="ITC Avant Garde" w:cs="Arial"/>
        <w:b/>
        <w:sz w:val="18"/>
      </w:rPr>
      <w:t>7</w:t>
    </w:r>
  </w:p>
  <w:p w:rsidR="004A714B" w:rsidRDefault="004A714B">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14B" w:rsidRPr="007F3F59" w:rsidRDefault="004A714B" w:rsidP="004A714B">
    <w:pPr>
      <w:ind w:right="1842"/>
      <w:contextualSpacing/>
      <w:jc w:val="both"/>
      <w:rPr>
        <w:rFonts w:ascii="ITC Avant Garde" w:hAnsi="ITC Avant Garde"/>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14B" w:rsidRPr="00C3293D" w:rsidRDefault="004A714B" w:rsidP="004A714B">
    <w:pPr>
      <w:ind w:right="2261"/>
      <w:contextualSpacing/>
      <w:rPr>
        <w:rFonts w:ascii="ITC Avant Garde" w:eastAsia="Times New Roman" w:hAnsi="ITC Avant Garde" w:cs="Arial"/>
        <w:b/>
        <w:color w:val="2F2F2F"/>
        <w:lang w:eastAsia="es-MX"/>
      </w:rPr>
    </w:pPr>
  </w:p>
  <w:p w:rsidR="004A714B" w:rsidRPr="00C3293D" w:rsidRDefault="004A714B" w:rsidP="004A714B">
    <w:pPr>
      <w:contextualSpacing/>
      <w:jc w:val="right"/>
      <w:rPr>
        <w:rFonts w:ascii="ITC Avant Garde" w:eastAsia="Times New Roman" w:hAnsi="ITC Avant Garde" w:cs="Arial"/>
        <w:b/>
        <w:color w:val="2F2F2F"/>
        <w:sz w:val="20"/>
        <w:lang w:eastAsia="es-MX"/>
      </w:rPr>
    </w:pPr>
  </w:p>
  <w:p w:rsidR="004A714B" w:rsidRPr="00C3293D" w:rsidRDefault="004A714B" w:rsidP="004A714B">
    <w:pPr>
      <w:pStyle w:val="Encabezado"/>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14"/>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7"/>
    <w:multiLevelType w:val="multilevel"/>
    <w:tmpl w:val="00000007"/>
    <w:name w:val="WW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288F2C71"/>
    <w:multiLevelType w:val="hybridMultilevel"/>
    <w:tmpl w:val="3CC229F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4F886D0E"/>
    <w:multiLevelType w:val="hybridMultilevel"/>
    <w:tmpl w:val="09847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BFE2EE6"/>
    <w:multiLevelType w:val="hybridMultilevel"/>
    <w:tmpl w:val="CA9E8E9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6CF000AE"/>
    <w:multiLevelType w:val="hybridMultilevel"/>
    <w:tmpl w:val="D108AE6C"/>
    <w:lvl w:ilvl="0" w:tplc="FD067E34">
      <w:start w:val="1"/>
      <w:numFmt w:val="lowerLetter"/>
      <w:lvlText w:val="%1)"/>
      <w:lvlJc w:val="left"/>
      <w:pPr>
        <w:tabs>
          <w:tab w:val="num" w:pos="0"/>
        </w:tabs>
        <w:ind w:left="2007" w:hanging="360"/>
      </w:pPr>
      <w:rPr>
        <w:rFonts w:hint="default"/>
        <w:b/>
      </w:rPr>
    </w:lvl>
    <w:lvl w:ilvl="1" w:tplc="080A0019" w:tentative="1">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num w:numId="1">
    <w:abstractNumId w:val="2"/>
  </w:num>
  <w:num w:numId="2">
    <w:abstractNumId w:val="4"/>
  </w:num>
  <w:num w:numId="3">
    <w:abstractNumId w:val="5"/>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CA"/>
    <w:rsid w:val="00102287"/>
    <w:rsid w:val="00192567"/>
    <w:rsid w:val="004A714B"/>
    <w:rsid w:val="004F1C80"/>
    <w:rsid w:val="005B12CA"/>
    <w:rsid w:val="007062E9"/>
    <w:rsid w:val="00711B86"/>
    <w:rsid w:val="007413F0"/>
    <w:rsid w:val="00986D2A"/>
    <w:rsid w:val="00CC1A16"/>
    <w:rsid w:val="00F752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DD8A84B-ECBC-447E-AE37-E9C37DA7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título 1,1,l1"/>
    <w:basedOn w:val="Normal"/>
    <w:next w:val="Normal"/>
    <w:link w:val="Ttulo1Car"/>
    <w:uiPriority w:val="9"/>
    <w:qFormat/>
    <w:rsid w:val="005B12CA"/>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aliases w:val="l2,h2,título 2"/>
    <w:basedOn w:val="Normal"/>
    <w:next w:val="Normal"/>
    <w:link w:val="Ttulo2Car"/>
    <w:uiPriority w:val="9"/>
    <w:qFormat/>
    <w:rsid w:val="005B12CA"/>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aliases w:val="h3,3,??? 3,l3,31,Titre 31,?? 3,Titre 3,heading 3"/>
    <w:basedOn w:val="Ttulo2"/>
    <w:next w:val="Normal"/>
    <w:link w:val="Ttulo3Car"/>
    <w:uiPriority w:val="9"/>
    <w:qFormat/>
    <w:rsid w:val="005B12C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ind w:left="720" w:hanging="360"/>
      <w:jc w:val="center"/>
      <w:outlineLvl w:val="2"/>
    </w:pPr>
    <w:rPr>
      <w:rFonts w:ascii="ITC Avant Garde" w:hAnsi="ITC Avant Garde" w:cs="ITC Avant Garde"/>
      <w:b/>
      <w:color w:val="000000"/>
      <w:sz w:val="24"/>
      <w:lang w:val="es-MX"/>
    </w:rPr>
  </w:style>
  <w:style w:type="paragraph" w:styleId="Ttulo4">
    <w:name w:val="heading 4"/>
    <w:basedOn w:val="Cuerpo"/>
    <w:next w:val="Normal"/>
    <w:link w:val="Ttulo4Car"/>
    <w:qFormat/>
    <w:rsid w:val="005B12CA"/>
    <w:pPr>
      <w:ind w:left="720" w:hanging="360"/>
      <w:jc w:val="both"/>
      <w:outlineLvl w:val="3"/>
    </w:pPr>
    <w:rPr>
      <w:b/>
      <w:sz w:val="22"/>
    </w:rPr>
  </w:style>
  <w:style w:type="paragraph" w:styleId="Ttulo5">
    <w:name w:val="heading 5"/>
    <w:aliases w:val="H5"/>
    <w:basedOn w:val="Prrafodelista1"/>
    <w:next w:val="Normal"/>
    <w:link w:val="Ttulo5Car"/>
    <w:qFormat/>
    <w:rsid w:val="005B12CA"/>
    <w:pPr>
      <w:ind w:left="1440" w:hanging="360"/>
      <w:jc w:val="both"/>
      <w:outlineLvl w:val="4"/>
    </w:pPr>
    <w:rPr>
      <w:rFonts w:ascii="ITC Avant Garde" w:hAnsi="ITC Avant Garde" w:cs="ITC Avant Garde"/>
      <w:b/>
      <w:sz w:val="22"/>
    </w:rPr>
  </w:style>
  <w:style w:type="paragraph" w:styleId="Ttulo6">
    <w:name w:val="heading 6"/>
    <w:basedOn w:val="Prrafodelista1"/>
    <w:next w:val="Normal"/>
    <w:link w:val="Ttulo6Car"/>
    <w:qFormat/>
    <w:rsid w:val="005B12CA"/>
    <w:pPr>
      <w:ind w:left="1494" w:hanging="360"/>
      <w:jc w:val="both"/>
      <w:outlineLvl w:val="5"/>
    </w:pPr>
    <w:rPr>
      <w:rFonts w:ascii="ITC Avant Garde" w:hAnsi="ITC Avant Garde" w:cs="ITC Avant Garde"/>
      <w:b/>
      <w:sz w:val="22"/>
      <w:lang w:val="es-ES"/>
    </w:rPr>
  </w:style>
  <w:style w:type="paragraph" w:styleId="Ttulo7">
    <w:name w:val="heading 7"/>
    <w:basedOn w:val="Normal"/>
    <w:next w:val="Normal"/>
    <w:link w:val="Ttulo7Car"/>
    <w:qFormat/>
    <w:rsid w:val="005B12CA"/>
    <w:pPr>
      <w:tabs>
        <w:tab w:val="left" w:pos="1843"/>
      </w:tabs>
      <w:spacing w:after="0" w:line="240" w:lineRule="auto"/>
      <w:ind w:left="1701"/>
      <w:jc w:val="both"/>
      <w:outlineLvl w:val="6"/>
    </w:pPr>
    <w:rPr>
      <w:rFonts w:ascii="ITC Avant Garde" w:eastAsia="Times New Roman" w:hAnsi="ITC Avant Garde" w:cs="ITC Avant Garde"/>
      <w:b/>
      <w:szCs w:val="20"/>
      <w:lang w:val="es-ES" w:eastAsia="es-MX"/>
    </w:rPr>
  </w:style>
  <w:style w:type="paragraph" w:styleId="Ttulo8">
    <w:name w:val="heading 8"/>
    <w:basedOn w:val="Normal"/>
    <w:next w:val="Normal"/>
    <w:link w:val="Ttulo8Car"/>
    <w:qFormat/>
    <w:rsid w:val="005B12CA"/>
    <w:pPr>
      <w:keepNext/>
      <w:tabs>
        <w:tab w:val="left" w:pos="7655"/>
      </w:tabs>
      <w:spacing w:after="0" w:line="240" w:lineRule="auto"/>
      <w:ind w:right="49"/>
      <w:jc w:val="center"/>
      <w:outlineLvl w:val="7"/>
    </w:pPr>
    <w:rPr>
      <w:rFonts w:ascii="ITC Avant Garde" w:eastAsia="Times New Roman" w:hAnsi="ITC Avant Garde" w:cs="ITC Avant Garde"/>
      <w:b/>
      <w:color w:val="000000"/>
      <w:sz w:val="20"/>
      <w:szCs w:val="20"/>
      <w:lang w:eastAsia="es-MX"/>
    </w:rPr>
  </w:style>
  <w:style w:type="paragraph" w:styleId="Ttulo9">
    <w:name w:val="heading 9"/>
    <w:aliases w:val="Topic,table,t,9,Heading 9.table,heading 9,Titre 9"/>
    <w:basedOn w:val="Normal"/>
    <w:next w:val="Normal"/>
    <w:link w:val="Ttulo9Car"/>
    <w:qFormat/>
    <w:rsid w:val="005B12CA"/>
    <w:pPr>
      <w:keepNext/>
      <w:tabs>
        <w:tab w:val="left" w:pos="7655"/>
      </w:tabs>
      <w:spacing w:after="0" w:line="240" w:lineRule="auto"/>
      <w:ind w:right="49"/>
      <w:jc w:val="center"/>
      <w:outlineLvl w:val="8"/>
    </w:pPr>
    <w:rPr>
      <w:rFonts w:ascii="ITC Avant Garde" w:eastAsia="Times New Roman" w:hAnsi="ITC Avant Garde" w:cs="ITC Avant Garde"/>
      <w:b/>
      <w:color w:val="FFFFFF"/>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título 1 Car,1 Car,l1 Car"/>
    <w:basedOn w:val="Fuentedeprrafopredeter"/>
    <w:link w:val="Ttulo1"/>
    <w:uiPriority w:val="9"/>
    <w:rsid w:val="005B12CA"/>
    <w:rPr>
      <w:rFonts w:ascii="Times New Roman" w:eastAsia="Times New Roman" w:hAnsi="Times New Roman" w:cs="CG Palacio (WN)"/>
      <w:b/>
      <w:sz w:val="18"/>
      <w:szCs w:val="24"/>
      <w:lang w:val="es-ES" w:eastAsia="es-ES"/>
    </w:rPr>
  </w:style>
  <w:style w:type="character" w:customStyle="1" w:styleId="Ttulo2Car">
    <w:name w:val="Título 2 Car"/>
    <w:aliases w:val="l2 Car,h2 Car,título 2 Car"/>
    <w:basedOn w:val="Fuentedeprrafopredeter"/>
    <w:link w:val="Ttulo2"/>
    <w:uiPriority w:val="9"/>
    <w:rsid w:val="005B12CA"/>
    <w:rPr>
      <w:rFonts w:ascii="Arial" w:eastAsia="Times New Roman" w:hAnsi="Arial" w:cs="Helv"/>
      <w:sz w:val="18"/>
      <w:szCs w:val="20"/>
      <w:lang w:val="es-ES_tradnl" w:eastAsia="es-MX"/>
    </w:rPr>
  </w:style>
  <w:style w:type="character" w:customStyle="1" w:styleId="Ttulo3Car">
    <w:name w:val="Título 3 Car"/>
    <w:aliases w:val="h3 Car,3 Car,??? 3 Car,l3 Car,31 Car,Titre 31 Car,?? 3 Car,Titre 3 Car,heading 3 Car"/>
    <w:basedOn w:val="Fuentedeprrafopredeter"/>
    <w:link w:val="Ttulo3"/>
    <w:uiPriority w:val="9"/>
    <w:rsid w:val="005B12CA"/>
    <w:rPr>
      <w:rFonts w:ascii="ITC Avant Garde" w:eastAsia="Times New Roman" w:hAnsi="ITC Avant Garde" w:cs="ITC Avant Garde"/>
      <w:b/>
      <w:color w:val="000000"/>
      <w:sz w:val="24"/>
      <w:szCs w:val="20"/>
      <w:lang w:eastAsia="es-MX"/>
    </w:rPr>
  </w:style>
  <w:style w:type="character" w:customStyle="1" w:styleId="Ttulo4Car">
    <w:name w:val="Título 4 Car"/>
    <w:basedOn w:val="Fuentedeprrafopredeter"/>
    <w:link w:val="Ttulo4"/>
    <w:rsid w:val="005B12CA"/>
    <w:rPr>
      <w:rFonts w:ascii="Cambria" w:eastAsia="Times New Roman" w:hAnsi="Cambria" w:cs="Cambria"/>
      <w:b/>
      <w:color w:val="000000"/>
      <w:szCs w:val="20"/>
      <w:lang w:val="es-ES_tradnl" w:eastAsia="es-MX"/>
    </w:rPr>
  </w:style>
  <w:style w:type="character" w:customStyle="1" w:styleId="Ttulo5Car">
    <w:name w:val="Título 5 Car"/>
    <w:aliases w:val="H5 Car"/>
    <w:basedOn w:val="Fuentedeprrafopredeter"/>
    <w:link w:val="Ttulo5"/>
    <w:rsid w:val="005B12CA"/>
    <w:rPr>
      <w:rFonts w:ascii="ITC Avant Garde" w:eastAsia="Times New Roman" w:hAnsi="ITC Avant Garde" w:cs="ITC Avant Garde"/>
      <w:b/>
      <w:color w:val="000000"/>
      <w:szCs w:val="20"/>
      <w:lang w:val="es-ES_tradnl" w:eastAsia="es-MX"/>
    </w:rPr>
  </w:style>
  <w:style w:type="character" w:customStyle="1" w:styleId="Ttulo6Car">
    <w:name w:val="Título 6 Car"/>
    <w:basedOn w:val="Fuentedeprrafopredeter"/>
    <w:link w:val="Ttulo6"/>
    <w:rsid w:val="005B12CA"/>
    <w:rPr>
      <w:rFonts w:ascii="ITC Avant Garde" w:eastAsia="Times New Roman" w:hAnsi="ITC Avant Garde" w:cs="ITC Avant Garde"/>
      <w:b/>
      <w:color w:val="000000"/>
      <w:szCs w:val="20"/>
      <w:lang w:val="es-ES" w:eastAsia="es-MX"/>
    </w:rPr>
  </w:style>
  <w:style w:type="character" w:customStyle="1" w:styleId="Ttulo7Car">
    <w:name w:val="Título 7 Car"/>
    <w:basedOn w:val="Fuentedeprrafopredeter"/>
    <w:link w:val="Ttulo7"/>
    <w:rsid w:val="005B12CA"/>
    <w:rPr>
      <w:rFonts w:ascii="ITC Avant Garde" w:eastAsia="Times New Roman" w:hAnsi="ITC Avant Garde" w:cs="ITC Avant Garde"/>
      <w:b/>
      <w:szCs w:val="20"/>
      <w:lang w:val="es-ES" w:eastAsia="es-MX"/>
    </w:rPr>
  </w:style>
  <w:style w:type="character" w:customStyle="1" w:styleId="Ttulo8Car">
    <w:name w:val="Título 8 Car"/>
    <w:basedOn w:val="Fuentedeprrafopredeter"/>
    <w:link w:val="Ttulo8"/>
    <w:rsid w:val="005B12CA"/>
    <w:rPr>
      <w:rFonts w:ascii="ITC Avant Garde" w:eastAsia="Times New Roman" w:hAnsi="ITC Avant Garde" w:cs="ITC Avant Garde"/>
      <w:b/>
      <w:color w:val="000000"/>
      <w:sz w:val="20"/>
      <w:szCs w:val="20"/>
      <w:lang w:eastAsia="es-MX"/>
    </w:rPr>
  </w:style>
  <w:style w:type="character" w:customStyle="1" w:styleId="Ttulo9Car">
    <w:name w:val="Título 9 Car"/>
    <w:aliases w:val="Topic Car,table Car,t Car,9 Car,Heading 9.table Car,heading 9 Car,Titre 9 Car"/>
    <w:basedOn w:val="Fuentedeprrafopredeter"/>
    <w:link w:val="Ttulo9"/>
    <w:rsid w:val="005B12CA"/>
    <w:rPr>
      <w:rFonts w:ascii="ITC Avant Garde" w:eastAsia="Times New Roman" w:hAnsi="ITC Avant Garde" w:cs="ITC Avant Garde"/>
      <w:b/>
      <w:color w:val="FFFFFF"/>
      <w:sz w:val="20"/>
      <w:szCs w:val="20"/>
      <w:lang w:eastAsia="es-MX"/>
    </w:rPr>
  </w:style>
  <w:style w:type="numbering" w:customStyle="1" w:styleId="Sinlista1">
    <w:name w:val="Sin lista1"/>
    <w:next w:val="Sinlista"/>
    <w:uiPriority w:val="99"/>
    <w:semiHidden/>
    <w:rsid w:val="005B12CA"/>
  </w:style>
  <w:style w:type="paragraph" w:customStyle="1" w:styleId="Texto">
    <w:name w:val="Texto"/>
    <w:basedOn w:val="Normal"/>
    <w:link w:val="TextoCar"/>
    <w:rsid w:val="005B12CA"/>
    <w:pPr>
      <w:spacing w:after="101" w:line="216" w:lineRule="exact"/>
      <w:ind w:firstLine="288"/>
      <w:jc w:val="both"/>
    </w:pPr>
    <w:rPr>
      <w:rFonts w:ascii="Arial" w:eastAsia="Times New Roman" w:hAnsi="Arial" w:cs="Arial"/>
      <w:sz w:val="18"/>
      <w:szCs w:val="20"/>
      <w:lang w:val="es-ES" w:eastAsia="es-ES"/>
    </w:rPr>
  </w:style>
  <w:style w:type="paragraph" w:customStyle="1" w:styleId="CABEZA">
    <w:name w:val="CABEZA"/>
    <w:basedOn w:val="Normal"/>
    <w:rsid w:val="005B12CA"/>
    <w:pPr>
      <w:spacing w:after="0" w:line="240" w:lineRule="auto"/>
      <w:jc w:val="center"/>
    </w:pPr>
    <w:rPr>
      <w:rFonts w:ascii="Times New Roman" w:eastAsia="Times New Roman" w:hAnsi="Times New Roman" w:cs="Arial"/>
      <w:b/>
      <w:sz w:val="28"/>
      <w:szCs w:val="28"/>
      <w:lang w:val="es-ES_tradnl" w:eastAsia="es-MX"/>
    </w:rPr>
  </w:style>
  <w:style w:type="paragraph" w:customStyle="1" w:styleId="ROMANOS">
    <w:name w:val="ROMANOS"/>
    <w:basedOn w:val="Normal"/>
    <w:link w:val="ROMANOSCar"/>
    <w:rsid w:val="005B12CA"/>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B12CA"/>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5B12C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5B12CA"/>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5B12CA"/>
    <w:pPr>
      <w:ind w:left="1987" w:hanging="720"/>
    </w:pPr>
    <w:rPr>
      <w:lang w:val="es-MX"/>
    </w:rPr>
  </w:style>
  <w:style w:type="paragraph" w:customStyle="1" w:styleId="Titulo1">
    <w:name w:val="Titulo 1"/>
    <w:basedOn w:val="Texto"/>
    <w:rsid w:val="005B12C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5B12CA"/>
    <w:pPr>
      <w:pBdr>
        <w:top w:val="double" w:sz="6" w:space="1" w:color="auto"/>
      </w:pBdr>
      <w:spacing w:line="240" w:lineRule="auto"/>
      <w:ind w:firstLine="0"/>
      <w:outlineLvl w:val="1"/>
    </w:pPr>
    <w:rPr>
      <w:lang w:val="es-MX"/>
    </w:rPr>
  </w:style>
  <w:style w:type="paragraph" w:customStyle="1" w:styleId="tt">
    <w:name w:val="tt"/>
    <w:basedOn w:val="Texto"/>
    <w:rsid w:val="005B12CA"/>
    <w:pPr>
      <w:tabs>
        <w:tab w:val="left" w:pos="1320"/>
        <w:tab w:val="left" w:pos="1629"/>
      </w:tabs>
      <w:ind w:left="1647" w:hanging="1440"/>
    </w:pPr>
    <w:rPr>
      <w:lang w:val="es-ES_tradnl"/>
    </w:rPr>
  </w:style>
  <w:style w:type="paragraph" w:customStyle="1" w:styleId="sum">
    <w:name w:val="sum"/>
    <w:basedOn w:val="Texto"/>
    <w:rsid w:val="005B12CA"/>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he,header odd,header odd1,header odd2,header,h,Header/Footer,Page No"/>
    <w:basedOn w:val="Normal"/>
    <w:link w:val="EncabezadoCar"/>
    <w:uiPriority w:val="99"/>
    <w:rsid w:val="005B12C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he Car,header odd Car,header odd1 Car,header odd2 Car,header Car,h Car,Header/Footer Car,Page No Car"/>
    <w:basedOn w:val="Fuentedeprrafopredeter"/>
    <w:link w:val="Encabezado"/>
    <w:uiPriority w:val="99"/>
    <w:rsid w:val="005B12CA"/>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5B12CA"/>
    <w:pPr>
      <w:spacing w:after="101" w:line="216" w:lineRule="exact"/>
      <w:jc w:val="both"/>
    </w:pPr>
    <w:rPr>
      <w:rFonts w:ascii="Arial" w:eastAsia="Times New Roman" w:hAnsi="Arial" w:cs="Times New Roman"/>
      <w:sz w:val="18"/>
      <w:szCs w:val="20"/>
      <w:lang w:eastAsia="es-MX"/>
    </w:rPr>
  </w:style>
  <w:style w:type="character" w:customStyle="1" w:styleId="TextoCar">
    <w:name w:val="Texto Car"/>
    <w:link w:val="Texto"/>
    <w:locked/>
    <w:rsid w:val="005B12CA"/>
    <w:rPr>
      <w:rFonts w:ascii="Arial" w:eastAsia="Times New Roman" w:hAnsi="Arial" w:cs="Arial"/>
      <w:sz w:val="18"/>
      <w:szCs w:val="20"/>
      <w:lang w:val="es-ES" w:eastAsia="es-ES"/>
    </w:rPr>
  </w:style>
  <w:style w:type="character" w:customStyle="1" w:styleId="ROMANOSCar">
    <w:name w:val="ROMANOS Car"/>
    <w:link w:val="ROMANOS"/>
    <w:locked/>
    <w:rsid w:val="005B12CA"/>
    <w:rPr>
      <w:rFonts w:ascii="Arial" w:eastAsia="Times New Roman" w:hAnsi="Arial" w:cs="Arial"/>
      <w:sz w:val="18"/>
      <w:szCs w:val="18"/>
      <w:lang w:val="es-ES" w:eastAsia="es-ES"/>
    </w:rPr>
  </w:style>
  <w:style w:type="character" w:customStyle="1" w:styleId="ANOTACIONCar">
    <w:name w:val="ANOTACION Car"/>
    <w:link w:val="ANOTACION"/>
    <w:locked/>
    <w:rsid w:val="005B12CA"/>
    <w:rPr>
      <w:rFonts w:ascii="Times New Roman" w:eastAsia="Times New Roman" w:hAnsi="Times New Roman" w:cs="Times New Roman"/>
      <w:b/>
      <w:sz w:val="18"/>
      <w:szCs w:val="20"/>
      <w:lang w:val="es-ES_tradnl" w:eastAsia="es-ES"/>
    </w:rPr>
  </w:style>
  <w:style w:type="paragraph" w:styleId="Piedepgina">
    <w:name w:val="footer"/>
    <w:aliases w:val="footer odd,footer,pie de página,pie de p·gina"/>
    <w:basedOn w:val="Normal"/>
    <w:link w:val="PiedepginaCar"/>
    <w:uiPriority w:val="99"/>
    <w:rsid w:val="005B12C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aliases w:val="footer odd Car,footer Car,pie de página Car,pie de p·gina Car"/>
    <w:basedOn w:val="Fuentedeprrafopredeter"/>
    <w:link w:val="Piedepgina"/>
    <w:uiPriority w:val="99"/>
    <w:rsid w:val="005B12C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B12CA"/>
  </w:style>
  <w:style w:type="paragraph" w:styleId="Textocomentario">
    <w:name w:val="annotation text"/>
    <w:basedOn w:val="Normal"/>
    <w:link w:val="TextocomentarioCar"/>
    <w:uiPriority w:val="99"/>
    <w:rsid w:val="005B12C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Times New Roman" w:eastAsia="Times New Roman" w:hAnsi="Times New Roman" w:cs="Times New Roman"/>
      <w:sz w:val="24"/>
      <w:szCs w:val="20"/>
      <w:lang w:eastAsia="es-MX"/>
    </w:rPr>
  </w:style>
  <w:style w:type="character" w:customStyle="1" w:styleId="TextocomentarioCar">
    <w:name w:val="Texto comentario Car"/>
    <w:basedOn w:val="Fuentedeprrafopredeter"/>
    <w:link w:val="Textocomentario"/>
    <w:uiPriority w:val="99"/>
    <w:rsid w:val="005B12CA"/>
    <w:rPr>
      <w:rFonts w:ascii="Times New Roman" w:eastAsia="Times New Roman" w:hAnsi="Times New Roman" w:cs="Times New Roman"/>
      <w:sz w:val="24"/>
      <w:szCs w:val="20"/>
      <w:lang w:eastAsia="es-MX"/>
    </w:rPr>
  </w:style>
  <w:style w:type="paragraph" w:styleId="TDC8">
    <w:name w:val="toc 8"/>
    <w:basedOn w:val="Normal"/>
    <w:next w:val="Normal"/>
    <w:rsid w:val="005B12CA"/>
    <w:pPr>
      <w:spacing w:after="100" w:line="259" w:lineRule="atLeast"/>
      <w:ind w:left="1540"/>
    </w:pPr>
    <w:rPr>
      <w:rFonts w:ascii="Helvetica" w:eastAsia="Times New Roman" w:hAnsi="Helvetica" w:cs="Helvetica"/>
      <w:szCs w:val="20"/>
      <w:lang w:eastAsia="es-MX"/>
    </w:rPr>
  </w:style>
  <w:style w:type="paragraph" w:styleId="TDC7">
    <w:name w:val="toc 7"/>
    <w:basedOn w:val="Normal"/>
    <w:next w:val="Normal"/>
    <w:rsid w:val="005B12CA"/>
    <w:pPr>
      <w:spacing w:after="100" w:line="259" w:lineRule="atLeast"/>
      <w:ind w:left="1320"/>
    </w:pPr>
    <w:rPr>
      <w:rFonts w:ascii="Helvetica" w:eastAsia="Times New Roman" w:hAnsi="Helvetica" w:cs="Helvetica"/>
      <w:szCs w:val="20"/>
      <w:lang w:eastAsia="es-MX"/>
    </w:rPr>
  </w:style>
  <w:style w:type="paragraph" w:styleId="TDC6">
    <w:name w:val="toc 6"/>
    <w:basedOn w:val="Normal"/>
    <w:next w:val="Normal"/>
    <w:rsid w:val="005B12CA"/>
    <w:pPr>
      <w:spacing w:after="100" w:line="259" w:lineRule="atLeast"/>
      <w:ind w:left="1100"/>
    </w:pPr>
    <w:rPr>
      <w:rFonts w:ascii="Helvetica" w:eastAsia="Times New Roman" w:hAnsi="Helvetica" w:cs="Helvetica"/>
      <w:szCs w:val="20"/>
      <w:lang w:eastAsia="es-MX"/>
    </w:rPr>
  </w:style>
  <w:style w:type="paragraph" w:styleId="TDC5">
    <w:name w:val="toc 5"/>
    <w:basedOn w:val="Normal"/>
    <w:next w:val="Normal"/>
    <w:rsid w:val="005B12CA"/>
    <w:pPr>
      <w:spacing w:after="100" w:line="259" w:lineRule="atLeast"/>
      <w:ind w:left="880"/>
    </w:pPr>
    <w:rPr>
      <w:rFonts w:ascii="Helvetica" w:eastAsia="Times New Roman" w:hAnsi="Helvetica" w:cs="Helvetica"/>
      <w:szCs w:val="20"/>
      <w:lang w:eastAsia="es-MX"/>
    </w:rPr>
  </w:style>
  <w:style w:type="paragraph" w:styleId="TDC4">
    <w:name w:val="toc 4"/>
    <w:basedOn w:val="Normal"/>
    <w:next w:val="Normal"/>
    <w:rsid w:val="005B12CA"/>
    <w:pPr>
      <w:spacing w:after="100" w:line="259" w:lineRule="atLeast"/>
      <w:ind w:left="660"/>
    </w:pPr>
    <w:rPr>
      <w:rFonts w:ascii="Helvetica" w:eastAsia="Times New Roman" w:hAnsi="Helvetica" w:cs="Helvetica"/>
      <w:szCs w:val="20"/>
      <w:lang w:eastAsia="es-MX"/>
    </w:rPr>
  </w:style>
  <w:style w:type="paragraph" w:styleId="TDC3">
    <w:name w:val="toc 3"/>
    <w:basedOn w:val="Normal"/>
    <w:next w:val="Normal"/>
    <w:uiPriority w:val="39"/>
    <w:rsid w:val="005B12C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100" w:line="240" w:lineRule="auto"/>
      <w:ind w:left="480"/>
    </w:pPr>
    <w:rPr>
      <w:rFonts w:ascii="Times New Roman" w:eastAsia="Times New Roman" w:hAnsi="Times New Roman" w:cs="Times New Roman"/>
      <w:sz w:val="24"/>
      <w:szCs w:val="20"/>
      <w:lang w:eastAsia="es-MX"/>
    </w:rPr>
  </w:style>
  <w:style w:type="paragraph" w:styleId="TDC2">
    <w:name w:val="toc 2"/>
    <w:basedOn w:val="Normal"/>
    <w:next w:val="Normal"/>
    <w:uiPriority w:val="39"/>
    <w:rsid w:val="005B12C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tabs>
        <w:tab w:val="right" w:leader="dot" w:pos="8630"/>
      </w:tabs>
      <w:spacing w:after="100" w:line="240" w:lineRule="auto"/>
      <w:ind w:left="142"/>
    </w:pPr>
    <w:rPr>
      <w:rFonts w:ascii="Times New Roman" w:eastAsia="Times New Roman" w:hAnsi="Times New Roman" w:cs="Times New Roman"/>
      <w:sz w:val="24"/>
      <w:szCs w:val="20"/>
      <w:lang w:eastAsia="es-MX"/>
    </w:rPr>
  </w:style>
  <w:style w:type="paragraph" w:styleId="TDC1">
    <w:name w:val="toc 1"/>
    <w:basedOn w:val="Normal"/>
    <w:next w:val="Normal"/>
    <w:uiPriority w:val="39"/>
    <w:rsid w:val="005B12C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100" w:line="240" w:lineRule="auto"/>
    </w:pPr>
    <w:rPr>
      <w:rFonts w:ascii="Times New Roman" w:eastAsia="Times New Roman" w:hAnsi="Times New Roman" w:cs="Times New Roman"/>
      <w:sz w:val="24"/>
      <w:szCs w:val="20"/>
      <w:lang w:eastAsia="es-MX"/>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fn"/>
    <w:basedOn w:val="Normal"/>
    <w:link w:val="TextonotapieCar"/>
    <w:uiPriority w:val="99"/>
    <w:qFormat/>
    <w:rsid w:val="005B12C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Times New Roman" w:eastAsia="Times New Roman" w:hAnsi="Times New Roman" w:cs="Times New Roman"/>
      <w:sz w:val="24"/>
      <w:szCs w:val="20"/>
      <w:lang w:eastAsia="es-MX"/>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fn Car"/>
    <w:basedOn w:val="Fuentedeprrafopredeter"/>
    <w:link w:val="Textonotapie"/>
    <w:uiPriority w:val="99"/>
    <w:rsid w:val="005B12CA"/>
    <w:rPr>
      <w:rFonts w:ascii="Times New Roman" w:eastAsia="Times New Roman" w:hAnsi="Times New Roman" w:cs="Times New Roman"/>
      <w:sz w:val="24"/>
      <w:szCs w:val="20"/>
      <w:lang w:eastAsia="es-MX"/>
    </w:rPr>
  </w:style>
  <w:style w:type="paragraph" w:customStyle="1" w:styleId="Cuerpo">
    <w:name w:val="Cuerpo"/>
    <w:rsid w:val="005B12C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Cambria" w:eastAsia="Times New Roman" w:hAnsi="Cambria" w:cs="Cambria"/>
      <w:color w:val="000000"/>
      <w:sz w:val="24"/>
      <w:szCs w:val="20"/>
      <w:lang w:val="es-ES_tradnl" w:eastAsia="es-MX"/>
    </w:rPr>
  </w:style>
  <w:style w:type="paragraph" w:customStyle="1" w:styleId="Prrafodelista1">
    <w:name w:val="Párrafo de lista1"/>
    <w:aliases w:val="4 Viñ 1nivel,Numeración 1,Cuadrícula media 1 - Énfasis 21,Listas,lp1"/>
    <w:link w:val="PrrafodelistaCar"/>
    <w:uiPriority w:val="34"/>
    <w:qFormat/>
    <w:rsid w:val="005B12C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ind w:left="720"/>
    </w:pPr>
    <w:rPr>
      <w:rFonts w:ascii="Cambria" w:eastAsia="Times New Roman" w:hAnsi="Cambria" w:cs="Cambria"/>
      <w:color w:val="000000"/>
      <w:sz w:val="24"/>
      <w:szCs w:val="20"/>
      <w:lang w:val="es-ES_tradnl" w:eastAsia="es-MX"/>
    </w:rPr>
  </w:style>
  <w:style w:type="paragraph" w:customStyle="1" w:styleId="Poromisin">
    <w:name w:val="Por omisión"/>
    <w:rsid w:val="005B12C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Helvetica" w:eastAsia="Times New Roman" w:hAnsi="Helvetica" w:cs="Helvetica"/>
      <w:color w:val="000000"/>
      <w:szCs w:val="20"/>
      <w:lang w:val="es-ES_tradnl" w:eastAsia="es-MX"/>
    </w:rPr>
  </w:style>
  <w:style w:type="paragraph" w:customStyle="1" w:styleId="Estilodetabla2">
    <w:name w:val="Estilo de tabla 2"/>
    <w:rsid w:val="005B12C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Helvetica" w:eastAsia="Times New Roman" w:hAnsi="Helvetica" w:cs="Helvetica"/>
      <w:color w:val="000000"/>
      <w:sz w:val="24"/>
      <w:szCs w:val="20"/>
      <w:lang w:val="es-ES_tradnl" w:eastAsia="es-MX"/>
    </w:rPr>
  </w:style>
  <w:style w:type="paragraph" w:customStyle="1" w:styleId="Encabezamiento2">
    <w:name w:val="Encabezamiento 2"/>
    <w:next w:val="Cuerpo"/>
    <w:rsid w:val="005B12CA"/>
    <w:pPr>
      <w:keepNext/>
      <w:keepLines/>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before="200" w:after="0" w:line="276" w:lineRule="atLeast"/>
    </w:pPr>
    <w:rPr>
      <w:rFonts w:ascii="Calibri" w:eastAsia="Times New Roman" w:hAnsi="Calibri" w:cs="Calibri"/>
      <w:b/>
      <w:color w:val="C0C0C0"/>
      <w:sz w:val="26"/>
      <w:szCs w:val="20"/>
      <w:lang w:val="es-ES_tradnl" w:eastAsia="es-MX"/>
    </w:rPr>
  </w:style>
  <w:style w:type="paragraph" w:customStyle="1" w:styleId="Encabezamiento3">
    <w:name w:val="Encabezamiento 3"/>
    <w:next w:val="Cuerpo"/>
    <w:rsid w:val="005B12CA"/>
    <w:pPr>
      <w:keepNext/>
      <w:keepLines/>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before="200" w:after="0" w:line="276" w:lineRule="atLeast"/>
    </w:pPr>
    <w:rPr>
      <w:rFonts w:ascii="Calibri" w:eastAsia="Times New Roman" w:hAnsi="Calibri" w:cs="Calibri"/>
      <w:b/>
      <w:color w:val="C0C0C0"/>
      <w:szCs w:val="20"/>
      <w:lang w:val="es-ES_tradnl" w:eastAsia="es-MX"/>
    </w:rPr>
  </w:style>
  <w:style w:type="paragraph" w:styleId="Sinespaciado">
    <w:name w:val="No Spacing"/>
    <w:uiPriority w:val="1"/>
    <w:qFormat/>
    <w:rsid w:val="005B12C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Cambria" w:eastAsia="Times New Roman" w:hAnsi="Cambria" w:cs="Cambria"/>
      <w:color w:val="000000"/>
      <w:szCs w:val="20"/>
      <w:lang w:val="es-ES_tradnl" w:eastAsia="es-MX"/>
    </w:rPr>
  </w:style>
  <w:style w:type="paragraph" w:customStyle="1" w:styleId="Textodeglobo1">
    <w:name w:val="Texto de globo1"/>
    <w:basedOn w:val="Normal"/>
    <w:rsid w:val="005B12C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Lucida Grande" w:eastAsia="Times New Roman" w:hAnsi="Lucida Grande" w:cs="Lucida Grande"/>
      <w:sz w:val="18"/>
      <w:szCs w:val="20"/>
      <w:lang w:eastAsia="es-MX"/>
    </w:rPr>
  </w:style>
  <w:style w:type="paragraph" w:customStyle="1" w:styleId="Asuntodelcomentario1">
    <w:name w:val="Asunto del comentario1"/>
    <w:basedOn w:val="Textocomentario"/>
    <w:next w:val="Textocomentario"/>
    <w:rsid w:val="005B12CA"/>
    <w:rPr>
      <w:b/>
      <w:sz w:val="20"/>
    </w:rPr>
  </w:style>
  <w:style w:type="paragraph" w:customStyle="1" w:styleId="textodenotaalfinal">
    <w:name w:val="texto de nota al final"/>
    <w:basedOn w:val="Normal"/>
    <w:rsid w:val="005B12CA"/>
    <w:pPr>
      <w:spacing w:after="0" w:line="240" w:lineRule="auto"/>
    </w:pPr>
    <w:rPr>
      <w:rFonts w:ascii="Times New Roman" w:eastAsia="Times New Roman" w:hAnsi="Times New Roman" w:cs="Times New Roman"/>
      <w:sz w:val="20"/>
      <w:szCs w:val="20"/>
      <w:lang w:val="es-ES" w:eastAsia="es-MX"/>
    </w:rPr>
  </w:style>
  <w:style w:type="paragraph" w:customStyle="1" w:styleId="Default">
    <w:name w:val="Default"/>
    <w:rsid w:val="005B12CA"/>
    <w:pPr>
      <w:spacing w:after="0" w:line="240" w:lineRule="auto"/>
    </w:pPr>
    <w:rPr>
      <w:rFonts w:ascii="Catriel" w:eastAsia="Times New Roman" w:hAnsi="Catriel" w:cs="Catriel"/>
      <w:color w:val="000000"/>
      <w:sz w:val="24"/>
      <w:szCs w:val="20"/>
      <w:lang w:eastAsia="es-MX"/>
    </w:rPr>
  </w:style>
  <w:style w:type="paragraph" w:styleId="TtulodeTDC">
    <w:name w:val="TOC Heading"/>
    <w:basedOn w:val="Ttulo1"/>
    <w:next w:val="Normal"/>
    <w:uiPriority w:val="39"/>
    <w:qFormat/>
    <w:rsid w:val="005B12CA"/>
    <w:pPr>
      <w:pBdr>
        <w:bottom w:val="none" w:sz="0" w:space="0" w:color="auto"/>
        <w:between w:val="none" w:sz="0" w:space="0" w:color="auto"/>
      </w:pBdr>
      <w:spacing w:before="0" w:line="259" w:lineRule="atLeast"/>
    </w:pPr>
    <w:rPr>
      <w:rFonts w:ascii="ITC Avant Garde" w:hAnsi="ITC Avant Garde" w:cs="ITC Avant Garde"/>
      <w:color w:val="000000"/>
      <w:sz w:val="22"/>
      <w:szCs w:val="20"/>
      <w:lang w:val="es-MX" w:eastAsia="es-MX"/>
    </w:rPr>
  </w:style>
  <w:style w:type="paragraph" w:customStyle="1" w:styleId="TextoNormal">
    <w:name w:val="Texto Normal"/>
    <w:basedOn w:val="Cuerpo"/>
    <w:rsid w:val="005B12CA"/>
    <w:pPr>
      <w:jc w:val="both"/>
    </w:pPr>
    <w:rPr>
      <w:sz w:val="22"/>
    </w:rPr>
  </w:style>
  <w:style w:type="paragraph" w:customStyle="1" w:styleId="Tdc9">
    <w:name w:val="Tdc 9"/>
    <w:basedOn w:val="Normal"/>
    <w:next w:val="Normal"/>
    <w:rsid w:val="005B12CA"/>
    <w:pPr>
      <w:spacing w:after="100" w:line="259" w:lineRule="atLeast"/>
      <w:ind w:left="1760"/>
    </w:pPr>
    <w:rPr>
      <w:rFonts w:ascii="Helvetica" w:eastAsia="Times New Roman" w:hAnsi="Helvetica" w:cs="Helvetica"/>
      <w:szCs w:val="20"/>
      <w:lang w:eastAsia="es-MX"/>
    </w:rPr>
  </w:style>
  <w:style w:type="paragraph" w:customStyle="1" w:styleId="Transcripcin">
    <w:name w:val="Transcripción"/>
    <w:basedOn w:val="Cuerpo"/>
    <w:rsid w:val="005B12CA"/>
    <w:pPr>
      <w:ind w:left="567"/>
      <w:jc w:val="both"/>
    </w:pPr>
    <w:rPr>
      <w:i/>
      <w:sz w:val="20"/>
      <w:lang w:val="es-ES"/>
    </w:rPr>
  </w:style>
  <w:style w:type="paragraph" w:customStyle="1" w:styleId="Bullets">
    <w:name w:val="Bullets"/>
    <w:basedOn w:val="TextoNormal"/>
    <w:rsid w:val="005B12CA"/>
    <w:pPr>
      <w:ind w:left="1134" w:hanging="567"/>
    </w:pPr>
  </w:style>
  <w:style w:type="paragraph" w:styleId="Revisin">
    <w:name w:val="Revision"/>
    <w:uiPriority w:val="99"/>
    <w:rsid w:val="005B12CA"/>
    <w:pPr>
      <w:spacing w:after="0" w:line="240" w:lineRule="auto"/>
    </w:pPr>
    <w:rPr>
      <w:rFonts w:ascii="Times New Roman" w:eastAsia="Times New Roman" w:hAnsi="Times New Roman" w:cs="Times New Roman"/>
      <w:sz w:val="24"/>
      <w:szCs w:val="20"/>
      <w:lang w:eastAsia="es-MX"/>
    </w:rPr>
  </w:style>
  <w:style w:type="paragraph" w:customStyle="1" w:styleId="Headingb">
    <w:name w:val="Heading_b"/>
    <w:basedOn w:val="Ttulo3"/>
    <w:next w:val="Normal"/>
    <w:rsid w:val="005B12CA"/>
    <w:pPr>
      <w:keepNext/>
      <w:keepLines/>
      <w:pBdr>
        <w:top w:val="none" w:sz="0" w:space="0" w:color="auto"/>
        <w:left w:val="none" w:sz="0" w:space="0" w:color="auto"/>
        <w:bottom w:val="none" w:sz="0" w:space="0" w:color="auto"/>
        <w:right w:val="none" w:sz="0" w:space="0" w:color="auto"/>
        <w:between w:val="none" w:sz="0" w:space="0" w:color="auto"/>
      </w:pBdr>
      <w:tabs>
        <w:tab w:val="left" w:pos="794"/>
        <w:tab w:val="left" w:pos="1191"/>
        <w:tab w:val="left" w:pos="1588"/>
        <w:tab w:val="left" w:pos="1985"/>
      </w:tabs>
      <w:spacing w:before="160"/>
    </w:pPr>
    <w:rPr>
      <w:rFonts w:ascii="Times New Roman" w:hAnsi="Times New Roman" w:cs="Times New Roman"/>
      <w:color w:val="auto"/>
      <w:lang w:val="fr-FR"/>
    </w:rPr>
  </w:style>
  <w:style w:type="paragraph" w:customStyle="1" w:styleId="Estilo">
    <w:name w:val="Estilo"/>
    <w:basedOn w:val="Sinespaciado"/>
    <w:rsid w:val="005B12CA"/>
    <w:pPr>
      <w:pBdr>
        <w:top w:val="none" w:sz="0" w:space="0" w:color="auto"/>
        <w:left w:val="none" w:sz="0" w:space="0" w:color="auto"/>
        <w:bottom w:val="none" w:sz="0" w:space="0" w:color="auto"/>
        <w:right w:val="none" w:sz="0" w:space="0" w:color="auto"/>
        <w:between w:val="none" w:sz="0" w:space="0" w:color="auto"/>
      </w:pBdr>
      <w:jc w:val="both"/>
    </w:pPr>
    <w:rPr>
      <w:rFonts w:ascii="Arial" w:hAnsi="Arial" w:cs="Arial"/>
      <w:color w:val="auto"/>
      <w:sz w:val="24"/>
    </w:rPr>
  </w:style>
  <w:style w:type="paragraph" w:styleId="NormalWeb">
    <w:name w:val="Normal (Web)"/>
    <w:basedOn w:val="Normal"/>
    <w:rsid w:val="005B12CA"/>
    <w:pPr>
      <w:spacing w:before="100" w:after="100" w:line="240" w:lineRule="auto"/>
    </w:pPr>
    <w:rPr>
      <w:rFonts w:ascii="Times" w:eastAsia="Times New Roman" w:hAnsi="Times" w:cs="Times"/>
      <w:sz w:val="20"/>
      <w:szCs w:val="20"/>
      <w:lang w:eastAsia="es-MX"/>
    </w:rPr>
  </w:style>
  <w:style w:type="paragraph" w:customStyle="1" w:styleId="Textonormal0">
    <w:name w:val="Texto normal"/>
    <w:basedOn w:val="Normal"/>
    <w:rsid w:val="005B12CA"/>
    <w:pPr>
      <w:spacing w:after="0" w:line="240" w:lineRule="auto"/>
      <w:jc w:val="both"/>
    </w:pPr>
    <w:rPr>
      <w:rFonts w:ascii="Arial" w:eastAsia="Times New Roman" w:hAnsi="Arial" w:cs="Arial"/>
      <w:sz w:val="24"/>
      <w:szCs w:val="20"/>
      <w:lang w:val="en-US" w:eastAsia="es-MX"/>
    </w:rPr>
  </w:style>
  <w:style w:type="paragraph" w:styleId="Subttulo">
    <w:name w:val="Subtitle"/>
    <w:basedOn w:val="Normal"/>
    <w:next w:val="Normal"/>
    <w:link w:val="SubttuloCar"/>
    <w:uiPriority w:val="11"/>
    <w:qFormat/>
    <w:rsid w:val="005B12C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line="240" w:lineRule="auto"/>
    </w:pPr>
    <w:rPr>
      <w:rFonts w:ascii="Helvetica" w:eastAsia="Times New Roman" w:hAnsi="Helvetica" w:cs="Helvetica"/>
      <w:color w:val="808080"/>
      <w:spacing w:val="15"/>
      <w:szCs w:val="20"/>
      <w:lang w:eastAsia="es-MX"/>
    </w:rPr>
  </w:style>
  <w:style w:type="character" w:customStyle="1" w:styleId="SubttuloCar">
    <w:name w:val="Subtítulo Car"/>
    <w:basedOn w:val="Fuentedeprrafopredeter"/>
    <w:link w:val="Subttulo"/>
    <w:uiPriority w:val="11"/>
    <w:rsid w:val="005B12CA"/>
    <w:rPr>
      <w:rFonts w:ascii="Helvetica" w:eastAsia="Times New Roman" w:hAnsi="Helvetica" w:cs="Helvetica"/>
      <w:color w:val="808080"/>
      <w:spacing w:val="15"/>
      <w:szCs w:val="20"/>
      <w:lang w:eastAsia="es-MX"/>
    </w:rPr>
  </w:style>
  <w:style w:type="paragraph" w:customStyle="1" w:styleId="Ttulo10">
    <w:name w:val="Título1"/>
    <w:basedOn w:val="Normal"/>
    <w:rsid w:val="005B12C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76" w:lineRule="atLeast"/>
      <w:jc w:val="center"/>
    </w:pPr>
    <w:rPr>
      <w:rFonts w:ascii="ITC Avant Garde" w:eastAsia="Times New Roman" w:hAnsi="ITC Avant Garde" w:cs="ITC Avant Garde"/>
      <w:b/>
      <w:color w:val="000000"/>
      <w:sz w:val="28"/>
      <w:szCs w:val="20"/>
      <w:lang w:eastAsia="es-MX"/>
    </w:rPr>
  </w:style>
  <w:style w:type="paragraph" w:customStyle="1" w:styleId="Textoindependiente21">
    <w:name w:val="Texto independiente 21"/>
    <w:basedOn w:val="Normal"/>
    <w:rsid w:val="005B12CA"/>
    <w:pPr>
      <w:spacing w:before="100" w:after="100" w:line="240" w:lineRule="auto"/>
    </w:pPr>
    <w:rPr>
      <w:rFonts w:ascii="Times New Roman" w:eastAsia="Times New Roman" w:hAnsi="Times New Roman" w:cs="Times New Roman"/>
      <w:sz w:val="24"/>
      <w:szCs w:val="20"/>
      <w:lang w:eastAsia="es-MX"/>
    </w:rPr>
  </w:style>
  <w:style w:type="paragraph" w:customStyle="1" w:styleId="texto0">
    <w:name w:val="texto"/>
    <w:basedOn w:val="Normal"/>
    <w:rsid w:val="005B12CA"/>
    <w:pPr>
      <w:spacing w:before="100" w:after="100" w:line="240" w:lineRule="auto"/>
    </w:pPr>
    <w:rPr>
      <w:rFonts w:ascii="Times New Roman" w:eastAsia="Times New Roman" w:hAnsi="Times New Roman" w:cs="Times New Roman"/>
      <w:sz w:val="24"/>
      <w:szCs w:val="20"/>
      <w:lang w:eastAsia="es-MX"/>
    </w:rPr>
  </w:style>
  <w:style w:type="paragraph" w:customStyle="1" w:styleId="Textodebloque1">
    <w:name w:val="Texto de bloque1"/>
    <w:basedOn w:val="Normal"/>
    <w:rsid w:val="005B12C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ind w:left="1134" w:right="1182"/>
      <w:jc w:val="both"/>
    </w:pPr>
    <w:rPr>
      <w:rFonts w:ascii="ITC Avant Garde" w:eastAsia="Times New Roman" w:hAnsi="ITC Avant Garde" w:cs="ITC Avant Garde"/>
      <w:i/>
      <w:color w:val="000000"/>
      <w:sz w:val="18"/>
      <w:szCs w:val="20"/>
      <w:lang w:eastAsia="es-MX"/>
    </w:rPr>
  </w:style>
  <w:style w:type="paragraph" w:customStyle="1" w:styleId="Sangra2detindependiente1">
    <w:name w:val="Sangría 2 de t. independiente1"/>
    <w:basedOn w:val="Normal"/>
    <w:rsid w:val="005B12C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ind w:left="1134"/>
      <w:jc w:val="both"/>
    </w:pPr>
    <w:rPr>
      <w:rFonts w:ascii="ITC Avant Garde" w:eastAsia="Times New Roman" w:hAnsi="ITC Avant Garde" w:cs="ITC Avant Garde"/>
      <w:color w:val="000000"/>
      <w:sz w:val="20"/>
      <w:szCs w:val="20"/>
      <w:lang w:eastAsia="es-MX"/>
    </w:rPr>
  </w:style>
  <w:style w:type="paragraph" w:customStyle="1" w:styleId="Textoindependiente31">
    <w:name w:val="Texto independiente 31"/>
    <w:basedOn w:val="Normal"/>
    <w:rsid w:val="005B12CA"/>
    <w:pPr>
      <w:tabs>
        <w:tab w:val="left" w:pos="7655"/>
      </w:tabs>
      <w:spacing w:after="0" w:line="240" w:lineRule="auto"/>
      <w:ind w:right="49"/>
      <w:jc w:val="center"/>
    </w:pPr>
    <w:rPr>
      <w:rFonts w:ascii="ITC Avant Garde" w:eastAsia="Times New Roman" w:hAnsi="ITC Avant Garde" w:cs="ITC Avant Garde"/>
      <w:b/>
      <w:color w:val="000000"/>
      <w:sz w:val="16"/>
      <w:szCs w:val="20"/>
      <w:lang w:eastAsia="es-MX"/>
    </w:rPr>
  </w:style>
  <w:style w:type="paragraph" w:customStyle="1" w:styleId="Sangra3detindependiente1">
    <w:name w:val="Sangría 3 de t. independiente1"/>
    <w:basedOn w:val="Normal"/>
    <w:rsid w:val="005B12C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ind w:left="1134"/>
      <w:jc w:val="both"/>
    </w:pPr>
    <w:rPr>
      <w:rFonts w:ascii="ITC Avant Garde" w:eastAsia="Times New Roman" w:hAnsi="ITC Avant Garde" w:cs="ITC Avant Garde"/>
      <w:sz w:val="20"/>
      <w:szCs w:val="20"/>
      <w:lang w:eastAsia="es-MX"/>
    </w:rPr>
  </w:style>
  <w:style w:type="paragraph" w:customStyle="1" w:styleId="wText">
    <w:name w:val="wText"/>
    <w:basedOn w:val="Normal"/>
    <w:rsid w:val="005B12CA"/>
    <w:pPr>
      <w:spacing w:after="240" w:line="240" w:lineRule="auto"/>
      <w:jc w:val="both"/>
    </w:pPr>
    <w:rPr>
      <w:rFonts w:ascii="Times New Roman" w:eastAsia="Times New Roman" w:hAnsi="Times New Roman" w:cs="Times New Roman"/>
      <w:sz w:val="24"/>
      <w:szCs w:val="20"/>
      <w:lang w:val="es-ES_tradnl" w:eastAsia="es-MX"/>
    </w:rPr>
  </w:style>
  <w:style w:type="character" w:styleId="Refdenotaalfinal">
    <w:name w:val="endnote reference"/>
    <w:uiPriority w:val="99"/>
    <w:rsid w:val="005B12CA"/>
    <w:rPr>
      <w:vertAlign w:val="superscript"/>
    </w:rPr>
  </w:style>
  <w:style w:type="character" w:styleId="Refdenotaalpie">
    <w:name w:val="footnote reference"/>
    <w:aliases w:val="Ref,de nota al pie,(NECG) Footnote Reference,o,fr,Style 3,Appel note de bas de p,Style 12,Style 124,Ref. de nota al pie 2"/>
    <w:uiPriority w:val="99"/>
    <w:qFormat/>
    <w:rsid w:val="005B12CA"/>
    <w:rPr>
      <w:vertAlign w:val="superscript"/>
    </w:rPr>
  </w:style>
  <w:style w:type="paragraph" w:styleId="ndice3">
    <w:name w:val="index 3"/>
    <w:basedOn w:val="Normal"/>
    <w:next w:val="Normal"/>
    <w:rsid w:val="005B12CA"/>
    <w:pPr>
      <w:spacing w:before="240" w:after="0" w:line="240" w:lineRule="auto"/>
      <w:ind w:left="720" w:hanging="240"/>
      <w:jc w:val="both"/>
    </w:pPr>
    <w:rPr>
      <w:rFonts w:ascii="Times New Roman" w:eastAsia="Times New Roman" w:hAnsi="Times New Roman" w:cs="Times New Roman"/>
      <w:sz w:val="24"/>
      <w:szCs w:val="20"/>
      <w:lang w:val="fr-FR" w:eastAsia="es-MX"/>
    </w:rPr>
  </w:style>
  <w:style w:type="paragraph" w:styleId="ndice1">
    <w:name w:val="index 1"/>
    <w:basedOn w:val="Normal"/>
    <w:next w:val="Normal"/>
    <w:rsid w:val="005B12CA"/>
    <w:pPr>
      <w:tabs>
        <w:tab w:val="left" w:pos="1134"/>
        <w:tab w:val="left" w:pos="1871"/>
        <w:tab w:val="left" w:pos="2268"/>
      </w:tabs>
      <w:spacing w:before="240" w:after="0" w:line="240" w:lineRule="auto"/>
      <w:jc w:val="both"/>
    </w:pPr>
    <w:rPr>
      <w:rFonts w:ascii="Times New Roman" w:eastAsia="Times New Roman" w:hAnsi="Times New Roman" w:cs="Times New Roman"/>
      <w:sz w:val="24"/>
      <w:szCs w:val="20"/>
      <w:lang w:val="fr-FR" w:eastAsia="es-MX"/>
    </w:rPr>
  </w:style>
  <w:style w:type="paragraph" w:styleId="Ttulodendice">
    <w:name w:val="index heading"/>
    <w:basedOn w:val="Normal"/>
    <w:next w:val="ndice1"/>
    <w:rsid w:val="005B12CA"/>
    <w:pPr>
      <w:tabs>
        <w:tab w:val="left" w:pos="567"/>
        <w:tab w:val="left" w:pos="1134"/>
        <w:tab w:val="left" w:pos="1701"/>
        <w:tab w:val="left" w:pos="2268"/>
        <w:tab w:val="left" w:pos="2835"/>
      </w:tabs>
      <w:spacing w:before="136" w:after="0" w:line="240" w:lineRule="auto"/>
    </w:pPr>
    <w:rPr>
      <w:rFonts w:ascii="Times New Roman" w:eastAsia="Times New Roman" w:hAnsi="Times New Roman" w:cs="Times New Roman"/>
      <w:sz w:val="24"/>
      <w:szCs w:val="20"/>
      <w:lang w:val="en-GB" w:eastAsia="es-MX"/>
    </w:rPr>
  </w:style>
  <w:style w:type="paragraph" w:styleId="Sangranormal">
    <w:name w:val="Normal Indent"/>
    <w:basedOn w:val="Normal"/>
    <w:rsid w:val="005B12CA"/>
    <w:pPr>
      <w:tabs>
        <w:tab w:val="left" w:pos="1134"/>
        <w:tab w:val="left" w:pos="1871"/>
        <w:tab w:val="left" w:pos="2268"/>
      </w:tabs>
      <w:spacing w:before="120" w:after="0" w:line="240" w:lineRule="auto"/>
      <w:ind w:left="1134"/>
      <w:jc w:val="both"/>
    </w:pPr>
    <w:rPr>
      <w:rFonts w:ascii="Times New Roman" w:eastAsia="Times New Roman" w:hAnsi="Times New Roman" w:cs="Times New Roman"/>
      <w:sz w:val="24"/>
      <w:szCs w:val="20"/>
      <w:lang w:val="fr-FR" w:eastAsia="es-MX"/>
    </w:rPr>
  </w:style>
  <w:style w:type="character" w:customStyle="1" w:styleId="PrrafodelistaCar">
    <w:name w:val="Párrafo de lista Car"/>
    <w:aliases w:val="4 Viñ 1nivel Car,Numeración 1 Car,Cuadrícula media 1 - Énfasis 21 Car,Listas Car,lp1 Car"/>
    <w:link w:val="Prrafodelista1"/>
    <w:uiPriority w:val="34"/>
    <w:locked/>
    <w:rsid w:val="005B12CA"/>
    <w:rPr>
      <w:rFonts w:ascii="Cambria" w:eastAsia="Times New Roman" w:hAnsi="Cambria" w:cs="Cambria"/>
      <w:color w:val="000000"/>
      <w:sz w:val="24"/>
      <w:szCs w:val="20"/>
      <w:lang w:val="es-ES_tradnl" w:eastAsia="es-MX"/>
    </w:rPr>
  </w:style>
  <w:style w:type="paragraph" w:customStyle="1" w:styleId="ttulo">
    <w:name w:val="título"/>
    <w:basedOn w:val="Normal"/>
    <w:next w:val="Normal"/>
    <w:rsid w:val="005B12CA"/>
    <w:pPr>
      <w:spacing w:after="200" w:line="240" w:lineRule="auto"/>
    </w:pPr>
    <w:rPr>
      <w:rFonts w:ascii="Calibri" w:eastAsia="Times New Roman" w:hAnsi="Calibri" w:cs="Calibri"/>
      <w:i/>
      <w:color w:val="808080"/>
      <w:sz w:val="18"/>
      <w:szCs w:val="20"/>
      <w:lang w:eastAsia="es-MX"/>
    </w:rPr>
  </w:style>
  <w:style w:type="paragraph" w:customStyle="1" w:styleId="Tablas">
    <w:name w:val="Tablas"/>
    <w:basedOn w:val="Normal"/>
    <w:link w:val="TablasCar"/>
    <w:qFormat/>
    <w:rsid w:val="005B12CA"/>
    <w:pPr>
      <w:spacing w:after="60" w:line="240" w:lineRule="auto"/>
      <w:jc w:val="center"/>
    </w:pPr>
    <w:rPr>
      <w:rFonts w:ascii="Calibri" w:eastAsia="Times New Roman" w:hAnsi="Calibri" w:cs="Calibri"/>
      <w:color w:val="C0C0C0"/>
      <w:sz w:val="18"/>
      <w:szCs w:val="20"/>
      <w:lang w:eastAsia="es-MX"/>
    </w:rPr>
  </w:style>
  <w:style w:type="character" w:customStyle="1" w:styleId="TablasCar">
    <w:name w:val="Tablas Car"/>
    <w:link w:val="Tablas"/>
    <w:rsid w:val="005B12CA"/>
    <w:rPr>
      <w:rFonts w:ascii="Calibri" w:eastAsia="Times New Roman" w:hAnsi="Calibri" w:cs="Calibri"/>
      <w:color w:val="C0C0C0"/>
      <w:sz w:val="18"/>
      <w:szCs w:val="20"/>
      <w:lang w:eastAsia="es-MX"/>
    </w:rPr>
  </w:style>
  <w:style w:type="paragraph" w:customStyle="1" w:styleId="EstilotextoPrimeral">
    <w:name w:val="Estilo texto + Primera l"/>
    <w:basedOn w:val="Normal"/>
    <w:rsid w:val="005B12CA"/>
    <w:pPr>
      <w:spacing w:after="101" w:line="216" w:lineRule="exact"/>
      <w:jc w:val="both"/>
    </w:pPr>
    <w:rPr>
      <w:rFonts w:ascii="Arial" w:eastAsia="Times New Roman" w:hAnsi="Arial" w:cs="Arial"/>
      <w:sz w:val="18"/>
      <w:szCs w:val="20"/>
      <w:lang w:eastAsia="es-MX"/>
    </w:rPr>
  </w:style>
  <w:style w:type="paragraph" w:customStyle="1" w:styleId="CharCharCharCharCha">
    <w:name w:val="Char Char Char Char Cha"/>
    <w:basedOn w:val="Normal"/>
    <w:rsid w:val="005B12CA"/>
    <w:pPr>
      <w:tabs>
        <w:tab w:val="left" w:pos="540"/>
        <w:tab w:val="left" w:pos="1260"/>
        <w:tab w:val="left" w:pos="1800"/>
      </w:tabs>
      <w:spacing w:before="240" w:line="240" w:lineRule="exact"/>
      <w:jc w:val="both"/>
    </w:pPr>
    <w:rPr>
      <w:rFonts w:ascii="Verdana" w:eastAsia="Times New Roman" w:hAnsi="Verdana" w:cs="Verdana"/>
      <w:sz w:val="24"/>
      <w:szCs w:val="20"/>
      <w:lang w:val="en-US" w:eastAsia="es-MX"/>
    </w:rPr>
  </w:style>
  <w:style w:type="paragraph" w:customStyle="1" w:styleId="Tablelegend">
    <w:name w:val="Table_legend"/>
    <w:basedOn w:val="Tabletext"/>
    <w:next w:val="Normal"/>
    <w:rsid w:val="005B12CA"/>
    <w:pPr>
      <w:keepNext/>
      <w:tabs>
        <w:tab w:val="left" w:pos="284"/>
        <w:tab w:val="left" w:pos="567"/>
        <w:tab w:val="left" w:pos="851"/>
        <w:tab w:val="left" w:pos="1134"/>
      </w:tabs>
      <w:spacing w:before="120" w:after="120"/>
      <w:ind w:left="85" w:right="85"/>
    </w:pPr>
    <w:rPr>
      <w:lang w:val="es-ES_tradnl"/>
    </w:rPr>
  </w:style>
  <w:style w:type="paragraph" w:customStyle="1" w:styleId="Tabletext">
    <w:name w:val="Table_text"/>
    <w:basedOn w:val="Normal"/>
    <w:link w:val="TabletextChar"/>
    <w:rsid w:val="005B12CA"/>
    <w:pPr>
      <w:spacing w:before="40" w:after="40" w:line="240" w:lineRule="auto"/>
      <w:jc w:val="both"/>
    </w:pPr>
    <w:rPr>
      <w:rFonts w:ascii="Times" w:eastAsia="Times New Roman" w:hAnsi="Times" w:cs="Times"/>
      <w:sz w:val="20"/>
      <w:szCs w:val="20"/>
      <w:lang w:val="fr-FR" w:eastAsia="es-MX"/>
    </w:rPr>
  </w:style>
  <w:style w:type="character" w:customStyle="1" w:styleId="TabletextChar">
    <w:name w:val="Table_text Char"/>
    <w:link w:val="Tabletext"/>
    <w:rsid w:val="005B12CA"/>
    <w:rPr>
      <w:rFonts w:ascii="Times" w:eastAsia="Times New Roman" w:hAnsi="Times" w:cs="Times"/>
      <w:sz w:val="20"/>
      <w:szCs w:val="20"/>
      <w:lang w:val="fr-FR" w:eastAsia="es-MX"/>
    </w:rPr>
  </w:style>
  <w:style w:type="paragraph" w:customStyle="1" w:styleId="Tabletitle">
    <w:name w:val="Table_title"/>
    <w:basedOn w:val="TableNo"/>
    <w:next w:val="Tabletext"/>
    <w:link w:val="TabletitleChar"/>
    <w:rsid w:val="005B12CA"/>
    <w:pPr>
      <w:spacing w:before="0"/>
    </w:pPr>
    <w:rPr>
      <w:b/>
    </w:rPr>
  </w:style>
  <w:style w:type="paragraph" w:customStyle="1" w:styleId="TableNo">
    <w:name w:val="Table_No"/>
    <w:basedOn w:val="Normal"/>
    <w:next w:val="Tabletitle"/>
    <w:link w:val="TableNoChar"/>
    <w:rsid w:val="005B12CA"/>
    <w:pPr>
      <w:keepNext/>
      <w:spacing w:before="360" w:after="120" w:line="240" w:lineRule="auto"/>
      <w:jc w:val="center"/>
    </w:pPr>
    <w:rPr>
      <w:rFonts w:ascii="Times" w:eastAsia="Times New Roman" w:hAnsi="Times" w:cs="Times"/>
      <w:sz w:val="20"/>
      <w:szCs w:val="20"/>
      <w:lang w:val="fr-FR" w:eastAsia="es-MX"/>
    </w:rPr>
  </w:style>
  <w:style w:type="character" w:customStyle="1" w:styleId="TableNoChar">
    <w:name w:val="Table_No Char"/>
    <w:link w:val="TableNo"/>
    <w:locked/>
    <w:rsid w:val="005B12CA"/>
    <w:rPr>
      <w:rFonts w:ascii="Times" w:eastAsia="Times New Roman" w:hAnsi="Times" w:cs="Times"/>
      <w:sz w:val="20"/>
      <w:szCs w:val="20"/>
      <w:lang w:val="fr-FR" w:eastAsia="es-MX"/>
    </w:rPr>
  </w:style>
  <w:style w:type="character" w:customStyle="1" w:styleId="TabletitleChar">
    <w:name w:val="Table_title Char"/>
    <w:link w:val="Tabletitle"/>
    <w:rsid w:val="005B12CA"/>
    <w:rPr>
      <w:rFonts w:ascii="Times" w:eastAsia="Times New Roman" w:hAnsi="Times" w:cs="Times"/>
      <w:b/>
      <w:sz w:val="20"/>
      <w:szCs w:val="20"/>
      <w:lang w:val="fr-FR" w:eastAsia="es-MX"/>
    </w:rPr>
  </w:style>
  <w:style w:type="paragraph" w:customStyle="1" w:styleId="enumlev1">
    <w:name w:val="enumlev1"/>
    <w:basedOn w:val="Normal"/>
    <w:link w:val="enumlev1Char"/>
    <w:rsid w:val="005B12CA"/>
    <w:pPr>
      <w:tabs>
        <w:tab w:val="left" w:pos="1134"/>
        <w:tab w:val="left" w:pos="1871"/>
        <w:tab w:val="left" w:pos="2608"/>
        <w:tab w:val="left" w:pos="3345"/>
      </w:tabs>
      <w:spacing w:before="120" w:after="0" w:line="240" w:lineRule="auto"/>
      <w:ind w:left="454" w:hanging="454"/>
      <w:jc w:val="both"/>
    </w:pPr>
    <w:rPr>
      <w:rFonts w:ascii="Times" w:eastAsia="Times New Roman" w:hAnsi="Times" w:cs="Times"/>
      <w:sz w:val="24"/>
      <w:szCs w:val="20"/>
      <w:lang w:val="fr-FR" w:eastAsia="es-MX"/>
    </w:rPr>
  </w:style>
  <w:style w:type="character" w:customStyle="1" w:styleId="enumlev1Char">
    <w:name w:val="enumlev1 Char"/>
    <w:link w:val="enumlev1"/>
    <w:rsid w:val="005B12CA"/>
    <w:rPr>
      <w:rFonts w:ascii="Times" w:eastAsia="Times New Roman" w:hAnsi="Times" w:cs="Times"/>
      <w:sz w:val="24"/>
      <w:szCs w:val="20"/>
      <w:lang w:val="fr-FR" w:eastAsia="es-MX"/>
    </w:rPr>
  </w:style>
  <w:style w:type="paragraph" w:customStyle="1" w:styleId="enumlev2">
    <w:name w:val="enumlev2"/>
    <w:basedOn w:val="enumlev1"/>
    <w:rsid w:val="005B12CA"/>
    <w:pPr>
      <w:tabs>
        <w:tab w:val="left" w:pos="907"/>
      </w:tabs>
      <w:ind w:left="908"/>
    </w:pPr>
  </w:style>
  <w:style w:type="paragraph" w:customStyle="1" w:styleId="enumlev3">
    <w:name w:val="enumlev3"/>
    <w:basedOn w:val="enumlev2"/>
    <w:rsid w:val="005B12CA"/>
    <w:pPr>
      <w:tabs>
        <w:tab w:val="clear" w:pos="1134"/>
        <w:tab w:val="clear" w:pos="1871"/>
        <w:tab w:val="clear" w:pos="2608"/>
        <w:tab w:val="left" w:pos="1361"/>
      </w:tabs>
      <w:ind w:left="1361"/>
    </w:pPr>
  </w:style>
  <w:style w:type="paragraph" w:customStyle="1" w:styleId="Figure">
    <w:name w:val="Figure"/>
    <w:basedOn w:val="Normal"/>
    <w:rsid w:val="005B12CA"/>
    <w:pPr>
      <w:keepNext/>
      <w:keepLines/>
      <w:tabs>
        <w:tab w:val="left" w:pos="1134"/>
        <w:tab w:val="left" w:pos="1871"/>
        <w:tab w:val="left" w:pos="2268"/>
      </w:tabs>
      <w:spacing w:before="240" w:after="0" w:line="240" w:lineRule="auto"/>
      <w:jc w:val="center"/>
    </w:pPr>
    <w:rPr>
      <w:rFonts w:ascii="Times New Roman" w:eastAsia="Times New Roman" w:hAnsi="Times New Roman" w:cs="Times New Roman"/>
      <w:sz w:val="24"/>
      <w:szCs w:val="20"/>
      <w:lang w:val="fr-FR" w:eastAsia="es-MX"/>
    </w:rPr>
  </w:style>
  <w:style w:type="paragraph" w:customStyle="1" w:styleId="Figurelegend">
    <w:name w:val="Figure_legend"/>
    <w:basedOn w:val="Tablelegend"/>
    <w:next w:val="FigureNo"/>
    <w:rsid w:val="005B12CA"/>
  </w:style>
  <w:style w:type="paragraph" w:customStyle="1" w:styleId="FigureNo">
    <w:name w:val="Figure_No"/>
    <w:basedOn w:val="TableNo"/>
    <w:next w:val="Figuretitle"/>
    <w:rsid w:val="005B12CA"/>
  </w:style>
  <w:style w:type="paragraph" w:customStyle="1" w:styleId="Figuretitle">
    <w:name w:val="Figure_title"/>
    <w:basedOn w:val="Tabletitle"/>
    <w:next w:val="Normal"/>
    <w:rsid w:val="005B12CA"/>
    <w:pPr>
      <w:spacing w:after="720"/>
    </w:pPr>
  </w:style>
  <w:style w:type="paragraph" w:customStyle="1" w:styleId="AnnexNo">
    <w:name w:val="Annex_No"/>
    <w:basedOn w:val="ArtNo"/>
    <w:next w:val="Annexref"/>
    <w:rsid w:val="005B12CA"/>
  </w:style>
  <w:style w:type="paragraph" w:customStyle="1" w:styleId="ArtNo">
    <w:name w:val="Art_No"/>
    <w:basedOn w:val="Normal"/>
    <w:next w:val="Arttitle"/>
    <w:link w:val="ArtNoChar"/>
    <w:rsid w:val="005B12CA"/>
    <w:pPr>
      <w:keepNext/>
      <w:keepLines/>
      <w:tabs>
        <w:tab w:val="left" w:pos="1134"/>
        <w:tab w:val="left" w:pos="1871"/>
        <w:tab w:val="left" w:pos="2268"/>
      </w:tabs>
      <w:spacing w:before="720" w:after="0" w:line="240" w:lineRule="auto"/>
      <w:jc w:val="center"/>
    </w:pPr>
    <w:rPr>
      <w:rFonts w:ascii="Times" w:eastAsia="Times New Roman" w:hAnsi="Times" w:cs="Times"/>
      <w:sz w:val="28"/>
      <w:szCs w:val="20"/>
      <w:lang w:val="fr-FR" w:eastAsia="es-MX"/>
    </w:rPr>
  </w:style>
  <w:style w:type="paragraph" w:customStyle="1" w:styleId="Arttitle">
    <w:name w:val="Art_title"/>
    <w:next w:val="Normalaftertitle"/>
    <w:link w:val="ArttitleCar"/>
    <w:rsid w:val="005B12CA"/>
    <w:pPr>
      <w:keepNext/>
      <w:keepLines/>
      <w:spacing w:before="160" w:after="80" w:line="240" w:lineRule="auto"/>
      <w:jc w:val="center"/>
    </w:pPr>
    <w:rPr>
      <w:rFonts w:ascii="Times New Roman" w:eastAsia="Times New Roman" w:hAnsi="Times New Roman" w:cs="Times New Roman"/>
      <w:b/>
      <w:noProof/>
      <w:sz w:val="28"/>
      <w:szCs w:val="20"/>
      <w:lang w:eastAsia="es-MX"/>
    </w:rPr>
  </w:style>
  <w:style w:type="paragraph" w:customStyle="1" w:styleId="Normalaftertitle">
    <w:name w:val="Normal after title"/>
    <w:basedOn w:val="Normal"/>
    <w:next w:val="Normal"/>
    <w:link w:val="NormalaftertitleChar"/>
    <w:rsid w:val="005B12CA"/>
    <w:pPr>
      <w:tabs>
        <w:tab w:val="left" w:pos="1134"/>
        <w:tab w:val="left" w:pos="1871"/>
        <w:tab w:val="left" w:pos="2268"/>
      </w:tabs>
      <w:spacing w:before="360" w:after="0" w:line="240" w:lineRule="auto"/>
      <w:jc w:val="both"/>
    </w:pPr>
    <w:rPr>
      <w:rFonts w:ascii="Times" w:eastAsia="Times New Roman" w:hAnsi="Times" w:cs="Times"/>
      <w:sz w:val="24"/>
      <w:szCs w:val="20"/>
      <w:lang w:val="fr-FR" w:eastAsia="es-MX"/>
    </w:rPr>
  </w:style>
  <w:style w:type="character" w:customStyle="1" w:styleId="NormalaftertitleChar">
    <w:name w:val="Normal after title Char"/>
    <w:link w:val="Normalaftertitle"/>
    <w:rsid w:val="005B12CA"/>
    <w:rPr>
      <w:rFonts w:ascii="Times" w:eastAsia="Times New Roman" w:hAnsi="Times" w:cs="Times"/>
      <w:sz w:val="24"/>
      <w:szCs w:val="20"/>
      <w:lang w:val="fr-FR" w:eastAsia="es-MX"/>
    </w:rPr>
  </w:style>
  <w:style w:type="character" w:customStyle="1" w:styleId="ArttitleCar">
    <w:name w:val="Art_title Car"/>
    <w:link w:val="Arttitle"/>
    <w:rsid w:val="005B12CA"/>
    <w:rPr>
      <w:rFonts w:ascii="Times New Roman" w:eastAsia="Times New Roman" w:hAnsi="Times New Roman" w:cs="Times New Roman"/>
      <w:b/>
      <w:noProof/>
      <w:sz w:val="28"/>
      <w:szCs w:val="20"/>
      <w:lang w:eastAsia="es-MX"/>
    </w:rPr>
  </w:style>
  <w:style w:type="character" w:customStyle="1" w:styleId="ArtNoChar">
    <w:name w:val="Art_No Char"/>
    <w:link w:val="ArtNo"/>
    <w:rsid w:val="005B12CA"/>
    <w:rPr>
      <w:rFonts w:ascii="Times" w:eastAsia="Times New Roman" w:hAnsi="Times" w:cs="Times"/>
      <w:sz w:val="28"/>
      <w:szCs w:val="20"/>
      <w:lang w:val="fr-FR" w:eastAsia="es-MX"/>
    </w:rPr>
  </w:style>
  <w:style w:type="paragraph" w:customStyle="1" w:styleId="Annexref">
    <w:name w:val="Annex_ref"/>
    <w:basedOn w:val="Normal"/>
    <w:rsid w:val="005B12CA"/>
    <w:pPr>
      <w:tabs>
        <w:tab w:val="left" w:pos="1134"/>
        <w:tab w:val="left" w:pos="1871"/>
        <w:tab w:val="left" w:pos="2268"/>
      </w:tabs>
      <w:spacing w:before="240" w:after="0" w:line="240" w:lineRule="auto"/>
      <w:jc w:val="center"/>
    </w:pPr>
    <w:rPr>
      <w:rFonts w:ascii="Times New Roman" w:eastAsia="Times New Roman" w:hAnsi="Times New Roman" w:cs="Times New Roman"/>
      <w:sz w:val="24"/>
      <w:szCs w:val="20"/>
      <w:lang w:val="fr-FR" w:eastAsia="es-MX"/>
    </w:rPr>
  </w:style>
  <w:style w:type="paragraph" w:customStyle="1" w:styleId="Annextitle">
    <w:name w:val="Annex_title"/>
    <w:basedOn w:val="Arttitle"/>
    <w:next w:val="Normal"/>
    <w:rsid w:val="005B12CA"/>
    <w:pPr>
      <w:spacing w:after="0"/>
    </w:pPr>
  </w:style>
  <w:style w:type="paragraph" w:customStyle="1" w:styleId="AppendixNo">
    <w:name w:val="Appendix_No"/>
    <w:basedOn w:val="ArtNo"/>
    <w:next w:val="Appendixtitle"/>
    <w:rsid w:val="005B12CA"/>
  </w:style>
  <w:style w:type="paragraph" w:customStyle="1" w:styleId="Appendixtitle">
    <w:name w:val="Appendix_title"/>
    <w:basedOn w:val="Arttitle"/>
    <w:next w:val="Normal"/>
    <w:rsid w:val="005B12CA"/>
  </w:style>
  <w:style w:type="paragraph" w:customStyle="1" w:styleId="headfoot">
    <w:name w:val="head_foot"/>
    <w:basedOn w:val="Normal"/>
    <w:next w:val="Normalaftertitle"/>
    <w:rsid w:val="005B12CA"/>
    <w:pPr>
      <w:tabs>
        <w:tab w:val="left" w:pos="1134"/>
        <w:tab w:val="left" w:pos="1871"/>
        <w:tab w:val="left" w:pos="2268"/>
      </w:tabs>
      <w:spacing w:after="0" w:line="240" w:lineRule="auto"/>
      <w:jc w:val="both"/>
    </w:pPr>
    <w:rPr>
      <w:rFonts w:ascii="Times New Roman" w:eastAsia="Times New Roman" w:hAnsi="Times New Roman" w:cs="Times New Roman"/>
      <w:color w:val="0000FF"/>
      <w:sz w:val="20"/>
      <w:szCs w:val="20"/>
      <w:lang w:val="fr-FR" w:eastAsia="es-MX"/>
    </w:rPr>
  </w:style>
  <w:style w:type="paragraph" w:customStyle="1" w:styleId="Appendixref">
    <w:name w:val="Appendix_ref"/>
    <w:basedOn w:val="Annexref"/>
    <w:next w:val="Appendixtitle"/>
    <w:rsid w:val="005B12CA"/>
  </w:style>
  <w:style w:type="paragraph" w:customStyle="1" w:styleId="Reftitle">
    <w:name w:val="Ref_title"/>
    <w:basedOn w:val="Normal"/>
    <w:next w:val="Reftext"/>
    <w:rsid w:val="005B12CA"/>
    <w:pPr>
      <w:tabs>
        <w:tab w:val="left" w:pos="1134"/>
        <w:tab w:val="left" w:pos="1871"/>
        <w:tab w:val="left" w:pos="2268"/>
      </w:tabs>
      <w:spacing w:before="480" w:after="0" w:line="240" w:lineRule="auto"/>
    </w:pPr>
    <w:rPr>
      <w:rFonts w:ascii="Times New Roman" w:eastAsia="Times New Roman" w:hAnsi="Times New Roman" w:cs="Times New Roman"/>
      <w:b/>
      <w:sz w:val="24"/>
      <w:szCs w:val="20"/>
      <w:lang w:val="fr-FR" w:eastAsia="es-MX"/>
    </w:rPr>
  </w:style>
  <w:style w:type="paragraph" w:customStyle="1" w:styleId="Reftext">
    <w:name w:val="Ref_text"/>
    <w:basedOn w:val="Normal"/>
    <w:rsid w:val="005B12CA"/>
    <w:pPr>
      <w:tabs>
        <w:tab w:val="left" w:pos="1134"/>
        <w:tab w:val="left" w:pos="1871"/>
        <w:tab w:val="left" w:pos="2268"/>
      </w:tabs>
      <w:spacing w:before="240" w:after="0" w:line="240" w:lineRule="auto"/>
      <w:jc w:val="both"/>
    </w:pPr>
    <w:rPr>
      <w:rFonts w:ascii="Times New Roman" w:eastAsia="Times New Roman" w:hAnsi="Times New Roman" w:cs="Times New Roman"/>
      <w:sz w:val="24"/>
      <w:szCs w:val="20"/>
      <w:lang w:val="fr-FR" w:eastAsia="es-MX"/>
    </w:rPr>
  </w:style>
  <w:style w:type="paragraph" w:customStyle="1" w:styleId="listitem">
    <w:name w:val="listitem"/>
    <w:basedOn w:val="Normal"/>
    <w:rsid w:val="005B12CA"/>
    <w:pPr>
      <w:keepLines/>
      <w:tabs>
        <w:tab w:val="left" w:pos="1134"/>
        <w:tab w:val="left" w:pos="1871"/>
        <w:tab w:val="left" w:pos="2268"/>
      </w:tabs>
      <w:spacing w:after="0" w:line="240" w:lineRule="auto"/>
    </w:pPr>
    <w:rPr>
      <w:rFonts w:ascii="Times New Roman" w:eastAsia="Times New Roman" w:hAnsi="Times New Roman" w:cs="Times New Roman"/>
      <w:sz w:val="24"/>
      <w:szCs w:val="20"/>
      <w:lang w:val="fr-FR" w:eastAsia="es-MX"/>
    </w:rPr>
  </w:style>
  <w:style w:type="paragraph" w:customStyle="1" w:styleId="Border">
    <w:name w:val="Border"/>
    <w:basedOn w:val="Tabletext"/>
    <w:rsid w:val="005B12CA"/>
    <w:pPr>
      <w:pBdr>
        <w:bottom w:val="single" w:sz="6" w:space="0" w:color="auto"/>
      </w:pBdr>
      <w:tabs>
        <w:tab w:val="left" w:pos="170"/>
        <w:tab w:val="left" w:pos="567"/>
        <w:tab w:val="left" w:pos="737"/>
        <w:tab w:val="left" w:pos="2977"/>
        <w:tab w:val="left" w:pos="3266"/>
      </w:tabs>
      <w:spacing w:before="0" w:after="0" w:line="10" w:lineRule="exact"/>
      <w:ind w:left="28" w:right="28"/>
      <w:jc w:val="center"/>
    </w:pPr>
    <w:rPr>
      <w:b/>
      <w:noProof/>
    </w:rPr>
  </w:style>
  <w:style w:type="paragraph" w:customStyle="1" w:styleId="Signcountry">
    <w:name w:val="Sign_country"/>
    <w:basedOn w:val="Normal"/>
    <w:next w:val="Signpart"/>
    <w:rsid w:val="005B12CA"/>
    <w:pPr>
      <w:keepNext/>
      <w:keepLines/>
      <w:tabs>
        <w:tab w:val="left" w:pos="1134"/>
        <w:tab w:val="left" w:pos="1871"/>
        <w:tab w:val="left" w:pos="2268"/>
      </w:tabs>
      <w:spacing w:before="240" w:after="57" w:line="240" w:lineRule="auto"/>
    </w:pPr>
    <w:rPr>
      <w:rFonts w:ascii="Times New Roman" w:eastAsia="Times New Roman" w:hAnsi="Times New Roman" w:cs="Times New Roman"/>
      <w:b/>
      <w:sz w:val="24"/>
      <w:szCs w:val="20"/>
      <w:lang w:val="fr-FR" w:eastAsia="es-MX"/>
    </w:rPr>
  </w:style>
  <w:style w:type="paragraph" w:customStyle="1" w:styleId="Signpart">
    <w:name w:val="Sign_part"/>
    <w:basedOn w:val="Signcountry"/>
    <w:rsid w:val="005B12CA"/>
    <w:pPr>
      <w:keepNext w:val="0"/>
      <w:keepLines w:val="0"/>
      <w:spacing w:before="0"/>
      <w:ind w:left="284"/>
    </w:pPr>
    <w:rPr>
      <w:b w:val="0"/>
      <w:smallCaps/>
    </w:rPr>
  </w:style>
  <w:style w:type="paragraph" w:customStyle="1" w:styleId="ChapNo">
    <w:name w:val="Chap_No"/>
    <w:basedOn w:val="ArtNo"/>
    <w:next w:val="Chaptitle"/>
    <w:rsid w:val="005B12CA"/>
    <w:pPr>
      <w:spacing w:before="1200"/>
    </w:pPr>
    <w:rPr>
      <w:sz w:val="32"/>
    </w:rPr>
  </w:style>
  <w:style w:type="paragraph" w:customStyle="1" w:styleId="Chaptitle">
    <w:name w:val="Chap_title"/>
    <w:basedOn w:val="Arttitle"/>
    <w:next w:val="ArtNo"/>
    <w:rsid w:val="005B12CA"/>
    <w:rPr>
      <w:sz w:val="32"/>
    </w:rPr>
  </w:style>
  <w:style w:type="paragraph" w:customStyle="1" w:styleId="Protfin">
    <w:name w:val="Prot_fin"/>
    <w:basedOn w:val="Normal"/>
    <w:next w:val="Normalaftertitle"/>
    <w:rsid w:val="005B12CA"/>
    <w:pPr>
      <w:pageBreakBefore/>
      <w:tabs>
        <w:tab w:val="left" w:pos="1134"/>
        <w:tab w:val="left" w:pos="1871"/>
        <w:tab w:val="left" w:pos="2268"/>
      </w:tabs>
      <w:spacing w:before="720" w:after="240" w:line="240" w:lineRule="auto"/>
      <w:jc w:val="center"/>
    </w:pPr>
    <w:rPr>
      <w:rFonts w:ascii="Times New Roman" w:eastAsia="Times New Roman" w:hAnsi="Times New Roman" w:cs="Times New Roman"/>
      <w:b/>
      <w:sz w:val="24"/>
      <w:szCs w:val="20"/>
      <w:lang w:val="fr-FR" w:eastAsia="es-MX"/>
    </w:rPr>
  </w:style>
  <w:style w:type="paragraph" w:customStyle="1" w:styleId="ProtNo">
    <w:name w:val="Prot_No"/>
    <w:basedOn w:val="Normal"/>
    <w:next w:val="Protlang"/>
    <w:rsid w:val="005B12CA"/>
    <w:pPr>
      <w:keepNext/>
      <w:tabs>
        <w:tab w:val="left" w:pos="1134"/>
        <w:tab w:val="left" w:pos="1871"/>
        <w:tab w:val="left" w:pos="2268"/>
      </w:tabs>
      <w:spacing w:before="240" w:after="0" w:line="240" w:lineRule="auto"/>
      <w:jc w:val="center"/>
    </w:pPr>
    <w:rPr>
      <w:rFonts w:ascii="Times New Roman" w:eastAsia="Times New Roman" w:hAnsi="Times New Roman" w:cs="Times New Roman"/>
      <w:sz w:val="24"/>
      <w:szCs w:val="20"/>
      <w:lang w:val="fr-FR" w:eastAsia="es-MX"/>
    </w:rPr>
  </w:style>
  <w:style w:type="paragraph" w:customStyle="1" w:styleId="Protlang">
    <w:name w:val="Prot_lang"/>
    <w:basedOn w:val="ProtNo"/>
    <w:next w:val="Protpays"/>
    <w:rsid w:val="005B12CA"/>
    <w:pPr>
      <w:keepLines/>
      <w:framePr w:hSpace="181" w:vSpace="181" w:wrap="auto" w:hAnchor="text" w:xAlign="right"/>
      <w:spacing w:before="0"/>
      <w:jc w:val="right"/>
    </w:pPr>
    <w:rPr>
      <w:i/>
      <w:sz w:val="18"/>
    </w:rPr>
  </w:style>
  <w:style w:type="paragraph" w:customStyle="1" w:styleId="Protpays">
    <w:name w:val="Prot_pays"/>
    <w:basedOn w:val="Protlang"/>
    <w:next w:val="headfoot"/>
    <w:rsid w:val="005B12CA"/>
    <w:pPr>
      <w:framePr w:wrap="auto"/>
      <w:spacing w:before="113" w:line="199" w:lineRule="exact"/>
      <w:jc w:val="left"/>
    </w:pPr>
  </w:style>
  <w:style w:type="paragraph" w:customStyle="1" w:styleId="Prottexte">
    <w:name w:val="Prot_texte"/>
    <w:basedOn w:val="Protlang"/>
    <w:rsid w:val="005B12CA"/>
    <w:pPr>
      <w:keepNext w:val="0"/>
      <w:keepLines w:val="0"/>
      <w:framePr w:wrap="auto"/>
      <w:spacing w:before="113" w:line="199" w:lineRule="exact"/>
      <w:jc w:val="both"/>
    </w:pPr>
    <w:rPr>
      <w:i w:val="0"/>
    </w:rPr>
  </w:style>
  <w:style w:type="paragraph" w:customStyle="1" w:styleId="Protcall">
    <w:name w:val="Prot_call"/>
    <w:basedOn w:val="Prottexte"/>
    <w:next w:val="Prottexte"/>
    <w:rsid w:val="005B12CA"/>
    <w:pPr>
      <w:keepNext/>
      <w:keepLines/>
      <w:framePr w:wrap="auto" w:xAlign="left"/>
      <w:spacing w:before="170"/>
      <w:ind w:left="794"/>
      <w:jc w:val="left"/>
    </w:pPr>
    <w:rPr>
      <w:i/>
    </w:rPr>
  </w:style>
  <w:style w:type="paragraph" w:customStyle="1" w:styleId="ResNo">
    <w:name w:val="Res_No"/>
    <w:basedOn w:val="ArtNo"/>
    <w:next w:val="Restitle"/>
    <w:rsid w:val="005B12CA"/>
  </w:style>
  <w:style w:type="paragraph" w:customStyle="1" w:styleId="Restitle">
    <w:name w:val="Res_title"/>
    <w:basedOn w:val="Arttitle"/>
    <w:next w:val="headfoot"/>
    <w:rsid w:val="005B12CA"/>
    <w:pPr>
      <w:spacing w:after="120"/>
    </w:pPr>
  </w:style>
  <w:style w:type="paragraph" w:customStyle="1" w:styleId="RecNo">
    <w:name w:val="Rec_No"/>
    <w:basedOn w:val="ResNo"/>
    <w:next w:val="Rectitle"/>
    <w:rsid w:val="005B12CA"/>
  </w:style>
  <w:style w:type="paragraph" w:customStyle="1" w:styleId="Rectitle">
    <w:name w:val="Rec_title"/>
    <w:basedOn w:val="Restitle"/>
    <w:next w:val="headfoot"/>
    <w:rsid w:val="005B12CA"/>
  </w:style>
  <w:style w:type="paragraph" w:customStyle="1" w:styleId="Equation">
    <w:name w:val="Equation"/>
    <w:basedOn w:val="Normal"/>
    <w:rsid w:val="005B12CA"/>
    <w:pPr>
      <w:tabs>
        <w:tab w:val="left" w:pos="1134"/>
        <w:tab w:val="center" w:pos="4678"/>
        <w:tab w:val="right" w:pos="9356"/>
      </w:tabs>
      <w:spacing w:before="240" w:after="0" w:line="240" w:lineRule="auto"/>
    </w:pPr>
    <w:rPr>
      <w:rFonts w:ascii="Times New Roman" w:eastAsia="Times New Roman" w:hAnsi="Times New Roman" w:cs="Times New Roman"/>
      <w:sz w:val="24"/>
      <w:szCs w:val="20"/>
      <w:lang w:val="fr-FR" w:eastAsia="es-MX"/>
    </w:rPr>
  </w:style>
  <w:style w:type="paragraph" w:customStyle="1" w:styleId="Note">
    <w:name w:val="Note"/>
    <w:basedOn w:val="Normal"/>
    <w:link w:val="NoteChar"/>
    <w:rsid w:val="005B12CA"/>
    <w:pPr>
      <w:tabs>
        <w:tab w:val="left" w:pos="284"/>
        <w:tab w:val="left" w:pos="1134"/>
        <w:tab w:val="left" w:pos="1871"/>
        <w:tab w:val="left" w:pos="2268"/>
      </w:tabs>
      <w:spacing w:before="160" w:after="0" w:line="240" w:lineRule="auto"/>
      <w:jc w:val="both"/>
    </w:pPr>
    <w:rPr>
      <w:rFonts w:ascii="Times" w:eastAsia="Times New Roman" w:hAnsi="Times" w:cs="Times"/>
      <w:sz w:val="20"/>
      <w:szCs w:val="20"/>
      <w:lang w:val="fr-FR" w:eastAsia="es-MX"/>
    </w:rPr>
  </w:style>
  <w:style w:type="character" w:customStyle="1" w:styleId="NoteChar">
    <w:name w:val="Note Char"/>
    <w:link w:val="Note"/>
    <w:rsid w:val="005B12CA"/>
    <w:rPr>
      <w:rFonts w:ascii="Times" w:eastAsia="Times New Roman" w:hAnsi="Times" w:cs="Times"/>
      <w:sz w:val="20"/>
      <w:szCs w:val="20"/>
      <w:lang w:val="fr-FR" w:eastAsia="es-MX"/>
    </w:rPr>
  </w:style>
  <w:style w:type="paragraph" w:customStyle="1" w:styleId="Section1">
    <w:name w:val="Section_1"/>
    <w:basedOn w:val="Normal"/>
    <w:link w:val="Section1Char"/>
    <w:rsid w:val="005B12CA"/>
    <w:pPr>
      <w:tabs>
        <w:tab w:val="center" w:pos="4678"/>
      </w:tabs>
      <w:spacing w:before="360" w:after="0" w:line="240" w:lineRule="auto"/>
      <w:jc w:val="center"/>
    </w:pPr>
    <w:rPr>
      <w:rFonts w:ascii="Times" w:eastAsia="Times New Roman" w:hAnsi="Times" w:cs="Times"/>
      <w:b/>
      <w:sz w:val="24"/>
      <w:szCs w:val="20"/>
      <w:lang w:val="fr-FR" w:eastAsia="es-MX"/>
    </w:rPr>
  </w:style>
  <w:style w:type="character" w:customStyle="1" w:styleId="Section1Char">
    <w:name w:val="Section_1 Char"/>
    <w:link w:val="Section1"/>
    <w:rsid w:val="005B12CA"/>
    <w:rPr>
      <w:rFonts w:ascii="Times" w:eastAsia="Times New Roman" w:hAnsi="Times" w:cs="Times"/>
      <w:b/>
      <w:sz w:val="24"/>
      <w:szCs w:val="20"/>
      <w:lang w:val="fr-FR" w:eastAsia="es-MX"/>
    </w:rPr>
  </w:style>
  <w:style w:type="paragraph" w:customStyle="1" w:styleId="Tablefin">
    <w:name w:val="Table_fin"/>
    <w:basedOn w:val="Normal"/>
    <w:rsid w:val="005B12CA"/>
    <w:pPr>
      <w:tabs>
        <w:tab w:val="left" w:pos="1871"/>
        <w:tab w:val="left" w:pos="2268"/>
      </w:tabs>
      <w:spacing w:after="0" w:line="240" w:lineRule="auto"/>
      <w:jc w:val="both"/>
    </w:pPr>
    <w:rPr>
      <w:rFonts w:ascii="Times New Roman" w:eastAsia="Times New Roman" w:hAnsi="Times New Roman" w:cs="Times New Roman"/>
      <w:sz w:val="12"/>
      <w:szCs w:val="20"/>
      <w:lang w:val="fr-FR" w:eastAsia="es-MX"/>
    </w:rPr>
  </w:style>
  <w:style w:type="paragraph" w:customStyle="1" w:styleId="MEP">
    <w:name w:val="MEP"/>
    <w:basedOn w:val="Normal"/>
    <w:rsid w:val="005B12CA"/>
    <w:pPr>
      <w:tabs>
        <w:tab w:val="left" w:pos="1134"/>
        <w:tab w:val="left" w:pos="1871"/>
        <w:tab w:val="left" w:pos="2268"/>
      </w:tabs>
      <w:spacing w:before="240" w:after="0" w:line="240" w:lineRule="auto"/>
      <w:jc w:val="both"/>
    </w:pPr>
    <w:rPr>
      <w:rFonts w:ascii="Times New Roman" w:eastAsia="Times New Roman" w:hAnsi="Times New Roman" w:cs="Times New Roman"/>
      <w:sz w:val="24"/>
      <w:szCs w:val="20"/>
      <w:lang w:val="fr-FR" w:eastAsia="es-MX"/>
    </w:rPr>
  </w:style>
  <w:style w:type="paragraph" w:customStyle="1" w:styleId="TableTextS5">
    <w:name w:val="Table_TextS5"/>
    <w:basedOn w:val="Normal"/>
    <w:rsid w:val="005B12CA"/>
    <w:pPr>
      <w:tabs>
        <w:tab w:val="left" w:pos="170"/>
        <w:tab w:val="left" w:pos="567"/>
        <w:tab w:val="left" w:pos="737"/>
        <w:tab w:val="left" w:pos="2977"/>
        <w:tab w:val="left" w:pos="3266"/>
      </w:tabs>
      <w:spacing w:before="40" w:after="40" w:line="240" w:lineRule="auto"/>
    </w:pPr>
    <w:rPr>
      <w:rFonts w:ascii="Times New Roman" w:eastAsia="Times New Roman" w:hAnsi="Times New Roman" w:cs="Times New Roman"/>
      <w:sz w:val="20"/>
      <w:szCs w:val="20"/>
      <w:lang w:val="fr-FR" w:eastAsia="es-MX"/>
    </w:rPr>
  </w:style>
  <w:style w:type="paragraph" w:customStyle="1" w:styleId="Section2">
    <w:name w:val="Section_2"/>
    <w:basedOn w:val="Section1"/>
    <w:rsid w:val="005B12CA"/>
    <w:pPr>
      <w:jc w:val="left"/>
    </w:pPr>
    <w:rPr>
      <w:b w:val="0"/>
      <w:i/>
    </w:rPr>
  </w:style>
  <w:style w:type="paragraph" w:customStyle="1" w:styleId="Section3">
    <w:name w:val="Section_3"/>
    <w:basedOn w:val="Section1"/>
    <w:rsid w:val="005B12CA"/>
    <w:rPr>
      <w:b w:val="0"/>
    </w:rPr>
  </w:style>
  <w:style w:type="paragraph" w:customStyle="1" w:styleId="Equationlegend">
    <w:name w:val="Equation_legend"/>
    <w:basedOn w:val="Sangranormal"/>
    <w:rsid w:val="005B12CA"/>
  </w:style>
  <w:style w:type="paragraph" w:customStyle="1" w:styleId="Call">
    <w:name w:val="Call"/>
    <w:basedOn w:val="Normal"/>
    <w:next w:val="Normal"/>
    <w:rsid w:val="005B12CA"/>
    <w:pPr>
      <w:tabs>
        <w:tab w:val="left" w:pos="1134"/>
      </w:tabs>
      <w:spacing w:before="360" w:after="0" w:line="240" w:lineRule="auto"/>
      <w:ind w:left="1134"/>
      <w:jc w:val="both"/>
    </w:pPr>
    <w:rPr>
      <w:rFonts w:ascii="Times New Roman" w:eastAsia="Times New Roman" w:hAnsi="Times New Roman" w:cs="Times New Roman"/>
      <w:i/>
      <w:sz w:val="24"/>
      <w:szCs w:val="20"/>
      <w:lang w:val="fr-FR" w:eastAsia="es-MX"/>
    </w:rPr>
  </w:style>
  <w:style w:type="paragraph" w:customStyle="1" w:styleId="Tablehead">
    <w:name w:val="Table_head"/>
    <w:basedOn w:val="Tabletext"/>
    <w:next w:val="Tabletext"/>
    <w:rsid w:val="005B12CA"/>
    <w:pPr>
      <w:spacing w:before="80" w:after="80"/>
      <w:jc w:val="center"/>
    </w:pPr>
    <w:rPr>
      <w:b/>
    </w:rPr>
  </w:style>
  <w:style w:type="paragraph" w:customStyle="1" w:styleId="Headingi">
    <w:name w:val="Heading_i"/>
    <w:basedOn w:val="Headingb"/>
    <w:rsid w:val="005B12CA"/>
    <w:pPr>
      <w:tabs>
        <w:tab w:val="clear" w:pos="794"/>
        <w:tab w:val="clear" w:pos="1191"/>
        <w:tab w:val="clear" w:pos="1588"/>
        <w:tab w:val="clear" w:pos="1985"/>
        <w:tab w:val="left" w:pos="1134"/>
        <w:tab w:val="left" w:pos="1871"/>
      </w:tabs>
      <w:spacing w:before="400"/>
      <w:ind w:left="0" w:firstLine="0"/>
      <w:jc w:val="both"/>
    </w:pPr>
    <w:rPr>
      <w:b w:val="0"/>
      <w:i/>
    </w:rPr>
  </w:style>
  <w:style w:type="paragraph" w:customStyle="1" w:styleId="TableNote">
    <w:name w:val="TableNote"/>
    <w:basedOn w:val="Tabletext"/>
    <w:rsid w:val="005B12CA"/>
  </w:style>
  <w:style w:type="paragraph" w:customStyle="1" w:styleId="Art">
    <w:name w:val="Art_#"/>
    <w:basedOn w:val="Normal"/>
    <w:next w:val="Arttitle"/>
    <w:rsid w:val="005B12CA"/>
    <w:pPr>
      <w:keepNext/>
      <w:keepLines/>
      <w:tabs>
        <w:tab w:val="left" w:pos="1134"/>
        <w:tab w:val="left" w:pos="1871"/>
        <w:tab w:val="left" w:pos="2268"/>
      </w:tabs>
      <w:spacing w:before="720" w:after="0" w:line="240" w:lineRule="auto"/>
      <w:jc w:val="center"/>
    </w:pPr>
    <w:rPr>
      <w:rFonts w:ascii="Times New Roman" w:eastAsia="Times New Roman" w:hAnsi="Times New Roman" w:cs="Times New Roman"/>
      <w:noProof/>
      <w:sz w:val="28"/>
      <w:szCs w:val="20"/>
      <w:lang w:eastAsia="es-MX"/>
    </w:rPr>
  </w:style>
  <w:style w:type="paragraph" w:customStyle="1" w:styleId="Chap">
    <w:name w:val="Chap_#"/>
    <w:basedOn w:val="Normal"/>
    <w:next w:val="Chaptitle"/>
    <w:rsid w:val="005B12CA"/>
    <w:pPr>
      <w:keepNext/>
      <w:keepLines/>
      <w:tabs>
        <w:tab w:val="left" w:pos="1134"/>
        <w:tab w:val="left" w:pos="1871"/>
        <w:tab w:val="left" w:pos="2268"/>
      </w:tabs>
      <w:spacing w:before="1200" w:after="0" w:line="240" w:lineRule="auto"/>
      <w:jc w:val="center"/>
    </w:pPr>
    <w:rPr>
      <w:rFonts w:ascii="Times New Roman" w:eastAsia="Times New Roman" w:hAnsi="Times New Roman" w:cs="Times New Roman"/>
      <w:sz w:val="32"/>
      <w:szCs w:val="20"/>
      <w:lang w:val="fr-FR" w:eastAsia="es-MX"/>
    </w:rPr>
  </w:style>
  <w:style w:type="paragraph" w:customStyle="1" w:styleId="TableFin0">
    <w:name w:val="Table_Fin"/>
    <w:basedOn w:val="Normal"/>
    <w:rsid w:val="005B12CA"/>
    <w:pPr>
      <w:tabs>
        <w:tab w:val="left" w:pos="1871"/>
        <w:tab w:val="left" w:pos="2268"/>
      </w:tabs>
      <w:spacing w:after="0" w:line="240" w:lineRule="auto"/>
      <w:jc w:val="both"/>
    </w:pPr>
    <w:rPr>
      <w:rFonts w:ascii="Times New Roman" w:eastAsia="Times New Roman" w:hAnsi="Times New Roman" w:cs="Times New Roman"/>
      <w:noProof/>
      <w:sz w:val="12"/>
      <w:szCs w:val="20"/>
      <w:lang w:eastAsia="es-MX"/>
    </w:rPr>
  </w:style>
  <w:style w:type="paragraph" w:customStyle="1" w:styleId="Proposal">
    <w:name w:val="Proposal"/>
    <w:basedOn w:val="Normal"/>
    <w:next w:val="Normal"/>
    <w:link w:val="ProposalChar"/>
    <w:rsid w:val="005B12CA"/>
    <w:pPr>
      <w:keepNext/>
      <w:tabs>
        <w:tab w:val="left" w:pos="1134"/>
        <w:tab w:val="left" w:pos="1871"/>
        <w:tab w:val="left" w:pos="2268"/>
      </w:tabs>
      <w:spacing w:before="240" w:after="0" w:line="240" w:lineRule="auto"/>
    </w:pPr>
    <w:rPr>
      <w:rFonts w:ascii="Times" w:eastAsia="Times New Roman" w:hAnsi="Times" w:cs="Times"/>
      <w:noProof/>
      <w:sz w:val="24"/>
      <w:szCs w:val="20"/>
      <w:lang w:eastAsia="es-MX"/>
    </w:rPr>
  </w:style>
  <w:style w:type="character" w:customStyle="1" w:styleId="ProposalChar">
    <w:name w:val="Proposal Char"/>
    <w:link w:val="Proposal"/>
    <w:rsid w:val="005B12CA"/>
    <w:rPr>
      <w:rFonts w:ascii="Times" w:eastAsia="Times New Roman" w:hAnsi="Times" w:cs="Times"/>
      <w:noProof/>
      <w:sz w:val="24"/>
      <w:szCs w:val="20"/>
      <w:lang w:eastAsia="es-MX"/>
    </w:rPr>
  </w:style>
  <w:style w:type="paragraph" w:customStyle="1" w:styleId="TableText0">
    <w:name w:val="Table_Text"/>
    <w:basedOn w:val="Normal"/>
    <w:rsid w:val="005B12CA"/>
    <w:pPr>
      <w:spacing w:before="40" w:after="40" w:line="240" w:lineRule="auto"/>
      <w:jc w:val="both"/>
    </w:pPr>
    <w:rPr>
      <w:rFonts w:ascii="Times New Roman" w:eastAsia="Times New Roman" w:hAnsi="Times New Roman" w:cs="Times New Roman"/>
      <w:noProof/>
      <w:sz w:val="20"/>
      <w:szCs w:val="20"/>
      <w:lang w:eastAsia="es-MX"/>
    </w:rPr>
  </w:style>
  <w:style w:type="paragraph" w:customStyle="1" w:styleId="TableHead0">
    <w:name w:val="Table_Head"/>
    <w:basedOn w:val="TableText0"/>
    <w:next w:val="TableText0"/>
    <w:rsid w:val="005B12CA"/>
    <w:pPr>
      <w:spacing w:before="80" w:after="80"/>
      <w:jc w:val="center"/>
    </w:pPr>
    <w:rPr>
      <w:b/>
    </w:rPr>
  </w:style>
  <w:style w:type="paragraph" w:customStyle="1" w:styleId="SpecialFooter">
    <w:name w:val="Special Footer"/>
    <w:basedOn w:val="Piedepgina"/>
    <w:rsid w:val="005B12CA"/>
    <w:pPr>
      <w:tabs>
        <w:tab w:val="clear" w:pos="4419"/>
        <w:tab w:val="clear" w:pos="8838"/>
        <w:tab w:val="left" w:pos="567"/>
        <w:tab w:val="left" w:pos="1134"/>
        <w:tab w:val="left" w:pos="1701"/>
        <w:tab w:val="left" w:pos="2268"/>
        <w:tab w:val="left" w:pos="2835"/>
        <w:tab w:val="left" w:pos="5954"/>
        <w:tab w:val="right" w:pos="9639"/>
      </w:tabs>
      <w:jc w:val="both"/>
    </w:pPr>
    <w:rPr>
      <w:sz w:val="16"/>
      <w:szCs w:val="20"/>
      <w:lang w:val="es-ES_tradnl" w:eastAsia="es-MX"/>
    </w:rPr>
  </w:style>
  <w:style w:type="paragraph" w:customStyle="1" w:styleId="TableLegend1">
    <w:name w:val="Table_Legend1"/>
    <w:basedOn w:val="Normal"/>
    <w:rsid w:val="005B12CA"/>
    <w:pPr>
      <w:spacing w:before="113" w:after="57" w:line="240" w:lineRule="auto"/>
    </w:pPr>
    <w:rPr>
      <w:rFonts w:ascii="Times New Roman" w:eastAsia="Times New Roman" w:hAnsi="Times New Roman" w:cs="Times New Roman"/>
      <w:szCs w:val="20"/>
      <w:lang w:val="en-GB" w:eastAsia="es-MX"/>
    </w:rPr>
  </w:style>
  <w:style w:type="paragraph" w:customStyle="1" w:styleId="Blanc">
    <w:name w:val="Blanc"/>
    <w:basedOn w:val="TableNo"/>
    <w:rsid w:val="005B12CA"/>
    <w:pPr>
      <w:tabs>
        <w:tab w:val="left" w:pos="170"/>
        <w:tab w:val="left" w:pos="567"/>
        <w:tab w:val="left" w:pos="737"/>
        <w:tab w:val="left" w:pos="1134"/>
        <w:tab w:val="left" w:pos="2977"/>
        <w:tab w:val="left" w:pos="3266"/>
      </w:tabs>
      <w:spacing w:before="0" w:after="0" w:line="40" w:lineRule="exact"/>
      <w:ind w:left="170" w:hanging="170"/>
    </w:pPr>
    <w:rPr>
      <w:sz w:val="8"/>
      <w:lang w:val="en-GB"/>
    </w:rPr>
  </w:style>
  <w:style w:type="paragraph" w:customStyle="1" w:styleId="Sectiontitle">
    <w:name w:val="Section_title"/>
    <w:basedOn w:val="Annextitle"/>
    <w:next w:val="Normalaftertitle"/>
    <w:rsid w:val="005B12CA"/>
  </w:style>
  <w:style w:type="paragraph" w:styleId="Puesto">
    <w:name w:val="Title"/>
    <w:basedOn w:val="Normal"/>
    <w:next w:val="Normal"/>
    <w:link w:val="PuestoCar"/>
    <w:qFormat/>
    <w:rsid w:val="005B12CA"/>
    <w:pPr>
      <w:tabs>
        <w:tab w:val="left" w:pos="1134"/>
        <w:tab w:val="left" w:pos="1871"/>
        <w:tab w:val="left" w:pos="2268"/>
      </w:tabs>
      <w:spacing w:before="240" w:after="60" w:line="240" w:lineRule="auto"/>
      <w:jc w:val="center"/>
    </w:pPr>
    <w:rPr>
      <w:rFonts w:ascii="Cambria" w:eastAsia="Times New Roman" w:hAnsi="Cambria" w:cs="Cambria"/>
      <w:b/>
      <w:sz w:val="32"/>
      <w:szCs w:val="20"/>
      <w:lang w:val="fr-FR" w:eastAsia="es-MX"/>
    </w:rPr>
  </w:style>
  <w:style w:type="character" w:customStyle="1" w:styleId="PuestoCar">
    <w:name w:val="Puesto Car"/>
    <w:basedOn w:val="Fuentedeprrafopredeter"/>
    <w:link w:val="Puesto"/>
    <w:rsid w:val="005B12CA"/>
    <w:rPr>
      <w:rFonts w:ascii="Cambria" w:eastAsia="Times New Roman" w:hAnsi="Cambria" w:cs="Cambria"/>
      <w:b/>
      <w:sz w:val="32"/>
      <w:szCs w:val="20"/>
      <w:lang w:val="fr-FR" w:eastAsia="es-MX"/>
    </w:rPr>
  </w:style>
  <w:style w:type="paragraph" w:customStyle="1" w:styleId="Mapadeldocumento1">
    <w:name w:val="Mapa del documento1"/>
    <w:basedOn w:val="Normal"/>
    <w:rsid w:val="005B12CA"/>
    <w:pPr>
      <w:tabs>
        <w:tab w:val="left" w:pos="1134"/>
        <w:tab w:val="left" w:pos="1871"/>
        <w:tab w:val="left" w:pos="2268"/>
      </w:tabs>
      <w:spacing w:before="240" w:after="0" w:line="240" w:lineRule="auto"/>
      <w:jc w:val="both"/>
    </w:pPr>
    <w:rPr>
      <w:rFonts w:ascii="Tahoma" w:eastAsia="Times New Roman" w:hAnsi="Tahoma" w:cs="Tahoma"/>
      <w:sz w:val="16"/>
      <w:szCs w:val="20"/>
      <w:lang w:val="fr-FR" w:eastAsia="es-MX"/>
    </w:rPr>
  </w:style>
  <w:style w:type="paragraph" w:customStyle="1" w:styleId="Textodeglobo11">
    <w:name w:val="Texto de globo11"/>
    <w:basedOn w:val="Normal"/>
    <w:rsid w:val="005B12CA"/>
    <w:pPr>
      <w:tabs>
        <w:tab w:val="left" w:pos="1134"/>
        <w:tab w:val="left" w:pos="1871"/>
        <w:tab w:val="left" w:pos="2268"/>
      </w:tabs>
      <w:spacing w:after="0" w:line="240" w:lineRule="auto"/>
      <w:jc w:val="both"/>
    </w:pPr>
    <w:rPr>
      <w:rFonts w:ascii="Tahoma" w:eastAsia="Times New Roman" w:hAnsi="Tahoma" w:cs="Tahoma"/>
      <w:sz w:val="16"/>
      <w:szCs w:val="20"/>
      <w:lang w:val="fr-FR" w:eastAsia="es-MX"/>
    </w:rPr>
  </w:style>
  <w:style w:type="paragraph" w:customStyle="1" w:styleId="Mapadeldocumento2">
    <w:name w:val="Mapa del documento2"/>
    <w:basedOn w:val="Normal"/>
    <w:rsid w:val="005B12CA"/>
    <w:pPr>
      <w:tabs>
        <w:tab w:val="left" w:pos="1134"/>
        <w:tab w:val="left" w:pos="1871"/>
        <w:tab w:val="left" w:pos="2268"/>
      </w:tabs>
      <w:spacing w:before="240" w:after="0" w:line="240" w:lineRule="auto"/>
      <w:jc w:val="both"/>
    </w:pPr>
    <w:rPr>
      <w:rFonts w:ascii="Tahoma" w:eastAsia="Times New Roman" w:hAnsi="Tahoma" w:cs="Tahoma"/>
      <w:sz w:val="16"/>
      <w:szCs w:val="20"/>
      <w:lang w:val="fr-FR" w:eastAsia="es-MX"/>
    </w:rPr>
  </w:style>
  <w:style w:type="paragraph" w:customStyle="1" w:styleId="Sumario">
    <w:name w:val="Sumario"/>
    <w:basedOn w:val="Normal"/>
    <w:rsid w:val="005B12CA"/>
    <w:pPr>
      <w:tabs>
        <w:tab w:val="right" w:leader="dot" w:pos="8107"/>
        <w:tab w:val="right" w:pos="8640"/>
      </w:tabs>
      <w:spacing w:after="0" w:line="260" w:lineRule="exact"/>
      <w:ind w:left="274" w:right="749"/>
      <w:jc w:val="both"/>
    </w:pPr>
    <w:rPr>
      <w:rFonts w:ascii="Arial" w:eastAsia="Times New Roman" w:hAnsi="Arial" w:cs="Arial"/>
      <w:sz w:val="18"/>
      <w:szCs w:val="20"/>
      <w:lang w:val="es-ES" w:eastAsia="es-MX"/>
    </w:rPr>
  </w:style>
  <w:style w:type="paragraph" w:customStyle="1" w:styleId="Secreta">
    <w:name w:val="Secreta"/>
    <w:basedOn w:val="Normal"/>
    <w:rsid w:val="005B12CA"/>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MX"/>
    </w:rPr>
  </w:style>
  <w:style w:type="paragraph" w:customStyle="1" w:styleId="Espacios">
    <w:name w:val="Espacios"/>
    <w:basedOn w:val="Normal"/>
    <w:link w:val="EspaciosCar"/>
    <w:qFormat/>
    <w:rsid w:val="005B12CA"/>
    <w:pPr>
      <w:spacing w:after="0" w:line="259" w:lineRule="atLeast"/>
    </w:pPr>
    <w:rPr>
      <w:rFonts w:ascii="Calibri" w:eastAsia="Times New Roman" w:hAnsi="Calibri" w:cs="Calibri"/>
      <w:sz w:val="10"/>
      <w:szCs w:val="20"/>
      <w:lang w:eastAsia="es-MX"/>
    </w:rPr>
  </w:style>
  <w:style w:type="character" w:customStyle="1" w:styleId="EspaciosCar">
    <w:name w:val="Espacios Car"/>
    <w:link w:val="Espacios"/>
    <w:rsid w:val="005B12CA"/>
    <w:rPr>
      <w:rFonts w:ascii="Calibri" w:eastAsia="Times New Roman" w:hAnsi="Calibri" w:cs="Calibri"/>
      <w:sz w:val="10"/>
      <w:szCs w:val="20"/>
      <w:lang w:eastAsia="es-MX"/>
    </w:rPr>
  </w:style>
  <w:style w:type="paragraph" w:customStyle="1" w:styleId="TableParagraph">
    <w:name w:val="Table Paragraph"/>
    <w:basedOn w:val="Normal"/>
    <w:uiPriority w:val="1"/>
    <w:qFormat/>
    <w:rsid w:val="005B12CA"/>
    <w:pPr>
      <w:spacing w:after="0" w:line="240" w:lineRule="auto"/>
    </w:pPr>
    <w:rPr>
      <w:rFonts w:ascii="Calibri" w:eastAsia="Times New Roman" w:hAnsi="Calibri" w:cs="Calibri"/>
      <w:szCs w:val="20"/>
      <w:lang w:val="en-US" w:eastAsia="es-MX"/>
    </w:rPr>
  </w:style>
  <w:style w:type="paragraph" w:styleId="Descripcin">
    <w:name w:val="caption"/>
    <w:basedOn w:val="Normal"/>
    <w:next w:val="Normal"/>
    <w:uiPriority w:val="35"/>
    <w:qFormat/>
    <w:rsid w:val="005B12CA"/>
    <w:pPr>
      <w:spacing w:after="200" w:line="240" w:lineRule="auto"/>
    </w:pPr>
    <w:rPr>
      <w:rFonts w:ascii="Calibri" w:eastAsia="Calibri" w:hAnsi="Calibri" w:cs="Times New Roman"/>
      <w:i/>
      <w:iCs/>
      <w:color w:val="44546A"/>
      <w:sz w:val="18"/>
      <w:szCs w:val="18"/>
    </w:rPr>
  </w:style>
  <w:style w:type="paragraph" w:styleId="Textonotaalfinal">
    <w:name w:val="endnote text"/>
    <w:basedOn w:val="Normal"/>
    <w:link w:val="TextonotaalfinalCar"/>
    <w:uiPriority w:val="99"/>
    <w:unhideWhenUsed/>
    <w:rsid w:val="005B12CA"/>
    <w:pPr>
      <w:spacing w:after="0" w:line="240"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rsid w:val="005B12CA"/>
    <w:rPr>
      <w:rFonts w:ascii="Calibri" w:eastAsia="Calibri" w:hAnsi="Calibri" w:cs="Times New Roman"/>
      <w:sz w:val="20"/>
      <w:szCs w:val="20"/>
    </w:rPr>
  </w:style>
  <w:style w:type="character" w:styleId="Hipervnculo">
    <w:name w:val="Hyperlink"/>
    <w:uiPriority w:val="99"/>
    <w:unhideWhenUsed/>
    <w:rsid w:val="005B12CA"/>
    <w:rPr>
      <w:color w:val="0563C1"/>
      <w:u w:val="single"/>
    </w:rPr>
  </w:style>
  <w:style w:type="character" w:styleId="Refdecomentario">
    <w:name w:val="annotation reference"/>
    <w:uiPriority w:val="99"/>
    <w:unhideWhenUsed/>
    <w:rsid w:val="005B12CA"/>
    <w:rPr>
      <w:sz w:val="16"/>
      <w:szCs w:val="16"/>
    </w:rPr>
  </w:style>
  <w:style w:type="paragraph" w:styleId="Asuntodelcomentario">
    <w:name w:val="annotation subject"/>
    <w:basedOn w:val="Textocomentario"/>
    <w:next w:val="Textocomentario"/>
    <w:link w:val="AsuntodelcomentarioCar"/>
    <w:uiPriority w:val="99"/>
    <w:unhideWhenUsed/>
    <w:rsid w:val="005B12CA"/>
    <w:pPr>
      <w:pBdr>
        <w:top w:val="none" w:sz="0" w:space="0" w:color="auto"/>
        <w:left w:val="none" w:sz="0" w:space="0" w:color="auto"/>
        <w:bottom w:val="none" w:sz="0" w:space="0" w:color="auto"/>
        <w:right w:val="none" w:sz="0" w:space="0" w:color="auto"/>
        <w:between w:val="none" w:sz="0" w:space="0" w:color="auto"/>
      </w:pBdr>
      <w:spacing w:after="160"/>
    </w:pPr>
    <w:rPr>
      <w:rFonts w:ascii="Calibri" w:eastAsia="Calibri" w:hAnsi="Calibri"/>
      <w:b/>
      <w:bCs/>
      <w:sz w:val="20"/>
      <w:lang w:eastAsia="en-US"/>
    </w:rPr>
  </w:style>
  <w:style w:type="character" w:customStyle="1" w:styleId="AsuntodelcomentarioCar">
    <w:name w:val="Asunto del comentario Car"/>
    <w:basedOn w:val="TextocomentarioCar"/>
    <w:link w:val="Asuntodelcomentario"/>
    <w:uiPriority w:val="99"/>
    <w:rsid w:val="005B12CA"/>
    <w:rPr>
      <w:rFonts w:ascii="Calibri" w:eastAsia="Calibri" w:hAnsi="Calibri" w:cs="Times New Roman"/>
      <w:b/>
      <w:bCs/>
      <w:sz w:val="20"/>
      <w:szCs w:val="20"/>
      <w:lang w:eastAsia="es-MX"/>
    </w:rPr>
  </w:style>
  <w:style w:type="paragraph" w:styleId="Textodeglobo">
    <w:name w:val="Balloon Text"/>
    <w:basedOn w:val="Normal"/>
    <w:link w:val="TextodegloboCar"/>
    <w:uiPriority w:val="99"/>
    <w:unhideWhenUsed/>
    <w:rsid w:val="005B12CA"/>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rsid w:val="005B12CA"/>
    <w:rPr>
      <w:rFonts w:ascii="Segoe UI" w:eastAsia="Calibri" w:hAnsi="Segoe UI" w:cs="Segoe UI"/>
      <w:sz w:val="18"/>
      <w:szCs w:val="18"/>
    </w:rPr>
  </w:style>
  <w:style w:type="character" w:customStyle="1" w:styleId="apple-converted-space">
    <w:name w:val="apple-converted-space"/>
    <w:rsid w:val="005B12CA"/>
  </w:style>
  <w:style w:type="character" w:customStyle="1" w:styleId="Tablefreq">
    <w:name w:val="Table_freq"/>
    <w:rsid w:val="005B12CA"/>
    <w:rPr>
      <w:b/>
      <w:color w:val="FFCC00"/>
    </w:rPr>
  </w:style>
  <w:style w:type="character" w:customStyle="1" w:styleId="Artref">
    <w:name w:val="Art_ref"/>
    <w:rsid w:val="005B12CA"/>
    <w:rPr>
      <w:color w:val="3366FF"/>
    </w:rPr>
  </w:style>
  <w:style w:type="character" w:customStyle="1" w:styleId="Artdef">
    <w:name w:val="Art_def"/>
    <w:rsid w:val="005B12CA"/>
    <w:rPr>
      <w:b/>
      <w:color w:val="FFCC00"/>
    </w:rPr>
  </w:style>
  <w:style w:type="character" w:customStyle="1" w:styleId="MapadeldocumentoCar">
    <w:name w:val="Mapa del documento Car"/>
    <w:link w:val="Mapadeldocumento"/>
    <w:rsid w:val="005B12CA"/>
    <w:rPr>
      <w:rFonts w:ascii="Tahoma" w:hAnsi="Tahoma"/>
      <w:sz w:val="16"/>
      <w:szCs w:val="16"/>
      <w:lang w:val="fr-FR"/>
    </w:rPr>
  </w:style>
  <w:style w:type="paragraph" w:styleId="Mapadeldocumento">
    <w:name w:val="Document Map"/>
    <w:basedOn w:val="Normal"/>
    <w:link w:val="MapadeldocumentoCar"/>
    <w:rsid w:val="005B12CA"/>
    <w:pPr>
      <w:tabs>
        <w:tab w:val="left" w:pos="1134"/>
        <w:tab w:val="left" w:pos="1871"/>
        <w:tab w:val="left" w:pos="2268"/>
      </w:tabs>
      <w:overflowPunct w:val="0"/>
      <w:autoSpaceDE w:val="0"/>
      <w:autoSpaceDN w:val="0"/>
      <w:adjustRightInd w:val="0"/>
      <w:spacing w:before="240" w:after="0" w:line="240" w:lineRule="auto"/>
      <w:jc w:val="both"/>
      <w:textAlignment w:val="baseline"/>
    </w:pPr>
    <w:rPr>
      <w:rFonts w:ascii="Tahoma" w:hAnsi="Tahoma"/>
      <w:sz w:val="16"/>
      <w:szCs w:val="16"/>
      <w:lang w:val="fr-FR"/>
    </w:rPr>
  </w:style>
  <w:style w:type="character" w:customStyle="1" w:styleId="MapadeldocumentoCar1">
    <w:name w:val="Mapa del documento Car1"/>
    <w:basedOn w:val="Fuentedeprrafopredeter"/>
    <w:uiPriority w:val="99"/>
    <w:rsid w:val="005B12CA"/>
    <w:rPr>
      <w:rFonts w:ascii="Segoe UI" w:hAnsi="Segoe UI" w:cs="Segoe UI"/>
      <w:sz w:val="16"/>
      <w:szCs w:val="16"/>
    </w:rPr>
  </w:style>
  <w:style w:type="character" w:styleId="Textoennegrita">
    <w:name w:val="Strong"/>
    <w:uiPriority w:val="22"/>
    <w:qFormat/>
    <w:rsid w:val="005B12CA"/>
    <w:rPr>
      <w:b/>
      <w:bCs/>
    </w:rPr>
  </w:style>
  <w:style w:type="character" w:customStyle="1" w:styleId="textocofetel">
    <w:name w:val="texto_cofetel"/>
    <w:rsid w:val="005B12CA"/>
  </w:style>
  <w:style w:type="paragraph" w:styleId="Textoindependiente">
    <w:name w:val="Body Text"/>
    <w:basedOn w:val="Normal"/>
    <w:link w:val="TextoindependienteCar"/>
    <w:uiPriority w:val="1"/>
    <w:qFormat/>
    <w:rsid w:val="005B12CA"/>
    <w:pPr>
      <w:widowControl w:val="0"/>
      <w:spacing w:after="0" w:line="240" w:lineRule="auto"/>
      <w:ind w:left="118"/>
    </w:pPr>
    <w:rPr>
      <w:rFonts w:ascii="ITC Avant Garde" w:eastAsia="ITC Avant Garde" w:hAnsi="ITC Avant Garde" w:cs="Times New Roman"/>
      <w:lang w:val="en-US"/>
    </w:rPr>
  </w:style>
  <w:style w:type="character" w:customStyle="1" w:styleId="TextoindependienteCar">
    <w:name w:val="Texto independiente Car"/>
    <w:basedOn w:val="Fuentedeprrafopredeter"/>
    <w:link w:val="Textoindependiente"/>
    <w:uiPriority w:val="1"/>
    <w:rsid w:val="005B12CA"/>
    <w:rPr>
      <w:rFonts w:ascii="ITC Avant Garde" w:eastAsia="ITC Avant Garde" w:hAnsi="ITC Avant Garde" w:cs="Times New Roman"/>
      <w:lang w:val="en-US"/>
    </w:rPr>
  </w:style>
  <w:style w:type="table" w:styleId="Tablaconcuadrcula">
    <w:name w:val="Table Grid"/>
    <w:basedOn w:val="Tablanormal"/>
    <w:uiPriority w:val="59"/>
    <w:rsid w:val="00711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714B"/>
    <w:pPr>
      <w:spacing w:after="0" w:line="240" w:lineRule="auto"/>
      <w:ind w:left="708"/>
    </w:pPr>
    <w:rPr>
      <w:rFonts w:ascii="Arial" w:eastAsia="Times New Roman" w:hAnsi="Arial" w:cs="Times New Roman"/>
      <w:sz w:val="24"/>
      <w:szCs w:val="20"/>
    </w:rPr>
  </w:style>
  <w:style w:type="character" w:styleId="nfasisintenso">
    <w:name w:val="Intense Emphasis"/>
    <w:uiPriority w:val="21"/>
    <w:qFormat/>
    <w:rsid w:val="004A714B"/>
    <w:rPr>
      <w:i/>
      <w:iCs/>
      <w:color w:val="5B9BD5"/>
    </w:rPr>
  </w:style>
  <w:style w:type="character" w:styleId="Hipervnculovisitado">
    <w:name w:val="FollowedHyperlink"/>
    <w:uiPriority w:val="99"/>
    <w:semiHidden/>
    <w:unhideWhenUsed/>
    <w:rsid w:val="004A714B"/>
    <w:rPr>
      <w:color w:val="954F72"/>
      <w:u w:val="single"/>
    </w:rPr>
  </w:style>
  <w:style w:type="paragraph" w:customStyle="1" w:styleId="xl66">
    <w:name w:val="xl66"/>
    <w:basedOn w:val="Normal"/>
    <w:rsid w:val="004A71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ITC Avant Garde" w:eastAsia="Times New Roman" w:hAnsi="ITC Avant Garde" w:cs="Times New Roman"/>
      <w:b/>
      <w:bCs/>
      <w:color w:val="FFFFFF"/>
      <w:sz w:val="16"/>
      <w:szCs w:val="16"/>
      <w:lang w:eastAsia="es-MX"/>
    </w:rPr>
  </w:style>
  <w:style w:type="paragraph" w:customStyle="1" w:styleId="xl67">
    <w:name w:val="xl67"/>
    <w:basedOn w:val="Normal"/>
    <w:rsid w:val="004A714B"/>
    <w:pPr>
      <w:spacing w:before="100" w:beforeAutospacing="1" w:after="100" w:afterAutospacing="1" w:line="240" w:lineRule="auto"/>
      <w:jc w:val="center"/>
      <w:textAlignment w:val="center"/>
    </w:pPr>
    <w:rPr>
      <w:rFonts w:ascii="ITC Avant Garde" w:eastAsia="Times New Roman" w:hAnsi="ITC Avant Garde" w:cs="Times New Roman"/>
      <w:sz w:val="16"/>
      <w:szCs w:val="16"/>
      <w:lang w:eastAsia="es-MX"/>
    </w:rPr>
  </w:style>
  <w:style w:type="paragraph" w:customStyle="1" w:styleId="xl68">
    <w:name w:val="xl68"/>
    <w:basedOn w:val="Normal"/>
    <w:rsid w:val="004A71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cs="Times New Roman"/>
      <w:sz w:val="16"/>
      <w:szCs w:val="16"/>
      <w:lang w:eastAsia="es-MX"/>
    </w:rPr>
  </w:style>
  <w:style w:type="paragraph" w:customStyle="1" w:styleId="xl69">
    <w:name w:val="xl69"/>
    <w:basedOn w:val="Normal"/>
    <w:rsid w:val="004A71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cs="Times New Roman"/>
      <w:sz w:val="16"/>
      <w:szCs w:val="16"/>
      <w:lang w:eastAsia="es-MX"/>
    </w:rPr>
  </w:style>
  <w:style w:type="paragraph" w:customStyle="1" w:styleId="xl70">
    <w:name w:val="xl70"/>
    <w:basedOn w:val="Normal"/>
    <w:rsid w:val="004A714B"/>
    <w:pPr>
      <w:spacing w:before="100" w:beforeAutospacing="1" w:after="100" w:afterAutospacing="1" w:line="240" w:lineRule="auto"/>
      <w:textAlignment w:val="center"/>
    </w:pPr>
    <w:rPr>
      <w:rFonts w:ascii="ITC Avant Garde" w:eastAsia="Times New Roman" w:hAnsi="ITC Avant Garde" w:cs="Times New Roman"/>
      <w:color w:val="000000"/>
      <w:sz w:val="16"/>
      <w:szCs w:val="16"/>
      <w:lang w:eastAsia="es-MX"/>
    </w:rPr>
  </w:style>
  <w:style w:type="paragraph" w:customStyle="1" w:styleId="xl71">
    <w:name w:val="xl71"/>
    <w:basedOn w:val="Normal"/>
    <w:rsid w:val="004A71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cs="Times New Roman"/>
      <w:color w:val="000000"/>
      <w:sz w:val="16"/>
      <w:szCs w:val="16"/>
      <w:lang w:eastAsia="es-MX"/>
    </w:rPr>
  </w:style>
  <w:style w:type="paragraph" w:customStyle="1" w:styleId="xl72">
    <w:name w:val="xl72"/>
    <w:basedOn w:val="Normal"/>
    <w:rsid w:val="004A71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cs="Times New Roman"/>
      <w:sz w:val="16"/>
      <w:szCs w:val="16"/>
      <w:lang w:eastAsia="es-MX"/>
    </w:rPr>
  </w:style>
  <w:style w:type="paragraph" w:customStyle="1" w:styleId="xl73">
    <w:name w:val="xl73"/>
    <w:basedOn w:val="Normal"/>
    <w:rsid w:val="004A71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cs="Times New Roman"/>
      <w:color w:val="000000"/>
      <w:sz w:val="16"/>
      <w:szCs w:val="16"/>
      <w:lang w:eastAsia="es-MX"/>
    </w:rPr>
  </w:style>
  <w:style w:type="paragraph" w:customStyle="1" w:styleId="xl74">
    <w:name w:val="xl74"/>
    <w:basedOn w:val="Normal"/>
    <w:rsid w:val="004A71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cs="Times New Roman"/>
      <w:sz w:val="16"/>
      <w:szCs w:val="16"/>
      <w:lang w:eastAsia="es-MX"/>
    </w:rPr>
  </w:style>
  <w:style w:type="paragraph" w:customStyle="1" w:styleId="xl75">
    <w:name w:val="xl75"/>
    <w:basedOn w:val="Normal"/>
    <w:rsid w:val="004A71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cs="Times New Roman"/>
      <w:color w:val="000000"/>
      <w:sz w:val="16"/>
      <w:szCs w:val="16"/>
      <w:lang w:eastAsia="es-MX"/>
    </w:rPr>
  </w:style>
  <w:style w:type="paragraph" w:customStyle="1" w:styleId="xl76">
    <w:name w:val="xl76"/>
    <w:basedOn w:val="Normal"/>
    <w:rsid w:val="004A71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cs="Times New Roman"/>
      <w:sz w:val="16"/>
      <w:szCs w:val="16"/>
      <w:lang w:eastAsia="es-MX"/>
    </w:rPr>
  </w:style>
  <w:style w:type="paragraph" w:customStyle="1" w:styleId="xl77">
    <w:name w:val="xl77"/>
    <w:basedOn w:val="Normal"/>
    <w:rsid w:val="004A71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cs="Times New Roman"/>
      <w:color w:val="000000"/>
      <w:sz w:val="16"/>
      <w:szCs w:val="16"/>
      <w:lang w:eastAsia="es-MX"/>
    </w:rPr>
  </w:style>
  <w:style w:type="paragraph" w:customStyle="1" w:styleId="xl78">
    <w:name w:val="xl78"/>
    <w:basedOn w:val="Normal"/>
    <w:rsid w:val="004A71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cs="Times New Roman"/>
      <w:sz w:val="16"/>
      <w:szCs w:val="16"/>
      <w:lang w:eastAsia="es-MX"/>
    </w:rPr>
  </w:style>
  <w:style w:type="paragraph" w:customStyle="1" w:styleId="xl79">
    <w:name w:val="xl79"/>
    <w:basedOn w:val="Normal"/>
    <w:rsid w:val="004A71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cs="Times New Roman"/>
      <w:sz w:val="16"/>
      <w:szCs w:val="16"/>
      <w:lang w:eastAsia="es-MX"/>
    </w:rPr>
  </w:style>
  <w:style w:type="paragraph" w:customStyle="1" w:styleId="xl80">
    <w:name w:val="xl80"/>
    <w:basedOn w:val="Normal"/>
    <w:rsid w:val="004A71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cs="Times New Roman"/>
      <w:color w:val="000000"/>
      <w:sz w:val="16"/>
      <w:szCs w:val="16"/>
      <w:lang w:eastAsia="es-MX"/>
    </w:rPr>
  </w:style>
  <w:style w:type="paragraph" w:customStyle="1" w:styleId="xl81">
    <w:name w:val="xl81"/>
    <w:basedOn w:val="Normal"/>
    <w:rsid w:val="004A71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cs="Times New Roman"/>
      <w:color w:val="000000"/>
      <w:sz w:val="16"/>
      <w:szCs w:val="16"/>
      <w:lang w:eastAsia="es-MX"/>
    </w:rPr>
  </w:style>
  <w:style w:type="paragraph" w:customStyle="1" w:styleId="xl82">
    <w:name w:val="xl82"/>
    <w:basedOn w:val="Normal"/>
    <w:rsid w:val="004A71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ITC Avant Garde" w:eastAsia="Times New Roman" w:hAnsi="ITC Avant Garde" w:cs="Times New Roman"/>
      <w:color w:val="000000"/>
      <w:sz w:val="16"/>
      <w:szCs w:val="16"/>
      <w:lang w:eastAsia="es-MX"/>
    </w:rPr>
  </w:style>
  <w:style w:type="paragraph" w:customStyle="1" w:styleId="xl83">
    <w:name w:val="xl83"/>
    <w:basedOn w:val="Normal"/>
    <w:rsid w:val="004A714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cs="Times New Roman"/>
      <w:color w:val="000000"/>
      <w:sz w:val="16"/>
      <w:szCs w:val="16"/>
      <w:lang w:eastAsia="es-MX"/>
    </w:rPr>
  </w:style>
  <w:style w:type="paragraph" w:customStyle="1" w:styleId="xl84">
    <w:name w:val="xl84"/>
    <w:basedOn w:val="Normal"/>
    <w:rsid w:val="004A71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ITC Avant Garde" w:eastAsia="Times New Roman" w:hAnsi="ITC Avant Garde" w:cs="Times New Roman"/>
      <w:b/>
      <w:bCs/>
      <w:color w:val="FFFFFF"/>
      <w:sz w:val="16"/>
      <w:szCs w:val="16"/>
      <w:lang w:eastAsia="es-MX"/>
    </w:rPr>
  </w:style>
  <w:style w:type="paragraph" w:customStyle="1" w:styleId="xl85">
    <w:name w:val="xl85"/>
    <w:basedOn w:val="Normal"/>
    <w:rsid w:val="004A714B"/>
    <w:pPr>
      <w:spacing w:before="100" w:beforeAutospacing="1" w:after="100" w:afterAutospacing="1" w:line="240" w:lineRule="auto"/>
      <w:jc w:val="center"/>
      <w:textAlignment w:val="center"/>
    </w:pPr>
    <w:rPr>
      <w:rFonts w:ascii="ITC Avant Garde" w:eastAsia="Times New Roman" w:hAnsi="ITC Avant Garde" w:cs="Times New Roman"/>
      <w:sz w:val="16"/>
      <w:szCs w:val="16"/>
      <w:lang w:eastAsia="es-MX"/>
    </w:rPr>
  </w:style>
  <w:style w:type="paragraph" w:customStyle="1" w:styleId="xl86">
    <w:name w:val="xl86"/>
    <w:basedOn w:val="Normal"/>
    <w:rsid w:val="004A71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cs="Times New Roman"/>
      <w:sz w:val="16"/>
      <w:szCs w:val="16"/>
      <w:lang w:eastAsia="es-MX"/>
    </w:rPr>
  </w:style>
  <w:style w:type="paragraph" w:customStyle="1" w:styleId="xl87">
    <w:name w:val="xl87"/>
    <w:basedOn w:val="Normal"/>
    <w:rsid w:val="004A714B"/>
    <w:pPr>
      <w:pBdr>
        <w:left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cs="Times New Roman"/>
      <w:sz w:val="16"/>
      <w:szCs w:val="16"/>
      <w:lang w:eastAsia="es-MX"/>
    </w:rPr>
  </w:style>
  <w:style w:type="paragraph" w:customStyle="1" w:styleId="xl88">
    <w:name w:val="xl88"/>
    <w:basedOn w:val="Normal"/>
    <w:rsid w:val="004A71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cs="Times New Roman"/>
      <w:sz w:val="16"/>
      <w:szCs w:val="16"/>
      <w:lang w:eastAsia="es-MX"/>
    </w:rPr>
  </w:style>
  <w:style w:type="paragraph" w:customStyle="1" w:styleId="xl89">
    <w:name w:val="xl89"/>
    <w:basedOn w:val="Normal"/>
    <w:rsid w:val="004A71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cs="Times New Roman"/>
      <w:sz w:val="16"/>
      <w:szCs w:val="16"/>
      <w:lang w:eastAsia="es-MX"/>
    </w:rPr>
  </w:style>
  <w:style w:type="paragraph" w:customStyle="1" w:styleId="xl90">
    <w:name w:val="xl90"/>
    <w:basedOn w:val="Normal"/>
    <w:rsid w:val="004A714B"/>
    <w:pPr>
      <w:pBdr>
        <w:left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cs="Times New Roman"/>
      <w:sz w:val="16"/>
      <w:szCs w:val="16"/>
      <w:lang w:eastAsia="es-MX"/>
    </w:rPr>
  </w:style>
  <w:style w:type="paragraph" w:customStyle="1" w:styleId="xl91">
    <w:name w:val="xl91"/>
    <w:basedOn w:val="Normal"/>
    <w:rsid w:val="004A71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cs="Times New Roman"/>
      <w:sz w:val="16"/>
      <w:szCs w:val="16"/>
      <w:lang w:eastAsia="es-MX"/>
    </w:rPr>
  </w:style>
  <w:style w:type="paragraph" w:customStyle="1" w:styleId="xl92">
    <w:name w:val="xl92"/>
    <w:basedOn w:val="Normal"/>
    <w:rsid w:val="004A714B"/>
    <w:pPr>
      <w:pBdr>
        <w:left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cs="Times New Roman"/>
      <w:sz w:val="16"/>
      <w:szCs w:val="16"/>
      <w:lang w:eastAsia="es-MX"/>
    </w:rPr>
  </w:style>
  <w:style w:type="paragraph" w:customStyle="1" w:styleId="xl93">
    <w:name w:val="xl93"/>
    <w:basedOn w:val="Normal"/>
    <w:rsid w:val="004A71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cs="Times New Roman"/>
      <w:sz w:val="16"/>
      <w:szCs w:val="16"/>
      <w:lang w:eastAsia="es-MX"/>
    </w:rPr>
  </w:style>
  <w:style w:type="paragraph" w:customStyle="1" w:styleId="xl94">
    <w:name w:val="xl94"/>
    <w:basedOn w:val="Normal"/>
    <w:rsid w:val="004A71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cs="Times New Roman"/>
      <w:sz w:val="16"/>
      <w:szCs w:val="16"/>
      <w:lang w:eastAsia="es-MX"/>
    </w:rPr>
  </w:style>
  <w:style w:type="paragraph" w:customStyle="1" w:styleId="xl95">
    <w:name w:val="xl95"/>
    <w:basedOn w:val="Normal"/>
    <w:rsid w:val="004A714B"/>
    <w:pPr>
      <w:pBdr>
        <w:left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cs="Times New Roman"/>
      <w:sz w:val="16"/>
      <w:szCs w:val="16"/>
      <w:lang w:eastAsia="es-MX"/>
    </w:rPr>
  </w:style>
  <w:style w:type="paragraph" w:customStyle="1" w:styleId="xl96">
    <w:name w:val="xl96"/>
    <w:basedOn w:val="Normal"/>
    <w:rsid w:val="004A71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cs="Times New Roman"/>
      <w:sz w:val="16"/>
      <w:szCs w:val="16"/>
      <w:lang w:eastAsia="es-MX"/>
    </w:rPr>
  </w:style>
  <w:style w:type="paragraph" w:customStyle="1" w:styleId="xl97">
    <w:name w:val="xl97"/>
    <w:basedOn w:val="Normal"/>
    <w:rsid w:val="004A71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ITC Avant Garde" w:eastAsia="Times New Roman" w:hAnsi="ITC Avant Garde" w:cs="Times New Roman"/>
      <w:sz w:val="16"/>
      <w:szCs w:val="16"/>
      <w:lang w:eastAsia="es-MX"/>
    </w:rPr>
  </w:style>
  <w:style w:type="paragraph" w:customStyle="1" w:styleId="xl98">
    <w:name w:val="xl98"/>
    <w:basedOn w:val="Normal"/>
    <w:rsid w:val="004A71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ITC Avant Garde" w:eastAsia="Times New Roman" w:hAnsi="ITC Avant Garde" w:cs="Times New Roman"/>
      <w:sz w:val="16"/>
      <w:szCs w:val="16"/>
      <w:lang w:eastAsia="es-MX"/>
    </w:rPr>
  </w:style>
  <w:style w:type="paragraph" w:customStyle="1" w:styleId="font5">
    <w:name w:val="font5"/>
    <w:basedOn w:val="Normal"/>
    <w:rsid w:val="004A714B"/>
    <w:pPr>
      <w:spacing w:before="100" w:beforeAutospacing="1" w:after="100" w:afterAutospacing="1" w:line="240" w:lineRule="auto"/>
    </w:pPr>
    <w:rPr>
      <w:rFonts w:ascii="ITC Avant Garde" w:eastAsia="Times New Roman" w:hAnsi="ITC Avant Garde" w:cs="Times New Roman"/>
      <w:color w:val="000000"/>
      <w:lang w:eastAsia="es-MX"/>
    </w:rPr>
  </w:style>
  <w:style w:type="paragraph" w:customStyle="1" w:styleId="xl60">
    <w:name w:val="xl60"/>
    <w:basedOn w:val="Normal"/>
    <w:rsid w:val="004A714B"/>
    <w:pPr>
      <w:spacing w:before="100" w:beforeAutospacing="1" w:after="100" w:afterAutospacing="1" w:line="240" w:lineRule="auto"/>
      <w:jc w:val="center"/>
      <w:textAlignment w:val="center"/>
    </w:pPr>
    <w:rPr>
      <w:rFonts w:ascii="ITC Avant Garde" w:eastAsia="Times New Roman" w:hAnsi="ITC Avant Garde" w:cs="Times New Roman"/>
      <w:sz w:val="14"/>
      <w:szCs w:val="14"/>
      <w:lang w:eastAsia="es-MX"/>
    </w:rPr>
  </w:style>
  <w:style w:type="paragraph" w:customStyle="1" w:styleId="xl61">
    <w:name w:val="xl61"/>
    <w:basedOn w:val="Normal"/>
    <w:rsid w:val="004A71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cs="Times New Roman"/>
      <w:sz w:val="14"/>
      <w:szCs w:val="14"/>
      <w:lang w:eastAsia="es-MX"/>
    </w:rPr>
  </w:style>
  <w:style w:type="paragraph" w:customStyle="1" w:styleId="xl62">
    <w:name w:val="xl62"/>
    <w:basedOn w:val="Normal"/>
    <w:rsid w:val="004A71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cs="Times New Roman"/>
      <w:sz w:val="14"/>
      <w:szCs w:val="14"/>
      <w:lang w:eastAsia="es-MX"/>
    </w:rPr>
  </w:style>
  <w:style w:type="paragraph" w:customStyle="1" w:styleId="xl63">
    <w:name w:val="xl63"/>
    <w:basedOn w:val="Normal"/>
    <w:rsid w:val="004A71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ITC Avant Garde" w:eastAsia="Times New Roman" w:hAnsi="ITC Avant Garde" w:cs="Times New Roman"/>
      <w:sz w:val="14"/>
      <w:szCs w:val="14"/>
      <w:lang w:eastAsia="es-MX"/>
    </w:rPr>
  </w:style>
  <w:style w:type="paragraph" w:customStyle="1" w:styleId="xl64">
    <w:name w:val="xl64"/>
    <w:basedOn w:val="Normal"/>
    <w:rsid w:val="004A71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ITC Avant Garde" w:eastAsia="Times New Roman" w:hAnsi="ITC Avant Garde" w:cs="Times New Roman"/>
      <w:sz w:val="14"/>
      <w:szCs w:val="14"/>
      <w:lang w:eastAsia="es-MX"/>
    </w:rPr>
  </w:style>
  <w:style w:type="paragraph" w:customStyle="1" w:styleId="xl65">
    <w:name w:val="xl65"/>
    <w:basedOn w:val="Normal"/>
    <w:rsid w:val="004A71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ITC Avant Garde" w:eastAsia="Times New Roman" w:hAnsi="ITC Avant Garde" w:cs="Times New Roman"/>
      <w:sz w:val="14"/>
      <w:szCs w:val="14"/>
      <w:lang w:eastAsia="es-MX"/>
    </w:rPr>
  </w:style>
  <w:style w:type="paragraph" w:customStyle="1" w:styleId="font6">
    <w:name w:val="font6"/>
    <w:basedOn w:val="Normal"/>
    <w:rsid w:val="004A714B"/>
    <w:pPr>
      <w:spacing w:before="100" w:beforeAutospacing="1" w:after="100" w:afterAutospacing="1" w:line="240" w:lineRule="auto"/>
    </w:pPr>
    <w:rPr>
      <w:rFonts w:ascii="ITC Avant Garde" w:eastAsia="Times New Roman" w:hAnsi="ITC Avant Garde" w:cs="Times New Roman"/>
      <w:b/>
      <w:bCs/>
      <w:sz w:val="14"/>
      <w:szCs w:val="14"/>
      <w:lang w:eastAsia="es-MX"/>
    </w:rPr>
  </w:style>
  <w:style w:type="paragraph" w:customStyle="1" w:styleId="font7">
    <w:name w:val="font7"/>
    <w:basedOn w:val="Normal"/>
    <w:rsid w:val="004A714B"/>
    <w:pPr>
      <w:spacing w:before="100" w:beforeAutospacing="1" w:after="100" w:afterAutospacing="1" w:line="240" w:lineRule="auto"/>
    </w:pPr>
    <w:rPr>
      <w:rFonts w:ascii="ITC Avant Garde" w:eastAsia="Times New Roman" w:hAnsi="ITC Avant Garde" w:cs="Times New Roman"/>
      <w:color w:val="FF0000"/>
      <w:sz w:val="14"/>
      <w:szCs w:val="14"/>
      <w:lang w:eastAsia="es-MX"/>
    </w:rPr>
  </w:style>
  <w:style w:type="paragraph" w:customStyle="1" w:styleId="font8">
    <w:name w:val="font8"/>
    <w:basedOn w:val="Normal"/>
    <w:rsid w:val="004A714B"/>
    <w:pPr>
      <w:spacing w:before="100" w:beforeAutospacing="1" w:after="100" w:afterAutospacing="1" w:line="240" w:lineRule="auto"/>
    </w:pPr>
    <w:rPr>
      <w:rFonts w:ascii="ITC Avant Garde" w:eastAsia="Times New Roman" w:hAnsi="ITC Avant Garde" w:cs="Times New Roman"/>
      <w:color w:val="FF0000"/>
      <w:sz w:val="14"/>
      <w:szCs w:val="14"/>
      <w:lang w:eastAsia="es-MX"/>
    </w:rPr>
  </w:style>
  <w:style w:type="paragraph" w:customStyle="1" w:styleId="font9">
    <w:name w:val="font9"/>
    <w:basedOn w:val="Normal"/>
    <w:rsid w:val="004A714B"/>
    <w:pPr>
      <w:spacing w:before="100" w:beforeAutospacing="1" w:after="100" w:afterAutospacing="1" w:line="240" w:lineRule="auto"/>
    </w:pPr>
    <w:rPr>
      <w:rFonts w:ascii="ITC Avant Garde" w:eastAsia="Times New Roman" w:hAnsi="ITC Avant Garde" w:cs="Times New Roman"/>
      <w:color w:val="000000"/>
      <w:sz w:val="14"/>
      <w:szCs w:val="14"/>
      <w:lang w:eastAsia="es-MX"/>
    </w:rPr>
  </w:style>
  <w:style w:type="table" w:customStyle="1" w:styleId="Tabladelista3-nfasis21">
    <w:name w:val="Tabla de lista 3 - Énfasis 21"/>
    <w:basedOn w:val="Tablanormal"/>
    <w:uiPriority w:val="48"/>
    <w:rsid w:val="004A714B"/>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adecuadrcula4-nfasis21">
    <w:name w:val="Tabla de cuadrícula 4 - Énfasis 21"/>
    <w:basedOn w:val="Tablanormal"/>
    <w:uiPriority w:val="49"/>
    <w:rsid w:val="004A714B"/>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Referenciasutil">
    <w:name w:val="Subtle Reference"/>
    <w:basedOn w:val="Fuentedeprrafopredeter"/>
    <w:uiPriority w:val="31"/>
    <w:qFormat/>
    <w:rsid w:val="00F7521A"/>
    <w:rPr>
      <w:smallCaps/>
      <w:color w:val="5A5A5A" w:themeColor="text1" w:themeTint="A5"/>
    </w:rPr>
  </w:style>
  <w:style w:type="character" w:styleId="Ttulodellibro">
    <w:name w:val="Book Title"/>
    <w:basedOn w:val="Fuentedeprrafopredeter"/>
    <w:uiPriority w:val="33"/>
    <w:qFormat/>
    <w:rsid w:val="00F7521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116</Pages>
  <Words>48778</Words>
  <Characters>268279</Characters>
  <Application>Microsoft Office Word</Application>
  <DocSecurity>0</DocSecurity>
  <Lines>2235</Lines>
  <Paragraphs>632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Eugenia Sierra Navarrete</dc:creator>
  <cp:keywords/>
  <dc:description/>
  <cp:lastModifiedBy>Maria del Consuelo Gonzalez Moreno</cp:lastModifiedBy>
  <cp:revision>4</cp:revision>
  <dcterms:created xsi:type="dcterms:W3CDTF">2017-03-06T17:13:00Z</dcterms:created>
  <dcterms:modified xsi:type="dcterms:W3CDTF">2017-03-08T19:33:00Z</dcterms:modified>
</cp:coreProperties>
</file>