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7A" w:rsidRPr="00FF21C4" w:rsidRDefault="006C327A" w:rsidP="00FF21C4">
      <w:pPr>
        <w:pStyle w:val="CABEZA"/>
        <w:pBdr>
          <w:top w:val="single" w:sz="6" w:space="1" w:color="auto"/>
        </w:pBdr>
        <w:spacing w:after="240"/>
        <w:ind w:left="749" w:right="749"/>
        <w:rPr>
          <w:rFonts w:cs="Times New Roman"/>
        </w:rPr>
      </w:pPr>
      <w:r w:rsidRPr="00FF21C4">
        <w:rPr>
          <w:rFonts w:cs="Times New Roman"/>
        </w:rPr>
        <w:t>INSTITUTO FEDERAL DE TELECOMUNICACIONES</w:t>
      </w:r>
    </w:p>
    <w:p w:rsidR="006C327A" w:rsidRPr="00FF21C4" w:rsidRDefault="006C327A" w:rsidP="00EE50F8">
      <w:pPr>
        <w:pStyle w:val="Titulo1"/>
        <w:rPr>
          <w:rFonts w:cs="Times New Roman"/>
        </w:rPr>
      </w:pPr>
      <w:r w:rsidRPr="00FF21C4">
        <w:rPr>
          <w:rFonts w:cs="Times New Roman"/>
        </w:rPr>
        <w:t>CONVOCATORIA a la licitación pública para concesionar el uso, aprovechamiento y explotación comercial de 120 MHz de espectro radioeléctrico disponibles en la banda de frecuencias 2500-2690 MHz (Licitación No. IFT-7).</w:t>
      </w:r>
    </w:p>
    <w:p w:rsidR="006C327A" w:rsidRPr="00FF21C4" w:rsidRDefault="006C327A" w:rsidP="00EE50F8">
      <w:pPr>
        <w:pStyle w:val="Texto"/>
        <w:spacing w:after="240"/>
        <w:ind w:firstLine="0"/>
      </w:pPr>
      <w:r w:rsidRPr="00FF21C4">
        <w:t>Al margen un logotipo, que dice: Instituto Federal de Telecomunicaciones.</w:t>
      </w:r>
    </w:p>
    <w:p w:rsidR="006C327A" w:rsidRPr="00FF21C4" w:rsidRDefault="006C327A" w:rsidP="00FF21C4">
      <w:pPr>
        <w:pStyle w:val="Texto"/>
        <w:spacing w:after="240" w:line="274" w:lineRule="exact"/>
        <w:rPr>
          <w:sz w:val="16"/>
        </w:rPr>
      </w:pPr>
      <w:r w:rsidRPr="00FF21C4">
        <w:rPr>
          <w:sz w:val="16"/>
        </w:rPr>
        <w:t>CONVOCATORIA A LA LICITACIÓN PÚBLICA PARA CONCESIONAR EL USO, APROVECHAMIENTO Y EXPLOTACIÓN COMERCIAL DE 120 MHz DE ESPECTRO RADIOELÉCTRICO DISPONIBLES EN LA BANDA DE FRECUENCIAS 2500-2690 MHz (LICITACIÓN No. IFT-7).</w:t>
      </w:r>
    </w:p>
    <w:p w:rsidR="009D0F18" w:rsidRPr="00FF21C4" w:rsidRDefault="009D0F18" w:rsidP="00FF21C4">
      <w:pPr>
        <w:pStyle w:val="Texto"/>
        <w:spacing w:after="240" w:line="274" w:lineRule="exact"/>
        <w:rPr>
          <w:b/>
          <w:szCs w:val="18"/>
        </w:rPr>
      </w:pPr>
      <w:r w:rsidRPr="00FF21C4">
        <w:rPr>
          <w:b/>
          <w:szCs w:val="18"/>
        </w:rPr>
        <w:t>1.</w:t>
      </w:r>
      <w:r w:rsidRPr="00FF21C4">
        <w:rPr>
          <w:b/>
          <w:szCs w:val="18"/>
        </w:rPr>
        <w:tab/>
        <w:t>Objeto.</w:t>
      </w:r>
    </w:p>
    <w:p w:rsidR="009D0F18" w:rsidRPr="00FF21C4" w:rsidRDefault="009D0F18" w:rsidP="00FF21C4">
      <w:pPr>
        <w:pStyle w:val="Texto"/>
        <w:spacing w:after="240" w:line="274" w:lineRule="exact"/>
        <w:rPr>
          <w:szCs w:val="18"/>
        </w:rPr>
      </w:pPr>
      <w:r w:rsidRPr="00FF21C4">
        <w:rPr>
          <w:szCs w:val="18"/>
        </w:rPr>
        <w:t>El objeto de la presente Convocatoria es hacer del conocimiento del público en general la “Licitación pública para concesionar el uso, aprovechamiento y explotación comercial de 120 MHz de espectro radioeléctrico disponibles en la banda de frecuencias 2500-2690 MHz (Licitación No. IFT-7)”, para la prestación del servicio de acceso inalámbrico, a través del mecanismo que se establezca en las Bases de la Licitación No. IFT-7 y en los demás documentos que emanen de dicho proceso.</w:t>
      </w:r>
    </w:p>
    <w:p w:rsidR="009D0F18" w:rsidRPr="00FF21C4" w:rsidRDefault="009D0F18" w:rsidP="00FF21C4">
      <w:pPr>
        <w:pStyle w:val="Texto"/>
        <w:spacing w:after="240" w:line="274" w:lineRule="exact"/>
        <w:rPr>
          <w:b/>
          <w:szCs w:val="18"/>
        </w:rPr>
      </w:pPr>
      <w:r w:rsidRPr="00FF21C4">
        <w:rPr>
          <w:b/>
          <w:szCs w:val="18"/>
        </w:rPr>
        <w:t>2.</w:t>
      </w:r>
      <w:r w:rsidRPr="00FF21C4">
        <w:rPr>
          <w:b/>
          <w:szCs w:val="18"/>
        </w:rPr>
        <w:tab/>
        <w:t>Bloques a Licitar.</w:t>
      </w:r>
    </w:p>
    <w:p w:rsidR="009D0F18" w:rsidRPr="00FF21C4" w:rsidRDefault="009D0F18" w:rsidP="00FF21C4">
      <w:pPr>
        <w:pStyle w:val="Texto"/>
        <w:spacing w:after="240" w:line="274" w:lineRule="exact"/>
        <w:rPr>
          <w:szCs w:val="18"/>
        </w:rPr>
      </w:pPr>
      <w:r w:rsidRPr="00FF21C4">
        <w:rPr>
          <w:szCs w:val="18"/>
        </w:rPr>
        <w:t>Como se muestra en la Figura 1, existen 120 MHz de espectro que están disponibles en la Banda</w:t>
      </w:r>
      <w:r w:rsidR="003911F1" w:rsidRPr="00FF21C4">
        <w:rPr>
          <w:szCs w:val="18"/>
        </w:rPr>
        <w:t xml:space="preserve"> </w:t>
      </w:r>
      <w:r w:rsidRPr="00FF21C4">
        <w:rPr>
          <w:szCs w:val="18"/>
        </w:rPr>
        <w:t>de 2500 MHz, los cuales se pueden clasificar en dos Categorías:</w:t>
      </w:r>
    </w:p>
    <w:p w:rsidR="009D0F18" w:rsidRPr="00FF21C4" w:rsidRDefault="009D0F18" w:rsidP="00FF21C4">
      <w:pPr>
        <w:pStyle w:val="Texto"/>
        <w:numPr>
          <w:ilvl w:val="0"/>
          <w:numId w:val="4"/>
        </w:numPr>
        <w:spacing w:after="240" w:line="274" w:lineRule="exact"/>
        <w:ind w:left="720" w:hanging="432"/>
        <w:rPr>
          <w:szCs w:val="18"/>
        </w:rPr>
      </w:pPr>
      <w:r w:rsidRPr="00FF21C4">
        <w:rPr>
          <w:b/>
          <w:szCs w:val="18"/>
        </w:rPr>
        <w:t>Categoría FDD:</w:t>
      </w:r>
      <w:r w:rsidRPr="00FF21C4">
        <w:rPr>
          <w:szCs w:val="18"/>
        </w:rPr>
        <w:t xml:space="preserve"> Espectro pareado, entre 2530–2570 MHz y entre 2650–2690 MHz. Este espectro forma parte de la banda 7 del 3GPP.</w:t>
      </w:r>
    </w:p>
    <w:p w:rsidR="009D0F18" w:rsidRPr="00FF21C4" w:rsidRDefault="009D0F18" w:rsidP="00FF21C4">
      <w:pPr>
        <w:pStyle w:val="Texto"/>
        <w:numPr>
          <w:ilvl w:val="0"/>
          <w:numId w:val="4"/>
        </w:numPr>
        <w:spacing w:after="240" w:line="274" w:lineRule="exact"/>
        <w:ind w:left="720" w:hanging="432"/>
        <w:rPr>
          <w:szCs w:val="18"/>
        </w:rPr>
      </w:pPr>
      <w:r w:rsidRPr="00FF21C4">
        <w:rPr>
          <w:b/>
          <w:szCs w:val="18"/>
        </w:rPr>
        <w:t>Categoría TDD:</w:t>
      </w:r>
      <w:r w:rsidRPr="00FF21C4">
        <w:rPr>
          <w:szCs w:val="18"/>
        </w:rPr>
        <w:t xml:space="preserve"> Espectro no pareado, entre 2575–2615 MHz. Este espectro forma parte de la banda 38 del 3GPP.</w:t>
      </w:r>
    </w:p>
    <w:p w:rsidR="009D0F18" w:rsidRPr="00FF21C4" w:rsidRDefault="009D0F18" w:rsidP="00FF21C4">
      <w:pPr>
        <w:pStyle w:val="Texto"/>
        <w:spacing w:after="240"/>
        <w:ind w:firstLine="0"/>
        <w:jc w:val="center"/>
        <w:rPr>
          <w:b/>
          <w:noProof/>
          <w:szCs w:val="18"/>
        </w:rPr>
      </w:pPr>
      <w:bookmarkStart w:id="0" w:name="N_Ref480994604"/>
      <w:r w:rsidRPr="00FF21C4">
        <w:rPr>
          <w:b/>
          <w:szCs w:val="18"/>
        </w:rPr>
        <w:t xml:space="preserve">Figura </w:t>
      </w:r>
      <w:bookmarkEnd w:id="0"/>
      <w:r w:rsidRPr="00FF21C4">
        <w:rPr>
          <w:b/>
          <w:szCs w:val="18"/>
        </w:rPr>
        <w:t>1: Banda de 2500 MHz en México–espectro disponible.</w:t>
      </w:r>
    </w:p>
    <w:p w:rsidR="00FF21C4" w:rsidRPr="00FF21C4" w:rsidRDefault="00FF21C4" w:rsidP="00FF21C4">
      <w:pPr>
        <w:pStyle w:val="Texto"/>
        <w:spacing w:after="240" w:line="240" w:lineRule="auto"/>
        <w:ind w:firstLine="0"/>
        <w:jc w:val="center"/>
        <w:rPr>
          <w:b/>
          <w:szCs w:val="18"/>
        </w:rPr>
      </w:pPr>
      <w:r w:rsidRPr="00FF21C4">
        <w:rPr>
          <w:b/>
          <w:noProof/>
          <w:szCs w:val="18"/>
          <w:lang w:val="es-MX" w:eastAsia="es-MX"/>
        </w:rPr>
        <w:drawing>
          <wp:inline distT="0" distB="0" distL="0" distR="0">
            <wp:extent cx="5617845" cy="1587500"/>
            <wp:effectExtent l="0" t="0" r="1905" b="0"/>
            <wp:docPr id="1" name="Imagen 1" descr="Banda 2500 MHz en México-espectro disponible." title="Fig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18" w:rsidRPr="00FF21C4" w:rsidRDefault="009D0F18" w:rsidP="00FF21C4">
      <w:pPr>
        <w:pStyle w:val="Texto"/>
        <w:spacing w:after="240"/>
        <w:rPr>
          <w:szCs w:val="18"/>
        </w:rPr>
      </w:pPr>
      <w:r w:rsidRPr="00FF21C4">
        <w:rPr>
          <w:szCs w:val="18"/>
        </w:rPr>
        <w:t>Los segmentos de espectro 2570-2575 MHz y 2615-2620 MHz componen la Banda de Guarda, por lo que no son objeto de la Licitación No. IFT-7, para asegurar la adecuada separación de frecuencias entre el uso de alta potencia de la tecnología Dúplex por División de Frecuencia (FDD) en los Bloques Categoría FDD y Dúplex por División de Tiempo (TDD) en los Bloques Categoría TDD.</w:t>
      </w:r>
    </w:p>
    <w:p w:rsidR="009D0F18" w:rsidRPr="00FF21C4" w:rsidRDefault="009D0F18" w:rsidP="00FF21C4">
      <w:pPr>
        <w:pStyle w:val="Texto"/>
        <w:spacing w:after="240"/>
        <w:rPr>
          <w:b/>
          <w:szCs w:val="18"/>
        </w:rPr>
      </w:pPr>
      <w:r w:rsidRPr="00FF21C4">
        <w:rPr>
          <w:b/>
          <w:szCs w:val="18"/>
        </w:rPr>
        <w:t>2.1</w:t>
      </w:r>
      <w:r w:rsidRPr="00FF21C4">
        <w:rPr>
          <w:b/>
          <w:szCs w:val="18"/>
        </w:rPr>
        <w:tab/>
      </w:r>
      <w:r w:rsidR="00245A64" w:rsidRPr="00FF21C4">
        <w:rPr>
          <w:b/>
          <w:szCs w:val="18"/>
        </w:rPr>
        <w:t xml:space="preserve"> </w:t>
      </w:r>
      <w:r w:rsidRPr="00FF21C4">
        <w:rPr>
          <w:b/>
          <w:szCs w:val="18"/>
        </w:rPr>
        <w:t>Bloques.</w:t>
      </w:r>
    </w:p>
    <w:p w:rsidR="009D0F18" w:rsidRPr="00FF21C4" w:rsidRDefault="009D0F18" w:rsidP="00FF21C4">
      <w:pPr>
        <w:pStyle w:val="Texto"/>
        <w:spacing w:after="240"/>
        <w:rPr>
          <w:szCs w:val="18"/>
        </w:rPr>
      </w:pPr>
      <w:r w:rsidRPr="00FF21C4">
        <w:rPr>
          <w:szCs w:val="18"/>
        </w:rPr>
        <w:t>Como se muestra en la Figura 2, conforme a la clasificación de los Bloques en esta Licitación existen:</w:t>
      </w:r>
    </w:p>
    <w:p w:rsidR="009D0F18" w:rsidRPr="00FF21C4" w:rsidRDefault="009D0F18" w:rsidP="00FF21C4">
      <w:pPr>
        <w:pStyle w:val="Texto"/>
        <w:numPr>
          <w:ilvl w:val="0"/>
          <w:numId w:val="6"/>
        </w:numPr>
        <w:spacing w:after="240"/>
        <w:ind w:left="720" w:hanging="432"/>
        <w:rPr>
          <w:szCs w:val="18"/>
        </w:rPr>
      </w:pPr>
      <w:r w:rsidRPr="00FF21C4">
        <w:rPr>
          <w:szCs w:val="18"/>
        </w:rPr>
        <w:t>4 (cuatro) Bloques Categoría FDD (F1, F2, F3 y F4), y</w:t>
      </w:r>
    </w:p>
    <w:p w:rsidR="009D0F18" w:rsidRPr="00FF21C4" w:rsidRDefault="009D0F18" w:rsidP="00FF21C4">
      <w:pPr>
        <w:pStyle w:val="Texto"/>
        <w:numPr>
          <w:ilvl w:val="0"/>
          <w:numId w:val="6"/>
        </w:numPr>
        <w:spacing w:after="240"/>
        <w:ind w:left="720" w:hanging="432"/>
        <w:rPr>
          <w:szCs w:val="18"/>
        </w:rPr>
      </w:pPr>
      <w:r w:rsidRPr="00FF21C4">
        <w:rPr>
          <w:szCs w:val="18"/>
        </w:rPr>
        <w:lastRenderedPageBreak/>
        <w:t>2 (dos) Bloques Categoría TDD (T1 y T2).</w:t>
      </w:r>
    </w:p>
    <w:p w:rsidR="009D0F18" w:rsidRPr="00FF21C4" w:rsidRDefault="009D0F18" w:rsidP="00FF21C4">
      <w:pPr>
        <w:pStyle w:val="Texto"/>
        <w:spacing w:after="240"/>
        <w:ind w:firstLine="0"/>
        <w:jc w:val="center"/>
        <w:rPr>
          <w:noProof/>
        </w:rPr>
      </w:pPr>
      <w:bookmarkStart w:id="1" w:name="N_Ref480997117"/>
      <w:r w:rsidRPr="00FF21C4">
        <w:rPr>
          <w:b/>
          <w:szCs w:val="18"/>
        </w:rPr>
        <w:t xml:space="preserve">Figura </w:t>
      </w:r>
      <w:bookmarkEnd w:id="1"/>
      <w:r w:rsidRPr="00FF21C4">
        <w:rPr>
          <w:b/>
          <w:szCs w:val="18"/>
        </w:rPr>
        <w:t>2: Bloques disponibles en la Licitación.</w:t>
      </w:r>
    </w:p>
    <w:p w:rsidR="00FF21C4" w:rsidRPr="00FF21C4" w:rsidRDefault="00FF21C4" w:rsidP="00FF21C4">
      <w:pPr>
        <w:pStyle w:val="Texto"/>
        <w:spacing w:after="240" w:line="240" w:lineRule="auto"/>
        <w:ind w:firstLine="0"/>
        <w:jc w:val="center"/>
        <w:rPr>
          <w:noProof/>
        </w:rPr>
      </w:pPr>
      <w:r w:rsidRPr="00FF21C4">
        <w:rPr>
          <w:noProof/>
          <w:lang w:val="es-MX" w:eastAsia="es-MX"/>
        </w:rPr>
        <w:drawing>
          <wp:inline distT="0" distB="0" distL="0" distR="0">
            <wp:extent cx="5610860" cy="1207135"/>
            <wp:effectExtent l="0" t="0" r="8890" b="0"/>
            <wp:docPr id="2" name="Imagen 2" descr="Bloques disponibles en la Licitación." title="Figur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18" w:rsidRPr="00FF21C4" w:rsidRDefault="009D0F18" w:rsidP="00FF21C4">
      <w:pPr>
        <w:pStyle w:val="Texto"/>
        <w:spacing w:after="240"/>
        <w:rPr>
          <w:szCs w:val="18"/>
        </w:rPr>
      </w:pPr>
      <w:r w:rsidRPr="00FF21C4">
        <w:rPr>
          <w:szCs w:val="18"/>
        </w:rPr>
        <w:t>Como se describe más adelante, el Procedimiento de Presentación de Ofertas se desarrollará en dos etapas: una Etapa de Adjudicación y una Etapa de Asignación.</w:t>
      </w:r>
    </w:p>
    <w:p w:rsidR="009D0F18" w:rsidRPr="00FF21C4" w:rsidRDefault="009D0F18" w:rsidP="00FF21C4">
      <w:pPr>
        <w:pStyle w:val="Texto"/>
        <w:spacing w:after="240"/>
        <w:rPr>
          <w:szCs w:val="18"/>
        </w:rPr>
      </w:pPr>
      <w:r w:rsidRPr="00FF21C4">
        <w:rPr>
          <w:szCs w:val="18"/>
        </w:rPr>
        <w:t>En la Etapa de Adjudicación, todos los Bloques se adjudicarán sin una frecuencia específica, la cual se determinará en la Etapa de Asignación, con la garantía de que a todos los Participantes que obtengan Bloques se les asignarán frecuencias contiguas dentro de cada Categoría.</w:t>
      </w:r>
    </w:p>
    <w:p w:rsidR="009D0F18" w:rsidRPr="00FF21C4" w:rsidRDefault="009D0F18" w:rsidP="00FF21C4">
      <w:pPr>
        <w:pStyle w:val="Texto"/>
        <w:spacing w:after="240"/>
        <w:rPr>
          <w:szCs w:val="18"/>
        </w:rPr>
      </w:pPr>
      <w:r w:rsidRPr="00FF21C4">
        <w:rPr>
          <w:szCs w:val="18"/>
        </w:rPr>
        <w:t>En la Tabla 1 se presenta un resumen de la información de los Bloques conforme a su Categoría. Cada Bloque tiene la misma cantidad de espectro (20 MHz), y tendrá la misma ponderación de puntos de elegibilidad para determinar la actividad en el Procedimiento de Presentación de Ofertas.</w:t>
      </w:r>
    </w:p>
    <w:p w:rsidR="009D0F18" w:rsidRPr="00FF21C4" w:rsidRDefault="009D0F18" w:rsidP="00FF21C4">
      <w:pPr>
        <w:pStyle w:val="Texto"/>
        <w:spacing w:after="240"/>
        <w:ind w:firstLine="0"/>
        <w:jc w:val="center"/>
        <w:rPr>
          <w:b/>
          <w:szCs w:val="18"/>
        </w:rPr>
      </w:pPr>
      <w:bookmarkStart w:id="2" w:name="N_Ref480997792"/>
      <w:r w:rsidRPr="00FF21C4">
        <w:rPr>
          <w:b/>
          <w:szCs w:val="18"/>
        </w:rPr>
        <w:t>Tabla 1</w:t>
      </w:r>
      <w:bookmarkEnd w:id="2"/>
      <w:r w:rsidRPr="00FF21C4">
        <w:rPr>
          <w:b/>
          <w:szCs w:val="18"/>
        </w:rPr>
        <w:t>: Bloques disponibles por Categoría.</w:t>
      </w:r>
    </w:p>
    <w:tbl>
      <w:tblPr>
        <w:tblStyle w:val="Cuadrculadetablaclara"/>
        <w:tblW w:w="8712" w:type="dxa"/>
        <w:jc w:val="center"/>
        <w:tblLayout w:type="fixed"/>
        <w:tblLook w:val="0000" w:firstRow="0" w:lastRow="0" w:firstColumn="0" w:lastColumn="0" w:noHBand="0" w:noVBand="0"/>
        <w:tblCaption w:val="Tabla 1"/>
        <w:tblDescription w:val="Bloques disponibles por Categoria."/>
      </w:tblPr>
      <w:tblGrid>
        <w:gridCol w:w="1747"/>
        <w:gridCol w:w="1893"/>
        <w:gridCol w:w="1819"/>
        <w:gridCol w:w="1348"/>
        <w:gridCol w:w="1905"/>
      </w:tblGrid>
      <w:tr w:rsidR="00FF21C4" w:rsidRPr="00FF21C4" w:rsidTr="000A086A">
        <w:trPr>
          <w:trHeight w:val="20"/>
          <w:tblHeader/>
          <w:jc w:val="center"/>
        </w:trPr>
        <w:tc>
          <w:tcPr>
            <w:tcW w:w="1818" w:type="dxa"/>
            <w:noWrap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b/>
                <w:sz w:val="16"/>
                <w:szCs w:val="18"/>
              </w:rPr>
            </w:pPr>
            <w:bookmarkStart w:id="3" w:name="_GoBack"/>
            <w:r w:rsidRPr="00FF21C4">
              <w:rPr>
                <w:b/>
                <w:sz w:val="16"/>
                <w:szCs w:val="18"/>
              </w:rPr>
              <w:t>Categoría</w:t>
            </w:r>
          </w:p>
        </w:tc>
        <w:tc>
          <w:tcPr>
            <w:tcW w:w="1971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b/>
                <w:sz w:val="16"/>
                <w:szCs w:val="18"/>
              </w:rPr>
            </w:pPr>
            <w:r w:rsidRPr="00FF21C4">
              <w:rPr>
                <w:b/>
                <w:sz w:val="16"/>
                <w:szCs w:val="18"/>
              </w:rPr>
              <w:t>Tipo de espectro</w:t>
            </w:r>
          </w:p>
        </w:tc>
        <w:tc>
          <w:tcPr>
            <w:tcW w:w="1894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b/>
                <w:sz w:val="16"/>
                <w:szCs w:val="18"/>
              </w:rPr>
            </w:pPr>
            <w:r w:rsidRPr="00FF21C4">
              <w:rPr>
                <w:b/>
                <w:sz w:val="16"/>
                <w:szCs w:val="18"/>
              </w:rPr>
              <w:t>Número de bloques</w:t>
            </w:r>
          </w:p>
        </w:tc>
        <w:tc>
          <w:tcPr>
            <w:tcW w:w="1400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b/>
                <w:sz w:val="16"/>
                <w:szCs w:val="18"/>
              </w:rPr>
            </w:pPr>
            <w:r w:rsidRPr="00FF21C4">
              <w:rPr>
                <w:b/>
                <w:sz w:val="16"/>
                <w:szCs w:val="18"/>
              </w:rPr>
              <w:t>Tamaño de bloques</w:t>
            </w:r>
          </w:p>
        </w:tc>
        <w:tc>
          <w:tcPr>
            <w:tcW w:w="1984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b/>
                <w:sz w:val="16"/>
                <w:szCs w:val="18"/>
              </w:rPr>
            </w:pPr>
            <w:r w:rsidRPr="00FF21C4">
              <w:rPr>
                <w:b/>
                <w:sz w:val="16"/>
                <w:szCs w:val="18"/>
              </w:rPr>
              <w:t>Puntos de Elegibilidad por Bloque</w:t>
            </w:r>
          </w:p>
        </w:tc>
      </w:tr>
      <w:tr w:rsidR="00FF21C4" w:rsidRPr="00FF21C4" w:rsidTr="000A086A">
        <w:trPr>
          <w:trHeight w:val="20"/>
          <w:jc w:val="center"/>
        </w:trPr>
        <w:tc>
          <w:tcPr>
            <w:tcW w:w="1818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b/>
                <w:sz w:val="16"/>
                <w:szCs w:val="18"/>
              </w:rPr>
            </w:pPr>
            <w:r w:rsidRPr="00FF21C4">
              <w:rPr>
                <w:b/>
                <w:sz w:val="16"/>
                <w:szCs w:val="18"/>
              </w:rPr>
              <w:t>FDD</w:t>
            </w:r>
          </w:p>
        </w:tc>
        <w:tc>
          <w:tcPr>
            <w:tcW w:w="1971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sz w:val="16"/>
                <w:szCs w:val="18"/>
              </w:rPr>
            </w:pPr>
            <w:r w:rsidRPr="00FF21C4">
              <w:rPr>
                <w:sz w:val="16"/>
                <w:szCs w:val="18"/>
              </w:rPr>
              <w:t>Pareado</w:t>
            </w:r>
          </w:p>
        </w:tc>
        <w:tc>
          <w:tcPr>
            <w:tcW w:w="1894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sz w:val="16"/>
                <w:szCs w:val="18"/>
              </w:rPr>
            </w:pPr>
            <w:r w:rsidRPr="00FF21C4">
              <w:rPr>
                <w:sz w:val="16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sz w:val="16"/>
                <w:szCs w:val="18"/>
              </w:rPr>
            </w:pPr>
            <w:r w:rsidRPr="00FF21C4">
              <w:rPr>
                <w:sz w:val="16"/>
                <w:szCs w:val="18"/>
              </w:rPr>
              <w:t>10 +10 MHz</w:t>
            </w:r>
          </w:p>
        </w:tc>
        <w:tc>
          <w:tcPr>
            <w:tcW w:w="1984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sz w:val="16"/>
                <w:szCs w:val="18"/>
              </w:rPr>
            </w:pPr>
            <w:r w:rsidRPr="00FF21C4">
              <w:rPr>
                <w:sz w:val="16"/>
                <w:szCs w:val="18"/>
              </w:rPr>
              <w:t>1</w:t>
            </w:r>
          </w:p>
        </w:tc>
      </w:tr>
      <w:tr w:rsidR="00FF21C4" w:rsidRPr="00FF21C4" w:rsidTr="000A086A">
        <w:trPr>
          <w:trHeight w:val="20"/>
          <w:jc w:val="center"/>
        </w:trPr>
        <w:tc>
          <w:tcPr>
            <w:tcW w:w="1818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b/>
                <w:sz w:val="16"/>
                <w:szCs w:val="18"/>
              </w:rPr>
            </w:pPr>
            <w:r w:rsidRPr="00FF21C4">
              <w:rPr>
                <w:b/>
                <w:sz w:val="16"/>
                <w:szCs w:val="18"/>
              </w:rPr>
              <w:t>TDD</w:t>
            </w:r>
          </w:p>
        </w:tc>
        <w:tc>
          <w:tcPr>
            <w:tcW w:w="1971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sz w:val="16"/>
                <w:szCs w:val="18"/>
              </w:rPr>
            </w:pPr>
            <w:r w:rsidRPr="00FF21C4">
              <w:rPr>
                <w:sz w:val="16"/>
                <w:szCs w:val="18"/>
              </w:rPr>
              <w:t>No pareado</w:t>
            </w:r>
          </w:p>
        </w:tc>
        <w:tc>
          <w:tcPr>
            <w:tcW w:w="1894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sz w:val="16"/>
                <w:szCs w:val="18"/>
              </w:rPr>
            </w:pPr>
            <w:r w:rsidRPr="00FF21C4">
              <w:rPr>
                <w:sz w:val="16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sz w:val="16"/>
                <w:szCs w:val="18"/>
              </w:rPr>
            </w:pPr>
            <w:r w:rsidRPr="00FF21C4">
              <w:rPr>
                <w:sz w:val="16"/>
                <w:szCs w:val="18"/>
              </w:rPr>
              <w:t>20</w:t>
            </w:r>
            <w:r w:rsidRPr="00FF21C4">
              <w:rPr>
                <w:sz w:val="16"/>
                <w:szCs w:val="18"/>
              </w:rPr>
              <w:tab/>
              <w:t>MHz</w:t>
            </w:r>
          </w:p>
        </w:tc>
        <w:tc>
          <w:tcPr>
            <w:tcW w:w="1984" w:type="dxa"/>
            <w:vAlign w:val="center"/>
          </w:tcPr>
          <w:p w:rsidR="009D0F18" w:rsidRPr="00FF21C4" w:rsidRDefault="009D0F18" w:rsidP="00FF21C4">
            <w:pPr>
              <w:pStyle w:val="Texto"/>
              <w:spacing w:after="240"/>
              <w:ind w:firstLine="0"/>
              <w:jc w:val="center"/>
              <w:rPr>
                <w:sz w:val="16"/>
                <w:szCs w:val="18"/>
              </w:rPr>
            </w:pPr>
            <w:r w:rsidRPr="00FF21C4">
              <w:rPr>
                <w:sz w:val="16"/>
                <w:szCs w:val="18"/>
              </w:rPr>
              <w:t>1</w:t>
            </w:r>
          </w:p>
        </w:tc>
      </w:tr>
    </w:tbl>
    <w:bookmarkEnd w:id="3"/>
    <w:p w:rsidR="009D0F18" w:rsidRPr="00FF21C4" w:rsidRDefault="009D0F18" w:rsidP="00200D8C">
      <w:pPr>
        <w:pStyle w:val="Texto"/>
        <w:spacing w:before="240" w:after="240"/>
        <w:rPr>
          <w:b/>
          <w:szCs w:val="18"/>
        </w:rPr>
      </w:pPr>
      <w:r w:rsidRPr="00FF21C4">
        <w:rPr>
          <w:b/>
          <w:szCs w:val="18"/>
        </w:rPr>
        <w:t>3. Elementos de Evaluación.</w:t>
      </w:r>
    </w:p>
    <w:p w:rsidR="009D0F18" w:rsidRPr="00FF21C4" w:rsidRDefault="009D0F18" w:rsidP="00FF21C4">
      <w:pPr>
        <w:pStyle w:val="Texto"/>
        <w:spacing w:after="240" w:line="206" w:lineRule="exact"/>
        <w:rPr>
          <w:szCs w:val="18"/>
        </w:rPr>
      </w:pPr>
      <w:r w:rsidRPr="00FF21C4">
        <w:rPr>
          <w:szCs w:val="18"/>
        </w:rPr>
        <w:t>Para la determinación de los Interesados que podrán adquirir el carácter de Participantes en la Licitación, el Instituto revisará el cumplimiento de las capacidades administrativa, técnica, jurídica y económica de los Interesados, con la información y documentación correspondientes a los requisitos establecidos en el Apéndice A y sus Anexos, y en el Apéndice E de las Bases de la Licitación No. IFT-7, los cuales serán considerados en el Dictamen Técnico-Jurídico y en el Dictamen de Competencia Económica, que en su caso se emitan.</w:t>
      </w:r>
    </w:p>
    <w:p w:rsidR="009D0F18" w:rsidRPr="00FF21C4" w:rsidRDefault="009D0F18" w:rsidP="00FF21C4">
      <w:pPr>
        <w:pStyle w:val="Texto"/>
        <w:spacing w:after="240"/>
        <w:rPr>
          <w:b/>
          <w:szCs w:val="18"/>
        </w:rPr>
      </w:pPr>
      <w:r w:rsidRPr="00FF21C4">
        <w:rPr>
          <w:b/>
          <w:szCs w:val="18"/>
        </w:rPr>
        <w:t>4.</w:t>
      </w:r>
      <w:r w:rsidRPr="00FF21C4">
        <w:rPr>
          <w:b/>
          <w:szCs w:val="18"/>
        </w:rPr>
        <w:tab/>
        <w:t>Análisis en materia de Competencia Económica.</w:t>
      </w:r>
    </w:p>
    <w:p w:rsidR="009D0F18" w:rsidRPr="00FF21C4" w:rsidRDefault="009D0F18" w:rsidP="00FF21C4">
      <w:pPr>
        <w:pStyle w:val="Texto"/>
        <w:spacing w:after="240"/>
        <w:rPr>
          <w:szCs w:val="18"/>
        </w:rPr>
      </w:pPr>
      <w:r w:rsidRPr="00FF21C4">
        <w:rPr>
          <w:szCs w:val="18"/>
        </w:rPr>
        <w:t>En la determinación del Instituto para otorgar a los Interesados la calidad de Participantes, éste requerirá identificar si el Agente Económico Interesado, bajo su dimensión de Grupo de Interés Económico y considerando a los Agentes Económicos con los que tiene vínculos de tipo comercial, organizativo, económico o jurídico, cumple con los criterios que se establecen en las Bases de la Licitación No. IFT-7 para prevenir fenómenos de concentración contrarios al interés público. Para estos efectos, las Bases de la Licitación</w:t>
      </w:r>
      <w:r w:rsidR="003911F1" w:rsidRPr="00FF21C4">
        <w:rPr>
          <w:szCs w:val="18"/>
        </w:rPr>
        <w:t xml:space="preserve"> </w:t>
      </w:r>
      <w:r w:rsidRPr="00FF21C4">
        <w:rPr>
          <w:szCs w:val="18"/>
        </w:rPr>
        <w:t>No. IFT-7 contienen el Formulario de Competencia (Apéndice E), el cual precisa la información y documentación que deberán aportar los Interesados con el objeto de que el Instituto lleve a cabo la evaluación en materia de competencia económica, a efecto de tener elementos para determinar la procedencia del otorgamiento de la calidad de Participante.</w:t>
      </w:r>
    </w:p>
    <w:p w:rsidR="009D0F18" w:rsidRPr="00FF21C4" w:rsidRDefault="009D0F18" w:rsidP="00FF21C4">
      <w:pPr>
        <w:pStyle w:val="Texto"/>
        <w:spacing w:after="240"/>
        <w:rPr>
          <w:szCs w:val="18"/>
        </w:rPr>
      </w:pPr>
      <w:r w:rsidRPr="00FF21C4">
        <w:rPr>
          <w:szCs w:val="18"/>
        </w:rPr>
        <w:t xml:space="preserve">La Unidad de Competencia Económica elaborará el Dictamen de Competencia Económica tomando en cuenta la información y documentación aportada por el Interesado. En él se identificará la tenencia espectral del Interesado, evaluado bajo su dimensión de Grupo de Interés Económico y considerando a los Agentes Económicos con los que tiene vínculos de tipo comercial, organizativo, económico o jurídico. Con base en ese dictamen, así como en el Dictamen Técnico-Jurídico, el Pleno del Instituto resolverá sobre el otorgamiento de </w:t>
      </w:r>
      <w:r w:rsidRPr="00FF21C4">
        <w:rPr>
          <w:szCs w:val="18"/>
        </w:rPr>
        <w:lastRenderedPageBreak/>
        <w:t>la calidad de Participante de los Interesados. En el acuerdo que en su caso emita el Pleno, a través del cual se otorgue la calidad de Participante, el Instituto determinará, considerando el espectro que los Interesados, directa o indirectamente, tienen concesionado actualmente, la cantidad de espectro por la que pueden participar sin superar el Límite de Acumulación de Espectro establecido en el numeral 2.2 del Apéndice B de las Bases de la Licitación No. IFT-7.</w:t>
      </w:r>
    </w:p>
    <w:p w:rsidR="009D0F18" w:rsidRPr="00FF21C4" w:rsidRDefault="009D0F18" w:rsidP="00FF21C4">
      <w:pPr>
        <w:pStyle w:val="Texto"/>
        <w:spacing w:after="240"/>
        <w:rPr>
          <w:b/>
          <w:szCs w:val="18"/>
        </w:rPr>
      </w:pPr>
      <w:r w:rsidRPr="00FF21C4">
        <w:rPr>
          <w:b/>
          <w:szCs w:val="18"/>
        </w:rPr>
        <w:t>5.</w:t>
      </w:r>
      <w:r w:rsidRPr="00FF21C4">
        <w:rPr>
          <w:b/>
          <w:szCs w:val="18"/>
        </w:rPr>
        <w:tab/>
        <w:t>Publicación de las Bases de Licitación.</w:t>
      </w:r>
    </w:p>
    <w:p w:rsidR="009D0F18" w:rsidRPr="00FF21C4" w:rsidRDefault="009D0F18" w:rsidP="00FF21C4">
      <w:pPr>
        <w:pStyle w:val="Texto"/>
        <w:spacing w:after="240"/>
        <w:ind w:left="1152" w:hanging="432"/>
        <w:rPr>
          <w:szCs w:val="18"/>
        </w:rPr>
      </w:pPr>
      <w:r w:rsidRPr="00FF21C4">
        <w:rPr>
          <w:b/>
          <w:szCs w:val="18"/>
        </w:rPr>
        <w:t xml:space="preserve">5.1. </w:t>
      </w:r>
      <w:r w:rsidR="00245A64" w:rsidRPr="00FF21C4">
        <w:rPr>
          <w:b/>
          <w:szCs w:val="18"/>
        </w:rPr>
        <w:tab/>
      </w:r>
      <w:r w:rsidRPr="00FF21C4">
        <w:rPr>
          <w:szCs w:val="18"/>
        </w:rPr>
        <w:t>Las Bases de la Licitación No. IFT-7, sus Apéndices y Anexos podrán ser adquiridas mediante descarga gratuita en el portal de Internet del Instituto (www.ift.org.mx) a más tardar el día de la publicación de la presente Convocatoria en el Diario Oficial de la Federación.</w:t>
      </w:r>
    </w:p>
    <w:p w:rsidR="009D0F18" w:rsidRPr="00FF21C4" w:rsidRDefault="009D0F18" w:rsidP="00FF21C4">
      <w:pPr>
        <w:pStyle w:val="Texto"/>
        <w:spacing w:after="240"/>
        <w:rPr>
          <w:b/>
          <w:szCs w:val="18"/>
        </w:rPr>
      </w:pPr>
      <w:r w:rsidRPr="00FF21C4">
        <w:rPr>
          <w:b/>
          <w:szCs w:val="18"/>
        </w:rPr>
        <w:t>6.</w:t>
      </w:r>
      <w:r w:rsidRPr="00FF21C4">
        <w:rPr>
          <w:b/>
          <w:szCs w:val="18"/>
        </w:rPr>
        <w:tab/>
        <w:t>Aspectos Generales.</w:t>
      </w:r>
    </w:p>
    <w:p w:rsidR="009D0F18" w:rsidRPr="00FF21C4" w:rsidRDefault="009D0F18" w:rsidP="00FF21C4">
      <w:pPr>
        <w:pStyle w:val="Texto"/>
        <w:spacing w:after="240"/>
        <w:ind w:left="1152" w:hanging="432"/>
        <w:rPr>
          <w:szCs w:val="18"/>
        </w:rPr>
      </w:pPr>
      <w:r w:rsidRPr="00FF21C4">
        <w:rPr>
          <w:b/>
          <w:szCs w:val="18"/>
        </w:rPr>
        <w:t>6.1.</w:t>
      </w:r>
      <w:r w:rsidRPr="00FF21C4">
        <w:rPr>
          <w:b/>
          <w:szCs w:val="18"/>
        </w:rPr>
        <w:tab/>
      </w:r>
      <w:r w:rsidRPr="00FF21C4">
        <w:rPr>
          <w:szCs w:val="18"/>
        </w:rPr>
        <w:t>La participación en la Licitación No. IFT-7, así como, en su caso, la prestación del servicio público a que hace referencia la presente Convocatoria, estará en todo momento sujeta a la Constitución Política de los Estados Unidos Mexicanos, los tratados internacionales suscritos por el Estado Mexicano, las leyes, reglamentos, disposiciones de carácter general y toda aquella normatividad que resulte aplicable, a las Bases de la Licitación No. IFT-7, sus Apéndices y Anexos y a los términos y condiciones de los títulos de Concesión respectivos.</w:t>
      </w:r>
    </w:p>
    <w:p w:rsidR="009D0F18" w:rsidRPr="00FF21C4" w:rsidRDefault="009D0F18" w:rsidP="00FF21C4">
      <w:pPr>
        <w:pStyle w:val="Texto"/>
        <w:spacing w:after="240"/>
        <w:ind w:left="1152" w:hanging="432"/>
        <w:rPr>
          <w:szCs w:val="18"/>
        </w:rPr>
      </w:pPr>
      <w:r w:rsidRPr="00FF21C4">
        <w:rPr>
          <w:b/>
          <w:szCs w:val="18"/>
        </w:rPr>
        <w:t>6.2.</w:t>
      </w:r>
      <w:r w:rsidRPr="00FF21C4">
        <w:rPr>
          <w:b/>
          <w:szCs w:val="18"/>
        </w:rPr>
        <w:tab/>
      </w:r>
      <w:r w:rsidRPr="00FF21C4">
        <w:rPr>
          <w:szCs w:val="18"/>
        </w:rPr>
        <w:t>Toda la información que se obtenga o genere derivado de la licitación objeto de la presente Convocatoria será tratada en términos de lo establecido en la Ley General de Transparencia y Acceso a la Información Pública, la Ley Federal de Transparencia y Acceso a la Información Pública, la Ley General de Datos Personales en Posesión de Sujetos Obligados, las Bases de la Licitación No. IFT-7, sus Apéndices y Anexos y demás disposiciones aplicables.</w:t>
      </w:r>
    </w:p>
    <w:p w:rsidR="009D0F18" w:rsidRPr="00FF21C4" w:rsidRDefault="009D0F18" w:rsidP="00FF21C4">
      <w:pPr>
        <w:pStyle w:val="Texto"/>
        <w:spacing w:after="240"/>
        <w:ind w:left="1152" w:hanging="432"/>
        <w:rPr>
          <w:szCs w:val="18"/>
        </w:rPr>
      </w:pPr>
      <w:r w:rsidRPr="00FF21C4">
        <w:rPr>
          <w:b/>
          <w:szCs w:val="18"/>
        </w:rPr>
        <w:t>6.3.</w:t>
      </w:r>
      <w:r w:rsidRPr="00FF21C4">
        <w:rPr>
          <w:b/>
          <w:szCs w:val="18"/>
        </w:rPr>
        <w:tab/>
      </w:r>
      <w:r w:rsidRPr="00FF21C4">
        <w:rPr>
          <w:szCs w:val="18"/>
        </w:rPr>
        <w:t>El domicilio del Instituto se encuentra ubicado en Insurgentes Sur 1143, colonia Nochebuena, delegación Benito Juárez, C.P. 03720, Ciudad de México.</w:t>
      </w:r>
    </w:p>
    <w:p w:rsidR="009D0F18" w:rsidRPr="00FF21C4" w:rsidRDefault="009D0F18" w:rsidP="00FF21C4">
      <w:pPr>
        <w:pStyle w:val="Texto"/>
        <w:spacing w:after="240"/>
        <w:ind w:left="1152" w:hanging="432"/>
        <w:rPr>
          <w:szCs w:val="18"/>
        </w:rPr>
      </w:pPr>
      <w:r w:rsidRPr="00FF21C4">
        <w:rPr>
          <w:b/>
          <w:szCs w:val="18"/>
        </w:rPr>
        <w:t>6.4.</w:t>
      </w:r>
      <w:r w:rsidRPr="00FF21C4">
        <w:rPr>
          <w:b/>
          <w:szCs w:val="18"/>
        </w:rPr>
        <w:tab/>
      </w:r>
      <w:r w:rsidRPr="00FF21C4">
        <w:rPr>
          <w:szCs w:val="18"/>
        </w:rPr>
        <w:t>Todos y cada uno de los términos y definiciones a que se refieren las Bases de la Licitación</w:t>
      </w:r>
      <w:r w:rsidR="003911F1" w:rsidRPr="00FF21C4">
        <w:rPr>
          <w:szCs w:val="18"/>
        </w:rPr>
        <w:t xml:space="preserve"> </w:t>
      </w:r>
      <w:r w:rsidRPr="00FF21C4">
        <w:rPr>
          <w:szCs w:val="18"/>
        </w:rPr>
        <w:t>No. IFT-7 son aplicables a la presente Convocatoria.</w:t>
      </w:r>
    </w:p>
    <w:p w:rsidR="009D0F18" w:rsidRPr="00FF21C4" w:rsidRDefault="00245A64" w:rsidP="00FF21C4">
      <w:pPr>
        <w:pStyle w:val="Texto"/>
        <w:spacing w:after="240"/>
      </w:pPr>
      <w:r w:rsidRPr="00FF21C4">
        <w:t xml:space="preserve">El Comisionado Presidente, </w:t>
      </w:r>
      <w:r w:rsidRPr="00FF21C4">
        <w:rPr>
          <w:b/>
        </w:rPr>
        <w:t xml:space="preserve">Gabriel Oswaldo Contreras </w:t>
      </w:r>
      <w:proofErr w:type="gramStart"/>
      <w:r w:rsidRPr="00FF21C4">
        <w:rPr>
          <w:b/>
        </w:rPr>
        <w:t>Saldívar</w:t>
      </w:r>
      <w:r w:rsidRPr="00FF21C4">
        <w:t>.-</w:t>
      </w:r>
      <w:proofErr w:type="gramEnd"/>
      <w:r w:rsidRPr="00FF21C4">
        <w:t xml:space="preserve"> </w:t>
      </w:r>
      <w:r w:rsidR="00CC468B" w:rsidRPr="00FF21C4">
        <w:t xml:space="preserve">Rúbrica.- </w:t>
      </w:r>
      <w:r w:rsidRPr="00FF21C4">
        <w:t xml:space="preserve">La Comisionada, </w:t>
      </w:r>
      <w:r w:rsidRPr="00FF21C4">
        <w:rPr>
          <w:b/>
        </w:rPr>
        <w:t xml:space="preserve">Adriana Sofía Labardini </w:t>
      </w:r>
      <w:proofErr w:type="spellStart"/>
      <w:r w:rsidRPr="00FF21C4">
        <w:rPr>
          <w:b/>
        </w:rPr>
        <w:t>Inzunza</w:t>
      </w:r>
      <w:proofErr w:type="spellEnd"/>
      <w:r w:rsidR="00591139" w:rsidRPr="00FF21C4">
        <w:t xml:space="preserve">.- Rúbrica.- La Comisionada, </w:t>
      </w:r>
      <w:r w:rsidRPr="00FF21C4">
        <w:rPr>
          <w:b/>
        </w:rPr>
        <w:t xml:space="preserve">María Elena </w:t>
      </w:r>
      <w:proofErr w:type="spellStart"/>
      <w:r w:rsidRPr="00FF21C4">
        <w:rPr>
          <w:b/>
        </w:rPr>
        <w:t>Estavillo</w:t>
      </w:r>
      <w:proofErr w:type="spellEnd"/>
      <w:r w:rsidRPr="00FF21C4">
        <w:rPr>
          <w:b/>
        </w:rPr>
        <w:t xml:space="preserve"> Flores</w:t>
      </w:r>
      <w:r w:rsidR="00591139" w:rsidRPr="00FF21C4">
        <w:t>.- Rúbrica.-</w:t>
      </w:r>
      <w:r w:rsidR="003911F1" w:rsidRPr="00FF21C4">
        <w:t xml:space="preserve"> </w:t>
      </w:r>
      <w:r w:rsidR="00591139" w:rsidRPr="00FF21C4">
        <w:t xml:space="preserve">El Comisionado, </w:t>
      </w:r>
      <w:r w:rsidRPr="00FF21C4">
        <w:rPr>
          <w:b/>
        </w:rPr>
        <w:t xml:space="preserve">Mario Germán </w:t>
      </w:r>
      <w:proofErr w:type="spellStart"/>
      <w:r w:rsidRPr="00FF21C4">
        <w:rPr>
          <w:b/>
        </w:rPr>
        <w:t>Fromow</w:t>
      </w:r>
      <w:proofErr w:type="spellEnd"/>
      <w:r w:rsidRPr="00FF21C4">
        <w:rPr>
          <w:b/>
        </w:rPr>
        <w:t xml:space="preserve"> Rangel</w:t>
      </w:r>
      <w:r w:rsidR="00591139" w:rsidRPr="00FF21C4">
        <w:t xml:space="preserve">.- Rúbrica.- El Comisionado, </w:t>
      </w:r>
      <w:r w:rsidRPr="00FF21C4">
        <w:rPr>
          <w:b/>
        </w:rPr>
        <w:t>Adolfo Cuevas Teja</w:t>
      </w:r>
      <w:r w:rsidR="00591139" w:rsidRPr="00FF21C4">
        <w:t xml:space="preserve">.- El Comisionado, </w:t>
      </w:r>
      <w:r w:rsidRPr="00FF21C4">
        <w:rPr>
          <w:b/>
        </w:rPr>
        <w:t>Javier Juárez Mojica</w:t>
      </w:r>
      <w:r w:rsidR="00591139" w:rsidRPr="00FF21C4">
        <w:t xml:space="preserve">.- Rúbrica.- El Comisionado, </w:t>
      </w:r>
      <w:r w:rsidRPr="00FF21C4">
        <w:rPr>
          <w:b/>
        </w:rPr>
        <w:t xml:space="preserve">Arturo Robles </w:t>
      </w:r>
      <w:proofErr w:type="spellStart"/>
      <w:r w:rsidRPr="00FF21C4">
        <w:rPr>
          <w:b/>
        </w:rPr>
        <w:t>Rovalo</w:t>
      </w:r>
      <w:proofErr w:type="spellEnd"/>
      <w:r w:rsidR="00591139" w:rsidRPr="00FF21C4">
        <w:t>.- Rúbrica.</w:t>
      </w:r>
    </w:p>
    <w:p w:rsidR="009D0F18" w:rsidRPr="00FF21C4" w:rsidRDefault="009D0F18" w:rsidP="00FF21C4">
      <w:pPr>
        <w:pStyle w:val="Texto"/>
        <w:spacing w:after="240"/>
        <w:rPr>
          <w:szCs w:val="18"/>
          <w:lang w:val="es-ES_tradnl"/>
        </w:rPr>
      </w:pPr>
      <w:r w:rsidRPr="00FF21C4">
        <w:rPr>
          <w:szCs w:val="18"/>
        </w:rPr>
        <w:t xml:space="preserve">El presente Acuerdo fue aprobado por el Pleno del Instituto Federal de Telecomunicaciones en su IV Sesión Ordinaria celebrada el 7 de febrero de 2018, en lo general por unanimidad de votos de los Comisionados Gabriel Oswaldo Contreras Saldívar, Adriana Sofía Labardini </w:t>
      </w:r>
      <w:proofErr w:type="spellStart"/>
      <w:r w:rsidRPr="00FF21C4">
        <w:rPr>
          <w:szCs w:val="18"/>
        </w:rPr>
        <w:t>Inzunza</w:t>
      </w:r>
      <w:proofErr w:type="spellEnd"/>
      <w:r w:rsidRPr="00FF21C4">
        <w:rPr>
          <w:szCs w:val="18"/>
        </w:rPr>
        <w:t xml:space="preserve">, </w:t>
      </w:r>
      <w:r w:rsidRPr="00FF21C4">
        <w:rPr>
          <w:szCs w:val="18"/>
          <w:lang w:val="es-ES_tradnl"/>
        </w:rPr>
        <w:t xml:space="preserve">María Elena </w:t>
      </w:r>
      <w:proofErr w:type="spellStart"/>
      <w:r w:rsidRPr="00FF21C4">
        <w:rPr>
          <w:szCs w:val="18"/>
          <w:lang w:val="es-ES_tradnl"/>
        </w:rPr>
        <w:t>Estavillo</w:t>
      </w:r>
      <w:proofErr w:type="spellEnd"/>
      <w:r w:rsidRPr="00FF21C4">
        <w:rPr>
          <w:szCs w:val="18"/>
          <w:lang w:val="es-ES_tradnl"/>
        </w:rPr>
        <w:t xml:space="preserve"> Flores, Mario Germán </w:t>
      </w:r>
      <w:proofErr w:type="spellStart"/>
      <w:r w:rsidRPr="00FF21C4">
        <w:rPr>
          <w:szCs w:val="18"/>
          <w:lang w:val="es-ES_tradnl"/>
        </w:rPr>
        <w:t>Fromow</w:t>
      </w:r>
      <w:proofErr w:type="spellEnd"/>
      <w:r w:rsidRPr="00FF21C4">
        <w:rPr>
          <w:szCs w:val="18"/>
          <w:lang w:val="es-ES_tradnl"/>
        </w:rPr>
        <w:t xml:space="preserve"> Rangel, Adolfo Cuevas Teja, Javier Juárez Mojica y Arturo Robles </w:t>
      </w:r>
      <w:proofErr w:type="spellStart"/>
      <w:r w:rsidRPr="00FF21C4">
        <w:rPr>
          <w:szCs w:val="18"/>
          <w:lang w:val="es-ES_tradnl"/>
        </w:rPr>
        <w:t>Rovalo</w:t>
      </w:r>
      <w:proofErr w:type="spellEnd"/>
      <w:r w:rsidRPr="00FF21C4">
        <w:rPr>
          <w:szCs w:val="18"/>
          <w:lang w:val="es-ES_tradnl"/>
        </w:rPr>
        <w:t>.</w:t>
      </w:r>
    </w:p>
    <w:p w:rsidR="009D0F18" w:rsidRPr="00FF21C4" w:rsidRDefault="009D0F18" w:rsidP="00FF21C4">
      <w:pPr>
        <w:pStyle w:val="Texto"/>
        <w:spacing w:after="240"/>
        <w:rPr>
          <w:szCs w:val="18"/>
          <w:lang w:val="es-ES_tradnl"/>
        </w:rPr>
      </w:pPr>
      <w:r w:rsidRPr="00FF21C4">
        <w:rPr>
          <w:szCs w:val="18"/>
          <w:lang w:val="es-ES_tradnl"/>
        </w:rPr>
        <w:t xml:space="preserve">En lo particular, la Comisionada María Elena </w:t>
      </w:r>
      <w:proofErr w:type="spellStart"/>
      <w:r w:rsidRPr="00FF21C4">
        <w:rPr>
          <w:szCs w:val="18"/>
          <w:lang w:val="es-ES_tradnl"/>
        </w:rPr>
        <w:t>Estavillo</w:t>
      </w:r>
      <w:proofErr w:type="spellEnd"/>
      <w:r w:rsidRPr="00FF21C4">
        <w:rPr>
          <w:szCs w:val="18"/>
          <w:lang w:val="es-ES_tradnl"/>
        </w:rPr>
        <w:t xml:space="preserve"> Flores manifiesta voto en contra del valor del estímulo; así como de la posibilidad del diferimiento de inicio de la vigencia de la concesión únicamente a los nuevos competidores en bandas de capacidad; y en contra de que se consideren los 10 MHz de AWS para el cálculo de la disponibilidad de espectro.</w:t>
      </w:r>
    </w:p>
    <w:p w:rsidR="009D0F18" w:rsidRPr="00FF21C4" w:rsidRDefault="009D0F18" w:rsidP="00FF21C4">
      <w:pPr>
        <w:pStyle w:val="Texto"/>
        <w:spacing w:after="240"/>
        <w:rPr>
          <w:szCs w:val="18"/>
        </w:rPr>
      </w:pPr>
      <w:r w:rsidRPr="00FF21C4">
        <w:rPr>
          <w:szCs w:val="18"/>
        </w:rPr>
        <w:t>El Comisionado Adolfo Cuevas Teja manifiesta voto a favor en lo general de los Acuerdos TERCERO y CUARTO en cuanto a la aprobación y publicación de las Bases, pero en contra en lo particular, del Valor Mínimo de Referencia; de la obligación de cobertura social consistente en cubrir 200 de 557 localidades que no cuentan con servicio; así como del incentivo asociado a dicha obligación; y en contra de la posibilidad del diferimiento de inicio de la vigencia de la concesión a los nuevos competidores.</w:t>
      </w:r>
    </w:p>
    <w:p w:rsidR="009D0F18" w:rsidRPr="00FF21C4" w:rsidRDefault="009D0F18" w:rsidP="00FF21C4">
      <w:pPr>
        <w:pStyle w:val="Texto"/>
        <w:spacing w:after="240"/>
        <w:rPr>
          <w:szCs w:val="18"/>
          <w:lang w:val="es-ES_tradnl"/>
        </w:rPr>
      </w:pPr>
      <w:r w:rsidRPr="00FF21C4">
        <w:rPr>
          <w:szCs w:val="18"/>
          <w:lang w:val="es-ES_tradnl"/>
        </w:rPr>
        <w:t>Lo anterior,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P/IFT/070218/84.</w:t>
      </w:r>
    </w:p>
    <w:p w:rsidR="003911F1" w:rsidRPr="00FF21C4" w:rsidRDefault="009D0F18" w:rsidP="00FF21C4">
      <w:pPr>
        <w:pStyle w:val="Texto"/>
        <w:spacing w:after="240"/>
        <w:rPr>
          <w:szCs w:val="18"/>
        </w:rPr>
      </w:pPr>
      <w:r w:rsidRPr="00FF21C4">
        <w:rPr>
          <w:szCs w:val="18"/>
        </w:rPr>
        <w:lastRenderedPageBreak/>
        <w:t>El Comisionado Adolfo Cuevas Teja, previendo su ausencia justificada a la sesión, emitió su voto razonado por escrito, en términos de los artículos 45 tercer párrafo de la Ley Federal de Telecomunicaciones y Radiodifusión, y 8 segundo párrafo del Estatuto Orgánico del Instituto Federal de Telecomunicaciones.</w:t>
      </w:r>
    </w:p>
    <w:sectPr w:rsidR="003911F1" w:rsidRPr="00FF21C4" w:rsidSect="000107B1">
      <w:headerReference w:type="even" r:id="rId9"/>
      <w:headerReference w:type="default" r:id="rId10"/>
      <w:pgSz w:w="12240" w:h="15840" w:code="1"/>
      <w:pgMar w:top="1152" w:right="1699" w:bottom="1296" w:left="1699" w:header="706" w:footer="706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DB" w:rsidRDefault="007B1FDB">
      <w:r>
        <w:separator/>
      </w:r>
    </w:p>
  </w:endnote>
  <w:endnote w:type="continuationSeparator" w:id="0">
    <w:p w:rsidR="007B1FDB" w:rsidRDefault="007B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DB" w:rsidRDefault="007B1FDB">
      <w:r>
        <w:separator/>
      </w:r>
    </w:p>
  </w:footnote>
  <w:footnote w:type="continuationSeparator" w:id="0">
    <w:p w:rsidR="007B1FDB" w:rsidRDefault="007B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83" w:rsidRPr="003911F1" w:rsidRDefault="00B67A83" w:rsidP="006C327A">
    <w:pPr>
      <w:pStyle w:val="Fechas"/>
      <w:rPr>
        <w:rFonts w:cs="Times New Roman"/>
      </w:rPr>
    </w:pPr>
    <w:r w:rsidRPr="003911F1">
      <w:rPr>
        <w:rFonts w:cs="Times New Roman"/>
      </w:rPr>
      <w:t xml:space="preserve"> (Primera Sección)</w:t>
    </w:r>
    <w:r w:rsidRPr="003911F1">
      <w:rPr>
        <w:rFonts w:cs="Times New Roman"/>
      </w:rPr>
      <w:tab/>
      <w:t>DIARIO OFICIAL</w:t>
    </w:r>
    <w:r w:rsidRPr="003911F1">
      <w:rPr>
        <w:rFonts w:cs="Times New Roman"/>
      </w:rPr>
      <w:tab/>
    </w:r>
    <w:proofErr w:type="gramStart"/>
    <w:r w:rsidRPr="003911F1">
      <w:rPr>
        <w:rFonts w:cs="Times New Roman"/>
      </w:rPr>
      <w:t>Martes</w:t>
    </w:r>
    <w:proofErr w:type="gramEnd"/>
    <w:r w:rsidRPr="003911F1">
      <w:rPr>
        <w:rFonts w:cs="Times New Roman"/>
      </w:rPr>
      <w:t xml:space="preserve"> 13 de febrero de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83" w:rsidRPr="003911F1" w:rsidRDefault="00B67A83" w:rsidP="006C327A">
    <w:pPr>
      <w:pStyle w:val="Fechas"/>
      <w:rPr>
        <w:rFonts w:cs="Times New Roman"/>
      </w:rPr>
    </w:pPr>
    <w:r w:rsidRPr="003911F1">
      <w:rPr>
        <w:rFonts w:cs="Times New Roman"/>
      </w:rPr>
      <w:t>Martes 13 de febrero de 2018</w:t>
    </w:r>
    <w:r w:rsidRPr="003911F1">
      <w:rPr>
        <w:rFonts w:cs="Times New Roman"/>
      </w:rPr>
      <w:tab/>
      <w:t>DIARIO OFICIAL</w:t>
    </w:r>
    <w:r w:rsidRPr="003911F1">
      <w:rPr>
        <w:rFonts w:cs="Times New Roman"/>
      </w:rPr>
      <w:tab/>
      <w:t xml:space="preserve">(Primera Sección)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6CA1518"/>
    <w:multiLevelType w:val="hybridMultilevel"/>
    <w:tmpl w:val="C82A705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48D66C84"/>
    <w:multiLevelType w:val="hybridMultilevel"/>
    <w:tmpl w:val="4C6E80B6"/>
    <w:lvl w:ilvl="0" w:tplc="9DA68290">
      <w:numFmt w:val="bullet"/>
      <w:lvlText w:val=""/>
      <w:lvlJc w:val="left"/>
      <w:pPr>
        <w:ind w:left="708" w:hanging="42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725C0517"/>
    <w:multiLevelType w:val="hybridMultilevel"/>
    <w:tmpl w:val="EE4A239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18"/>
    <w:rsid w:val="000031B5"/>
    <w:rsid w:val="00007D5B"/>
    <w:rsid w:val="000107B1"/>
    <w:rsid w:val="00023FDE"/>
    <w:rsid w:val="00025505"/>
    <w:rsid w:val="00030FA7"/>
    <w:rsid w:val="000468AF"/>
    <w:rsid w:val="00046AF3"/>
    <w:rsid w:val="00047AFF"/>
    <w:rsid w:val="000643A3"/>
    <w:rsid w:val="000662AA"/>
    <w:rsid w:val="00066B5E"/>
    <w:rsid w:val="00070CDB"/>
    <w:rsid w:val="0008366A"/>
    <w:rsid w:val="00083B96"/>
    <w:rsid w:val="00085CFF"/>
    <w:rsid w:val="00090755"/>
    <w:rsid w:val="000934C4"/>
    <w:rsid w:val="000A086A"/>
    <w:rsid w:val="000B42E5"/>
    <w:rsid w:val="000B698E"/>
    <w:rsid w:val="000C50D4"/>
    <w:rsid w:val="000C632A"/>
    <w:rsid w:val="000E6BF1"/>
    <w:rsid w:val="000F0FA3"/>
    <w:rsid w:val="000F3ABE"/>
    <w:rsid w:val="000F706A"/>
    <w:rsid w:val="0010703B"/>
    <w:rsid w:val="001303A7"/>
    <w:rsid w:val="00140A5C"/>
    <w:rsid w:val="00155A7E"/>
    <w:rsid w:val="001574EC"/>
    <w:rsid w:val="00163AE3"/>
    <w:rsid w:val="001642EF"/>
    <w:rsid w:val="00173E9D"/>
    <w:rsid w:val="001748E8"/>
    <w:rsid w:val="00176B02"/>
    <w:rsid w:val="00181964"/>
    <w:rsid w:val="00195422"/>
    <w:rsid w:val="001954E5"/>
    <w:rsid w:val="001A1CAD"/>
    <w:rsid w:val="001A2BCE"/>
    <w:rsid w:val="001B1144"/>
    <w:rsid w:val="001B6981"/>
    <w:rsid w:val="001C1DC9"/>
    <w:rsid w:val="001E6CB1"/>
    <w:rsid w:val="001F09BB"/>
    <w:rsid w:val="001F6325"/>
    <w:rsid w:val="00200D8C"/>
    <w:rsid w:val="0020245C"/>
    <w:rsid w:val="002214D8"/>
    <w:rsid w:val="00221CAE"/>
    <w:rsid w:val="00245A64"/>
    <w:rsid w:val="0025082C"/>
    <w:rsid w:val="00254852"/>
    <w:rsid w:val="00255299"/>
    <w:rsid w:val="00282554"/>
    <w:rsid w:val="00285BE5"/>
    <w:rsid w:val="00286668"/>
    <w:rsid w:val="00286818"/>
    <w:rsid w:val="00290296"/>
    <w:rsid w:val="0029033A"/>
    <w:rsid w:val="00291CA7"/>
    <w:rsid w:val="002940B6"/>
    <w:rsid w:val="002B00EE"/>
    <w:rsid w:val="002B127D"/>
    <w:rsid w:val="002B37B4"/>
    <w:rsid w:val="002B3857"/>
    <w:rsid w:val="002C3644"/>
    <w:rsid w:val="002D476D"/>
    <w:rsid w:val="002E0094"/>
    <w:rsid w:val="002F483A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40A4"/>
    <w:rsid w:val="00357A6B"/>
    <w:rsid w:val="0036410B"/>
    <w:rsid w:val="003656C6"/>
    <w:rsid w:val="00373DFE"/>
    <w:rsid w:val="003911F1"/>
    <w:rsid w:val="0039202C"/>
    <w:rsid w:val="003958AA"/>
    <w:rsid w:val="003967FE"/>
    <w:rsid w:val="003A09A3"/>
    <w:rsid w:val="003B2214"/>
    <w:rsid w:val="003B46F2"/>
    <w:rsid w:val="003C5EB9"/>
    <w:rsid w:val="003D3A40"/>
    <w:rsid w:val="003D6457"/>
    <w:rsid w:val="003D6AB7"/>
    <w:rsid w:val="003E5783"/>
    <w:rsid w:val="003E7472"/>
    <w:rsid w:val="00410B8C"/>
    <w:rsid w:val="00412ED6"/>
    <w:rsid w:val="004142D5"/>
    <w:rsid w:val="004273D0"/>
    <w:rsid w:val="0042779F"/>
    <w:rsid w:val="00427AD2"/>
    <w:rsid w:val="004352A9"/>
    <w:rsid w:val="00440349"/>
    <w:rsid w:val="0044530C"/>
    <w:rsid w:val="00453D17"/>
    <w:rsid w:val="0046400A"/>
    <w:rsid w:val="00464085"/>
    <w:rsid w:val="004652D9"/>
    <w:rsid w:val="00465E99"/>
    <w:rsid w:val="004729B5"/>
    <w:rsid w:val="00475BE2"/>
    <w:rsid w:val="00491FF9"/>
    <w:rsid w:val="004A7426"/>
    <w:rsid w:val="004B11CB"/>
    <w:rsid w:val="004B2F2C"/>
    <w:rsid w:val="004C174C"/>
    <w:rsid w:val="004C49C6"/>
    <w:rsid w:val="004D4A72"/>
    <w:rsid w:val="004E6B1F"/>
    <w:rsid w:val="004E77FB"/>
    <w:rsid w:val="004F3FE9"/>
    <w:rsid w:val="004F6559"/>
    <w:rsid w:val="00502367"/>
    <w:rsid w:val="005028CB"/>
    <w:rsid w:val="00512CDB"/>
    <w:rsid w:val="00514993"/>
    <w:rsid w:val="00522551"/>
    <w:rsid w:val="00526356"/>
    <w:rsid w:val="00534337"/>
    <w:rsid w:val="00534A44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8323C"/>
    <w:rsid w:val="00587E20"/>
    <w:rsid w:val="00591139"/>
    <w:rsid w:val="005A0268"/>
    <w:rsid w:val="005A0954"/>
    <w:rsid w:val="005B4EEC"/>
    <w:rsid w:val="005C4019"/>
    <w:rsid w:val="005C75DE"/>
    <w:rsid w:val="005D3024"/>
    <w:rsid w:val="005D4388"/>
    <w:rsid w:val="005D7D14"/>
    <w:rsid w:val="005F4AC0"/>
    <w:rsid w:val="006231E1"/>
    <w:rsid w:val="00627360"/>
    <w:rsid w:val="00627D1A"/>
    <w:rsid w:val="0063495E"/>
    <w:rsid w:val="00634C63"/>
    <w:rsid w:val="00641DCC"/>
    <w:rsid w:val="00656CFF"/>
    <w:rsid w:val="00670946"/>
    <w:rsid w:val="006711A8"/>
    <w:rsid w:val="00674139"/>
    <w:rsid w:val="00681BC5"/>
    <w:rsid w:val="00686752"/>
    <w:rsid w:val="00691836"/>
    <w:rsid w:val="0069357B"/>
    <w:rsid w:val="00697B7C"/>
    <w:rsid w:val="006B7539"/>
    <w:rsid w:val="006C30AE"/>
    <w:rsid w:val="006C327A"/>
    <w:rsid w:val="006D2E40"/>
    <w:rsid w:val="006E2487"/>
    <w:rsid w:val="006E4EE3"/>
    <w:rsid w:val="006E66EC"/>
    <w:rsid w:val="006F6765"/>
    <w:rsid w:val="006F785A"/>
    <w:rsid w:val="0070415B"/>
    <w:rsid w:val="00717A6D"/>
    <w:rsid w:val="00724703"/>
    <w:rsid w:val="007323BA"/>
    <w:rsid w:val="00735E9D"/>
    <w:rsid w:val="00737435"/>
    <w:rsid w:val="00741ABD"/>
    <w:rsid w:val="00746FC8"/>
    <w:rsid w:val="0075057B"/>
    <w:rsid w:val="007570C1"/>
    <w:rsid w:val="007578BE"/>
    <w:rsid w:val="00793D07"/>
    <w:rsid w:val="00797AB4"/>
    <w:rsid w:val="00797DCB"/>
    <w:rsid w:val="007A0956"/>
    <w:rsid w:val="007B1FDB"/>
    <w:rsid w:val="007D00B8"/>
    <w:rsid w:val="007D0C3B"/>
    <w:rsid w:val="007D286A"/>
    <w:rsid w:val="00816C4D"/>
    <w:rsid w:val="00827CE1"/>
    <w:rsid w:val="0083080F"/>
    <w:rsid w:val="00832E88"/>
    <w:rsid w:val="008412BC"/>
    <w:rsid w:val="00842BE6"/>
    <w:rsid w:val="00842FB8"/>
    <w:rsid w:val="00843E2D"/>
    <w:rsid w:val="008651ED"/>
    <w:rsid w:val="00875A59"/>
    <w:rsid w:val="00877B39"/>
    <w:rsid w:val="008918DC"/>
    <w:rsid w:val="008922B8"/>
    <w:rsid w:val="0089558E"/>
    <w:rsid w:val="008A0F8C"/>
    <w:rsid w:val="008A23F3"/>
    <w:rsid w:val="008B5BD2"/>
    <w:rsid w:val="008C46C1"/>
    <w:rsid w:val="008D06EA"/>
    <w:rsid w:val="008D17A5"/>
    <w:rsid w:val="008D6730"/>
    <w:rsid w:val="008E35DF"/>
    <w:rsid w:val="008F5142"/>
    <w:rsid w:val="008F7A18"/>
    <w:rsid w:val="00913D77"/>
    <w:rsid w:val="009167A0"/>
    <w:rsid w:val="009200A2"/>
    <w:rsid w:val="009329FB"/>
    <w:rsid w:val="00945F33"/>
    <w:rsid w:val="00947152"/>
    <w:rsid w:val="00975511"/>
    <w:rsid w:val="009855BF"/>
    <w:rsid w:val="009932CA"/>
    <w:rsid w:val="009A7654"/>
    <w:rsid w:val="009C02DA"/>
    <w:rsid w:val="009D0F18"/>
    <w:rsid w:val="009E1274"/>
    <w:rsid w:val="009E1AC6"/>
    <w:rsid w:val="009E3B35"/>
    <w:rsid w:val="009E63EA"/>
    <w:rsid w:val="009F050F"/>
    <w:rsid w:val="00A31E9B"/>
    <w:rsid w:val="00A333DC"/>
    <w:rsid w:val="00A35A4B"/>
    <w:rsid w:val="00A53D31"/>
    <w:rsid w:val="00A7010C"/>
    <w:rsid w:val="00A73F8A"/>
    <w:rsid w:val="00A76032"/>
    <w:rsid w:val="00A8099D"/>
    <w:rsid w:val="00A81D62"/>
    <w:rsid w:val="00A84922"/>
    <w:rsid w:val="00A90AE8"/>
    <w:rsid w:val="00A971BB"/>
    <w:rsid w:val="00AA7550"/>
    <w:rsid w:val="00AB7088"/>
    <w:rsid w:val="00AC2AA2"/>
    <w:rsid w:val="00AD24D5"/>
    <w:rsid w:val="00AD54E0"/>
    <w:rsid w:val="00AE00D6"/>
    <w:rsid w:val="00B00632"/>
    <w:rsid w:val="00B073A2"/>
    <w:rsid w:val="00B14C29"/>
    <w:rsid w:val="00B16746"/>
    <w:rsid w:val="00B170E8"/>
    <w:rsid w:val="00B17DFA"/>
    <w:rsid w:val="00B3769E"/>
    <w:rsid w:val="00B63531"/>
    <w:rsid w:val="00B67A83"/>
    <w:rsid w:val="00B7008A"/>
    <w:rsid w:val="00B717B3"/>
    <w:rsid w:val="00B859B6"/>
    <w:rsid w:val="00BB1CCD"/>
    <w:rsid w:val="00BB26D3"/>
    <w:rsid w:val="00BF091C"/>
    <w:rsid w:val="00C009E0"/>
    <w:rsid w:val="00C01B5D"/>
    <w:rsid w:val="00C258E4"/>
    <w:rsid w:val="00C5515A"/>
    <w:rsid w:val="00C563D2"/>
    <w:rsid w:val="00C7152E"/>
    <w:rsid w:val="00C72F0B"/>
    <w:rsid w:val="00C8415B"/>
    <w:rsid w:val="00C9060E"/>
    <w:rsid w:val="00C91B84"/>
    <w:rsid w:val="00C96371"/>
    <w:rsid w:val="00C97590"/>
    <w:rsid w:val="00CA0BAE"/>
    <w:rsid w:val="00CA2FDC"/>
    <w:rsid w:val="00CA3BBA"/>
    <w:rsid w:val="00CB1241"/>
    <w:rsid w:val="00CB318C"/>
    <w:rsid w:val="00CB6995"/>
    <w:rsid w:val="00CC0602"/>
    <w:rsid w:val="00CC39A6"/>
    <w:rsid w:val="00CC468B"/>
    <w:rsid w:val="00CC71C5"/>
    <w:rsid w:val="00CD12BE"/>
    <w:rsid w:val="00CD6850"/>
    <w:rsid w:val="00CE06BF"/>
    <w:rsid w:val="00CF3B2E"/>
    <w:rsid w:val="00CF6193"/>
    <w:rsid w:val="00D04785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397F"/>
    <w:rsid w:val="00D87572"/>
    <w:rsid w:val="00DA0A97"/>
    <w:rsid w:val="00DB3001"/>
    <w:rsid w:val="00DB3F49"/>
    <w:rsid w:val="00DB4A71"/>
    <w:rsid w:val="00DC4962"/>
    <w:rsid w:val="00DE4C7A"/>
    <w:rsid w:val="00DF2F5F"/>
    <w:rsid w:val="00DF6036"/>
    <w:rsid w:val="00DF6BC3"/>
    <w:rsid w:val="00E01296"/>
    <w:rsid w:val="00E21F6A"/>
    <w:rsid w:val="00E30B22"/>
    <w:rsid w:val="00E3798A"/>
    <w:rsid w:val="00E42835"/>
    <w:rsid w:val="00E460F3"/>
    <w:rsid w:val="00E50177"/>
    <w:rsid w:val="00E5027B"/>
    <w:rsid w:val="00E5626A"/>
    <w:rsid w:val="00E772E5"/>
    <w:rsid w:val="00E82585"/>
    <w:rsid w:val="00E8621C"/>
    <w:rsid w:val="00E90E7F"/>
    <w:rsid w:val="00EA0ABD"/>
    <w:rsid w:val="00EA4096"/>
    <w:rsid w:val="00EA46E7"/>
    <w:rsid w:val="00EA6075"/>
    <w:rsid w:val="00EB1636"/>
    <w:rsid w:val="00EB3C2A"/>
    <w:rsid w:val="00EE21F4"/>
    <w:rsid w:val="00EE50F8"/>
    <w:rsid w:val="00EE6353"/>
    <w:rsid w:val="00EF1962"/>
    <w:rsid w:val="00EF226B"/>
    <w:rsid w:val="00F007E0"/>
    <w:rsid w:val="00F00937"/>
    <w:rsid w:val="00F0429A"/>
    <w:rsid w:val="00F049B3"/>
    <w:rsid w:val="00F22399"/>
    <w:rsid w:val="00F315C9"/>
    <w:rsid w:val="00F31F2D"/>
    <w:rsid w:val="00F42E31"/>
    <w:rsid w:val="00F512E2"/>
    <w:rsid w:val="00F51E5E"/>
    <w:rsid w:val="00F621DE"/>
    <w:rsid w:val="00F64B32"/>
    <w:rsid w:val="00F70C4B"/>
    <w:rsid w:val="00F76B05"/>
    <w:rsid w:val="00F7755F"/>
    <w:rsid w:val="00F808C0"/>
    <w:rsid w:val="00F8319A"/>
    <w:rsid w:val="00F83712"/>
    <w:rsid w:val="00F84AC0"/>
    <w:rsid w:val="00F859B1"/>
    <w:rsid w:val="00F85CA3"/>
    <w:rsid w:val="00F95C77"/>
    <w:rsid w:val="00FA672D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4792-7E67-4F5A-A21C-491518D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Prrafodelista">
    <w:name w:val="List Paragraph"/>
    <w:basedOn w:val="Normal"/>
    <w:qFormat/>
    <w:rsid w:val="009D0F18"/>
    <w:pPr>
      <w:ind w:left="708"/>
    </w:pPr>
    <w:rPr>
      <w:rFonts w:ascii="ArAal" w:hAnsi="ArAal" w:cs="ArAal"/>
      <w:szCs w:val="20"/>
      <w:lang w:val="es-MX" w:eastAsia="es-MX"/>
    </w:rPr>
  </w:style>
  <w:style w:type="paragraph" w:customStyle="1" w:styleId="wText">
    <w:name w:val="wText"/>
    <w:basedOn w:val="Normal"/>
    <w:rsid w:val="009D0F18"/>
    <w:pPr>
      <w:spacing w:after="240"/>
      <w:jc w:val="both"/>
    </w:pPr>
    <w:rPr>
      <w:rFonts w:ascii="TiAes New Roman" w:hAnsi="TiAes New Roman" w:cs="TiAes New Roman"/>
      <w:szCs w:val="20"/>
      <w:lang w:val="es-ES_tradnl" w:eastAsia="es-MX"/>
    </w:rPr>
  </w:style>
  <w:style w:type="paragraph" w:customStyle="1" w:styleId="Text">
    <w:name w:val="Text"/>
    <w:basedOn w:val="Normal"/>
    <w:rsid w:val="009D0F18"/>
    <w:pPr>
      <w:spacing w:after="240"/>
    </w:pPr>
    <w:rPr>
      <w:rFonts w:ascii="ArAal" w:hAnsi="ArAal" w:cs="ArAal"/>
      <w:b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1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8319A"/>
    <w:rPr>
      <w:rFonts w:ascii="Segoe UI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3911F1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3911F1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table" w:styleId="Cuadrculadetablaclara">
    <w:name w:val="Grid Table Light"/>
    <w:basedOn w:val="Tablanormal"/>
    <w:uiPriority w:val="40"/>
    <w:rsid w:val="000A08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gutierrez.MX07281\Desktop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3</TotalTime>
  <Pages>1</Pages>
  <Words>1469</Words>
  <Characters>8081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dc:description/>
  <cp:lastModifiedBy>Maria del Consuelo Gonzalez Moreno</cp:lastModifiedBy>
  <cp:revision>5</cp:revision>
  <cp:lastPrinted>2018-02-13T02:14:00Z</cp:lastPrinted>
  <dcterms:created xsi:type="dcterms:W3CDTF">2018-02-13T16:38:00Z</dcterms:created>
  <dcterms:modified xsi:type="dcterms:W3CDTF">2018-02-13T16:53:00Z</dcterms:modified>
</cp:coreProperties>
</file>