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24" w:rsidRPr="005C1C06" w:rsidRDefault="007B1124" w:rsidP="005C1C06">
      <w:pPr>
        <w:pStyle w:val="Ttulo1"/>
      </w:pPr>
      <w:r w:rsidRPr="005C1C06">
        <w:t>ANEXO 3</w:t>
      </w:r>
    </w:p>
    <w:p w:rsidR="007B1124" w:rsidRPr="005C1C06" w:rsidRDefault="007B1124" w:rsidP="005C1C06">
      <w:pPr>
        <w:jc w:val="center"/>
        <w:rPr>
          <w:b/>
          <w:sz w:val="72"/>
          <w:szCs w:val="72"/>
        </w:rPr>
      </w:pPr>
    </w:p>
    <w:p w:rsidR="007B1124" w:rsidRPr="005C1C06" w:rsidRDefault="007B1124" w:rsidP="005C1C06">
      <w:pPr>
        <w:jc w:val="center"/>
        <w:rPr>
          <w:b/>
          <w:smallCaps/>
          <w:sz w:val="72"/>
          <w:szCs w:val="72"/>
        </w:rPr>
      </w:pPr>
      <w:r w:rsidRPr="005C1C06">
        <w:rPr>
          <w:b/>
          <w:smallCaps/>
          <w:sz w:val="72"/>
          <w:szCs w:val="72"/>
        </w:rPr>
        <w:t>Procedimiento de Atención de Fallas, Continuidad del Servicio y Gestión de Incidencias</w:t>
      </w:r>
    </w:p>
    <w:p w:rsidR="007B1124" w:rsidRDefault="007B1124" w:rsidP="005C1C06">
      <w:r w:rsidRPr="0045206E">
        <w:br w:type="page"/>
      </w:r>
    </w:p>
    <w:p w:rsidR="007B1124" w:rsidRPr="00AB270C" w:rsidRDefault="007B1124" w:rsidP="00AB270C">
      <w:pPr>
        <w:pStyle w:val="Encabezado"/>
        <w:spacing w:before="0" w:after="0" w:line="240" w:lineRule="auto"/>
        <w:jc w:val="center"/>
        <w:rPr>
          <w:b/>
        </w:rPr>
      </w:pPr>
      <w:r w:rsidRPr="00AB270C">
        <w:rPr>
          <w:b/>
        </w:rPr>
        <w:lastRenderedPageBreak/>
        <w:t>ANEXO 3</w:t>
      </w:r>
    </w:p>
    <w:p w:rsidR="007B1124" w:rsidRPr="00BA09AF" w:rsidRDefault="007B1124" w:rsidP="00BA09AF">
      <w:pPr>
        <w:rPr>
          <w:b/>
        </w:rPr>
      </w:pPr>
      <w:r w:rsidRPr="00BA09AF">
        <w:rPr>
          <w:b/>
        </w:rPr>
        <w:t>Procedimiento de Atención de Fallas, Continuidad del Servicio y Gestión de Incidencias</w:t>
      </w:r>
    </w:p>
    <w:p w:rsidR="007B1124" w:rsidRPr="00641387" w:rsidRDefault="007B1124" w:rsidP="00BA09AF">
      <w:pPr>
        <w:pStyle w:val="Ttulo2"/>
      </w:pPr>
      <w:r w:rsidRPr="00641387">
        <w:t>Introducción</w:t>
      </w:r>
    </w:p>
    <w:p w:rsidR="007B1124" w:rsidRDefault="007B1124" w:rsidP="00BA09AF">
      <w:r w:rsidRPr="00641387">
        <w:t xml:space="preserve">Este anexo describe los procedimientos que deberán seguirse para la gestión de incidencias, mantenimiento correctivo (atención de fallas), mantenimiento preventivo (intervenciones programadas) y acceso de emergencia a la infraestructura compartida, por parte de </w:t>
      </w:r>
      <w:proofErr w:type="spellStart"/>
      <w:r w:rsidR="003A7F36">
        <w:t>Telnor</w:t>
      </w:r>
      <w:proofErr w:type="spellEnd"/>
      <w:r w:rsidRPr="00641387">
        <w:t xml:space="preserve"> </w:t>
      </w:r>
      <w:r>
        <w:t>y/</w:t>
      </w:r>
      <w:r w:rsidRPr="00641387">
        <w:t xml:space="preserve">o de los Concesionarios Solicitantes. </w:t>
      </w:r>
    </w:p>
    <w:p w:rsidR="007B1124" w:rsidRPr="00641387" w:rsidRDefault="007B1124" w:rsidP="000B4353">
      <w:r>
        <w:t>Para ello</w:t>
      </w:r>
      <w:r w:rsidRPr="00641387">
        <w:t>, se definen los siguientes términos:</w:t>
      </w:r>
    </w:p>
    <w:p w:rsidR="007B1124" w:rsidRPr="00641387" w:rsidRDefault="007B1124" w:rsidP="000B4353">
      <w:pPr>
        <w:pStyle w:val="Prrafodelista"/>
        <w:numPr>
          <w:ilvl w:val="0"/>
          <w:numId w:val="2"/>
        </w:numPr>
      </w:pPr>
      <w:r w:rsidRPr="00BA09AF">
        <w:rPr>
          <w:b/>
        </w:rPr>
        <w:t>Emergencia:</w:t>
      </w:r>
      <w:r w:rsidRPr="00641387">
        <w:t xml:space="preserve"> asunto o situación que acontece de manera absolutamente imprevista, que requiere de una atención especial y que debe solucionarse lo antes posible.</w:t>
      </w:r>
    </w:p>
    <w:p w:rsidR="007B1124" w:rsidRPr="00641387" w:rsidRDefault="007B1124" w:rsidP="000B4353">
      <w:pPr>
        <w:pStyle w:val="Prrafodelista"/>
        <w:numPr>
          <w:ilvl w:val="0"/>
          <w:numId w:val="2"/>
        </w:numPr>
      </w:pPr>
      <w:r w:rsidRPr="00BA09AF">
        <w:rPr>
          <w:b/>
        </w:rPr>
        <w:t>Falla:</w:t>
      </w:r>
      <w:r w:rsidRPr="00641387">
        <w:t xml:space="preserve"> interrupción en la continuidad de los servicios provocada por un daño en uno o más elementos de la red.</w:t>
      </w:r>
    </w:p>
    <w:p w:rsidR="007B1124" w:rsidRPr="00641387" w:rsidRDefault="007B1124" w:rsidP="000B4353">
      <w:pPr>
        <w:pStyle w:val="Prrafodelista"/>
        <w:numPr>
          <w:ilvl w:val="0"/>
          <w:numId w:val="2"/>
        </w:numPr>
      </w:pPr>
      <w:r w:rsidRPr="00BA09AF">
        <w:rPr>
          <w:b/>
        </w:rPr>
        <w:t>Incidencia:</w:t>
      </w:r>
      <w:r w:rsidRPr="00641387">
        <w:t xml:space="preserve"> reporte que levantan los Concesionarios Solicitantes por un supuesto daño o interrupción en alguno de los servicios materia de </w:t>
      </w:r>
      <w:smartTag w:uri="urn:schemas-microsoft-com:office:smarttags" w:element="PersonName">
        <w:smartTagPr>
          <w:attr w:name="ProductID" w:val="la Oferta."/>
        </w:smartTagPr>
        <w:r w:rsidRPr="00641387">
          <w:t>la Oferta.</w:t>
        </w:r>
      </w:smartTag>
    </w:p>
    <w:p w:rsidR="007B1124" w:rsidRPr="000B4353" w:rsidRDefault="007B1124" w:rsidP="00BA09AF">
      <w:pPr>
        <w:rPr>
          <w:b/>
          <w:u w:val="single"/>
        </w:rPr>
      </w:pPr>
      <w:r w:rsidRPr="000B4353">
        <w:rPr>
          <w:b/>
          <w:u w:val="single"/>
        </w:rPr>
        <w:t>Gestión de Incidencias</w:t>
      </w:r>
    </w:p>
    <w:p w:rsidR="007B1124" w:rsidRDefault="007B1124" w:rsidP="00BA09AF">
      <w:r>
        <w:t>Se refiere a la ejecución de</w:t>
      </w:r>
      <w:r w:rsidRPr="00074615">
        <w:t xml:space="preserve"> todas</w:t>
      </w:r>
      <w:r>
        <w:t xml:space="preserve"> aquellas órdenes planificadas y enfocadas a la atención, seguimiento y cierre de reportes de falla.</w:t>
      </w:r>
    </w:p>
    <w:p w:rsidR="007B1124" w:rsidRPr="00BA09AF" w:rsidRDefault="007B1124" w:rsidP="00BA09AF">
      <w:pPr>
        <w:rPr>
          <w:b/>
          <w:u w:val="single"/>
        </w:rPr>
      </w:pPr>
      <w:r w:rsidRPr="00BA09AF">
        <w:rPr>
          <w:b/>
          <w:u w:val="single"/>
        </w:rPr>
        <w:t>Mantenimiento Correctivo</w:t>
      </w:r>
    </w:p>
    <w:p w:rsidR="007B1124" w:rsidRPr="00641387" w:rsidRDefault="007B1124" w:rsidP="00BA09AF">
      <w:r w:rsidRPr="00641387">
        <w:t>Se refiere a la ejecución de actividades para localizar fallas y/o defectos observados en los equipos o instalaciones y corregirlos o repararlos.</w:t>
      </w:r>
    </w:p>
    <w:p w:rsidR="007B1124" w:rsidRPr="00641387" w:rsidRDefault="007B1124" w:rsidP="00BA09AF">
      <w:r w:rsidRPr="00641387">
        <w:t>Pone en condiciones de funcionamiento aquellos equipos y/o instalaciones que dejaron de funcionar o se encuentran dañados.</w:t>
      </w:r>
    </w:p>
    <w:p w:rsidR="007B1124" w:rsidRPr="00BA09AF" w:rsidRDefault="007B1124" w:rsidP="00BA09AF">
      <w:pPr>
        <w:rPr>
          <w:b/>
          <w:u w:val="single"/>
        </w:rPr>
      </w:pPr>
      <w:r w:rsidRPr="00BA09AF">
        <w:rPr>
          <w:b/>
          <w:u w:val="single"/>
        </w:rPr>
        <w:lastRenderedPageBreak/>
        <w:t>Mantenimiento Preventivo</w:t>
      </w:r>
    </w:p>
    <w:p w:rsidR="007B1124" w:rsidRPr="00641387" w:rsidRDefault="007B1124" w:rsidP="00BA09AF">
      <w:r w:rsidRPr="00641387">
        <w:t xml:space="preserve">Se refiere a las actividades destinadas a la conservación de equipos y/o instalaciones en operación, mediante la anticipada revisión y ejecución de trabajos que garanticen su buen funcionamiento y fiabilidad, su finalidad es prever el surgimiento de averías y/o fallas. </w:t>
      </w:r>
    </w:p>
    <w:p w:rsidR="007B1124" w:rsidRPr="00B11F64" w:rsidRDefault="007B1124" w:rsidP="00BA09AF">
      <w:pPr>
        <w:rPr>
          <w:b/>
          <w:u w:val="single"/>
        </w:rPr>
      </w:pPr>
      <w:r w:rsidRPr="00B11F64">
        <w:rPr>
          <w:b/>
          <w:u w:val="single"/>
        </w:rPr>
        <w:t xml:space="preserve">Acceso de Emergencia a </w:t>
      </w:r>
      <w:smartTag w:uri="urn:schemas-microsoft-com:office:smarttags" w:element="PersonName">
        <w:smartTagPr>
          <w:attr w:name="ProductID" w:val="la Infraestructura Compartida"/>
        </w:smartTagPr>
        <w:r w:rsidRPr="00B11F64">
          <w:rPr>
            <w:b/>
            <w:u w:val="single"/>
          </w:rPr>
          <w:t>la Infraestructura Compartida</w:t>
        </w:r>
      </w:smartTag>
    </w:p>
    <w:p w:rsidR="007B1124" w:rsidRPr="00641387" w:rsidRDefault="007B1124" w:rsidP="00BA09AF">
      <w:r w:rsidRPr="00641387">
        <w:t xml:space="preserve">Se refiere los accesos para atender emergencias en los servicios de compartición de infraestructura y equipos e instalaciones de </w:t>
      </w:r>
      <w:proofErr w:type="spellStart"/>
      <w:r w:rsidR="003A7F36">
        <w:t>Telnor</w:t>
      </w:r>
      <w:proofErr w:type="spellEnd"/>
      <w:r w:rsidRPr="00641387">
        <w:t xml:space="preserve"> </w:t>
      </w:r>
      <w:r>
        <w:t>y/</w:t>
      </w:r>
      <w:r w:rsidRPr="00641387">
        <w:t>o de los Concesionarios Solicitantes.</w:t>
      </w:r>
    </w:p>
    <w:p w:rsidR="007B1124" w:rsidRPr="00641387" w:rsidRDefault="007B1124" w:rsidP="008C7499">
      <w:pPr>
        <w:pStyle w:val="Ttulo2"/>
      </w:pPr>
      <w:r w:rsidRPr="00641387">
        <w:t>Contacto</w:t>
      </w:r>
    </w:p>
    <w:p w:rsidR="007B1124" w:rsidRPr="00641387" w:rsidRDefault="007B1124" w:rsidP="008C7499">
      <w:r w:rsidRPr="00641387">
        <w:t xml:space="preserve">Con la finalidad de atender los eventos que se presenten en los servicios de Acceso y Uso Compartido de Infraestructura Pasiva, </w:t>
      </w:r>
      <w:proofErr w:type="spellStart"/>
      <w:r w:rsidR="003A7F36">
        <w:t>Telnor</w:t>
      </w:r>
      <w:proofErr w:type="spellEnd"/>
      <w:r w:rsidRPr="00641387">
        <w:t xml:space="preserve"> pone a disposición de los CS un teléfono de contacto</w:t>
      </w:r>
      <w:r>
        <w:t xml:space="preserve"> (-----)</w:t>
      </w:r>
      <w:r w:rsidRPr="00641387">
        <w:t xml:space="preserve">; adicionalmente, los CS podrán realizar sus solicitudes de acceso y levantar incidencias a través del Sistema de Captura o el SEG cuando éste entre en operación. </w:t>
      </w:r>
    </w:p>
    <w:p w:rsidR="007B1124" w:rsidRPr="00641387" w:rsidRDefault="007B1124" w:rsidP="008C7499">
      <w:r w:rsidRPr="00641387">
        <w:t xml:space="preserve">Los puntos de contacto anteriores estarán disponibles 7x24 horas los 365 días del año. La información correspondiente a estos puntos de contacto deberá ser proporcionada en el momento en el que se suscriba el Convenio de Prestación de Servicios por parte del CS y </w:t>
      </w:r>
      <w:proofErr w:type="spellStart"/>
      <w:r w:rsidR="003A7F36">
        <w:t>Telnor</w:t>
      </w:r>
      <w:proofErr w:type="spellEnd"/>
      <w:r w:rsidRPr="00641387">
        <w:t>, a efecto de que el CS pueda dar seguimiento a la reparación de fallas y gestión de incidencias a través de dichos medios.</w:t>
      </w:r>
    </w:p>
    <w:p w:rsidR="007B1124" w:rsidRPr="00641387" w:rsidRDefault="007B1124" w:rsidP="008C7499"/>
    <w:p w:rsidR="007B1124" w:rsidRPr="00641387" w:rsidRDefault="007B1124" w:rsidP="008C7499">
      <w:pPr>
        <w:pStyle w:val="Ttulo2"/>
      </w:pPr>
      <w:r w:rsidRPr="00641387">
        <w:t>Gestión de Incidencias</w:t>
      </w:r>
    </w:p>
    <w:p w:rsidR="007B1124" w:rsidRPr="00641387" w:rsidRDefault="007B1124" w:rsidP="008C7499">
      <w:r w:rsidRPr="00641387">
        <w:t xml:space="preserve">Cualquier Concesionario, incluido </w:t>
      </w:r>
      <w:proofErr w:type="spellStart"/>
      <w:r w:rsidR="003A7F36">
        <w:t>Telnor</w:t>
      </w:r>
      <w:proofErr w:type="spellEnd"/>
      <w:r w:rsidRPr="00641387">
        <w:t>, podrá levantar y registrar incidencias, relacionadas con fallas o posibles fallas que:</w:t>
      </w:r>
    </w:p>
    <w:p w:rsidR="007B1124" w:rsidRPr="00641387" w:rsidRDefault="007B1124" w:rsidP="00AF3674">
      <w:pPr>
        <w:pStyle w:val="Prrafodelista"/>
        <w:numPr>
          <w:ilvl w:val="0"/>
          <w:numId w:val="3"/>
        </w:numPr>
      </w:pPr>
      <w:r w:rsidRPr="00641387">
        <w:t>Afecten o puedan afectar los servicios de compartición de infraestructura.</w:t>
      </w:r>
    </w:p>
    <w:p w:rsidR="007B1124" w:rsidRPr="00641387" w:rsidRDefault="007B1124" w:rsidP="00AF3674">
      <w:pPr>
        <w:pStyle w:val="Prrafodelista"/>
        <w:numPr>
          <w:ilvl w:val="0"/>
          <w:numId w:val="3"/>
        </w:numPr>
      </w:pPr>
      <w:r w:rsidRPr="00641387">
        <w:lastRenderedPageBreak/>
        <w:t>Se deban a deficiencias de los servicios de compartición de infraestructura y estén causando afectaciones a los servicios del usuario final.</w:t>
      </w:r>
    </w:p>
    <w:p w:rsidR="007B1124" w:rsidRPr="00641387" w:rsidRDefault="007B1124" w:rsidP="008C7499">
      <w:r w:rsidRPr="00641387">
        <w:t xml:space="preserve">Por esa razón, se dará seguimiento tanto a las incidencias detectadas y reportadas por los Concesionarios como a las incidencias reportadas por </w:t>
      </w:r>
      <w:proofErr w:type="spellStart"/>
      <w:r w:rsidR="003A7F36">
        <w:t>Telnor</w:t>
      </w:r>
      <w:proofErr w:type="spellEnd"/>
      <w:r w:rsidRPr="00641387">
        <w:t xml:space="preserve">, con el objetivo de advertir a los Concesionarios </w:t>
      </w:r>
      <w:r>
        <w:t xml:space="preserve">Solicitantes </w:t>
      </w:r>
      <w:r w:rsidRPr="00641387">
        <w:t xml:space="preserve">que pudieran resultar afectados; la solución a dichas incidencias puede o no ser responsabilidad de </w:t>
      </w:r>
      <w:proofErr w:type="spellStart"/>
      <w:r w:rsidR="003A7F36">
        <w:t>Telnor</w:t>
      </w:r>
      <w:proofErr w:type="spellEnd"/>
      <w:r w:rsidRPr="00641387">
        <w:t xml:space="preserve"> (circunstancia que se precisará en el reporte que para tal efecto se levante mediante un identificador que defina al “Concesionario Responsable”).</w:t>
      </w:r>
    </w:p>
    <w:p w:rsidR="007B1124" w:rsidRPr="008D0FEB" w:rsidRDefault="007B1124" w:rsidP="00C23941">
      <w:pPr>
        <w:pStyle w:val="Ttulo3"/>
      </w:pPr>
      <w:r w:rsidRPr="0059760A">
        <w:rPr>
          <w:rStyle w:val="Ttulodellibro"/>
        </w:rPr>
        <w:t>3.1.</w:t>
      </w:r>
      <w:r>
        <w:rPr>
          <w:rStyle w:val="Ttulodellibro"/>
        </w:rPr>
        <w:tab/>
      </w:r>
      <w:r w:rsidRPr="0059760A">
        <w:t>Procedimiento de Gestión de Incidencias</w:t>
      </w:r>
    </w:p>
    <w:p w:rsidR="007B1124" w:rsidRPr="00641387" w:rsidRDefault="003A7F36" w:rsidP="00AF3674">
      <w:pPr>
        <w:pStyle w:val="Prrafodelista"/>
        <w:numPr>
          <w:ilvl w:val="0"/>
          <w:numId w:val="4"/>
        </w:numPr>
      </w:pPr>
      <w:proofErr w:type="spellStart"/>
      <w:r>
        <w:t>Telnor</w:t>
      </w:r>
      <w:proofErr w:type="spellEnd"/>
      <w:r w:rsidR="007B1124" w:rsidRPr="00641387">
        <w:t xml:space="preserve"> o los CS levantan la incidencia a través del número telefónico proporcionado, el Sistema de Captura o el SEG.</w:t>
      </w:r>
    </w:p>
    <w:p w:rsidR="007B1124" w:rsidRPr="00641387" w:rsidRDefault="003A7F36" w:rsidP="00AF3674">
      <w:pPr>
        <w:pStyle w:val="Prrafodelista"/>
        <w:numPr>
          <w:ilvl w:val="0"/>
          <w:numId w:val="4"/>
        </w:numPr>
      </w:pPr>
      <w:proofErr w:type="spellStart"/>
      <w:r>
        <w:t>Telnor</w:t>
      </w:r>
      <w:proofErr w:type="spellEnd"/>
      <w:r w:rsidR="007B1124" w:rsidRPr="00641387">
        <w:t xml:space="preserve"> creará el registro de la incidencia y proporcionará el número de identificación de la misma al CS.</w:t>
      </w:r>
    </w:p>
    <w:p w:rsidR="007B1124" w:rsidRPr="00641387" w:rsidRDefault="003A7F36" w:rsidP="00AF3674">
      <w:pPr>
        <w:pStyle w:val="Prrafodelista"/>
        <w:numPr>
          <w:ilvl w:val="0"/>
          <w:numId w:val="4"/>
        </w:numPr>
      </w:pPr>
      <w:proofErr w:type="spellStart"/>
      <w:r>
        <w:t>Telnor</w:t>
      </w:r>
      <w:proofErr w:type="spellEnd"/>
      <w:r w:rsidR="007B1124" w:rsidRPr="00641387">
        <w:t xml:space="preserve"> realizará el análisis de la información proporcionada en la incidencia y emitirá un diagnóstico:</w:t>
      </w:r>
    </w:p>
    <w:p w:rsidR="007B1124" w:rsidRPr="00641387" w:rsidRDefault="007B1124" w:rsidP="00AF3674">
      <w:pPr>
        <w:pStyle w:val="Prrafodelista"/>
        <w:numPr>
          <w:ilvl w:val="0"/>
          <w:numId w:val="5"/>
        </w:numPr>
      </w:pPr>
      <w:r w:rsidRPr="00641387">
        <w:t xml:space="preserve">Si la falla reportada en la incidencia es responsabilidad de </w:t>
      </w:r>
      <w:proofErr w:type="spellStart"/>
      <w:r w:rsidR="003A7F36">
        <w:t>Telnor</w:t>
      </w:r>
      <w:proofErr w:type="spellEnd"/>
      <w:r w:rsidRPr="00641387">
        <w:t xml:space="preserve">: </w:t>
      </w:r>
    </w:p>
    <w:p w:rsidR="007B1124" w:rsidRPr="00641387" w:rsidRDefault="003A7F36" w:rsidP="00AF3674">
      <w:pPr>
        <w:pStyle w:val="Prrafodelista"/>
        <w:numPr>
          <w:ilvl w:val="0"/>
          <w:numId w:val="6"/>
        </w:numPr>
      </w:pPr>
      <w:proofErr w:type="spellStart"/>
      <w:r>
        <w:t>Telnor</w:t>
      </w:r>
      <w:proofErr w:type="spellEnd"/>
      <w:r w:rsidR="007B1124" w:rsidRPr="00641387">
        <w:t xml:space="preserve"> enviará al CS un reporte que incluya la descripción de la falla, el método y tiempo de solución, y destinará los recursos técnicos y humanos para atender la falla en cuestión.</w:t>
      </w:r>
    </w:p>
    <w:p w:rsidR="007B1124" w:rsidRPr="00641387" w:rsidRDefault="007B1124" w:rsidP="00AF3674">
      <w:pPr>
        <w:pStyle w:val="Prrafodelista"/>
        <w:numPr>
          <w:ilvl w:val="0"/>
          <w:numId w:val="6"/>
        </w:numPr>
      </w:pPr>
      <w:r w:rsidRPr="00641387">
        <w:t xml:space="preserve">Una vez que la falla reportada haya sido resuelta, </w:t>
      </w:r>
      <w:proofErr w:type="spellStart"/>
      <w:r w:rsidR="003A7F36">
        <w:t>Telnor</w:t>
      </w:r>
      <w:proofErr w:type="spellEnd"/>
      <w:r w:rsidRPr="00641387">
        <w:t xml:space="preserve"> generará el reporte de atención a la incidencia y lo enviará al CS.</w:t>
      </w:r>
    </w:p>
    <w:p w:rsidR="007B1124" w:rsidRPr="00641387" w:rsidRDefault="007B1124" w:rsidP="00AF3674">
      <w:pPr>
        <w:pStyle w:val="Prrafodelista"/>
        <w:numPr>
          <w:ilvl w:val="0"/>
          <w:numId w:val="6"/>
        </w:numPr>
      </w:pPr>
      <w:r w:rsidRPr="00641387">
        <w:t>El CS validará que la falla reportada en la incidencia haya sido atendida de forma exitosa, en cuyo caso podrá cerrar la incidencia. De lo contrario, podrá iniciar la conciliación de cierre de incidencias.</w:t>
      </w:r>
    </w:p>
    <w:p w:rsidR="007B1124" w:rsidRPr="00641387" w:rsidRDefault="007B1124" w:rsidP="00AF3674">
      <w:pPr>
        <w:pStyle w:val="Prrafodelista"/>
        <w:numPr>
          <w:ilvl w:val="0"/>
          <w:numId w:val="5"/>
        </w:numPr>
      </w:pPr>
      <w:r w:rsidRPr="00641387">
        <w:lastRenderedPageBreak/>
        <w:t>Si la falla reportada en la incidencia es responsabilidad del CS:</w:t>
      </w:r>
    </w:p>
    <w:p w:rsidR="007B1124" w:rsidRPr="00641387" w:rsidRDefault="003A7F36" w:rsidP="00AF3674">
      <w:pPr>
        <w:pStyle w:val="Prrafodelista"/>
        <w:numPr>
          <w:ilvl w:val="0"/>
          <w:numId w:val="7"/>
        </w:numPr>
      </w:pPr>
      <w:proofErr w:type="spellStart"/>
      <w:r>
        <w:t>Telnor</w:t>
      </w:r>
      <w:proofErr w:type="spellEnd"/>
      <w:r w:rsidR="007B1124" w:rsidRPr="00641387">
        <w:t xml:space="preserve"> enviará al CS un reporte que incluya la descripción de la falla, las pruebas que avalen la responsabilidad del CS y la identificación del mismo.</w:t>
      </w:r>
    </w:p>
    <w:p w:rsidR="007B1124" w:rsidRPr="00641387" w:rsidRDefault="007B1124" w:rsidP="00AF3674">
      <w:pPr>
        <w:pStyle w:val="Prrafodelista"/>
        <w:numPr>
          <w:ilvl w:val="0"/>
          <w:numId w:val="7"/>
        </w:numPr>
      </w:pPr>
      <w:r w:rsidRPr="00641387">
        <w:t xml:space="preserve">Si el CS está de acuerdo con el diagnóstico y las evidencias presentadas por </w:t>
      </w:r>
      <w:proofErr w:type="spellStart"/>
      <w:r w:rsidR="003A7F36">
        <w:t>Telnor</w:t>
      </w:r>
      <w:proofErr w:type="spellEnd"/>
      <w:r w:rsidRPr="00641387">
        <w:t>, emitirá un reporte  que incluya la descripción de la falla, el método y tiempo de solución (deberá informar en si es necesario obtener accesos a edificios o si será necesario abrir pozos o realizar trabajos en postes o canalizaciones), y destinará los recursos técnicos y humanos para atender la falla en cuestión.</w:t>
      </w:r>
    </w:p>
    <w:p w:rsidR="007B1124" w:rsidRPr="00641387" w:rsidRDefault="007B1124" w:rsidP="00AF3674">
      <w:pPr>
        <w:pStyle w:val="Prrafodelista"/>
        <w:numPr>
          <w:ilvl w:val="0"/>
          <w:numId w:val="7"/>
        </w:numPr>
      </w:pPr>
      <w:r w:rsidRPr="00641387">
        <w:t xml:space="preserve">Si el CS no está de acuerdo con el diagnóstico y las evidencias presentadas por </w:t>
      </w:r>
      <w:proofErr w:type="spellStart"/>
      <w:r w:rsidR="003A7F36">
        <w:t>Telnor</w:t>
      </w:r>
      <w:proofErr w:type="spellEnd"/>
      <w:r w:rsidRPr="00641387">
        <w:t>, podrá iniciar el proceso de desacuerdo técnico.</w:t>
      </w:r>
      <w:r>
        <w:t xml:space="preserve"> </w:t>
      </w:r>
      <w:proofErr w:type="spellStart"/>
      <w:r w:rsidR="003A7F36">
        <w:t>Telnor</w:t>
      </w:r>
      <w:proofErr w:type="spellEnd"/>
      <w:r>
        <w:t xml:space="preserve"> destinará los recursos técnicos y humanos para atender la falla en cuestión, cuyos gastos serán pagados por el CS a </w:t>
      </w:r>
      <w:proofErr w:type="spellStart"/>
      <w:r w:rsidR="003A7F36">
        <w:t>Telnor</w:t>
      </w:r>
      <w:proofErr w:type="spellEnd"/>
      <w:r>
        <w:t xml:space="preserve"> en caso de que se demuestre que la falla es imputable al CS.</w:t>
      </w:r>
    </w:p>
    <w:p w:rsidR="007B1124" w:rsidRPr="00641387" w:rsidRDefault="003A7F36" w:rsidP="00AF3674">
      <w:pPr>
        <w:pStyle w:val="Prrafodelista"/>
        <w:numPr>
          <w:ilvl w:val="0"/>
          <w:numId w:val="7"/>
        </w:numPr>
      </w:pPr>
      <w:proofErr w:type="spellStart"/>
      <w:r>
        <w:t>Telnor</w:t>
      </w:r>
      <w:proofErr w:type="spellEnd"/>
      <w:r w:rsidR="007B1124" w:rsidRPr="00641387">
        <w:t xml:space="preserve"> validará que la falla reportada en la incidencia haya sido atendida de forma exitosa, en cuyo caso podrá cerrar la incidencia. De lo contrario, podrá iniciar la conciliación de cierre de incidencias.</w:t>
      </w:r>
    </w:p>
    <w:p w:rsidR="007B1124" w:rsidRPr="00641387" w:rsidRDefault="007B1124" w:rsidP="008D2B5A"/>
    <w:p w:rsidR="007B1124" w:rsidRPr="008D0FEB" w:rsidRDefault="007B1124" w:rsidP="00C23941">
      <w:pPr>
        <w:pStyle w:val="Ttulo3"/>
        <w:rPr>
          <w:rStyle w:val="Ttulodellibro"/>
        </w:rPr>
      </w:pPr>
      <w:r w:rsidRPr="008D0FEB">
        <w:rPr>
          <w:rStyle w:val="Ttulodellibro"/>
        </w:rPr>
        <w:t>3.2</w:t>
      </w:r>
      <w:r>
        <w:rPr>
          <w:rStyle w:val="Ttulodellibro"/>
        </w:rPr>
        <w:t>.</w:t>
      </w:r>
      <w:r>
        <w:rPr>
          <w:rStyle w:val="Ttulodellibro"/>
        </w:rPr>
        <w:tab/>
      </w:r>
      <w:r w:rsidRPr="008D0FEB">
        <w:rPr>
          <w:rStyle w:val="Ttulodellibro"/>
        </w:rPr>
        <w:t xml:space="preserve">Cierre de incidencias </w:t>
      </w:r>
    </w:p>
    <w:p w:rsidR="007B1124" w:rsidRPr="00641387" w:rsidRDefault="007B1124" w:rsidP="0059760A">
      <w:r w:rsidRPr="00641387">
        <w:t>El Concesionario responsable notificará a la parte afectada cuando la fall</w:t>
      </w:r>
      <w:r>
        <w:t>a haya sido solucionada; si el Concesionario afectado</w:t>
      </w:r>
      <w:r w:rsidRPr="00641387">
        <w:t xml:space="preserve"> acepta la solución de la incidencia (solución satisfactoria), </w:t>
      </w:r>
      <w:r>
        <w:t>deberá solicitar el cierre de la misma en el Sistema de Captura o el SEG una vez que sea habilitado</w:t>
      </w:r>
      <w:r w:rsidRPr="00641387">
        <w:t>.</w:t>
      </w:r>
    </w:p>
    <w:p w:rsidR="007B1124" w:rsidRPr="00641387" w:rsidRDefault="007B1124" w:rsidP="0059760A">
      <w:r w:rsidRPr="00641387">
        <w:t>Cuando alguna de las partes esté en desacuerdo con las acciones realizadas, deberá iniciar el procedimiento de conciliación de cierre de incidencias.</w:t>
      </w:r>
    </w:p>
    <w:p w:rsidR="007B1124" w:rsidRPr="00641387" w:rsidRDefault="007B1124" w:rsidP="0059760A"/>
    <w:p w:rsidR="007B1124" w:rsidRPr="00641387" w:rsidRDefault="007B1124" w:rsidP="00C23941">
      <w:pPr>
        <w:pStyle w:val="Ttulo3"/>
      </w:pPr>
      <w:r w:rsidRPr="00641387">
        <w:t>3.3</w:t>
      </w:r>
      <w:r>
        <w:t>.</w:t>
      </w:r>
      <w:r>
        <w:tab/>
      </w:r>
      <w:r w:rsidRPr="00641387">
        <w:t>Conciliación de Cierre de Incidencias.</w:t>
      </w:r>
    </w:p>
    <w:p w:rsidR="007B1124" w:rsidRPr="00641387" w:rsidRDefault="007B1124" w:rsidP="0059760A">
      <w:r w:rsidRPr="00641387">
        <w:t>Cuando alguna de las partes esté en desacuerdo con las acciones realizadas, deberá iniciar el procedimiento de conciliación de cierre de incidencias con el fin de deslindar la responsabilidad de la falla y resolver las posibles discrepancias que hayan surgido tras la apertura de la incidencia, incluyendo las siguientes:</w:t>
      </w:r>
    </w:p>
    <w:p w:rsidR="007B1124" w:rsidRPr="00641387" w:rsidRDefault="007B1124" w:rsidP="00AF3674">
      <w:pPr>
        <w:pStyle w:val="Prrafodelista"/>
        <w:numPr>
          <w:ilvl w:val="0"/>
          <w:numId w:val="8"/>
        </w:numPr>
      </w:pPr>
      <w:r w:rsidRPr="00641387">
        <w:t>Rechazos de cierre de reporte que alguna de las partes considere improcedente.</w:t>
      </w:r>
    </w:p>
    <w:p w:rsidR="007B1124" w:rsidRPr="00641387" w:rsidRDefault="007B1124" w:rsidP="00AF3674">
      <w:pPr>
        <w:pStyle w:val="Prrafodelista"/>
        <w:numPr>
          <w:ilvl w:val="0"/>
          <w:numId w:val="8"/>
        </w:numPr>
      </w:pPr>
      <w:r w:rsidRPr="00641387">
        <w:t>Respuesta reiterativa, insuficiente o no actualizada en una solicitud de información relativa a una falla.</w:t>
      </w:r>
    </w:p>
    <w:p w:rsidR="007B1124" w:rsidRPr="00641387" w:rsidRDefault="007B1124" w:rsidP="00AF3674">
      <w:pPr>
        <w:pStyle w:val="Prrafodelista"/>
        <w:numPr>
          <w:ilvl w:val="0"/>
          <w:numId w:val="8"/>
        </w:numPr>
      </w:pPr>
      <w:r w:rsidRPr="00641387">
        <w:t>Expiración de los tiempos de atención o respuesta comprometidos.</w:t>
      </w:r>
    </w:p>
    <w:p w:rsidR="007B1124" w:rsidRDefault="007B1124" w:rsidP="004759A8">
      <w:pPr>
        <w:pStyle w:val="Prrafodelista"/>
        <w:numPr>
          <w:ilvl w:val="0"/>
          <w:numId w:val="9"/>
        </w:numPr>
      </w:pPr>
      <w:r>
        <w:t>Cuando el Concesionario responsable realice el cierre de incidencia, la parte afectada deberá informar al Concesionario responsable su desacuerdo sobre dicho cierre.</w:t>
      </w:r>
    </w:p>
    <w:p w:rsidR="007B1124" w:rsidRDefault="007B1124" w:rsidP="004759A8">
      <w:pPr>
        <w:pStyle w:val="Prrafodelista"/>
        <w:numPr>
          <w:ilvl w:val="0"/>
          <w:numId w:val="9"/>
        </w:numPr>
      </w:pPr>
      <w:r>
        <w:t>El Concesionario responsable analizará la información proporcionada por el afectado.</w:t>
      </w:r>
    </w:p>
    <w:p w:rsidR="007B1124" w:rsidRDefault="007B1124" w:rsidP="004759A8">
      <w:pPr>
        <w:pStyle w:val="Prrafodelista"/>
        <w:numPr>
          <w:ilvl w:val="0"/>
          <w:numId w:val="9"/>
        </w:numPr>
      </w:pPr>
      <w:r>
        <w:t>El Concesionario responsable  enviará y/o solicitará al afectado cuando sea necesario la información que permita deslindar responsabilidades y resolver las discrepancias encontradas.</w:t>
      </w:r>
    </w:p>
    <w:p w:rsidR="007B1124" w:rsidRDefault="007B1124" w:rsidP="004759A8">
      <w:pPr>
        <w:pStyle w:val="Prrafodelista"/>
        <w:numPr>
          <w:ilvl w:val="0"/>
          <w:numId w:val="9"/>
        </w:numPr>
      </w:pPr>
      <w:r>
        <w:t>El Concesionario responsable y el concesionario afectado realizarán el cierre de la incidencia una vez que lleguen a un acuerdo.</w:t>
      </w:r>
    </w:p>
    <w:p w:rsidR="007B1124" w:rsidRPr="00641387" w:rsidRDefault="007B1124" w:rsidP="0059760A">
      <w:r w:rsidRPr="00641387">
        <w:t>En caso de no lograr un acuerdo, se dará inicio al proceso de desacuerdos.</w:t>
      </w:r>
    </w:p>
    <w:p w:rsidR="007B1124" w:rsidRPr="00641387" w:rsidRDefault="007B1124" w:rsidP="0059760A">
      <w:r w:rsidRPr="00641387">
        <w:t xml:space="preserve">Para todos los casos en los que los CS hayan originado una incidencia y la falla reportada en la misma sea declarada imputable al CS, éste deberá pagar a </w:t>
      </w:r>
      <w:proofErr w:type="spellStart"/>
      <w:r w:rsidR="003A7F36">
        <w:t>Telnor</w:t>
      </w:r>
      <w:proofErr w:type="spellEnd"/>
      <w:r w:rsidRPr="00641387">
        <w:t xml:space="preserve"> por los gastos incurridos durante la atención de la falla. </w:t>
      </w:r>
    </w:p>
    <w:p w:rsidR="007B1124" w:rsidRPr="00641387" w:rsidRDefault="007B1124" w:rsidP="0059760A">
      <w:r w:rsidRPr="00641387">
        <w:lastRenderedPageBreak/>
        <w:t xml:space="preserve">De la misma forma, si </w:t>
      </w:r>
      <w:proofErr w:type="spellStart"/>
      <w:r w:rsidR="003A7F36">
        <w:t>Telnor</w:t>
      </w:r>
      <w:proofErr w:type="spellEnd"/>
      <w:r w:rsidRPr="00641387">
        <w:t xml:space="preserve"> llegase a imputar fallas al CS y éste demostrara lo contrario, </w:t>
      </w:r>
      <w:proofErr w:type="spellStart"/>
      <w:r w:rsidR="003A7F36">
        <w:t>Telnor</w:t>
      </w:r>
      <w:proofErr w:type="spellEnd"/>
      <w:r w:rsidRPr="00641387">
        <w:t xml:space="preserve"> deberá pagar al CS por los gastos incurridos durante la atención de la falla.</w:t>
      </w:r>
    </w:p>
    <w:p w:rsidR="007B1124" w:rsidRPr="00641387" w:rsidRDefault="007B1124" w:rsidP="0059760A">
      <w:r w:rsidRPr="00641387">
        <w:t xml:space="preserve">Cualquier eventualidad relacionada con el Concesionario Solicitante o causas externas a </w:t>
      </w:r>
      <w:proofErr w:type="spellStart"/>
      <w:r w:rsidR="003A7F36">
        <w:t>Telnor</w:t>
      </w:r>
      <w:proofErr w:type="spellEnd"/>
      <w:r w:rsidRPr="00641387">
        <w:t xml:space="preserve"> que impliquen detener la contabilización del tiempo para la atención y seguimiento de la incidencia en el proceso de solución de la misma, será comunicada al CS y no se contabilizará para el cálculo de índices de calidad.</w:t>
      </w:r>
    </w:p>
    <w:p w:rsidR="007B1124" w:rsidRPr="00641387" w:rsidRDefault="007B1124" w:rsidP="001B3F1B">
      <w:pPr>
        <w:pStyle w:val="Ttulo2"/>
      </w:pPr>
      <w:r w:rsidRPr="00641387">
        <w:t>Procedimiento para Mantenimiento Correctivo</w:t>
      </w:r>
    </w:p>
    <w:p w:rsidR="007B1124" w:rsidRPr="00641387" w:rsidRDefault="007B1124" w:rsidP="00C23941">
      <w:pPr>
        <w:pStyle w:val="Ttulo3"/>
      </w:pPr>
      <w:r>
        <w:t>4.1.</w:t>
      </w:r>
      <w:r>
        <w:tab/>
      </w:r>
      <w:r w:rsidRPr="00641387">
        <w:t>Verificación previa al reporte de falla</w:t>
      </w:r>
    </w:p>
    <w:p w:rsidR="007B1124" w:rsidRPr="00641387" w:rsidRDefault="007B1124" w:rsidP="00BD1469">
      <w:r w:rsidRPr="00641387">
        <w:t xml:space="preserve">Antes de levantar una incidencia los CS y el propio </w:t>
      </w:r>
      <w:proofErr w:type="spellStart"/>
      <w:r w:rsidR="003A7F36">
        <w:t>Telnor</w:t>
      </w:r>
      <w:proofErr w:type="spellEnd"/>
      <w:r w:rsidRPr="00641387">
        <w:t xml:space="preserve"> deberán comprobar previamente que la falla reportada no es debida a un error en su propia red, por ejemplo: </w:t>
      </w:r>
    </w:p>
    <w:p w:rsidR="007B1124" w:rsidRPr="00641387" w:rsidRDefault="007B1124" w:rsidP="00AF3674">
      <w:pPr>
        <w:pStyle w:val="Prrafodelista"/>
        <w:numPr>
          <w:ilvl w:val="0"/>
          <w:numId w:val="10"/>
        </w:numPr>
      </w:pPr>
      <w:r w:rsidRPr="00641387">
        <w:t>Mal funcionamiento de los propios elementos de red.</w:t>
      </w:r>
    </w:p>
    <w:p w:rsidR="007B1124" w:rsidRPr="00641387" w:rsidRDefault="007B1124" w:rsidP="00AF3674">
      <w:pPr>
        <w:pStyle w:val="Prrafodelista"/>
        <w:numPr>
          <w:ilvl w:val="0"/>
          <w:numId w:val="10"/>
        </w:numPr>
      </w:pPr>
      <w:r w:rsidRPr="00641387">
        <w:t>Defectos, anomalías o interferencias en la red o instalaciones propias o de sus clientes.</w:t>
      </w:r>
    </w:p>
    <w:p w:rsidR="007B1124" w:rsidRPr="00641387" w:rsidRDefault="007B1124" w:rsidP="00AF3674">
      <w:pPr>
        <w:pStyle w:val="Prrafodelista"/>
        <w:numPr>
          <w:ilvl w:val="0"/>
          <w:numId w:val="10"/>
        </w:numPr>
      </w:pPr>
      <w:r w:rsidRPr="00641387">
        <w:t xml:space="preserve">Configuración incorrecta de los parámetros de red. </w:t>
      </w:r>
    </w:p>
    <w:p w:rsidR="007B1124" w:rsidRPr="00641387" w:rsidRDefault="007B1124" w:rsidP="00AF3674">
      <w:pPr>
        <w:pStyle w:val="Prrafodelista"/>
        <w:numPr>
          <w:ilvl w:val="0"/>
          <w:numId w:val="10"/>
        </w:numPr>
      </w:pPr>
      <w:r w:rsidRPr="00641387">
        <w:t xml:space="preserve">Equipos de fuerza apagados o sin energía eléctrica en sitio. </w:t>
      </w:r>
    </w:p>
    <w:p w:rsidR="007B1124" w:rsidRDefault="007B1124" w:rsidP="00BD1469">
      <w:r w:rsidRPr="00641387">
        <w:t xml:space="preserve">Cualquier registro de incidencia ajeno al alcance de los servicios de la Oferta de Compartición que no esté relacionado con un daño en la infraestructura propiedad de </w:t>
      </w:r>
      <w:proofErr w:type="spellStart"/>
      <w:r w:rsidR="003A7F36">
        <w:t>Telnor</w:t>
      </w:r>
      <w:proofErr w:type="spellEnd"/>
      <w:r w:rsidRPr="00641387">
        <w:t xml:space="preserve"> se considera una falla imputable al CS o de caso fortuito o fuerza mayor.</w:t>
      </w:r>
    </w:p>
    <w:p w:rsidR="007B1124" w:rsidRPr="00641387" w:rsidRDefault="007B1124" w:rsidP="00C23941">
      <w:pPr>
        <w:pStyle w:val="Ttulo3"/>
      </w:pPr>
      <w:r>
        <w:t>4.2.</w:t>
      </w:r>
      <w:r>
        <w:tab/>
      </w:r>
      <w:r w:rsidRPr="00641387">
        <w:t>Reporte de falla</w:t>
      </w:r>
    </w:p>
    <w:p w:rsidR="007B1124" w:rsidRPr="00641387" w:rsidRDefault="007B1124" w:rsidP="00BD1469">
      <w:r w:rsidRPr="00641387">
        <w:t xml:space="preserve">Al levantar una incidencia a través de uno de los puntos de contacto definidos, los CS y </w:t>
      </w:r>
      <w:proofErr w:type="spellStart"/>
      <w:r w:rsidR="003A7F36">
        <w:t>Telnor</w:t>
      </w:r>
      <w:proofErr w:type="spellEnd"/>
      <w:r w:rsidRPr="00641387">
        <w:t xml:space="preserve"> deberán informar concretamente la falla, y proporcionar los siguientes datos:</w:t>
      </w:r>
    </w:p>
    <w:p w:rsidR="007B1124" w:rsidRPr="00641387" w:rsidRDefault="007B1124" w:rsidP="00AF3674">
      <w:pPr>
        <w:pStyle w:val="Prrafodelista"/>
        <w:numPr>
          <w:ilvl w:val="0"/>
          <w:numId w:val="11"/>
        </w:numPr>
      </w:pPr>
      <w:r w:rsidRPr="00641387">
        <w:t xml:space="preserve">Nombre del Concesionario Solicitante </w:t>
      </w:r>
    </w:p>
    <w:p w:rsidR="007B1124" w:rsidRPr="00641387" w:rsidRDefault="007B1124" w:rsidP="00AF3674">
      <w:pPr>
        <w:pStyle w:val="Prrafodelista"/>
        <w:numPr>
          <w:ilvl w:val="0"/>
          <w:numId w:val="11"/>
        </w:numPr>
      </w:pPr>
      <w:r w:rsidRPr="00641387">
        <w:lastRenderedPageBreak/>
        <w:t>Nombre de la persona que reporta el servicio</w:t>
      </w:r>
    </w:p>
    <w:p w:rsidR="007B1124" w:rsidRPr="00641387" w:rsidRDefault="007B1124" w:rsidP="00AF3674">
      <w:pPr>
        <w:pStyle w:val="Prrafodelista"/>
        <w:numPr>
          <w:ilvl w:val="0"/>
          <w:numId w:val="11"/>
        </w:numPr>
      </w:pPr>
      <w:r w:rsidRPr="00641387">
        <w:t>Teléfonos de contacto (principal y alternativo)</w:t>
      </w:r>
    </w:p>
    <w:p w:rsidR="007B1124" w:rsidRPr="00641387" w:rsidRDefault="007B1124" w:rsidP="00AF3674">
      <w:pPr>
        <w:pStyle w:val="Prrafodelista"/>
        <w:numPr>
          <w:ilvl w:val="0"/>
          <w:numId w:val="11"/>
        </w:numPr>
      </w:pPr>
      <w:r w:rsidRPr="00641387">
        <w:t>Direcciones de correo electrónico (principal y alternativa)</w:t>
      </w:r>
    </w:p>
    <w:p w:rsidR="007B1124" w:rsidRPr="00641387" w:rsidRDefault="007B1124" w:rsidP="00AF3674">
      <w:pPr>
        <w:pStyle w:val="Prrafodelista"/>
        <w:numPr>
          <w:ilvl w:val="0"/>
          <w:numId w:val="11"/>
        </w:numPr>
      </w:pPr>
      <w:r w:rsidRPr="00641387">
        <w:t>Tipo de incidencia</w:t>
      </w:r>
    </w:p>
    <w:p w:rsidR="007B1124" w:rsidRPr="00641387" w:rsidRDefault="007B1124" w:rsidP="00AF3674">
      <w:pPr>
        <w:pStyle w:val="Prrafodelista"/>
        <w:numPr>
          <w:ilvl w:val="0"/>
          <w:numId w:val="11"/>
        </w:numPr>
      </w:pPr>
      <w:r w:rsidRPr="00641387">
        <w:t>Descripción de la falla</w:t>
      </w:r>
    </w:p>
    <w:p w:rsidR="007B1124" w:rsidRPr="00641387" w:rsidRDefault="007B1124" w:rsidP="00AF3674">
      <w:pPr>
        <w:pStyle w:val="Prrafodelista"/>
        <w:numPr>
          <w:ilvl w:val="0"/>
          <w:numId w:val="11"/>
        </w:numPr>
      </w:pPr>
      <w:r w:rsidRPr="00641387">
        <w:t>Prioridad de atención (prioridad urgente se refiere a una afectación total; las demás afectaciones tendrán menor prioridad)</w:t>
      </w:r>
    </w:p>
    <w:p w:rsidR="007B1124" w:rsidRPr="00641387" w:rsidRDefault="007B1124" w:rsidP="00AF3674">
      <w:pPr>
        <w:pStyle w:val="Prrafodelista"/>
        <w:numPr>
          <w:ilvl w:val="0"/>
          <w:numId w:val="11"/>
        </w:numPr>
      </w:pPr>
      <w:r w:rsidRPr="00641387">
        <w:t>Referencia geográfica del sitio donde se encuentra la falla de infraestructura (domicilio)</w:t>
      </w:r>
    </w:p>
    <w:p w:rsidR="007B1124" w:rsidRPr="00641387" w:rsidRDefault="007B1124" w:rsidP="00BD1469">
      <w:r w:rsidRPr="00641387">
        <w:t xml:space="preserve">Una vez completados correctamente todos los campos obligatorios de la incidencia, ésta quedará registrada en el sistema con fecha y hora de captura y se proporcionará al CS un folio asociado a este reporte de incidencia para su seguimiento. </w:t>
      </w:r>
    </w:p>
    <w:p w:rsidR="007B1124" w:rsidRPr="00EA5AF8" w:rsidRDefault="007B1124" w:rsidP="00BD1469">
      <w:pPr>
        <w:rPr>
          <w:sz w:val="14"/>
        </w:rPr>
      </w:pPr>
    </w:p>
    <w:p w:rsidR="007B1124" w:rsidRPr="00641387" w:rsidRDefault="007B1124" w:rsidP="00C23941">
      <w:pPr>
        <w:pStyle w:val="Ttulo3"/>
      </w:pPr>
      <w:r>
        <w:t>4.3.</w:t>
      </w:r>
      <w:r>
        <w:tab/>
      </w:r>
      <w:r w:rsidRPr="00641387">
        <w:t>Resolución de fallas</w:t>
      </w:r>
    </w:p>
    <w:p w:rsidR="007B1124" w:rsidRPr="00641387" w:rsidRDefault="007B1124" w:rsidP="00BD1469">
      <w:r w:rsidRPr="00641387">
        <w:t>El Concesionario responsable de la falla  realizará las actividades necesarias para dar solución a la misma; en caso de no cumplir con la fecha y horario comprometidos, el Concesionario responsable notificará dicha situación a la parte afectada, indicando el estatus de la misma, así como una fecha y horario compromiso nuevos.</w:t>
      </w:r>
    </w:p>
    <w:p w:rsidR="007B1124" w:rsidRPr="00641387" w:rsidRDefault="007B1124" w:rsidP="00BD1469">
      <w:r w:rsidRPr="00641387">
        <w:t>Una vez resuelta la falla por parte del equipo del Concesionario responsable, ésta notificará a la parte afectada la resolución de la misma.</w:t>
      </w:r>
    </w:p>
    <w:p w:rsidR="007B1124" w:rsidRPr="00641387" w:rsidRDefault="007B1124" w:rsidP="00BD1469">
      <w:r w:rsidRPr="00641387">
        <w:lastRenderedPageBreak/>
        <w:t>La parte afectada verificará que la</w:t>
      </w:r>
      <w:r>
        <w:t xml:space="preserve"> falla</w:t>
      </w:r>
      <w:r w:rsidRPr="00641387">
        <w:t xml:space="preserve"> haya sido corregida y el servicio restablecido, en cuyo caso cerrará en el SEG</w:t>
      </w:r>
      <w:r>
        <w:t>, sistema de captura</w:t>
      </w:r>
      <w:r w:rsidRPr="00641387">
        <w:t xml:space="preserve"> o medio alterno el reporte de incidencia. De lo contrario indicará la descripción de la falla persistente y procederá a realizar el escalamiento.</w:t>
      </w:r>
    </w:p>
    <w:p w:rsidR="007B1124" w:rsidRPr="00641387" w:rsidRDefault="007B1124" w:rsidP="00BD1469">
      <w:r w:rsidRPr="00641387">
        <w:t>Cualquier eventualidad que impliquen detener la contabilización del tiempo de la incidencia en el proceso de solución de la misma, será comunicada a la parte afectada y no se contabilizará para el cálculo de índices de calidad.</w:t>
      </w:r>
    </w:p>
    <w:p w:rsidR="007B1124" w:rsidRPr="00641387" w:rsidRDefault="007B1124" w:rsidP="00C23941">
      <w:pPr>
        <w:pStyle w:val="Ttulo3"/>
      </w:pPr>
      <w:r w:rsidRPr="00641387">
        <w:t>4.4</w:t>
      </w:r>
      <w:r>
        <w:t>.</w:t>
      </w:r>
      <w:r>
        <w:tab/>
      </w:r>
      <w:r w:rsidRPr="00641387">
        <w:t>Procedimiento de Escalamiento para Resolución de Fallas</w:t>
      </w:r>
    </w:p>
    <w:p w:rsidR="007B1124" w:rsidRPr="00641387" w:rsidRDefault="007B1124" w:rsidP="00BD1469">
      <w:r w:rsidRPr="00641387">
        <w:t>Cuando alguna de las partes esté en desacuerdo con las acciones realizadas, se podrá iniciar el procedimiento de escalamiento de fallas con el fin de resolver las posibles discrepancias que hayan surgido tras la apertura de la incidencia.</w:t>
      </w:r>
    </w:p>
    <w:p w:rsidR="007B1124" w:rsidRPr="00641387" w:rsidRDefault="007B1124" w:rsidP="00BD1469">
      <w:r w:rsidRPr="00641387">
        <w:t xml:space="preserve">El escalamiento podrá hacerse solo para incidencias abiertas (activas/pendientes) independientemente del plazo transcurrido desde la solicitud de apertura, el procedimiento de escalamiento se iniciará vía telefónica. </w:t>
      </w:r>
    </w:p>
    <w:p w:rsidR="007B1124" w:rsidRDefault="007B1124" w:rsidP="00BD1469">
      <w:r w:rsidRPr="00641387">
        <w:t xml:space="preserve">Los Concesionarios y </w:t>
      </w:r>
      <w:proofErr w:type="spellStart"/>
      <w:r w:rsidR="003A7F36">
        <w:t>Telnor</w:t>
      </w:r>
      <w:proofErr w:type="spellEnd"/>
      <w:r w:rsidRPr="00641387">
        <w:t xml:space="preserve"> proporcionarán sus correspondientes cuadros de escalamiento, según el formato incluido a continuación. Las personas responsables de cada nivel de escalamiento tendrán una disponibilidad de 24 horas, los 7 días de la semana, los 365 días del año.</w:t>
      </w:r>
    </w:p>
    <w:tbl>
      <w:tblPr>
        <w:tblStyle w:val="Cuadrculadetablaclara"/>
        <w:tblW w:w="5000" w:type="pct"/>
        <w:jc w:val="center"/>
        <w:tblLook w:val="00A0" w:firstRow="1" w:lastRow="0" w:firstColumn="1" w:lastColumn="0" w:noHBand="0" w:noVBand="0"/>
        <w:tblCaption w:val="Tabla"/>
        <w:tblDescription w:val="Matriz de Escalamiento Concesionario"/>
      </w:tblPr>
      <w:tblGrid>
        <w:gridCol w:w="2988"/>
        <w:gridCol w:w="4382"/>
        <w:gridCol w:w="2026"/>
      </w:tblGrid>
      <w:tr w:rsidR="00B34267" w:rsidRPr="00794F59" w:rsidTr="00B34267">
        <w:trPr>
          <w:tblHeader/>
          <w:jc w:val="center"/>
        </w:trPr>
        <w:tc>
          <w:tcPr>
            <w:tcW w:w="1590" w:type="pct"/>
            <w:tcBorders>
              <w:right w:val="nil"/>
            </w:tcBorders>
            <w:shd w:val="clear" w:color="auto" w:fill="548DD4" w:themeFill="text2" w:themeFillTint="99"/>
          </w:tcPr>
          <w:p w:rsidR="00B34267" w:rsidRPr="00760EFE" w:rsidRDefault="00B34267" w:rsidP="00760EFE">
            <w:pPr>
              <w:spacing w:before="0" w:after="60" w:line="240" w:lineRule="auto"/>
              <w:jc w:val="center"/>
              <w:rPr>
                <w:b/>
                <w:color w:val="FFFFFF"/>
                <w:sz w:val="20"/>
                <w:szCs w:val="20"/>
              </w:rPr>
            </w:pPr>
          </w:p>
        </w:tc>
        <w:tc>
          <w:tcPr>
            <w:tcW w:w="2332" w:type="pct"/>
            <w:tcBorders>
              <w:left w:val="nil"/>
            </w:tcBorders>
            <w:shd w:val="clear" w:color="auto" w:fill="548DD4" w:themeFill="text2" w:themeFillTint="99"/>
          </w:tcPr>
          <w:p w:rsidR="00B34267" w:rsidRPr="00760EFE" w:rsidRDefault="00B34267" w:rsidP="00760EFE">
            <w:pPr>
              <w:spacing w:before="0" w:after="60" w:line="240" w:lineRule="auto"/>
              <w:jc w:val="center"/>
              <w:rPr>
                <w:b/>
                <w:color w:val="FFFFFF"/>
                <w:sz w:val="20"/>
                <w:szCs w:val="20"/>
              </w:rPr>
            </w:pPr>
            <w:r w:rsidRPr="00760EFE">
              <w:rPr>
                <w:b/>
                <w:color w:val="FFFFFF"/>
                <w:sz w:val="20"/>
                <w:szCs w:val="20"/>
              </w:rPr>
              <w:t>Matriz de Escalamiento Concesionario</w:t>
            </w:r>
          </w:p>
        </w:tc>
        <w:tc>
          <w:tcPr>
            <w:tcW w:w="1078" w:type="pct"/>
            <w:shd w:val="clear" w:color="auto" w:fill="548DD4" w:themeFill="text2" w:themeFillTint="99"/>
          </w:tcPr>
          <w:p w:rsidR="00B34267" w:rsidRPr="00760EFE" w:rsidRDefault="00B34267" w:rsidP="00760EFE">
            <w:pPr>
              <w:spacing w:before="0" w:after="60" w:line="240" w:lineRule="auto"/>
              <w:jc w:val="center"/>
              <w:rPr>
                <w:b/>
                <w:color w:val="FFFFFF"/>
                <w:sz w:val="20"/>
                <w:szCs w:val="20"/>
              </w:rPr>
            </w:pPr>
            <w:r w:rsidRPr="00760EFE">
              <w:rPr>
                <w:b/>
                <w:color w:val="FFFFFF"/>
                <w:sz w:val="20"/>
                <w:szCs w:val="20"/>
              </w:rPr>
              <w:t>Tiempo de Respuesta</w:t>
            </w:r>
          </w:p>
        </w:tc>
      </w:tr>
      <w:tr w:rsidR="007B1124" w:rsidRPr="00794F59" w:rsidTr="00B34267">
        <w:trPr>
          <w:jc w:val="center"/>
        </w:trPr>
        <w:tc>
          <w:tcPr>
            <w:tcW w:w="1590" w:type="pct"/>
            <w:shd w:val="clear" w:color="auto" w:fill="548DD4" w:themeFill="text2" w:themeFillTint="99"/>
          </w:tcPr>
          <w:p w:rsidR="007B1124" w:rsidRPr="00760EFE" w:rsidRDefault="007B1124" w:rsidP="00760EFE">
            <w:pPr>
              <w:spacing w:before="0" w:after="60" w:line="240" w:lineRule="auto"/>
              <w:jc w:val="center"/>
              <w:rPr>
                <w:b/>
                <w:color w:val="FFFFFF"/>
                <w:sz w:val="20"/>
                <w:szCs w:val="20"/>
              </w:rPr>
            </w:pPr>
            <w:r w:rsidRPr="00760EFE">
              <w:rPr>
                <w:b/>
                <w:color w:val="FFFFFF"/>
                <w:sz w:val="20"/>
                <w:szCs w:val="20"/>
              </w:rPr>
              <w:t>Nivel 1</w:t>
            </w:r>
          </w:p>
        </w:tc>
        <w:tc>
          <w:tcPr>
            <w:tcW w:w="2332" w:type="pct"/>
            <w:shd w:val="clear" w:color="auto" w:fill="548DD4" w:themeFill="text2" w:themeFillTint="99"/>
          </w:tcPr>
          <w:p w:rsidR="007B1124" w:rsidRPr="00760EFE" w:rsidRDefault="007B1124" w:rsidP="00760EFE">
            <w:pPr>
              <w:spacing w:before="0" w:after="60" w:line="240" w:lineRule="auto"/>
              <w:jc w:val="center"/>
              <w:rPr>
                <w:b/>
                <w:color w:val="FFFFFF"/>
                <w:sz w:val="20"/>
                <w:szCs w:val="20"/>
              </w:rPr>
            </w:pPr>
            <w:r w:rsidRPr="00760EFE">
              <w:rPr>
                <w:b/>
                <w:color w:val="FFFFFF"/>
                <w:sz w:val="20"/>
                <w:szCs w:val="20"/>
              </w:rPr>
              <w:t>Contacto</w:t>
            </w:r>
          </w:p>
        </w:tc>
        <w:tc>
          <w:tcPr>
            <w:tcW w:w="1078" w:type="pct"/>
            <w:shd w:val="clear" w:color="auto" w:fill="548DD4" w:themeFill="text2" w:themeFillTint="99"/>
          </w:tcPr>
          <w:p w:rsidR="007B1124" w:rsidRPr="00760EFE" w:rsidRDefault="007B1124" w:rsidP="00760EFE">
            <w:pPr>
              <w:spacing w:before="0" w:after="60" w:line="240" w:lineRule="auto"/>
              <w:jc w:val="center"/>
              <w:rPr>
                <w:b/>
                <w:color w:val="FFFFFF"/>
                <w:sz w:val="20"/>
                <w:szCs w:val="20"/>
              </w:rPr>
            </w:pPr>
            <w:r w:rsidRPr="00760EFE">
              <w:rPr>
                <w:b/>
                <w:color w:val="FFFFFF"/>
                <w:sz w:val="20"/>
                <w:szCs w:val="20"/>
              </w:rPr>
              <w:t>24 horas</w:t>
            </w:r>
          </w:p>
        </w:tc>
      </w:tr>
      <w:tr w:rsidR="007B1124" w:rsidRPr="00794F59" w:rsidTr="00B34267">
        <w:trPr>
          <w:jc w:val="center"/>
        </w:trPr>
        <w:tc>
          <w:tcPr>
            <w:tcW w:w="1590" w:type="pct"/>
          </w:tcPr>
          <w:p w:rsidR="007B1124" w:rsidRPr="00794F59" w:rsidRDefault="007B1124" w:rsidP="00760EFE">
            <w:pPr>
              <w:spacing w:before="0" w:after="60" w:line="240" w:lineRule="auto"/>
              <w:rPr>
                <w:sz w:val="20"/>
                <w:szCs w:val="20"/>
              </w:rPr>
            </w:pPr>
          </w:p>
        </w:tc>
        <w:tc>
          <w:tcPr>
            <w:tcW w:w="2332" w:type="pct"/>
          </w:tcPr>
          <w:p w:rsidR="007B1124" w:rsidRPr="00794F59" w:rsidRDefault="007B1124" w:rsidP="00760EFE">
            <w:pPr>
              <w:spacing w:before="0" w:after="60" w:line="240" w:lineRule="auto"/>
              <w:rPr>
                <w:sz w:val="20"/>
                <w:szCs w:val="20"/>
              </w:rPr>
            </w:pPr>
            <w:r w:rsidRPr="00794F59">
              <w:rPr>
                <w:sz w:val="20"/>
                <w:szCs w:val="20"/>
              </w:rPr>
              <w:t xml:space="preserve">Correo:  </w:t>
            </w:r>
          </w:p>
          <w:p w:rsidR="007B1124" w:rsidRPr="00794F59" w:rsidRDefault="007B1124" w:rsidP="00760EFE">
            <w:pPr>
              <w:spacing w:before="0" w:after="60" w:line="240" w:lineRule="auto"/>
              <w:rPr>
                <w:sz w:val="20"/>
                <w:szCs w:val="20"/>
              </w:rPr>
            </w:pPr>
            <w:r w:rsidRPr="00794F59">
              <w:rPr>
                <w:sz w:val="20"/>
                <w:szCs w:val="20"/>
              </w:rPr>
              <w:t xml:space="preserve">Tel. </w:t>
            </w:r>
          </w:p>
          <w:p w:rsidR="007B1124" w:rsidRPr="00794F59" w:rsidRDefault="007B1124" w:rsidP="00760EFE">
            <w:pPr>
              <w:spacing w:before="0" w:after="60" w:line="240" w:lineRule="auto"/>
              <w:rPr>
                <w:sz w:val="20"/>
                <w:szCs w:val="20"/>
              </w:rPr>
            </w:pPr>
            <w:r w:rsidRPr="00794F59">
              <w:rPr>
                <w:sz w:val="20"/>
                <w:szCs w:val="20"/>
              </w:rPr>
              <w:t>Celular:</w:t>
            </w:r>
          </w:p>
        </w:tc>
        <w:tc>
          <w:tcPr>
            <w:tcW w:w="1078" w:type="pct"/>
          </w:tcPr>
          <w:p w:rsidR="007B1124" w:rsidRPr="00794F59" w:rsidRDefault="007B1124" w:rsidP="00760EFE">
            <w:pPr>
              <w:spacing w:before="0" w:after="60" w:line="240" w:lineRule="auto"/>
              <w:rPr>
                <w:sz w:val="20"/>
                <w:szCs w:val="20"/>
              </w:rPr>
            </w:pPr>
          </w:p>
        </w:tc>
      </w:tr>
      <w:tr w:rsidR="007B1124" w:rsidRPr="00794F59" w:rsidTr="00B34267">
        <w:trPr>
          <w:jc w:val="center"/>
        </w:trPr>
        <w:tc>
          <w:tcPr>
            <w:tcW w:w="1590" w:type="pct"/>
            <w:shd w:val="clear" w:color="auto" w:fill="548DD4" w:themeFill="text2" w:themeFillTint="99"/>
          </w:tcPr>
          <w:p w:rsidR="007B1124" w:rsidRPr="00760EFE" w:rsidRDefault="007B1124" w:rsidP="00760EFE">
            <w:pPr>
              <w:spacing w:before="0" w:after="60" w:line="240" w:lineRule="auto"/>
              <w:jc w:val="center"/>
              <w:rPr>
                <w:b/>
                <w:color w:val="FFFFFF"/>
                <w:sz w:val="20"/>
                <w:szCs w:val="20"/>
              </w:rPr>
            </w:pPr>
            <w:r w:rsidRPr="00760EFE">
              <w:rPr>
                <w:b/>
                <w:color w:val="FFFFFF"/>
                <w:sz w:val="20"/>
                <w:szCs w:val="20"/>
              </w:rPr>
              <w:t>Nivel 2</w:t>
            </w:r>
          </w:p>
        </w:tc>
        <w:tc>
          <w:tcPr>
            <w:tcW w:w="2332" w:type="pct"/>
            <w:shd w:val="clear" w:color="auto" w:fill="548DD4" w:themeFill="text2" w:themeFillTint="99"/>
          </w:tcPr>
          <w:p w:rsidR="007B1124" w:rsidRPr="00760EFE" w:rsidRDefault="007B1124" w:rsidP="00760EFE">
            <w:pPr>
              <w:spacing w:before="0" w:after="60" w:line="240" w:lineRule="auto"/>
              <w:jc w:val="center"/>
              <w:rPr>
                <w:b/>
                <w:color w:val="FFFFFF"/>
                <w:sz w:val="20"/>
                <w:szCs w:val="20"/>
              </w:rPr>
            </w:pPr>
            <w:r w:rsidRPr="00760EFE">
              <w:rPr>
                <w:b/>
                <w:color w:val="FFFFFF"/>
                <w:sz w:val="20"/>
                <w:szCs w:val="20"/>
              </w:rPr>
              <w:t>Contacto</w:t>
            </w:r>
          </w:p>
        </w:tc>
        <w:tc>
          <w:tcPr>
            <w:tcW w:w="1078" w:type="pct"/>
            <w:shd w:val="clear" w:color="auto" w:fill="548DD4" w:themeFill="text2" w:themeFillTint="99"/>
          </w:tcPr>
          <w:p w:rsidR="007B1124" w:rsidRPr="00760EFE" w:rsidRDefault="007B1124" w:rsidP="00760EFE">
            <w:pPr>
              <w:spacing w:before="0" w:after="60" w:line="240" w:lineRule="auto"/>
              <w:jc w:val="center"/>
              <w:rPr>
                <w:b/>
                <w:color w:val="FFFFFF"/>
                <w:sz w:val="20"/>
                <w:szCs w:val="20"/>
              </w:rPr>
            </w:pPr>
            <w:r w:rsidRPr="00760EFE">
              <w:rPr>
                <w:b/>
                <w:color w:val="FFFFFF"/>
                <w:sz w:val="20"/>
                <w:szCs w:val="20"/>
              </w:rPr>
              <w:t>48 horas</w:t>
            </w:r>
          </w:p>
        </w:tc>
      </w:tr>
      <w:tr w:rsidR="007B1124" w:rsidRPr="00794F59" w:rsidTr="00B34267">
        <w:trPr>
          <w:jc w:val="center"/>
        </w:trPr>
        <w:tc>
          <w:tcPr>
            <w:tcW w:w="1590" w:type="pct"/>
          </w:tcPr>
          <w:p w:rsidR="007B1124" w:rsidRPr="00794F59" w:rsidRDefault="007B1124" w:rsidP="00760EFE">
            <w:pPr>
              <w:spacing w:before="0" w:after="60" w:line="240" w:lineRule="auto"/>
              <w:rPr>
                <w:sz w:val="20"/>
                <w:szCs w:val="20"/>
              </w:rPr>
            </w:pPr>
          </w:p>
        </w:tc>
        <w:tc>
          <w:tcPr>
            <w:tcW w:w="2332" w:type="pct"/>
          </w:tcPr>
          <w:p w:rsidR="007B1124" w:rsidRPr="00794F59" w:rsidRDefault="007B1124" w:rsidP="00760EFE">
            <w:pPr>
              <w:spacing w:before="0" w:after="60" w:line="240" w:lineRule="auto"/>
              <w:rPr>
                <w:sz w:val="20"/>
                <w:szCs w:val="20"/>
              </w:rPr>
            </w:pPr>
            <w:r w:rsidRPr="00794F59">
              <w:rPr>
                <w:sz w:val="20"/>
                <w:szCs w:val="20"/>
              </w:rPr>
              <w:t xml:space="preserve">Correo:  </w:t>
            </w:r>
          </w:p>
          <w:p w:rsidR="007B1124" w:rsidRPr="00794F59" w:rsidRDefault="007B1124" w:rsidP="00760EFE">
            <w:pPr>
              <w:spacing w:before="0" w:after="60" w:line="240" w:lineRule="auto"/>
              <w:rPr>
                <w:sz w:val="20"/>
                <w:szCs w:val="20"/>
              </w:rPr>
            </w:pPr>
            <w:r w:rsidRPr="00794F59">
              <w:rPr>
                <w:sz w:val="20"/>
                <w:szCs w:val="20"/>
              </w:rPr>
              <w:t xml:space="preserve">Tel. </w:t>
            </w:r>
          </w:p>
          <w:p w:rsidR="007B1124" w:rsidRPr="00794F59" w:rsidRDefault="007B1124" w:rsidP="00760EFE">
            <w:pPr>
              <w:spacing w:before="0" w:after="60" w:line="240" w:lineRule="auto"/>
              <w:rPr>
                <w:sz w:val="20"/>
                <w:szCs w:val="20"/>
              </w:rPr>
            </w:pPr>
            <w:r w:rsidRPr="00794F59">
              <w:rPr>
                <w:sz w:val="20"/>
                <w:szCs w:val="20"/>
              </w:rPr>
              <w:t xml:space="preserve">Celular: </w:t>
            </w:r>
          </w:p>
        </w:tc>
        <w:tc>
          <w:tcPr>
            <w:tcW w:w="1078" w:type="pct"/>
          </w:tcPr>
          <w:p w:rsidR="007B1124" w:rsidRPr="00794F59" w:rsidRDefault="007B1124" w:rsidP="00760EFE">
            <w:pPr>
              <w:spacing w:before="0" w:after="60" w:line="240" w:lineRule="auto"/>
              <w:rPr>
                <w:sz w:val="20"/>
                <w:szCs w:val="20"/>
              </w:rPr>
            </w:pPr>
          </w:p>
        </w:tc>
      </w:tr>
    </w:tbl>
    <w:p w:rsidR="007B1124" w:rsidRPr="00641387" w:rsidRDefault="007B1124" w:rsidP="00C23941">
      <w:pPr>
        <w:pStyle w:val="Ttulo3"/>
      </w:pPr>
      <w:r w:rsidRPr="00641387">
        <w:lastRenderedPageBreak/>
        <w:t>4.5</w:t>
      </w:r>
      <w:r>
        <w:t>.</w:t>
      </w:r>
      <w:r>
        <w:tab/>
      </w:r>
      <w:r w:rsidRPr="00641387">
        <w:t>Plazos para la solución de fallas</w:t>
      </w:r>
      <w:bookmarkStart w:id="0" w:name="_GoBack"/>
      <w:bookmarkEnd w:id="0"/>
    </w:p>
    <w:p w:rsidR="007B1124" w:rsidRPr="00641387" w:rsidRDefault="007B1124" w:rsidP="00BD1469">
      <w:r w:rsidRPr="00641387">
        <w:t>Las fallas se resolverán de acuerdo a los siguientes plazos:</w:t>
      </w:r>
    </w:p>
    <w:tbl>
      <w:tblPr>
        <w:tblStyle w:val="Cuadrculadetablaclara"/>
        <w:tblW w:w="5000" w:type="pct"/>
        <w:jc w:val="center"/>
        <w:tblLook w:val="00A0" w:firstRow="1" w:lastRow="0" w:firstColumn="1" w:lastColumn="0" w:noHBand="0" w:noVBand="0"/>
        <w:tblCaption w:val="Tabla"/>
        <w:tblDescription w:val="Plazos para la solución de fallas"/>
      </w:tblPr>
      <w:tblGrid>
        <w:gridCol w:w="3439"/>
        <w:gridCol w:w="2892"/>
        <w:gridCol w:w="3065"/>
      </w:tblGrid>
      <w:tr w:rsidR="007B1124" w:rsidRPr="00C23941" w:rsidTr="00B34267">
        <w:trPr>
          <w:trHeight w:val="860"/>
          <w:tblHeader/>
          <w:jc w:val="center"/>
        </w:trPr>
        <w:tc>
          <w:tcPr>
            <w:tcW w:w="1830" w:type="pct"/>
            <w:shd w:val="clear" w:color="auto" w:fill="548DD4" w:themeFill="text2" w:themeFillTint="99"/>
          </w:tcPr>
          <w:p w:rsidR="007B1124" w:rsidRPr="005327A0" w:rsidRDefault="007B1124" w:rsidP="005327A0">
            <w:pPr>
              <w:spacing w:before="0" w:after="60" w:line="240" w:lineRule="auto"/>
              <w:jc w:val="center"/>
              <w:rPr>
                <w:b/>
                <w:color w:val="FFFFFF"/>
                <w:sz w:val="20"/>
                <w:szCs w:val="20"/>
              </w:rPr>
            </w:pPr>
            <w:r w:rsidRPr="005327A0">
              <w:rPr>
                <w:b/>
                <w:color w:val="FFFFFF"/>
                <w:sz w:val="20"/>
                <w:szCs w:val="20"/>
              </w:rPr>
              <w:t>Servicio</w:t>
            </w:r>
          </w:p>
        </w:tc>
        <w:tc>
          <w:tcPr>
            <w:tcW w:w="1539" w:type="pct"/>
            <w:shd w:val="clear" w:color="auto" w:fill="548DD4" w:themeFill="text2" w:themeFillTint="99"/>
          </w:tcPr>
          <w:p w:rsidR="007B1124" w:rsidRPr="005327A0" w:rsidRDefault="007B1124" w:rsidP="005327A0">
            <w:pPr>
              <w:spacing w:before="0" w:after="60" w:line="240" w:lineRule="auto"/>
              <w:jc w:val="center"/>
              <w:rPr>
                <w:b/>
                <w:color w:val="FFFFFF"/>
                <w:sz w:val="20"/>
                <w:szCs w:val="20"/>
              </w:rPr>
            </w:pPr>
            <w:r w:rsidRPr="005327A0">
              <w:rPr>
                <w:b/>
                <w:color w:val="FFFFFF"/>
                <w:sz w:val="20"/>
                <w:szCs w:val="20"/>
              </w:rPr>
              <w:t>Falla Puntual</w:t>
            </w:r>
          </w:p>
        </w:tc>
        <w:tc>
          <w:tcPr>
            <w:tcW w:w="1631" w:type="pct"/>
            <w:tcBorders>
              <w:bottom w:val="single" w:sz="4" w:space="0" w:color="BFBFBF" w:themeColor="background1" w:themeShade="BF"/>
            </w:tcBorders>
            <w:shd w:val="clear" w:color="auto" w:fill="548DD4" w:themeFill="text2" w:themeFillTint="99"/>
          </w:tcPr>
          <w:p w:rsidR="007B1124" w:rsidRPr="005327A0" w:rsidRDefault="007B1124" w:rsidP="005327A0">
            <w:pPr>
              <w:spacing w:before="0" w:after="60" w:line="240" w:lineRule="auto"/>
              <w:jc w:val="center"/>
              <w:rPr>
                <w:b/>
                <w:color w:val="FFFFFF"/>
                <w:sz w:val="20"/>
                <w:szCs w:val="20"/>
              </w:rPr>
            </w:pPr>
            <w:r w:rsidRPr="005327A0">
              <w:rPr>
                <w:b/>
                <w:color w:val="FFFFFF"/>
                <w:sz w:val="20"/>
                <w:szCs w:val="20"/>
              </w:rPr>
              <w:t>Desastre Natural, Casos Fortuitos o de Fuerza Mayor*</w:t>
            </w:r>
          </w:p>
        </w:tc>
      </w:tr>
      <w:tr w:rsidR="00B34267" w:rsidRPr="00C23941" w:rsidTr="00B34267">
        <w:trPr>
          <w:jc w:val="center"/>
        </w:trPr>
        <w:tc>
          <w:tcPr>
            <w:tcW w:w="1830" w:type="pct"/>
          </w:tcPr>
          <w:p w:rsidR="00B34267" w:rsidRPr="005327A0" w:rsidRDefault="00B34267" w:rsidP="005327A0">
            <w:pPr>
              <w:spacing w:before="0" w:after="60" w:line="240" w:lineRule="auto"/>
              <w:rPr>
                <w:sz w:val="20"/>
                <w:szCs w:val="20"/>
              </w:rPr>
            </w:pPr>
            <w:r w:rsidRPr="005327A0">
              <w:rPr>
                <w:sz w:val="20"/>
                <w:szCs w:val="20"/>
              </w:rPr>
              <w:t>Servicio de Acceso y Uso compartido de Obra Civil</w:t>
            </w:r>
          </w:p>
        </w:tc>
        <w:tc>
          <w:tcPr>
            <w:tcW w:w="1539" w:type="pct"/>
          </w:tcPr>
          <w:p w:rsidR="00B34267" w:rsidRPr="005327A0" w:rsidRDefault="00B34267" w:rsidP="005327A0">
            <w:pPr>
              <w:spacing w:before="0" w:after="60" w:line="240" w:lineRule="auto"/>
              <w:rPr>
                <w:sz w:val="20"/>
                <w:szCs w:val="20"/>
              </w:rPr>
            </w:pPr>
            <w:r w:rsidRPr="005327A0">
              <w:rPr>
                <w:sz w:val="20"/>
                <w:szCs w:val="20"/>
              </w:rPr>
              <w:t>8 horas (en horario no laboral el tiempo se incrementará un 50%)</w:t>
            </w:r>
          </w:p>
        </w:tc>
        <w:tc>
          <w:tcPr>
            <w:tcW w:w="1631" w:type="pct"/>
            <w:tcBorders>
              <w:bottom w:val="nil"/>
            </w:tcBorders>
          </w:tcPr>
          <w:p w:rsidR="00B34267" w:rsidRPr="005327A0" w:rsidRDefault="00B34267" w:rsidP="005327A0">
            <w:pPr>
              <w:spacing w:before="0" w:after="60" w:line="240" w:lineRule="auto"/>
              <w:rPr>
                <w:sz w:val="20"/>
                <w:szCs w:val="20"/>
              </w:rPr>
            </w:pPr>
            <w:r w:rsidRPr="005327A0">
              <w:rPr>
                <w:sz w:val="20"/>
                <w:szCs w:val="20"/>
              </w:rPr>
              <w:t>Tiempo dependiente de las causas que generaron la falla</w:t>
            </w:r>
          </w:p>
        </w:tc>
      </w:tr>
      <w:tr w:rsidR="00B34267" w:rsidRPr="00C23941" w:rsidTr="00B34267">
        <w:trPr>
          <w:jc w:val="center"/>
        </w:trPr>
        <w:tc>
          <w:tcPr>
            <w:tcW w:w="1830" w:type="pct"/>
          </w:tcPr>
          <w:p w:rsidR="00B34267" w:rsidRPr="005327A0" w:rsidRDefault="00B34267" w:rsidP="005327A0">
            <w:pPr>
              <w:spacing w:before="0" w:after="60" w:line="240" w:lineRule="auto"/>
              <w:rPr>
                <w:sz w:val="20"/>
                <w:szCs w:val="20"/>
              </w:rPr>
            </w:pPr>
            <w:r w:rsidRPr="005327A0">
              <w:rPr>
                <w:sz w:val="20"/>
                <w:szCs w:val="20"/>
              </w:rPr>
              <w:t>Servicio de Acceso y Uso Compartido de Torres</w:t>
            </w:r>
          </w:p>
        </w:tc>
        <w:tc>
          <w:tcPr>
            <w:tcW w:w="1539" w:type="pct"/>
          </w:tcPr>
          <w:p w:rsidR="00B34267" w:rsidRPr="005327A0" w:rsidRDefault="00B34267" w:rsidP="005327A0">
            <w:pPr>
              <w:spacing w:before="0" w:after="60" w:line="240" w:lineRule="auto"/>
              <w:rPr>
                <w:sz w:val="20"/>
                <w:szCs w:val="20"/>
              </w:rPr>
            </w:pPr>
            <w:r w:rsidRPr="005327A0">
              <w:rPr>
                <w:sz w:val="20"/>
                <w:szCs w:val="20"/>
              </w:rPr>
              <w:t>8 horas (en horario no laboral el tiempo se incrementará un 50%)</w:t>
            </w:r>
          </w:p>
        </w:tc>
        <w:tc>
          <w:tcPr>
            <w:tcW w:w="1631" w:type="pct"/>
            <w:tcBorders>
              <w:top w:val="nil"/>
              <w:bottom w:val="nil"/>
            </w:tcBorders>
          </w:tcPr>
          <w:p w:rsidR="00B34267" w:rsidRPr="005327A0" w:rsidRDefault="00B34267" w:rsidP="005327A0">
            <w:pPr>
              <w:spacing w:before="0" w:after="60" w:line="240" w:lineRule="auto"/>
              <w:rPr>
                <w:sz w:val="20"/>
                <w:szCs w:val="20"/>
              </w:rPr>
            </w:pPr>
          </w:p>
        </w:tc>
      </w:tr>
      <w:tr w:rsidR="00B34267" w:rsidRPr="00C23941" w:rsidTr="00B34267">
        <w:trPr>
          <w:jc w:val="center"/>
        </w:trPr>
        <w:tc>
          <w:tcPr>
            <w:tcW w:w="1830" w:type="pct"/>
          </w:tcPr>
          <w:p w:rsidR="00B34267" w:rsidRPr="005327A0" w:rsidRDefault="00B34267" w:rsidP="005327A0">
            <w:pPr>
              <w:spacing w:before="0" w:after="60" w:line="240" w:lineRule="auto"/>
              <w:rPr>
                <w:sz w:val="20"/>
                <w:szCs w:val="20"/>
              </w:rPr>
            </w:pPr>
            <w:r w:rsidRPr="005327A0">
              <w:rPr>
                <w:sz w:val="20"/>
                <w:szCs w:val="20"/>
              </w:rPr>
              <w:t>Servicio de Uso de Sitios, Predios y Espacios Físicos</w:t>
            </w:r>
          </w:p>
        </w:tc>
        <w:tc>
          <w:tcPr>
            <w:tcW w:w="1539" w:type="pct"/>
          </w:tcPr>
          <w:p w:rsidR="00B34267" w:rsidRPr="005327A0" w:rsidRDefault="00B34267" w:rsidP="005327A0">
            <w:pPr>
              <w:spacing w:before="0" w:after="60" w:line="240" w:lineRule="auto"/>
              <w:rPr>
                <w:sz w:val="20"/>
                <w:szCs w:val="20"/>
              </w:rPr>
            </w:pPr>
            <w:r w:rsidRPr="005327A0">
              <w:rPr>
                <w:sz w:val="20"/>
                <w:szCs w:val="20"/>
              </w:rPr>
              <w:t>8 horas (en horario no laboral el tiempo se incrementará un 50%)</w:t>
            </w:r>
          </w:p>
        </w:tc>
        <w:tc>
          <w:tcPr>
            <w:tcW w:w="1631" w:type="pct"/>
            <w:tcBorders>
              <w:top w:val="nil"/>
              <w:bottom w:val="nil"/>
            </w:tcBorders>
          </w:tcPr>
          <w:p w:rsidR="00B34267" w:rsidRPr="005327A0" w:rsidRDefault="00B34267" w:rsidP="005327A0">
            <w:pPr>
              <w:spacing w:before="0" w:after="60" w:line="240" w:lineRule="auto"/>
              <w:rPr>
                <w:sz w:val="20"/>
                <w:szCs w:val="20"/>
              </w:rPr>
            </w:pPr>
          </w:p>
        </w:tc>
      </w:tr>
      <w:tr w:rsidR="00B34267" w:rsidRPr="00C23941" w:rsidTr="00B34267">
        <w:trPr>
          <w:jc w:val="center"/>
        </w:trPr>
        <w:tc>
          <w:tcPr>
            <w:tcW w:w="1830" w:type="pct"/>
          </w:tcPr>
          <w:p w:rsidR="00B34267" w:rsidRPr="005327A0" w:rsidRDefault="00B34267" w:rsidP="005327A0">
            <w:pPr>
              <w:spacing w:before="0" w:after="60" w:line="240" w:lineRule="auto"/>
              <w:rPr>
                <w:sz w:val="20"/>
                <w:szCs w:val="20"/>
              </w:rPr>
            </w:pPr>
            <w:r w:rsidRPr="005327A0">
              <w:rPr>
                <w:sz w:val="20"/>
                <w:szCs w:val="20"/>
              </w:rPr>
              <w:t>Servicio de Tendido de Cable en la  Infraestructura Desagregada</w:t>
            </w:r>
          </w:p>
        </w:tc>
        <w:tc>
          <w:tcPr>
            <w:tcW w:w="1539" w:type="pct"/>
          </w:tcPr>
          <w:p w:rsidR="00B34267" w:rsidRPr="005327A0" w:rsidRDefault="00B34267" w:rsidP="005327A0">
            <w:pPr>
              <w:spacing w:before="0" w:after="60" w:line="240" w:lineRule="auto"/>
              <w:rPr>
                <w:sz w:val="20"/>
                <w:szCs w:val="20"/>
              </w:rPr>
            </w:pPr>
            <w:r w:rsidRPr="005327A0">
              <w:rPr>
                <w:sz w:val="20"/>
                <w:szCs w:val="20"/>
              </w:rPr>
              <w:t>8 horas (en horario no laboral el tiempo se incrementará en un 50%)</w:t>
            </w:r>
          </w:p>
        </w:tc>
        <w:tc>
          <w:tcPr>
            <w:tcW w:w="1631" w:type="pct"/>
            <w:tcBorders>
              <w:top w:val="nil"/>
              <w:bottom w:val="nil"/>
            </w:tcBorders>
          </w:tcPr>
          <w:p w:rsidR="00B34267" w:rsidRPr="005327A0" w:rsidRDefault="00B34267" w:rsidP="005327A0">
            <w:pPr>
              <w:spacing w:before="0" w:after="60" w:line="240" w:lineRule="auto"/>
              <w:rPr>
                <w:sz w:val="20"/>
                <w:szCs w:val="20"/>
              </w:rPr>
            </w:pPr>
          </w:p>
        </w:tc>
      </w:tr>
      <w:tr w:rsidR="00B34267" w:rsidRPr="00C23941" w:rsidTr="00B34267">
        <w:trPr>
          <w:jc w:val="center"/>
        </w:trPr>
        <w:tc>
          <w:tcPr>
            <w:tcW w:w="1830" w:type="pct"/>
          </w:tcPr>
          <w:p w:rsidR="00B34267" w:rsidRPr="005327A0" w:rsidRDefault="00B34267" w:rsidP="005327A0">
            <w:pPr>
              <w:spacing w:before="0" w:after="60" w:line="240" w:lineRule="auto"/>
              <w:rPr>
                <w:sz w:val="20"/>
                <w:szCs w:val="20"/>
              </w:rPr>
            </w:pPr>
            <w:r w:rsidRPr="005327A0">
              <w:rPr>
                <w:sz w:val="20"/>
                <w:szCs w:val="20"/>
              </w:rPr>
              <w:t>Renta de Canales Ópticos de Alta Capacidad de Transporte</w:t>
            </w:r>
          </w:p>
        </w:tc>
        <w:tc>
          <w:tcPr>
            <w:tcW w:w="1539" w:type="pct"/>
          </w:tcPr>
          <w:p w:rsidR="00B34267" w:rsidRPr="005327A0" w:rsidRDefault="00B34267" w:rsidP="005327A0">
            <w:pPr>
              <w:spacing w:before="0" w:after="60" w:line="240" w:lineRule="auto"/>
              <w:rPr>
                <w:sz w:val="20"/>
                <w:szCs w:val="20"/>
              </w:rPr>
            </w:pPr>
            <w:r w:rsidRPr="005327A0">
              <w:rPr>
                <w:sz w:val="20"/>
                <w:szCs w:val="20"/>
              </w:rPr>
              <w:t>8 horas</w:t>
            </w:r>
          </w:p>
        </w:tc>
        <w:tc>
          <w:tcPr>
            <w:tcW w:w="1631" w:type="pct"/>
            <w:tcBorders>
              <w:top w:val="nil"/>
            </w:tcBorders>
          </w:tcPr>
          <w:p w:rsidR="00B34267" w:rsidRPr="005327A0" w:rsidRDefault="00B34267" w:rsidP="005327A0">
            <w:pPr>
              <w:spacing w:before="0" w:after="60" w:line="240" w:lineRule="auto"/>
              <w:rPr>
                <w:sz w:val="20"/>
                <w:szCs w:val="20"/>
              </w:rPr>
            </w:pPr>
          </w:p>
        </w:tc>
      </w:tr>
    </w:tbl>
    <w:p w:rsidR="007B1124" w:rsidRPr="00641387" w:rsidRDefault="007B1124" w:rsidP="00BD1469">
      <w:r w:rsidRPr="00641387">
        <w:t>* Las fallas ocasionadas por desastres naturales o causas de fuerza mayor, no serán consideradas para la medición de niveles de calidad.</w:t>
      </w:r>
    </w:p>
    <w:p w:rsidR="007B1124" w:rsidRPr="00EA5AF8" w:rsidRDefault="007B1124" w:rsidP="00BD1469">
      <w:pPr>
        <w:rPr>
          <w:sz w:val="14"/>
        </w:rPr>
      </w:pPr>
    </w:p>
    <w:p w:rsidR="007B1124" w:rsidRPr="00641387" w:rsidRDefault="007B1124" w:rsidP="00C23941">
      <w:pPr>
        <w:pStyle w:val="Ttulo3"/>
      </w:pPr>
      <w:r w:rsidRPr="00641387">
        <w:t>4.6</w:t>
      </w:r>
      <w:r>
        <w:t>.</w:t>
      </w:r>
      <w:r>
        <w:tab/>
      </w:r>
      <w:r w:rsidRPr="00641387">
        <w:t xml:space="preserve">Procedimiento de Accesos a Infraestructura Compartida por Falla en los elementos de red del Concesionario Solicitante o Emergencia: </w:t>
      </w:r>
    </w:p>
    <w:p w:rsidR="007B1124" w:rsidRPr="00641387" w:rsidRDefault="007B1124" w:rsidP="00AF3674">
      <w:pPr>
        <w:pStyle w:val="Prrafodelista"/>
        <w:numPr>
          <w:ilvl w:val="0"/>
          <w:numId w:val="12"/>
        </w:numPr>
      </w:pPr>
      <w:r w:rsidRPr="00641387">
        <w:t xml:space="preserve">El CS levantará la incidencia en los medios dispuestos para ello, en el cual indicará que requiere acceso a la infraestructura de </w:t>
      </w:r>
      <w:proofErr w:type="spellStart"/>
      <w:r w:rsidR="003A7F36">
        <w:t>Telnor</w:t>
      </w:r>
      <w:proofErr w:type="spellEnd"/>
      <w:r w:rsidRPr="00641387">
        <w:t xml:space="preserve"> por falla en sus elementos de red, señalando los datos que permitan identificar al personal que ingresará y el lugar de acceso.</w:t>
      </w:r>
    </w:p>
    <w:p w:rsidR="007B1124" w:rsidRPr="00641387" w:rsidRDefault="003A7F36" w:rsidP="00AF3674">
      <w:pPr>
        <w:pStyle w:val="Prrafodelista"/>
        <w:numPr>
          <w:ilvl w:val="0"/>
          <w:numId w:val="12"/>
        </w:numPr>
      </w:pPr>
      <w:proofErr w:type="spellStart"/>
      <w:r>
        <w:t>Telnor</w:t>
      </w:r>
      <w:proofErr w:type="spellEnd"/>
      <w:r w:rsidR="007B1124" w:rsidRPr="00641387">
        <w:t xml:space="preserve"> le proporcionará el folio correspondiente a dicho incidente.</w:t>
      </w:r>
    </w:p>
    <w:p w:rsidR="007B1124" w:rsidRPr="0007614B" w:rsidRDefault="007B1124" w:rsidP="0007614B">
      <w:pPr>
        <w:pStyle w:val="Prrafodelista"/>
        <w:numPr>
          <w:ilvl w:val="0"/>
          <w:numId w:val="12"/>
        </w:numPr>
      </w:pPr>
      <w:r w:rsidRPr="0007614B">
        <w:t>En caso de tratarse de una emergencia el acceso deberá darse de forma inmediata.</w:t>
      </w:r>
    </w:p>
    <w:p w:rsidR="007B1124" w:rsidRPr="00641387" w:rsidRDefault="007B1124" w:rsidP="0007614B">
      <w:pPr>
        <w:pStyle w:val="Prrafodelista"/>
        <w:numPr>
          <w:ilvl w:val="0"/>
          <w:numId w:val="12"/>
        </w:numPr>
      </w:pPr>
      <w:r>
        <w:t>Si se tratase de una falla, e</w:t>
      </w:r>
      <w:r w:rsidRPr="00641387">
        <w:t xml:space="preserve">n un plazo máximo de 3 horas se proporcionará al CS la confirmación del acceso solicitado y los datos del contacto por parte de </w:t>
      </w:r>
      <w:proofErr w:type="spellStart"/>
      <w:r w:rsidR="003A7F36">
        <w:t>Telnor</w:t>
      </w:r>
      <w:proofErr w:type="spellEnd"/>
      <w:r w:rsidRPr="00641387">
        <w:t xml:space="preserve">. </w:t>
      </w:r>
    </w:p>
    <w:p w:rsidR="007B1124" w:rsidRPr="00641387" w:rsidRDefault="003A7F36" w:rsidP="00AF3674">
      <w:pPr>
        <w:pStyle w:val="Prrafodelista"/>
        <w:numPr>
          <w:ilvl w:val="0"/>
          <w:numId w:val="12"/>
        </w:numPr>
      </w:pPr>
      <w:proofErr w:type="spellStart"/>
      <w:r>
        <w:lastRenderedPageBreak/>
        <w:t>Telnor</w:t>
      </w:r>
      <w:proofErr w:type="spellEnd"/>
      <w:r w:rsidR="007B1124" w:rsidRPr="00641387">
        <w:t xml:space="preserve"> asignará la inspección correspondiente y el CS coordinará la ejecución de sus trabajos con el inspector asignado.</w:t>
      </w:r>
    </w:p>
    <w:p w:rsidR="007B1124" w:rsidRPr="00641387" w:rsidRDefault="007B1124" w:rsidP="00AF3674">
      <w:pPr>
        <w:pStyle w:val="Prrafodelista"/>
        <w:numPr>
          <w:ilvl w:val="0"/>
          <w:numId w:val="12"/>
        </w:numPr>
      </w:pPr>
      <w:r w:rsidRPr="00641387">
        <w:t xml:space="preserve">El CS informará a </w:t>
      </w:r>
      <w:proofErr w:type="spellStart"/>
      <w:r w:rsidR="003A7F36">
        <w:t>Telnor</w:t>
      </w:r>
      <w:proofErr w:type="spellEnd"/>
      <w:r w:rsidRPr="00641387">
        <w:t xml:space="preserve"> vía telefónica que ha concluido los trabajos para que </w:t>
      </w:r>
      <w:proofErr w:type="spellStart"/>
      <w:r w:rsidR="003A7F36">
        <w:t>Telnor</w:t>
      </w:r>
      <w:proofErr w:type="spellEnd"/>
      <w:r w:rsidRPr="00641387">
        <w:t xml:space="preserve"> liquide el incidente.</w:t>
      </w:r>
    </w:p>
    <w:p w:rsidR="007B1124" w:rsidRPr="00641387" w:rsidRDefault="007B1124" w:rsidP="00AF3674">
      <w:pPr>
        <w:pStyle w:val="Prrafodelista"/>
        <w:numPr>
          <w:ilvl w:val="0"/>
          <w:numId w:val="12"/>
        </w:numPr>
      </w:pPr>
      <w:r w:rsidRPr="00641387">
        <w:t xml:space="preserve">Una vez cerrada la incidencia, </w:t>
      </w:r>
      <w:proofErr w:type="spellStart"/>
      <w:r w:rsidR="003A7F36">
        <w:t>Telnor</w:t>
      </w:r>
      <w:proofErr w:type="spellEnd"/>
      <w:r w:rsidRPr="00641387">
        <w:t xml:space="preserve"> facturará por los gastos incurridos por su personal</w:t>
      </w:r>
    </w:p>
    <w:p w:rsidR="007B1124" w:rsidRPr="00641387" w:rsidRDefault="007B1124" w:rsidP="00C23941">
      <w:pPr>
        <w:pStyle w:val="Ttulo2"/>
      </w:pPr>
      <w:r w:rsidRPr="00641387">
        <w:t>Procedimiento para Mantenimiento Preventivo</w:t>
      </w:r>
    </w:p>
    <w:p w:rsidR="007B1124" w:rsidRPr="00641387" w:rsidRDefault="007B1124" w:rsidP="00007FB0">
      <w:r w:rsidRPr="00641387">
        <w:t>Ambas partes se comprometen a comunicar oportunamente los trabajos (acciones de mantenimiento preventivo u otros trabajos programados) que se vayan a realizar en su red y que involucren los servicios de la otra parte. Las intervenciones programadas se acotan a los siguientes servicios:</w:t>
      </w:r>
    </w:p>
    <w:p w:rsidR="007B1124" w:rsidRPr="00641387" w:rsidRDefault="007B1124" w:rsidP="00AF3674">
      <w:pPr>
        <w:pStyle w:val="Prrafodelista"/>
        <w:numPr>
          <w:ilvl w:val="0"/>
          <w:numId w:val="13"/>
        </w:numPr>
      </w:pPr>
      <w:r w:rsidRPr="00641387">
        <w:t>Servicio de Acceso y Uso compartido de Obra Civil</w:t>
      </w:r>
    </w:p>
    <w:p w:rsidR="007B1124" w:rsidRPr="00641387" w:rsidRDefault="007B1124" w:rsidP="00AF3674">
      <w:pPr>
        <w:pStyle w:val="Prrafodelista"/>
        <w:numPr>
          <w:ilvl w:val="0"/>
          <w:numId w:val="13"/>
        </w:numPr>
      </w:pPr>
      <w:r w:rsidRPr="00641387">
        <w:t>Servicio de Acceso y Uso Compartido de Torres</w:t>
      </w:r>
    </w:p>
    <w:p w:rsidR="007B1124" w:rsidRPr="00641387" w:rsidRDefault="007B1124" w:rsidP="00AF3674">
      <w:pPr>
        <w:pStyle w:val="Prrafodelista"/>
        <w:numPr>
          <w:ilvl w:val="0"/>
          <w:numId w:val="13"/>
        </w:numPr>
      </w:pPr>
      <w:r w:rsidRPr="00641387">
        <w:t>Servicio de Uso de Espacios Físicos</w:t>
      </w:r>
    </w:p>
    <w:p w:rsidR="007B1124" w:rsidRPr="00641387" w:rsidRDefault="007B1124" w:rsidP="00AF3674">
      <w:pPr>
        <w:pStyle w:val="Prrafodelista"/>
        <w:numPr>
          <w:ilvl w:val="0"/>
          <w:numId w:val="13"/>
        </w:numPr>
      </w:pPr>
      <w:r w:rsidRPr="00641387">
        <w:t>Servicio de Tendido de Cable en la Infraestructura Desagregada</w:t>
      </w:r>
    </w:p>
    <w:p w:rsidR="007B1124" w:rsidRPr="00641387" w:rsidRDefault="007B1124" w:rsidP="00AF3674">
      <w:pPr>
        <w:pStyle w:val="Prrafodelista"/>
        <w:numPr>
          <w:ilvl w:val="0"/>
          <w:numId w:val="13"/>
        </w:numPr>
      </w:pPr>
      <w:r w:rsidRPr="00641387">
        <w:t>Renta de Canales Ópticos de Alta Capacidad de Transporte</w:t>
      </w:r>
    </w:p>
    <w:p w:rsidR="007B1124" w:rsidRPr="00EA5AF8" w:rsidRDefault="007B1124" w:rsidP="00C23941">
      <w:pPr>
        <w:rPr>
          <w:sz w:val="14"/>
        </w:rPr>
      </w:pPr>
    </w:p>
    <w:p w:rsidR="007B1124" w:rsidRPr="00641387" w:rsidRDefault="007B1124" w:rsidP="00C23941">
      <w:pPr>
        <w:pStyle w:val="Ttulo3"/>
      </w:pPr>
      <w:r w:rsidRPr="00641387">
        <w:t>5.1</w:t>
      </w:r>
      <w:r>
        <w:t>.</w:t>
      </w:r>
      <w:r>
        <w:tab/>
      </w:r>
      <w:r w:rsidRPr="00C23941">
        <w:t>Procedimiento</w:t>
      </w:r>
      <w:r w:rsidRPr="00641387">
        <w:t xml:space="preserve"> para el trámite de acceso a infraestructura para intervenciones programadas del Concesionario Solicitante</w:t>
      </w:r>
    </w:p>
    <w:p w:rsidR="007B1124" w:rsidRPr="00641387" w:rsidRDefault="007B1124" w:rsidP="00AF3674">
      <w:pPr>
        <w:pStyle w:val="Prrafodelista"/>
        <w:numPr>
          <w:ilvl w:val="0"/>
          <w:numId w:val="14"/>
        </w:numPr>
      </w:pPr>
      <w:r w:rsidRPr="00641387">
        <w:t xml:space="preserve">Cuando el CS requiera realizar actividades de mantenimiento </w:t>
      </w:r>
      <w:r>
        <w:t xml:space="preserve">preventivo </w:t>
      </w:r>
      <w:r w:rsidRPr="00641387">
        <w:t xml:space="preserve">sobre el cableado y elementos instalados en la infraestructura propiedad de </w:t>
      </w:r>
      <w:proofErr w:type="spellStart"/>
      <w:r w:rsidR="003A7F36">
        <w:t>Telnor</w:t>
      </w:r>
      <w:proofErr w:type="spellEnd"/>
      <w:r w:rsidRPr="00641387">
        <w:t xml:space="preserve">, deberá enviar su solicitud de intervención programada, con un mínimo de 3 (tres) días hábiles de </w:t>
      </w:r>
      <w:r w:rsidRPr="00641387">
        <w:lastRenderedPageBreak/>
        <w:t>antelación, a través de los puntos de contacto definidos. La solicitud deberá incluir los siguientes datos:</w:t>
      </w:r>
    </w:p>
    <w:p w:rsidR="007B1124" w:rsidRPr="00641387" w:rsidRDefault="007B1124" w:rsidP="00AF3674">
      <w:pPr>
        <w:pStyle w:val="Prrafodelista"/>
        <w:numPr>
          <w:ilvl w:val="0"/>
          <w:numId w:val="15"/>
        </w:numPr>
      </w:pPr>
      <w:r w:rsidRPr="00641387">
        <w:t>NIS que ampara la infraestructura a intervenir</w:t>
      </w:r>
    </w:p>
    <w:p w:rsidR="007B1124" w:rsidRPr="00641387" w:rsidRDefault="007B1124" w:rsidP="00AF3674">
      <w:pPr>
        <w:pStyle w:val="Prrafodelista"/>
        <w:numPr>
          <w:ilvl w:val="0"/>
          <w:numId w:val="15"/>
        </w:numPr>
      </w:pPr>
      <w:r w:rsidRPr="00641387">
        <w:t>Programa de actividades, detallando horarios, fechas, indicando el tramo de la ruta a trabajar y los planos correspondientes</w:t>
      </w:r>
    </w:p>
    <w:p w:rsidR="007B1124" w:rsidRPr="00641387" w:rsidRDefault="007B1124" w:rsidP="00AF3674">
      <w:pPr>
        <w:pStyle w:val="Prrafodelista"/>
        <w:numPr>
          <w:ilvl w:val="0"/>
          <w:numId w:val="15"/>
        </w:numPr>
      </w:pPr>
      <w:r w:rsidRPr="00641387">
        <w:t xml:space="preserve">Descripción de las afectaciones </w:t>
      </w:r>
    </w:p>
    <w:p w:rsidR="007B1124" w:rsidRPr="00641387" w:rsidRDefault="007B1124" w:rsidP="00AF3674">
      <w:pPr>
        <w:pStyle w:val="Prrafodelista"/>
        <w:numPr>
          <w:ilvl w:val="0"/>
          <w:numId w:val="15"/>
        </w:numPr>
      </w:pPr>
      <w:r w:rsidRPr="00641387">
        <w:t>Duración de la intervención</w:t>
      </w:r>
    </w:p>
    <w:p w:rsidR="007B1124" w:rsidRPr="00641387" w:rsidRDefault="007B1124" w:rsidP="00AF3674">
      <w:pPr>
        <w:pStyle w:val="Prrafodelista"/>
        <w:numPr>
          <w:ilvl w:val="0"/>
          <w:numId w:val="15"/>
        </w:numPr>
      </w:pPr>
      <w:r w:rsidRPr="00641387">
        <w:t>Nombre del responsable por parte del CS y teléfonos de contacto</w:t>
      </w:r>
    </w:p>
    <w:p w:rsidR="007B1124" w:rsidRPr="00641387" w:rsidRDefault="003A7F36" w:rsidP="00AF3674">
      <w:pPr>
        <w:pStyle w:val="Prrafodelista"/>
        <w:numPr>
          <w:ilvl w:val="0"/>
          <w:numId w:val="14"/>
        </w:numPr>
      </w:pPr>
      <w:proofErr w:type="spellStart"/>
      <w:r>
        <w:t>Telnor</w:t>
      </w:r>
      <w:proofErr w:type="spellEnd"/>
      <w:r w:rsidR="007B1124" w:rsidRPr="00641387">
        <w:t xml:space="preserve"> en un plazo no mayor a 3 días hábiles confirmará al Concesionario Solicitante la factibilidad de la fecha y horarios de ejecución de los trabajos solicitados, o en su defecto propondrá al Concesionario Solicitante una nueva fecha u horario.</w:t>
      </w:r>
    </w:p>
    <w:p w:rsidR="007B1124" w:rsidRPr="00641387" w:rsidRDefault="007B1124" w:rsidP="00AF3674">
      <w:pPr>
        <w:pStyle w:val="Prrafodelista"/>
        <w:numPr>
          <w:ilvl w:val="0"/>
          <w:numId w:val="14"/>
        </w:numPr>
      </w:pPr>
      <w:r w:rsidRPr="00641387">
        <w:t>El CS notificará la aceptación del horario solicitado y en caso de no poder atender la solicitud de mantenimiento en el horario solicitado, deberá informar la fecha en que se podrán realizar los trabajos que no sobrepase 2 días de la fecha solicitada.</w:t>
      </w:r>
    </w:p>
    <w:p w:rsidR="007B1124" w:rsidRPr="00641387" w:rsidRDefault="007B1124" w:rsidP="00AF3674">
      <w:pPr>
        <w:pStyle w:val="Prrafodelista"/>
        <w:numPr>
          <w:ilvl w:val="0"/>
          <w:numId w:val="14"/>
        </w:numPr>
      </w:pPr>
      <w:r w:rsidRPr="00641387">
        <w:t>Los permisos que se lleguen a requerir con el Municipio u otras dependencias Gubernamentales para la realización de los trabajos los deberá gestionar el CS con la entidad Gubernamental correspondiente.</w:t>
      </w:r>
    </w:p>
    <w:p w:rsidR="007B1124" w:rsidRPr="00641387" w:rsidRDefault="007B1124" w:rsidP="00AF3674">
      <w:pPr>
        <w:pStyle w:val="Prrafodelista"/>
        <w:numPr>
          <w:ilvl w:val="0"/>
          <w:numId w:val="14"/>
        </w:numPr>
      </w:pPr>
      <w:r w:rsidRPr="00641387">
        <w:t xml:space="preserve">Una vez que el CS ha concluido la intervención, deberá dar aviso a </w:t>
      </w:r>
      <w:proofErr w:type="spellStart"/>
      <w:r w:rsidR="003A7F36">
        <w:t>Telnor</w:t>
      </w:r>
      <w:proofErr w:type="spellEnd"/>
      <w:r w:rsidRPr="00641387">
        <w:t xml:space="preserve"> para que valide que no han sido ocasionados daños a su infraestructura.</w:t>
      </w:r>
    </w:p>
    <w:p w:rsidR="007B1124" w:rsidRPr="00641387" w:rsidRDefault="007B1124" w:rsidP="00AF3674">
      <w:pPr>
        <w:pStyle w:val="Prrafodelista"/>
        <w:numPr>
          <w:ilvl w:val="0"/>
          <w:numId w:val="14"/>
        </w:numPr>
      </w:pPr>
      <w:r w:rsidRPr="00641387">
        <w:t xml:space="preserve">Finalizados los trabajos de validación de ausencia de daños, </w:t>
      </w:r>
      <w:proofErr w:type="spellStart"/>
      <w:r w:rsidR="003A7F36">
        <w:t>Telnor</w:t>
      </w:r>
      <w:proofErr w:type="spellEnd"/>
      <w:r w:rsidRPr="00641387">
        <w:t xml:space="preserve"> realizará el cobro de los gastos incurridos durante la intervención programada.</w:t>
      </w:r>
    </w:p>
    <w:p w:rsidR="007B1124" w:rsidRPr="00EA5AF8" w:rsidRDefault="007B1124" w:rsidP="0021629D">
      <w:pPr>
        <w:rPr>
          <w:sz w:val="14"/>
        </w:rPr>
      </w:pPr>
    </w:p>
    <w:p w:rsidR="007B1124" w:rsidRPr="00641387" w:rsidRDefault="007B1124" w:rsidP="00794F59">
      <w:pPr>
        <w:pStyle w:val="Ttulo3"/>
      </w:pPr>
      <w:r>
        <w:lastRenderedPageBreak/>
        <w:t>5.2.</w:t>
      </w:r>
      <w:r>
        <w:tab/>
      </w:r>
      <w:r w:rsidRPr="00641387">
        <w:t xml:space="preserve">Procedimiento para intervenciones programadas de </w:t>
      </w:r>
      <w:proofErr w:type="spellStart"/>
      <w:r w:rsidR="003A7F36">
        <w:t>Telnor</w:t>
      </w:r>
      <w:proofErr w:type="spellEnd"/>
    </w:p>
    <w:p w:rsidR="007B1124" w:rsidRPr="00641387" w:rsidRDefault="007B1124" w:rsidP="00794F59">
      <w:r w:rsidRPr="00641387">
        <w:t xml:space="preserve">Cuando </w:t>
      </w:r>
      <w:proofErr w:type="spellStart"/>
      <w:r w:rsidR="003A7F36">
        <w:t>Telnor</w:t>
      </w:r>
      <w:proofErr w:type="spellEnd"/>
      <w:r w:rsidRPr="00641387">
        <w:t xml:space="preserve"> realice intervenciones programadas dará aviso al Concesionario Solicitante cuando se vea involucrada su infraestructura, con 10 días de anticipación, señalando:</w:t>
      </w:r>
    </w:p>
    <w:p w:rsidR="007B1124" w:rsidRPr="00641387" w:rsidRDefault="007B1124" w:rsidP="00AF3674">
      <w:pPr>
        <w:pStyle w:val="Prrafodelista"/>
        <w:numPr>
          <w:ilvl w:val="0"/>
          <w:numId w:val="16"/>
        </w:numPr>
      </w:pPr>
      <w:r w:rsidRPr="00641387">
        <w:t>Descripción de los trabajos</w:t>
      </w:r>
    </w:p>
    <w:p w:rsidR="007B1124" w:rsidRPr="00641387" w:rsidRDefault="007B1124" w:rsidP="00AF3674">
      <w:pPr>
        <w:pStyle w:val="Prrafodelista"/>
        <w:numPr>
          <w:ilvl w:val="0"/>
          <w:numId w:val="16"/>
        </w:numPr>
      </w:pPr>
      <w:r w:rsidRPr="00641387">
        <w:t>Ubicación de los trabajos</w:t>
      </w:r>
    </w:p>
    <w:p w:rsidR="007B1124" w:rsidRPr="00641387" w:rsidRDefault="007B1124" w:rsidP="00AF3674">
      <w:pPr>
        <w:pStyle w:val="Prrafodelista"/>
        <w:numPr>
          <w:ilvl w:val="0"/>
          <w:numId w:val="16"/>
        </w:numPr>
      </w:pPr>
      <w:r w:rsidRPr="00641387">
        <w:t>Posibles afectaciones</w:t>
      </w:r>
    </w:p>
    <w:p w:rsidR="007B1124" w:rsidRDefault="007B1124" w:rsidP="00AF3674">
      <w:pPr>
        <w:pStyle w:val="Prrafodelista"/>
        <w:numPr>
          <w:ilvl w:val="0"/>
          <w:numId w:val="16"/>
        </w:numPr>
      </w:pPr>
      <w:r w:rsidRPr="00641387">
        <w:t>Duración estimada de los trabajos</w:t>
      </w:r>
      <w:r>
        <w:t xml:space="preserve"> y de las posibles afectaciones</w:t>
      </w:r>
    </w:p>
    <w:sectPr w:rsidR="007B1124" w:rsidSect="00C54628">
      <w:headerReference w:type="default" r:id="rId11"/>
      <w:footerReference w:type="even" r:id="rId12"/>
      <w:footerReference w:type="default" r:id="rId13"/>
      <w:headerReference w:type="first" r:id="rId14"/>
      <w:pgSz w:w="12242" w:h="15842" w:code="1"/>
      <w:pgMar w:top="1985" w:right="1418" w:bottom="1418" w:left="1418" w:header="851"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FE" w:rsidRDefault="00A329FE" w:rsidP="005C1C06">
      <w:r>
        <w:separator/>
      </w:r>
    </w:p>
    <w:p w:rsidR="00A329FE" w:rsidRDefault="00A329FE" w:rsidP="005C1C06"/>
  </w:endnote>
  <w:endnote w:type="continuationSeparator" w:id="0">
    <w:p w:rsidR="00A329FE" w:rsidRDefault="00A329FE" w:rsidP="005C1C06">
      <w:r>
        <w:continuationSeparator/>
      </w:r>
    </w:p>
    <w:p w:rsidR="00A329FE" w:rsidRDefault="00A329FE" w:rsidP="005C1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24" w:rsidRPr="00AB270C" w:rsidRDefault="007B1124" w:rsidP="00AB270C">
    <w:pPr>
      <w:pStyle w:val="Encabezado"/>
      <w:spacing w:before="0" w:after="0" w:line="240" w:lineRule="auto"/>
      <w:jc w:val="left"/>
      <w:rPr>
        <w:b/>
        <w:color w:val="548DD4"/>
        <w:szCs w:val="22"/>
        <w:lang w:val="es-ES"/>
      </w:rPr>
    </w:pPr>
    <w:r w:rsidRPr="00AB270C">
      <w:rPr>
        <w:b/>
        <w:color w:val="548DD4"/>
        <w:szCs w:val="22"/>
        <w:lang w:val="es-ES"/>
      </w:rPr>
      <w:t>ANEXO 3</w:t>
    </w:r>
  </w:p>
  <w:p w:rsidR="007B1124" w:rsidRDefault="007B11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24" w:rsidRPr="00C54628" w:rsidRDefault="007B1124" w:rsidP="00C23940">
    <w:pPr>
      <w:pStyle w:val="Piedepgina"/>
      <w:jc w:val="right"/>
      <w:rPr>
        <w:rFonts w:ascii="ITC Avant Garde" w:hAnsi="ITC Avant Garde"/>
        <w:sz w:val="18"/>
        <w:szCs w:val="18"/>
      </w:rPr>
    </w:pPr>
    <w:r w:rsidRPr="00C54628">
      <w:rPr>
        <w:rFonts w:ascii="ITC Avant Garde" w:hAnsi="ITC Avant Garde"/>
        <w:sz w:val="18"/>
        <w:szCs w:val="18"/>
      </w:rPr>
      <w:t xml:space="preserve">Página </w:t>
    </w:r>
    <w:r w:rsidRPr="00C54628">
      <w:rPr>
        <w:rFonts w:ascii="ITC Avant Garde" w:hAnsi="ITC Avant Garde"/>
        <w:sz w:val="18"/>
        <w:szCs w:val="18"/>
      </w:rPr>
      <w:fldChar w:fldCharType="begin"/>
    </w:r>
    <w:r w:rsidRPr="00C54628">
      <w:rPr>
        <w:rFonts w:ascii="ITC Avant Garde" w:hAnsi="ITC Avant Garde"/>
        <w:sz w:val="18"/>
        <w:szCs w:val="18"/>
      </w:rPr>
      <w:instrText xml:space="preserve"> PAGE  </w:instrText>
    </w:r>
    <w:r w:rsidRPr="00C54628">
      <w:rPr>
        <w:rFonts w:ascii="ITC Avant Garde" w:hAnsi="ITC Avant Garde"/>
        <w:sz w:val="18"/>
        <w:szCs w:val="18"/>
      </w:rPr>
      <w:fldChar w:fldCharType="separate"/>
    </w:r>
    <w:r w:rsidR="00B34267">
      <w:rPr>
        <w:rFonts w:ascii="ITC Avant Garde" w:hAnsi="ITC Avant Garde"/>
        <w:noProof/>
        <w:sz w:val="18"/>
        <w:szCs w:val="18"/>
      </w:rPr>
      <w:t>11</w:t>
    </w:r>
    <w:r w:rsidRPr="00C54628">
      <w:rPr>
        <w:rFonts w:ascii="ITC Avant Garde" w:hAnsi="ITC Avant Garde"/>
        <w:sz w:val="18"/>
        <w:szCs w:val="18"/>
      </w:rPr>
      <w:fldChar w:fldCharType="end"/>
    </w:r>
    <w:r w:rsidRPr="00C54628">
      <w:rPr>
        <w:rFonts w:ascii="ITC Avant Garde" w:hAnsi="ITC Avant Garde"/>
        <w:sz w:val="18"/>
        <w:szCs w:val="18"/>
      </w:rPr>
      <w:t xml:space="preserve"> de </w:t>
    </w:r>
    <w:r w:rsidRPr="00C54628">
      <w:rPr>
        <w:rFonts w:ascii="ITC Avant Garde" w:hAnsi="ITC Avant Garde"/>
        <w:sz w:val="18"/>
        <w:szCs w:val="18"/>
      </w:rPr>
      <w:fldChar w:fldCharType="begin"/>
    </w:r>
    <w:r w:rsidRPr="00C54628">
      <w:rPr>
        <w:rFonts w:ascii="ITC Avant Garde" w:hAnsi="ITC Avant Garde"/>
        <w:sz w:val="18"/>
        <w:szCs w:val="18"/>
      </w:rPr>
      <w:instrText>NUMPAGES</w:instrText>
    </w:r>
    <w:r w:rsidRPr="00C54628">
      <w:rPr>
        <w:rFonts w:ascii="ITC Avant Garde" w:hAnsi="ITC Avant Garde"/>
        <w:sz w:val="18"/>
        <w:szCs w:val="18"/>
      </w:rPr>
      <w:fldChar w:fldCharType="separate"/>
    </w:r>
    <w:r w:rsidR="00B34267">
      <w:rPr>
        <w:rFonts w:ascii="ITC Avant Garde" w:hAnsi="ITC Avant Garde"/>
        <w:noProof/>
        <w:sz w:val="18"/>
        <w:szCs w:val="18"/>
      </w:rPr>
      <w:t>13</w:t>
    </w:r>
    <w:r w:rsidRPr="00C54628">
      <w:rPr>
        <w:rFonts w:ascii="ITC Avant Garde" w:hAnsi="ITC Avant Garde"/>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FE" w:rsidRDefault="00A329FE" w:rsidP="005C1C06">
      <w:r>
        <w:separator/>
      </w:r>
    </w:p>
    <w:p w:rsidR="00A329FE" w:rsidRDefault="00A329FE" w:rsidP="005C1C06"/>
  </w:footnote>
  <w:footnote w:type="continuationSeparator" w:id="0">
    <w:p w:rsidR="00A329FE" w:rsidRDefault="00A329FE" w:rsidP="005C1C06">
      <w:r>
        <w:continuationSeparator/>
      </w:r>
    </w:p>
    <w:p w:rsidR="00A329FE" w:rsidRDefault="00A329FE" w:rsidP="005C1C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24" w:rsidRPr="00AB270C" w:rsidRDefault="007B1124" w:rsidP="00AB270C">
    <w:pPr>
      <w:pStyle w:val="Encabezado"/>
      <w:spacing w:before="0" w:after="0" w:line="240" w:lineRule="auto"/>
      <w:jc w:val="left"/>
      <w:rPr>
        <w:b/>
        <w:color w:val="548DD4"/>
        <w:szCs w:val="22"/>
        <w:lang w:val="es-ES"/>
      </w:rPr>
    </w:pPr>
    <w:r w:rsidRPr="00AB270C">
      <w:rPr>
        <w:b/>
        <w:color w:val="548DD4"/>
        <w:szCs w:val="22"/>
        <w:lang w:val="es-ES"/>
      </w:rPr>
      <w:t>Anexo 3 Procedimiento de Atención de Fallas, Continuidad del Servicio y Gestión de Incidencias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24" w:rsidRPr="00751458" w:rsidRDefault="007B1124" w:rsidP="005C1C06">
    <w:pPr>
      <w:pStyle w:val="Encabezado"/>
    </w:pPr>
  </w:p>
  <w:p w:rsidR="007B1124" w:rsidRDefault="007B1124" w:rsidP="005C1C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42A1"/>
    <w:multiLevelType w:val="hybridMultilevel"/>
    <w:tmpl w:val="20B29D5C"/>
    <w:lvl w:ilvl="0" w:tplc="26FCEBBC">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9966E47"/>
    <w:multiLevelType w:val="multilevel"/>
    <w:tmpl w:val="1898D884"/>
    <w:lvl w:ilvl="0">
      <w:start w:val="1"/>
      <w:numFmt w:val="decimal"/>
      <w:pStyle w:val="Ttulo2"/>
      <w:lvlText w:val="%1."/>
      <w:lvlJc w:val="left"/>
      <w:pPr>
        <w:ind w:left="720" w:hanging="360"/>
      </w:pPr>
      <w:rPr>
        <w:rFonts w:cs="Times New Roman" w:hint="default"/>
      </w:rPr>
    </w:lvl>
    <w:lvl w:ilvl="1">
      <w:start w:val="1"/>
      <w:numFmt w:val="decimal"/>
      <w:pStyle w:val="N2Telmex"/>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F486E79"/>
    <w:multiLevelType w:val="hybridMultilevel"/>
    <w:tmpl w:val="CA444A04"/>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C6916EE"/>
    <w:multiLevelType w:val="hybridMultilevel"/>
    <w:tmpl w:val="97004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7C38B3"/>
    <w:multiLevelType w:val="hybridMultilevel"/>
    <w:tmpl w:val="DEF62D3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20133681"/>
    <w:multiLevelType w:val="hybridMultilevel"/>
    <w:tmpl w:val="60AAD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745FD3"/>
    <w:multiLevelType w:val="hybridMultilevel"/>
    <w:tmpl w:val="2ED4F908"/>
    <w:lvl w:ilvl="0" w:tplc="080A0019">
      <w:start w:val="1"/>
      <w:numFmt w:val="lowerLetter"/>
      <w:lvlText w:val="%1."/>
      <w:lvlJc w:val="left"/>
      <w:pPr>
        <w:ind w:left="1068" w:hanging="360"/>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7" w15:restartNumberingAfterBreak="0">
    <w:nsid w:val="3A0D51A7"/>
    <w:multiLevelType w:val="hybridMultilevel"/>
    <w:tmpl w:val="68C0E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6818C5"/>
    <w:multiLevelType w:val="hybridMultilevel"/>
    <w:tmpl w:val="F566F13A"/>
    <w:lvl w:ilvl="0" w:tplc="B1B28AB0">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48017FE6"/>
    <w:multiLevelType w:val="hybridMultilevel"/>
    <w:tmpl w:val="E65AD1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A5C645E"/>
    <w:multiLevelType w:val="hybridMultilevel"/>
    <w:tmpl w:val="761A2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114167"/>
    <w:multiLevelType w:val="hybridMultilevel"/>
    <w:tmpl w:val="7ECE33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F45599A"/>
    <w:multiLevelType w:val="hybridMultilevel"/>
    <w:tmpl w:val="4E382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082B02"/>
    <w:multiLevelType w:val="hybridMultilevel"/>
    <w:tmpl w:val="502632C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66367310"/>
    <w:multiLevelType w:val="hybridMultilevel"/>
    <w:tmpl w:val="F6C81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650365"/>
    <w:multiLevelType w:val="hybridMultilevel"/>
    <w:tmpl w:val="DF045DB2"/>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
  </w:num>
  <w:num w:numId="2">
    <w:abstractNumId w:val="10"/>
  </w:num>
  <w:num w:numId="3">
    <w:abstractNumId w:val="14"/>
  </w:num>
  <w:num w:numId="4">
    <w:abstractNumId w:val="8"/>
  </w:num>
  <w:num w:numId="5">
    <w:abstractNumId w:val="6"/>
  </w:num>
  <w:num w:numId="6">
    <w:abstractNumId w:val="4"/>
  </w:num>
  <w:num w:numId="7">
    <w:abstractNumId w:val="13"/>
  </w:num>
  <w:num w:numId="8">
    <w:abstractNumId w:val="0"/>
  </w:num>
  <w:num w:numId="9">
    <w:abstractNumId w:val="9"/>
  </w:num>
  <w:num w:numId="10">
    <w:abstractNumId w:val="7"/>
  </w:num>
  <w:num w:numId="11">
    <w:abstractNumId w:val="5"/>
  </w:num>
  <w:num w:numId="12">
    <w:abstractNumId w:val="15"/>
  </w:num>
  <w:num w:numId="13">
    <w:abstractNumId w:val="3"/>
  </w:num>
  <w:num w:numId="14">
    <w:abstractNumId w:val="2"/>
  </w:num>
  <w:num w:numId="15">
    <w:abstractNumId w:val="1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4D"/>
    <w:rsid w:val="00002E42"/>
    <w:rsid w:val="00007FB0"/>
    <w:rsid w:val="00024A99"/>
    <w:rsid w:val="000378AA"/>
    <w:rsid w:val="00052AB2"/>
    <w:rsid w:val="00061AE3"/>
    <w:rsid w:val="000714D5"/>
    <w:rsid w:val="00074615"/>
    <w:rsid w:val="00075E64"/>
    <w:rsid w:val="0007614B"/>
    <w:rsid w:val="000A4BAD"/>
    <w:rsid w:val="000B4353"/>
    <w:rsid w:val="000C565B"/>
    <w:rsid w:val="000D0BFC"/>
    <w:rsid w:val="000D3F63"/>
    <w:rsid w:val="000D58E6"/>
    <w:rsid w:val="000E1F01"/>
    <w:rsid w:val="000F7223"/>
    <w:rsid w:val="00107993"/>
    <w:rsid w:val="00110286"/>
    <w:rsid w:val="00110DEF"/>
    <w:rsid w:val="00110EA9"/>
    <w:rsid w:val="00115E54"/>
    <w:rsid w:val="001203E9"/>
    <w:rsid w:val="00125B59"/>
    <w:rsid w:val="00130154"/>
    <w:rsid w:val="001302E2"/>
    <w:rsid w:val="001309DD"/>
    <w:rsid w:val="0013527A"/>
    <w:rsid w:val="00146D5C"/>
    <w:rsid w:val="00151588"/>
    <w:rsid w:val="001518BC"/>
    <w:rsid w:val="00154E7E"/>
    <w:rsid w:val="00191F43"/>
    <w:rsid w:val="001923CF"/>
    <w:rsid w:val="00197BE3"/>
    <w:rsid w:val="001A4867"/>
    <w:rsid w:val="001B3F1B"/>
    <w:rsid w:val="001D732E"/>
    <w:rsid w:val="001E2258"/>
    <w:rsid w:val="001F5951"/>
    <w:rsid w:val="001F7108"/>
    <w:rsid w:val="0020603D"/>
    <w:rsid w:val="00212DBE"/>
    <w:rsid w:val="0021471D"/>
    <w:rsid w:val="0021629D"/>
    <w:rsid w:val="00234BD2"/>
    <w:rsid w:val="0026070F"/>
    <w:rsid w:val="00270041"/>
    <w:rsid w:val="00273869"/>
    <w:rsid w:val="00280008"/>
    <w:rsid w:val="0028086D"/>
    <w:rsid w:val="00294399"/>
    <w:rsid w:val="002B75D0"/>
    <w:rsid w:val="002C3A47"/>
    <w:rsid w:val="002E1B57"/>
    <w:rsid w:val="002F78E3"/>
    <w:rsid w:val="00311D6F"/>
    <w:rsid w:val="003163DF"/>
    <w:rsid w:val="00330F7E"/>
    <w:rsid w:val="003333E4"/>
    <w:rsid w:val="0034025D"/>
    <w:rsid w:val="00341D88"/>
    <w:rsid w:val="00351D91"/>
    <w:rsid w:val="00354DED"/>
    <w:rsid w:val="00363F27"/>
    <w:rsid w:val="00366D67"/>
    <w:rsid w:val="003708C3"/>
    <w:rsid w:val="00373461"/>
    <w:rsid w:val="00380283"/>
    <w:rsid w:val="0039106C"/>
    <w:rsid w:val="003A7F36"/>
    <w:rsid w:val="003B6ACE"/>
    <w:rsid w:val="003B7AB1"/>
    <w:rsid w:val="003C0ED6"/>
    <w:rsid w:val="004054A1"/>
    <w:rsid w:val="00407003"/>
    <w:rsid w:val="004078A6"/>
    <w:rsid w:val="00414197"/>
    <w:rsid w:val="00415ABC"/>
    <w:rsid w:val="00423A22"/>
    <w:rsid w:val="00430B0B"/>
    <w:rsid w:val="00434324"/>
    <w:rsid w:val="00435C6F"/>
    <w:rsid w:val="00437441"/>
    <w:rsid w:val="0045206E"/>
    <w:rsid w:val="004759A8"/>
    <w:rsid w:val="00476C77"/>
    <w:rsid w:val="0049136C"/>
    <w:rsid w:val="004943AC"/>
    <w:rsid w:val="00494B82"/>
    <w:rsid w:val="004959D8"/>
    <w:rsid w:val="00496322"/>
    <w:rsid w:val="004B1C9D"/>
    <w:rsid w:val="004C0A5D"/>
    <w:rsid w:val="004C1478"/>
    <w:rsid w:val="004D1B33"/>
    <w:rsid w:val="004D218F"/>
    <w:rsid w:val="004D79E0"/>
    <w:rsid w:val="00515D0E"/>
    <w:rsid w:val="00524B1D"/>
    <w:rsid w:val="00525155"/>
    <w:rsid w:val="00527834"/>
    <w:rsid w:val="005304C8"/>
    <w:rsid w:val="005327A0"/>
    <w:rsid w:val="00541210"/>
    <w:rsid w:val="005446A9"/>
    <w:rsid w:val="0054763F"/>
    <w:rsid w:val="00554FD8"/>
    <w:rsid w:val="00556BA3"/>
    <w:rsid w:val="00562CD8"/>
    <w:rsid w:val="005803DE"/>
    <w:rsid w:val="00592305"/>
    <w:rsid w:val="0059760A"/>
    <w:rsid w:val="005A2803"/>
    <w:rsid w:val="005A6DC5"/>
    <w:rsid w:val="005B2F21"/>
    <w:rsid w:val="005B3A0A"/>
    <w:rsid w:val="005B5011"/>
    <w:rsid w:val="005C1BB4"/>
    <w:rsid w:val="005C1C06"/>
    <w:rsid w:val="005D6DC8"/>
    <w:rsid w:val="005E4800"/>
    <w:rsid w:val="005F3D69"/>
    <w:rsid w:val="006042C1"/>
    <w:rsid w:val="00626931"/>
    <w:rsid w:val="00641387"/>
    <w:rsid w:val="00642F33"/>
    <w:rsid w:val="00650658"/>
    <w:rsid w:val="00661533"/>
    <w:rsid w:val="006944C4"/>
    <w:rsid w:val="00697B1B"/>
    <w:rsid w:val="006A6730"/>
    <w:rsid w:val="006B1142"/>
    <w:rsid w:val="006C5A8C"/>
    <w:rsid w:val="006C61AE"/>
    <w:rsid w:val="006C6C2F"/>
    <w:rsid w:val="006E0B03"/>
    <w:rsid w:val="007028DD"/>
    <w:rsid w:val="00720E9A"/>
    <w:rsid w:val="0072538C"/>
    <w:rsid w:val="0074269F"/>
    <w:rsid w:val="00751458"/>
    <w:rsid w:val="00756DC1"/>
    <w:rsid w:val="00760086"/>
    <w:rsid w:val="00760EFE"/>
    <w:rsid w:val="007657C8"/>
    <w:rsid w:val="00770BF1"/>
    <w:rsid w:val="00777A85"/>
    <w:rsid w:val="007903A9"/>
    <w:rsid w:val="00794F59"/>
    <w:rsid w:val="007A1E09"/>
    <w:rsid w:val="007B1124"/>
    <w:rsid w:val="007B1696"/>
    <w:rsid w:val="007D251E"/>
    <w:rsid w:val="007D7331"/>
    <w:rsid w:val="007E49B2"/>
    <w:rsid w:val="007F23B7"/>
    <w:rsid w:val="00800B5C"/>
    <w:rsid w:val="00806CE0"/>
    <w:rsid w:val="008250B0"/>
    <w:rsid w:val="0083597D"/>
    <w:rsid w:val="00840BA6"/>
    <w:rsid w:val="008412C1"/>
    <w:rsid w:val="00850BC7"/>
    <w:rsid w:val="008559DF"/>
    <w:rsid w:val="00857B8E"/>
    <w:rsid w:val="00860B1A"/>
    <w:rsid w:val="008722CC"/>
    <w:rsid w:val="00876F7A"/>
    <w:rsid w:val="008842C1"/>
    <w:rsid w:val="008853ED"/>
    <w:rsid w:val="008A4CC9"/>
    <w:rsid w:val="008B55D7"/>
    <w:rsid w:val="008C4645"/>
    <w:rsid w:val="008C6E44"/>
    <w:rsid w:val="008C7499"/>
    <w:rsid w:val="008D0FEB"/>
    <w:rsid w:val="008D20FA"/>
    <w:rsid w:val="008D2B5A"/>
    <w:rsid w:val="008D3414"/>
    <w:rsid w:val="008D69EE"/>
    <w:rsid w:val="008E0939"/>
    <w:rsid w:val="00901896"/>
    <w:rsid w:val="00901DB9"/>
    <w:rsid w:val="00913A10"/>
    <w:rsid w:val="00922AE0"/>
    <w:rsid w:val="00923A69"/>
    <w:rsid w:val="00923FA5"/>
    <w:rsid w:val="00941A0E"/>
    <w:rsid w:val="00964037"/>
    <w:rsid w:val="009641A4"/>
    <w:rsid w:val="00967DD0"/>
    <w:rsid w:val="00970D9B"/>
    <w:rsid w:val="00974239"/>
    <w:rsid w:val="00982A9C"/>
    <w:rsid w:val="009B25CC"/>
    <w:rsid w:val="009B2FE0"/>
    <w:rsid w:val="009B4A14"/>
    <w:rsid w:val="009B6B66"/>
    <w:rsid w:val="009F3D36"/>
    <w:rsid w:val="009F756F"/>
    <w:rsid w:val="00A15E78"/>
    <w:rsid w:val="00A1757F"/>
    <w:rsid w:val="00A231A7"/>
    <w:rsid w:val="00A24688"/>
    <w:rsid w:val="00A329FE"/>
    <w:rsid w:val="00A52D8F"/>
    <w:rsid w:val="00A60701"/>
    <w:rsid w:val="00A642A1"/>
    <w:rsid w:val="00A72C73"/>
    <w:rsid w:val="00A7420E"/>
    <w:rsid w:val="00A857A8"/>
    <w:rsid w:val="00A92915"/>
    <w:rsid w:val="00A93984"/>
    <w:rsid w:val="00AB270C"/>
    <w:rsid w:val="00AC438F"/>
    <w:rsid w:val="00AF2532"/>
    <w:rsid w:val="00AF3674"/>
    <w:rsid w:val="00B11F64"/>
    <w:rsid w:val="00B24E26"/>
    <w:rsid w:val="00B24EB2"/>
    <w:rsid w:val="00B31660"/>
    <w:rsid w:val="00B34267"/>
    <w:rsid w:val="00B7272C"/>
    <w:rsid w:val="00B80555"/>
    <w:rsid w:val="00B838B1"/>
    <w:rsid w:val="00B9410E"/>
    <w:rsid w:val="00BA09AF"/>
    <w:rsid w:val="00BB02AA"/>
    <w:rsid w:val="00BC132A"/>
    <w:rsid w:val="00BD0FD5"/>
    <w:rsid w:val="00BD1469"/>
    <w:rsid w:val="00BD6094"/>
    <w:rsid w:val="00BE122B"/>
    <w:rsid w:val="00BE6103"/>
    <w:rsid w:val="00C05C7B"/>
    <w:rsid w:val="00C079EB"/>
    <w:rsid w:val="00C14487"/>
    <w:rsid w:val="00C2091C"/>
    <w:rsid w:val="00C23940"/>
    <w:rsid w:val="00C23941"/>
    <w:rsid w:val="00C36127"/>
    <w:rsid w:val="00C4532A"/>
    <w:rsid w:val="00C46B15"/>
    <w:rsid w:val="00C46ED3"/>
    <w:rsid w:val="00C54628"/>
    <w:rsid w:val="00C701E7"/>
    <w:rsid w:val="00C82C8B"/>
    <w:rsid w:val="00CA075A"/>
    <w:rsid w:val="00CB187A"/>
    <w:rsid w:val="00CB1CBD"/>
    <w:rsid w:val="00CB6438"/>
    <w:rsid w:val="00CC6AF6"/>
    <w:rsid w:val="00CC6CF0"/>
    <w:rsid w:val="00CD46C9"/>
    <w:rsid w:val="00CD6140"/>
    <w:rsid w:val="00CD68CD"/>
    <w:rsid w:val="00CE10D3"/>
    <w:rsid w:val="00D046BF"/>
    <w:rsid w:val="00D100B1"/>
    <w:rsid w:val="00D25317"/>
    <w:rsid w:val="00D267EA"/>
    <w:rsid w:val="00D4628F"/>
    <w:rsid w:val="00D77AAB"/>
    <w:rsid w:val="00D805B7"/>
    <w:rsid w:val="00D84058"/>
    <w:rsid w:val="00D873DD"/>
    <w:rsid w:val="00D945DB"/>
    <w:rsid w:val="00D9604D"/>
    <w:rsid w:val="00DA1DB8"/>
    <w:rsid w:val="00DA2FB6"/>
    <w:rsid w:val="00DB1071"/>
    <w:rsid w:val="00DC3852"/>
    <w:rsid w:val="00DD4A32"/>
    <w:rsid w:val="00DE0748"/>
    <w:rsid w:val="00DF71D7"/>
    <w:rsid w:val="00E028D0"/>
    <w:rsid w:val="00E10F2F"/>
    <w:rsid w:val="00E25810"/>
    <w:rsid w:val="00E32F84"/>
    <w:rsid w:val="00E348EC"/>
    <w:rsid w:val="00E426EF"/>
    <w:rsid w:val="00E6130F"/>
    <w:rsid w:val="00E70C33"/>
    <w:rsid w:val="00E74743"/>
    <w:rsid w:val="00E75EDF"/>
    <w:rsid w:val="00E81120"/>
    <w:rsid w:val="00E84088"/>
    <w:rsid w:val="00E850B9"/>
    <w:rsid w:val="00EA064A"/>
    <w:rsid w:val="00EA5AF8"/>
    <w:rsid w:val="00EA6B55"/>
    <w:rsid w:val="00EB35B4"/>
    <w:rsid w:val="00EC3780"/>
    <w:rsid w:val="00EC56A4"/>
    <w:rsid w:val="00EC59B8"/>
    <w:rsid w:val="00ED0704"/>
    <w:rsid w:val="00EF38FB"/>
    <w:rsid w:val="00F04CD4"/>
    <w:rsid w:val="00F203A1"/>
    <w:rsid w:val="00F205CB"/>
    <w:rsid w:val="00F310A9"/>
    <w:rsid w:val="00F37E12"/>
    <w:rsid w:val="00F505F0"/>
    <w:rsid w:val="00F51A04"/>
    <w:rsid w:val="00F54EDD"/>
    <w:rsid w:val="00F575CE"/>
    <w:rsid w:val="00F65AFC"/>
    <w:rsid w:val="00F7071B"/>
    <w:rsid w:val="00F72F11"/>
    <w:rsid w:val="00F854BF"/>
    <w:rsid w:val="00F929C8"/>
    <w:rsid w:val="00FA1CBC"/>
    <w:rsid w:val="00FA7655"/>
    <w:rsid w:val="00FB5C65"/>
    <w:rsid w:val="00FC2816"/>
    <w:rsid w:val="00FD4825"/>
    <w:rsid w:val="00FD4E96"/>
    <w:rsid w:val="00FF0CBB"/>
    <w:rsid w:val="00FF40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34EB3932-0232-44DB-B11B-DC181C33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C06"/>
    <w:pPr>
      <w:spacing w:before="240" w:after="240" w:line="360" w:lineRule="auto"/>
      <w:jc w:val="both"/>
    </w:pPr>
    <w:rPr>
      <w:rFonts w:eastAsia="Times New Roman"/>
      <w:sz w:val="24"/>
      <w:szCs w:val="24"/>
      <w:lang w:val="es-ES_tradnl" w:eastAsia="es-ES"/>
    </w:rPr>
  </w:style>
  <w:style w:type="paragraph" w:styleId="Ttulo1">
    <w:name w:val="heading 1"/>
    <w:basedOn w:val="Ttulo2"/>
    <w:next w:val="Normal"/>
    <w:link w:val="Ttulo1Car"/>
    <w:uiPriority w:val="99"/>
    <w:qFormat/>
    <w:locked/>
    <w:rsid w:val="005C1C06"/>
    <w:pPr>
      <w:numPr>
        <w:numId w:val="0"/>
      </w:numPr>
      <w:jc w:val="center"/>
      <w:outlineLvl w:val="0"/>
    </w:pPr>
    <w:rPr>
      <w:sz w:val="72"/>
      <w:szCs w:val="72"/>
    </w:rPr>
  </w:style>
  <w:style w:type="paragraph" w:styleId="Ttulo2">
    <w:name w:val="heading 2"/>
    <w:aliases w:val="h:2,h:2app,orderpara1,H2,H21,título 2,Level 2,heading 2+ Indent: Left 0.25 in,Head2A,2,Titre 2 ALD,Fab-2,h2,Level2,Titre 2 OD,Header 2,l2,h21,21,Header 21,l21,h22,22,Header 22,l22,h23,23,Header 23,l23,h24,24,Header 24,l24,h25,25,Header 25,l25"/>
    <w:basedOn w:val="Normal"/>
    <w:next w:val="Normal"/>
    <w:link w:val="Ttulo2Car1"/>
    <w:uiPriority w:val="99"/>
    <w:qFormat/>
    <w:rsid w:val="005C1C06"/>
    <w:pPr>
      <w:keepNext/>
      <w:numPr>
        <w:numId w:val="1"/>
      </w:numPr>
      <w:spacing w:after="60"/>
      <w:ind w:left="567" w:hanging="567"/>
      <w:outlineLvl w:val="1"/>
    </w:pPr>
    <w:rPr>
      <w:rFonts w:eastAsia="Calibri"/>
      <w:b/>
      <w:lang w:val="es-MX" w:eastAsia="es-MX"/>
    </w:rPr>
  </w:style>
  <w:style w:type="paragraph" w:styleId="Ttulo3">
    <w:name w:val="heading 3"/>
    <w:basedOn w:val="Normal"/>
    <w:next w:val="Normal"/>
    <w:link w:val="Ttulo3Car"/>
    <w:uiPriority w:val="99"/>
    <w:qFormat/>
    <w:locked/>
    <w:rsid w:val="00C23941"/>
    <w:pPr>
      <w:keepNext/>
      <w:keepLines/>
      <w:spacing w:before="40" w:after="0"/>
      <w:ind w:left="567" w:hanging="567"/>
      <w:outlineLvl w:val="2"/>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5C1C06"/>
    <w:rPr>
      <w:rFonts w:cs="Times New Roman"/>
      <w:b/>
      <w:sz w:val="72"/>
      <w:szCs w:val="72"/>
    </w:rPr>
  </w:style>
  <w:style w:type="character" w:customStyle="1" w:styleId="Ttulo2Car1">
    <w:name w:val="Título 2 Car1"/>
    <w:aliases w:val="h:2 Car,h:2app Car,orderpara1 Car,H2 Car,H21 Car,título 2 Car,Level 2 Car,heading 2+ Indent: Left 0.25 in Car,Head2A Car,2 Car,Titre 2 ALD Car,Fab-2 Car,h2 Car,Level2 Car,Titre 2 OD Car,Header 2 Car,l2 Car,h21 Car,21 Car,Header 21 Car"/>
    <w:link w:val="Ttulo2"/>
    <w:uiPriority w:val="99"/>
    <w:locked/>
    <w:rsid w:val="005C1C06"/>
    <w:rPr>
      <w:rFonts w:cs="Times New Roman"/>
      <w:b/>
      <w:sz w:val="24"/>
      <w:szCs w:val="24"/>
    </w:rPr>
  </w:style>
  <w:style w:type="character" w:customStyle="1" w:styleId="Ttulo3Car">
    <w:name w:val="Título 3 Car"/>
    <w:link w:val="Ttulo3"/>
    <w:uiPriority w:val="99"/>
    <w:locked/>
    <w:rsid w:val="00C23941"/>
    <w:rPr>
      <w:rFonts w:ascii="Calibri" w:hAnsi="Calibri" w:cs="Times New Roman"/>
      <w:b/>
      <w:sz w:val="24"/>
      <w:szCs w:val="24"/>
      <w:u w:val="single"/>
      <w:lang w:val="es-ES_tradnl" w:eastAsia="es-ES"/>
    </w:rPr>
  </w:style>
  <w:style w:type="paragraph" w:styleId="Encabezado">
    <w:name w:val="header"/>
    <w:aliases w:val="Header/Footer,header odd,header odd1,header odd2,header odd3,header odd4,header odd5,header odd6,encabezado"/>
    <w:basedOn w:val="Normal"/>
    <w:link w:val="EncabezadoCar"/>
    <w:uiPriority w:val="99"/>
    <w:rsid w:val="00D9604D"/>
    <w:pPr>
      <w:tabs>
        <w:tab w:val="center" w:pos="4252"/>
        <w:tab w:val="right" w:pos="8504"/>
      </w:tabs>
    </w:p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locked/>
    <w:rsid w:val="00D9604D"/>
    <w:rPr>
      <w:rFonts w:ascii="Arial" w:hAnsi="Arial" w:cs="Times New Roman"/>
      <w:sz w:val="20"/>
      <w:szCs w:val="20"/>
      <w:lang w:val="es-ES_tradnl" w:eastAsia="es-ES"/>
    </w:rPr>
  </w:style>
  <w:style w:type="paragraph" w:styleId="Piedepgina">
    <w:name w:val="footer"/>
    <w:basedOn w:val="Normal"/>
    <w:link w:val="PiedepginaCar"/>
    <w:uiPriority w:val="99"/>
    <w:rsid w:val="00D9604D"/>
    <w:pPr>
      <w:tabs>
        <w:tab w:val="center" w:pos="4252"/>
        <w:tab w:val="right" w:pos="8504"/>
      </w:tabs>
    </w:pPr>
  </w:style>
  <w:style w:type="character" w:customStyle="1" w:styleId="PiedepginaCar">
    <w:name w:val="Pie de página Car"/>
    <w:link w:val="Piedepgina"/>
    <w:uiPriority w:val="99"/>
    <w:locked/>
    <w:rsid w:val="00D9604D"/>
    <w:rPr>
      <w:rFonts w:ascii="Arial" w:hAnsi="Arial" w:cs="Times New Roman"/>
      <w:sz w:val="20"/>
      <w:szCs w:val="20"/>
      <w:lang w:val="es-ES_tradnl" w:eastAsia="es-ES"/>
    </w:rPr>
  </w:style>
  <w:style w:type="paragraph" w:customStyle="1" w:styleId="pieizq">
    <w:name w:val="pie izq"/>
    <w:basedOn w:val="Normal"/>
    <w:uiPriority w:val="99"/>
    <w:rsid w:val="00D9604D"/>
    <w:pPr>
      <w:tabs>
        <w:tab w:val="center" w:pos="4252"/>
        <w:tab w:val="right" w:pos="8504"/>
        <w:tab w:val="left" w:pos="9498"/>
      </w:tabs>
      <w:ind w:left="4252" w:right="-115" w:hanging="4252"/>
    </w:pPr>
    <w:rPr>
      <w:b/>
      <w:sz w:val="28"/>
    </w:rPr>
  </w:style>
  <w:style w:type="paragraph" w:styleId="Prrafodelista">
    <w:name w:val="List Paragraph"/>
    <w:basedOn w:val="Normal"/>
    <w:link w:val="PrrafodelistaCar"/>
    <w:uiPriority w:val="99"/>
    <w:qFormat/>
    <w:rsid w:val="00D9604D"/>
    <w:pPr>
      <w:ind w:left="708"/>
    </w:pPr>
  </w:style>
  <w:style w:type="paragraph" w:customStyle="1" w:styleId="Texto1">
    <w:name w:val="Texto 1"/>
    <w:basedOn w:val="Normal"/>
    <w:uiPriority w:val="99"/>
    <w:rsid w:val="00D9604D"/>
    <w:pPr>
      <w:ind w:left="352"/>
    </w:pPr>
  </w:style>
  <w:style w:type="table" w:styleId="Tablaconcuadrcula">
    <w:name w:val="Table Grid"/>
    <w:basedOn w:val="Tablanormal"/>
    <w:uiPriority w:val="99"/>
    <w:rsid w:val="002060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rsid w:val="00311D6F"/>
    <w:rPr>
      <w:rFonts w:ascii="Tahoma" w:hAnsi="Tahoma" w:cs="Tahoma"/>
      <w:sz w:val="16"/>
      <w:szCs w:val="16"/>
    </w:rPr>
  </w:style>
  <w:style w:type="character" w:customStyle="1" w:styleId="MapadeldocumentoCar">
    <w:name w:val="Mapa del documento Car"/>
    <w:link w:val="Mapadeldocumento"/>
    <w:uiPriority w:val="99"/>
    <w:semiHidden/>
    <w:locked/>
    <w:rsid w:val="00311D6F"/>
    <w:rPr>
      <w:rFonts w:ascii="Tahoma" w:hAnsi="Tahoma" w:cs="Tahoma"/>
      <w:sz w:val="16"/>
      <w:szCs w:val="16"/>
      <w:lang w:val="es-ES_tradnl" w:eastAsia="es-ES"/>
    </w:rPr>
  </w:style>
  <w:style w:type="character" w:customStyle="1" w:styleId="Ttulo2Car">
    <w:name w:val="Título 2 Car"/>
    <w:uiPriority w:val="99"/>
    <w:semiHidden/>
    <w:rsid w:val="00E32F84"/>
    <w:rPr>
      <w:rFonts w:ascii="Cambria" w:hAnsi="Cambria" w:cs="Times New Roman"/>
      <w:b/>
      <w:bCs/>
      <w:color w:val="4F81BD"/>
      <w:sz w:val="26"/>
      <w:szCs w:val="26"/>
      <w:lang w:val="es-ES_tradnl" w:eastAsia="es-ES"/>
    </w:rPr>
  </w:style>
  <w:style w:type="character" w:styleId="Hipervnculo">
    <w:name w:val="Hyperlink"/>
    <w:uiPriority w:val="99"/>
    <w:rsid w:val="002E1B57"/>
    <w:rPr>
      <w:rFonts w:cs="Times New Roman"/>
      <w:color w:val="0000FF"/>
      <w:u w:val="single"/>
    </w:rPr>
  </w:style>
  <w:style w:type="paragraph" w:styleId="Textodeglobo">
    <w:name w:val="Balloon Text"/>
    <w:basedOn w:val="Normal"/>
    <w:link w:val="TextodegloboCar"/>
    <w:uiPriority w:val="99"/>
    <w:semiHidden/>
    <w:rsid w:val="00A92915"/>
    <w:rPr>
      <w:rFonts w:ascii="Segoe UI" w:hAnsi="Segoe UI" w:cs="Segoe UI"/>
      <w:sz w:val="18"/>
      <w:szCs w:val="18"/>
    </w:rPr>
  </w:style>
  <w:style w:type="character" w:customStyle="1" w:styleId="TextodegloboCar">
    <w:name w:val="Texto de globo Car"/>
    <w:link w:val="Textodeglobo"/>
    <w:uiPriority w:val="99"/>
    <w:semiHidden/>
    <w:locked/>
    <w:rsid w:val="00A92915"/>
    <w:rPr>
      <w:rFonts w:ascii="Segoe UI" w:hAnsi="Segoe UI" w:cs="Segoe UI"/>
      <w:sz w:val="18"/>
      <w:szCs w:val="18"/>
      <w:lang w:val="es-ES_tradnl" w:eastAsia="es-ES"/>
    </w:rPr>
  </w:style>
  <w:style w:type="paragraph" w:styleId="Textonotapie">
    <w:name w:val="footnote text"/>
    <w:basedOn w:val="Normal"/>
    <w:link w:val="TextonotapieCar"/>
    <w:uiPriority w:val="99"/>
    <w:semiHidden/>
    <w:rsid w:val="00DA1DB8"/>
  </w:style>
  <w:style w:type="character" w:customStyle="1" w:styleId="TextonotapieCar">
    <w:name w:val="Texto nota pie Car"/>
    <w:link w:val="Textonotapie"/>
    <w:uiPriority w:val="99"/>
    <w:semiHidden/>
    <w:locked/>
    <w:rsid w:val="00DA1DB8"/>
    <w:rPr>
      <w:rFonts w:ascii="Arial" w:hAnsi="Arial" w:cs="Times New Roman"/>
      <w:sz w:val="20"/>
      <w:szCs w:val="20"/>
      <w:lang w:val="es-ES_tradnl" w:eastAsia="es-ES"/>
    </w:rPr>
  </w:style>
  <w:style w:type="character" w:styleId="Refdenotaalpie">
    <w:name w:val="footnote reference"/>
    <w:uiPriority w:val="99"/>
    <w:semiHidden/>
    <w:rsid w:val="00DA1DB8"/>
    <w:rPr>
      <w:rFonts w:cs="Times New Roman"/>
      <w:vertAlign w:val="superscript"/>
    </w:rPr>
  </w:style>
  <w:style w:type="character" w:styleId="Refdecomentario">
    <w:name w:val="annotation reference"/>
    <w:uiPriority w:val="99"/>
    <w:semiHidden/>
    <w:rsid w:val="00923A69"/>
    <w:rPr>
      <w:rFonts w:cs="Times New Roman"/>
      <w:sz w:val="16"/>
      <w:szCs w:val="16"/>
    </w:rPr>
  </w:style>
  <w:style w:type="paragraph" w:styleId="Textocomentario">
    <w:name w:val="annotation text"/>
    <w:basedOn w:val="Normal"/>
    <w:link w:val="TextocomentarioCar"/>
    <w:uiPriority w:val="99"/>
    <w:semiHidden/>
    <w:rsid w:val="00923A69"/>
  </w:style>
  <w:style w:type="character" w:customStyle="1" w:styleId="TextocomentarioCar">
    <w:name w:val="Texto comentario Car"/>
    <w:link w:val="Textocomentario"/>
    <w:uiPriority w:val="99"/>
    <w:semiHidden/>
    <w:locked/>
    <w:rsid w:val="00923A69"/>
    <w:rPr>
      <w:rFonts w:ascii="Arial"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923A69"/>
    <w:rPr>
      <w:b/>
      <w:bCs/>
    </w:rPr>
  </w:style>
  <w:style w:type="character" w:customStyle="1" w:styleId="AsuntodelcomentarioCar">
    <w:name w:val="Asunto del comentario Car"/>
    <w:link w:val="Asuntodelcomentario"/>
    <w:uiPriority w:val="99"/>
    <w:semiHidden/>
    <w:locked/>
    <w:rsid w:val="00923A69"/>
    <w:rPr>
      <w:rFonts w:ascii="Arial" w:hAnsi="Arial" w:cs="Times New Roman"/>
      <w:b/>
      <w:bCs/>
      <w:sz w:val="20"/>
      <w:szCs w:val="20"/>
      <w:lang w:val="es-ES_tradnl" w:eastAsia="es-ES"/>
    </w:rPr>
  </w:style>
  <w:style w:type="character" w:customStyle="1" w:styleId="PrrafodelistaCar">
    <w:name w:val="Párrafo de lista Car"/>
    <w:link w:val="Prrafodelista"/>
    <w:uiPriority w:val="99"/>
    <w:locked/>
    <w:rsid w:val="00BA09AF"/>
    <w:rPr>
      <w:rFonts w:eastAsia="Times New Roman"/>
      <w:sz w:val="24"/>
      <w:lang w:val="es-ES_tradnl" w:eastAsia="es-ES"/>
    </w:rPr>
  </w:style>
  <w:style w:type="paragraph" w:customStyle="1" w:styleId="CitaIFT">
    <w:name w:val="Cita IFT"/>
    <w:basedOn w:val="Normal"/>
    <w:link w:val="CitaIFTCar"/>
    <w:uiPriority w:val="99"/>
    <w:rsid w:val="00BA09AF"/>
    <w:pPr>
      <w:adjustRightInd w:val="0"/>
      <w:spacing w:before="0" w:after="200" w:line="276" w:lineRule="auto"/>
      <w:ind w:left="851" w:right="760"/>
    </w:pPr>
    <w:rPr>
      <w:rFonts w:ascii="ITC Avant Garde" w:hAnsi="ITC Avant Garde"/>
      <w:bCs/>
      <w:i/>
      <w:color w:val="000000"/>
      <w:sz w:val="18"/>
      <w:szCs w:val="18"/>
    </w:rPr>
  </w:style>
  <w:style w:type="character" w:customStyle="1" w:styleId="CitaIFTCar">
    <w:name w:val="Cita IFT Car"/>
    <w:link w:val="CitaIFT"/>
    <w:uiPriority w:val="99"/>
    <w:locked/>
    <w:rsid w:val="00BA09AF"/>
    <w:rPr>
      <w:rFonts w:ascii="ITC Avant Garde" w:hAnsi="ITC Avant Garde"/>
      <w:i/>
      <w:color w:val="000000"/>
      <w:sz w:val="18"/>
      <w:lang w:val="es-ES_tradnl" w:eastAsia="es-ES"/>
    </w:rPr>
  </w:style>
  <w:style w:type="paragraph" w:customStyle="1" w:styleId="N2Telmex">
    <w:name w:val="N2 Telmex"/>
    <w:basedOn w:val="Normal"/>
    <w:next w:val="Ttulo2"/>
    <w:link w:val="N2TelmexCar"/>
    <w:uiPriority w:val="99"/>
    <w:rsid w:val="00B80555"/>
    <w:pPr>
      <w:numPr>
        <w:ilvl w:val="1"/>
        <w:numId w:val="1"/>
      </w:numPr>
      <w:ind w:left="567" w:hanging="567"/>
    </w:pPr>
    <w:rPr>
      <w:b/>
      <w:u w:val="single"/>
    </w:rPr>
  </w:style>
  <w:style w:type="character" w:styleId="Ttulodellibro">
    <w:name w:val="Book Title"/>
    <w:basedOn w:val="Fuentedeprrafopredeter"/>
    <w:uiPriority w:val="99"/>
    <w:qFormat/>
    <w:rsid w:val="008D0FEB"/>
  </w:style>
  <w:style w:type="character" w:customStyle="1" w:styleId="N2TelmexCar">
    <w:name w:val="N2 Telmex Car"/>
    <w:link w:val="N2Telmex"/>
    <w:uiPriority w:val="99"/>
    <w:locked/>
    <w:rsid w:val="00B80555"/>
    <w:rPr>
      <w:rFonts w:eastAsia="Times New Roman" w:cs="Times New Roman"/>
      <w:b/>
      <w:sz w:val="24"/>
      <w:szCs w:val="24"/>
      <w:u w:val="single"/>
      <w:lang w:val="es-ES_tradnl" w:eastAsia="es-ES"/>
    </w:rPr>
  </w:style>
  <w:style w:type="table" w:styleId="Cuadrculadetablaclara">
    <w:name w:val="Grid Table Light"/>
    <w:basedOn w:val="Tablanormal"/>
    <w:uiPriority w:val="40"/>
    <w:rsid w:val="00B342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30335">
      <w:marLeft w:val="0"/>
      <w:marRight w:val="0"/>
      <w:marTop w:val="0"/>
      <w:marBottom w:val="0"/>
      <w:divBdr>
        <w:top w:val="none" w:sz="0" w:space="0" w:color="auto"/>
        <w:left w:val="none" w:sz="0" w:space="0" w:color="auto"/>
        <w:bottom w:val="none" w:sz="0" w:space="0" w:color="auto"/>
        <w:right w:val="none" w:sz="0" w:space="0" w:color="auto"/>
      </w:divBdr>
    </w:div>
    <w:div w:id="1922330336">
      <w:marLeft w:val="0"/>
      <w:marRight w:val="0"/>
      <w:marTop w:val="0"/>
      <w:marBottom w:val="0"/>
      <w:divBdr>
        <w:top w:val="none" w:sz="0" w:space="0" w:color="auto"/>
        <w:left w:val="none" w:sz="0" w:space="0" w:color="auto"/>
        <w:bottom w:val="none" w:sz="0" w:space="0" w:color="auto"/>
        <w:right w:val="none" w:sz="0" w:space="0" w:color="auto"/>
      </w:divBdr>
    </w:div>
    <w:div w:id="1922330337">
      <w:marLeft w:val="0"/>
      <w:marRight w:val="0"/>
      <w:marTop w:val="0"/>
      <w:marBottom w:val="0"/>
      <w:divBdr>
        <w:top w:val="none" w:sz="0" w:space="0" w:color="auto"/>
        <w:left w:val="none" w:sz="0" w:space="0" w:color="auto"/>
        <w:bottom w:val="none" w:sz="0" w:space="0" w:color="auto"/>
        <w:right w:val="none" w:sz="0" w:space="0" w:color="auto"/>
      </w:divBdr>
    </w:div>
    <w:div w:id="1922330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37184-1220-46D8-B026-33DB2871E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DC29DE-6ADA-478E-86C2-A12E8E1F22AE}">
  <ds:schemaRefs>
    <ds:schemaRef ds:uri="http://schemas.microsoft.com/sharepoint/v3/contenttype/forms"/>
  </ds:schemaRefs>
</ds:datastoreItem>
</file>

<file path=customXml/itemProps3.xml><?xml version="1.0" encoding="utf-8"?>
<ds:datastoreItem xmlns:ds="http://schemas.openxmlformats.org/officeDocument/2006/customXml" ds:itemID="{2E08B078-129E-4BD1-B90C-F7F85C6FA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F8005F-68DA-496F-B51F-B3A98B97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2527</Words>
  <Characters>13903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Falllas</vt:lpstr>
    </vt:vector>
  </TitlesOfParts>
  <Company>TELMEX</Company>
  <LinksUpToDate>false</LinksUpToDate>
  <CharactersWithSpaces>16398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Falllas</dc:title>
  <dc:subject/>
  <dc:creator>Lemus Nieto Samanta Paola</dc:creator>
  <cp:keywords/>
  <dc:description/>
  <cp:lastModifiedBy>Mario Alonso Cruz</cp:lastModifiedBy>
  <cp:revision>4</cp:revision>
  <cp:lastPrinted>2015-10-30T04:03:00Z</cp:lastPrinted>
  <dcterms:created xsi:type="dcterms:W3CDTF">2017-10-24T15:56:00Z</dcterms:created>
  <dcterms:modified xsi:type="dcterms:W3CDTF">2017-11-09T02:10:00Z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