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DFC" w:rsidRPr="003213AC" w:rsidRDefault="003D3DFC" w:rsidP="003D3DFC">
      <w:pPr>
        <w:pStyle w:val="Ttulo3"/>
        <w:numPr>
          <w:ilvl w:val="0"/>
          <w:numId w:val="0"/>
        </w:numPr>
        <w:spacing w:after="60"/>
        <w:rPr>
          <w:rFonts w:ascii="Calibri" w:hAnsi="Calibri"/>
        </w:rPr>
      </w:pPr>
      <w:r w:rsidRPr="003213AC">
        <w:rPr>
          <w:rFonts w:ascii="Calibri" w:hAnsi="Calibri"/>
        </w:rPr>
        <w:t xml:space="preserve">Pozos utilizados para nuevos </w:t>
      </w:r>
      <w:proofErr w:type="spellStart"/>
      <w:r w:rsidR="00633222" w:rsidRPr="003213AC">
        <w:rPr>
          <w:rFonts w:ascii="Calibri" w:hAnsi="Calibri"/>
          <w:lang w:val="es-MX"/>
        </w:rPr>
        <w:t>trabaj</w:t>
      </w:r>
      <w:proofErr w:type="spellEnd"/>
      <w:r w:rsidRPr="003213AC">
        <w:rPr>
          <w:rFonts w:ascii="Calibri" w:hAnsi="Calibri"/>
        </w:rPr>
        <w:t>os de canalización en Telmex.</w:t>
      </w:r>
    </w:p>
    <w:p w:rsidR="003D3DFC" w:rsidRPr="003213AC" w:rsidRDefault="009A723E" w:rsidP="003D3DFC">
      <w:pPr>
        <w:pStyle w:val="Texto1"/>
        <w:jc w:val="center"/>
        <w:rPr>
          <w:rFonts w:ascii="Calibri" w:hAnsi="Calibri"/>
        </w:rPr>
      </w:pPr>
      <w:r>
        <w:rPr>
          <w:noProof/>
          <w:lang w:eastAsia="es-MX"/>
        </w:rPr>
        <w:drawing>
          <wp:inline distT="0" distB="0" distL="0" distR="0">
            <wp:extent cx="3952875" cy="3924300"/>
            <wp:effectExtent l="0" t="0" r="9525" b="0"/>
            <wp:docPr id="6" name="Imagen 6" descr="Pozos utilizados para nuevos trabajos de canalización en Telmex." title="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DFC" w:rsidRPr="003213AC" w:rsidRDefault="003D3DFC" w:rsidP="003D3DFC">
      <w:pPr>
        <w:pStyle w:val="Texto1"/>
        <w:rPr>
          <w:rFonts w:ascii="Calibri" w:hAnsi="Calibri"/>
        </w:rPr>
      </w:pPr>
    </w:p>
    <w:p w:rsidR="003D3DFC" w:rsidRPr="003213AC" w:rsidRDefault="003D3DFC" w:rsidP="003D3DFC">
      <w:pPr>
        <w:pStyle w:val="Ttulo3"/>
        <w:numPr>
          <w:ilvl w:val="0"/>
          <w:numId w:val="0"/>
        </w:numPr>
        <w:spacing w:after="60"/>
        <w:rPr>
          <w:rFonts w:ascii="Calibri" w:hAnsi="Calibri"/>
        </w:rPr>
      </w:pPr>
      <w:r w:rsidRPr="003213AC">
        <w:rPr>
          <w:rFonts w:ascii="Calibri" w:hAnsi="Calibri"/>
        </w:rPr>
        <w:t xml:space="preserve">Pozos existentes en desuso para nuevos </w:t>
      </w:r>
      <w:proofErr w:type="spellStart"/>
      <w:r w:rsidR="00633222" w:rsidRPr="003213AC">
        <w:rPr>
          <w:rFonts w:ascii="Calibri" w:hAnsi="Calibri"/>
          <w:lang w:val="es-MX"/>
        </w:rPr>
        <w:t>trabaj</w:t>
      </w:r>
      <w:proofErr w:type="spellEnd"/>
      <w:r w:rsidRPr="003213AC">
        <w:rPr>
          <w:rFonts w:ascii="Calibri" w:hAnsi="Calibri"/>
        </w:rPr>
        <w:t>os de canalización en Telmex.</w:t>
      </w:r>
    </w:p>
    <w:p w:rsidR="003D3DFC" w:rsidRPr="003213AC" w:rsidRDefault="003D3DFC" w:rsidP="003D3DFC">
      <w:pPr>
        <w:pStyle w:val="Texto1"/>
        <w:jc w:val="center"/>
        <w:rPr>
          <w:rFonts w:ascii="Calibri" w:hAnsi="Calibri"/>
        </w:rPr>
      </w:pPr>
    </w:p>
    <w:p w:rsidR="003D3DFC" w:rsidRDefault="009A723E" w:rsidP="003D3DFC">
      <w:pPr>
        <w:pStyle w:val="Texto1"/>
        <w:jc w:val="center"/>
      </w:pPr>
      <w:r>
        <w:rPr>
          <w:noProof/>
          <w:lang w:eastAsia="es-MX"/>
        </w:rPr>
        <w:drawing>
          <wp:inline distT="0" distB="0" distL="0" distR="0">
            <wp:extent cx="5143500" cy="2076450"/>
            <wp:effectExtent l="0" t="0" r="0" b="0"/>
            <wp:docPr id="11" name="Imagen 11" descr="Pozos existentes en desuso para nuevos trabajos de canalización en Telmex." title="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44D" w:rsidRDefault="00EA444D" w:rsidP="003D3DFC">
      <w:pPr>
        <w:pStyle w:val="Texto1"/>
        <w:jc w:val="center"/>
      </w:pPr>
    </w:p>
    <w:p w:rsidR="00EA444D" w:rsidRDefault="009A723E" w:rsidP="003D3DFC">
      <w:pPr>
        <w:pStyle w:val="Texto1"/>
        <w:jc w:val="center"/>
      </w:pPr>
      <w:r>
        <w:rPr>
          <w:noProof/>
          <w:lang w:eastAsia="es-MX"/>
        </w:rPr>
        <w:lastRenderedPageBreak/>
        <w:drawing>
          <wp:inline distT="0" distB="0" distL="0" distR="0">
            <wp:extent cx="5143500" cy="1714500"/>
            <wp:effectExtent l="0" t="0" r="0" b="0"/>
            <wp:docPr id="13" name="Imagen 13" descr="Pozos existentes en desuso para nuevos trabajos de canalización en Telmex." title="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44D" w:rsidRDefault="00EA444D" w:rsidP="003D3DFC">
      <w:pPr>
        <w:pStyle w:val="Texto1"/>
        <w:jc w:val="center"/>
      </w:pPr>
    </w:p>
    <w:p w:rsidR="00EA444D" w:rsidRDefault="009A723E" w:rsidP="003D3DFC">
      <w:pPr>
        <w:pStyle w:val="Texto1"/>
        <w:jc w:val="center"/>
      </w:pPr>
      <w:r>
        <w:rPr>
          <w:noProof/>
          <w:lang w:eastAsia="es-MX"/>
        </w:rPr>
        <w:drawing>
          <wp:inline distT="0" distB="0" distL="0" distR="0">
            <wp:extent cx="5143500" cy="1714500"/>
            <wp:effectExtent l="0" t="0" r="0" b="0"/>
            <wp:docPr id="15" name="Imagen 15" descr="Pozos existentes en desuso para nuevos trabajos de canalización en Telmex." title="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44D" w:rsidRDefault="00EA444D" w:rsidP="003D3DFC">
      <w:pPr>
        <w:pStyle w:val="Texto1"/>
        <w:jc w:val="center"/>
      </w:pPr>
    </w:p>
    <w:p w:rsidR="00EA444D" w:rsidRDefault="009A723E" w:rsidP="003D3DFC">
      <w:pPr>
        <w:pStyle w:val="Texto1"/>
        <w:jc w:val="center"/>
      </w:pPr>
      <w:r>
        <w:rPr>
          <w:noProof/>
          <w:lang w:eastAsia="es-MX"/>
        </w:rPr>
        <w:drawing>
          <wp:inline distT="0" distB="0" distL="0" distR="0">
            <wp:extent cx="5143500" cy="1724025"/>
            <wp:effectExtent l="0" t="0" r="0" b="9525"/>
            <wp:docPr id="17" name="Imagen 17" descr="Pozos existentes en desuso para nuevos trabajos de canalización en Telmex." title="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44D" w:rsidRDefault="00EA444D" w:rsidP="003D3DFC">
      <w:pPr>
        <w:pStyle w:val="Texto1"/>
        <w:jc w:val="center"/>
      </w:pPr>
    </w:p>
    <w:p w:rsidR="00EA444D" w:rsidRDefault="009A723E" w:rsidP="003D3DFC">
      <w:pPr>
        <w:pStyle w:val="Texto1"/>
        <w:jc w:val="center"/>
      </w:pPr>
      <w:r>
        <w:rPr>
          <w:noProof/>
          <w:lang w:eastAsia="es-MX"/>
        </w:rPr>
        <w:drawing>
          <wp:inline distT="0" distB="0" distL="0" distR="0">
            <wp:extent cx="5143500" cy="1714500"/>
            <wp:effectExtent l="0" t="0" r="0" b="0"/>
            <wp:docPr id="19" name="Imagen 19" descr="Pozos existentes en desuso para nuevos trabajos de canalización en Telmex." title="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44D" w:rsidRDefault="00EA444D" w:rsidP="003D3DFC">
      <w:pPr>
        <w:pStyle w:val="Texto1"/>
        <w:jc w:val="center"/>
      </w:pPr>
    </w:p>
    <w:p w:rsidR="00EA444D" w:rsidRPr="00EA444D" w:rsidRDefault="009A723E" w:rsidP="003D3DFC">
      <w:pPr>
        <w:pStyle w:val="Texto1"/>
        <w:jc w:val="center"/>
      </w:pPr>
      <w:r>
        <w:rPr>
          <w:noProof/>
          <w:lang w:eastAsia="es-MX"/>
        </w:rPr>
        <w:lastRenderedPageBreak/>
        <w:drawing>
          <wp:inline distT="0" distB="0" distL="0" distR="0">
            <wp:extent cx="5143500" cy="1047750"/>
            <wp:effectExtent l="0" t="0" r="0" b="0"/>
            <wp:docPr id="27" name="Imagen 27" descr="Pozos existentes en desuso para nuevos trabajos de canalización en Telmex." title="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44D" w:rsidRDefault="00EA444D" w:rsidP="003D3DFC">
      <w:pPr>
        <w:pStyle w:val="Texto1"/>
        <w:jc w:val="center"/>
        <w:rPr>
          <w:highlight w:val="yellow"/>
        </w:rPr>
      </w:pPr>
    </w:p>
    <w:p w:rsidR="00EA444D" w:rsidRDefault="009A723E" w:rsidP="003D3DFC">
      <w:pPr>
        <w:pStyle w:val="Texto1"/>
        <w:jc w:val="center"/>
      </w:pPr>
      <w:r>
        <w:rPr>
          <w:noProof/>
          <w:lang w:eastAsia="es-MX"/>
        </w:rPr>
        <w:drawing>
          <wp:inline distT="0" distB="0" distL="0" distR="0">
            <wp:extent cx="5143500" cy="1047750"/>
            <wp:effectExtent l="0" t="0" r="0" b="0"/>
            <wp:docPr id="33" name="Imagen 33" descr="Pozos existentes en desuso para nuevos trabajos de canalización en Telmex." title="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44D" w:rsidRDefault="00EA444D" w:rsidP="003D3DFC">
      <w:pPr>
        <w:pStyle w:val="Texto1"/>
        <w:jc w:val="center"/>
      </w:pPr>
    </w:p>
    <w:p w:rsidR="00EA444D" w:rsidRPr="00EA444D" w:rsidRDefault="009A723E" w:rsidP="003D3DFC">
      <w:pPr>
        <w:pStyle w:val="Texto1"/>
        <w:jc w:val="center"/>
      </w:pPr>
      <w:r>
        <w:rPr>
          <w:noProof/>
          <w:lang w:eastAsia="es-MX"/>
        </w:rPr>
        <w:drawing>
          <wp:inline distT="0" distB="0" distL="0" distR="0">
            <wp:extent cx="5143500" cy="1047750"/>
            <wp:effectExtent l="0" t="0" r="0" b="0"/>
            <wp:docPr id="35" name="Imagen 35" descr="Pozos existentes en desuso para nuevos trabajos de canalización en Telmex." title="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44D" w:rsidRDefault="00EA444D" w:rsidP="003D3DFC">
      <w:pPr>
        <w:pStyle w:val="Texto1"/>
        <w:jc w:val="center"/>
        <w:rPr>
          <w:highlight w:val="yellow"/>
        </w:rPr>
      </w:pPr>
    </w:p>
    <w:p w:rsidR="00EA444D" w:rsidRPr="00EA444D" w:rsidRDefault="009A723E" w:rsidP="003D3DFC">
      <w:pPr>
        <w:pStyle w:val="Texto1"/>
        <w:jc w:val="center"/>
      </w:pPr>
      <w:r>
        <w:rPr>
          <w:noProof/>
          <w:lang w:eastAsia="es-MX"/>
        </w:rPr>
        <w:drawing>
          <wp:inline distT="0" distB="0" distL="0" distR="0">
            <wp:extent cx="5143500" cy="1047750"/>
            <wp:effectExtent l="0" t="0" r="0" b="0"/>
            <wp:docPr id="37" name="Imagen 37" descr="Pozos existentes en desuso para nuevos trabajos de canalización en Telmex." title="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44D" w:rsidRDefault="00EA444D" w:rsidP="003D3DFC">
      <w:pPr>
        <w:pStyle w:val="Texto1"/>
        <w:jc w:val="center"/>
        <w:rPr>
          <w:rFonts w:ascii="Calibri" w:hAnsi="Calibri"/>
          <w:highlight w:val="yellow"/>
        </w:rPr>
      </w:pPr>
    </w:p>
    <w:p w:rsidR="00EA444D" w:rsidRPr="00EA444D" w:rsidRDefault="009A723E" w:rsidP="003D3DFC">
      <w:pPr>
        <w:pStyle w:val="Texto1"/>
        <w:jc w:val="center"/>
        <w:rPr>
          <w:rFonts w:ascii="Calibri" w:hAnsi="Calibri"/>
        </w:rPr>
      </w:pPr>
      <w:r>
        <w:rPr>
          <w:noProof/>
          <w:lang w:eastAsia="es-MX"/>
        </w:rPr>
        <w:drawing>
          <wp:inline distT="0" distB="0" distL="0" distR="0">
            <wp:extent cx="5143500" cy="723900"/>
            <wp:effectExtent l="0" t="0" r="0" b="0"/>
            <wp:docPr id="39" name="Imagen 39" descr="Pozos existentes en desuso para nuevos trabajos de canalización en Telmex." title="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DFC" w:rsidRPr="003213AC" w:rsidRDefault="003D3DFC" w:rsidP="003D3DFC">
      <w:pPr>
        <w:pStyle w:val="Texto1"/>
        <w:rPr>
          <w:rFonts w:ascii="Calibri" w:hAnsi="Calibri"/>
          <w:highlight w:val="yellow"/>
        </w:rPr>
      </w:pPr>
    </w:p>
    <w:p w:rsidR="003D3DFC" w:rsidRPr="003213AC" w:rsidRDefault="003D3DFC" w:rsidP="003D3DFC">
      <w:pPr>
        <w:pStyle w:val="Ttulo3"/>
        <w:numPr>
          <w:ilvl w:val="0"/>
          <w:numId w:val="0"/>
        </w:numPr>
        <w:spacing w:after="60"/>
        <w:rPr>
          <w:rFonts w:ascii="Calibri" w:hAnsi="Calibri"/>
        </w:rPr>
      </w:pPr>
      <w:r w:rsidRPr="003213AC">
        <w:rPr>
          <w:rFonts w:ascii="Calibri" w:hAnsi="Calibri"/>
          <w:highlight w:val="yellow"/>
        </w:rPr>
        <w:br w:type="page"/>
      </w:r>
      <w:r w:rsidRPr="003213AC">
        <w:rPr>
          <w:rFonts w:ascii="Calibri" w:hAnsi="Calibri"/>
        </w:rPr>
        <w:lastRenderedPageBreak/>
        <w:t>Tapas para pozos existentes de la canalización en Telmex.</w:t>
      </w:r>
    </w:p>
    <w:p w:rsidR="003D3DFC" w:rsidRPr="003213AC" w:rsidRDefault="003D3DFC" w:rsidP="003D3DFC">
      <w:pPr>
        <w:numPr>
          <w:ilvl w:val="0"/>
          <w:numId w:val="2"/>
        </w:numPr>
        <w:tabs>
          <w:tab w:val="num" w:pos="645"/>
        </w:tabs>
        <w:spacing w:after="60"/>
        <w:ind w:left="641" w:right="142"/>
        <w:jc w:val="both"/>
        <w:rPr>
          <w:rFonts w:ascii="Calibri" w:hAnsi="Calibri" w:cs="Arial"/>
        </w:rPr>
      </w:pPr>
      <w:r w:rsidRPr="003213AC">
        <w:rPr>
          <w:rFonts w:ascii="Calibri" w:hAnsi="Calibri" w:cs="Arial"/>
        </w:rPr>
        <w:t xml:space="preserve">Las tapas en banqueta </w:t>
      </w:r>
      <w:r w:rsidR="004E376E" w:rsidRPr="003213AC">
        <w:rPr>
          <w:rFonts w:ascii="Calibri" w:hAnsi="Calibri" w:cs="Arial"/>
        </w:rPr>
        <w:t xml:space="preserve">tienen una resistencia de </w:t>
      </w:r>
      <w:r w:rsidR="00D23346" w:rsidRPr="003213AC">
        <w:rPr>
          <w:rFonts w:ascii="Calibri" w:hAnsi="Calibri" w:cs="Arial"/>
        </w:rPr>
        <w:t>9.5 T</w:t>
      </w:r>
      <w:r w:rsidR="004E376E" w:rsidRPr="003213AC">
        <w:rPr>
          <w:rFonts w:ascii="Calibri" w:hAnsi="Calibri" w:cs="Arial"/>
        </w:rPr>
        <w:t xml:space="preserve">on y las tapas </w:t>
      </w:r>
      <w:r w:rsidRPr="003213AC">
        <w:rPr>
          <w:rFonts w:ascii="Calibri" w:hAnsi="Calibri" w:cs="Arial"/>
        </w:rPr>
        <w:t>en arroyo</w:t>
      </w:r>
      <w:r w:rsidR="00D23346" w:rsidRPr="003213AC">
        <w:rPr>
          <w:rFonts w:ascii="Calibri" w:hAnsi="Calibri" w:cs="Arial"/>
        </w:rPr>
        <w:t xml:space="preserve"> 20, 21 T</w:t>
      </w:r>
      <w:r w:rsidR="004E376E" w:rsidRPr="003213AC">
        <w:rPr>
          <w:rFonts w:ascii="Calibri" w:hAnsi="Calibri" w:cs="Arial"/>
        </w:rPr>
        <w:t>on</w:t>
      </w:r>
      <w:r w:rsidRPr="003213AC">
        <w:rPr>
          <w:rFonts w:ascii="Calibri" w:hAnsi="Calibri" w:cs="Arial"/>
        </w:rPr>
        <w:t>.</w:t>
      </w:r>
    </w:p>
    <w:p w:rsidR="003D3DFC" w:rsidRPr="003213AC" w:rsidRDefault="00F47789" w:rsidP="00F47789">
      <w:pPr>
        <w:pStyle w:val="Texto1"/>
        <w:jc w:val="center"/>
        <w:rPr>
          <w:rFonts w:ascii="Calibri" w:hAnsi="Calibri"/>
        </w:rPr>
      </w:pPr>
      <w:r w:rsidRPr="003213AC">
        <w:rPr>
          <w:rFonts w:ascii="Calibri" w:hAnsi="Calibri"/>
          <w:b/>
        </w:rPr>
        <w:t>Tapas para pozos en Banqueta</w:t>
      </w:r>
    </w:p>
    <w:tbl>
      <w:tblPr>
        <w:tblStyle w:val="Cuadrculadetablaclara"/>
        <w:tblW w:w="0" w:type="auto"/>
        <w:jc w:val="center"/>
        <w:tblLayout w:type="fixed"/>
        <w:tblLook w:val="00A0" w:firstRow="1" w:lastRow="0" w:firstColumn="1" w:lastColumn="0" w:noHBand="0" w:noVBand="0"/>
        <w:tblCaption w:val="Tabla"/>
        <w:tblDescription w:val="Tapas para pozos existentes de la canalización en Telmex."/>
      </w:tblPr>
      <w:tblGrid>
        <w:gridCol w:w="1843"/>
        <w:gridCol w:w="2409"/>
        <w:gridCol w:w="5387"/>
      </w:tblGrid>
      <w:tr w:rsidR="003D3DFC" w:rsidRPr="003213AC" w:rsidTr="00EF2723">
        <w:trPr>
          <w:trHeight w:val="311"/>
          <w:tblHeader/>
          <w:jc w:val="center"/>
        </w:trPr>
        <w:tc>
          <w:tcPr>
            <w:tcW w:w="1843" w:type="dxa"/>
          </w:tcPr>
          <w:p w:rsidR="003D3DFC" w:rsidRPr="003213AC" w:rsidRDefault="003D3DFC" w:rsidP="00985EF2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213AC">
              <w:rPr>
                <w:rFonts w:ascii="Calibri" w:hAnsi="Calibri" w:cs="Arial"/>
                <w:b/>
                <w:sz w:val="16"/>
                <w:szCs w:val="16"/>
              </w:rPr>
              <w:t>Dimensiones (cm)</w:t>
            </w:r>
          </w:p>
        </w:tc>
        <w:tc>
          <w:tcPr>
            <w:tcW w:w="2409" w:type="dxa"/>
          </w:tcPr>
          <w:p w:rsidR="003D3DFC" w:rsidRPr="003213AC" w:rsidRDefault="003D3DFC" w:rsidP="00985EF2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213AC">
              <w:rPr>
                <w:rFonts w:ascii="Calibri" w:hAnsi="Calibri" w:cs="Arial"/>
                <w:b/>
                <w:sz w:val="16"/>
                <w:szCs w:val="16"/>
              </w:rPr>
              <w:t>Forma</w:t>
            </w:r>
          </w:p>
        </w:tc>
        <w:tc>
          <w:tcPr>
            <w:tcW w:w="5387" w:type="dxa"/>
          </w:tcPr>
          <w:p w:rsidR="003D3DFC" w:rsidRPr="003213AC" w:rsidRDefault="003D3DFC" w:rsidP="00985EF2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213AC">
              <w:rPr>
                <w:rFonts w:ascii="Calibri" w:hAnsi="Calibri" w:cs="Arial"/>
                <w:b/>
                <w:sz w:val="16"/>
                <w:szCs w:val="16"/>
              </w:rPr>
              <w:t>Tipo de pozo</w:t>
            </w:r>
          </w:p>
        </w:tc>
      </w:tr>
      <w:tr w:rsidR="003D3DFC" w:rsidRPr="003213AC" w:rsidTr="00EF2723">
        <w:trPr>
          <w:trHeight w:val="505"/>
          <w:jc w:val="center"/>
        </w:trPr>
        <w:tc>
          <w:tcPr>
            <w:tcW w:w="1843" w:type="dxa"/>
          </w:tcPr>
          <w:p w:rsidR="003D3DFC" w:rsidRPr="003213AC" w:rsidRDefault="003D3DFC" w:rsidP="00985EF2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3213AC">
              <w:rPr>
                <w:rFonts w:ascii="Calibri" w:hAnsi="Calibri" w:cs="Arial"/>
                <w:sz w:val="16"/>
                <w:szCs w:val="16"/>
              </w:rPr>
              <w:t>50 x 60 x 5.7, 9.5 T</w:t>
            </w:r>
          </w:p>
        </w:tc>
        <w:tc>
          <w:tcPr>
            <w:tcW w:w="2409" w:type="dxa"/>
          </w:tcPr>
          <w:p w:rsidR="003D3DFC" w:rsidRPr="003213AC" w:rsidRDefault="003D3DFC" w:rsidP="00F4778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213AC">
              <w:rPr>
                <w:rFonts w:ascii="Calibri" w:hAnsi="Calibri" w:cs="Arial"/>
                <w:sz w:val="16"/>
                <w:szCs w:val="16"/>
              </w:rPr>
              <w:t>Rectangular chica</w:t>
            </w:r>
            <w:r w:rsidR="00F47789" w:rsidRPr="003213AC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3213AC">
              <w:rPr>
                <w:rFonts w:ascii="Calibri" w:hAnsi="Calibri" w:cs="Arial"/>
                <w:sz w:val="16"/>
                <w:szCs w:val="16"/>
              </w:rPr>
              <w:t>de polímero</w:t>
            </w:r>
          </w:p>
        </w:tc>
        <w:tc>
          <w:tcPr>
            <w:tcW w:w="5387" w:type="dxa"/>
          </w:tcPr>
          <w:p w:rsidR="003D3DFC" w:rsidRPr="003213AC" w:rsidRDefault="003D3DFC" w:rsidP="00985EF2">
            <w:pPr>
              <w:rPr>
                <w:rFonts w:ascii="Calibri" w:hAnsi="Calibri" w:cs="Arial"/>
                <w:sz w:val="16"/>
                <w:szCs w:val="16"/>
              </w:rPr>
            </w:pPr>
            <w:r w:rsidRPr="003213AC">
              <w:rPr>
                <w:rFonts w:ascii="Calibri" w:hAnsi="Calibri" w:cs="Arial"/>
                <w:sz w:val="16"/>
                <w:szCs w:val="16"/>
              </w:rPr>
              <w:t xml:space="preserve">L1T (1), L2T (2), L3T (3), L4T (4); Para </w:t>
            </w:r>
            <w:proofErr w:type="spellStart"/>
            <w:r w:rsidRPr="003213AC">
              <w:rPr>
                <w:rFonts w:ascii="Calibri" w:hAnsi="Calibri" w:cs="Arial"/>
                <w:sz w:val="16"/>
                <w:szCs w:val="16"/>
              </w:rPr>
              <w:t>G´s</w:t>
            </w:r>
            <w:proofErr w:type="spellEnd"/>
            <w:r w:rsidRPr="003213AC">
              <w:rPr>
                <w:rFonts w:ascii="Calibri" w:hAnsi="Calibri" w:cs="Arial"/>
                <w:sz w:val="16"/>
                <w:szCs w:val="16"/>
              </w:rPr>
              <w:t xml:space="preserve">: Chico, Mediano, GI y GII; (1 </w:t>
            </w:r>
            <w:proofErr w:type="spellStart"/>
            <w:r w:rsidRPr="003213AC">
              <w:rPr>
                <w:rFonts w:ascii="Calibri" w:hAnsi="Calibri" w:cs="Arial"/>
                <w:sz w:val="16"/>
                <w:szCs w:val="16"/>
              </w:rPr>
              <w:t>ó</w:t>
            </w:r>
            <w:proofErr w:type="spellEnd"/>
            <w:r w:rsidRPr="003213AC">
              <w:rPr>
                <w:rFonts w:ascii="Calibri" w:hAnsi="Calibri" w:cs="Arial"/>
                <w:sz w:val="16"/>
                <w:szCs w:val="16"/>
              </w:rPr>
              <w:t xml:space="preserve"> 2 Tapas).</w:t>
            </w:r>
          </w:p>
        </w:tc>
      </w:tr>
      <w:tr w:rsidR="003D3DFC" w:rsidRPr="003213AC" w:rsidTr="00EF2723">
        <w:trPr>
          <w:trHeight w:val="551"/>
          <w:jc w:val="center"/>
        </w:trPr>
        <w:tc>
          <w:tcPr>
            <w:tcW w:w="1843" w:type="dxa"/>
          </w:tcPr>
          <w:p w:rsidR="003D3DFC" w:rsidRPr="003213AC" w:rsidRDefault="003D3DFC" w:rsidP="00985EF2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3213AC">
              <w:rPr>
                <w:rFonts w:ascii="Calibri" w:hAnsi="Calibri" w:cs="Arial"/>
                <w:sz w:val="16"/>
                <w:szCs w:val="16"/>
              </w:rPr>
              <w:t>50 x 98 x 5.7, 9.5 T</w:t>
            </w:r>
          </w:p>
        </w:tc>
        <w:tc>
          <w:tcPr>
            <w:tcW w:w="2409" w:type="dxa"/>
          </w:tcPr>
          <w:p w:rsidR="003D3DFC" w:rsidRPr="003213AC" w:rsidRDefault="003D3DFC" w:rsidP="00F4778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213AC">
              <w:rPr>
                <w:rFonts w:ascii="Calibri" w:hAnsi="Calibri" w:cs="Arial"/>
                <w:sz w:val="16"/>
                <w:szCs w:val="16"/>
              </w:rPr>
              <w:t>Rectangular grande</w:t>
            </w:r>
            <w:r w:rsidR="00F47789" w:rsidRPr="003213AC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3213AC">
              <w:rPr>
                <w:rFonts w:ascii="Calibri" w:hAnsi="Calibri" w:cs="Arial"/>
                <w:sz w:val="16"/>
                <w:szCs w:val="16"/>
              </w:rPr>
              <w:t>de polímero</w:t>
            </w:r>
          </w:p>
        </w:tc>
        <w:tc>
          <w:tcPr>
            <w:tcW w:w="5387" w:type="dxa"/>
          </w:tcPr>
          <w:p w:rsidR="003D3DFC" w:rsidRPr="003213AC" w:rsidRDefault="003D3DFC" w:rsidP="00985EF2">
            <w:pPr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3213AC">
              <w:rPr>
                <w:rFonts w:ascii="Calibri" w:hAnsi="Calibri" w:cs="Arial"/>
                <w:sz w:val="16"/>
                <w:szCs w:val="16"/>
                <w:lang w:val="en-US"/>
              </w:rPr>
              <w:t>L5T (4), L6T (5), M2T (6), P2T (3), C1T (3), C2T (3), C3T (2).</w:t>
            </w:r>
          </w:p>
        </w:tc>
      </w:tr>
    </w:tbl>
    <w:p w:rsidR="003D3DFC" w:rsidRPr="003213AC" w:rsidRDefault="003D3DFC" w:rsidP="003D3DFC">
      <w:pPr>
        <w:pStyle w:val="Titabla"/>
        <w:spacing w:before="120" w:after="0"/>
        <w:ind w:left="323"/>
        <w:rPr>
          <w:rFonts w:ascii="Calibri" w:hAnsi="Calibri" w:cs="Arial"/>
          <w:b w:val="0"/>
          <w:sz w:val="20"/>
          <w:lang w:val="en-US"/>
        </w:rPr>
      </w:pPr>
    </w:p>
    <w:p w:rsidR="00F47789" w:rsidRPr="003213AC" w:rsidRDefault="00F47789" w:rsidP="00F47789">
      <w:pPr>
        <w:pStyle w:val="Texto1"/>
        <w:jc w:val="center"/>
        <w:rPr>
          <w:rFonts w:ascii="Calibri" w:hAnsi="Calibri"/>
          <w:b/>
        </w:rPr>
      </w:pPr>
      <w:r w:rsidRPr="003213AC">
        <w:rPr>
          <w:rFonts w:ascii="Calibri" w:hAnsi="Calibri"/>
          <w:b/>
        </w:rPr>
        <w:t>Tapas para pozos en Arroyo.</w:t>
      </w:r>
    </w:p>
    <w:tbl>
      <w:tblPr>
        <w:tblStyle w:val="Cuadrculadetablaclara"/>
        <w:tblW w:w="0" w:type="auto"/>
        <w:jc w:val="center"/>
        <w:tblLayout w:type="fixed"/>
        <w:tblLook w:val="00A0" w:firstRow="1" w:lastRow="0" w:firstColumn="1" w:lastColumn="0" w:noHBand="0" w:noVBand="0"/>
        <w:tblCaption w:val="Tabla"/>
        <w:tblDescription w:val="Tapas para pozos en Arroyo."/>
      </w:tblPr>
      <w:tblGrid>
        <w:gridCol w:w="1843"/>
        <w:gridCol w:w="2409"/>
        <w:gridCol w:w="5387"/>
      </w:tblGrid>
      <w:tr w:rsidR="003D3DFC" w:rsidRPr="003213AC" w:rsidTr="00EF2723">
        <w:trPr>
          <w:trHeight w:val="311"/>
          <w:tblHeader/>
          <w:jc w:val="center"/>
        </w:trPr>
        <w:tc>
          <w:tcPr>
            <w:tcW w:w="1843" w:type="dxa"/>
          </w:tcPr>
          <w:p w:rsidR="003D3DFC" w:rsidRPr="003213AC" w:rsidRDefault="003D3DFC" w:rsidP="00985EF2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3213AC">
              <w:rPr>
                <w:rFonts w:ascii="Calibri" w:hAnsi="Calibri" w:cs="Arial"/>
                <w:b/>
                <w:sz w:val="18"/>
                <w:szCs w:val="18"/>
              </w:rPr>
              <w:t>Dimensiones (cm)</w:t>
            </w:r>
          </w:p>
        </w:tc>
        <w:tc>
          <w:tcPr>
            <w:tcW w:w="2409" w:type="dxa"/>
          </w:tcPr>
          <w:p w:rsidR="003D3DFC" w:rsidRPr="003213AC" w:rsidRDefault="003D3DFC" w:rsidP="00985EF2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3213AC">
              <w:rPr>
                <w:rFonts w:ascii="Calibri" w:hAnsi="Calibri" w:cs="Arial"/>
                <w:b/>
                <w:sz w:val="18"/>
                <w:szCs w:val="18"/>
              </w:rPr>
              <w:t>Forma</w:t>
            </w:r>
          </w:p>
        </w:tc>
        <w:tc>
          <w:tcPr>
            <w:tcW w:w="5387" w:type="dxa"/>
          </w:tcPr>
          <w:p w:rsidR="003D3DFC" w:rsidRPr="003213AC" w:rsidRDefault="003D3DFC" w:rsidP="00985EF2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3213AC">
              <w:rPr>
                <w:rFonts w:ascii="Calibri" w:hAnsi="Calibri" w:cs="Arial"/>
                <w:b/>
                <w:sz w:val="18"/>
                <w:szCs w:val="18"/>
              </w:rPr>
              <w:t>Tipo de pozo</w:t>
            </w:r>
          </w:p>
        </w:tc>
      </w:tr>
      <w:tr w:rsidR="003D3DFC" w:rsidRPr="003213AC" w:rsidTr="00EF2723">
        <w:trPr>
          <w:trHeight w:val="477"/>
          <w:jc w:val="center"/>
        </w:trPr>
        <w:tc>
          <w:tcPr>
            <w:tcW w:w="1843" w:type="dxa"/>
          </w:tcPr>
          <w:p w:rsidR="003D3DFC" w:rsidRPr="003213AC" w:rsidRDefault="003D3DFC" w:rsidP="00985EF2">
            <w:pPr>
              <w:jc w:val="both"/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3213AC">
              <w:rPr>
                <w:rFonts w:ascii="Calibri" w:hAnsi="Calibri" w:cs="Arial"/>
                <w:sz w:val="16"/>
                <w:szCs w:val="16"/>
                <w:lang w:val="en-US"/>
              </w:rPr>
              <w:t>84.8 x 37.3 x 6.7, 21 T</w:t>
            </w:r>
          </w:p>
        </w:tc>
        <w:tc>
          <w:tcPr>
            <w:tcW w:w="2409" w:type="dxa"/>
          </w:tcPr>
          <w:p w:rsidR="004E376E" w:rsidRPr="003213AC" w:rsidRDefault="003D3DFC" w:rsidP="00F4778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213AC">
              <w:rPr>
                <w:rFonts w:ascii="Calibri" w:hAnsi="Calibri" w:cs="Arial"/>
                <w:sz w:val="16"/>
                <w:szCs w:val="16"/>
              </w:rPr>
              <w:t>Rectangular de polímero</w:t>
            </w:r>
          </w:p>
        </w:tc>
        <w:tc>
          <w:tcPr>
            <w:tcW w:w="5387" w:type="dxa"/>
          </w:tcPr>
          <w:p w:rsidR="003D3DFC" w:rsidRPr="003213AC" w:rsidRDefault="003D3DFC" w:rsidP="00985EF2">
            <w:pPr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3213AC">
              <w:rPr>
                <w:rFonts w:ascii="Calibri" w:hAnsi="Calibri" w:cs="Arial"/>
                <w:sz w:val="16"/>
                <w:szCs w:val="16"/>
                <w:lang w:val="en-US"/>
              </w:rPr>
              <w:t>K2C (4), K3C (6), M1C (4), M3C (6), P1C (4), P2C (4), C1C (4), C2C (4), C3C (4).</w:t>
            </w:r>
          </w:p>
        </w:tc>
      </w:tr>
      <w:tr w:rsidR="003D3DFC" w:rsidRPr="003213AC" w:rsidTr="00EF2723">
        <w:trPr>
          <w:trHeight w:val="699"/>
          <w:jc w:val="center"/>
        </w:trPr>
        <w:tc>
          <w:tcPr>
            <w:tcW w:w="1843" w:type="dxa"/>
          </w:tcPr>
          <w:p w:rsidR="003D3DFC" w:rsidRPr="003213AC" w:rsidRDefault="003D3DFC" w:rsidP="00985EF2">
            <w:pPr>
              <w:jc w:val="both"/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3213AC">
              <w:rPr>
                <w:rFonts w:ascii="Calibri" w:hAnsi="Calibri" w:cs="Arial"/>
                <w:sz w:val="16"/>
                <w:szCs w:val="16"/>
                <w:lang w:val="en-US"/>
              </w:rPr>
              <w:t>84.8 x 74.8 x 6.7, 21 T</w:t>
            </w:r>
          </w:p>
        </w:tc>
        <w:tc>
          <w:tcPr>
            <w:tcW w:w="2409" w:type="dxa"/>
          </w:tcPr>
          <w:p w:rsidR="004E376E" w:rsidRPr="003213AC" w:rsidRDefault="003D3DFC" w:rsidP="00985EF2">
            <w:pPr>
              <w:jc w:val="center"/>
              <w:rPr>
                <w:rFonts w:ascii="Calibri" w:hAnsi="Calibri" w:cs="Arial"/>
                <w:sz w:val="16"/>
                <w:szCs w:val="16"/>
                <w:lang w:val="es-MX"/>
              </w:rPr>
            </w:pPr>
            <w:r w:rsidRPr="003213AC">
              <w:rPr>
                <w:rFonts w:ascii="Calibri" w:hAnsi="Calibri" w:cs="Arial"/>
                <w:sz w:val="16"/>
                <w:szCs w:val="16"/>
                <w:lang w:val="es-MX"/>
              </w:rPr>
              <w:t xml:space="preserve">Triangular de </w:t>
            </w:r>
            <w:r w:rsidRPr="003213AC">
              <w:rPr>
                <w:rFonts w:ascii="Calibri" w:hAnsi="Calibri" w:cs="Arial"/>
                <w:sz w:val="16"/>
                <w:szCs w:val="16"/>
              </w:rPr>
              <w:t xml:space="preserve">Hierro </w:t>
            </w:r>
            <w:r w:rsidRPr="003213AC">
              <w:rPr>
                <w:rFonts w:ascii="Calibri" w:hAnsi="Calibri" w:cs="Arial"/>
                <w:sz w:val="16"/>
                <w:szCs w:val="16"/>
                <w:lang w:val="es-MX"/>
              </w:rPr>
              <w:t>Nodular</w:t>
            </w:r>
          </w:p>
          <w:p w:rsidR="003D3DFC" w:rsidRPr="003213AC" w:rsidRDefault="004E376E" w:rsidP="00985EF2">
            <w:pPr>
              <w:jc w:val="center"/>
              <w:rPr>
                <w:rFonts w:ascii="Calibri" w:hAnsi="Calibri" w:cs="Arial"/>
                <w:sz w:val="16"/>
                <w:szCs w:val="16"/>
                <w:lang w:val="es-MX"/>
              </w:rPr>
            </w:pPr>
            <w:r w:rsidRPr="003213AC">
              <w:rPr>
                <w:rFonts w:ascii="Calibri" w:hAnsi="Calibri" w:cs="Arial"/>
                <w:sz w:val="16"/>
                <w:szCs w:val="16"/>
              </w:rPr>
              <w:t>(desuso)</w:t>
            </w:r>
            <w:bookmarkStart w:id="0" w:name="_GoBack"/>
            <w:bookmarkEnd w:id="0"/>
          </w:p>
        </w:tc>
        <w:tc>
          <w:tcPr>
            <w:tcW w:w="5387" w:type="dxa"/>
          </w:tcPr>
          <w:p w:rsidR="003D3DFC" w:rsidRPr="003213AC" w:rsidRDefault="003D3DFC" w:rsidP="00985EF2">
            <w:pPr>
              <w:rPr>
                <w:rFonts w:ascii="Calibri" w:hAnsi="Calibri" w:cs="Arial"/>
                <w:sz w:val="16"/>
                <w:szCs w:val="16"/>
                <w:lang w:val="es-MX"/>
              </w:rPr>
            </w:pPr>
            <w:r w:rsidRPr="003213AC">
              <w:rPr>
                <w:rFonts w:ascii="Calibri" w:hAnsi="Calibri" w:cs="Arial"/>
                <w:sz w:val="16"/>
                <w:szCs w:val="16"/>
                <w:lang w:val="es-MX"/>
              </w:rPr>
              <w:t xml:space="preserve">K2C (2 </w:t>
            </w:r>
            <w:proofErr w:type="spellStart"/>
            <w:r w:rsidRPr="003213AC">
              <w:rPr>
                <w:rFonts w:ascii="Calibri" w:hAnsi="Calibri" w:cs="Arial"/>
                <w:sz w:val="16"/>
                <w:szCs w:val="16"/>
                <w:lang w:val="es-MX"/>
              </w:rPr>
              <w:t>Jgos</w:t>
            </w:r>
            <w:proofErr w:type="spellEnd"/>
            <w:r w:rsidRPr="003213AC">
              <w:rPr>
                <w:rFonts w:ascii="Calibri" w:hAnsi="Calibri" w:cs="Arial"/>
                <w:sz w:val="16"/>
                <w:szCs w:val="16"/>
                <w:lang w:val="es-MX"/>
              </w:rPr>
              <w:t xml:space="preserve">), K3C (3 </w:t>
            </w:r>
            <w:proofErr w:type="spellStart"/>
            <w:r w:rsidRPr="003213AC">
              <w:rPr>
                <w:rFonts w:ascii="Calibri" w:hAnsi="Calibri" w:cs="Arial"/>
                <w:sz w:val="16"/>
                <w:szCs w:val="16"/>
                <w:lang w:val="es-MX"/>
              </w:rPr>
              <w:t>Jgos</w:t>
            </w:r>
            <w:proofErr w:type="spellEnd"/>
            <w:r w:rsidRPr="003213AC">
              <w:rPr>
                <w:rFonts w:ascii="Calibri" w:hAnsi="Calibri" w:cs="Arial"/>
                <w:sz w:val="16"/>
                <w:szCs w:val="16"/>
                <w:lang w:val="es-MX"/>
              </w:rPr>
              <w:t xml:space="preserve">), M1C (2 </w:t>
            </w:r>
            <w:proofErr w:type="spellStart"/>
            <w:r w:rsidRPr="003213AC">
              <w:rPr>
                <w:rFonts w:ascii="Calibri" w:hAnsi="Calibri" w:cs="Arial"/>
                <w:sz w:val="16"/>
                <w:szCs w:val="16"/>
                <w:lang w:val="es-MX"/>
              </w:rPr>
              <w:t>Jgos</w:t>
            </w:r>
            <w:proofErr w:type="spellEnd"/>
            <w:r w:rsidRPr="003213AC">
              <w:rPr>
                <w:rFonts w:ascii="Calibri" w:hAnsi="Calibri" w:cs="Arial"/>
                <w:sz w:val="16"/>
                <w:szCs w:val="16"/>
                <w:lang w:val="es-MX"/>
              </w:rPr>
              <w:t xml:space="preserve">), M3C (3 </w:t>
            </w:r>
            <w:proofErr w:type="spellStart"/>
            <w:r w:rsidRPr="003213AC">
              <w:rPr>
                <w:rFonts w:ascii="Calibri" w:hAnsi="Calibri" w:cs="Arial"/>
                <w:sz w:val="16"/>
                <w:szCs w:val="16"/>
                <w:lang w:val="es-MX"/>
              </w:rPr>
              <w:t>Jgos</w:t>
            </w:r>
            <w:proofErr w:type="spellEnd"/>
            <w:r w:rsidRPr="003213AC">
              <w:rPr>
                <w:rFonts w:ascii="Calibri" w:hAnsi="Calibri" w:cs="Arial"/>
                <w:sz w:val="16"/>
                <w:szCs w:val="16"/>
                <w:lang w:val="es-MX"/>
              </w:rPr>
              <w:t xml:space="preserve">), P1C (2 </w:t>
            </w:r>
            <w:proofErr w:type="spellStart"/>
            <w:r w:rsidRPr="003213AC">
              <w:rPr>
                <w:rFonts w:ascii="Calibri" w:hAnsi="Calibri" w:cs="Arial"/>
                <w:sz w:val="16"/>
                <w:szCs w:val="16"/>
                <w:lang w:val="es-MX"/>
              </w:rPr>
              <w:t>Jgos</w:t>
            </w:r>
            <w:proofErr w:type="spellEnd"/>
            <w:r w:rsidRPr="003213AC">
              <w:rPr>
                <w:rFonts w:ascii="Calibri" w:hAnsi="Calibri" w:cs="Arial"/>
                <w:sz w:val="16"/>
                <w:szCs w:val="16"/>
                <w:lang w:val="es-MX"/>
              </w:rPr>
              <w:t xml:space="preserve">), P2C (2 </w:t>
            </w:r>
            <w:proofErr w:type="spellStart"/>
            <w:r w:rsidRPr="003213AC">
              <w:rPr>
                <w:rFonts w:ascii="Calibri" w:hAnsi="Calibri" w:cs="Arial"/>
                <w:sz w:val="16"/>
                <w:szCs w:val="16"/>
                <w:lang w:val="es-MX"/>
              </w:rPr>
              <w:t>Jgos</w:t>
            </w:r>
            <w:proofErr w:type="spellEnd"/>
            <w:r w:rsidRPr="003213AC">
              <w:rPr>
                <w:rFonts w:ascii="Calibri" w:hAnsi="Calibri" w:cs="Arial"/>
                <w:sz w:val="16"/>
                <w:szCs w:val="16"/>
                <w:lang w:val="es-MX"/>
              </w:rPr>
              <w:t xml:space="preserve">), C1C (2 </w:t>
            </w:r>
            <w:proofErr w:type="spellStart"/>
            <w:r w:rsidRPr="003213AC">
              <w:rPr>
                <w:rFonts w:ascii="Calibri" w:hAnsi="Calibri" w:cs="Arial"/>
                <w:sz w:val="16"/>
                <w:szCs w:val="16"/>
                <w:lang w:val="es-MX"/>
              </w:rPr>
              <w:t>Jgos</w:t>
            </w:r>
            <w:proofErr w:type="spellEnd"/>
            <w:r w:rsidRPr="003213AC">
              <w:rPr>
                <w:rFonts w:ascii="Calibri" w:hAnsi="Calibri" w:cs="Arial"/>
                <w:sz w:val="16"/>
                <w:szCs w:val="16"/>
                <w:lang w:val="es-MX"/>
              </w:rPr>
              <w:t xml:space="preserve">), C2C (2 </w:t>
            </w:r>
            <w:proofErr w:type="spellStart"/>
            <w:r w:rsidRPr="003213AC">
              <w:rPr>
                <w:rFonts w:ascii="Calibri" w:hAnsi="Calibri" w:cs="Arial"/>
                <w:sz w:val="16"/>
                <w:szCs w:val="16"/>
                <w:lang w:val="es-MX"/>
              </w:rPr>
              <w:t>Jgos</w:t>
            </w:r>
            <w:proofErr w:type="spellEnd"/>
            <w:r w:rsidRPr="003213AC">
              <w:rPr>
                <w:rFonts w:ascii="Calibri" w:hAnsi="Calibri" w:cs="Arial"/>
                <w:sz w:val="16"/>
                <w:szCs w:val="16"/>
                <w:lang w:val="es-MX"/>
              </w:rPr>
              <w:t xml:space="preserve">), C3C (2 </w:t>
            </w:r>
            <w:proofErr w:type="spellStart"/>
            <w:r w:rsidRPr="003213AC">
              <w:rPr>
                <w:rFonts w:ascii="Calibri" w:hAnsi="Calibri" w:cs="Arial"/>
                <w:sz w:val="16"/>
                <w:szCs w:val="16"/>
                <w:lang w:val="es-MX"/>
              </w:rPr>
              <w:t>Jgos</w:t>
            </w:r>
            <w:proofErr w:type="spellEnd"/>
            <w:r w:rsidRPr="003213AC">
              <w:rPr>
                <w:rFonts w:ascii="Calibri" w:hAnsi="Calibri" w:cs="Arial"/>
                <w:sz w:val="16"/>
                <w:szCs w:val="16"/>
                <w:lang w:val="es-MX"/>
              </w:rPr>
              <w:t>).</w:t>
            </w:r>
          </w:p>
        </w:tc>
      </w:tr>
      <w:tr w:rsidR="003D3DFC" w:rsidRPr="003213AC" w:rsidTr="00EF2723">
        <w:trPr>
          <w:trHeight w:val="398"/>
          <w:jc w:val="center"/>
        </w:trPr>
        <w:tc>
          <w:tcPr>
            <w:tcW w:w="1843" w:type="dxa"/>
          </w:tcPr>
          <w:p w:rsidR="003D3DFC" w:rsidRPr="003213AC" w:rsidRDefault="003D3DFC" w:rsidP="00985EF2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3213AC">
              <w:rPr>
                <w:rFonts w:ascii="Calibri" w:hAnsi="Calibri" w:cs="Arial"/>
                <w:sz w:val="16"/>
                <w:szCs w:val="16"/>
              </w:rPr>
              <w:t>50.0 x 60.0 x 5.7, 20 T</w:t>
            </w:r>
          </w:p>
        </w:tc>
        <w:tc>
          <w:tcPr>
            <w:tcW w:w="2409" w:type="dxa"/>
          </w:tcPr>
          <w:p w:rsidR="003D3DFC" w:rsidRPr="003213AC" w:rsidRDefault="003D3DFC" w:rsidP="00985EF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213AC">
              <w:rPr>
                <w:rFonts w:ascii="Calibri" w:hAnsi="Calibri" w:cs="Arial"/>
                <w:sz w:val="16"/>
                <w:szCs w:val="16"/>
              </w:rPr>
              <w:t>Rectangular chica de polímero</w:t>
            </w:r>
          </w:p>
        </w:tc>
        <w:tc>
          <w:tcPr>
            <w:tcW w:w="5387" w:type="dxa"/>
          </w:tcPr>
          <w:p w:rsidR="003D3DFC" w:rsidRPr="003213AC" w:rsidRDefault="003D3DFC" w:rsidP="00985EF2">
            <w:pPr>
              <w:rPr>
                <w:rFonts w:ascii="Calibri" w:hAnsi="Calibri" w:cs="Arial"/>
                <w:sz w:val="16"/>
                <w:szCs w:val="16"/>
              </w:rPr>
            </w:pPr>
            <w:r w:rsidRPr="003213AC">
              <w:rPr>
                <w:rFonts w:ascii="Calibri" w:hAnsi="Calibri" w:cs="Arial"/>
                <w:sz w:val="16"/>
                <w:szCs w:val="16"/>
              </w:rPr>
              <w:t xml:space="preserve">Para </w:t>
            </w:r>
            <w:proofErr w:type="spellStart"/>
            <w:r w:rsidRPr="003213AC">
              <w:rPr>
                <w:rFonts w:ascii="Calibri" w:hAnsi="Calibri" w:cs="Arial"/>
                <w:sz w:val="16"/>
                <w:szCs w:val="16"/>
              </w:rPr>
              <w:t>G´s</w:t>
            </w:r>
            <w:proofErr w:type="spellEnd"/>
            <w:r w:rsidRPr="003213AC">
              <w:rPr>
                <w:rFonts w:ascii="Calibri" w:hAnsi="Calibri" w:cs="Arial"/>
                <w:sz w:val="16"/>
                <w:szCs w:val="16"/>
              </w:rPr>
              <w:t xml:space="preserve">: Chico, Mediano, GI y GII, (1 </w:t>
            </w:r>
            <w:proofErr w:type="spellStart"/>
            <w:r w:rsidRPr="003213AC">
              <w:rPr>
                <w:rFonts w:ascii="Calibri" w:hAnsi="Calibri" w:cs="Arial"/>
                <w:sz w:val="16"/>
                <w:szCs w:val="16"/>
              </w:rPr>
              <w:t>ó</w:t>
            </w:r>
            <w:proofErr w:type="spellEnd"/>
            <w:r w:rsidRPr="003213AC">
              <w:rPr>
                <w:rFonts w:ascii="Calibri" w:hAnsi="Calibri" w:cs="Arial"/>
                <w:sz w:val="16"/>
                <w:szCs w:val="16"/>
              </w:rPr>
              <w:t xml:space="preserve"> 2 Tapas).</w:t>
            </w:r>
          </w:p>
        </w:tc>
      </w:tr>
      <w:tr w:rsidR="003D3DFC" w:rsidRPr="003213AC" w:rsidTr="00EF2723">
        <w:trPr>
          <w:trHeight w:val="675"/>
          <w:jc w:val="center"/>
        </w:trPr>
        <w:tc>
          <w:tcPr>
            <w:tcW w:w="1843" w:type="dxa"/>
          </w:tcPr>
          <w:p w:rsidR="003D3DFC" w:rsidRPr="003213AC" w:rsidRDefault="003D3DFC" w:rsidP="00985EF2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3213AC">
              <w:rPr>
                <w:rFonts w:ascii="Calibri" w:hAnsi="Calibri" w:cs="Arial"/>
                <w:sz w:val="16"/>
                <w:szCs w:val="16"/>
              </w:rPr>
              <w:t>50.0 x 60.0 x 5.7, 21 T</w:t>
            </w:r>
          </w:p>
        </w:tc>
        <w:tc>
          <w:tcPr>
            <w:tcW w:w="2409" w:type="dxa"/>
          </w:tcPr>
          <w:p w:rsidR="003D3DFC" w:rsidRPr="003213AC" w:rsidRDefault="003D3DFC" w:rsidP="00985EF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213AC">
              <w:rPr>
                <w:rFonts w:ascii="Calibri" w:hAnsi="Calibri" w:cs="Arial"/>
                <w:sz w:val="16"/>
                <w:szCs w:val="16"/>
              </w:rPr>
              <w:t>Rectangular chica de Hierro Nodular</w:t>
            </w:r>
          </w:p>
          <w:p w:rsidR="004E376E" w:rsidRPr="003213AC" w:rsidRDefault="004E376E" w:rsidP="00985EF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213AC">
              <w:rPr>
                <w:rFonts w:ascii="Calibri" w:hAnsi="Calibri" w:cs="Arial"/>
                <w:sz w:val="16"/>
                <w:szCs w:val="16"/>
              </w:rPr>
              <w:t>(desuso)</w:t>
            </w:r>
          </w:p>
        </w:tc>
        <w:tc>
          <w:tcPr>
            <w:tcW w:w="5387" w:type="dxa"/>
          </w:tcPr>
          <w:p w:rsidR="003D3DFC" w:rsidRPr="003213AC" w:rsidRDefault="003D3DFC" w:rsidP="00985EF2">
            <w:pPr>
              <w:rPr>
                <w:rFonts w:ascii="Calibri" w:hAnsi="Calibri" w:cs="Arial"/>
                <w:sz w:val="16"/>
                <w:szCs w:val="16"/>
              </w:rPr>
            </w:pPr>
            <w:r w:rsidRPr="003213AC">
              <w:rPr>
                <w:rFonts w:ascii="Calibri" w:hAnsi="Calibri" w:cs="Arial"/>
                <w:sz w:val="16"/>
                <w:szCs w:val="16"/>
              </w:rPr>
              <w:t xml:space="preserve">Para </w:t>
            </w:r>
            <w:proofErr w:type="spellStart"/>
            <w:r w:rsidRPr="003213AC">
              <w:rPr>
                <w:rFonts w:ascii="Calibri" w:hAnsi="Calibri" w:cs="Arial"/>
                <w:sz w:val="16"/>
                <w:szCs w:val="16"/>
              </w:rPr>
              <w:t>G´s</w:t>
            </w:r>
            <w:proofErr w:type="spellEnd"/>
            <w:r w:rsidRPr="003213AC">
              <w:rPr>
                <w:rFonts w:ascii="Calibri" w:hAnsi="Calibri" w:cs="Arial"/>
                <w:sz w:val="16"/>
                <w:szCs w:val="16"/>
              </w:rPr>
              <w:t xml:space="preserve">: Chico, Mediano, GI, GII y GIII, (1 </w:t>
            </w:r>
            <w:proofErr w:type="spellStart"/>
            <w:r w:rsidRPr="003213AC">
              <w:rPr>
                <w:rFonts w:ascii="Calibri" w:hAnsi="Calibri" w:cs="Arial"/>
                <w:sz w:val="16"/>
                <w:szCs w:val="16"/>
              </w:rPr>
              <w:t>ó</w:t>
            </w:r>
            <w:proofErr w:type="spellEnd"/>
            <w:r w:rsidRPr="003213AC">
              <w:rPr>
                <w:rFonts w:ascii="Calibri" w:hAnsi="Calibri" w:cs="Arial"/>
                <w:sz w:val="16"/>
                <w:szCs w:val="16"/>
              </w:rPr>
              <w:t xml:space="preserve"> 2 Tapas).</w:t>
            </w:r>
          </w:p>
        </w:tc>
      </w:tr>
    </w:tbl>
    <w:p w:rsidR="003D3DFC" w:rsidRPr="003213AC" w:rsidRDefault="003D3DFC" w:rsidP="00F47789">
      <w:pPr>
        <w:pStyle w:val="Texto1"/>
        <w:spacing w:after="40"/>
        <w:rPr>
          <w:rFonts w:ascii="Calibri" w:hAnsi="Calibri"/>
        </w:rPr>
      </w:pPr>
      <w:r w:rsidRPr="003213AC">
        <w:rPr>
          <w:rFonts w:ascii="Calibri" w:hAnsi="Calibri"/>
          <w:b/>
        </w:rPr>
        <w:t>Nota.</w:t>
      </w:r>
      <w:r w:rsidR="00F47789" w:rsidRPr="003213AC">
        <w:rPr>
          <w:rFonts w:ascii="Calibri" w:hAnsi="Calibri"/>
          <w:b/>
        </w:rPr>
        <w:t xml:space="preserve"> </w:t>
      </w:r>
      <w:r w:rsidRPr="003213AC">
        <w:rPr>
          <w:rFonts w:ascii="Calibri" w:hAnsi="Calibri"/>
        </w:rPr>
        <w:t>Un juego igual a 2 tapas Triangulares.</w:t>
      </w:r>
    </w:p>
    <w:p w:rsidR="00F47789" w:rsidRPr="003213AC" w:rsidRDefault="00F47789" w:rsidP="003D3DFC">
      <w:pPr>
        <w:pStyle w:val="Texto1"/>
        <w:rPr>
          <w:rFonts w:ascii="Calibri" w:hAnsi="Calibri"/>
        </w:rPr>
      </w:pPr>
    </w:p>
    <w:p w:rsidR="00F47789" w:rsidRPr="003213AC" w:rsidRDefault="00F47789" w:rsidP="00F47789">
      <w:pPr>
        <w:pStyle w:val="Texto1"/>
        <w:jc w:val="center"/>
        <w:rPr>
          <w:rFonts w:ascii="Calibri" w:hAnsi="Calibri"/>
          <w:b/>
        </w:rPr>
      </w:pPr>
      <w:r w:rsidRPr="003213AC">
        <w:rPr>
          <w:rFonts w:ascii="Calibri" w:hAnsi="Calibri"/>
          <w:b/>
        </w:rPr>
        <w:t>Máximo de Gazas y Cierres por tipo de pozo.</w:t>
      </w:r>
    </w:p>
    <w:p w:rsidR="00F47789" w:rsidRPr="003213AC" w:rsidRDefault="009A723E" w:rsidP="00D23346">
      <w:pPr>
        <w:pStyle w:val="Texto1"/>
        <w:jc w:val="left"/>
        <w:rPr>
          <w:rFonts w:ascii="Calibri" w:hAnsi="Calibri"/>
          <w:b/>
        </w:rPr>
      </w:pPr>
      <w:r>
        <w:rPr>
          <w:rFonts w:ascii="Calibri" w:hAnsi="Calibri"/>
          <w:noProof/>
          <w:lang w:eastAsia="es-MX"/>
        </w:rPr>
        <w:drawing>
          <wp:inline distT="0" distB="0" distL="0" distR="0">
            <wp:extent cx="5667375" cy="3238500"/>
            <wp:effectExtent l="0" t="0" r="9525" b="0"/>
            <wp:docPr id="4" name="Imagen 4" descr="Máximo de Gazas y Cierres por tipo de pozo." title="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7789" w:rsidRPr="003213AC" w:rsidSect="004D109F">
      <w:headerReference w:type="default" r:id="rId22"/>
      <w:footerReference w:type="default" r:id="rId23"/>
      <w:pgSz w:w="12242" w:h="15842" w:code="1"/>
      <w:pgMar w:top="1985" w:right="618" w:bottom="397" w:left="1418" w:header="851" w:footer="5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22B" w:rsidRDefault="006F722B">
      <w:r>
        <w:separator/>
      </w:r>
    </w:p>
  </w:endnote>
  <w:endnote w:type="continuationSeparator" w:id="0">
    <w:p w:rsidR="006F722B" w:rsidRDefault="006F7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TC Avant Garde">
    <w:altName w:val="Century Gothic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A69" w:rsidRPr="008853ED" w:rsidRDefault="00AF1A69" w:rsidP="00AF1A69">
    <w:pPr>
      <w:pStyle w:val="Piedepgina"/>
      <w:jc w:val="center"/>
    </w:pPr>
  </w:p>
  <w:p w:rsidR="00AF1A69" w:rsidRPr="004D109F" w:rsidRDefault="00AF1A69" w:rsidP="00AF1A69">
    <w:pPr>
      <w:pStyle w:val="Encabezado"/>
      <w:tabs>
        <w:tab w:val="right" w:pos="10206"/>
      </w:tabs>
      <w:jc w:val="right"/>
      <w:rPr>
        <w:rFonts w:ascii="ITC Avant Garde" w:hAnsi="ITC Avant Garde" w:cs="Arial"/>
        <w:sz w:val="16"/>
        <w:lang w:val="es-MX"/>
      </w:rPr>
    </w:pPr>
    <w:r w:rsidRPr="004D109F">
      <w:rPr>
        <w:rFonts w:ascii="ITC Avant Garde" w:hAnsi="ITC Avant Garde" w:cs="Arial"/>
        <w:sz w:val="16"/>
      </w:rPr>
      <w:t xml:space="preserve">Página </w:t>
    </w:r>
    <w:r w:rsidR="006C0993" w:rsidRPr="004D109F">
      <w:rPr>
        <w:rFonts w:ascii="ITC Avant Garde" w:hAnsi="ITC Avant Garde" w:cs="Arial"/>
        <w:b/>
        <w:sz w:val="16"/>
      </w:rPr>
      <w:fldChar w:fldCharType="begin"/>
    </w:r>
    <w:r w:rsidRPr="004D109F">
      <w:rPr>
        <w:rFonts w:ascii="ITC Avant Garde" w:hAnsi="ITC Avant Garde" w:cs="Arial"/>
        <w:b/>
        <w:sz w:val="16"/>
      </w:rPr>
      <w:instrText>PAGE</w:instrText>
    </w:r>
    <w:r w:rsidR="006C0993" w:rsidRPr="004D109F">
      <w:rPr>
        <w:rFonts w:ascii="ITC Avant Garde" w:hAnsi="ITC Avant Garde" w:cs="Arial"/>
        <w:b/>
        <w:sz w:val="16"/>
      </w:rPr>
      <w:fldChar w:fldCharType="separate"/>
    </w:r>
    <w:r w:rsidR="00EF2723">
      <w:rPr>
        <w:rFonts w:ascii="ITC Avant Garde" w:hAnsi="ITC Avant Garde" w:cs="Arial"/>
        <w:b/>
        <w:noProof/>
        <w:sz w:val="16"/>
      </w:rPr>
      <w:t>1</w:t>
    </w:r>
    <w:r w:rsidR="006C0993" w:rsidRPr="004D109F">
      <w:rPr>
        <w:rFonts w:ascii="ITC Avant Garde" w:hAnsi="ITC Avant Garde" w:cs="Arial"/>
        <w:b/>
        <w:sz w:val="16"/>
      </w:rPr>
      <w:fldChar w:fldCharType="end"/>
    </w:r>
    <w:r w:rsidRPr="004D109F">
      <w:rPr>
        <w:rFonts w:ascii="ITC Avant Garde" w:hAnsi="ITC Avant Garde" w:cs="Arial"/>
        <w:sz w:val="16"/>
      </w:rPr>
      <w:t xml:space="preserve"> de </w:t>
    </w:r>
    <w:r w:rsidR="006C0993" w:rsidRPr="004D109F">
      <w:rPr>
        <w:rFonts w:ascii="ITC Avant Garde" w:hAnsi="ITC Avant Garde" w:cs="Arial"/>
        <w:b/>
        <w:sz w:val="16"/>
      </w:rPr>
      <w:fldChar w:fldCharType="begin"/>
    </w:r>
    <w:r w:rsidRPr="004D109F">
      <w:rPr>
        <w:rFonts w:ascii="ITC Avant Garde" w:hAnsi="ITC Avant Garde" w:cs="Arial"/>
        <w:b/>
        <w:sz w:val="16"/>
      </w:rPr>
      <w:instrText>NUMPAGES</w:instrText>
    </w:r>
    <w:r w:rsidR="006C0993" w:rsidRPr="004D109F">
      <w:rPr>
        <w:rFonts w:ascii="ITC Avant Garde" w:hAnsi="ITC Avant Garde" w:cs="Arial"/>
        <w:b/>
        <w:sz w:val="16"/>
      </w:rPr>
      <w:fldChar w:fldCharType="separate"/>
    </w:r>
    <w:r w:rsidR="00EF2723">
      <w:rPr>
        <w:rFonts w:ascii="ITC Avant Garde" w:hAnsi="ITC Avant Garde" w:cs="Arial"/>
        <w:b/>
        <w:noProof/>
        <w:sz w:val="16"/>
      </w:rPr>
      <w:t>4</w:t>
    </w:r>
    <w:r w:rsidR="006C0993" w:rsidRPr="004D109F">
      <w:rPr>
        <w:rFonts w:ascii="ITC Avant Garde" w:hAnsi="ITC Avant Garde" w:cs="Arial"/>
        <w:b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22B" w:rsidRDefault="006F722B">
      <w:r>
        <w:separator/>
      </w:r>
    </w:p>
  </w:footnote>
  <w:footnote w:type="continuationSeparator" w:id="0">
    <w:p w:rsidR="006F722B" w:rsidRDefault="006F72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723" w:rsidRDefault="00EF2723" w:rsidP="00EF2723">
    <w:pPr>
      <w:pStyle w:val="Encabezado"/>
      <w:tabs>
        <w:tab w:val="left" w:pos="8670"/>
      </w:tabs>
      <w:rPr>
        <w:rFonts w:ascii="Calibri" w:hAnsi="Calibri"/>
        <w:b/>
        <w:color w:val="548DD4"/>
        <w:sz w:val="22"/>
        <w:szCs w:val="22"/>
        <w:lang w:val="es-ES"/>
      </w:rPr>
    </w:pPr>
    <w:bookmarkStart w:id="1" w:name="_Hlk254855680"/>
    <w:r w:rsidRPr="008B351C">
      <w:rPr>
        <w:rFonts w:ascii="Calibri" w:hAnsi="Calibri"/>
        <w:b/>
        <w:color w:val="548DD4"/>
        <w:sz w:val="22"/>
        <w:szCs w:val="22"/>
        <w:lang w:val="es-ES"/>
      </w:rPr>
      <w:t>Oferta de Referencia para Compartición de Infraestructura Pasiva</w:t>
    </w:r>
  </w:p>
  <w:p w:rsidR="00EF2723" w:rsidRDefault="00EF2723" w:rsidP="00EF2723">
    <w:pPr>
      <w:pStyle w:val="Encabezado"/>
      <w:rPr>
        <w:rFonts w:ascii="Calibri" w:hAnsi="Calibri"/>
        <w:b/>
        <w:color w:val="548DD4"/>
        <w:sz w:val="22"/>
        <w:szCs w:val="22"/>
        <w:lang w:val="es-ES"/>
      </w:rPr>
    </w:pPr>
    <w:r w:rsidRPr="008B351C">
      <w:rPr>
        <w:rFonts w:ascii="Calibri" w:hAnsi="Calibri"/>
        <w:b/>
        <w:color w:val="548DD4"/>
        <w:sz w:val="22"/>
        <w:szCs w:val="22"/>
        <w:lang w:val="es-ES"/>
      </w:rPr>
      <w:t>Anexo 2  Normas Técnicas</w:t>
    </w:r>
    <w:bookmarkEnd w:id="1"/>
  </w:p>
  <w:p w:rsidR="00154FEA" w:rsidRDefault="004D109F" w:rsidP="00EF2723">
    <w:pPr>
      <w:pStyle w:val="Encabezado"/>
      <w:rPr>
        <w:noProof/>
      </w:rPr>
    </w:pPr>
    <w:r w:rsidRPr="008B351C">
      <w:rPr>
        <w:rFonts w:ascii="Calibri" w:hAnsi="Calibri"/>
        <w:b/>
        <w:color w:val="548DD4"/>
        <w:sz w:val="22"/>
        <w:szCs w:val="22"/>
        <w:lang w:val="es-ES"/>
      </w:rPr>
      <w:t>Norma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15E7F"/>
    <w:multiLevelType w:val="singleLevel"/>
    <w:tmpl w:val="8E26E1CE"/>
    <w:lvl w:ilvl="0">
      <w:start w:val="1"/>
      <w:numFmt w:val="bullet"/>
      <w:lvlText w:val=""/>
      <w:lvlJc w:val="left"/>
      <w:pPr>
        <w:tabs>
          <w:tab w:val="num" w:pos="1070"/>
        </w:tabs>
        <w:ind w:left="1067" w:hanging="357"/>
      </w:pPr>
      <w:rPr>
        <w:rFonts w:ascii="Symbol" w:hAnsi="Symbol" w:hint="default"/>
      </w:rPr>
    </w:lvl>
  </w:abstractNum>
  <w:abstractNum w:abstractNumId="1" w15:restartNumberingAfterBreak="0">
    <w:nsid w:val="41923A5E"/>
    <w:multiLevelType w:val="multilevel"/>
    <w:tmpl w:val="017897C8"/>
    <w:lvl w:ilvl="0">
      <w:start w:val="1"/>
      <w:numFmt w:val="decimal"/>
      <w:suff w:val="nothing"/>
      <w:lvlText w:val="%1.- "/>
      <w:lvlJc w:val="left"/>
      <w:pPr>
        <w:ind w:left="1191" w:hanging="1191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Ttulo2"/>
      <w:suff w:val="nothing"/>
      <w:lvlText w:val="%1.%2.- "/>
      <w:lvlJc w:val="left"/>
      <w:pPr>
        <w:ind w:left="576" w:hanging="576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2">
      <w:start w:val="1"/>
      <w:numFmt w:val="decimal"/>
      <w:pStyle w:val="Ttulo3"/>
      <w:suff w:val="nothing"/>
      <w:lvlText w:val="%1.%2.%3.- "/>
      <w:lvlJc w:val="left"/>
      <w:pPr>
        <w:ind w:left="1430" w:hanging="72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3">
      <w:start w:val="1"/>
      <w:numFmt w:val="decimal"/>
      <w:pStyle w:val="Ttulo4"/>
      <w:suff w:val="nothing"/>
      <w:lvlText w:val="%1.%2.%3.%4.- "/>
      <w:lvlJc w:val="left"/>
      <w:pPr>
        <w:ind w:left="864" w:hanging="86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decimal"/>
      <w:suff w:val="nothing"/>
      <w:lvlText w:val="%1.%2.%3.%4.%5.- "/>
      <w:lvlJc w:val="left"/>
      <w:pPr>
        <w:ind w:left="1008" w:hanging="1008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FEA"/>
    <w:rsid w:val="00040864"/>
    <w:rsid w:val="00112139"/>
    <w:rsid w:val="00154FEA"/>
    <w:rsid w:val="00224B83"/>
    <w:rsid w:val="002D62D7"/>
    <w:rsid w:val="003213AC"/>
    <w:rsid w:val="00342A82"/>
    <w:rsid w:val="0039540E"/>
    <w:rsid w:val="003B2306"/>
    <w:rsid w:val="003D3DFC"/>
    <w:rsid w:val="003D658E"/>
    <w:rsid w:val="004561BA"/>
    <w:rsid w:val="004D109F"/>
    <w:rsid w:val="004E376E"/>
    <w:rsid w:val="00563C0B"/>
    <w:rsid w:val="005E3047"/>
    <w:rsid w:val="0061382A"/>
    <w:rsid w:val="00633222"/>
    <w:rsid w:val="00650D8D"/>
    <w:rsid w:val="006C0993"/>
    <w:rsid w:val="006F722B"/>
    <w:rsid w:val="00724149"/>
    <w:rsid w:val="007D7F19"/>
    <w:rsid w:val="00825538"/>
    <w:rsid w:val="008B351C"/>
    <w:rsid w:val="00925125"/>
    <w:rsid w:val="00985EF2"/>
    <w:rsid w:val="009A723E"/>
    <w:rsid w:val="009E6B66"/>
    <w:rsid w:val="00A4068A"/>
    <w:rsid w:val="00AD78C3"/>
    <w:rsid w:val="00AF1A69"/>
    <w:rsid w:val="00AF71D5"/>
    <w:rsid w:val="00C20A23"/>
    <w:rsid w:val="00C94756"/>
    <w:rsid w:val="00D23346"/>
    <w:rsid w:val="00D3747E"/>
    <w:rsid w:val="00D43160"/>
    <w:rsid w:val="00E1271E"/>
    <w:rsid w:val="00E220CB"/>
    <w:rsid w:val="00E35808"/>
    <w:rsid w:val="00EA444D"/>
    <w:rsid w:val="00EF2723"/>
    <w:rsid w:val="00F4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80201B1-873A-477E-91A7-743E8CB81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993"/>
    <w:rPr>
      <w:lang w:val="es-ES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3D3DFC"/>
    <w:pPr>
      <w:keepNext/>
      <w:numPr>
        <w:ilvl w:val="1"/>
        <w:numId w:val="1"/>
      </w:numPr>
      <w:outlineLvl w:val="1"/>
    </w:pPr>
    <w:rPr>
      <w:rFonts w:ascii="Arial" w:hAnsi="Arial"/>
      <w:b/>
      <w:bCs/>
    </w:rPr>
  </w:style>
  <w:style w:type="paragraph" w:styleId="Ttulo3">
    <w:name w:val="heading 3"/>
    <w:aliases w:val="l3,CT"/>
    <w:basedOn w:val="Normal"/>
    <w:next w:val="Normal"/>
    <w:link w:val="Ttulo3Car"/>
    <w:uiPriority w:val="99"/>
    <w:qFormat/>
    <w:rsid w:val="003D3DFC"/>
    <w:pPr>
      <w:keepNext/>
      <w:numPr>
        <w:ilvl w:val="2"/>
        <w:numId w:val="1"/>
      </w:numPr>
      <w:outlineLvl w:val="2"/>
    </w:pPr>
    <w:rPr>
      <w:rFonts w:ascii="Arial" w:hAnsi="Arial"/>
      <w:b/>
      <w:bCs/>
    </w:rPr>
  </w:style>
  <w:style w:type="paragraph" w:styleId="Ttulo4">
    <w:name w:val="heading 4"/>
    <w:aliases w:val="I4,H1,l4"/>
    <w:basedOn w:val="Normal"/>
    <w:next w:val="Normal"/>
    <w:link w:val="Ttulo4Car"/>
    <w:uiPriority w:val="99"/>
    <w:qFormat/>
    <w:rsid w:val="003D3DFC"/>
    <w:pPr>
      <w:keepNext/>
      <w:numPr>
        <w:ilvl w:val="3"/>
        <w:numId w:val="1"/>
      </w:numPr>
      <w:outlineLvl w:val="3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eader/Footer,header odd,header odd1,header odd2,header odd3,header odd4,header odd5,header odd6,encabezado"/>
    <w:basedOn w:val="Normal"/>
    <w:link w:val="EncabezadoCar"/>
    <w:uiPriority w:val="99"/>
    <w:rsid w:val="006C0993"/>
    <w:pPr>
      <w:tabs>
        <w:tab w:val="center" w:pos="4252"/>
        <w:tab w:val="right" w:pos="8504"/>
      </w:tabs>
    </w:pPr>
    <w:rPr>
      <w:rFonts w:ascii="Arial" w:hAnsi="Arial"/>
      <w:lang w:val="es-ES_tradnl"/>
    </w:rPr>
  </w:style>
  <w:style w:type="paragraph" w:styleId="Piedepgina">
    <w:name w:val="footer"/>
    <w:basedOn w:val="Normal"/>
    <w:link w:val="PiedepginaCar"/>
    <w:uiPriority w:val="99"/>
    <w:rsid w:val="006C0993"/>
    <w:pPr>
      <w:tabs>
        <w:tab w:val="center" w:pos="4252"/>
        <w:tab w:val="right" w:pos="8504"/>
      </w:tabs>
    </w:pPr>
    <w:rPr>
      <w:rFonts w:ascii="Arial" w:hAnsi="Arial"/>
      <w:lang w:val="es-ES_tradnl"/>
    </w:rPr>
  </w:style>
  <w:style w:type="character" w:styleId="Nmerodepgina">
    <w:name w:val="page number"/>
    <w:basedOn w:val="Fuentedeprrafopredeter"/>
    <w:rsid w:val="006C0993"/>
  </w:style>
  <w:style w:type="character" w:customStyle="1" w:styleId="Ttulo2Car">
    <w:name w:val="Título 2 Car"/>
    <w:link w:val="Ttulo2"/>
    <w:uiPriority w:val="99"/>
    <w:rsid w:val="003D3DFC"/>
    <w:rPr>
      <w:rFonts w:ascii="Arial" w:hAnsi="Arial" w:cs="Arial"/>
      <w:b/>
      <w:bCs/>
      <w:lang w:eastAsia="es-ES"/>
    </w:rPr>
  </w:style>
  <w:style w:type="character" w:customStyle="1" w:styleId="Ttulo3Car">
    <w:name w:val="Título 3 Car"/>
    <w:aliases w:val="l3 Car,CT Car"/>
    <w:link w:val="Ttulo3"/>
    <w:uiPriority w:val="99"/>
    <w:rsid w:val="003D3DFC"/>
    <w:rPr>
      <w:rFonts w:ascii="Arial" w:hAnsi="Arial" w:cs="Arial"/>
      <w:b/>
      <w:bCs/>
      <w:lang w:eastAsia="es-ES"/>
    </w:rPr>
  </w:style>
  <w:style w:type="character" w:customStyle="1" w:styleId="Ttulo4Car">
    <w:name w:val="Título 4 Car"/>
    <w:aliases w:val="I4 Car,H1 Car,l4 Car"/>
    <w:link w:val="Ttulo4"/>
    <w:uiPriority w:val="99"/>
    <w:rsid w:val="003D3DFC"/>
    <w:rPr>
      <w:rFonts w:ascii="Arial" w:hAnsi="Arial" w:cs="Arial"/>
      <w:lang w:eastAsia="es-ES"/>
    </w:rPr>
  </w:style>
  <w:style w:type="paragraph" w:customStyle="1" w:styleId="Texto1">
    <w:name w:val="Texto 1"/>
    <w:basedOn w:val="Normal"/>
    <w:uiPriority w:val="99"/>
    <w:rsid w:val="003D3DFC"/>
    <w:pPr>
      <w:ind w:left="323"/>
      <w:jc w:val="both"/>
    </w:pPr>
    <w:rPr>
      <w:rFonts w:ascii="Arial" w:hAnsi="Arial" w:cs="Arial"/>
      <w:lang w:val="es-MX"/>
    </w:rPr>
  </w:style>
  <w:style w:type="paragraph" w:customStyle="1" w:styleId="Titabla">
    <w:name w:val="Titabla"/>
    <w:basedOn w:val="Normal"/>
    <w:rsid w:val="003D3DFC"/>
    <w:pPr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Arial" w:hAnsi="Arial"/>
      <w:b/>
      <w:sz w:val="24"/>
      <w:lang w:val="es-ES_tradnl"/>
    </w:rPr>
  </w:style>
  <w:style w:type="character" w:customStyle="1" w:styleId="EncabezadoCar">
    <w:name w:val="Encabezado Car"/>
    <w:aliases w:val="Header/Footer Car,header odd Car,header odd1 Car,header odd2 Car,header odd3 Car,header odd4 Car,header odd5 Car,header odd6 Car,encabezado Car"/>
    <w:link w:val="Encabezado"/>
    <w:uiPriority w:val="99"/>
    <w:rsid w:val="005E3047"/>
    <w:rPr>
      <w:rFonts w:ascii="Arial" w:hAnsi="Arial"/>
      <w:lang w:val="es-ES_tradnl" w:eastAsia="es-ES"/>
    </w:rPr>
  </w:style>
  <w:style w:type="character" w:customStyle="1" w:styleId="PiedepginaCar">
    <w:name w:val="Pie de página Car"/>
    <w:link w:val="Piedepgina"/>
    <w:uiPriority w:val="99"/>
    <w:locked/>
    <w:rsid w:val="005E3047"/>
    <w:rPr>
      <w:rFonts w:ascii="Arial" w:hAnsi="Arial"/>
      <w:lang w:val="es-ES_tradnl" w:eastAsia="es-ES"/>
    </w:rPr>
  </w:style>
  <w:style w:type="paragraph" w:styleId="Mapadeldocumento">
    <w:name w:val="Document Map"/>
    <w:basedOn w:val="Normal"/>
    <w:link w:val="MapadeldocumentoCar"/>
    <w:rsid w:val="0061382A"/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rsid w:val="0061382A"/>
    <w:rPr>
      <w:rFonts w:ascii="Tahoma" w:hAnsi="Tahoma" w:cs="Tahoma"/>
      <w:sz w:val="16"/>
      <w:szCs w:val="16"/>
      <w:lang w:val="es-ES" w:eastAsia="es-ES"/>
    </w:rPr>
  </w:style>
  <w:style w:type="paragraph" w:styleId="Textodeglobo">
    <w:name w:val="Balloon Text"/>
    <w:basedOn w:val="Normal"/>
    <w:link w:val="TextodegloboCar"/>
    <w:rsid w:val="0039540E"/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rsid w:val="0039540E"/>
    <w:rPr>
      <w:rFonts w:ascii="Segoe UI" w:hAnsi="Segoe UI" w:cs="Segoe UI"/>
      <w:sz w:val="18"/>
      <w:szCs w:val="18"/>
      <w:lang w:val="es-ES" w:eastAsia="es-ES"/>
    </w:rPr>
  </w:style>
  <w:style w:type="table" w:styleId="Cuadrculadetablaclara">
    <w:name w:val="Grid Table Light"/>
    <w:basedOn w:val="Tablanormal"/>
    <w:uiPriority w:val="40"/>
    <w:rsid w:val="00EF272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9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3" Type="http://schemas.openxmlformats.org/officeDocument/2006/relationships/customXml" Target="../customXml/item3.xml"/><Relationship Id="rId21" Type="http://schemas.openxmlformats.org/officeDocument/2006/relationships/image" Target="media/image12.wmf"/><Relationship Id="rId7" Type="http://schemas.openxmlformats.org/officeDocument/2006/relationships/webSettings" Target="webSetting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wmf"/><Relationship Id="rId20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wmf"/><Relationship Id="rId23" Type="http://schemas.openxmlformats.org/officeDocument/2006/relationships/footer" Target="footer1.xml"/><Relationship Id="rId10" Type="http://schemas.openxmlformats.org/officeDocument/2006/relationships/image" Target="media/image1.wmf"/><Relationship Id="rId19" Type="http://schemas.openxmlformats.org/officeDocument/2006/relationships/image" Target="media/image10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wm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EEB889474DA94B9F68B747786921B0" ma:contentTypeVersion="0" ma:contentTypeDescription="Crear nuevo documento." ma:contentTypeScope="" ma:versionID="6ec2e770e8c827b4c671df3dc9465bf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662EBF-A848-4606-A958-E74F1617E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AC8EBC-16FC-41F5-90AF-50C9316A01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3B3F7E-55B8-486A-A113-8EE1FEB73B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Teléfonos de México, S.A.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 Brambila Chagollan</dc:creator>
  <cp:keywords/>
  <cp:lastModifiedBy>Mario Alonso Cruz</cp:lastModifiedBy>
  <cp:revision>4</cp:revision>
  <cp:lastPrinted>2014-11-06T16:43:00Z</cp:lastPrinted>
  <dcterms:created xsi:type="dcterms:W3CDTF">2017-07-27T18:57:00Z</dcterms:created>
  <dcterms:modified xsi:type="dcterms:W3CDTF">2017-11-08T00:14:00Z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0x010100ECEEB889474DA94B9F68B747786921B0</vt:lpwstr>
  </property>
</Properties>
</file>