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77A3E" w14:textId="75DD17FF" w:rsidR="009874A0" w:rsidRPr="003B79B7" w:rsidRDefault="007D2AAA" w:rsidP="003B79B7">
      <w:pPr>
        <w:pStyle w:val="Ttulo1"/>
        <w:spacing w:after="240" w:line="240" w:lineRule="auto"/>
        <w:jc w:val="both"/>
        <w:rPr>
          <w:rFonts w:ascii="ITC Avant Garde" w:hAnsi="ITC Avant Garde"/>
          <w:b/>
          <w:color w:val="000000" w:themeColor="text1"/>
          <w:sz w:val="24"/>
          <w:szCs w:val="24"/>
          <w:lang w:eastAsia="es-MX"/>
        </w:rPr>
      </w:pPr>
      <w:bookmarkStart w:id="0" w:name="_GoBack"/>
      <w:r w:rsidRPr="003B79B7">
        <w:rPr>
          <w:rFonts w:ascii="ITC Avant Garde" w:hAnsi="ITC Avant Garde"/>
          <w:b/>
          <w:color w:val="000000" w:themeColor="text1"/>
          <w:sz w:val="24"/>
          <w:szCs w:val="24"/>
          <w:lang w:eastAsia="es-MX"/>
        </w:rPr>
        <w:t xml:space="preserve">ACUERDO MEDIANTE EL CUAL EL PLENO DEL INSTITUTO FEDERAL DE TELECOMUNICACIONES </w:t>
      </w:r>
      <w:r w:rsidR="00363D85" w:rsidRPr="003B79B7">
        <w:rPr>
          <w:rFonts w:ascii="ITC Avant Garde" w:hAnsi="ITC Avant Garde"/>
          <w:b/>
          <w:color w:val="000000" w:themeColor="text1"/>
          <w:sz w:val="24"/>
          <w:szCs w:val="24"/>
          <w:lang w:eastAsia="es-MX"/>
        </w:rPr>
        <w:t xml:space="preserve">DETERMINA </w:t>
      </w:r>
      <w:r w:rsidR="00D0043A" w:rsidRPr="003B79B7">
        <w:rPr>
          <w:rFonts w:ascii="ITC Avant Garde" w:hAnsi="ITC Avant Garde"/>
          <w:b/>
          <w:color w:val="000000" w:themeColor="text1"/>
          <w:sz w:val="24"/>
          <w:szCs w:val="24"/>
          <w:lang w:eastAsia="es-MX"/>
        </w:rPr>
        <w:t>SOMETE</w:t>
      </w:r>
      <w:r w:rsidR="00363D85" w:rsidRPr="003B79B7">
        <w:rPr>
          <w:rFonts w:ascii="ITC Avant Garde" w:hAnsi="ITC Avant Garde"/>
          <w:b/>
          <w:color w:val="000000" w:themeColor="text1"/>
          <w:sz w:val="24"/>
          <w:szCs w:val="24"/>
          <w:lang w:eastAsia="es-MX"/>
        </w:rPr>
        <w:t>R</w:t>
      </w:r>
      <w:r w:rsidR="00D0043A" w:rsidRPr="003B79B7">
        <w:rPr>
          <w:rFonts w:ascii="ITC Avant Garde" w:hAnsi="ITC Avant Garde"/>
          <w:b/>
          <w:color w:val="000000" w:themeColor="text1"/>
          <w:sz w:val="24"/>
          <w:szCs w:val="24"/>
          <w:lang w:eastAsia="es-MX"/>
        </w:rPr>
        <w:t xml:space="preserve"> A CONSULTA PÚBLICA EL ANTEPROYECTO DE ACUERDO MEDIANTE EL CUAL SE </w:t>
      </w:r>
      <w:r w:rsidR="00EF180D" w:rsidRPr="003B79B7">
        <w:rPr>
          <w:rFonts w:ascii="ITC Avant Garde" w:hAnsi="ITC Avant Garde"/>
          <w:b/>
          <w:color w:val="000000" w:themeColor="text1"/>
          <w:sz w:val="24"/>
          <w:szCs w:val="24"/>
          <w:lang w:eastAsia="es-MX"/>
        </w:rPr>
        <w:t>MODIFICA</w:t>
      </w:r>
      <w:r w:rsidR="00D0043A" w:rsidRPr="003B79B7">
        <w:rPr>
          <w:rFonts w:ascii="ITC Avant Garde" w:hAnsi="ITC Avant Garde"/>
          <w:b/>
          <w:color w:val="000000" w:themeColor="text1"/>
          <w:sz w:val="24"/>
          <w:szCs w:val="24"/>
          <w:lang w:eastAsia="es-MX"/>
        </w:rPr>
        <w:t>N</w:t>
      </w:r>
      <w:r w:rsidR="00B33DF1" w:rsidRPr="003B79B7">
        <w:rPr>
          <w:rFonts w:ascii="ITC Avant Garde" w:hAnsi="ITC Avant Garde"/>
          <w:b/>
          <w:color w:val="000000" w:themeColor="text1"/>
          <w:sz w:val="24"/>
          <w:szCs w:val="24"/>
          <w:lang w:eastAsia="es-MX"/>
        </w:rPr>
        <w:t xml:space="preserve"> </w:t>
      </w:r>
      <w:r w:rsidR="004078DB" w:rsidRPr="003B79B7">
        <w:rPr>
          <w:rFonts w:ascii="ITC Avant Garde" w:hAnsi="ITC Avant Garde"/>
          <w:b/>
          <w:color w:val="000000" w:themeColor="text1"/>
          <w:sz w:val="24"/>
          <w:szCs w:val="24"/>
          <w:lang w:eastAsia="es-MX"/>
        </w:rPr>
        <w:t xml:space="preserve">LOS </w:t>
      </w:r>
      <w:r w:rsidR="00B33DF1" w:rsidRPr="003B79B7">
        <w:rPr>
          <w:rFonts w:ascii="ITC Avant Garde" w:hAnsi="ITC Avant Garde"/>
          <w:b/>
          <w:color w:val="000000" w:themeColor="text1"/>
          <w:sz w:val="24"/>
          <w:szCs w:val="24"/>
          <w:lang w:eastAsia="es-MX"/>
        </w:rPr>
        <w:t>ARTÍCULO</w:t>
      </w:r>
      <w:r w:rsidR="004078DB" w:rsidRPr="003B79B7">
        <w:rPr>
          <w:rFonts w:ascii="ITC Avant Garde" w:hAnsi="ITC Avant Garde"/>
          <w:b/>
          <w:color w:val="000000" w:themeColor="text1"/>
          <w:sz w:val="24"/>
          <w:szCs w:val="24"/>
          <w:lang w:eastAsia="es-MX"/>
        </w:rPr>
        <w:t>S 3 Y</w:t>
      </w:r>
      <w:r w:rsidR="00B33DF1" w:rsidRPr="003B79B7">
        <w:rPr>
          <w:rFonts w:ascii="ITC Avant Garde" w:hAnsi="ITC Avant Garde"/>
          <w:b/>
          <w:color w:val="000000" w:themeColor="text1"/>
          <w:sz w:val="24"/>
          <w:szCs w:val="24"/>
          <w:lang w:eastAsia="es-MX"/>
        </w:rPr>
        <w:t xml:space="preserve"> 8 DE</w:t>
      </w:r>
      <w:r w:rsidR="009874A0" w:rsidRPr="003B79B7">
        <w:rPr>
          <w:rFonts w:ascii="ITC Avant Garde" w:hAnsi="ITC Avant Garde"/>
          <w:b/>
          <w:color w:val="000000" w:themeColor="text1"/>
          <w:sz w:val="24"/>
          <w:szCs w:val="24"/>
          <w:lang w:eastAsia="es-MX"/>
        </w:rPr>
        <w:t xml:space="preserve"> LOS LINEAMIENTOS GENERALES PARA EL OTORGAMIENTO DE LAS CONCESIONES A QUE SE REFIERE EL TÍTULO CUARTO DE LA LEY FEDERAL DE TEL</w:t>
      </w:r>
      <w:r w:rsidR="00516910" w:rsidRPr="003B79B7">
        <w:rPr>
          <w:rFonts w:ascii="ITC Avant Garde" w:hAnsi="ITC Avant Garde"/>
          <w:b/>
          <w:color w:val="000000" w:themeColor="text1"/>
          <w:sz w:val="24"/>
          <w:szCs w:val="24"/>
          <w:lang w:eastAsia="es-MX"/>
        </w:rPr>
        <w:t>ECOMUNICACIONES Y RADIODIFUSIÓN</w:t>
      </w:r>
    </w:p>
    <w:p w14:paraId="420A770F" w14:textId="77777777" w:rsidR="009874A0" w:rsidRPr="003B79B7" w:rsidRDefault="009874A0" w:rsidP="003B79B7">
      <w:pPr>
        <w:pStyle w:val="Ttulo2"/>
        <w:spacing w:after="240"/>
        <w:jc w:val="center"/>
        <w:rPr>
          <w:rFonts w:ascii="ITC Avant Garde" w:hAnsi="ITC Avant Garde"/>
          <w:b/>
          <w:color w:val="000000" w:themeColor="text1"/>
          <w:sz w:val="22"/>
          <w:szCs w:val="22"/>
        </w:rPr>
      </w:pPr>
      <w:r w:rsidRPr="003B79B7">
        <w:rPr>
          <w:rFonts w:ascii="ITC Avant Garde" w:hAnsi="ITC Avant Garde"/>
          <w:b/>
          <w:color w:val="000000" w:themeColor="text1"/>
          <w:sz w:val="22"/>
          <w:szCs w:val="22"/>
        </w:rPr>
        <w:t>ANTECEDENTES</w:t>
      </w:r>
    </w:p>
    <w:p w14:paraId="0A5DDC75" w14:textId="7A82DE64" w:rsidR="009874A0" w:rsidRPr="008A1002" w:rsidRDefault="009874A0" w:rsidP="00516910">
      <w:pPr>
        <w:pStyle w:val="Prrafodelista"/>
        <w:numPr>
          <w:ilvl w:val="0"/>
          <w:numId w:val="1"/>
        </w:numPr>
        <w:suppressAutoHyphens/>
        <w:spacing w:before="240" w:after="240" w:line="240" w:lineRule="auto"/>
        <w:ind w:left="0" w:firstLine="0"/>
        <w:contextualSpacing w:val="0"/>
        <w:jc w:val="both"/>
        <w:rPr>
          <w:color w:val="000000"/>
          <w:kern w:val="1"/>
        </w:rPr>
      </w:pPr>
      <w:r w:rsidRPr="008A1002">
        <w:rPr>
          <w:color w:val="000000"/>
          <w:kern w:val="1"/>
        </w:rPr>
        <w:t>El 11 de junio de 2013, se publicó en el Diario Oficial de la Federación (</w:t>
      </w:r>
      <w:r w:rsidR="00D0043A">
        <w:rPr>
          <w:color w:val="000000"/>
          <w:kern w:val="1"/>
        </w:rPr>
        <w:t xml:space="preserve">en lo sucesivo, </w:t>
      </w:r>
      <w:r w:rsidR="00CB00CD">
        <w:rPr>
          <w:color w:val="000000"/>
          <w:kern w:val="1"/>
        </w:rPr>
        <w:t>“</w:t>
      </w:r>
      <w:r w:rsidRPr="008A1002">
        <w:rPr>
          <w:color w:val="000000"/>
          <w:kern w:val="1"/>
        </w:rPr>
        <w:t>DOF</w:t>
      </w:r>
      <w:r w:rsidR="00CB00CD">
        <w:rPr>
          <w:color w:val="000000"/>
          <w:kern w:val="1"/>
        </w:rPr>
        <w:t>”</w:t>
      </w:r>
      <w:r w:rsidRPr="008A1002">
        <w:rPr>
          <w:color w:val="000000"/>
          <w:kern w:val="1"/>
        </w:rPr>
        <w:t>), el “</w:t>
      </w:r>
      <w:r w:rsidRPr="008A1002">
        <w:rPr>
          <w:i/>
          <w:color w:val="000000"/>
          <w:kern w:val="1"/>
        </w:rPr>
        <w:t>Decreto por el que se reforman y adicionan diversas disposiciones de los artículos 6o., 7o., 27, 28, 73, 78, 94 y 105 de la Constitución Política de los Estados Unidos Mexicanos, en materia de telecomunicaciones</w:t>
      </w:r>
      <w:r w:rsidRPr="008A1002">
        <w:rPr>
          <w:color w:val="000000"/>
          <w:kern w:val="1"/>
        </w:rPr>
        <w:t>”, mediante el cual se creó al Instituto Federal de Telecomunicaciones (</w:t>
      </w:r>
      <w:r w:rsidR="00D0043A">
        <w:rPr>
          <w:color w:val="000000"/>
          <w:kern w:val="1"/>
        </w:rPr>
        <w:t xml:space="preserve">en lo sucesivo, el </w:t>
      </w:r>
      <w:r w:rsidR="00B33DF1">
        <w:rPr>
          <w:color w:val="000000"/>
          <w:kern w:val="1"/>
        </w:rPr>
        <w:t>“</w:t>
      </w:r>
      <w:r w:rsidRPr="008A1002">
        <w:rPr>
          <w:color w:val="000000"/>
          <w:kern w:val="1"/>
        </w:rPr>
        <w:t>Instituto</w:t>
      </w:r>
      <w:r w:rsidR="00B33DF1">
        <w:rPr>
          <w:color w:val="000000"/>
          <w:kern w:val="1"/>
        </w:rPr>
        <w:t>”</w:t>
      </w:r>
      <w:r w:rsidRPr="008A1002">
        <w:rPr>
          <w:color w:val="000000"/>
          <w:kern w:val="1"/>
        </w:rPr>
        <w:t xml:space="preserve">) como un órgano autónomo, con personalidad jurídica y patrimonio propios. </w:t>
      </w:r>
    </w:p>
    <w:p w14:paraId="0427A435" w14:textId="300FB6E2" w:rsidR="009874A0" w:rsidRPr="008A1002" w:rsidRDefault="009874A0" w:rsidP="00516910">
      <w:pPr>
        <w:pStyle w:val="Prrafodelista"/>
        <w:numPr>
          <w:ilvl w:val="0"/>
          <w:numId w:val="1"/>
        </w:numPr>
        <w:suppressAutoHyphens/>
        <w:spacing w:before="240" w:after="240" w:line="240" w:lineRule="auto"/>
        <w:ind w:left="0" w:firstLine="0"/>
        <w:contextualSpacing w:val="0"/>
        <w:jc w:val="both"/>
        <w:rPr>
          <w:color w:val="000000"/>
          <w:kern w:val="1"/>
        </w:rPr>
      </w:pPr>
      <w:r w:rsidRPr="008A1002">
        <w:rPr>
          <w:color w:val="000000"/>
          <w:kern w:val="1"/>
        </w:rPr>
        <w:t>El 14 de julio de 2014, se publicó en el DOF el “</w:t>
      </w:r>
      <w:r w:rsidRPr="008A1002">
        <w:rPr>
          <w:i/>
          <w:color w:val="000000"/>
          <w:kern w:val="1"/>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A1002">
        <w:rPr>
          <w:color w:val="000000"/>
          <w:kern w:val="1"/>
        </w:rPr>
        <w:t xml:space="preserve">”, </w:t>
      </w:r>
      <w:r w:rsidR="004078DB">
        <w:rPr>
          <w:color w:val="000000"/>
          <w:kern w:val="1"/>
        </w:rPr>
        <w:t>el cual</w:t>
      </w:r>
      <w:r w:rsidRPr="008A1002">
        <w:rPr>
          <w:color w:val="000000"/>
          <w:kern w:val="1"/>
        </w:rPr>
        <w:t xml:space="preserve"> de conformidad con el artículo PRIMERO Transitorio, entró en vigor </w:t>
      </w:r>
      <w:r w:rsidR="00CB00CD">
        <w:rPr>
          <w:color w:val="000000"/>
          <w:kern w:val="1"/>
        </w:rPr>
        <w:t xml:space="preserve">a los </w:t>
      </w:r>
      <w:r w:rsidRPr="008A1002">
        <w:rPr>
          <w:color w:val="000000"/>
          <w:kern w:val="1"/>
        </w:rPr>
        <w:t>30 días naturales siguientes a su publicación, es decir, el 13 de agosto de 2014.</w:t>
      </w:r>
    </w:p>
    <w:p w14:paraId="1DF563DD" w14:textId="4D83ADFD" w:rsidR="009874A0" w:rsidRDefault="009874A0" w:rsidP="004029FB">
      <w:pPr>
        <w:pStyle w:val="Prrafodelista"/>
        <w:numPr>
          <w:ilvl w:val="0"/>
          <w:numId w:val="1"/>
        </w:numPr>
        <w:suppressAutoHyphens/>
        <w:spacing w:after="0" w:line="240" w:lineRule="auto"/>
        <w:ind w:left="0" w:firstLine="0"/>
        <w:contextualSpacing w:val="0"/>
        <w:jc w:val="both"/>
        <w:rPr>
          <w:color w:val="000000"/>
          <w:kern w:val="1"/>
        </w:rPr>
      </w:pPr>
      <w:r w:rsidRPr="008A1002">
        <w:rPr>
          <w:color w:val="000000"/>
          <w:kern w:val="1"/>
        </w:rPr>
        <w:t xml:space="preserve">El 24 de julio de 2015 se publicó en el DOF el “Acuerdo mediante el cual el Pleno del Instituto Federal de Telecomunicaciones aprueba y emite los Lineamientos generales para el otorgamiento de las concesiones a que se refiere el </w:t>
      </w:r>
      <w:r w:rsidR="004078DB">
        <w:rPr>
          <w:color w:val="000000"/>
          <w:kern w:val="1"/>
        </w:rPr>
        <w:t>Título C</w:t>
      </w:r>
      <w:r w:rsidRPr="008A1002">
        <w:rPr>
          <w:color w:val="000000"/>
          <w:kern w:val="1"/>
        </w:rPr>
        <w:t>uarto de la Ley Federal de Telecomunicaciones y Radiodifusión”.</w:t>
      </w:r>
    </w:p>
    <w:p w14:paraId="56349FE3" w14:textId="32B3FAC0" w:rsidR="009874A0" w:rsidRPr="003B79B7" w:rsidRDefault="009874A0" w:rsidP="003B79B7">
      <w:pPr>
        <w:pStyle w:val="Ttulo2"/>
        <w:spacing w:after="240"/>
        <w:jc w:val="center"/>
        <w:rPr>
          <w:rFonts w:ascii="ITC Avant Garde" w:hAnsi="ITC Avant Garde"/>
          <w:b/>
          <w:color w:val="000000" w:themeColor="text1"/>
          <w:sz w:val="22"/>
          <w:szCs w:val="22"/>
        </w:rPr>
      </w:pPr>
      <w:r w:rsidRPr="003B79B7">
        <w:rPr>
          <w:rFonts w:ascii="ITC Avant Garde" w:hAnsi="ITC Avant Garde"/>
          <w:b/>
          <w:color w:val="000000" w:themeColor="text1"/>
          <w:sz w:val="22"/>
          <w:szCs w:val="22"/>
        </w:rPr>
        <w:t>CONSIDERANDO</w:t>
      </w:r>
    </w:p>
    <w:p w14:paraId="1CC39C9C" w14:textId="099AACE0" w:rsidR="009874A0" w:rsidRPr="00516910" w:rsidRDefault="009874A0" w:rsidP="00516910">
      <w:pPr>
        <w:suppressAutoHyphens/>
        <w:spacing w:before="240" w:after="240" w:line="240" w:lineRule="auto"/>
        <w:ind w:right="-62"/>
        <w:jc w:val="both"/>
        <w:rPr>
          <w:rFonts w:ascii="ITC Avant Garde" w:hAnsi="ITC Avant Garde"/>
          <w:kern w:val="1"/>
          <w:lang w:val="es-ES"/>
        </w:rPr>
      </w:pPr>
      <w:r w:rsidRPr="008A1002">
        <w:rPr>
          <w:rFonts w:ascii="ITC Avant Garde" w:hAnsi="ITC Avant Garde"/>
          <w:b/>
          <w:kern w:val="1"/>
        </w:rPr>
        <w:t>PRIMERO.-</w:t>
      </w:r>
      <w:r w:rsidRPr="008A1002">
        <w:rPr>
          <w:rFonts w:ascii="ITC Avant Garde" w:hAnsi="ITC Avant Garde"/>
          <w:kern w:val="1"/>
        </w:rPr>
        <w:t xml:space="preserve"> </w:t>
      </w:r>
      <w:r w:rsidRPr="008A1002">
        <w:rPr>
          <w:rFonts w:ascii="ITC Avant Garde" w:hAnsi="ITC Avant Garde"/>
          <w:kern w:val="1"/>
          <w:lang w:val="es-ES"/>
        </w:rPr>
        <w:t>De conformidad con el artículo 28</w:t>
      </w:r>
      <w:r w:rsidRPr="00516910">
        <w:rPr>
          <w:rFonts w:ascii="ITC Avant Garde" w:hAnsi="ITC Avant Garde"/>
          <w:kern w:val="1"/>
          <w:lang w:val="es-ES"/>
        </w:rPr>
        <w:t>, párrafo décimo quinto de la Constitución Política de los Estados Unidos Mexicanos (</w:t>
      </w:r>
      <w:r w:rsidR="00D0043A" w:rsidRPr="00516910">
        <w:rPr>
          <w:rFonts w:ascii="ITC Avant Garde" w:hAnsi="ITC Avant Garde"/>
          <w:kern w:val="1"/>
          <w:lang w:val="es-ES"/>
        </w:rPr>
        <w:t xml:space="preserve">en lo sucesivo, la </w:t>
      </w:r>
      <w:r w:rsidR="00CB00CD" w:rsidRPr="00516910">
        <w:rPr>
          <w:rFonts w:ascii="ITC Avant Garde" w:hAnsi="ITC Avant Garde"/>
          <w:kern w:val="1"/>
          <w:lang w:val="es-ES"/>
        </w:rPr>
        <w:t>“</w:t>
      </w:r>
      <w:r w:rsidRPr="00516910">
        <w:rPr>
          <w:rFonts w:ascii="ITC Avant Garde" w:hAnsi="ITC Avant Garde"/>
          <w:kern w:val="1"/>
          <w:lang w:val="es-ES"/>
        </w:rPr>
        <w:t>Constitución</w:t>
      </w:r>
      <w:r w:rsidR="00CB00CD" w:rsidRPr="00516910">
        <w:rPr>
          <w:rFonts w:ascii="ITC Avant Garde" w:hAnsi="ITC Avant Garde"/>
          <w:kern w:val="1"/>
          <w:lang w:val="es-ES"/>
        </w:rPr>
        <w:t>”</w:t>
      </w:r>
      <w:r w:rsidRPr="00516910">
        <w:rPr>
          <w:rFonts w:ascii="ITC Avant Garde" w:hAnsi="ITC Avant Garde"/>
          <w:kern w:val="1"/>
          <w:lang w:val="es-ES"/>
        </w:rPr>
        <w:t xml:space="preserve">),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3848A80F" w14:textId="0DE6BB4F" w:rsidR="009874A0" w:rsidRPr="00516910" w:rsidRDefault="009874A0" w:rsidP="00516910">
      <w:pPr>
        <w:suppressAutoHyphens/>
        <w:spacing w:before="240" w:after="240" w:line="240" w:lineRule="auto"/>
        <w:ind w:right="-62"/>
        <w:jc w:val="both"/>
        <w:rPr>
          <w:rFonts w:ascii="ITC Avant Garde" w:hAnsi="ITC Avant Garde"/>
          <w:kern w:val="1"/>
          <w:lang w:val="es-ES"/>
        </w:rPr>
      </w:pPr>
      <w:r w:rsidRPr="00516910">
        <w:rPr>
          <w:rFonts w:ascii="ITC Avant Garde" w:hAnsi="ITC Avant Garde"/>
          <w:kern w:val="1"/>
          <w:lang w:val="es-ES"/>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Ley Federal de Telecomunicaciones y Radiodifusión (</w:t>
      </w:r>
      <w:r w:rsidR="00D0043A" w:rsidRPr="00516910">
        <w:rPr>
          <w:rFonts w:ascii="ITC Avant Garde" w:hAnsi="ITC Avant Garde"/>
          <w:kern w:val="1"/>
          <w:lang w:val="es-ES"/>
        </w:rPr>
        <w:t xml:space="preserve">en lo sucesivo, la </w:t>
      </w:r>
      <w:r w:rsidR="00CB00CD" w:rsidRPr="00516910">
        <w:rPr>
          <w:rFonts w:ascii="ITC Avant Garde" w:hAnsi="ITC Avant Garde"/>
          <w:kern w:val="1"/>
          <w:lang w:val="es-ES"/>
        </w:rPr>
        <w:t>“</w:t>
      </w:r>
      <w:r w:rsidRPr="00516910">
        <w:rPr>
          <w:rFonts w:ascii="ITC Avant Garde" w:hAnsi="ITC Avant Garde"/>
          <w:kern w:val="1"/>
          <w:lang w:val="es-ES"/>
        </w:rPr>
        <w:t>Ley</w:t>
      </w:r>
      <w:r w:rsidR="00CB00CD" w:rsidRPr="00516910">
        <w:rPr>
          <w:rFonts w:ascii="ITC Avant Garde" w:hAnsi="ITC Avant Garde"/>
          <w:kern w:val="1"/>
          <w:lang w:val="es-ES"/>
        </w:rPr>
        <w:t>”</w:t>
      </w:r>
      <w:r w:rsidRPr="00516910">
        <w:rPr>
          <w:rFonts w:ascii="ITC Avant Garde" w:hAnsi="ITC Avant Garde"/>
          <w:kern w:val="1"/>
          <w:lang w:val="es-ES"/>
        </w:rPr>
        <w:t>), garantizando lo establecido en los artículos 6° y 7° de la Constitución.</w:t>
      </w:r>
    </w:p>
    <w:p w14:paraId="5B9A1754" w14:textId="2C493C2E" w:rsidR="009874A0" w:rsidRPr="008A1002" w:rsidRDefault="009874A0" w:rsidP="00516910">
      <w:pPr>
        <w:suppressAutoHyphens/>
        <w:spacing w:before="240" w:after="240" w:line="240" w:lineRule="auto"/>
        <w:ind w:right="-62"/>
        <w:jc w:val="both"/>
        <w:rPr>
          <w:rFonts w:ascii="ITC Avant Garde" w:hAnsi="ITC Avant Garde"/>
          <w:kern w:val="1"/>
        </w:rPr>
      </w:pPr>
      <w:r w:rsidRPr="00516910">
        <w:rPr>
          <w:rFonts w:ascii="ITC Avant Garde" w:hAnsi="ITC Avant Garde"/>
          <w:kern w:val="1"/>
        </w:rPr>
        <w:t>Asimismo, el párrafo décimo sexto del artículo 28 de la Constitución establece que el Instituto es también la autoridad en materia de competencia</w:t>
      </w:r>
      <w:r w:rsidRPr="008A1002">
        <w:rPr>
          <w:rFonts w:ascii="ITC Avant Garde" w:hAnsi="ITC Avant Garde"/>
          <w:kern w:val="1"/>
        </w:rPr>
        <w:t xml:space="preserve"> económica de los sectores de radiodifusión y tel</w:t>
      </w:r>
      <w:r w:rsidR="004078DB">
        <w:rPr>
          <w:rFonts w:ascii="ITC Avant Garde" w:hAnsi="ITC Avant Garde"/>
          <w:kern w:val="1"/>
        </w:rPr>
        <w:t>ecomunicaciones, por lo que en e</w:t>
      </w:r>
      <w:r w:rsidRPr="008A1002">
        <w:rPr>
          <w:rFonts w:ascii="ITC Avant Garde" w:hAnsi="ITC Avant Garde"/>
          <w:kern w:val="1"/>
        </w:rPr>
        <w:t xml:space="preserve">stos ejercerá en forma exclusiva las </w:t>
      </w:r>
      <w:r w:rsidRPr="008A1002">
        <w:rPr>
          <w:rFonts w:ascii="ITC Avant Garde" w:hAnsi="ITC Avant Garde"/>
          <w:kern w:val="1"/>
        </w:rPr>
        <w:lastRenderedPageBreak/>
        <w:t>facultades del artículo 28 de la Constitución, la Ley y la Ley Federal de Competencia Económica.</w:t>
      </w:r>
    </w:p>
    <w:p w14:paraId="12EC285A" w14:textId="77777777" w:rsidR="009874A0" w:rsidRPr="008A1002" w:rsidRDefault="00535C82" w:rsidP="00516910">
      <w:pPr>
        <w:spacing w:before="240" w:after="240" w:line="240" w:lineRule="auto"/>
        <w:jc w:val="both"/>
        <w:rPr>
          <w:rFonts w:ascii="ITC Avant Garde" w:hAnsi="ITC Avant Garde"/>
          <w:kern w:val="1"/>
        </w:rPr>
      </w:pPr>
      <w:r w:rsidRPr="008A1002">
        <w:rPr>
          <w:rFonts w:ascii="ITC Avant Garde" w:hAnsi="ITC Avant Garde"/>
          <w:kern w:val="1"/>
        </w:rPr>
        <w:t>Los artículos 15, fracción I y 51 de la Ley señalan, respectivamente, que el Instituto podrá expedir lineamientos en materia de telecomunicaciones y radiodifusión y que para ello deberá realizar consultas públicas bajo los principios de transparencia y participación ciudadana.</w:t>
      </w:r>
    </w:p>
    <w:p w14:paraId="66BDDE38" w14:textId="77777777" w:rsidR="009874A0" w:rsidRDefault="009874A0" w:rsidP="00516910">
      <w:pPr>
        <w:autoSpaceDE w:val="0"/>
        <w:autoSpaceDN w:val="0"/>
        <w:adjustRightInd w:val="0"/>
        <w:spacing w:before="240" w:after="240" w:line="240" w:lineRule="auto"/>
        <w:jc w:val="both"/>
        <w:rPr>
          <w:rFonts w:ascii="ITC Avant Garde" w:hAnsi="ITC Avant Garde"/>
          <w:kern w:val="1"/>
        </w:rPr>
      </w:pPr>
      <w:r w:rsidRPr="008A1002">
        <w:rPr>
          <w:rFonts w:ascii="ITC Avant Garde" w:hAnsi="ITC Avant Garde"/>
          <w:kern w:val="1"/>
        </w:rPr>
        <w:t>Por lo anterior y con fundamento en los artículos 6º y 28, párrafos décimo quinto y décimo sexto de la Const</w:t>
      </w:r>
      <w:r w:rsidR="00CB00CD">
        <w:rPr>
          <w:rFonts w:ascii="ITC Avant Garde" w:hAnsi="ITC Avant Garde"/>
          <w:kern w:val="1"/>
        </w:rPr>
        <w:t>itución; 1, 2, 7, 15 fracciones I</w:t>
      </w:r>
      <w:r w:rsidRPr="008A1002">
        <w:rPr>
          <w:rFonts w:ascii="ITC Avant Garde" w:hAnsi="ITC Avant Garde"/>
          <w:kern w:val="1"/>
        </w:rPr>
        <w:t xml:space="preserve"> y LVI, 17 fracción I</w:t>
      </w:r>
      <w:r w:rsidR="00535C82" w:rsidRPr="008A1002">
        <w:rPr>
          <w:rFonts w:ascii="ITC Avant Garde" w:hAnsi="ITC Avant Garde"/>
          <w:kern w:val="1"/>
        </w:rPr>
        <w:t xml:space="preserve"> y 51</w:t>
      </w:r>
      <w:r w:rsidRPr="008A1002">
        <w:rPr>
          <w:rFonts w:ascii="ITC Avant Garde" w:hAnsi="ITC Avant Garde"/>
          <w:kern w:val="1"/>
        </w:rPr>
        <w:t xml:space="preserve"> de la Ley y 1, 4 fracción I y 6 fracción I del Estatuto Orgánico</w:t>
      </w:r>
      <w:r w:rsidR="00CB00CD">
        <w:rPr>
          <w:rFonts w:ascii="ITC Avant Garde" w:hAnsi="ITC Avant Garde"/>
          <w:kern w:val="1"/>
        </w:rPr>
        <w:t xml:space="preserve"> de</w:t>
      </w:r>
      <w:r w:rsidR="00CB00CD" w:rsidRPr="00CB00CD">
        <w:rPr>
          <w:rFonts w:ascii="ITC Avant Garde" w:hAnsi="ITC Avant Garde"/>
          <w:kern w:val="1"/>
        </w:rPr>
        <w:t>l Instituto Federal de Telecomunicaciones</w:t>
      </w:r>
      <w:r w:rsidRPr="008A1002">
        <w:rPr>
          <w:rFonts w:ascii="ITC Avant Garde" w:hAnsi="ITC Avant Garde"/>
          <w:kern w:val="1"/>
        </w:rPr>
        <w:t xml:space="preserve">, el Pleno del Instituto es competente para emitir el presente Acuerdo y </w:t>
      </w:r>
      <w:r w:rsidR="00CB00CD">
        <w:rPr>
          <w:rFonts w:ascii="ITC Avant Garde" w:hAnsi="ITC Avant Garde"/>
          <w:kern w:val="1"/>
        </w:rPr>
        <w:t xml:space="preserve">modificar </w:t>
      </w:r>
      <w:r w:rsidRPr="008A1002">
        <w:rPr>
          <w:rFonts w:ascii="ITC Avant Garde" w:hAnsi="ITC Avant Garde"/>
          <w:kern w:val="1"/>
        </w:rPr>
        <w:t>los Lineamientos respectivos.</w:t>
      </w:r>
    </w:p>
    <w:p w14:paraId="2FC9E1B6" w14:textId="77777777" w:rsidR="00D0043A" w:rsidRPr="008A1002" w:rsidRDefault="00D0043A" w:rsidP="00516910">
      <w:pPr>
        <w:spacing w:before="240" w:after="240" w:line="240" w:lineRule="auto"/>
        <w:ind w:right="-58"/>
        <w:jc w:val="both"/>
        <w:rPr>
          <w:rFonts w:ascii="ITC Avant Garde" w:hAnsi="ITC Avant Garde"/>
          <w:kern w:val="1"/>
        </w:rPr>
      </w:pPr>
      <w:r w:rsidRPr="008A1002">
        <w:rPr>
          <w:rFonts w:ascii="ITC Avant Garde" w:hAnsi="ITC Avant Garde"/>
          <w:b/>
        </w:rPr>
        <w:t>SEGUNDO.-</w:t>
      </w:r>
      <w:r w:rsidRPr="008A1002">
        <w:rPr>
          <w:rFonts w:ascii="ITC Avant Garde" w:hAnsi="ITC Avant Garde"/>
        </w:rPr>
        <w:t xml:space="preserve"> </w:t>
      </w:r>
      <w:r w:rsidRPr="008A1002">
        <w:rPr>
          <w:rFonts w:ascii="ITC Avant Garde" w:hAnsi="ITC Avant Garde"/>
          <w:kern w:val="1"/>
        </w:rPr>
        <w:t>El artículo 51 de la Ley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p>
    <w:p w14:paraId="5B5407D1" w14:textId="77777777" w:rsidR="00D0043A" w:rsidRPr="008A1002" w:rsidRDefault="00D0043A" w:rsidP="00516910">
      <w:pPr>
        <w:spacing w:before="240" w:after="240" w:line="240" w:lineRule="auto"/>
        <w:ind w:right="-58"/>
        <w:jc w:val="both"/>
        <w:rPr>
          <w:rFonts w:ascii="ITC Avant Garde" w:hAnsi="ITC Avant Garde"/>
          <w:kern w:val="1"/>
        </w:rPr>
      </w:pPr>
      <w:r w:rsidRPr="008A1002">
        <w:rPr>
          <w:rFonts w:ascii="ITC Avant Garde" w:hAnsi="ITC Avant Garde"/>
          <w:kern w:val="1"/>
        </w:rPr>
        <w:t>En este sentido, el Pleno del Instituto estima conveniente someter a consulta pública el proyecto de modificación de los “Lineamientos Generales para el otorgamiento de las concesiones a que se refiere el Título Cuarto de la Ley Federal de Telecomunicaciones y Radiodifusión”</w:t>
      </w:r>
      <w:r>
        <w:rPr>
          <w:rFonts w:ascii="ITC Avant Garde" w:hAnsi="ITC Avant Garde"/>
          <w:kern w:val="1"/>
        </w:rPr>
        <w:t xml:space="preserve"> (“Lineamientos”)</w:t>
      </w:r>
      <w:r w:rsidRPr="008A1002">
        <w:rPr>
          <w:rFonts w:ascii="ITC Avant Garde" w:hAnsi="ITC Avant Garde"/>
          <w:kern w:val="1"/>
        </w:rPr>
        <w:t xml:space="preserve">, mismo que forma parte integral del presente acuerdo. </w:t>
      </w:r>
    </w:p>
    <w:p w14:paraId="7F1B561D" w14:textId="7125A79E" w:rsidR="00D0043A" w:rsidRPr="00B847EB" w:rsidRDefault="00EC0BD1" w:rsidP="00516910">
      <w:pPr>
        <w:spacing w:before="240" w:after="240" w:line="240" w:lineRule="auto"/>
        <w:ind w:right="-58"/>
        <w:jc w:val="both"/>
        <w:rPr>
          <w:rFonts w:ascii="ITC Avant Garde" w:hAnsi="ITC Avant Garde"/>
          <w:kern w:val="1"/>
        </w:rPr>
      </w:pPr>
      <w:r>
        <w:rPr>
          <w:rFonts w:ascii="ITC Avant Garde" w:hAnsi="ITC Avant Garde"/>
          <w:kern w:val="1"/>
        </w:rPr>
        <w:t xml:space="preserve">Dichos Lineamientos corresponden a la </w:t>
      </w:r>
      <w:r w:rsidR="00D0043A" w:rsidRPr="008A1002">
        <w:rPr>
          <w:rFonts w:ascii="ITC Avant Garde" w:hAnsi="ITC Avant Garde"/>
          <w:kern w:val="1"/>
        </w:rPr>
        <w:t xml:space="preserve">disposición administrativa de carácter general </w:t>
      </w:r>
      <w:r>
        <w:rPr>
          <w:rFonts w:ascii="ITC Avant Garde" w:hAnsi="ITC Avant Garde"/>
          <w:kern w:val="1"/>
        </w:rPr>
        <w:t xml:space="preserve">que </w:t>
      </w:r>
      <w:r w:rsidR="00D0043A" w:rsidRPr="008A1002">
        <w:rPr>
          <w:rFonts w:ascii="ITC Avant Garde" w:hAnsi="ITC Avant Garde"/>
          <w:kern w:val="1"/>
        </w:rPr>
        <w:t xml:space="preserve">tiene como objeto: (i) establecer los términos en que deben ser cumplidos los diversos requisitos para obtener una concesión;  (ii) dotar de </w:t>
      </w:r>
      <w:r w:rsidR="00D0043A" w:rsidRPr="00B847EB">
        <w:rPr>
          <w:rFonts w:ascii="ITC Avant Garde" w:hAnsi="ITC Avant Garde"/>
          <w:kern w:val="1"/>
        </w:rPr>
        <w:t xml:space="preserve">certeza jurídica a los interesados respecto de los procesos que se deben seguir para obtener los diferentes tipos de concesiones y (iii) dar cabal cumplimiento a lo establecido en los artículos 67, fracción IV, párrafo tercero, y 85, párrafo tercero de la Ley. </w:t>
      </w:r>
    </w:p>
    <w:p w14:paraId="28806226" w14:textId="77777777" w:rsidR="00D0043A" w:rsidRPr="00B847EB" w:rsidRDefault="00D0043A" w:rsidP="00516910">
      <w:pPr>
        <w:pStyle w:val="Default"/>
        <w:spacing w:before="240" w:after="240"/>
        <w:jc w:val="both"/>
        <w:rPr>
          <w:rFonts w:ascii="ITC Avant Garde" w:hAnsi="ITC Avant Garde" w:cs="Times New Roman"/>
          <w:color w:val="auto"/>
          <w:kern w:val="1"/>
          <w:sz w:val="22"/>
          <w:szCs w:val="22"/>
          <w:lang w:eastAsia="en-US"/>
        </w:rPr>
      </w:pPr>
      <w:r w:rsidRPr="00B847EB">
        <w:rPr>
          <w:rFonts w:ascii="ITC Avant Garde" w:hAnsi="ITC Avant Garde" w:cs="Times New Roman"/>
          <w:color w:val="auto"/>
          <w:kern w:val="1"/>
          <w:sz w:val="22"/>
          <w:szCs w:val="22"/>
          <w:lang w:eastAsia="en-US"/>
        </w:rPr>
        <w:t>Por lo anterior, la modificación a que se refiere el presente Acuerdo debe estar sujeta a un proceso de consulta pública por un periodo razonable a fin de transparentar y promover la participación ciudadana en los procesos de emisión de disposiciones de carácter general que genere el Instituto, a efecto de dar cabal cumplimiento a lo establecido en el dispositivo legal señalado.</w:t>
      </w:r>
    </w:p>
    <w:p w14:paraId="7F73891D" w14:textId="5FBD3969" w:rsidR="00EC0BD1" w:rsidRDefault="00D0043A" w:rsidP="00516910">
      <w:pPr>
        <w:pStyle w:val="Default"/>
        <w:spacing w:before="240" w:after="240"/>
        <w:jc w:val="both"/>
        <w:rPr>
          <w:rFonts w:ascii="ITC Avant Garde" w:hAnsi="ITC Avant Garde" w:cs="Times New Roman"/>
          <w:color w:val="auto"/>
          <w:kern w:val="1"/>
          <w:sz w:val="22"/>
          <w:szCs w:val="22"/>
          <w:lang w:eastAsia="en-US"/>
        </w:rPr>
      </w:pPr>
      <w:r w:rsidRPr="00B847EB">
        <w:rPr>
          <w:rFonts w:ascii="ITC Avant Garde" w:hAnsi="ITC Avant Garde"/>
          <w:sz w:val="22"/>
          <w:szCs w:val="22"/>
        </w:rPr>
        <w:t xml:space="preserve">Finalmente es importante señalar, que los </w:t>
      </w:r>
      <w:r w:rsidRPr="00B847EB">
        <w:rPr>
          <w:rFonts w:ascii="ITC Avant Garde" w:hAnsi="ITC Avant Garde" w:cs="Times New Roman"/>
          <w:color w:val="auto"/>
          <w:kern w:val="1"/>
          <w:sz w:val="22"/>
          <w:szCs w:val="22"/>
          <w:lang w:eastAsia="en-US"/>
        </w:rPr>
        <w:t>Lineamientos previ</w:t>
      </w:r>
      <w:r w:rsidR="000F03AB">
        <w:rPr>
          <w:rFonts w:ascii="ITC Avant Garde" w:hAnsi="ITC Avant Garde" w:cs="Times New Roman"/>
          <w:color w:val="auto"/>
          <w:kern w:val="1"/>
          <w:sz w:val="22"/>
          <w:szCs w:val="22"/>
          <w:lang w:eastAsia="en-US"/>
        </w:rPr>
        <w:t>amente</w:t>
      </w:r>
      <w:r w:rsidRPr="00B847EB">
        <w:rPr>
          <w:rFonts w:ascii="ITC Avant Garde" w:hAnsi="ITC Avant Garde" w:cs="Times New Roman"/>
          <w:color w:val="auto"/>
          <w:kern w:val="1"/>
          <w:sz w:val="22"/>
          <w:szCs w:val="22"/>
          <w:lang w:eastAsia="en-US"/>
        </w:rPr>
        <w:t xml:space="preserve"> a su expedición fueron sometidos tanto a consulta pública como a una consulta indígena, en cumplimiento al artículo 2° de la Constitución y de conformidad con lo dispuesto por el artículo 6° del Convenio número 169 de la Organización Internacional del Trabajo sobre Pueblos Indígenas y Tribales en virtud de que los mismos contienen disposiciones que le son aplicables para aquellos pueblos indígenas que estén interesad</w:t>
      </w:r>
      <w:r w:rsidRPr="008A1002">
        <w:rPr>
          <w:rFonts w:ascii="ITC Avant Garde" w:hAnsi="ITC Avant Garde" w:cs="Times New Roman"/>
          <w:color w:val="auto"/>
          <w:kern w:val="1"/>
          <w:sz w:val="22"/>
          <w:szCs w:val="22"/>
          <w:lang w:eastAsia="en-US"/>
        </w:rPr>
        <w:t xml:space="preserve">os </w:t>
      </w:r>
      <w:r>
        <w:rPr>
          <w:rFonts w:ascii="ITC Avant Garde" w:hAnsi="ITC Avant Garde" w:cs="Times New Roman"/>
          <w:color w:val="auto"/>
          <w:kern w:val="1"/>
          <w:sz w:val="22"/>
          <w:szCs w:val="22"/>
          <w:lang w:eastAsia="en-US"/>
        </w:rPr>
        <w:t>en</w:t>
      </w:r>
      <w:r w:rsidRPr="008A1002">
        <w:rPr>
          <w:rFonts w:ascii="ITC Avant Garde" w:hAnsi="ITC Avant Garde" w:cs="Times New Roman"/>
          <w:color w:val="auto"/>
          <w:kern w:val="1"/>
          <w:sz w:val="22"/>
          <w:szCs w:val="22"/>
          <w:lang w:eastAsia="en-US"/>
        </w:rPr>
        <w:t xml:space="preserve"> obtener concesiones sociales indígenas, sin embargo se considera que no es necesario</w:t>
      </w:r>
      <w:r>
        <w:rPr>
          <w:rFonts w:ascii="ITC Avant Garde" w:hAnsi="ITC Avant Garde" w:cs="Times New Roman"/>
          <w:color w:val="auto"/>
          <w:kern w:val="1"/>
          <w:sz w:val="22"/>
          <w:szCs w:val="22"/>
          <w:lang w:eastAsia="en-US"/>
        </w:rPr>
        <w:t xml:space="preserve"> someter el presente anteproyecto a consulta indígena,</w:t>
      </w:r>
      <w:r w:rsidRPr="008A1002">
        <w:rPr>
          <w:rFonts w:ascii="ITC Avant Garde" w:hAnsi="ITC Avant Garde" w:cs="Times New Roman"/>
          <w:color w:val="auto"/>
          <w:kern w:val="1"/>
          <w:sz w:val="22"/>
          <w:szCs w:val="22"/>
          <w:lang w:eastAsia="en-US"/>
        </w:rPr>
        <w:t xml:space="preserve"> toda vez que</w:t>
      </w:r>
      <w:r w:rsidR="00421EC9">
        <w:rPr>
          <w:rFonts w:ascii="ITC Avant Garde" w:hAnsi="ITC Avant Garde" w:cs="Times New Roman"/>
          <w:color w:val="auto"/>
          <w:kern w:val="1"/>
          <w:sz w:val="22"/>
          <w:szCs w:val="22"/>
          <w:lang w:eastAsia="en-US"/>
        </w:rPr>
        <w:t xml:space="preserve"> la modificación únicamente consiste en dar precisión mediante formatos específicos a los requisitos que le son aplicables a las solicitudes de concesión para uso social, y no se trata de modificaciones para incorporar o modificar los requisitos </w:t>
      </w:r>
      <w:r w:rsidR="00421EC9">
        <w:rPr>
          <w:rFonts w:ascii="ITC Avant Garde" w:hAnsi="ITC Avant Garde" w:cs="Times New Roman"/>
          <w:color w:val="auto"/>
          <w:kern w:val="1"/>
          <w:sz w:val="22"/>
          <w:szCs w:val="22"/>
          <w:lang w:eastAsia="en-US"/>
        </w:rPr>
        <w:lastRenderedPageBreak/>
        <w:t>previamente establecido</w:t>
      </w:r>
      <w:r w:rsidR="00E74A94">
        <w:rPr>
          <w:rFonts w:ascii="ITC Avant Garde" w:hAnsi="ITC Avant Garde" w:cs="Times New Roman"/>
          <w:color w:val="auto"/>
          <w:kern w:val="1"/>
          <w:sz w:val="22"/>
          <w:szCs w:val="22"/>
          <w:lang w:eastAsia="en-US"/>
        </w:rPr>
        <w:t>s, por lo tanto no representa obligaciones adicionales para los regulados.</w:t>
      </w:r>
    </w:p>
    <w:p w14:paraId="220D9140" w14:textId="68DB5B5E" w:rsidR="009874A0" w:rsidRPr="008A1002" w:rsidRDefault="00D0043A" w:rsidP="00516910">
      <w:pPr>
        <w:spacing w:before="240" w:after="240" w:line="240" w:lineRule="auto"/>
        <w:ind w:right="-58"/>
        <w:jc w:val="both"/>
        <w:rPr>
          <w:rFonts w:ascii="ITC Avant Garde" w:hAnsi="ITC Avant Garde"/>
        </w:rPr>
      </w:pPr>
      <w:r>
        <w:rPr>
          <w:rFonts w:ascii="ITC Avant Garde" w:hAnsi="ITC Avant Garde"/>
          <w:b/>
        </w:rPr>
        <w:t>TERCERO</w:t>
      </w:r>
      <w:r w:rsidR="009874A0" w:rsidRPr="008A1002">
        <w:rPr>
          <w:rFonts w:ascii="ITC Avant Garde" w:hAnsi="ITC Avant Garde"/>
          <w:b/>
        </w:rPr>
        <w:t>.-</w:t>
      </w:r>
      <w:r w:rsidR="002A2879" w:rsidRPr="008A1002">
        <w:rPr>
          <w:rFonts w:ascii="ITC Avant Garde" w:hAnsi="ITC Avant Garde"/>
        </w:rPr>
        <w:t xml:space="preserve"> </w:t>
      </w:r>
      <w:r w:rsidR="009874A0" w:rsidRPr="008A1002">
        <w:rPr>
          <w:rFonts w:ascii="ITC Avant Garde" w:hAnsi="ITC Avant Garde"/>
        </w:rPr>
        <w:t xml:space="preserve">La Ley establece en su Título Cuarto el régimen relativo a las concesiones en materia de telecomunicaciones y radiodifusión, dentro del cual se prevén la concesión única y la concesión sobre espectro radioeléctrico y recursos orbitales, así como los diferentes usos de las mismas, es decir, comercial, público, privado y social, conteniendo este último las concesiones comunitarias e indígenas. </w:t>
      </w:r>
    </w:p>
    <w:p w14:paraId="338C4E3D" w14:textId="30C550CD" w:rsidR="009874A0" w:rsidRPr="008A1002" w:rsidRDefault="009874A0" w:rsidP="00516910">
      <w:pPr>
        <w:pStyle w:val="Default"/>
        <w:spacing w:before="240" w:after="240"/>
        <w:jc w:val="both"/>
        <w:rPr>
          <w:rFonts w:ascii="ITC Avant Garde" w:hAnsi="ITC Avant Garde"/>
          <w:sz w:val="22"/>
          <w:szCs w:val="22"/>
        </w:rPr>
      </w:pPr>
      <w:r w:rsidRPr="008A1002">
        <w:rPr>
          <w:rFonts w:ascii="ITC Avant Garde" w:hAnsi="ITC Avant Garde"/>
          <w:sz w:val="22"/>
          <w:szCs w:val="22"/>
        </w:rPr>
        <w:t>En este sentido, si bien la Ley establece de manera general los requisitos que deben cumplir los interesados en obtener concesión única, o en su caso, concesiones sobre espectro radioeléctrico</w:t>
      </w:r>
      <w:r w:rsidR="00516910">
        <w:rPr>
          <w:rFonts w:ascii="ITC Avant Garde" w:hAnsi="ITC Avant Garde"/>
          <w:sz w:val="22"/>
          <w:szCs w:val="22"/>
        </w:rPr>
        <w:t xml:space="preserve"> o recursos orbitales; resultó </w:t>
      </w:r>
      <w:r w:rsidRPr="008A1002">
        <w:rPr>
          <w:rFonts w:ascii="ITC Avant Garde" w:hAnsi="ITC Avant Garde"/>
          <w:sz w:val="22"/>
          <w:szCs w:val="22"/>
        </w:rPr>
        <w:t>necesario establecer de manera clara y precisa los términos en que deben acreditarse</w:t>
      </w:r>
      <w:r w:rsidR="00A064C7" w:rsidRPr="008A1002">
        <w:rPr>
          <w:rFonts w:ascii="ITC Avant Garde" w:hAnsi="ITC Avant Garde"/>
          <w:sz w:val="22"/>
          <w:szCs w:val="22"/>
        </w:rPr>
        <w:t xml:space="preserve"> dichos requisitos</w:t>
      </w:r>
      <w:r w:rsidRPr="008A1002">
        <w:rPr>
          <w:rFonts w:ascii="ITC Avant Garde" w:hAnsi="ITC Avant Garde"/>
          <w:sz w:val="22"/>
          <w:szCs w:val="22"/>
        </w:rPr>
        <w:t>, así como los procesos que se deben seguir para obtener cada una de las concesiones.</w:t>
      </w:r>
      <w:r w:rsidR="00F85FED">
        <w:rPr>
          <w:rFonts w:ascii="ITC Avant Garde" w:hAnsi="ITC Avant Garde"/>
          <w:sz w:val="22"/>
          <w:szCs w:val="22"/>
        </w:rPr>
        <w:t xml:space="preserve"> Para ello, fueron emitidos los Lineamientos </w:t>
      </w:r>
      <w:r w:rsidR="00677E03" w:rsidRPr="00677E03">
        <w:rPr>
          <w:rFonts w:ascii="ITC Avant Garde" w:hAnsi="ITC Avant Garde"/>
          <w:sz w:val="22"/>
          <w:szCs w:val="22"/>
        </w:rPr>
        <w:t>generales para el otorgamiento de las concesiones a que se refiere el Título Cuarto de la Ley Federal de Telecomunicaciones y Radiodifusión</w:t>
      </w:r>
      <w:r w:rsidR="00677E03">
        <w:rPr>
          <w:rFonts w:ascii="ITC Avant Garde" w:hAnsi="ITC Avant Garde"/>
          <w:sz w:val="22"/>
          <w:szCs w:val="22"/>
        </w:rPr>
        <w:t xml:space="preserve"> referidos en el numeral 3 de los Antecedentes del presente Acuerdo (en lo sucesivo</w:t>
      </w:r>
      <w:r w:rsidR="00D0043A">
        <w:rPr>
          <w:rFonts w:ascii="ITC Avant Garde" w:hAnsi="ITC Avant Garde"/>
          <w:sz w:val="22"/>
          <w:szCs w:val="22"/>
        </w:rPr>
        <w:t>, los “Lineamientos”).</w:t>
      </w:r>
    </w:p>
    <w:p w14:paraId="48593C1D" w14:textId="14B0C2D3" w:rsidR="00EA68DE" w:rsidRDefault="00677E03" w:rsidP="00516910">
      <w:pPr>
        <w:pStyle w:val="Default"/>
        <w:spacing w:before="240" w:after="240"/>
        <w:jc w:val="both"/>
        <w:rPr>
          <w:rFonts w:ascii="ITC Avant Garde" w:hAnsi="ITC Avant Garde"/>
          <w:sz w:val="22"/>
          <w:szCs w:val="22"/>
        </w:rPr>
      </w:pPr>
      <w:r>
        <w:rPr>
          <w:rFonts w:ascii="ITC Avant Garde" w:hAnsi="ITC Avant Garde"/>
          <w:sz w:val="22"/>
          <w:szCs w:val="22"/>
        </w:rPr>
        <w:t>D</w:t>
      </w:r>
      <w:r w:rsidR="00A064C7" w:rsidRPr="008A1002">
        <w:rPr>
          <w:rFonts w:ascii="ITC Avant Garde" w:hAnsi="ITC Avant Garde"/>
          <w:sz w:val="22"/>
          <w:szCs w:val="22"/>
        </w:rPr>
        <w:t>erivado de</w:t>
      </w:r>
      <w:r w:rsidR="00537BB6">
        <w:rPr>
          <w:rFonts w:ascii="ITC Avant Garde" w:hAnsi="ITC Avant Garde"/>
          <w:sz w:val="22"/>
          <w:szCs w:val="22"/>
        </w:rPr>
        <w:t xml:space="preserve"> </w:t>
      </w:r>
      <w:r w:rsidR="00516910">
        <w:rPr>
          <w:rFonts w:ascii="ITC Avant Garde" w:hAnsi="ITC Avant Garde"/>
          <w:sz w:val="22"/>
          <w:szCs w:val="22"/>
        </w:rPr>
        <w:t>la aplicación de los Lineamientos y de</w:t>
      </w:r>
      <w:r w:rsidR="00A064C7" w:rsidRPr="008A1002">
        <w:rPr>
          <w:rFonts w:ascii="ITC Avant Garde" w:hAnsi="ITC Avant Garde"/>
          <w:sz w:val="22"/>
          <w:szCs w:val="22"/>
        </w:rPr>
        <w:t xml:space="preserve">l procesamiento de diversas solicitudes se considera necesario modificar los Lineamientos </w:t>
      </w:r>
      <w:r w:rsidR="009E1D62" w:rsidRPr="008A1002">
        <w:rPr>
          <w:rFonts w:ascii="ITC Avant Garde" w:hAnsi="ITC Avant Garde"/>
          <w:sz w:val="22"/>
          <w:szCs w:val="22"/>
        </w:rPr>
        <w:t xml:space="preserve">a efecto de </w:t>
      </w:r>
      <w:r w:rsidR="00EA68DE">
        <w:rPr>
          <w:rFonts w:ascii="ITC Avant Garde" w:hAnsi="ITC Avant Garde"/>
          <w:sz w:val="22"/>
          <w:szCs w:val="22"/>
        </w:rPr>
        <w:t>simplificar el requisitado del formato aplicable a la solicitud de concesión para uso social, el cual refería al cumplimiento de</w:t>
      </w:r>
      <w:r w:rsidR="000E373D">
        <w:rPr>
          <w:rFonts w:ascii="ITC Avant Garde" w:hAnsi="ITC Avant Garde"/>
          <w:sz w:val="22"/>
          <w:szCs w:val="22"/>
        </w:rPr>
        <w:t xml:space="preserve"> </w:t>
      </w:r>
      <w:r w:rsidR="00EA68DE">
        <w:rPr>
          <w:rFonts w:ascii="ITC Avant Garde" w:hAnsi="ITC Avant Garde"/>
          <w:sz w:val="22"/>
          <w:szCs w:val="22"/>
        </w:rPr>
        <w:t xml:space="preserve">ciertos requisitos </w:t>
      </w:r>
      <w:r w:rsidR="00463C7B">
        <w:rPr>
          <w:rFonts w:ascii="ITC Avant Garde" w:hAnsi="ITC Avant Garde"/>
          <w:sz w:val="22"/>
          <w:szCs w:val="22"/>
        </w:rPr>
        <w:t>dependiendo de la modalidad</w:t>
      </w:r>
      <w:r w:rsidR="00EA68DE">
        <w:rPr>
          <w:rFonts w:ascii="ITC Avant Garde" w:hAnsi="ITC Avant Garde"/>
          <w:sz w:val="22"/>
          <w:szCs w:val="22"/>
        </w:rPr>
        <w:t xml:space="preserve"> de concesi</w:t>
      </w:r>
      <w:r w:rsidR="00463C7B">
        <w:rPr>
          <w:rFonts w:ascii="ITC Avant Garde" w:hAnsi="ITC Avant Garde"/>
          <w:sz w:val="22"/>
          <w:szCs w:val="22"/>
        </w:rPr>
        <w:t>ón solicitada</w:t>
      </w:r>
      <w:r w:rsidR="00EA68DE">
        <w:rPr>
          <w:rFonts w:ascii="ITC Avant Garde" w:hAnsi="ITC Avant Garde"/>
          <w:sz w:val="22"/>
          <w:szCs w:val="22"/>
        </w:rPr>
        <w:t xml:space="preserve">, esto es para </w:t>
      </w:r>
      <w:r w:rsidR="00463C7B">
        <w:rPr>
          <w:rFonts w:ascii="ITC Avant Garde" w:hAnsi="ITC Avant Garde"/>
          <w:sz w:val="22"/>
          <w:szCs w:val="22"/>
        </w:rPr>
        <w:t>uso social, uso social comunitaria o</w:t>
      </w:r>
      <w:r w:rsidR="00EA68DE">
        <w:rPr>
          <w:rFonts w:ascii="ITC Avant Garde" w:hAnsi="ITC Avant Garde"/>
          <w:sz w:val="22"/>
          <w:szCs w:val="22"/>
        </w:rPr>
        <w:t xml:space="preserve"> uso social indígena, lo cual se </w:t>
      </w:r>
      <w:r w:rsidR="00463C7B">
        <w:rPr>
          <w:rFonts w:ascii="ITC Avant Garde" w:hAnsi="ITC Avant Garde"/>
          <w:sz w:val="22"/>
          <w:szCs w:val="22"/>
        </w:rPr>
        <w:t xml:space="preserve">pretende </w:t>
      </w:r>
      <w:r w:rsidR="00EA68DE">
        <w:rPr>
          <w:rFonts w:ascii="ITC Avant Garde" w:hAnsi="ITC Avant Garde"/>
          <w:sz w:val="22"/>
          <w:szCs w:val="22"/>
        </w:rPr>
        <w:t>simplifica</w:t>
      </w:r>
      <w:r w:rsidR="00463C7B">
        <w:rPr>
          <w:rFonts w:ascii="ITC Avant Garde" w:hAnsi="ITC Avant Garde"/>
          <w:sz w:val="22"/>
          <w:szCs w:val="22"/>
        </w:rPr>
        <w:t>r</w:t>
      </w:r>
      <w:r w:rsidR="00EA68DE">
        <w:rPr>
          <w:rFonts w:ascii="ITC Avant Garde" w:hAnsi="ITC Avant Garde"/>
          <w:sz w:val="22"/>
          <w:szCs w:val="22"/>
        </w:rPr>
        <w:t xml:space="preserve"> con la </w:t>
      </w:r>
      <w:r w:rsidR="00712DFA">
        <w:rPr>
          <w:rFonts w:ascii="ITC Avant Garde" w:hAnsi="ITC Avant Garde"/>
          <w:sz w:val="22"/>
          <w:szCs w:val="22"/>
        </w:rPr>
        <w:t>desagregación del formato en tres diversos</w:t>
      </w:r>
      <w:r w:rsidR="00463C7B">
        <w:rPr>
          <w:rFonts w:ascii="ITC Avant Garde" w:hAnsi="ITC Avant Garde"/>
          <w:sz w:val="22"/>
          <w:szCs w:val="22"/>
        </w:rPr>
        <w:t>.</w:t>
      </w:r>
    </w:p>
    <w:p w14:paraId="5C023A01" w14:textId="4CD227BD" w:rsidR="009874A0" w:rsidRPr="008A1002" w:rsidRDefault="009874A0" w:rsidP="00516910">
      <w:pPr>
        <w:pStyle w:val="Default"/>
        <w:spacing w:before="240" w:after="240"/>
        <w:jc w:val="both"/>
        <w:rPr>
          <w:rFonts w:ascii="ITC Avant Garde" w:hAnsi="ITC Avant Garde"/>
          <w:sz w:val="22"/>
          <w:szCs w:val="22"/>
        </w:rPr>
      </w:pPr>
      <w:r w:rsidRPr="008A1002">
        <w:rPr>
          <w:rFonts w:ascii="ITC Avant Garde" w:hAnsi="ITC Avant Garde"/>
          <w:sz w:val="22"/>
          <w:szCs w:val="22"/>
        </w:rPr>
        <w:t xml:space="preserve">En virtud de lo anterior, y con fundamento en </w:t>
      </w:r>
      <w:r w:rsidR="00415B1E">
        <w:rPr>
          <w:rFonts w:ascii="ITC Avant Garde" w:hAnsi="ITC Avant Garde"/>
          <w:sz w:val="22"/>
          <w:szCs w:val="22"/>
        </w:rPr>
        <w:t>los</w:t>
      </w:r>
      <w:r w:rsidRPr="008A1002">
        <w:rPr>
          <w:rFonts w:ascii="ITC Avant Garde" w:hAnsi="ITC Avant Garde"/>
          <w:sz w:val="22"/>
          <w:szCs w:val="22"/>
        </w:rPr>
        <w:t xml:space="preserve"> artículo</w:t>
      </w:r>
      <w:r w:rsidR="00415B1E">
        <w:rPr>
          <w:rFonts w:ascii="ITC Avant Garde" w:hAnsi="ITC Avant Garde"/>
          <w:sz w:val="22"/>
          <w:szCs w:val="22"/>
        </w:rPr>
        <w:t>s</w:t>
      </w:r>
      <w:r w:rsidRPr="008A1002">
        <w:rPr>
          <w:rFonts w:ascii="ITC Avant Garde" w:hAnsi="ITC Avant Garde"/>
          <w:sz w:val="22"/>
          <w:szCs w:val="22"/>
        </w:rPr>
        <w:t xml:space="preserve"> 15 fracción I </w:t>
      </w:r>
      <w:r w:rsidR="00E16335" w:rsidRPr="008A1002">
        <w:rPr>
          <w:rFonts w:ascii="ITC Avant Garde" w:hAnsi="ITC Avant Garde"/>
          <w:sz w:val="22"/>
          <w:szCs w:val="22"/>
        </w:rPr>
        <w:t xml:space="preserve">y 51 </w:t>
      </w:r>
      <w:r w:rsidRPr="008A1002">
        <w:rPr>
          <w:rFonts w:ascii="ITC Avant Garde" w:hAnsi="ITC Avant Garde"/>
          <w:sz w:val="22"/>
          <w:szCs w:val="22"/>
        </w:rPr>
        <w:t xml:space="preserve">de la Ley, el Instituto considera necesaria la </w:t>
      </w:r>
      <w:r w:rsidR="001E5E8A" w:rsidRPr="008A1002">
        <w:rPr>
          <w:rFonts w:ascii="ITC Avant Garde" w:hAnsi="ITC Avant Garde"/>
          <w:sz w:val="22"/>
          <w:szCs w:val="22"/>
        </w:rPr>
        <w:t>modificación</w:t>
      </w:r>
      <w:r w:rsidRPr="008A1002">
        <w:rPr>
          <w:rFonts w:ascii="ITC Avant Garde" w:hAnsi="ITC Avant Garde"/>
          <w:sz w:val="22"/>
          <w:szCs w:val="22"/>
        </w:rPr>
        <w:t xml:space="preserve"> de los Lineamientos </w:t>
      </w:r>
      <w:r w:rsidR="001E5E8A" w:rsidRPr="008A1002">
        <w:rPr>
          <w:rFonts w:ascii="ITC Avant Garde" w:hAnsi="ITC Avant Garde"/>
          <w:sz w:val="22"/>
          <w:szCs w:val="22"/>
        </w:rPr>
        <w:t>en su</w:t>
      </w:r>
      <w:r w:rsidR="00463C7B">
        <w:rPr>
          <w:rFonts w:ascii="ITC Avant Garde" w:hAnsi="ITC Avant Garde"/>
          <w:sz w:val="22"/>
          <w:szCs w:val="22"/>
        </w:rPr>
        <w:t>s</w:t>
      </w:r>
      <w:r w:rsidR="001E5E8A" w:rsidRPr="008A1002">
        <w:rPr>
          <w:rFonts w:ascii="ITC Avant Garde" w:hAnsi="ITC Avant Garde"/>
          <w:sz w:val="22"/>
          <w:szCs w:val="22"/>
        </w:rPr>
        <w:t xml:space="preserve"> artículo</w:t>
      </w:r>
      <w:r w:rsidR="00463C7B">
        <w:rPr>
          <w:rFonts w:ascii="ITC Avant Garde" w:hAnsi="ITC Avant Garde"/>
          <w:sz w:val="22"/>
          <w:szCs w:val="22"/>
        </w:rPr>
        <w:t>s 3 y</w:t>
      </w:r>
      <w:r w:rsidR="001E5E8A" w:rsidRPr="008A1002">
        <w:rPr>
          <w:rFonts w:ascii="ITC Avant Garde" w:hAnsi="ITC Avant Garde"/>
          <w:sz w:val="22"/>
          <w:szCs w:val="22"/>
        </w:rPr>
        <w:t xml:space="preserve"> 8</w:t>
      </w:r>
      <w:r w:rsidRPr="008A1002">
        <w:rPr>
          <w:rFonts w:ascii="ITC Avant Garde" w:hAnsi="ITC Avant Garde"/>
          <w:sz w:val="22"/>
          <w:szCs w:val="22"/>
        </w:rPr>
        <w:t xml:space="preserve">, </w:t>
      </w:r>
      <w:r w:rsidR="00463C7B">
        <w:rPr>
          <w:rFonts w:ascii="ITC Avant Garde" w:hAnsi="ITC Avant Garde"/>
          <w:sz w:val="22"/>
          <w:szCs w:val="22"/>
        </w:rPr>
        <w:t>c</w:t>
      </w:r>
      <w:r w:rsidRPr="008A1002">
        <w:rPr>
          <w:rFonts w:ascii="ITC Avant Garde" w:hAnsi="ITC Avant Garde"/>
          <w:sz w:val="22"/>
          <w:szCs w:val="22"/>
        </w:rPr>
        <w:t>on la finalidad de precisar</w:t>
      </w:r>
      <w:r w:rsidR="00463C7B">
        <w:rPr>
          <w:rFonts w:ascii="ITC Avant Garde" w:hAnsi="ITC Avant Garde"/>
          <w:sz w:val="22"/>
          <w:szCs w:val="22"/>
        </w:rPr>
        <w:t xml:space="preserve"> las referencias a los formatos que deberán requisitar en las solicitudes de concesión única para uso social, uso social comunitaria y uso social indígena, así como en las solicitudes de concesiones de espectro radioeléctrico</w:t>
      </w:r>
      <w:r w:rsidR="00B847EB">
        <w:rPr>
          <w:rFonts w:ascii="ITC Avant Garde" w:hAnsi="ITC Avant Garde"/>
          <w:sz w:val="22"/>
          <w:szCs w:val="22"/>
        </w:rPr>
        <w:t xml:space="preserve"> para uso social, uso social comunitaria y uso social indígena</w:t>
      </w:r>
      <w:r w:rsidR="000F03AB">
        <w:rPr>
          <w:rFonts w:ascii="ITC Avant Garde" w:hAnsi="ITC Avant Garde"/>
          <w:sz w:val="22"/>
          <w:szCs w:val="22"/>
        </w:rPr>
        <w:t xml:space="preserve"> (Anexo 1)</w:t>
      </w:r>
      <w:r w:rsidR="00B847EB">
        <w:rPr>
          <w:rFonts w:ascii="ITC Avant Garde" w:hAnsi="ITC Avant Garde"/>
          <w:sz w:val="22"/>
          <w:szCs w:val="22"/>
        </w:rPr>
        <w:t xml:space="preserve">, </w:t>
      </w:r>
      <w:r w:rsidR="00E16335" w:rsidRPr="008A1002">
        <w:rPr>
          <w:rFonts w:ascii="ITC Avant Garde" w:hAnsi="ITC Avant Garde"/>
          <w:sz w:val="22"/>
          <w:szCs w:val="22"/>
        </w:rPr>
        <w:t>y por lo tanto, someter la modificación correspondiente a consulta pública</w:t>
      </w:r>
      <w:r w:rsidR="001E5E8A" w:rsidRPr="008A1002">
        <w:rPr>
          <w:rFonts w:ascii="ITC Avant Garde" w:hAnsi="ITC Avant Garde"/>
          <w:sz w:val="22"/>
          <w:szCs w:val="22"/>
        </w:rPr>
        <w:t>.</w:t>
      </w:r>
    </w:p>
    <w:p w14:paraId="0941B9D2" w14:textId="12258E9A" w:rsidR="00CB00CD" w:rsidRPr="00516910" w:rsidRDefault="00CB00CD" w:rsidP="004029FB">
      <w:pPr>
        <w:autoSpaceDE w:val="0"/>
        <w:autoSpaceDN w:val="0"/>
        <w:adjustRightInd w:val="0"/>
        <w:spacing w:after="0" w:line="240" w:lineRule="auto"/>
        <w:jc w:val="both"/>
        <w:rPr>
          <w:rFonts w:ascii="ITC Avant Garde" w:hAnsi="ITC Avant Garde"/>
          <w:color w:val="000000"/>
        </w:rPr>
      </w:pPr>
      <w:r w:rsidRPr="0006114D">
        <w:rPr>
          <w:rFonts w:ascii="ITC Avant Garde" w:hAnsi="ITC Avant Garde"/>
        </w:rPr>
        <w:t xml:space="preserve">Por las razones antes expuestas, con fundamento en lo dispuesto por los </w:t>
      </w:r>
      <w:r w:rsidRPr="0006114D">
        <w:rPr>
          <w:rFonts w:ascii="ITC Avant Garde" w:hAnsi="ITC Avant Garde"/>
          <w:kern w:val="1"/>
        </w:rPr>
        <w:t xml:space="preserve">artículos 6º y 28, </w:t>
      </w:r>
      <w:r w:rsidRPr="00516910">
        <w:rPr>
          <w:rFonts w:ascii="ITC Avant Garde" w:hAnsi="ITC Avant Garde"/>
          <w:kern w:val="1"/>
        </w:rPr>
        <w:t>párrafo décimo quinto de la Constitución Política de los Estados Unidos Mexicanos; Cuarto Transitorio del Decreto por el que se reforman y adicionan diversas disposiciones de los artículos 6o., 7o., 27, 28, 73, 78, 94 y 105 de la Constitución Política de los Estados Unidos Mexicanos, en materia de telecomunicaciones;</w:t>
      </w:r>
      <w:r w:rsidRPr="00516910">
        <w:rPr>
          <w:rFonts w:ascii="ITC Avant Garde" w:hAnsi="ITC Avant Garde"/>
          <w:kern w:val="2"/>
          <w:lang w:val="es-ES"/>
        </w:rPr>
        <w:t xml:space="preserve"> 1, 2, 7, 15, fracciones I y LVI, 17</w:t>
      </w:r>
      <w:r w:rsidR="00B847EB" w:rsidRPr="00516910">
        <w:rPr>
          <w:rFonts w:ascii="ITC Avant Garde" w:hAnsi="ITC Avant Garde"/>
          <w:kern w:val="2"/>
          <w:lang w:val="es-ES"/>
        </w:rPr>
        <w:t xml:space="preserve"> fracción I y 51 </w:t>
      </w:r>
      <w:r w:rsidRPr="00516910">
        <w:rPr>
          <w:rFonts w:ascii="ITC Avant Garde" w:hAnsi="ITC Avant Garde"/>
          <w:kern w:val="2"/>
          <w:lang w:val="es-ES"/>
        </w:rPr>
        <w:t>de la Ley Federal de Telecomunicaciones y Radiodifusión;</w:t>
      </w:r>
      <w:r w:rsidRPr="00516910">
        <w:rPr>
          <w:rFonts w:ascii="ITC Avant Garde" w:hAnsi="ITC Avant Garde"/>
        </w:rPr>
        <w:t xml:space="preserve"> y </w:t>
      </w:r>
      <w:r w:rsidRPr="00516910">
        <w:rPr>
          <w:rFonts w:ascii="ITC Avant Garde" w:hAnsi="ITC Avant Garde"/>
          <w:kern w:val="1"/>
        </w:rPr>
        <w:t>1, 4, fracción I y 6, fracciones I y XXXVI</w:t>
      </w:r>
      <w:r w:rsidR="00363D85">
        <w:rPr>
          <w:rFonts w:ascii="ITC Avant Garde" w:hAnsi="ITC Avant Garde"/>
          <w:kern w:val="1"/>
        </w:rPr>
        <w:t>I</w:t>
      </w:r>
      <w:r w:rsidRPr="00516910">
        <w:rPr>
          <w:rFonts w:ascii="ITC Avant Garde" w:hAnsi="ITC Avant Garde"/>
          <w:kern w:val="1"/>
        </w:rPr>
        <w:t>I</w:t>
      </w:r>
      <w:r w:rsidRPr="00516910">
        <w:rPr>
          <w:rFonts w:ascii="ITC Avant Garde" w:hAnsi="ITC Avant Garde"/>
        </w:rPr>
        <w:t xml:space="preserve"> del Estatuto Orgánico del Instituto Federal de Telecomunicaciones, </w:t>
      </w:r>
      <w:r w:rsidRPr="00516910">
        <w:rPr>
          <w:rFonts w:ascii="ITC Avant Garde" w:hAnsi="ITC Avant Garde"/>
          <w:color w:val="000000"/>
        </w:rPr>
        <w:t>se expide el siguiente:</w:t>
      </w:r>
    </w:p>
    <w:p w14:paraId="58BE9CC6" w14:textId="19A4E981" w:rsidR="009874A0" w:rsidRPr="003B79B7" w:rsidRDefault="009874A0" w:rsidP="003B79B7">
      <w:pPr>
        <w:pStyle w:val="Ttulo2"/>
        <w:spacing w:after="240"/>
        <w:jc w:val="center"/>
        <w:rPr>
          <w:rFonts w:ascii="ITC Avant Garde" w:hAnsi="ITC Avant Garde"/>
          <w:b/>
          <w:color w:val="000000" w:themeColor="text1"/>
          <w:sz w:val="22"/>
          <w:szCs w:val="22"/>
        </w:rPr>
      </w:pPr>
      <w:r w:rsidRPr="003B79B7">
        <w:rPr>
          <w:rFonts w:ascii="ITC Avant Garde" w:hAnsi="ITC Avant Garde"/>
          <w:b/>
          <w:color w:val="000000" w:themeColor="text1"/>
          <w:sz w:val="22"/>
          <w:szCs w:val="22"/>
        </w:rPr>
        <w:t>ACUERDO</w:t>
      </w:r>
    </w:p>
    <w:p w14:paraId="13716CC7" w14:textId="6D7239B2" w:rsidR="009874A0" w:rsidRPr="00516910" w:rsidRDefault="009874A0" w:rsidP="00516910">
      <w:pPr>
        <w:autoSpaceDE w:val="0"/>
        <w:autoSpaceDN w:val="0"/>
        <w:adjustRightInd w:val="0"/>
        <w:spacing w:before="240" w:after="240" w:line="240" w:lineRule="auto"/>
        <w:jc w:val="both"/>
        <w:rPr>
          <w:rFonts w:ascii="ITC Avant Garde" w:hAnsi="ITC Avant Garde"/>
          <w:color w:val="000000"/>
        </w:rPr>
      </w:pPr>
      <w:r w:rsidRPr="00516910">
        <w:rPr>
          <w:rFonts w:ascii="ITC Avant Garde" w:hAnsi="ITC Avant Garde"/>
          <w:b/>
          <w:color w:val="000000"/>
        </w:rPr>
        <w:t xml:space="preserve">PRIMERO.- </w:t>
      </w:r>
      <w:r w:rsidR="008A1002" w:rsidRPr="00516910">
        <w:rPr>
          <w:rFonts w:ascii="ITC Avant Garde" w:hAnsi="ITC Avant Garde"/>
          <w:color w:val="000000"/>
        </w:rPr>
        <w:t xml:space="preserve">Se </w:t>
      </w:r>
      <w:r w:rsidR="00363D85">
        <w:rPr>
          <w:rFonts w:ascii="ITC Avant Garde" w:hAnsi="ITC Avant Garde"/>
          <w:color w:val="000000"/>
        </w:rPr>
        <w:t xml:space="preserve">determina </w:t>
      </w:r>
      <w:r w:rsidR="008A1002" w:rsidRPr="00516910">
        <w:rPr>
          <w:rFonts w:ascii="ITC Avant Garde" w:hAnsi="ITC Avant Garde"/>
          <w:color w:val="000000"/>
        </w:rPr>
        <w:t>somete</w:t>
      </w:r>
      <w:r w:rsidR="00363D85">
        <w:rPr>
          <w:rFonts w:ascii="ITC Avant Garde" w:hAnsi="ITC Avant Garde"/>
          <w:color w:val="000000"/>
        </w:rPr>
        <w:t>r</w:t>
      </w:r>
      <w:r w:rsidR="008A1002" w:rsidRPr="00516910">
        <w:rPr>
          <w:rFonts w:ascii="ITC Avant Garde" w:hAnsi="ITC Avant Garde"/>
          <w:color w:val="000000"/>
        </w:rPr>
        <w:t xml:space="preserve"> a consulta pública, por un plazo de </w:t>
      </w:r>
      <w:r w:rsidR="00627FA9">
        <w:rPr>
          <w:rFonts w:ascii="ITC Avant Garde" w:hAnsi="ITC Avant Garde"/>
          <w:color w:val="000000"/>
        </w:rPr>
        <w:t>20</w:t>
      </w:r>
      <w:r w:rsidR="000F03AB" w:rsidRPr="00516910">
        <w:rPr>
          <w:rFonts w:ascii="ITC Avant Garde" w:hAnsi="ITC Avant Garde"/>
          <w:color w:val="000000"/>
        </w:rPr>
        <w:t xml:space="preserve"> </w:t>
      </w:r>
      <w:r w:rsidR="008A1002" w:rsidRPr="00516910">
        <w:rPr>
          <w:rFonts w:ascii="ITC Avant Garde" w:hAnsi="ITC Avant Garde"/>
          <w:color w:val="000000"/>
        </w:rPr>
        <w:t>(</w:t>
      </w:r>
      <w:r w:rsidR="00627FA9">
        <w:rPr>
          <w:rFonts w:ascii="ITC Avant Garde" w:hAnsi="ITC Avant Garde"/>
          <w:color w:val="000000"/>
        </w:rPr>
        <w:t>veinte</w:t>
      </w:r>
      <w:r w:rsidR="008A1002" w:rsidRPr="00516910">
        <w:rPr>
          <w:rFonts w:ascii="ITC Avant Garde" w:hAnsi="ITC Avant Garde"/>
          <w:color w:val="000000"/>
        </w:rPr>
        <w:t>) días hábiles contados a partir del día hábil siguiente al de su publicación en el portal de Internet del Instituto Federal de Telecomunicaciones</w:t>
      </w:r>
      <w:r w:rsidR="002C523E" w:rsidRPr="00516910">
        <w:rPr>
          <w:rFonts w:ascii="ITC Avant Garde" w:hAnsi="ITC Avant Garde"/>
          <w:color w:val="000000"/>
        </w:rPr>
        <w:t>,</w:t>
      </w:r>
      <w:r w:rsidR="008A1002" w:rsidRPr="00516910">
        <w:rPr>
          <w:rFonts w:ascii="ITC Avant Garde" w:hAnsi="ITC Avant Garde"/>
          <w:color w:val="000000"/>
        </w:rPr>
        <w:t xml:space="preserve"> el </w:t>
      </w:r>
      <w:r w:rsidR="00172846" w:rsidRPr="00516910">
        <w:rPr>
          <w:rFonts w:ascii="ITC Avant Garde" w:hAnsi="ITC Avant Garde"/>
          <w:i/>
          <w:color w:val="000000"/>
        </w:rPr>
        <w:t>A</w:t>
      </w:r>
      <w:r w:rsidR="008A1002" w:rsidRPr="00516910">
        <w:rPr>
          <w:rFonts w:ascii="ITC Avant Garde" w:hAnsi="ITC Avant Garde"/>
          <w:i/>
          <w:color w:val="000000"/>
        </w:rPr>
        <w:t xml:space="preserve">nteproyecto de </w:t>
      </w:r>
      <w:r w:rsidR="00963906" w:rsidRPr="00516910">
        <w:rPr>
          <w:rFonts w:ascii="ITC Avant Garde" w:hAnsi="ITC Avant Garde"/>
          <w:i/>
          <w:color w:val="000000"/>
        </w:rPr>
        <w:t>a</w:t>
      </w:r>
      <w:r w:rsidR="00172846" w:rsidRPr="00516910">
        <w:rPr>
          <w:rFonts w:ascii="ITC Avant Garde" w:hAnsi="ITC Avant Garde"/>
          <w:i/>
          <w:color w:val="000000"/>
        </w:rPr>
        <w:t>cuerdo mediante el cual se modifica</w:t>
      </w:r>
      <w:r w:rsidR="00B847EB" w:rsidRPr="00516910">
        <w:rPr>
          <w:rFonts w:ascii="ITC Avant Garde" w:hAnsi="ITC Avant Garde"/>
          <w:i/>
          <w:color w:val="000000"/>
        </w:rPr>
        <w:t>n los artículos 3 y</w:t>
      </w:r>
      <w:r w:rsidR="00CB00CD" w:rsidRPr="00516910">
        <w:rPr>
          <w:rFonts w:ascii="ITC Avant Garde" w:hAnsi="ITC Avant Garde"/>
          <w:i/>
          <w:color w:val="000000"/>
        </w:rPr>
        <w:t xml:space="preserve"> 8 de</w:t>
      </w:r>
      <w:r w:rsidR="008A1002" w:rsidRPr="00516910">
        <w:rPr>
          <w:rFonts w:ascii="ITC Avant Garde" w:hAnsi="ITC Avant Garde"/>
          <w:i/>
          <w:color w:val="000000"/>
        </w:rPr>
        <w:t xml:space="preserve"> los </w:t>
      </w:r>
      <w:r w:rsidR="00172846" w:rsidRPr="00516910">
        <w:rPr>
          <w:rFonts w:ascii="ITC Avant Garde" w:hAnsi="ITC Avant Garde"/>
          <w:bCs/>
          <w:i/>
          <w:color w:val="000000"/>
        </w:rPr>
        <w:t xml:space="preserve">Lineamientos generales para el otorgamiento de las </w:t>
      </w:r>
      <w:r w:rsidR="00172846" w:rsidRPr="00516910">
        <w:rPr>
          <w:rFonts w:ascii="ITC Avant Garde" w:hAnsi="ITC Avant Garde"/>
          <w:bCs/>
          <w:i/>
          <w:color w:val="000000"/>
        </w:rPr>
        <w:lastRenderedPageBreak/>
        <w:t>concesiones a que se refiere el título cuarto de la Ley Federal de Telecomunicaciones y Radiodifusión</w:t>
      </w:r>
      <w:r w:rsidR="00172846" w:rsidRPr="00516910">
        <w:rPr>
          <w:rFonts w:ascii="ITC Avant Garde" w:hAnsi="ITC Avant Garde"/>
          <w:bCs/>
          <w:color w:val="000000"/>
        </w:rPr>
        <w:t>”</w:t>
      </w:r>
      <w:r w:rsidR="00794A78" w:rsidRPr="00516910">
        <w:rPr>
          <w:rFonts w:ascii="ITC Avant Garde" w:hAnsi="ITC Avant Garde"/>
          <w:color w:val="000000"/>
        </w:rPr>
        <w:t xml:space="preserve">, mismo que se acompaña como </w:t>
      </w:r>
      <w:r w:rsidR="00794A78" w:rsidRPr="00516910">
        <w:rPr>
          <w:rFonts w:ascii="ITC Avant Garde" w:hAnsi="ITC Avant Garde"/>
          <w:b/>
          <w:color w:val="000000"/>
        </w:rPr>
        <w:t>Anexo 1</w:t>
      </w:r>
      <w:r w:rsidR="00794A78" w:rsidRPr="00516910">
        <w:rPr>
          <w:rFonts w:ascii="ITC Avant Garde" w:hAnsi="ITC Avant Garde"/>
          <w:color w:val="000000"/>
        </w:rPr>
        <w:t xml:space="preserve"> a fin de que cualquier interesado presente comentarios, observaciones, propuestas y/o adiciones.</w:t>
      </w:r>
    </w:p>
    <w:p w14:paraId="1759A8DF" w14:textId="32A2F356" w:rsidR="000A513B" w:rsidRPr="008A1002" w:rsidRDefault="000A513B" w:rsidP="00516910">
      <w:pPr>
        <w:autoSpaceDE w:val="0"/>
        <w:autoSpaceDN w:val="0"/>
        <w:adjustRightInd w:val="0"/>
        <w:spacing w:before="240" w:after="240" w:line="240" w:lineRule="auto"/>
        <w:jc w:val="both"/>
        <w:rPr>
          <w:rFonts w:ascii="ITC Avant Garde" w:hAnsi="ITC Avant Garde" w:cs="TimesNewRomanPSMT"/>
          <w:color w:val="000000"/>
        </w:rPr>
      </w:pPr>
      <w:r w:rsidRPr="00516910">
        <w:rPr>
          <w:rFonts w:ascii="ITC Avant Garde" w:hAnsi="ITC Avant Garde"/>
          <w:b/>
        </w:rPr>
        <w:t>SEGUNDO.-</w:t>
      </w:r>
      <w:r w:rsidRPr="00516910">
        <w:rPr>
          <w:rFonts w:ascii="ITC Avant Garde" w:hAnsi="ITC Avant Garde"/>
        </w:rPr>
        <w:t xml:space="preserve"> </w:t>
      </w:r>
      <w:r w:rsidRPr="00516910">
        <w:rPr>
          <w:rFonts w:ascii="ITC Avant Garde" w:hAnsi="ITC Avant Garde" w:cs="TimesNewRomanPSMT"/>
          <w:color w:val="000000"/>
        </w:rPr>
        <w:t xml:space="preserve">Se instruye a la Unidad de </w:t>
      </w:r>
      <w:r w:rsidR="00B847EB" w:rsidRPr="00516910">
        <w:rPr>
          <w:rFonts w:ascii="ITC Avant Garde" w:hAnsi="ITC Avant Garde" w:cs="TimesNewRomanPSMT"/>
          <w:color w:val="000000"/>
        </w:rPr>
        <w:t>Concesiones y Servicios</w:t>
      </w:r>
      <w:r w:rsidRPr="00516910">
        <w:rPr>
          <w:rFonts w:ascii="ITC Avant Garde" w:hAnsi="ITC Avant Garde" w:cs="TimesNewRomanPSMT"/>
          <w:color w:val="000000"/>
        </w:rPr>
        <w:t xml:space="preserve"> a recibir y dar la atención que corresponda, en el ámbito de sus atribuciones, a las opiniones que sean vertidas en virtud de la consulta pública materia del presente Acuerdo.</w:t>
      </w:r>
    </w:p>
    <w:p w14:paraId="6D6358FC" w14:textId="54035D25" w:rsidR="000A513B" w:rsidRDefault="000A513B" w:rsidP="00516910">
      <w:pPr>
        <w:autoSpaceDE w:val="0"/>
        <w:autoSpaceDN w:val="0"/>
        <w:adjustRightInd w:val="0"/>
        <w:spacing w:before="240" w:after="240" w:line="240" w:lineRule="auto"/>
        <w:jc w:val="both"/>
        <w:rPr>
          <w:rFonts w:ascii="ITC Avant Garde" w:hAnsi="ITC Avant Garde"/>
        </w:rPr>
      </w:pPr>
      <w:r>
        <w:rPr>
          <w:rFonts w:ascii="ITC Avant Garde" w:hAnsi="ITC Avant Garde"/>
          <w:b/>
        </w:rPr>
        <w:t>TERCERO</w:t>
      </w:r>
      <w:r w:rsidRPr="008A1002">
        <w:rPr>
          <w:rFonts w:ascii="ITC Avant Garde" w:hAnsi="ITC Avant Garde"/>
          <w:b/>
        </w:rPr>
        <w:t>.-</w:t>
      </w:r>
      <w:r>
        <w:rPr>
          <w:rFonts w:ascii="ITC Avant Garde" w:hAnsi="ITC Avant Garde"/>
          <w:b/>
        </w:rPr>
        <w:t xml:space="preserve"> </w:t>
      </w:r>
      <w:r w:rsidRPr="008A1002">
        <w:rPr>
          <w:rFonts w:ascii="ITC Avant Garde" w:hAnsi="ITC Avant Garde"/>
        </w:rPr>
        <w:t>Publíquese en la página de Internet del Instituto Federal de Telecomunicaciones.</w:t>
      </w:r>
    </w:p>
    <w:bookmarkEnd w:id="0"/>
    <w:p w14:paraId="5E41DCA9" w14:textId="77777777" w:rsidR="00403BE7" w:rsidRPr="00403BE7" w:rsidRDefault="00403BE7" w:rsidP="00403BE7">
      <w:pPr>
        <w:pStyle w:val="Prrafodelista"/>
        <w:spacing w:after="0" w:line="240" w:lineRule="auto"/>
        <w:ind w:left="0"/>
        <w:jc w:val="both"/>
        <w:rPr>
          <w:rFonts w:eastAsia="Times New Roman"/>
          <w:sz w:val="14"/>
          <w:szCs w:val="14"/>
        </w:rPr>
      </w:pPr>
      <w:r w:rsidRPr="00403BE7">
        <w:rPr>
          <w:sz w:val="14"/>
          <w:szCs w:val="14"/>
        </w:rPr>
        <w:t>El presente Acuerdo fue aprobado por el Pleno del Instituto Federal de Telecomunicaciones en su III Sesión Ordinaria celebrada el 25 de enero de 2017</w:t>
      </w:r>
      <w:r w:rsidRPr="00403BE7">
        <w:rPr>
          <w:sz w:val="14"/>
          <w:szCs w:val="14"/>
          <w:lang w:val="es-ES_tradnl"/>
        </w:rPr>
        <w:t xml:space="preserve">, </w:t>
      </w:r>
      <w:r w:rsidRPr="00403BE7">
        <w:rPr>
          <w:bCs w:val="0"/>
          <w:sz w:val="14"/>
          <w:szCs w:val="14"/>
          <w:lang w:val="es-ES_tradnl"/>
        </w:rPr>
        <w:t>por</w:t>
      </w:r>
      <w:r w:rsidRPr="00403BE7">
        <w:rPr>
          <w:sz w:val="14"/>
          <w:szCs w:val="14"/>
          <w:lang w:val="es-ES_tradnl"/>
        </w:rPr>
        <w:t xml:space="preserve"> </w:t>
      </w:r>
      <w:r w:rsidRPr="00403BE7">
        <w:rPr>
          <w:bCs w:val="0"/>
          <w:sz w:val="14"/>
          <w:szCs w:val="14"/>
          <w:lang w:val="es-ES_tradnl"/>
        </w:rPr>
        <w:t>unanimidad</w:t>
      </w:r>
      <w:r w:rsidRPr="00403BE7">
        <w:rPr>
          <w:sz w:val="14"/>
          <w:szCs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P/IFT/250117/26. </w:t>
      </w:r>
    </w:p>
    <w:p w14:paraId="7D64DE5B" w14:textId="77777777" w:rsidR="003B79B7" w:rsidRDefault="003B79B7" w:rsidP="004755B3">
      <w:pPr>
        <w:autoSpaceDE w:val="0"/>
        <w:autoSpaceDN w:val="0"/>
        <w:adjustRightInd w:val="0"/>
        <w:spacing w:after="0" w:line="240" w:lineRule="auto"/>
        <w:jc w:val="center"/>
        <w:rPr>
          <w:rFonts w:ascii="ITC Avant Garde" w:hAnsi="ITC Avant Garde"/>
          <w:b/>
          <w:color w:val="000000"/>
        </w:rPr>
        <w:sectPr w:rsidR="003B79B7" w:rsidSect="004029FB">
          <w:headerReference w:type="even" r:id="rId7"/>
          <w:footerReference w:type="default" r:id="rId8"/>
          <w:headerReference w:type="first" r:id="rId9"/>
          <w:pgSz w:w="12240" w:h="15840"/>
          <w:pgMar w:top="1814" w:right="1134" w:bottom="1134" w:left="1134" w:header="709" w:footer="709" w:gutter="0"/>
          <w:cols w:space="708"/>
          <w:docGrid w:linePitch="360"/>
        </w:sectPr>
      </w:pPr>
    </w:p>
    <w:p w14:paraId="25A08D11" w14:textId="3FC583B7" w:rsidR="00963906" w:rsidRPr="00883E93" w:rsidRDefault="004755B3" w:rsidP="00883E93">
      <w:pPr>
        <w:pStyle w:val="Ttulo1"/>
        <w:spacing w:after="240" w:line="240" w:lineRule="auto"/>
        <w:jc w:val="center"/>
        <w:rPr>
          <w:rFonts w:ascii="ITC Avant Garde" w:hAnsi="ITC Avant Garde"/>
          <w:b/>
          <w:color w:val="000000"/>
          <w:sz w:val="24"/>
          <w:szCs w:val="24"/>
        </w:rPr>
      </w:pPr>
      <w:r w:rsidRPr="00883E93">
        <w:rPr>
          <w:rFonts w:ascii="ITC Avant Garde" w:hAnsi="ITC Avant Garde"/>
          <w:b/>
          <w:color w:val="000000"/>
          <w:sz w:val="24"/>
          <w:szCs w:val="24"/>
        </w:rPr>
        <w:lastRenderedPageBreak/>
        <w:t>ANEXO 1.</w:t>
      </w:r>
    </w:p>
    <w:p w14:paraId="7290BBC5" w14:textId="57F85C15" w:rsidR="004755B3" w:rsidRDefault="00B847EB" w:rsidP="00883E93">
      <w:pPr>
        <w:autoSpaceDE w:val="0"/>
        <w:autoSpaceDN w:val="0"/>
        <w:adjustRightInd w:val="0"/>
        <w:spacing w:before="240" w:line="240" w:lineRule="auto"/>
        <w:jc w:val="both"/>
        <w:rPr>
          <w:rFonts w:ascii="ITC Avant Garde" w:hAnsi="ITC Avant Garde"/>
          <w:b/>
          <w:color w:val="000000"/>
        </w:rPr>
      </w:pPr>
      <w:r>
        <w:rPr>
          <w:rFonts w:ascii="ITC Avant Garde" w:hAnsi="ITC Avant Garde"/>
          <w:b/>
          <w:color w:val="000000"/>
        </w:rPr>
        <w:t>PRIMERO</w:t>
      </w:r>
      <w:r w:rsidR="004755B3">
        <w:rPr>
          <w:rFonts w:ascii="ITC Avant Garde" w:hAnsi="ITC Avant Garde"/>
          <w:b/>
          <w:color w:val="000000"/>
        </w:rPr>
        <w:t xml:space="preserve">.- </w:t>
      </w:r>
      <w:r w:rsidR="004755B3">
        <w:rPr>
          <w:rFonts w:ascii="ITC Avant Garde" w:hAnsi="ITC Avant Garde"/>
          <w:color w:val="000000"/>
        </w:rPr>
        <w:t>S</w:t>
      </w:r>
      <w:r w:rsidR="004755B3" w:rsidRPr="004755B3">
        <w:rPr>
          <w:rFonts w:ascii="ITC Avant Garde" w:hAnsi="ITC Avant Garde"/>
          <w:color w:val="000000"/>
        </w:rPr>
        <w:t xml:space="preserve">e modifica </w:t>
      </w:r>
      <w:r>
        <w:rPr>
          <w:rFonts w:ascii="ITC Avant Garde" w:hAnsi="ITC Avant Garde"/>
          <w:color w:val="000000"/>
        </w:rPr>
        <w:t>el primer párrafo del artículo 3</w:t>
      </w:r>
      <w:r w:rsidR="004755B3" w:rsidRPr="004755B3">
        <w:rPr>
          <w:rFonts w:ascii="ITC Avant Garde" w:hAnsi="ITC Avant Garde"/>
          <w:color w:val="000000"/>
        </w:rPr>
        <w:t xml:space="preserve"> de los </w:t>
      </w:r>
      <w:r w:rsidR="004755B3" w:rsidRPr="004755B3">
        <w:rPr>
          <w:rFonts w:ascii="ITC Avant Garde" w:hAnsi="ITC Avant Garde"/>
          <w:bCs/>
          <w:color w:val="000000"/>
        </w:rPr>
        <w:t>Lineamientos generales para el otorgamiento de las concesiones a que se refiere el título cuarto de la Ley Federal</w:t>
      </w:r>
      <w:r w:rsidR="00CC330D">
        <w:rPr>
          <w:rFonts w:ascii="ITC Avant Garde" w:hAnsi="ITC Avant Garde"/>
          <w:bCs/>
          <w:color w:val="000000"/>
        </w:rPr>
        <w:t xml:space="preserve"> </w:t>
      </w:r>
      <w:r w:rsidR="004755B3" w:rsidRPr="004755B3">
        <w:rPr>
          <w:rFonts w:ascii="ITC Avant Garde" w:hAnsi="ITC Avant Garde"/>
          <w:bCs/>
          <w:color w:val="000000"/>
        </w:rPr>
        <w:t>de Telecomunicaciones y Radiodifusión</w:t>
      </w:r>
      <w:r w:rsidR="004755B3">
        <w:rPr>
          <w:rFonts w:ascii="ITC Avant Garde" w:hAnsi="ITC Avant Garde"/>
          <w:bCs/>
          <w:color w:val="000000"/>
        </w:rPr>
        <w:t>, para quedar como sigue:</w:t>
      </w:r>
    </w:p>
    <w:p w14:paraId="1BF7FB68" w14:textId="6AB5AFD5" w:rsidR="00B847EB" w:rsidRPr="00B847EB" w:rsidRDefault="00B847EB" w:rsidP="00883E93">
      <w:pPr>
        <w:autoSpaceDE w:val="0"/>
        <w:autoSpaceDN w:val="0"/>
        <w:adjustRightInd w:val="0"/>
        <w:spacing w:before="240"/>
        <w:ind w:left="284"/>
        <w:jc w:val="both"/>
        <w:rPr>
          <w:rFonts w:ascii="ITC Avant Garde" w:hAnsi="ITC Avant Garde" w:cs="Arial"/>
        </w:rPr>
      </w:pPr>
      <w:r w:rsidRPr="00B847EB">
        <w:rPr>
          <w:rFonts w:ascii="ITC Avant Garde" w:hAnsi="ITC Avant Garde" w:cs="Arial"/>
          <w:b/>
          <w:color w:val="000000"/>
        </w:rPr>
        <w:t>“Artículo</w:t>
      </w:r>
      <w:r w:rsidRPr="00B847EB">
        <w:rPr>
          <w:rFonts w:ascii="ITC Avant Garde" w:hAnsi="ITC Avant Garde" w:cs="Arial"/>
          <w:b/>
        </w:rPr>
        <w:t xml:space="preserve"> 3. </w:t>
      </w:r>
      <w:r w:rsidRPr="00B847EB">
        <w:rPr>
          <w:rFonts w:ascii="ITC Avant Garde" w:hAnsi="ITC Avant Garde" w:cs="Arial"/>
        </w:rPr>
        <w:t>Los Interesados en obtener cualquiera de las Concesiones Únicas a que se refieren los Lineamientos deberán proporcionar y acreditar los siguientes requisitos, presentando la información correspondiente mediante el uso de</w:t>
      </w:r>
      <w:r w:rsidR="00CC330D">
        <w:rPr>
          <w:rFonts w:ascii="ITC Avant Garde" w:hAnsi="ITC Avant Garde" w:cs="Arial"/>
        </w:rPr>
        <w:t>l</w:t>
      </w:r>
      <w:r w:rsidR="000B5334">
        <w:rPr>
          <w:rFonts w:ascii="ITC Avant Garde" w:hAnsi="ITC Avant Garde" w:cs="Arial"/>
        </w:rPr>
        <w:t xml:space="preserve"> </w:t>
      </w:r>
      <w:r w:rsidR="00CC330D" w:rsidRPr="00B847EB">
        <w:rPr>
          <w:rFonts w:ascii="ITC Avant Garde" w:hAnsi="ITC Avant Garde" w:cs="Arial"/>
        </w:rPr>
        <w:t>Formato IFT-Concesión Única</w:t>
      </w:r>
      <w:r w:rsidR="00CC330D">
        <w:rPr>
          <w:rFonts w:ascii="ITC Avant Garde" w:hAnsi="ITC Avant Garde" w:cs="Arial"/>
        </w:rPr>
        <w:t xml:space="preserve"> que corresponda al tipo de concesión que se solicita</w:t>
      </w:r>
      <w:r w:rsidR="000B5334">
        <w:rPr>
          <w:rFonts w:ascii="ITC Avant Garde" w:hAnsi="ITC Avant Garde" w:cs="Arial"/>
        </w:rPr>
        <w:t>,</w:t>
      </w:r>
      <w:r w:rsidR="00CC330D">
        <w:rPr>
          <w:rFonts w:ascii="ITC Avant Garde" w:hAnsi="ITC Avant Garde" w:cs="Arial"/>
        </w:rPr>
        <w:t xml:space="preserve"> conforme a los siguientes formatos, los</w:t>
      </w:r>
      <w:r w:rsidR="000B5334">
        <w:rPr>
          <w:rFonts w:ascii="ITC Avant Garde" w:hAnsi="ITC Avant Garde" w:cs="Arial"/>
        </w:rPr>
        <w:t xml:space="preserve"> cuales </w:t>
      </w:r>
      <w:r w:rsidRPr="00B847EB">
        <w:rPr>
          <w:rFonts w:ascii="ITC Avant Garde" w:hAnsi="ITC Avant Garde" w:cs="Arial"/>
        </w:rPr>
        <w:t>forma</w:t>
      </w:r>
      <w:r w:rsidR="000B5334">
        <w:rPr>
          <w:rFonts w:ascii="ITC Avant Garde" w:hAnsi="ITC Avant Garde" w:cs="Arial"/>
        </w:rPr>
        <w:t>n</w:t>
      </w:r>
      <w:r w:rsidRPr="00B847EB">
        <w:rPr>
          <w:rFonts w:ascii="ITC Avant Garde" w:hAnsi="ITC Avant Garde" w:cs="Arial"/>
        </w:rPr>
        <w:t xml:space="preserve"> parte integral de los presentes Lineamientos:</w:t>
      </w:r>
    </w:p>
    <w:p w14:paraId="4976AB27" w14:textId="062C6133" w:rsidR="00CC330D" w:rsidRDefault="000B5334" w:rsidP="00883E93">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A. Concesión Única para uso Comercial</w:t>
      </w:r>
      <w:r w:rsidR="00CC330D">
        <w:rPr>
          <w:rFonts w:ascii="ITC Avant Garde" w:hAnsi="ITC Avant Garde" w:cs="Arial"/>
        </w:rPr>
        <w:t>;</w:t>
      </w:r>
    </w:p>
    <w:p w14:paraId="40418F58" w14:textId="0834E319" w:rsidR="00CC330D" w:rsidRDefault="00CC330D" w:rsidP="00883E93">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B1. Concesión Única para uso Social;</w:t>
      </w:r>
    </w:p>
    <w:p w14:paraId="338913D8" w14:textId="06E7700B" w:rsidR="00CC330D" w:rsidRDefault="00CC330D" w:rsidP="00883E93">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B2. Concesión Única para uso Social Comunitaria; o</w:t>
      </w:r>
    </w:p>
    <w:p w14:paraId="2CCB241B" w14:textId="47AE5B0A" w:rsidR="00CC330D" w:rsidRDefault="00CC330D" w:rsidP="00883E93">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B3. Concesión Única para uso Social Indígena.</w:t>
      </w:r>
    </w:p>
    <w:p w14:paraId="5BE9383E" w14:textId="2C3DBFEB" w:rsidR="00B847EB" w:rsidRDefault="00CC330D" w:rsidP="00883E93">
      <w:pPr>
        <w:autoSpaceDE w:val="0"/>
        <w:autoSpaceDN w:val="0"/>
        <w:adjustRightInd w:val="0"/>
        <w:spacing w:before="240" w:line="240" w:lineRule="auto"/>
        <w:ind w:left="284"/>
        <w:jc w:val="both"/>
        <w:rPr>
          <w:rFonts w:ascii="ITC Avant Garde" w:hAnsi="ITC Avant Garde"/>
          <w:color w:val="000000"/>
        </w:rPr>
      </w:pPr>
      <w:r>
        <w:rPr>
          <w:rFonts w:ascii="ITC Avant Garde" w:hAnsi="ITC Avant Garde"/>
          <w:color w:val="000000"/>
        </w:rPr>
        <w:t>…”</w:t>
      </w:r>
    </w:p>
    <w:p w14:paraId="622243BF" w14:textId="1170D01F" w:rsidR="00CC330D" w:rsidRDefault="00CC330D" w:rsidP="00883E93">
      <w:pPr>
        <w:autoSpaceDE w:val="0"/>
        <w:autoSpaceDN w:val="0"/>
        <w:adjustRightInd w:val="0"/>
        <w:spacing w:before="240" w:line="240" w:lineRule="auto"/>
        <w:jc w:val="both"/>
        <w:rPr>
          <w:rFonts w:ascii="ITC Avant Garde" w:hAnsi="ITC Avant Garde"/>
          <w:b/>
          <w:color w:val="000000"/>
        </w:rPr>
      </w:pPr>
      <w:r>
        <w:rPr>
          <w:rFonts w:ascii="ITC Avant Garde" w:hAnsi="ITC Avant Garde"/>
          <w:b/>
          <w:color w:val="000000"/>
        </w:rPr>
        <w:t xml:space="preserve">SEGUNDO.- </w:t>
      </w:r>
      <w:r>
        <w:rPr>
          <w:rFonts w:ascii="ITC Avant Garde" w:hAnsi="ITC Avant Garde"/>
          <w:color w:val="000000"/>
        </w:rPr>
        <w:t>S</w:t>
      </w:r>
      <w:r w:rsidRPr="004755B3">
        <w:rPr>
          <w:rFonts w:ascii="ITC Avant Garde" w:hAnsi="ITC Avant Garde"/>
          <w:color w:val="000000"/>
        </w:rPr>
        <w:t xml:space="preserve">e modifica </w:t>
      </w:r>
      <w:r>
        <w:rPr>
          <w:rFonts w:ascii="ITC Avant Garde" w:hAnsi="ITC Avant Garde"/>
          <w:color w:val="000000"/>
        </w:rPr>
        <w:t>el primer párrafo del artículo 8</w:t>
      </w:r>
      <w:r w:rsidRPr="004755B3">
        <w:rPr>
          <w:rFonts w:ascii="ITC Avant Garde" w:hAnsi="ITC Avant Garde"/>
          <w:color w:val="000000"/>
        </w:rPr>
        <w:t xml:space="preserve"> de los </w:t>
      </w:r>
      <w:r w:rsidRPr="004755B3">
        <w:rPr>
          <w:rFonts w:ascii="ITC Avant Garde" w:hAnsi="ITC Avant Garde"/>
          <w:bCs/>
          <w:color w:val="000000"/>
        </w:rPr>
        <w:t>Lineamientos generales para el otorgamiento de las concesiones a que se refiere el título cuarto de la Ley Federal</w:t>
      </w:r>
      <w:r>
        <w:rPr>
          <w:rFonts w:ascii="ITC Avant Garde" w:hAnsi="ITC Avant Garde"/>
          <w:bCs/>
          <w:color w:val="000000"/>
        </w:rPr>
        <w:t xml:space="preserve"> </w:t>
      </w:r>
      <w:r w:rsidRPr="004755B3">
        <w:rPr>
          <w:rFonts w:ascii="ITC Avant Garde" w:hAnsi="ITC Avant Garde"/>
          <w:bCs/>
          <w:color w:val="000000"/>
        </w:rPr>
        <w:t>de Telecomunicaciones y Radiodifusión</w:t>
      </w:r>
      <w:r>
        <w:rPr>
          <w:rFonts w:ascii="ITC Avant Garde" w:hAnsi="ITC Avant Garde"/>
          <w:bCs/>
          <w:color w:val="000000"/>
        </w:rPr>
        <w:t>, para quedar como sigue:</w:t>
      </w:r>
    </w:p>
    <w:p w14:paraId="7BBE3616" w14:textId="2DE8E51A" w:rsidR="00CC330D" w:rsidRPr="00CC330D" w:rsidRDefault="00CC330D" w:rsidP="00883E93">
      <w:pPr>
        <w:autoSpaceDE w:val="0"/>
        <w:autoSpaceDN w:val="0"/>
        <w:adjustRightInd w:val="0"/>
        <w:spacing w:before="240"/>
        <w:ind w:left="284"/>
        <w:jc w:val="both"/>
        <w:rPr>
          <w:rFonts w:ascii="ITC Avant Garde" w:hAnsi="ITC Avant Garde" w:cs="Arial"/>
          <w:color w:val="000000"/>
        </w:rPr>
      </w:pPr>
      <w:r w:rsidRPr="00CC330D">
        <w:rPr>
          <w:rFonts w:ascii="ITC Avant Garde" w:hAnsi="ITC Avant Garde" w:cs="Arial"/>
          <w:color w:val="000000"/>
        </w:rPr>
        <w:t>“</w:t>
      </w:r>
      <w:r w:rsidRPr="00CC330D">
        <w:rPr>
          <w:rFonts w:ascii="ITC Avant Garde" w:hAnsi="ITC Avant Garde" w:cs="Arial"/>
          <w:b/>
          <w:color w:val="000000"/>
        </w:rPr>
        <w:t>Artículo 8.</w:t>
      </w:r>
      <w:r w:rsidRPr="00CC330D">
        <w:rPr>
          <w:rFonts w:ascii="ITC Avant Garde" w:hAnsi="ITC Avant Garde" w:cs="Arial"/>
          <w:color w:val="000000"/>
        </w:rPr>
        <w:t xml:space="preserve"> Los Interesados en obtener una Concesión de Espectro Radioeléctrico para Uso Público, Concesión de Espectro Radioeléctrico para Uso Social o Concesión de Espectro Radioeléctrico para Uso Privado, ésta última en relación con el contenido del artículo 76, fracción III, inciso b), de la Ley, es decir con propósitos de experimentación, comprobación de viabilidad técnica y económica de tecnologías en desarrollo, pruebas temporales de equipo, así como para satisfacer necesidades de comunicación para embajadas o misiones diplomáticas que visiten el país, deberán presentar la información y requisitos aplicables que establece el artículo 3 de los Lineamientos para la obtención de la Concesión Única que corresponda, y adicionalmente lo siguiente, mediante el Formato IFT-Concesión Espectro Radioeléctrico </w:t>
      </w:r>
      <w:r>
        <w:rPr>
          <w:rFonts w:ascii="ITC Avant Garde" w:hAnsi="ITC Avant Garde" w:cs="Arial"/>
        </w:rPr>
        <w:t xml:space="preserve">que corresponda al tipo de concesión que se solicita, conforme a los siguientes formatos, los cuales </w:t>
      </w:r>
      <w:r w:rsidRPr="00B847EB">
        <w:rPr>
          <w:rFonts w:ascii="ITC Avant Garde" w:hAnsi="ITC Avant Garde" w:cs="Arial"/>
        </w:rPr>
        <w:t>forma</w:t>
      </w:r>
      <w:r>
        <w:rPr>
          <w:rFonts w:ascii="ITC Avant Garde" w:hAnsi="ITC Avant Garde" w:cs="Arial"/>
        </w:rPr>
        <w:t>n</w:t>
      </w:r>
      <w:r w:rsidRPr="00B847EB">
        <w:rPr>
          <w:rFonts w:ascii="ITC Avant Garde" w:hAnsi="ITC Avant Garde" w:cs="Arial"/>
        </w:rPr>
        <w:t xml:space="preserve"> parte integral de los presentes Lineamientos</w:t>
      </w:r>
      <w:r w:rsidRPr="00CC330D">
        <w:rPr>
          <w:rFonts w:ascii="ITC Avant Garde" w:hAnsi="ITC Avant Garde" w:cs="Arial"/>
          <w:color w:val="000000"/>
        </w:rPr>
        <w:t>:</w:t>
      </w:r>
    </w:p>
    <w:p w14:paraId="4B2DDB22" w14:textId="40449CED" w:rsidR="00CC330D" w:rsidRDefault="00CC330D" w:rsidP="00883E93">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A. Concesión de Espectro Radioeléctrico para uso Público;</w:t>
      </w:r>
    </w:p>
    <w:p w14:paraId="393C8BFB" w14:textId="71CA34B8" w:rsidR="00CC330D" w:rsidRDefault="00CC330D" w:rsidP="00883E93">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B. Concesión de Espectro Radioeléctrico para uso Privado (artículo 76, fracción III, inciso B, de la Ley Federal de Telecomunicaciones y Radiodifusión);</w:t>
      </w:r>
    </w:p>
    <w:p w14:paraId="62D2F3D9" w14:textId="688ADF03" w:rsidR="00CC330D" w:rsidRDefault="00CC330D" w:rsidP="00883E93">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 xml:space="preserve">Tipo C1. Concesión de Espectro Radioeléctrico para uso Social; </w:t>
      </w:r>
    </w:p>
    <w:p w14:paraId="15818B9C" w14:textId="4247C830" w:rsidR="00CC330D" w:rsidRDefault="00CC330D" w:rsidP="00883E93">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C2. Concesión de Espectro Radioeléctrico para uso Social Comunitaria; o</w:t>
      </w:r>
    </w:p>
    <w:p w14:paraId="5B9A26C1" w14:textId="1BF5671B" w:rsidR="00CC330D" w:rsidRDefault="00CC330D" w:rsidP="00883E93">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C</w:t>
      </w:r>
      <w:r w:rsidR="00363D85">
        <w:rPr>
          <w:rFonts w:ascii="ITC Avant Garde" w:hAnsi="ITC Avant Garde" w:cs="Arial"/>
        </w:rPr>
        <w:t>3</w:t>
      </w:r>
      <w:r>
        <w:rPr>
          <w:rFonts w:ascii="ITC Avant Garde" w:hAnsi="ITC Avant Garde" w:cs="Arial"/>
        </w:rPr>
        <w:t>. Concesión de Espectro Radioeléctrico para uso Social Indígena.</w:t>
      </w:r>
    </w:p>
    <w:p w14:paraId="6FFF33A8" w14:textId="2F7FC2FD" w:rsidR="00747BBE" w:rsidRPr="008A1002" w:rsidRDefault="00CC330D" w:rsidP="00883E93">
      <w:pPr>
        <w:autoSpaceDE w:val="0"/>
        <w:autoSpaceDN w:val="0"/>
        <w:adjustRightInd w:val="0"/>
        <w:spacing w:before="240" w:line="240" w:lineRule="auto"/>
        <w:ind w:left="284"/>
        <w:jc w:val="both"/>
        <w:rPr>
          <w:rFonts w:ascii="ITC Avant Garde" w:hAnsi="ITC Avant Garde" w:cs="Arial"/>
        </w:rPr>
      </w:pPr>
      <w:r>
        <w:rPr>
          <w:rFonts w:ascii="ITC Avant Garde" w:hAnsi="ITC Avant Garde"/>
          <w:color w:val="000000"/>
        </w:rPr>
        <w:t>…”</w:t>
      </w:r>
    </w:p>
    <w:sectPr w:rsidR="00747BBE" w:rsidRPr="008A1002" w:rsidSect="004029FB">
      <w:pgSz w:w="12240" w:h="15840"/>
      <w:pgMar w:top="181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E4193" w14:textId="77777777" w:rsidR="000A7497" w:rsidRDefault="000A7497">
      <w:pPr>
        <w:spacing w:after="0" w:line="240" w:lineRule="auto"/>
      </w:pPr>
      <w:r>
        <w:separator/>
      </w:r>
    </w:p>
  </w:endnote>
  <w:endnote w:type="continuationSeparator" w:id="0">
    <w:p w14:paraId="59A4D8E2" w14:textId="77777777" w:rsidR="000A7497" w:rsidRDefault="000A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D4C9A" w14:textId="6BC02B3B" w:rsidR="00AE0210" w:rsidRPr="00883E93" w:rsidRDefault="002D0AEC" w:rsidP="00883E93">
    <w:pPr>
      <w:pStyle w:val="Piedepgina"/>
      <w:jc w:val="right"/>
      <w:rPr>
        <w:rFonts w:ascii="ITC Avant Garde" w:hAnsi="ITC Avant Garde"/>
        <w:sz w:val="14"/>
        <w:szCs w:val="14"/>
      </w:rPr>
    </w:pPr>
    <w:r w:rsidRPr="007D19AA">
      <w:rPr>
        <w:rFonts w:ascii="ITC Avant Garde" w:hAnsi="ITC Avant Garde"/>
        <w:sz w:val="14"/>
        <w:szCs w:val="14"/>
        <w:lang w:val="es-ES"/>
      </w:rPr>
      <w:t xml:space="preserve">Página </w:t>
    </w:r>
    <w:r w:rsidRPr="007D19AA">
      <w:rPr>
        <w:rFonts w:ascii="ITC Avant Garde" w:hAnsi="ITC Avant Garde"/>
        <w:b/>
        <w:bCs/>
        <w:sz w:val="14"/>
        <w:szCs w:val="14"/>
      </w:rPr>
      <w:fldChar w:fldCharType="begin"/>
    </w:r>
    <w:r w:rsidRPr="007D19AA">
      <w:rPr>
        <w:rFonts w:ascii="ITC Avant Garde" w:hAnsi="ITC Avant Garde"/>
        <w:b/>
        <w:bCs/>
        <w:sz w:val="14"/>
        <w:szCs w:val="14"/>
      </w:rPr>
      <w:instrText>PAGE</w:instrText>
    </w:r>
    <w:r w:rsidRPr="007D19AA">
      <w:rPr>
        <w:rFonts w:ascii="ITC Avant Garde" w:hAnsi="ITC Avant Garde"/>
        <w:b/>
        <w:bCs/>
        <w:sz w:val="14"/>
        <w:szCs w:val="14"/>
      </w:rPr>
      <w:fldChar w:fldCharType="separate"/>
    </w:r>
    <w:r w:rsidR="00883E93">
      <w:rPr>
        <w:rFonts w:ascii="ITC Avant Garde" w:hAnsi="ITC Avant Garde"/>
        <w:b/>
        <w:bCs/>
        <w:noProof/>
        <w:sz w:val="14"/>
        <w:szCs w:val="14"/>
      </w:rPr>
      <w:t>5</w:t>
    </w:r>
    <w:r w:rsidRPr="007D19AA">
      <w:rPr>
        <w:rFonts w:ascii="ITC Avant Garde" w:hAnsi="ITC Avant Garde"/>
        <w:b/>
        <w:bCs/>
        <w:sz w:val="14"/>
        <w:szCs w:val="14"/>
      </w:rPr>
      <w:fldChar w:fldCharType="end"/>
    </w:r>
    <w:r w:rsidRPr="007D19AA">
      <w:rPr>
        <w:rFonts w:ascii="ITC Avant Garde" w:hAnsi="ITC Avant Garde"/>
        <w:sz w:val="14"/>
        <w:szCs w:val="14"/>
        <w:lang w:val="es-ES"/>
      </w:rPr>
      <w:t xml:space="preserve"> de </w:t>
    </w:r>
    <w:r w:rsidRPr="007D19AA">
      <w:rPr>
        <w:rFonts w:ascii="ITC Avant Garde" w:hAnsi="ITC Avant Garde"/>
        <w:b/>
        <w:bCs/>
        <w:sz w:val="14"/>
        <w:szCs w:val="14"/>
      </w:rPr>
      <w:fldChar w:fldCharType="begin"/>
    </w:r>
    <w:r w:rsidRPr="007D19AA">
      <w:rPr>
        <w:rFonts w:ascii="ITC Avant Garde" w:hAnsi="ITC Avant Garde"/>
        <w:b/>
        <w:bCs/>
        <w:sz w:val="14"/>
        <w:szCs w:val="14"/>
      </w:rPr>
      <w:instrText>NUMPAGES</w:instrText>
    </w:r>
    <w:r w:rsidRPr="007D19AA">
      <w:rPr>
        <w:rFonts w:ascii="ITC Avant Garde" w:hAnsi="ITC Avant Garde"/>
        <w:b/>
        <w:bCs/>
        <w:sz w:val="14"/>
        <w:szCs w:val="14"/>
      </w:rPr>
      <w:fldChar w:fldCharType="separate"/>
    </w:r>
    <w:r w:rsidR="00883E93">
      <w:rPr>
        <w:rFonts w:ascii="ITC Avant Garde" w:hAnsi="ITC Avant Garde"/>
        <w:b/>
        <w:bCs/>
        <w:noProof/>
        <w:sz w:val="14"/>
        <w:szCs w:val="14"/>
      </w:rPr>
      <w:t>5</w:t>
    </w:r>
    <w:r w:rsidRPr="007D19AA">
      <w:rPr>
        <w:rFonts w:ascii="ITC Avant Garde" w:hAnsi="ITC Avant Garde"/>
        <w:b/>
        <w:bCs/>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28721" w14:textId="77777777" w:rsidR="000A7497" w:rsidRDefault="000A7497">
      <w:pPr>
        <w:spacing w:after="0" w:line="240" w:lineRule="auto"/>
      </w:pPr>
      <w:r>
        <w:separator/>
      </w:r>
    </w:p>
  </w:footnote>
  <w:footnote w:type="continuationSeparator" w:id="0">
    <w:p w14:paraId="43CFDC72" w14:textId="77777777" w:rsidR="000A7497" w:rsidRDefault="000A7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DD977" w14:textId="77777777" w:rsidR="00AE0210" w:rsidRDefault="000A7497">
    <w:pPr>
      <w:pStyle w:val="Encabezado"/>
    </w:pPr>
    <w:r>
      <w:rPr>
        <w:noProof/>
        <w:lang w:eastAsia="es-MX"/>
      </w:rPr>
      <w:pict w14:anchorId="42181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2"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Edif2-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A5C8B" w14:textId="77777777" w:rsidR="00AE0210" w:rsidRDefault="000A7497">
    <w:pPr>
      <w:pStyle w:val="Encabezado"/>
    </w:pPr>
    <w:r>
      <w:rPr>
        <w:noProof/>
        <w:lang w:eastAsia="es-MX"/>
      </w:rPr>
      <w:pict w14:anchorId="30CD4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1"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Edif2-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B5B38"/>
    <w:multiLevelType w:val="hybridMultilevel"/>
    <w:tmpl w:val="99A851B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B4266B8"/>
    <w:multiLevelType w:val="hybridMultilevel"/>
    <w:tmpl w:val="C7B4C15A"/>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20DA06E5"/>
    <w:multiLevelType w:val="hybridMultilevel"/>
    <w:tmpl w:val="327E6F76"/>
    <w:lvl w:ilvl="0" w:tplc="E5768C9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27506141"/>
    <w:multiLevelType w:val="hybridMultilevel"/>
    <w:tmpl w:val="ACCA6E0E"/>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 w15:restartNumberingAfterBreak="0">
    <w:nsid w:val="29013775"/>
    <w:multiLevelType w:val="hybridMultilevel"/>
    <w:tmpl w:val="8F74FC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3763"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2F7976E0"/>
    <w:multiLevelType w:val="hybridMultilevel"/>
    <w:tmpl w:val="7BD0685E"/>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325F279D"/>
    <w:multiLevelType w:val="hybridMultilevel"/>
    <w:tmpl w:val="B5109392"/>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8" w15:restartNumberingAfterBreak="0">
    <w:nsid w:val="38AF4B91"/>
    <w:multiLevelType w:val="hybridMultilevel"/>
    <w:tmpl w:val="0AC6CCF2"/>
    <w:lvl w:ilvl="0" w:tplc="722A2BB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3B6C5080"/>
    <w:multiLevelType w:val="hybridMultilevel"/>
    <w:tmpl w:val="21F06FAA"/>
    <w:lvl w:ilvl="0" w:tplc="080A0013">
      <w:start w:val="1"/>
      <w:numFmt w:val="upperRoman"/>
      <w:lvlText w:val="%1."/>
      <w:lvlJc w:val="right"/>
      <w:pPr>
        <w:ind w:left="1637" w:hanging="360"/>
      </w:p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0" w15:restartNumberingAfterBreak="0">
    <w:nsid w:val="3B90395E"/>
    <w:multiLevelType w:val="hybridMultilevel"/>
    <w:tmpl w:val="293E8992"/>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41B170D8"/>
    <w:multiLevelType w:val="hybridMultilevel"/>
    <w:tmpl w:val="AD8C4F7A"/>
    <w:lvl w:ilvl="0" w:tplc="D5420224">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7487F"/>
    <w:multiLevelType w:val="hybridMultilevel"/>
    <w:tmpl w:val="BA26DFAA"/>
    <w:lvl w:ilvl="0" w:tplc="E5768C9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DBA0B62"/>
    <w:multiLevelType w:val="hybridMultilevel"/>
    <w:tmpl w:val="057EEFC6"/>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4F4306E8"/>
    <w:multiLevelType w:val="hybridMultilevel"/>
    <w:tmpl w:val="30BCE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8320C9"/>
    <w:multiLevelType w:val="hybridMultilevel"/>
    <w:tmpl w:val="CC126610"/>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56A65665"/>
    <w:multiLevelType w:val="hybridMultilevel"/>
    <w:tmpl w:val="1F78AAF2"/>
    <w:lvl w:ilvl="0" w:tplc="4AF06FB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620A7183"/>
    <w:multiLevelType w:val="hybridMultilevel"/>
    <w:tmpl w:val="20A4BEBC"/>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8" w15:restartNumberingAfterBreak="0">
    <w:nsid w:val="64BF2E42"/>
    <w:multiLevelType w:val="hybridMultilevel"/>
    <w:tmpl w:val="C5C47A10"/>
    <w:lvl w:ilvl="0" w:tplc="3ACADCCA">
      <w:start w:val="5"/>
      <w:numFmt w:val="lowerLetter"/>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FF58A4"/>
    <w:multiLevelType w:val="hybridMultilevel"/>
    <w:tmpl w:val="B486FDF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5C0A5D"/>
    <w:multiLevelType w:val="hybridMultilevel"/>
    <w:tmpl w:val="7ECE0C44"/>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6AB20E2D"/>
    <w:multiLevelType w:val="hybridMultilevel"/>
    <w:tmpl w:val="70E8F468"/>
    <w:lvl w:ilvl="0" w:tplc="7F78BB78">
      <w:start w:val="1"/>
      <w:numFmt w:val="decimal"/>
      <w:lvlText w:val="%1."/>
      <w:lvlJc w:val="left"/>
      <w:pPr>
        <w:ind w:left="1211" w:hanging="360"/>
      </w:pPr>
      <w:rPr>
        <w:rFonts w:hint="default"/>
        <w:sz w:val="2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6D9B1000"/>
    <w:multiLevelType w:val="hybridMultilevel"/>
    <w:tmpl w:val="F020C20C"/>
    <w:lvl w:ilvl="0" w:tplc="DC7031B2">
      <w:start w:val="4"/>
      <w:numFmt w:val="upperRoman"/>
      <w:lvlText w:val="%1."/>
      <w:lvlJc w:val="righ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184ADD"/>
    <w:multiLevelType w:val="hybridMultilevel"/>
    <w:tmpl w:val="CC126610"/>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15:restartNumberingAfterBreak="0">
    <w:nsid w:val="71813AC2"/>
    <w:multiLevelType w:val="hybridMultilevel"/>
    <w:tmpl w:val="DB5E2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758715E7"/>
    <w:multiLevelType w:val="hybridMultilevel"/>
    <w:tmpl w:val="5A4A658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782E00"/>
    <w:multiLevelType w:val="hybridMultilevel"/>
    <w:tmpl w:val="FD32F5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773D303D"/>
    <w:multiLevelType w:val="hybridMultilevel"/>
    <w:tmpl w:val="A2761118"/>
    <w:lvl w:ilvl="0" w:tplc="080A000F">
      <w:start w:val="1"/>
      <w:numFmt w:val="decimal"/>
      <w:lvlText w:val="%1."/>
      <w:lvlJc w:val="left"/>
      <w:pPr>
        <w:ind w:left="1713" w:hanging="360"/>
      </w:pPr>
      <w:rPr>
        <w:rFont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8" w15:restartNumberingAfterBreak="0">
    <w:nsid w:val="793D6CA0"/>
    <w:multiLevelType w:val="hybridMultilevel"/>
    <w:tmpl w:val="EB54805E"/>
    <w:lvl w:ilvl="0" w:tplc="B00AE1D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15:restartNumberingAfterBreak="0">
    <w:nsid w:val="7FDF699C"/>
    <w:multiLevelType w:val="hybridMultilevel"/>
    <w:tmpl w:val="CA9E8CE6"/>
    <w:lvl w:ilvl="0" w:tplc="8DE40BE0">
      <w:start w:val="2"/>
      <w:numFmt w:val="lowerLetter"/>
      <w:lvlText w:val="%1)"/>
      <w:lvlJc w:val="left"/>
      <w:pPr>
        <w:ind w:left="171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9"/>
  </w:num>
  <w:num w:numId="3">
    <w:abstractNumId w:val="25"/>
  </w:num>
  <w:num w:numId="4">
    <w:abstractNumId w:val="14"/>
  </w:num>
  <w:num w:numId="5">
    <w:abstractNumId w:val="4"/>
  </w:num>
  <w:num w:numId="6">
    <w:abstractNumId w:val="8"/>
  </w:num>
  <w:num w:numId="7">
    <w:abstractNumId w:val="27"/>
  </w:num>
  <w:num w:numId="8">
    <w:abstractNumId w:val="17"/>
  </w:num>
  <w:num w:numId="9">
    <w:abstractNumId w:val="26"/>
  </w:num>
  <w:num w:numId="10">
    <w:abstractNumId w:val="7"/>
  </w:num>
  <w:num w:numId="11">
    <w:abstractNumId w:val="13"/>
  </w:num>
  <w:num w:numId="12">
    <w:abstractNumId w:val="22"/>
  </w:num>
  <w:num w:numId="13">
    <w:abstractNumId w:val="9"/>
  </w:num>
  <w:num w:numId="14">
    <w:abstractNumId w:val="24"/>
  </w:num>
  <w:num w:numId="15">
    <w:abstractNumId w:val="3"/>
  </w:num>
  <w:num w:numId="16">
    <w:abstractNumId w:val="2"/>
  </w:num>
  <w:num w:numId="17">
    <w:abstractNumId w:val="12"/>
  </w:num>
  <w:num w:numId="18">
    <w:abstractNumId w:val="6"/>
  </w:num>
  <w:num w:numId="19">
    <w:abstractNumId w:val="11"/>
  </w:num>
  <w:num w:numId="20">
    <w:abstractNumId w:val="15"/>
  </w:num>
  <w:num w:numId="21">
    <w:abstractNumId w:val="20"/>
  </w:num>
  <w:num w:numId="22">
    <w:abstractNumId w:val="1"/>
  </w:num>
  <w:num w:numId="23">
    <w:abstractNumId w:val="16"/>
  </w:num>
  <w:num w:numId="24">
    <w:abstractNumId w:val="10"/>
  </w:num>
  <w:num w:numId="25">
    <w:abstractNumId w:val="29"/>
  </w:num>
  <w:num w:numId="26">
    <w:abstractNumId w:val="21"/>
  </w:num>
  <w:num w:numId="27">
    <w:abstractNumId w:val="28"/>
  </w:num>
  <w:num w:numId="28">
    <w:abstractNumId w:val="0"/>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A0"/>
    <w:rsid w:val="00016DB4"/>
    <w:rsid w:val="000468A2"/>
    <w:rsid w:val="000814F8"/>
    <w:rsid w:val="00081D3B"/>
    <w:rsid w:val="000A513B"/>
    <w:rsid w:val="000A6D54"/>
    <w:rsid w:val="000A7497"/>
    <w:rsid w:val="000B5334"/>
    <w:rsid w:val="000E373D"/>
    <w:rsid w:val="000F03AB"/>
    <w:rsid w:val="00144770"/>
    <w:rsid w:val="001675F8"/>
    <w:rsid w:val="00172846"/>
    <w:rsid w:val="001763D6"/>
    <w:rsid w:val="00195ABE"/>
    <w:rsid w:val="001A124B"/>
    <w:rsid w:val="001E5E8A"/>
    <w:rsid w:val="00207D37"/>
    <w:rsid w:val="00212D97"/>
    <w:rsid w:val="00260BD2"/>
    <w:rsid w:val="002652A3"/>
    <w:rsid w:val="00297132"/>
    <w:rsid w:val="002A2879"/>
    <w:rsid w:val="002C523E"/>
    <w:rsid w:val="002D0AEC"/>
    <w:rsid w:val="002F073D"/>
    <w:rsid w:val="002F76B7"/>
    <w:rsid w:val="00352FC2"/>
    <w:rsid w:val="00363D85"/>
    <w:rsid w:val="003669F5"/>
    <w:rsid w:val="00372445"/>
    <w:rsid w:val="00397BF8"/>
    <w:rsid w:val="003A2B58"/>
    <w:rsid w:val="003B79B7"/>
    <w:rsid w:val="003E78C0"/>
    <w:rsid w:val="004029FB"/>
    <w:rsid w:val="00403BE7"/>
    <w:rsid w:val="004078DB"/>
    <w:rsid w:val="00415B1E"/>
    <w:rsid w:val="00421EC9"/>
    <w:rsid w:val="004222BB"/>
    <w:rsid w:val="004272F8"/>
    <w:rsid w:val="00463C7B"/>
    <w:rsid w:val="004755B3"/>
    <w:rsid w:val="004E4AA8"/>
    <w:rsid w:val="00516910"/>
    <w:rsid w:val="0053490A"/>
    <w:rsid w:val="00535C82"/>
    <w:rsid w:val="00537BB6"/>
    <w:rsid w:val="005E4D7B"/>
    <w:rsid w:val="00605617"/>
    <w:rsid w:val="00627FA9"/>
    <w:rsid w:val="00677E03"/>
    <w:rsid w:val="006C26AC"/>
    <w:rsid w:val="00712DFA"/>
    <w:rsid w:val="00747BBE"/>
    <w:rsid w:val="00761A7E"/>
    <w:rsid w:val="00794A78"/>
    <w:rsid w:val="007A7CEE"/>
    <w:rsid w:val="007B3999"/>
    <w:rsid w:val="007C5A50"/>
    <w:rsid w:val="007D2AAA"/>
    <w:rsid w:val="007E6B2F"/>
    <w:rsid w:val="007F373E"/>
    <w:rsid w:val="00811A55"/>
    <w:rsid w:val="00812C0B"/>
    <w:rsid w:val="008159FD"/>
    <w:rsid w:val="008718E1"/>
    <w:rsid w:val="008731D6"/>
    <w:rsid w:val="008821D5"/>
    <w:rsid w:val="00883E93"/>
    <w:rsid w:val="008A1002"/>
    <w:rsid w:val="008E46A6"/>
    <w:rsid w:val="008E5418"/>
    <w:rsid w:val="00963906"/>
    <w:rsid w:val="009874A0"/>
    <w:rsid w:val="00993BF2"/>
    <w:rsid w:val="009E1D62"/>
    <w:rsid w:val="00A064C7"/>
    <w:rsid w:val="00AC0942"/>
    <w:rsid w:val="00AE0210"/>
    <w:rsid w:val="00AE3552"/>
    <w:rsid w:val="00B038EA"/>
    <w:rsid w:val="00B33DF1"/>
    <w:rsid w:val="00B847EB"/>
    <w:rsid w:val="00B978A7"/>
    <w:rsid w:val="00BF65BE"/>
    <w:rsid w:val="00C022F7"/>
    <w:rsid w:val="00C145DE"/>
    <w:rsid w:val="00C62E05"/>
    <w:rsid w:val="00C83111"/>
    <w:rsid w:val="00CA3678"/>
    <w:rsid w:val="00CB00CD"/>
    <w:rsid w:val="00CC330D"/>
    <w:rsid w:val="00D0043A"/>
    <w:rsid w:val="00D043D3"/>
    <w:rsid w:val="00D103EE"/>
    <w:rsid w:val="00D13E72"/>
    <w:rsid w:val="00D21FF3"/>
    <w:rsid w:val="00D32B7D"/>
    <w:rsid w:val="00D426C1"/>
    <w:rsid w:val="00DE0AE6"/>
    <w:rsid w:val="00E16335"/>
    <w:rsid w:val="00E367BF"/>
    <w:rsid w:val="00E51735"/>
    <w:rsid w:val="00E60EEE"/>
    <w:rsid w:val="00E74A94"/>
    <w:rsid w:val="00E77EB5"/>
    <w:rsid w:val="00E959E1"/>
    <w:rsid w:val="00EA68DE"/>
    <w:rsid w:val="00EC0BD1"/>
    <w:rsid w:val="00EF180D"/>
    <w:rsid w:val="00F17879"/>
    <w:rsid w:val="00F85F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9845BC"/>
  <w15:chartTrackingRefBased/>
  <w15:docId w15:val="{8DB12160-23C2-4462-9147-9344AB9C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4A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728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B79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iPriority w:val="9"/>
    <w:qFormat/>
    <w:rsid w:val="001E5E8A"/>
    <w:pPr>
      <w:keepNext/>
      <w:keepLines/>
      <w:spacing w:before="40" w:after="0" w:line="259" w:lineRule="auto"/>
      <w:outlineLvl w:val="4"/>
    </w:pPr>
    <w:rPr>
      <w:rFonts w:ascii="ITC Avant Garde" w:eastAsia="MS Gothic" w:hAnsi="ITC Avant Garde"/>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4A0"/>
    <w:rPr>
      <w:rFonts w:ascii="Calibri" w:eastAsia="Calibri" w:hAnsi="Calibri" w:cs="Times New Roman"/>
    </w:rPr>
  </w:style>
  <w:style w:type="paragraph" w:styleId="Piedepgina">
    <w:name w:val="footer"/>
    <w:basedOn w:val="Normal"/>
    <w:link w:val="PiedepginaCar"/>
    <w:uiPriority w:val="99"/>
    <w:unhideWhenUsed/>
    <w:rsid w:val="00987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4A0"/>
    <w:rPr>
      <w:rFonts w:ascii="Calibri" w:eastAsia="Calibri" w:hAnsi="Calibri" w:cs="Times New Roman"/>
    </w:rPr>
  </w:style>
  <w:style w:type="paragraph" w:customStyle="1" w:styleId="Default">
    <w:name w:val="Default"/>
    <w:rsid w:val="009874A0"/>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9874A0"/>
    <w:pPr>
      <w:ind w:left="720"/>
      <w:contextualSpacing/>
    </w:pPr>
    <w:rPr>
      <w:rFonts w:ascii="ITC Avant Garde" w:hAnsi="ITC Avant Garde" w:cs="Tahoma"/>
      <w:bCs/>
      <w:lang w:eastAsia="es-MX"/>
    </w:rPr>
  </w:style>
  <w:style w:type="character" w:customStyle="1" w:styleId="PrrafodelistaCar">
    <w:name w:val="Párrafo de lista Car"/>
    <w:link w:val="Prrafodelista"/>
    <w:uiPriority w:val="34"/>
    <w:locked/>
    <w:rsid w:val="009874A0"/>
    <w:rPr>
      <w:rFonts w:ascii="ITC Avant Garde" w:eastAsia="Calibri" w:hAnsi="ITC Avant Garde" w:cs="Tahoma"/>
      <w:bCs/>
      <w:lang w:eastAsia="es-MX"/>
    </w:rPr>
  </w:style>
  <w:style w:type="table" w:styleId="Tablaconcuadrcula">
    <w:name w:val="Table Grid"/>
    <w:basedOn w:val="Tablanormal"/>
    <w:uiPriority w:val="39"/>
    <w:rsid w:val="009874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1E5E8A"/>
    <w:rPr>
      <w:rFonts w:ascii="ITC Avant Garde" w:eastAsia="MS Gothic" w:hAnsi="ITC Avant Garde" w:cs="Times New Roman"/>
      <w:b/>
      <w:color w:val="000000"/>
    </w:rPr>
  </w:style>
  <w:style w:type="paragraph" w:styleId="Textodeglobo">
    <w:name w:val="Balloon Text"/>
    <w:basedOn w:val="Normal"/>
    <w:link w:val="TextodegloboCar"/>
    <w:uiPriority w:val="99"/>
    <w:semiHidden/>
    <w:unhideWhenUsed/>
    <w:rsid w:val="00F178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879"/>
    <w:rPr>
      <w:rFonts w:ascii="Segoe UI" w:eastAsia="Calibri" w:hAnsi="Segoe UI" w:cs="Segoe UI"/>
      <w:sz w:val="18"/>
      <w:szCs w:val="18"/>
    </w:rPr>
  </w:style>
  <w:style w:type="paragraph" w:customStyle="1" w:styleId="estilo30">
    <w:name w:val="estilo30"/>
    <w:basedOn w:val="Normal"/>
    <w:rsid w:val="00535C82"/>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B33DF1"/>
    <w:rPr>
      <w:sz w:val="16"/>
      <w:szCs w:val="16"/>
    </w:rPr>
  </w:style>
  <w:style w:type="paragraph" w:styleId="Textocomentario">
    <w:name w:val="annotation text"/>
    <w:basedOn w:val="Normal"/>
    <w:link w:val="TextocomentarioCar"/>
    <w:uiPriority w:val="99"/>
    <w:unhideWhenUsed/>
    <w:rsid w:val="00B33DF1"/>
    <w:pPr>
      <w:spacing w:line="240" w:lineRule="auto"/>
    </w:pPr>
    <w:rPr>
      <w:sz w:val="20"/>
      <w:szCs w:val="20"/>
    </w:rPr>
  </w:style>
  <w:style w:type="character" w:customStyle="1" w:styleId="TextocomentarioCar">
    <w:name w:val="Texto comentario Car"/>
    <w:basedOn w:val="Fuentedeprrafopredeter"/>
    <w:link w:val="Textocomentario"/>
    <w:uiPriority w:val="99"/>
    <w:rsid w:val="00B33DF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33DF1"/>
    <w:rPr>
      <w:b/>
      <w:bCs/>
    </w:rPr>
  </w:style>
  <w:style w:type="character" w:customStyle="1" w:styleId="AsuntodelcomentarioCar">
    <w:name w:val="Asunto del comentario Car"/>
    <w:basedOn w:val="TextocomentarioCar"/>
    <w:link w:val="Asuntodelcomentario"/>
    <w:uiPriority w:val="99"/>
    <w:semiHidden/>
    <w:rsid w:val="00B33DF1"/>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172846"/>
    <w:rPr>
      <w:rFonts w:asciiTheme="majorHAnsi" w:eastAsiaTheme="majorEastAsia" w:hAnsiTheme="majorHAnsi" w:cstheme="majorBidi"/>
      <w:color w:val="2E74B5" w:themeColor="accent1" w:themeShade="BF"/>
      <w:sz w:val="32"/>
      <w:szCs w:val="32"/>
    </w:rPr>
  </w:style>
  <w:style w:type="character" w:customStyle="1" w:styleId="Listavistosa-nfasis1Car">
    <w:name w:val="Lista vistosa - Énfasis 1 Car"/>
    <w:link w:val="Listavistosa-nfasis1"/>
    <w:uiPriority w:val="34"/>
    <w:locked/>
    <w:rsid w:val="00B847EB"/>
    <w:rPr>
      <w:rFonts w:ascii="ITC Avant Garde" w:eastAsia="Calibri" w:hAnsi="ITC Avant Garde" w:cs="Tahoma"/>
      <w:bCs/>
      <w:lang w:eastAsia="es-MX"/>
    </w:rPr>
  </w:style>
  <w:style w:type="table" w:styleId="Listavistosa-nfasis1">
    <w:name w:val="Colorful List Accent 1"/>
    <w:basedOn w:val="Tablanormal"/>
    <w:link w:val="Listavistosa-nfasis1Car"/>
    <w:uiPriority w:val="34"/>
    <w:semiHidden/>
    <w:unhideWhenUsed/>
    <w:rsid w:val="00B847EB"/>
    <w:pPr>
      <w:spacing w:after="0" w:line="240" w:lineRule="auto"/>
    </w:pPr>
    <w:rPr>
      <w:rFonts w:ascii="ITC Avant Garde" w:eastAsia="Calibri" w:hAnsi="ITC Avant Garde" w:cs="Tahoma"/>
      <w:bCs/>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3B79B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505708">
      <w:bodyDiv w:val="1"/>
      <w:marLeft w:val="0"/>
      <w:marRight w:val="0"/>
      <w:marTop w:val="0"/>
      <w:marBottom w:val="0"/>
      <w:divBdr>
        <w:top w:val="none" w:sz="0" w:space="0" w:color="auto"/>
        <w:left w:val="none" w:sz="0" w:space="0" w:color="auto"/>
        <w:bottom w:val="none" w:sz="0" w:space="0" w:color="auto"/>
        <w:right w:val="none" w:sz="0" w:space="0" w:color="auto"/>
      </w:divBdr>
    </w:div>
    <w:div w:id="1066685327">
      <w:bodyDiv w:val="1"/>
      <w:marLeft w:val="0"/>
      <w:marRight w:val="0"/>
      <w:marTop w:val="0"/>
      <w:marBottom w:val="0"/>
      <w:divBdr>
        <w:top w:val="none" w:sz="0" w:space="0" w:color="auto"/>
        <w:left w:val="none" w:sz="0" w:space="0" w:color="auto"/>
        <w:bottom w:val="none" w:sz="0" w:space="0" w:color="auto"/>
        <w:right w:val="none" w:sz="0" w:space="0" w:color="auto"/>
      </w:divBdr>
    </w:div>
    <w:div w:id="1371805501">
      <w:bodyDiv w:val="1"/>
      <w:marLeft w:val="0"/>
      <w:marRight w:val="0"/>
      <w:marTop w:val="0"/>
      <w:marBottom w:val="0"/>
      <w:divBdr>
        <w:top w:val="none" w:sz="0" w:space="0" w:color="auto"/>
        <w:left w:val="none" w:sz="0" w:space="0" w:color="auto"/>
        <w:bottom w:val="none" w:sz="0" w:space="0" w:color="auto"/>
        <w:right w:val="none" w:sz="0" w:space="0" w:color="auto"/>
      </w:divBdr>
    </w:div>
    <w:div w:id="17462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2048</Words>
  <Characters>11270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Roberto Flores Navarrete</dc:creator>
  <cp:keywords/>
  <dc:description/>
  <cp:lastModifiedBy>Maria del Consuelo Gonzalez Moreno</cp:lastModifiedBy>
  <cp:revision>7</cp:revision>
  <dcterms:created xsi:type="dcterms:W3CDTF">2017-01-25T01:00:00Z</dcterms:created>
  <dcterms:modified xsi:type="dcterms:W3CDTF">2017-02-08T17:42:00Z</dcterms:modified>
</cp:coreProperties>
</file>