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E916E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916E8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16E8" w:rsidRPr="00E916E8" w14:paraId="1B2E1BC8" w14:textId="77777777" w:rsidTr="00DF074B">
        <w:tc>
          <w:tcPr>
            <w:tcW w:w="8828" w:type="dxa"/>
          </w:tcPr>
          <w:p w14:paraId="5E631BCB" w14:textId="7BD0FCEE" w:rsidR="006166DB" w:rsidRPr="00E916E8" w:rsidRDefault="00CA43C3" w:rsidP="00CA43C3">
            <w:pPr>
              <w:pStyle w:val="ANOTACION"/>
              <w:jc w:val="both"/>
              <w:rPr>
                <w:rFonts w:ascii="ITC Avant Garde" w:hAnsi="ITC Avant Garde"/>
                <w:b w:val="0"/>
                <w:bCs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b w:val="0"/>
                <w:bCs/>
                <w:color w:val="000000" w:themeColor="text1"/>
                <w:sz w:val="21"/>
                <w:szCs w:val="21"/>
              </w:rPr>
              <w:t>Acuerdo mediante el cual la Procuraduría Federal del Consumidor y el Instituto Federal de Telecomunicaciones, determinan los derechos mínimos que deben incluirse en la carta a que hace referencia el artículo 191 de la Ley Federal de Telecomunicaciones y Radiodifusión</w:t>
            </w:r>
          </w:p>
        </w:tc>
      </w:tr>
    </w:tbl>
    <w:p w14:paraId="52EC83BF" w14:textId="77777777" w:rsidR="006166DB" w:rsidRPr="00E916E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E916E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916E8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16E8" w:rsidRPr="00E916E8" w14:paraId="454C3A95" w14:textId="77777777" w:rsidTr="00DF074B">
        <w:tc>
          <w:tcPr>
            <w:tcW w:w="8828" w:type="dxa"/>
          </w:tcPr>
          <w:p w14:paraId="1A68E5FF" w14:textId="004A1D62" w:rsidR="006166DB" w:rsidRPr="00E916E8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Style w:val="Estilo4"/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1-12-0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B1C8D" w:rsidRPr="00E916E8">
                  <w:rPr>
                    <w:rStyle w:val="Estilo4"/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06</w:t>
                </w:r>
                <w:r w:rsidR="00A3392B" w:rsidRPr="00E916E8">
                  <w:rPr>
                    <w:rStyle w:val="Estilo4"/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/1</w:t>
                </w:r>
                <w:r w:rsidR="00CB1C8D" w:rsidRPr="00E916E8">
                  <w:rPr>
                    <w:rStyle w:val="Estilo4"/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</w:t>
                </w:r>
                <w:r w:rsidR="00A3392B" w:rsidRPr="00E916E8">
                  <w:rPr>
                    <w:rStyle w:val="Estilo4"/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/</w:t>
                </w:r>
                <w:r w:rsidR="00CA43C3" w:rsidRPr="00E916E8">
                  <w:rPr>
                    <w:rStyle w:val="Estilo4"/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202</w:t>
                </w:r>
                <w:r w:rsidR="00CB1C8D" w:rsidRPr="00E916E8">
                  <w:rPr>
                    <w:rStyle w:val="Estilo4"/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1</w:t>
                </w:r>
              </w:sdtContent>
            </w:sdt>
          </w:p>
        </w:tc>
      </w:tr>
      <w:tr w:rsidR="00E916E8" w:rsidRPr="00E916E8" w14:paraId="098151CF" w14:textId="77777777" w:rsidTr="00DF074B">
        <w:tc>
          <w:tcPr>
            <w:tcW w:w="8828" w:type="dxa"/>
          </w:tcPr>
          <w:p w14:paraId="07D4CB20" w14:textId="565CD806" w:rsidR="003F1D7B" w:rsidRPr="00E916E8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Style w:val="Estilo4"/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Eliga la fecha de expedición "/>
                <w:tag w:val="Eliga la fecha de expedición "/>
                <w:id w:val="556125928"/>
                <w:placeholder>
                  <w:docPart w:val="3726EE3B8568444D90388555AE61BB3C"/>
                </w:placeholder>
                <w15:color w:val="99CC00"/>
                <w:date w:fullDate="2022-01-2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A3392B" w:rsidRPr="00E916E8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</w:t>
                </w:r>
                <w:r w:rsidR="00CA43C3" w:rsidRPr="00E916E8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5</w:t>
                </w:r>
                <w:r w:rsidR="00A3392B" w:rsidRPr="00E916E8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/</w:t>
                </w:r>
                <w:r w:rsidR="00CA43C3" w:rsidRPr="00E916E8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0</w:t>
                </w:r>
                <w:r w:rsidR="00A3392B" w:rsidRPr="00E916E8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1/</w:t>
                </w:r>
                <w:r w:rsidR="00CA43C3" w:rsidRPr="00E916E8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2022</w:t>
                </w:r>
              </w:sdtContent>
            </w:sdt>
          </w:p>
        </w:tc>
      </w:tr>
      <w:tr w:rsidR="00E916E8" w:rsidRPr="00E916E8" w14:paraId="784A8897" w14:textId="77777777" w:rsidTr="00DF074B">
        <w:tc>
          <w:tcPr>
            <w:tcW w:w="8828" w:type="dxa"/>
          </w:tcPr>
          <w:p w14:paraId="335C558B" w14:textId="1D11F48B" w:rsidR="00DF074B" w:rsidRPr="00E916E8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Style w:val="Estilo4"/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A3392B" w:rsidRPr="00E916E8">
                  <w:rPr>
                    <w:rStyle w:val="Estilo4"/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E916E8" w:rsidRPr="00E916E8" w14:paraId="25C2F9B9" w14:textId="77777777" w:rsidTr="00DF074B">
        <w:tc>
          <w:tcPr>
            <w:tcW w:w="8828" w:type="dxa"/>
          </w:tcPr>
          <w:p w14:paraId="187042E5" w14:textId="7B0525AA" w:rsidR="006166DB" w:rsidRPr="00E916E8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Style w:val="Estilo4"/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2-02-2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A3392B" w:rsidRPr="00E916E8">
                  <w:rPr>
                    <w:rStyle w:val="Estilo4"/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</w:t>
                </w:r>
                <w:r w:rsidR="00CB1C8D" w:rsidRPr="00E916E8">
                  <w:rPr>
                    <w:rStyle w:val="Estilo4"/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4</w:t>
                </w:r>
                <w:r w:rsidR="00A3392B" w:rsidRPr="00E916E8">
                  <w:rPr>
                    <w:rStyle w:val="Estilo4"/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/0</w:t>
                </w:r>
                <w:r w:rsidR="00CB1C8D" w:rsidRPr="00E916E8">
                  <w:rPr>
                    <w:rStyle w:val="Estilo4"/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</w:t>
                </w:r>
                <w:r w:rsidR="00A3392B" w:rsidRPr="00E916E8">
                  <w:rPr>
                    <w:rStyle w:val="Estilo4"/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/</w:t>
                </w:r>
                <w:r w:rsidR="00730E59" w:rsidRPr="00E916E8">
                  <w:rPr>
                    <w:rStyle w:val="Estilo4"/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2022</w:t>
                </w:r>
              </w:sdtContent>
            </w:sdt>
            <w:r w:rsidRPr="00E916E8">
              <w:rPr>
                <w:rStyle w:val="Estilo4"/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E916E8" w:rsidRPr="00E916E8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7BCB3F6B" w:rsidR="00DF074B" w:rsidRPr="00E916E8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Style w:val="Estilo4"/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A3392B" w:rsidRPr="00E916E8">
                  <w:rPr>
                    <w:rStyle w:val="Estilo4"/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No aplica</w:t>
                </w:r>
              </w:sdtContent>
            </w:sdt>
            <w:r w:rsidRPr="00E916E8">
              <w:rPr>
                <w:rStyle w:val="Estilo4"/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E916E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E916E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916E8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16E8" w:rsidRPr="00E916E8" w14:paraId="2E594784" w14:textId="77777777" w:rsidTr="00DF074B">
        <w:tc>
          <w:tcPr>
            <w:tcW w:w="8828" w:type="dxa"/>
          </w:tcPr>
          <w:p w14:paraId="6C41AB66" w14:textId="2AE0FA69" w:rsidR="006166DB" w:rsidRPr="00E916E8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  <w:r w:rsidR="00B01DC5"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y Procuraduría Federal del Consumidor </w:t>
            </w:r>
          </w:p>
        </w:tc>
      </w:tr>
    </w:tbl>
    <w:p w14:paraId="32195651" w14:textId="77777777" w:rsidR="006166DB" w:rsidRPr="00E916E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E916E8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916E8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16E8" w:rsidRPr="00E916E8" w14:paraId="0FEE5916" w14:textId="77777777" w:rsidTr="00DF074B">
        <w:tc>
          <w:tcPr>
            <w:tcW w:w="8828" w:type="dxa"/>
          </w:tcPr>
          <w:p w14:paraId="043F6ABC" w14:textId="0FCDFB69" w:rsidR="006166DB" w:rsidRPr="00E916E8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Instituto Federal de Telecomunicaciones </w:t>
            </w:r>
            <w:r w:rsidR="00B01DC5"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y Procuraduría Federal del Consumidor</w:t>
            </w:r>
          </w:p>
        </w:tc>
      </w:tr>
    </w:tbl>
    <w:p w14:paraId="45DC499A" w14:textId="063A5F7C" w:rsidR="006166DB" w:rsidRPr="00E916E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E916E8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916E8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16E8" w:rsidRPr="00E916E8" w14:paraId="749D808B" w14:textId="77777777" w:rsidTr="00DF074B">
        <w:tc>
          <w:tcPr>
            <w:tcW w:w="8828" w:type="dxa"/>
          </w:tcPr>
          <w:p w14:paraId="07FF9FAE" w14:textId="285A1F99" w:rsidR="00DC3A1A" w:rsidRPr="00E916E8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Style w:val="Estilo4"/>
                <w:rFonts w:ascii="ITC Avant Garde" w:hAnsi="ITC Avant Garde"/>
                <w:color w:val="000000" w:themeColor="text1"/>
                <w:sz w:val="21"/>
                <w:szCs w:val="21"/>
              </w:rPr>
              <w:t>Ámbito de Aplicación</w:t>
            </w:r>
            <w:r w:rsidR="00366E21" w:rsidRPr="00E916E8">
              <w:rPr>
                <w:rStyle w:val="Estilo4"/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E916E8">
                  <w:rPr>
                    <w:rStyle w:val="Estilo4"/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E916E8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E916E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916E8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E916E8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16E8" w:rsidRPr="00E916E8" w14:paraId="1FAE6F5E" w14:textId="77777777" w:rsidTr="00E222FB">
        <w:trPr>
          <w:trHeight w:val="65"/>
        </w:trPr>
        <w:tc>
          <w:tcPr>
            <w:tcW w:w="8828" w:type="dxa"/>
          </w:tcPr>
          <w:p w14:paraId="205CB592" w14:textId="6BEFC93C" w:rsidR="0002355D" w:rsidRPr="00E916E8" w:rsidRDefault="00D13247" w:rsidP="00E222FB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27/10/2023</w:t>
            </w:r>
          </w:p>
        </w:tc>
      </w:tr>
    </w:tbl>
    <w:p w14:paraId="51DC39EC" w14:textId="77777777" w:rsidR="0002355D" w:rsidRPr="00E916E8" w:rsidRDefault="0002355D" w:rsidP="0002355D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E916E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916E8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E916E8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16E8" w:rsidRPr="00E916E8" w14:paraId="00840257" w14:textId="77777777" w:rsidTr="00DF074B">
        <w:tc>
          <w:tcPr>
            <w:tcW w:w="8828" w:type="dxa"/>
          </w:tcPr>
          <w:p w14:paraId="5DFAFB35" w14:textId="50570C23" w:rsidR="006166DB" w:rsidRPr="00E916E8" w:rsidRDefault="00E916E8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000000" w:themeColor="text1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</w:rPr>
              </w:sdtEndPr>
              <w:sdtContent>
                <w:r w:rsidR="00640CB0" w:rsidRPr="00E916E8">
                  <w:rPr>
                    <w:rStyle w:val="Estilo4"/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6D93D156" w14:textId="77777777" w:rsidR="00002DA2" w:rsidRPr="00E916E8" w:rsidRDefault="00002DA2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7188B339" w:rsidR="006166DB" w:rsidRPr="00E916E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916E8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E916E8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E916E8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E916E8">
        <w:rPr>
          <w:rFonts w:ascii="ITC Avant Garde" w:hAnsi="ITC Avant Garde"/>
          <w:color w:val="000000" w:themeColor="text1"/>
          <w:sz w:val="21"/>
          <w:szCs w:val="21"/>
        </w:rPr>
        <w:t xml:space="preserve"> </w:t>
      </w:r>
      <w:r w:rsidR="006166DB" w:rsidRPr="00E916E8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16E8" w:rsidRPr="00E916E8" w14:paraId="61CD054D" w14:textId="77777777" w:rsidTr="001200BB">
        <w:tc>
          <w:tcPr>
            <w:tcW w:w="8828" w:type="dxa"/>
          </w:tcPr>
          <w:sdt>
            <w:sdtPr>
              <w:rPr>
                <w:rFonts w:ascii="ITC Avant Garde Std Bk" w:eastAsia="Times New Roman" w:hAnsi="ITC Avant Garde Std Bk" w:cs="Times New Roman"/>
                <w:color w:val="000000" w:themeColor="text1"/>
                <w:sz w:val="18"/>
                <w:szCs w:val="18"/>
                <w:lang w:val="es-ES" w:eastAsia="es-ES"/>
              </w:rPr>
              <w:id w:val="681557480"/>
              <w:docPartObj>
                <w:docPartGallery w:val="Table of Contents"/>
                <w:docPartUnique/>
              </w:docPartObj>
            </w:sdtPr>
            <w:sdtEndPr>
              <w:rPr>
                <w:rFonts w:eastAsiaTheme="minorHAnsi" w:cstheme="minorBidi"/>
                <w:b/>
                <w:bCs/>
                <w:lang w:eastAsia="en-US"/>
              </w:rPr>
            </w:sdtEndPr>
            <w:sdtContent>
              <w:p w14:paraId="2E485368" w14:textId="77777777" w:rsidR="00002DA2" w:rsidRPr="00E916E8" w:rsidRDefault="00002DA2" w:rsidP="00002DA2">
                <w:pPr>
                  <w:pStyle w:val="TtuloTDC"/>
                  <w:jc w:val="center"/>
                  <w:rPr>
                    <w:rFonts w:ascii="ITC Avant Garde Std Bk" w:hAnsi="ITC Avant Garde Std Bk"/>
                    <w:color w:val="000000" w:themeColor="text1"/>
                    <w:sz w:val="18"/>
                    <w:szCs w:val="18"/>
                  </w:rPr>
                </w:pPr>
                <w:r w:rsidRPr="00E916E8">
                  <w:rPr>
                    <w:rFonts w:ascii="ITC Avant Garde Std Bk" w:hAnsi="ITC Avant Garde Std Bk"/>
                    <w:color w:val="000000" w:themeColor="text1"/>
                    <w:sz w:val="18"/>
                    <w:szCs w:val="18"/>
                    <w:lang w:val="es-ES"/>
                  </w:rPr>
                  <w:t>Tabla de contenido</w:t>
                </w:r>
              </w:p>
              <w:p w14:paraId="27B48B28" w14:textId="77777777" w:rsidR="00002DA2" w:rsidRPr="00E916E8" w:rsidRDefault="00002DA2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r w:rsidRPr="00E916E8">
                  <w:rPr>
                    <w:rFonts w:ascii="ITC Avant Garde Std Bk" w:hAnsi="ITC Avant Garde Std Bk"/>
                    <w:color w:val="000000" w:themeColor="text1"/>
                    <w:sz w:val="18"/>
                    <w:szCs w:val="18"/>
                  </w:rPr>
                  <w:fldChar w:fldCharType="begin"/>
                </w:r>
                <w:r w:rsidRPr="00E916E8">
                  <w:rPr>
                    <w:rFonts w:ascii="ITC Avant Garde Std Bk" w:hAnsi="ITC Avant Garde Std Bk"/>
                    <w:color w:val="000000" w:themeColor="text1"/>
                    <w:sz w:val="18"/>
                    <w:szCs w:val="18"/>
                  </w:rPr>
                  <w:instrText xml:space="preserve"> TOC \o "1-3" \h \z \u </w:instrText>
                </w:r>
                <w:r w:rsidRPr="00E916E8">
                  <w:rPr>
                    <w:rFonts w:ascii="ITC Avant Garde Std Bk" w:hAnsi="ITC Avant Garde Std Bk"/>
                    <w:color w:val="000000" w:themeColor="text1"/>
                    <w:sz w:val="18"/>
                    <w:szCs w:val="18"/>
                  </w:rPr>
                  <w:fldChar w:fldCharType="separate"/>
                </w:r>
                <w:hyperlink w:anchor="_Toc113283697" w:history="1">
                  <w:r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ACUERDO MEDIANTE EL CUAL LA PROCURADURÍA FEDERAL DEL CONSUMIDOR Y EL INSTITUTO FEDERAL DE TELECOMUNICACIONES, DETERMINAN LOS DERECHOS MÍNIMOS QUE DEBEN INCLUIRSE EN LA CARTA A QUE HACE REFERENCIA EL ARTÍCULO 191 DE LA LEY FEDERAL DE TELECOMUNICACIONES Y RADIODIFUSIÓN</w:t>
                  </w:r>
                  <w:r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_Toc113283697 \h </w:instrText>
                  </w:r>
                  <w:r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</w:t>
                  </w:r>
                  <w:r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544B5738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698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I. LIBERTAD DE ELEGIR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_Toc113283698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2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695DE971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699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II. ACCESO A LA INFORMACIÓN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_Toc113283699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3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52D175AE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00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III. CONDICIONES DE CONTRATACIÓN, CLARAS, JUSTAS Y EQUITATIVAS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_Toc113283700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4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489C880D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01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Modificaciones del contrato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_Toc113283701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5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381C2D85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02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Contrato registrado ante PROFECO e inscrito en el IFT.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_Toc113283702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5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2C0B1624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03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Vigencia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_Toc113283703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6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405D4037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04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Terminación del Contrato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_Toc113283704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6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54754F5A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05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Penas razonables, proporcionales, recíprocas y equitativas.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_Toc113283705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7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33721393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06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Servicios adicionales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_Toc113283706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7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3A65CD1D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07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Renovación del contrato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_Toc113283707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7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6E7A9BC9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08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Tarifas registradas ante el IFT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_Toc113283708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7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70B76E72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09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Devoluciones y Bonificaciones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_Toc113283709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7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4814F224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10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IV. DESBLOQUEO DE EQUIPO TERMINAL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_Toc113283710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8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669A2A1D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11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V. PORTABILIDAD DEL NÚMERO TELEFÓNICO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_Toc113283711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8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434E8EF9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12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VI. EQUIPOS TERMINALES Y GARANTÍAS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_Toc113283712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9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37CFCAA3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13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Garantías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_Toc113283713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9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399DA36F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14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Reparaciones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_Toc113283714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9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6F93B974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15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Restitución de equipos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_Toc113283715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10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113E9912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16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VII. ACCESIBILIDAD Y NO DISCRIMINACIÓN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_Toc113283716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10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2982F9D1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17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Acceso en igualdad de condiciones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_Toc113283717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10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20B69C32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18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De las personas con discapacidad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_Toc113283718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10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1892F8C4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19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Centros de atención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_Toc113283719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10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595E3F6F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20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Información Accesible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_Toc113283720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10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0FB46310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21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Páginas de Internet accesibles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_Toc113283721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11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16491935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22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Equipos y dispositivos accesibles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_Toc113283722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11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0D58C92B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23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VIII. PROTECCIÓN DE DATOS PERSONALES Y PRIVACIDAD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_Toc113283723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11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222A31F7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24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Datos personales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_Toc113283724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11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47CBA52D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25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Aviso de privacidad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_Toc113283725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11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6A8C7E05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26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Publicidad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_Toc113283726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11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2ACB7B61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27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IX. CALIDAD Y NEUTRALIDAD EN LA RED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_Toc113283727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12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5B4911DA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28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Calidad en el servicio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_Toc113283728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12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1D3EBB54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29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Neutralidad de la red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_Toc113283729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12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0AA544E9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30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X. FACTURACIÓN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_Toc113283730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12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01514563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31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Suspensión del servicio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_Toc113283731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13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25DF96EC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32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Restablecimiento del servicio y reconexión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_Toc113283732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13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0DAD98CE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33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Cobro por duración de las comunicaciones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_Toc113283733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13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57CBD73C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34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XI. ROBO Y EXTRAVÍO – SERVICIOS DE EMERGENCIA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_Toc113283734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13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420D0A6D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35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Robo y extravío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_Toc113283735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13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0955CFDE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36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Servicios de emergencia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_Toc113283736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14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3C142A13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37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XII. ATENCIÓN GRATUITA DEL PROVEEDOR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_Toc113283737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14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6C9EFE1B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38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XIII. TELEVISIÓN DE PAGA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_Toc113283738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15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2A873E88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39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Recibir gratuitamente las señales de televisión abierta (TV Abierta)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_Toc113283739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15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2176B077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40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Bloqueo de aplicaciones o servicios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_Toc113283740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15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615C7C87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41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Control parental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_Toc113283741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15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342222D5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42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XIV. PROTECCIÓN DE LAS INSTITUCIONES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_Toc113283742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15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1C9F0C6A" w14:textId="77777777" w:rsidR="00002DA2" w:rsidRPr="00E916E8" w:rsidRDefault="00E916E8" w:rsidP="00002DA2">
                <w:pPr>
                  <w:pStyle w:val="TDC2"/>
                  <w:tabs>
                    <w:tab w:val="right" w:leader="dot" w:pos="8832"/>
                  </w:tabs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43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Representación colectiva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_Toc113283743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15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1CABF97B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44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TRANSITORIOS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_Toc113283744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15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0C8E954A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45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Anexo 1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_Toc113283745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16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5501F4CC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46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Herramientas para empoderar a las personas usuarias de servicios de telecomunicaciones.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_Toc113283746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16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471929CC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47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Anexo 2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_Toc113283747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17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2B656255" w14:textId="77777777" w:rsidR="00002DA2" w:rsidRPr="00E916E8" w:rsidRDefault="00E916E8" w:rsidP="00002DA2">
                <w:pPr>
                  <w:pStyle w:val="TDC1"/>
                  <w:rPr>
                    <w:rFonts w:ascii="ITC Avant Garde Std Bk" w:eastAsiaTheme="minorEastAsia" w:hAnsi="ITC Avant Garde Std Bk" w:cstheme="minorBidi"/>
                    <w:noProof/>
                    <w:color w:val="000000" w:themeColor="text1"/>
                    <w:sz w:val="18"/>
                    <w:szCs w:val="18"/>
                    <w:lang w:eastAsia="es-MX"/>
                  </w:rPr>
                </w:pPr>
                <w:hyperlink w:anchor="_Toc113283748" w:history="1">
                  <w:r w:rsidR="00002DA2" w:rsidRPr="00E916E8">
                    <w:rPr>
                      <w:rStyle w:val="Hipervnculo"/>
                      <w:rFonts w:ascii="ITC Avant Garde Std Bk" w:hAnsi="ITC Avant Garde Std Bk"/>
                      <w:noProof/>
                      <w:color w:val="000000" w:themeColor="text1"/>
                      <w:sz w:val="18"/>
                      <w:szCs w:val="18"/>
                    </w:rPr>
                    <w:t>VERSIÓN EJECUTIVA DE LA CARTA DE DERECHOS MÍNIMOS DE LAS PERSONAS USUARIAS DE SERVICIOS DE TELECOMUNICACIONES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ab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begin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instrText xml:space="preserve"> PAGEREF _Toc113283748 \h </w:instrTex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t>17</w:t>
                  </w:r>
                  <w:r w:rsidR="00002DA2" w:rsidRPr="00E916E8">
                    <w:rPr>
                      <w:rFonts w:ascii="ITC Avant Garde Std Bk" w:hAnsi="ITC Avant Garde Std Bk"/>
                      <w:noProof/>
                      <w:webHidden/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hyperlink>
              </w:p>
              <w:p w14:paraId="6308C07A" w14:textId="79EB8824" w:rsidR="00002DA2" w:rsidRPr="00E916E8" w:rsidRDefault="00002DA2" w:rsidP="00002DA2">
                <w:pPr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</w:pPr>
                <w:r w:rsidRPr="00E916E8">
                  <w:rPr>
                    <w:rFonts w:ascii="ITC Avant Garde Std Bk" w:hAnsi="ITC Avant Garde Std Bk"/>
                    <w:b/>
                    <w:bCs/>
                    <w:color w:val="000000" w:themeColor="text1"/>
                    <w:sz w:val="18"/>
                    <w:szCs w:val="18"/>
                    <w:lang w:val="es-ES"/>
                  </w:rPr>
                  <w:fldChar w:fldCharType="end"/>
                </w:r>
              </w:p>
            </w:sdtContent>
          </w:sdt>
        </w:tc>
      </w:tr>
    </w:tbl>
    <w:p w14:paraId="4E6C6C7C" w14:textId="77777777" w:rsidR="00F73022" w:rsidRPr="00E916E8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245093DC" w:rsidR="00F73022" w:rsidRPr="00E916E8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916E8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E916E8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E916E8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E916E8">
        <w:rPr>
          <w:rFonts w:ascii="ITC Avant Garde" w:hAnsi="ITC Avant Garde"/>
          <w:color w:val="000000" w:themeColor="text1"/>
          <w:sz w:val="21"/>
          <w:szCs w:val="21"/>
        </w:rPr>
        <w:t xml:space="preserve"> </w:t>
      </w:r>
      <w:r w:rsidR="00F73022" w:rsidRPr="00E916E8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16E8" w:rsidRPr="00E916E8" w14:paraId="373C675C" w14:textId="77777777" w:rsidTr="00DF074B">
        <w:tc>
          <w:tcPr>
            <w:tcW w:w="8828" w:type="dxa"/>
          </w:tcPr>
          <w:p w14:paraId="53B08DCA" w14:textId="3B7036C9" w:rsidR="00F73022" w:rsidRPr="00E916E8" w:rsidRDefault="00640CB0" w:rsidP="00B01DC5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bookmarkStart w:id="0" w:name="_Hlk149646157"/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Determinar los derechos mínimos de los usuarios de servicios de telecomunicaciones</w:t>
            </w:r>
            <w:r w:rsidR="00B01DC5"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que se incluyen en la carta a que hace referencia el artículo 191 de la Ley Federal de Telecomunicaciones y Radiodifusión</w:t>
            </w:r>
          </w:p>
        </w:tc>
      </w:tr>
      <w:bookmarkEnd w:id="0"/>
    </w:tbl>
    <w:p w14:paraId="2355FA42" w14:textId="77777777" w:rsidR="00F73022" w:rsidRPr="00E916E8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E916E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916E8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E916E8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16E8" w:rsidRPr="00E916E8" w14:paraId="36A134C5" w14:textId="77777777" w:rsidTr="00DF074B">
        <w:tc>
          <w:tcPr>
            <w:tcW w:w="8828" w:type="dxa"/>
          </w:tcPr>
          <w:p w14:paraId="0C79C5AD" w14:textId="3AADFE09" w:rsidR="006166DB" w:rsidRPr="00E916E8" w:rsidRDefault="006166DB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C61F7E" w:rsidRPr="00E916E8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 </w:t>
            </w:r>
          </w:p>
        </w:tc>
      </w:tr>
      <w:tr w:rsidR="00E916E8" w:rsidRPr="00E916E8" w14:paraId="78629502" w14:textId="77777777" w:rsidTr="00DF074B">
        <w:tc>
          <w:tcPr>
            <w:tcW w:w="8828" w:type="dxa"/>
          </w:tcPr>
          <w:p w14:paraId="617248E0" w14:textId="1546E954" w:rsidR="006166DB" w:rsidRPr="00E916E8" w:rsidRDefault="006166DB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C61F7E" w:rsidRPr="00E916E8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E916E8" w:rsidRPr="00E916E8" w14:paraId="57FD66D6" w14:textId="77777777" w:rsidTr="00DF074B">
        <w:tc>
          <w:tcPr>
            <w:tcW w:w="8828" w:type="dxa"/>
          </w:tcPr>
          <w:p w14:paraId="1A7A117B" w14:textId="54E571A2" w:rsidR="00C61F7E" w:rsidRPr="00E916E8" w:rsidRDefault="00C61F7E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id w:val="472336335"/>
                <w:placeholder>
                  <w:docPart w:val="0AE67D4D2E524DC881C5715734414D3C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E916E8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E916E8" w:rsidRPr="00E916E8" w14:paraId="46F5E384" w14:textId="77777777" w:rsidTr="00DF074B">
        <w:tc>
          <w:tcPr>
            <w:tcW w:w="8828" w:type="dxa"/>
          </w:tcPr>
          <w:p w14:paraId="55480508" w14:textId="7981C570" w:rsidR="00640CB0" w:rsidRPr="00E916E8" w:rsidRDefault="00640CB0" w:rsidP="00640CB0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id w:val="449750842"/>
                <w:placeholder>
                  <w:docPart w:val="E8755A2E538E40FDB7D800D1192DD752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Pr="00E916E8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E916E8" w:rsidRPr="00E916E8" w14:paraId="380D841C" w14:textId="77777777" w:rsidTr="00DF074B">
        <w:tc>
          <w:tcPr>
            <w:tcW w:w="8828" w:type="dxa"/>
          </w:tcPr>
          <w:p w14:paraId="6C9F585B" w14:textId="2633DD07" w:rsidR="00640CB0" w:rsidRPr="00E916E8" w:rsidRDefault="00640CB0" w:rsidP="00640CB0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Regulado: Concesionarios </w:t>
            </w:r>
            <w:r w:rsidR="008967EA"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y autorizados</w:t>
            </w:r>
          </w:p>
        </w:tc>
      </w:tr>
    </w:tbl>
    <w:p w14:paraId="6F28DB01" w14:textId="5DEA0AD1" w:rsidR="001D0BED" w:rsidRPr="00E916E8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E916E8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916E8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E916E8" w:rsidRPr="00E916E8" w14:paraId="0977E504" w14:textId="77777777" w:rsidTr="00DF074B">
        <w:trPr>
          <w:trHeight w:val="65"/>
        </w:trPr>
        <w:tc>
          <w:tcPr>
            <w:tcW w:w="8828" w:type="dxa"/>
          </w:tcPr>
          <w:p w14:paraId="6944846B" w14:textId="77777777" w:rsidR="00B13673" w:rsidRPr="00E916E8" w:rsidRDefault="00640CB0" w:rsidP="00CB353A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Ley Federal de Telecomunicaciones y Radiodifusión</w:t>
            </w:r>
          </w:p>
          <w:p w14:paraId="0DB3A945" w14:textId="77777777" w:rsidR="00640CB0" w:rsidRPr="00E916E8" w:rsidRDefault="00640CB0" w:rsidP="00CB353A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Reglas de Portabilidad Numérica </w:t>
            </w:r>
          </w:p>
          <w:p w14:paraId="497EF0E9" w14:textId="77777777" w:rsidR="00640CB0" w:rsidRPr="00E916E8" w:rsidRDefault="00640CB0" w:rsidP="00CB353A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Lineamientos Generales para la publicación de información transparente, comparable, adecuada y actualizada relacionada con los servicios de telecomunicaciones</w:t>
            </w:r>
          </w:p>
          <w:p w14:paraId="1D2E4A99" w14:textId="77777777" w:rsidR="00640CB0" w:rsidRPr="00E916E8" w:rsidRDefault="00640CB0" w:rsidP="00CB353A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Lineamientos que fijan los índices y parámetros de calidad a que deberán sujetarse los prestadores del servicio fijo</w:t>
            </w:r>
          </w:p>
          <w:p w14:paraId="5EA51372" w14:textId="77777777" w:rsidR="00640CB0" w:rsidRPr="00E916E8" w:rsidRDefault="00640CB0" w:rsidP="00CB353A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lastRenderedPageBreak/>
              <w:t>Lineamientos que fijan los índices y parámetros de calidad a que deberán sujetarse los prestadores del servicio móvil</w:t>
            </w:r>
          </w:p>
          <w:p w14:paraId="708486BF" w14:textId="77777777" w:rsidR="00640CB0" w:rsidRPr="00E916E8" w:rsidRDefault="00640CB0" w:rsidP="00CB353A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Lineamientos de Colaboración en Materia de Seguridad y Justicia, </w:t>
            </w:r>
          </w:p>
          <w:p w14:paraId="056EAE1C" w14:textId="77777777" w:rsidR="00640CB0" w:rsidRPr="00E916E8" w:rsidRDefault="00640CB0" w:rsidP="00CB353A">
            <w:pPr>
              <w:pStyle w:val="Prrafodelista"/>
              <w:numPr>
                <w:ilvl w:val="0"/>
                <w:numId w:val="15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Lineamientos Generales de Accesibilidad a Servicios de Telecomunicaciones para los Usuarios con Discapacidad</w:t>
            </w:r>
          </w:p>
          <w:p w14:paraId="5D4A60FE" w14:textId="5533A446" w:rsidR="00002DA2" w:rsidRPr="00E916E8" w:rsidRDefault="00002DA2" w:rsidP="00002DA2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Acuerdo por el cual la Procuraduría Federal del Consumidor y el Instituto Federal de Telecomunicaciones modifican el Acuerdo mediante el cual la Procuraduría Federal del Consumidor y el Instituto Federal de Telecomunicaciones, determinan los derechos mínimos que deben incluirse en la carta a que hace referencia el artículo 191 de la Ley Federal de Telecomunicaciones y Radiodifusión, publicado el 25 de enero de 2022</w:t>
            </w:r>
          </w:p>
        </w:tc>
      </w:tr>
    </w:tbl>
    <w:p w14:paraId="03FABE9B" w14:textId="45F8751D" w:rsidR="00DC3A1A" w:rsidRPr="00E916E8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E916E8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916E8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E916E8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16E8" w:rsidRPr="00E916E8" w14:paraId="096E5FBB" w14:textId="77777777" w:rsidTr="007D2FD6">
        <w:tc>
          <w:tcPr>
            <w:tcW w:w="8828" w:type="dxa"/>
          </w:tcPr>
          <w:p w14:paraId="1E0A3A61" w14:textId="1A7953DA" w:rsidR="007D2FD6" w:rsidRPr="00E916E8" w:rsidRDefault="00A82407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aplica.</w:t>
            </w:r>
          </w:p>
        </w:tc>
      </w:tr>
    </w:tbl>
    <w:p w14:paraId="37E6B748" w14:textId="77777777" w:rsidR="006166DB" w:rsidRPr="00E916E8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16E8" w:rsidRPr="00E916E8" w14:paraId="1683D7BD" w14:textId="77777777" w:rsidTr="007D2FD6">
        <w:tc>
          <w:tcPr>
            <w:tcW w:w="8828" w:type="dxa"/>
          </w:tcPr>
          <w:p w14:paraId="6A09D6D7" w14:textId="52AFEC43" w:rsidR="00A82407" w:rsidRPr="00E916E8" w:rsidRDefault="00640CB0" w:rsidP="00640CB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E916E8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aplica.</w:t>
            </w:r>
          </w:p>
        </w:tc>
      </w:tr>
    </w:tbl>
    <w:p w14:paraId="6B64E51A" w14:textId="063DA17B" w:rsidR="004B7538" w:rsidRPr="00E916E8" w:rsidRDefault="00DC3A1A" w:rsidP="008428D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E916E8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sectPr w:rsidR="004B7538" w:rsidRPr="00E916E8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B20E" w14:textId="77777777" w:rsidR="006D5678" w:rsidRDefault="006D5678" w:rsidP="006166DB">
      <w:pPr>
        <w:spacing w:after="0" w:line="240" w:lineRule="auto"/>
      </w:pPr>
      <w:r>
        <w:separator/>
      </w:r>
    </w:p>
  </w:endnote>
  <w:endnote w:type="continuationSeparator" w:id="0">
    <w:p w14:paraId="3405865F" w14:textId="77777777" w:rsidR="006D5678" w:rsidRDefault="006D5678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3BF1" w14:textId="77777777" w:rsidR="006D5678" w:rsidRDefault="006D5678" w:rsidP="006166DB">
      <w:pPr>
        <w:spacing w:after="0" w:line="240" w:lineRule="auto"/>
      </w:pPr>
      <w:r>
        <w:separator/>
      </w:r>
    </w:p>
  </w:footnote>
  <w:footnote w:type="continuationSeparator" w:id="0">
    <w:p w14:paraId="6A4C3F9F" w14:textId="77777777" w:rsidR="006D5678" w:rsidRDefault="006D5678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225E11FC" w:rsidR="003C2D2C" w:rsidRPr="00AC574F" w:rsidRDefault="003C2D2C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7381E1E3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74F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719365">
    <w:abstractNumId w:val="5"/>
  </w:num>
  <w:num w:numId="2" w16cid:durableId="1052273235">
    <w:abstractNumId w:val="4"/>
  </w:num>
  <w:num w:numId="3" w16cid:durableId="1302811022">
    <w:abstractNumId w:val="1"/>
  </w:num>
  <w:num w:numId="4" w16cid:durableId="195897606">
    <w:abstractNumId w:val="2"/>
  </w:num>
  <w:num w:numId="5" w16cid:durableId="159389985">
    <w:abstractNumId w:val="7"/>
  </w:num>
  <w:num w:numId="6" w16cid:durableId="608589572">
    <w:abstractNumId w:val="14"/>
  </w:num>
  <w:num w:numId="7" w16cid:durableId="1395201518">
    <w:abstractNumId w:val="13"/>
  </w:num>
  <w:num w:numId="8" w16cid:durableId="1441796695">
    <w:abstractNumId w:val="8"/>
  </w:num>
  <w:num w:numId="9" w16cid:durableId="525874404">
    <w:abstractNumId w:val="9"/>
  </w:num>
  <w:num w:numId="10" w16cid:durableId="1227764809">
    <w:abstractNumId w:val="12"/>
  </w:num>
  <w:num w:numId="11" w16cid:durableId="636649009">
    <w:abstractNumId w:val="10"/>
  </w:num>
  <w:num w:numId="12" w16cid:durableId="1746680595">
    <w:abstractNumId w:val="6"/>
  </w:num>
  <w:num w:numId="13" w16cid:durableId="228463337">
    <w:abstractNumId w:val="0"/>
  </w:num>
  <w:num w:numId="14" w16cid:durableId="1309672158">
    <w:abstractNumId w:val="15"/>
  </w:num>
  <w:num w:numId="15" w16cid:durableId="624701707">
    <w:abstractNumId w:val="11"/>
  </w:num>
  <w:num w:numId="16" w16cid:durableId="1241259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mailMerge>
    <w:mainDocumentType w:val="catalog"/>
    <w:dataType w:val="textFile"/>
    <w:activeRecord w:val="-1"/>
  </w:mailMerge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02DA2"/>
    <w:rsid w:val="0002355D"/>
    <w:rsid w:val="00085CAE"/>
    <w:rsid w:val="000911B6"/>
    <w:rsid w:val="00160C02"/>
    <w:rsid w:val="001A0D96"/>
    <w:rsid w:val="001A12A2"/>
    <w:rsid w:val="001C36BF"/>
    <w:rsid w:val="001D0BED"/>
    <w:rsid w:val="001F3494"/>
    <w:rsid w:val="001F5E47"/>
    <w:rsid w:val="00207BA8"/>
    <w:rsid w:val="00223B0B"/>
    <w:rsid w:val="002434FF"/>
    <w:rsid w:val="00250D5A"/>
    <w:rsid w:val="002B0B24"/>
    <w:rsid w:val="002E37B6"/>
    <w:rsid w:val="00326275"/>
    <w:rsid w:val="00332FE9"/>
    <w:rsid w:val="00366E21"/>
    <w:rsid w:val="00384692"/>
    <w:rsid w:val="003A162A"/>
    <w:rsid w:val="003C2D2C"/>
    <w:rsid w:val="003F1D7B"/>
    <w:rsid w:val="003F50B6"/>
    <w:rsid w:val="00446F0C"/>
    <w:rsid w:val="00493E6E"/>
    <w:rsid w:val="004B7538"/>
    <w:rsid w:val="004C31A6"/>
    <w:rsid w:val="004C3FAC"/>
    <w:rsid w:val="004C75E5"/>
    <w:rsid w:val="004D6D14"/>
    <w:rsid w:val="004E552A"/>
    <w:rsid w:val="005034EB"/>
    <w:rsid w:val="00520991"/>
    <w:rsid w:val="0057603F"/>
    <w:rsid w:val="00585BD4"/>
    <w:rsid w:val="005E34D0"/>
    <w:rsid w:val="005F0181"/>
    <w:rsid w:val="0061003C"/>
    <w:rsid w:val="006166DB"/>
    <w:rsid w:val="00640CB0"/>
    <w:rsid w:val="00641211"/>
    <w:rsid w:val="006441CF"/>
    <w:rsid w:val="0065492B"/>
    <w:rsid w:val="006911B3"/>
    <w:rsid w:val="006D5678"/>
    <w:rsid w:val="006F7E1D"/>
    <w:rsid w:val="00703626"/>
    <w:rsid w:val="00703C14"/>
    <w:rsid w:val="00720D02"/>
    <w:rsid w:val="00730E59"/>
    <w:rsid w:val="007466F1"/>
    <w:rsid w:val="00774D3F"/>
    <w:rsid w:val="0078318D"/>
    <w:rsid w:val="007A1022"/>
    <w:rsid w:val="007D2FD6"/>
    <w:rsid w:val="007F5106"/>
    <w:rsid w:val="008017FB"/>
    <w:rsid w:val="00802508"/>
    <w:rsid w:val="00810332"/>
    <w:rsid w:val="00815D92"/>
    <w:rsid w:val="008428DC"/>
    <w:rsid w:val="0089205E"/>
    <w:rsid w:val="00894294"/>
    <w:rsid w:val="008967EA"/>
    <w:rsid w:val="008D6F5A"/>
    <w:rsid w:val="0092333A"/>
    <w:rsid w:val="009479DE"/>
    <w:rsid w:val="009701A3"/>
    <w:rsid w:val="00977ED5"/>
    <w:rsid w:val="009918CF"/>
    <w:rsid w:val="00993225"/>
    <w:rsid w:val="009A6722"/>
    <w:rsid w:val="009D567D"/>
    <w:rsid w:val="009E7D91"/>
    <w:rsid w:val="00A3392B"/>
    <w:rsid w:val="00A70F6B"/>
    <w:rsid w:val="00A82407"/>
    <w:rsid w:val="00A93C7F"/>
    <w:rsid w:val="00AC079F"/>
    <w:rsid w:val="00AC574F"/>
    <w:rsid w:val="00AD4846"/>
    <w:rsid w:val="00AF71CC"/>
    <w:rsid w:val="00B018E8"/>
    <w:rsid w:val="00B01DC5"/>
    <w:rsid w:val="00B13673"/>
    <w:rsid w:val="00B248ED"/>
    <w:rsid w:val="00B30E6B"/>
    <w:rsid w:val="00B8531B"/>
    <w:rsid w:val="00BE45D0"/>
    <w:rsid w:val="00BF2093"/>
    <w:rsid w:val="00C61F7E"/>
    <w:rsid w:val="00C76443"/>
    <w:rsid w:val="00C8049B"/>
    <w:rsid w:val="00C965CE"/>
    <w:rsid w:val="00CA43C3"/>
    <w:rsid w:val="00CB1C8D"/>
    <w:rsid w:val="00CB353A"/>
    <w:rsid w:val="00CF5F25"/>
    <w:rsid w:val="00D13247"/>
    <w:rsid w:val="00D14569"/>
    <w:rsid w:val="00D258BF"/>
    <w:rsid w:val="00D93EA9"/>
    <w:rsid w:val="00DB3C65"/>
    <w:rsid w:val="00DC3142"/>
    <w:rsid w:val="00DC3A1A"/>
    <w:rsid w:val="00DF074B"/>
    <w:rsid w:val="00DF1654"/>
    <w:rsid w:val="00E70994"/>
    <w:rsid w:val="00E916E8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8678C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8967EA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002DA2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rsid w:val="00002DA2"/>
    <w:pPr>
      <w:tabs>
        <w:tab w:val="right" w:leader="dot" w:pos="8832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002DA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6EE3B8568444D90388555AE61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95DC-93C1-41FA-B252-ED48A1F84E90}"/>
      </w:docPartPr>
      <w:docPartBody>
        <w:p w:rsidR="00B351E5" w:rsidRDefault="00A23889" w:rsidP="00A23889">
          <w:pPr>
            <w:pStyle w:val="3726EE3B8568444D90388555AE61BB3C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AE67D4D2E524DC881C571573441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2D19-2C38-42BC-A5AF-90A667C3AC41}"/>
      </w:docPartPr>
      <w:docPartBody>
        <w:p w:rsidR="00B351E5" w:rsidRDefault="00A23889" w:rsidP="00A23889">
          <w:pPr>
            <w:pStyle w:val="0AE67D4D2E524DC881C5715734414D3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E8755A2E538E40FDB7D800D1192DD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88BB-866F-45D1-BC95-3F187A055A70}"/>
      </w:docPartPr>
      <w:docPartBody>
        <w:p w:rsidR="00A60F5B" w:rsidRDefault="00A60F5B" w:rsidP="00A60F5B">
          <w:pPr>
            <w:pStyle w:val="E8755A2E538E40FDB7D800D1192DD752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05BF5"/>
    <w:rsid w:val="00006BF8"/>
    <w:rsid w:val="00017150"/>
    <w:rsid w:val="000A040B"/>
    <w:rsid w:val="000A4C7D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34F5B"/>
    <w:rsid w:val="004E3322"/>
    <w:rsid w:val="00530D59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23889"/>
    <w:rsid w:val="00A52267"/>
    <w:rsid w:val="00A60F5B"/>
    <w:rsid w:val="00A72DE6"/>
    <w:rsid w:val="00AF6C7D"/>
    <w:rsid w:val="00B01F8A"/>
    <w:rsid w:val="00B351E5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4C7D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AE67D4D2E524DC881C5715734414D3C">
    <w:name w:val="0AE67D4D2E524DC881C5715734414D3C"/>
    <w:rsid w:val="00A23889"/>
  </w:style>
  <w:style w:type="paragraph" w:customStyle="1" w:styleId="E8755A2E538E40FDB7D800D1192DD752">
    <w:name w:val="E8755A2E538E40FDB7D800D1192DD752"/>
    <w:rsid w:val="00A60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FA1D3-5123-4225-BB0A-F635036AB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1297</Words>
  <Characters>6852</Characters>
  <Application>Microsoft Office Word</Application>
  <DocSecurity>0</DocSecurity>
  <Lines>116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la Carta de derechos mínimos de los usuarios de servicios de telecomunicaciones</vt:lpstr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la Carta de derechos mínimos de los usuarios de servicios de telecomunicaciones</dc:title>
  <dc:subject/>
  <dc:creator>Luis Fernando Rosas Yanez</dc:creator>
  <cp:keywords/>
  <dc:description/>
  <cp:lastModifiedBy>Carolina Sanchez Alquicira</cp:lastModifiedBy>
  <cp:revision>5</cp:revision>
  <dcterms:created xsi:type="dcterms:W3CDTF">2023-10-30T18:50:00Z</dcterms:created>
  <dcterms:modified xsi:type="dcterms:W3CDTF">2023-10-31T19:26:00Z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