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F4F7E"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7F4F7E" w14:paraId="1B2E1BC8" w14:textId="77777777" w:rsidTr="00DF074B">
        <w:tc>
          <w:tcPr>
            <w:tcW w:w="8828" w:type="dxa"/>
          </w:tcPr>
          <w:p w14:paraId="5E631BCB" w14:textId="58D8B07F" w:rsidR="006166DB" w:rsidRPr="007F4F7E" w:rsidRDefault="007F4F7E" w:rsidP="007F4F7E">
            <w:pPr>
              <w:contextualSpacing/>
              <w:mirrorIndents/>
              <w:jc w:val="both"/>
              <w:rPr>
                <w:rFonts w:ascii="ITC Avant Garde Std Bk" w:hAnsi="ITC Avant Garde Std Bk"/>
                <w:color w:val="000000" w:themeColor="text1"/>
                <w:sz w:val="21"/>
                <w:szCs w:val="21"/>
              </w:rPr>
            </w:pPr>
            <w:r w:rsidRPr="00B86C0F">
              <w:rPr>
                <w:rFonts w:ascii="ITC Avant Garde Std Bk" w:hAnsi="ITC Avant Garde Std Bk"/>
                <w:color w:val="000000" w:themeColor="text1"/>
                <w:sz w:val="21"/>
                <w:szCs w:val="21"/>
              </w:rPr>
              <w:t>Resolución por la que el Pleno de la Comisión Federal de Telecomunicaciones expide el Plan Técnico Fundamental de Interconexión e Interoperabilidad.</w:t>
            </w:r>
          </w:p>
        </w:tc>
      </w:tr>
    </w:tbl>
    <w:p w14:paraId="52EC83BF" w14:textId="77777777" w:rsidR="006166DB" w:rsidRPr="007F4F7E"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7F4F7E"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F4F7E" w14:paraId="454C3A95" w14:textId="77777777" w:rsidTr="00DF074B">
        <w:tc>
          <w:tcPr>
            <w:tcW w:w="8828" w:type="dxa"/>
          </w:tcPr>
          <w:p w14:paraId="1A68E5FF" w14:textId="21DAD939" w:rsidR="006166DB" w:rsidRPr="007F4F7E" w:rsidRDefault="006166DB" w:rsidP="002434FF">
            <w:pPr>
              <w:contextualSpacing/>
              <w:mirrorIndents/>
              <w:rPr>
                <w:rStyle w:val="Estilo4"/>
                <w:sz w:val="21"/>
                <w:szCs w:val="21"/>
              </w:rPr>
            </w:pPr>
            <w:r w:rsidRPr="007F4F7E">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09-02-03T00:00:00Z">
                  <w:dateFormat w:val="dd/MM/yyyy"/>
                  <w:lid w:val="es-MX"/>
                  <w:storeMappedDataAs w:val="dateTime"/>
                  <w:calendar w:val="gregorian"/>
                </w:date>
              </w:sdtPr>
              <w:sdtEndPr>
                <w:rPr>
                  <w:rStyle w:val="Estilo4"/>
                </w:rPr>
              </w:sdtEndPr>
              <w:sdtContent>
                <w:r w:rsidR="00AF71CC" w:rsidRPr="007F4F7E">
                  <w:rPr>
                    <w:rStyle w:val="Estilo4"/>
                    <w:sz w:val="21"/>
                    <w:szCs w:val="21"/>
                  </w:rPr>
                  <w:t>0</w:t>
                </w:r>
                <w:r w:rsidR="007F4F7E" w:rsidRPr="007F4F7E">
                  <w:rPr>
                    <w:rStyle w:val="Estilo4"/>
                    <w:sz w:val="21"/>
                    <w:szCs w:val="21"/>
                  </w:rPr>
                  <w:t>3</w:t>
                </w:r>
                <w:r w:rsidR="00AF71CC" w:rsidRPr="007F4F7E">
                  <w:rPr>
                    <w:rStyle w:val="Estilo4"/>
                    <w:sz w:val="21"/>
                    <w:szCs w:val="21"/>
                  </w:rPr>
                  <w:t>/0</w:t>
                </w:r>
                <w:r w:rsidR="007F4F7E" w:rsidRPr="007F4F7E">
                  <w:rPr>
                    <w:rStyle w:val="Estilo4"/>
                    <w:sz w:val="21"/>
                    <w:szCs w:val="21"/>
                  </w:rPr>
                  <w:t>2</w:t>
                </w:r>
                <w:r w:rsidR="0092333A" w:rsidRPr="007F4F7E">
                  <w:rPr>
                    <w:rStyle w:val="Estilo4"/>
                    <w:sz w:val="21"/>
                    <w:szCs w:val="21"/>
                  </w:rPr>
                  <w:t>/20</w:t>
                </w:r>
                <w:r w:rsidR="007F4F7E" w:rsidRPr="007F4F7E">
                  <w:rPr>
                    <w:rStyle w:val="Estilo4"/>
                    <w:sz w:val="21"/>
                    <w:szCs w:val="21"/>
                  </w:rPr>
                  <w:t>09</w:t>
                </w:r>
              </w:sdtContent>
            </w:sdt>
          </w:p>
        </w:tc>
      </w:tr>
      <w:tr w:rsidR="003F1D7B" w:rsidRPr="007F4F7E" w14:paraId="098151CF" w14:textId="77777777" w:rsidTr="00DF074B">
        <w:tc>
          <w:tcPr>
            <w:tcW w:w="8828" w:type="dxa"/>
          </w:tcPr>
          <w:p w14:paraId="07D4CB20" w14:textId="5B07F403" w:rsidR="003F1D7B" w:rsidRPr="007F4F7E" w:rsidRDefault="003F1D7B" w:rsidP="003F1D7B">
            <w:pPr>
              <w:contextualSpacing/>
              <w:mirrorIndents/>
              <w:rPr>
                <w:rStyle w:val="Estilo4"/>
                <w:sz w:val="21"/>
                <w:szCs w:val="21"/>
              </w:rPr>
            </w:pPr>
            <w:r w:rsidRPr="007F4F7E">
              <w:rPr>
                <w:rStyle w:val="Estilo4"/>
                <w:sz w:val="21"/>
                <w:szCs w:val="21"/>
              </w:rPr>
              <w:t>Fecha de publicación en el DOF: 1</w:t>
            </w:r>
            <w:r w:rsidR="007F4F7E" w:rsidRPr="007F4F7E">
              <w:rPr>
                <w:rStyle w:val="Estilo4"/>
                <w:sz w:val="21"/>
                <w:szCs w:val="21"/>
              </w:rPr>
              <w:t>0</w:t>
            </w:r>
            <w:r w:rsidRPr="007F4F7E">
              <w:rPr>
                <w:rStyle w:val="Estilo4"/>
                <w:sz w:val="21"/>
                <w:szCs w:val="21"/>
              </w:rPr>
              <w:t>/0</w:t>
            </w:r>
            <w:r w:rsidR="007F4F7E" w:rsidRPr="007F4F7E">
              <w:rPr>
                <w:rStyle w:val="Estilo4"/>
                <w:sz w:val="21"/>
                <w:szCs w:val="21"/>
              </w:rPr>
              <w:t>2</w:t>
            </w:r>
            <w:r w:rsidRPr="007F4F7E">
              <w:rPr>
                <w:rStyle w:val="Estilo4"/>
                <w:sz w:val="21"/>
                <w:szCs w:val="21"/>
              </w:rPr>
              <w:t>/20</w:t>
            </w:r>
            <w:r w:rsidR="007F4F7E" w:rsidRPr="007F4F7E">
              <w:rPr>
                <w:rStyle w:val="Estilo4"/>
                <w:sz w:val="21"/>
                <w:szCs w:val="21"/>
              </w:rPr>
              <w:t>09</w:t>
            </w:r>
            <w:r w:rsidRPr="007F4F7E">
              <w:rPr>
                <w:rStyle w:val="Estilo4"/>
                <w:sz w:val="21"/>
                <w:szCs w:val="21"/>
              </w:rPr>
              <w:t xml:space="preserve"> </w:t>
            </w:r>
          </w:p>
        </w:tc>
      </w:tr>
      <w:tr w:rsidR="00DF074B" w:rsidRPr="007F4F7E" w14:paraId="784A8897" w14:textId="77777777" w:rsidTr="00DF074B">
        <w:tc>
          <w:tcPr>
            <w:tcW w:w="8828" w:type="dxa"/>
          </w:tcPr>
          <w:p w14:paraId="335C558B" w14:textId="0A90F3B5" w:rsidR="00DF074B" w:rsidRPr="007F4F7E" w:rsidRDefault="004C31A6" w:rsidP="003F1D7B">
            <w:pPr>
              <w:contextualSpacing/>
              <w:mirrorIndents/>
              <w:rPr>
                <w:rStyle w:val="Estilo4"/>
                <w:sz w:val="21"/>
                <w:szCs w:val="21"/>
                <w:highlight w:val="yellow"/>
              </w:rPr>
            </w:pPr>
            <w:r w:rsidRPr="007F4F7E">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7F4F7E" w:rsidRPr="007F4F7E">
                  <w:rPr>
                    <w:rStyle w:val="Estilo4"/>
                    <w:sz w:val="21"/>
                    <w:szCs w:val="21"/>
                  </w:rPr>
                  <w:t xml:space="preserve">Indefinida </w:t>
                </w:r>
              </w:sdtContent>
            </w:sdt>
          </w:p>
        </w:tc>
      </w:tr>
      <w:tr w:rsidR="006166DB" w:rsidRPr="007F4F7E" w14:paraId="25C2F9B9" w14:textId="77777777" w:rsidTr="00DF074B">
        <w:tc>
          <w:tcPr>
            <w:tcW w:w="8828" w:type="dxa"/>
          </w:tcPr>
          <w:p w14:paraId="187042E5" w14:textId="167CE2BE" w:rsidR="006166DB" w:rsidRPr="007F4F7E" w:rsidRDefault="006166DB" w:rsidP="002434FF">
            <w:pPr>
              <w:contextualSpacing/>
              <w:mirrorIndents/>
              <w:rPr>
                <w:rStyle w:val="Estilo4"/>
                <w:sz w:val="21"/>
                <w:szCs w:val="21"/>
                <w:highlight w:val="yellow"/>
              </w:rPr>
            </w:pPr>
            <w:r w:rsidRPr="007F4F7E">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09-02-11T00:00:00Z">
                  <w:dateFormat w:val="dd/MM/yyyy"/>
                  <w:lid w:val="es-MX"/>
                  <w:storeMappedDataAs w:val="dateTime"/>
                  <w:calendar w:val="gregorian"/>
                </w:date>
              </w:sdtPr>
              <w:sdtEndPr>
                <w:rPr>
                  <w:rStyle w:val="Estilo4"/>
                </w:rPr>
              </w:sdtEndPr>
              <w:sdtContent>
                <w:r w:rsidR="007F4F7E" w:rsidRPr="007F4F7E">
                  <w:rPr>
                    <w:rStyle w:val="Estilo4"/>
                    <w:sz w:val="21"/>
                    <w:szCs w:val="21"/>
                  </w:rPr>
                  <w:t>11</w:t>
                </w:r>
                <w:r w:rsidR="0092333A" w:rsidRPr="007F4F7E">
                  <w:rPr>
                    <w:rStyle w:val="Estilo4"/>
                    <w:sz w:val="21"/>
                    <w:szCs w:val="21"/>
                  </w:rPr>
                  <w:t>/0</w:t>
                </w:r>
                <w:r w:rsidR="007F4F7E" w:rsidRPr="007F4F7E">
                  <w:rPr>
                    <w:rStyle w:val="Estilo4"/>
                    <w:sz w:val="21"/>
                    <w:szCs w:val="21"/>
                  </w:rPr>
                  <w:t>2</w:t>
                </w:r>
                <w:r w:rsidR="0092333A" w:rsidRPr="007F4F7E">
                  <w:rPr>
                    <w:rStyle w:val="Estilo4"/>
                    <w:sz w:val="21"/>
                    <w:szCs w:val="21"/>
                  </w:rPr>
                  <w:t>/20</w:t>
                </w:r>
                <w:r w:rsidR="007F4F7E" w:rsidRPr="007F4F7E">
                  <w:rPr>
                    <w:rStyle w:val="Estilo4"/>
                    <w:sz w:val="21"/>
                    <w:szCs w:val="21"/>
                  </w:rPr>
                  <w:t>09</w:t>
                </w:r>
              </w:sdtContent>
            </w:sdt>
            <w:r w:rsidRPr="007F4F7E">
              <w:rPr>
                <w:rStyle w:val="Estilo4"/>
                <w:sz w:val="21"/>
                <w:szCs w:val="21"/>
              </w:rPr>
              <w:t xml:space="preserve"> </w:t>
            </w:r>
          </w:p>
        </w:tc>
      </w:tr>
      <w:tr w:rsidR="00DF074B" w:rsidRPr="007F4F7E" w14:paraId="5C60735A" w14:textId="77777777" w:rsidTr="007F5106">
        <w:trPr>
          <w:trHeight w:val="50"/>
        </w:trPr>
        <w:tc>
          <w:tcPr>
            <w:tcW w:w="8828" w:type="dxa"/>
          </w:tcPr>
          <w:p w14:paraId="43F30054" w14:textId="759A177B" w:rsidR="00DF074B" w:rsidRPr="007F4F7E" w:rsidRDefault="00DF074B" w:rsidP="00DF074B">
            <w:pPr>
              <w:contextualSpacing/>
              <w:mirrorIndents/>
              <w:rPr>
                <w:rStyle w:val="Estilo4"/>
                <w:sz w:val="21"/>
                <w:szCs w:val="21"/>
                <w:highlight w:val="yellow"/>
              </w:rPr>
            </w:pPr>
            <w:r w:rsidRPr="007F4F7E">
              <w:rPr>
                <w:rStyle w:val="Estilo4"/>
                <w:sz w:val="21"/>
                <w:szCs w:val="21"/>
              </w:rPr>
              <w:t xml:space="preserve">Término de la vigencia: </w:t>
            </w:r>
            <w:r w:rsidR="007F4F7E" w:rsidRPr="007F4F7E">
              <w:rPr>
                <w:rStyle w:val="Estilo4"/>
                <w:sz w:val="21"/>
                <w:szCs w:val="21"/>
              </w:rPr>
              <w:t>No aplica</w:t>
            </w:r>
          </w:p>
        </w:tc>
      </w:tr>
    </w:tbl>
    <w:p w14:paraId="7B361F8E" w14:textId="77777777" w:rsidR="006166DB" w:rsidRPr="007F4F7E"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7F4F7E"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F4F7E" w14:paraId="2E594784" w14:textId="77777777" w:rsidTr="00DF074B">
        <w:tc>
          <w:tcPr>
            <w:tcW w:w="8828" w:type="dxa"/>
          </w:tcPr>
          <w:p w14:paraId="6C41AB66" w14:textId="0BE424B1" w:rsidR="006166DB" w:rsidRPr="007F4F7E" w:rsidRDefault="00E90F85" w:rsidP="002434FF">
            <w:pPr>
              <w:mirrorIndents/>
              <w:rPr>
                <w:rFonts w:ascii="ITC Avant Garde Std Bk" w:hAnsi="ITC Avant Garde Std Bk"/>
                <w:color w:val="000000" w:themeColor="text1"/>
                <w:sz w:val="21"/>
                <w:szCs w:val="21"/>
              </w:rPr>
            </w:pPr>
            <w:r w:rsidRPr="00E90F85">
              <w:rPr>
                <w:rFonts w:ascii="ITC Avant Garde Std Bk" w:hAnsi="ITC Avant Garde Std Bk"/>
                <w:color w:val="000000" w:themeColor="text1"/>
                <w:sz w:val="21"/>
                <w:szCs w:val="21"/>
              </w:rPr>
              <w:t>Comisión Federal de Telecomunicaciones</w:t>
            </w:r>
          </w:p>
        </w:tc>
      </w:tr>
    </w:tbl>
    <w:p w14:paraId="32195651" w14:textId="77777777" w:rsidR="006166DB" w:rsidRPr="007F4F7E"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7F4F7E"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F4F7E" w14:paraId="0FEE5916" w14:textId="77777777" w:rsidTr="00DF074B">
        <w:tc>
          <w:tcPr>
            <w:tcW w:w="8828" w:type="dxa"/>
          </w:tcPr>
          <w:p w14:paraId="043F6ABC" w14:textId="3B320B8F" w:rsidR="006166DB" w:rsidRPr="00E90F85" w:rsidRDefault="00E90F85" w:rsidP="002434FF">
            <w:pPr>
              <w:contextualSpacing/>
              <w:mirrorIndents/>
              <w:rPr>
                <w:rFonts w:ascii="ITC Avant Garde Std Bk" w:hAnsi="ITC Avant Garde Std Bk"/>
                <w:color w:val="000000" w:themeColor="text1"/>
                <w:sz w:val="21"/>
                <w:szCs w:val="21"/>
              </w:rPr>
            </w:pPr>
            <w:r w:rsidRPr="00E90F85">
              <w:rPr>
                <w:rFonts w:ascii="ITC Avant Garde Std Bk" w:hAnsi="ITC Avant Garde Std Bk"/>
                <w:color w:val="000000" w:themeColor="text1"/>
                <w:sz w:val="21"/>
                <w:szCs w:val="21"/>
              </w:rPr>
              <w:t>Instituto Federal de Telecomunicaciones</w:t>
            </w:r>
          </w:p>
        </w:tc>
      </w:tr>
    </w:tbl>
    <w:p w14:paraId="45DC499A" w14:textId="063A5F7C" w:rsidR="006166DB" w:rsidRPr="007F4F7E"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7F4F7E"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F4F7E" w14:paraId="749D808B" w14:textId="77777777" w:rsidTr="00DF074B">
        <w:tc>
          <w:tcPr>
            <w:tcW w:w="8828" w:type="dxa"/>
          </w:tcPr>
          <w:p w14:paraId="07FF9FAE" w14:textId="35A61A75" w:rsidR="00DC3A1A" w:rsidRPr="007F4F7E" w:rsidRDefault="00C76443" w:rsidP="00DF074B">
            <w:pPr>
              <w:contextualSpacing/>
              <w:mirrorIndents/>
              <w:rPr>
                <w:rFonts w:ascii="ITC Avant Garde Std Bk" w:hAnsi="ITC Avant Garde Std Bk"/>
                <w:color w:val="000000" w:themeColor="text1"/>
                <w:sz w:val="21"/>
                <w:szCs w:val="21"/>
              </w:rPr>
            </w:pPr>
            <w:r w:rsidRPr="007F4F7E">
              <w:rPr>
                <w:rStyle w:val="Estilo4"/>
                <w:sz w:val="21"/>
                <w:szCs w:val="21"/>
              </w:rPr>
              <w:t>Ámbito de Aplicación</w:t>
            </w:r>
            <w:r w:rsidR="00366E21" w:rsidRPr="007F4F7E">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19141E">
                  <w:rPr>
                    <w:rStyle w:val="Estilo4"/>
                    <w:sz w:val="21"/>
                    <w:szCs w:val="21"/>
                  </w:rPr>
                  <w:t>Federal</w:t>
                </w:r>
              </w:sdtContent>
            </w:sdt>
          </w:p>
        </w:tc>
      </w:tr>
    </w:tbl>
    <w:p w14:paraId="086DD737" w14:textId="5145C4EC" w:rsidR="00DC3A1A" w:rsidRPr="007F4F7E"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7F4F7E"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6</w:t>
      </w:r>
      <w:r w:rsidR="006166DB" w:rsidRPr="007F4F7E">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F4F7E" w14:paraId="380262AA" w14:textId="77777777" w:rsidTr="00DF074B">
        <w:tc>
          <w:tcPr>
            <w:tcW w:w="8828" w:type="dxa"/>
          </w:tcPr>
          <w:p w14:paraId="1917902A" w14:textId="70CE68DF" w:rsidR="006166DB" w:rsidRPr="007F4F7E" w:rsidRDefault="00727E14" w:rsidP="0092333A">
            <w:pPr>
              <w:contextualSpacing/>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25/02/2013</w:t>
            </w:r>
          </w:p>
        </w:tc>
      </w:tr>
    </w:tbl>
    <w:p w14:paraId="4E8FF191" w14:textId="77777777" w:rsidR="006166DB" w:rsidRPr="007F4F7E"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7F4F7E"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7</w:t>
      </w:r>
      <w:r w:rsidR="006166DB" w:rsidRPr="007F4F7E">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F4F7E" w14:paraId="00840257" w14:textId="77777777" w:rsidTr="00DF074B">
        <w:tc>
          <w:tcPr>
            <w:tcW w:w="8828" w:type="dxa"/>
          </w:tcPr>
          <w:p w14:paraId="5DFAFB35" w14:textId="2F2C741B" w:rsidR="006166DB" w:rsidRPr="008E6D3D" w:rsidRDefault="008E6D3D" w:rsidP="002434FF">
            <w:pPr>
              <w:contextualSpacing/>
              <w:mirrorIndents/>
              <w:jc w:val="both"/>
              <w:rPr>
                <w:rFonts w:ascii="ITC Avant Garde Std Bk" w:hAnsi="ITC Avant Garde Std Bk"/>
                <w:iCs/>
                <w:color w:val="AEAAAA" w:themeColor="background2" w:themeShade="BF"/>
                <w:sz w:val="21"/>
                <w:szCs w:val="21"/>
              </w:rPr>
            </w:pPr>
            <w:r w:rsidRPr="008E6D3D">
              <w:rPr>
                <w:rFonts w:ascii="ITC Avant Garde Std Bk" w:hAnsi="ITC Avant Garde Std Bk"/>
                <w:iCs/>
                <w:sz w:val="21"/>
                <w:szCs w:val="21"/>
              </w:rPr>
              <w:t>Otra</w:t>
            </w:r>
            <w:r w:rsidR="00BC1ECF">
              <w:rPr>
                <w:rFonts w:ascii="ITC Avant Garde Std Bk" w:hAnsi="ITC Avant Garde Std Bk"/>
                <w:iCs/>
                <w:sz w:val="21"/>
                <w:szCs w:val="21"/>
              </w:rPr>
              <w:t xml:space="preserve">: </w:t>
            </w:r>
            <w:r w:rsidRPr="008E6D3D">
              <w:rPr>
                <w:rFonts w:ascii="ITC Avant Garde Std Bk" w:hAnsi="ITC Avant Garde Std Bk"/>
                <w:iCs/>
                <w:sz w:val="21"/>
                <w:szCs w:val="21"/>
              </w:rPr>
              <w:t>Plan Técnic</w:t>
            </w:r>
            <w:r>
              <w:rPr>
                <w:rFonts w:ascii="ITC Avant Garde Std Bk" w:hAnsi="ITC Avant Garde Std Bk"/>
                <w:iCs/>
                <w:sz w:val="21"/>
                <w:szCs w:val="21"/>
              </w:rPr>
              <w:t>o</w:t>
            </w:r>
          </w:p>
        </w:tc>
      </w:tr>
    </w:tbl>
    <w:p w14:paraId="635A852A" w14:textId="77777777" w:rsidR="006166DB" w:rsidRPr="007F4F7E"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5DE89040" w:rsidR="006166DB" w:rsidRPr="007F4F7E"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8</w:t>
      </w:r>
      <w:r w:rsidR="006166DB" w:rsidRPr="007F4F7E">
        <w:rPr>
          <w:rFonts w:ascii="ITC Avant Garde Std Bk" w:hAnsi="ITC Avant Garde Std Bk"/>
          <w:b/>
          <w:color w:val="000000" w:themeColor="text1"/>
          <w:sz w:val="21"/>
          <w:szCs w:val="21"/>
        </w:rPr>
        <w:t>.</w:t>
      </w:r>
      <w:r w:rsidR="009877D4">
        <w:rPr>
          <w:rFonts w:ascii="ITC Avant Garde Std Bk" w:hAnsi="ITC Avant Garde Std Bk"/>
          <w:b/>
          <w:color w:val="000000" w:themeColor="text1"/>
          <w:sz w:val="21"/>
          <w:szCs w:val="21"/>
        </w:rPr>
        <w:t>-</w:t>
      </w:r>
      <w:r w:rsidR="006166DB" w:rsidRPr="007F4F7E">
        <w:rPr>
          <w:rFonts w:ascii="ITC Avant Garde Std Bk" w:hAnsi="ITC Avant Garde Std Bk"/>
          <w:sz w:val="21"/>
          <w:szCs w:val="21"/>
        </w:rPr>
        <w:t xml:space="preserve"> </w:t>
      </w:r>
      <w:r w:rsidR="006166DB" w:rsidRPr="007F4F7E">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F4F7E" w14:paraId="040BA959" w14:textId="77777777" w:rsidTr="00F73022">
        <w:trPr>
          <w:trHeight w:val="65"/>
        </w:trPr>
        <w:tc>
          <w:tcPr>
            <w:tcW w:w="8828" w:type="dxa"/>
          </w:tcPr>
          <w:p w14:paraId="5F275C45" w14:textId="65D8AB7E" w:rsidR="006166DB" w:rsidRPr="00BC1ECF" w:rsidRDefault="00BC1ECF" w:rsidP="00BC1ECF">
            <w:pPr>
              <w:mirrorIndents/>
              <w:jc w:val="both"/>
              <w:rPr>
                <w:rFonts w:ascii="ITC Avant Garde Std Bk" w:hAnsi="ITC Avant Garde Std Bk"/>
                <w:color w:val="000000" w:themeColor="text1"/>
                <w:sz w:val="21"/>
                <w:szCs w:val="21"/>
              </w:rPr>
            </w:pPr>
            <w:r w:rsidRPr="00BC1ECF">
              <w:rPr>
                <w:rFonts w:ascii="ITC Avant Garde Std Bk" w:hAnsi="ITC Avant Garde Std Bk"/>
                <w:color w:val="000000" w:themeColor="text1"/>
                <w:sz w:val="21"/>
                <w:szCs w:val="21"/>
              </w:rPr>
              <w:t>No</w:t>
            </w:r>
            <w:r>
              <w:rPr>
                <w:rFonts w:ascii="ITC Avant Garde Std Bk" w:hAnsi="ITC Avant Garde Std Bk"/>
                <w:color w:val="000000" w:themeColor="text1"/>
                <w:sz w:val="21"/>
                <w:szCs w:val="21"/>
              </w:rPr>
              <w:t xml:space="preserve"> aplica.</w:t>
            </w:r>
          </w:p>
        </w:tc>
      </w:tr>
    </w:tbl>
    <w:p w14:paraId="4E6C6C7C" w14:textId="77777777" w:rsidR="00F73022" w:rsidRPr="007F4F7E" w:rsidRDefault="00F73022" w:rsidP="002434FF">
      <w:pPr>
        <w:spacing w:after="0" w:line="240" w:lineRule="auto"/>
        <w:contextualSpacing/>
        <w:mirrorIndents/>
        <w:rPr>
          <w:rFonts w:ascii="ITC Avant Garde Std Bk" w:hAnsi="ITC Avant Garde Std Bk"/>
          <w:color w:val="000000" w:themeColor="text1"/>
          <w:sz w:val="21"/>
          <w:szCs w:val="21"/>
        </w:rPr>
      </w:pPr>
    </w:p>
    <w:p w14:paraId="308AB0E2" w14:textId="3DF2C297" w:rsidR="00F73022" w:rsidRPr="007F4F7E"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9</w:t>
      </w:r>
      <w:r w:rsidR="00F73022" w:rsidRPr="007F4F7E">
        <w:rPr>
          <w:rFonts w:ascii="ITC Avant Garde Std Bk" w:hAnsi="ITC Avant Garde Std Bk"/>
          <w:b/>
          <w:color w:val="000000" w:themeColor="text1"/>
          <w:sz w:val="21"/>
          <w:szCs w:val="21"/>
        </w:rPr>
        <w:t>.</w:t>
      </w:r>
      <w:r w:rsidR="009877D4">
        <w:rPr>
          <w:rFonts w:ascii="ITC Avant Garde Std Bk" w:hAnsi="ITC Avant Garde Std Bk"/>
          <w:b/>
          <w:color w:val="000000" w:themeColor="text1"/>
          <w:sz w:val="21"/>
          <w:szCs w:val="21"/>
        </w:rPr>
        <w:t>-</w:t>
      </w:r>
      <w:r w:rsidR="00F73022" w:rsidRPr="007F4F7E">
        <w:rPr>
          <w:rFonts w:ascii="ITC Avant Garde Std Bk" w:hAnsi="ITC Avant Garde Std Bk"/>
          <w:sz w:val="21"/>
          <w:szCs w:val="21"/>
        </w:rPr>
        <w:t xml:space="preserve"> </w:t>
      </w:r>
      <w:r w:rsidR="00F73022" w:rsidRPr="007F4F7E">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F4F7E" w14:paraId="373C675C" w14:textId="77777777" w:rsidTr="00DF074B">
        <w:tc>
          <w:tcPr>
            <w:tcW w:w="8828" w:type="dxa"/>
          </w:tcPr>
          <w:p w14:paraId="53B08DCA" w14:textId="103A0355" w:rsidR="00F73022" w:rsidRPr="007F4F7E" w:rsidRDefault="0019141E" w:rsidP="0019141E">
            <w:pPr>
              <w:tabs>
                <w:tab w:val="left" w:pos="1500"/>
              </w:tabs>
              <w:contextualSpacing/>
              <w:mirrorIndents/>
              <w:jc w:val="both"/>
              <w:rPr>
                <w:rFonts w:ascii="ITC Avant Garde Std Bk" w:hAnsi="ITC Avant Garde Std Bk"/>
                <w:color w:val="000000" w:themeColor="text1"/>
                <w:sz w:val="21"/>
                <w:szCs w:val="21"/>
              </w:rPr>
            </w:pPr>
            <w:r w:rsidRPr="0019141E">
              <w:rPr>
                <w:rFonts w:ascii="ITC Avant Garde Std Bk" w:hAnsi="ITC Avant Garde Std Bk"/>
                <w:color w:val="000000" w:themeColor="text1"/>
                <w:sz w:val="21"/>
                <w:szCs w:val="21"/>
              </w:rPr>
              <w:t>El Plan tiene por objeto establecer los términos y condiciones para regular y promover la eficiente interconexión e interoperabilidad de las redes públicas de telecomunicaciones concesionadas</w:t>
            </w:r>
            <w:r>
              <w:rPr>
                <w:rFonts w:ascii="ITC Avant Garde Std Bk" w:hAnsi="ITC Avant Garde Std Bk"/>
                <w:color w:val="000000" w:themeColor="text1"/>
                <w:sz w:val="21"/>
                <w:szCs w:val="21"/>
              </w:rPr>
              <w:t>.</w:t>
            </w:r>
          </w:p>
        </w:tc>
      </w:tr>
    </w:tbl>
    <w:p w14:paraId="2355FA42" w14:textId="77777777" w:rsidR="00F73022" w:rsidRPr="007F4F7E"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7F4F7E"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10</w:t>
      </w:r>
      <w:r w:rsidR="006166DB" w:rsidRPr="007F4F7E">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19141E" w14:paraId="36A134C5" w14:textId="77777777" w:rsidTr="00DF074B">
        <w:tc>
          <w:tcPr>
            <w:tcW w:w="8828" w:type="dxa"/>
          </w:tcPr>
          <w:p w14:paraId="0C79C5AD" w14:textId="266EB0A0" w:rsidR="006166DB" w:rsidRPr="00174AB4" w:rsidRDefault="006166DB" w:rsidP="002434FF">
            <w:pPr>
              <w:contextualSpacing/>
              <w:mirrorIndents/>
              <w:rPr>
                <w:rFonts w:ascii="ITC Avant Garde Std Bk" w:hAnsi="ITC Avant Garde Std Bk"/>
                <w:sz w:val="21"/>
                <w:szCs w:val="21"/>
              </w:rPr>
            </w:pPr>
            <w:r w:rsidRPr="00174AB4">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6C1C6B" w:rsidRPr="00174AB4">
                  <w:rPr>
                    <w:rFonts w:ascii="ITC Avant Garde Std Bk" w:hAnsi="ITC Avant Garde Std Bk"/>
                    <w:sz w:val="21"/>
                    <w:szCs w:val="21"/>
                  </w:rPr>
                  <w:t xml:space="preserve">Telecomunicaciones </w:t>
                </w:r>
              </w:sdtContent>
            </w:sdt>
            <w:r w:rsidRPr="00174AB4">
              <w:rPr>
                <w:rFonts w:ascii="ITC Avant Garde Std Bk" w:hAnsi="ITC Avant Garde Std Bk"/>
                <w:sz w:val="21"/>
                <w:szCs w:val="21"/>
              </w:rPr>
              <w:t xml:space="preserve">  </w:t>
            </w:r>
          </w:p>
        </w:tc>
      </w:tr>
      <w:tr w:rsidR="006166DB" w:rsidRPr="0019141E" w14:paraId="78629502" w14:textId="77777777" w:rsidTr="00DF074B">
        <w:tc>
          <w:tcPr>
            <w:tcW w:w="8828" w:type="dxa"/>
          </w:tcPr>
          <w:p w14:paraId="617248E0" w14:textId="75E58FF9" w:rsidR="006166DB" w:rsidRPr="00174AB4" w:rsidRDefault="006166DB" w:rsidP="002434FF">
            <w:pPr>
              <w:contextualSpacing/>
              <w:mirrorIndents/>
              <w:rPr>
                <w:rFonts w:ascii="ITC Avant Garde Std Bk" w:hAnsi="ITC Avant Garde Std Bk"/>
                <w:sz w:val="21"/>
                <w:szCs w:val="21"/>
              </w:rPr>
            </w:pPr>
            <w:r w:rsidRPr="00174AB4">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174AB4" w:rsidRPr="00174AB4">
                  <w:rPr>
                    <w:rFonts w:ascii="ITC Avant Garde Std Bk" w:hAnsi="ITC Avant Garde Std Bk"/>
                    <w:sz w:val="21"/>
                    <w:szCs w:val="21"/>
                  </w:rPr>
                  <w:t>Operadores de servicios de telecomunicaciones alámbricas</w:t>
                </w:r>
              </w:sdtContent>
            </w:sdt>
          </w:p>
        </w:tc>
      </w:tr>
      <w:tr w:rsidR="00174AB4" w:rsidRPr="007F4F7E" w14:paraId="5593A9EE" w14:textId="77777777" w:rsidTr="00DF074B">
        <w:tc>
          <w:tcPr>
            <w:tcW w:w="8828" w:type="dxa"/>
          </w:tcPr>
          <w:p w14:paraId="2E99991D" w14:textId="08C435DA" w:rsidR="00174AB4" w:rsidRPr="00174AB4" w:rsidRDefault="00174AB4" w:rsidP="0092333A">
            <w:pPr>
              <w:contextualSpacing/>
              <w:mirrorIndents/>
              <w:rPr>
                <w:rFonts w:ascii="ITC Avant Garde Std Bk" w:hAnsi="ITC Avant Garde Std Bk"/>
                <w:sz w:val="21"/>
                <w:szCs w:val="21"/>
              </w:rPr>
            </w:pPr>
            <w:r w:rsidRPr="00174AB4">
              <w:rPr>
                <w:rFonts w:ascii="ITC Avant Garde Std Bk" w:hAnsi="ITC Avant Garde Std Bk"/>
                <w:sz w:val="21"/>
                <w:szCs w:val="21"/>
              </w:rPr>
              <w:t xml:space="preserve">Sector: </w:t>
            </w:r>
            <w:sdt>
              <w:sdtPr>
                <w:rPr>
                  <w:rFonts w:ascii="ITC Avant Garde Std Bk" w:hAnsi="ITC Avant Garde Std Bk"/>
                  <w:sz w:val="21"/>
                  <w:szCs w:val="21"/>
                </w:rPr>
                <w:id w:val="-497115740"/>
                <w:placeholder>
                  <w:docPart w:val="32D3DF096A9C479E84BBB3B5B44029E3"/>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174AB4">
                  <w:rPr>
                    <w:rFonts w:ascii="ITC Avant Garde Std Bk" w:hAnsi="ITC Avant Garde Std Bk"/>
                    <w:sz w:val="21"/>
                    <w:szCs w:val="21"/>
                  </w:rPr>
                  <w:t>Operadores de servicios de telecomunicaciones inalámbricas</w:t>
                </w:r>
              </w:sdtContent>
            </w:sdt>
          </w:p>
        </w:tc>
      </w:tr>
      <w:tr w:rsidR="00174AB4" w:rsidRPr="007F4F7E" w14:paraId="41E4FD01" w14:textId="77777777" w:rsidTr="00DF074B">
        <w:tc>
          <w:tcPr>
            <w:tcW w:w="8828" w:type="dxa"/>
          </w:tcPr>
          <w:p w14:paraId="7FFDAD0E" w14:textId="690FCAE0" w:rsidR="00174AB4" w:rsidRPr="00174AB4" w:rsidRDefault="00174AB4" w:rsidP="0092333A">
            <w:pPr>
              <w:contextualSpacing/>
              <w:mirrorIndents/>
              <w:rPr>
                <w:rFonts w:ascii="ITC Avant Garde Std Bk" w:hAnsi="ITC Avant Garde Std Bk"/>
                <w:sz w:val="21"/>
                <w:szCs w:val="21"/>
              </w:rPr>
            </w:pPr>
            <w:r w:rsidRPr="00174AB4">
              <w:rPr>
                <w:rFonts w:ascii="ITC Avant Garde Std Bk" w:hAnsi="ITC Avant Garde Std Bk"/>
                <w:sz w:val="21"/>
                <w:szCs w:val="21"/>
              </w:rPr>
              <w:t xml:space="preserve">Sector: </w:t>
            </w:r>
            <w:sdt>
              <w:sdtPr>
                <w:rPr>
                  <w:rFonts w:ascii="ITC Avant Garde Std Bk" w:hAnsi="ITC Avant Garde Std Bk"/>
                  <w:sz w:val="21"/>
                  <w:szCs w:val="21"/>
                </w:rPr>
                <w:id w:val="-562957057"/>
                <w:placeholder>
                  <w:docPart w:val="356F0A2D146A469295D947D2761C8125"/>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174AB4">
                  <w:rPr>
                    <w:rFonts w:ascii="ITC Avant Garde Std Bk" w:hAnsi="ITC Avant Garde Std Bk"/>
                    <w:sz w:val="21"/>
                    <w:szCs w:val="21"/>
                  </w:rPr>
                  <w:t>Operadores de servicios de telecomunicaciones vía satélite</w:t>
                </w:r>
              </w:sdtContent>
            </w:sdt>
          </w:p>
        </w:tc>
      </w:tr>
      <w:tr w:rsidR="006166DB" w:rsidRPr="007F4F7E" w14:paraId="380D841C" w14:textId="77777777" w:rsidTr="00DF074B">
        <w:tc>
          <w:tcPr>
            <w:tcW w:w="8828" w:type="dxa"/>
          </w:tcPr>
          <w:p w14:paraId="6C9F585B" w14:textId="2B87D247" w:rsidR="006166DB" w:rsidRPr="007F4F7E" w:rsidRDefault="006166DB" w:rsidP="0092333A">
            <w:pPr>
              <w:contextualSpacing/>
              <w:mirrorIndents/>
              <w:rPr>
                <w:rFonts w:ascii="ITC Avant Garde Std Bk" w:hAnsi="ITC Avant Garde Std Bk"/>
                <w:sz w:val="21"/>
                <w:szCs w:val="21"/>
              </w:rPr>
            </w:pPr>
            <w:r w:rsidRPr="000219D9">
              <w:rPr>
                <w:rFonts w:ascii="ITC Avant Garde Std Bk" w:hAnsi="ITC Avant Garde Std Bk"/>
                <w:sz w:val="21"/>
                <w:szCs w:val="21"/>
              </w:rPr>
              <w:t xml:space="preserve">Regulado: </w:t>
            </w:r>
            <w:r w:rsidR="0092333A" w:rsidRPr="000219D9">
              <w:rPr>
                <w:rFonts w:ascii="ITC Avant Garde Std Bk" w:hAnsi="ITC Avant Garde Std Bk"/>
                <w:sz w:val="21"/>
                <w:szCs w:val="21"/>
              </w:rPr>
              <w:t>Concesionarios</w:t>
            </w:r>
            <w:r w:rsidR="00D21EE6" w:rsidRPr="000219D9">
              <w:rPr>
                <w:rFonts w:ascii="ITC Avant Garde Std Bk" w:hAnsi="ITC Avant Garde Std Bk"/>
                <w:sz w:val="21"/>
                <w:szCs w:val="21"/>
              </w:rPr>
              <w:t>.</w:t>
            </w:r>
          </w:p>
        </w:tc>
      </w:tr>
    </w:tbl>
    <w:p w14:paraId="39827835" w14:textId="77777777" w:rsidR="00DC3A1A" w:rsidRPr="00A25648"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25648">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F4F7E" w14:paraId="0977E504" w14:textId="77777777" w:rsidTr="00DF074B">
        <w:trPr>
          <w:trHeight w:val="65"/>
        </w:trPr>
        <w:tc>
          <w:tcPr>
            <w:tcW w:w="8828" w:type="dxa"/>
          </w:tcPr>
          <w:p w14:paraId="5754C53F" w14:textId="77777777" w:rsidR="00DC3A1A" w:rsidRDefault="00A25648" w:rsidP="00A25648">
            <w:pPr>
              <w:pStyle w:val="Prrafodelista"/>
              <w:numPr>
                <w:ilvl w:val="0"/>
                <w:numId w:val="12"/>
              </w:numPr>
              <w:mirrorIndents/>
              <w:jc w:val="both"/>
              <w:rPr>
                <w:rFonts w:ascii="ITC Avant Garde Std Bk" w:hAnsi="ITC Avant Garde Std Bk"/>
                <w:sz w:val="21"/>
                <w:szCs w:val="21"/>
              </w:rPr>
            </w:pPr>
            <w:r w:rsidRPr="00A25648">
              <w:rPr>
                <w:rFonts w:ascii="ITC Avant Garde Std Bk" w:hAnsi="ITC Avant Garde Std Bk"/>
                <w:sz w:val="21"/>
                <w:szCs w:val="21"/>
              </w:rPr>
              <w:t>Manual que provee los criterios y metodología de separación contable por servicio, aplicable a los concesionarios de redes públicas de telecomunicaciones.</w:t>
            </w:r>
          </w:p>
          <w:p w14:paraId="65E779FB" w14:textId="6E43606F" w:rsidR="0090789C" w:rsidRDefault="0090789C" w:rsidP="0090789C">
            <w:pPr>
              <w:pStyle w:val="Prrafodelista"/>
              <w:numPr>
                <w:ilvl w:val="0"/>
                <w:numId w:val="12"/>
              </w:numPr>
              <w:mirrorIndents/>
              <w:jc w:val="both"/>
              <w:rPr>
                <w:rFonts w:ascii="ITC Avant Garde Std Bk" w:hAnsi="ITC Avant Garde Std Bk"/>
                <w:sz w:val="21"/>
                <w:szCs w:val="21"/>
              </w:rPr>
            </w:pPr>
            <w:r w:rsidRPr="0090789C">
              <w:rPr>
                <w:rFonts w:ascii="ITC Avant Garde Std Bk" w:hAnsi="ITC Avant Garde Std Bk"/>
                <w:sz w:val="21"/>
                <w:szCs w:val="21"/>
              </w:rPr>
              <w:t>Plan Técnico Fundamental de Numeración</w:t>
            </w:r>
            <w:r>
              <w:rPr>
                <w:rFonts w:ascii="ITC Avant Garde Std Bk" w:hAnsi="ITC Avant Garde Std Bk"/>
                <w:sz w:val="21"/>
                <w:szCs w:val="21"/>
              </w:rPr>
              <w:t>.</w:t>
            </w:r>
          </w:p>
          <w:p w14:paraId="100BF4C4" w14:textId="5B4AF795" w:rsidR="00F86DE2" w:rsidRDefault="00F86DE2" w:rsidP="0090789C">
            <w:pPr>
              <w:pStyle w:val="Prrafodelista"/>
              <w:numPr>
                <w:ilvl w:val="0"/>
                <w:numId w:val="12"/>
              </w:numPr>
              <w:mirrorIndents/>
              <w:jc w:val="both"/>
              <w:rPr>
                <w:rFonts w:ascii="ITC Avant Garde Std Bk" w:hAnsi="ITC Avant Garde Std Bk"/>
                <w:sz w:val="21"/>
                <w:szCs w:val="21"/>
              </w:rPr>
            </w:pPr>
            <w:r w:rsidRPr="00F86DE2">
              <w:rPr>
                <w:rFonts w:ascii="ITC Avant Garde Std Bk" w:hAnsi="ITC Avant Garde Std Bk"/>
                <w:sz w:val="21"/>
                <w:szCs w:val="21"/>
              </w:rPr>
              <w:lastRenderedPageBreak/>
              <w:t xml:space="preserve">Plan Técnico Fundamental </w:t>
            </w:r>
            <w:r>
              <w:rPr>
                <w:rFonts w:ascii="ITC Avant Garde Std Bk" w:hAnsi="ITC Avant Garde Std Bk"/>
                <w:sz w:val="21"/>
                <w:szCs w:val="21"/>
              </w:rPr>
              <w:t>d</w:t>
            </w:r>
            <w:r w:rsidRPr="00F86DE2">
              <w:rPr>
                <w:rFonts w:ascii="ITC Avant Garde Std Bk" w:hAnsi="ITC Avant Garde Std Bk"/>
                <w:sz w:val="21"/>
                <w:szCs w:val="21"/>
              </w:rPr>
              <w:t>e Señalización</w:t>
            </w:r>
            <w:r>
              <w:rPr>
                <w:rFonts w:ascii="ITC Avant Garde Std Bk" w:hAnsi="ITC Avant Garde Std Bk"/>
                <w:sz w:val="21"/>
                <w:szCs w:val="21"/>
              </w:rPr>
              <w:t>.</w:t>
            </w:r>
          </w:p>
          <w:p w14:paraId="467E1588" w14:textId="6C4D25DB" w:rsidR="00EC1CE4" w:rsidRPr="00EC1CE4" w:rsidRDefault="00174AB4" w:rsidP="00EC1CE4">
            <w:pPr>
              <w:pStyle w:val="Prrafodelista"/>
              <w:numPr>
                <w:ilvl w:val="0"/>
                <w:numId w:val="12"/>
              </w:numPr>
              <w:mirrorIndents/>
              <w:jc w:val="both"/>
              <w:rPr>
                <w:rFonts w:ascii="ITC Avant Garde Std Bk" w:hAnsi="ITC Avant Garde Std Bk"/>
                <w:sz w:val="21"/>
                <w:szCs w:val="21"/>
              </w:rPr>
            </w:pPr>
            <w:r w:rsidRPr="00174AB4">
              <w:rPr>
                <w:rFonts w:ascii="ITC Avant Garde Std Bk" w:hAnsi="ITC Avant Garde Std Bk"/>
                <w:sz w:val="21"/>
                <w:szCs w:val="21"/>
              </w:rPr>
              <w:t>Reglas de Portabilidad Numérica</w:t>
            </w:r>
            <w:r>
              <w:rPr>
                <w:rFonts w:ascii="ITC Avant Garde Std Bk" w:hAnsi="ITC Avant Garde Std Bk"/>
                <w:sz w:val="21"/>
                <w:szCs w:val="21"/>
              </w:rPr>
              <w:t>.</w:t>
            </w:r>
          </w:p>
          <w:p w14:paraId="5C9EA847" w14:textId="0A86B57C" w:rsidR="00EC1CE4" w:rsidRDefault="00EC1CE4" w:rsidP="0090789C">
            <w:pPr>
              <w:pStyle w:val="Prrafodelista"/>
              <w:numPr>
                <w:ilvl w:val="0"/>
                <w:numId w:val="12"/>
              </w:numPr>
              <w:mirrorIndents/>
              <w:jc w:val="both"/>
              <w:rPr>
                <w:rFonts w:ascii="ITC Avant Garde Std Bk" w:hAnsi="ITC Avant Garde Std Bk"/>
                <w:sz w:val="21"/>
                <w:szCs w:val="21"/>
              </w:rPr>
            </w:pPr>
            <w:r w:rsidRPr="00EC1CE4">
              <w:rPr>
                <w:rFonts w:ascii="ITC Avant Garde Std Bk" w:hAnsi="ITC Avant Garde Std Bk"/>
                <w:sz w:val="21"/>
                <w:szCs w:val="21"/>
              </w:rPr>
              <w:t>Condiciones técnicas mínimas para la interconexión entre concesionarios que operen redes públicas de telecomunicaciones</w:t>
            </w:r>
            <w:r>
              <w:rPr>
                <w:rFonts w:ascii="ITC Avant Garde Std Bk" w:hAnsi="ITC Avant Garde Std Bk"/>
                <w:sz w:val="21"/>
                <w:szCs w:val="21"/>
              </w:rPr>
              <w:t>.</w:t>
            </w:r>
          </w:p>
          <w:p w14:paraId="5D4A60FE" w14:textId="66B22E14" w:rsidR="00CC5DC9" w:rsidRPr="0090789C" w:rsidRDefault="00CC5DC9" w:rsidP="0090789C">
            <w:pPr>
              <w:pStyle w:val="Prrafodelista"/>
              <w:numPr>
                <w:ilvl w:val="0"/>
                <w:numId w:val="12"/>
              </w:numPr>
              <w:mirrorIndents/>
              <w:jc w:val="both"/>
              <w:rPr>
                <w:rFonts w:ascii="ITC Avant Garde Std Bk" w:hAnsi="ITC Avant Garde Std Bk"/>
                <w:sz w:val="21"/>
                <w:szCs w:val="21"/>
              </w:rPr>
            </w:pPr>
            <w:r w:rsidRPr="00CC5DC9">
              <w:rPr>
                <w:rFonts w:ascii="ITC Avant Garde Std Bk" w:hAnsi="ITC Avant Garde Std Bk"/>
                <w:sz w:val="21"/>
                <w:szCs w:val="21"/>
              </w:rPr>
              <w:t xml:space="preserve">Acuerdo mediante el cual el Pleno del Instituto Federal de Telecomunicaciones establece las </w:t>
            </w:r>
            <w:r w:rsidR="006C1C6B" w:rsidRPr="00CC5DC9">
              <w:rPr>
                <w:rFonts w:ascii="ITC Avant Garde Std Bk" w:hAnsi="ITC Avant Garde Std Bk"/>
                <w:sz w:val="21"/>
                <w:szCs w:val="21"/>
              </w:rPr>
              <w:t xml:space="preserve">condiciones técnicas mínimas </w:t>
            </w:r>
            <w:r w:rsidRPr="00CC5DC9">
              <w:rPr>
                <w:rFonts w:ascii="ITC Avant Garde Std Bk" w:hAnsi="ITC Avant Garde Std Bk"/>
                <w:sz w:val="21"/>
                <w:szCs w:val="21"/>
              </w:rPr>
              <w:t>para la interconexión entre concesionarios que operen redes públicas de telecomunicaciones y determina las tarifas de interconexión resultado de la metodología para el cálculo de costos de interconexión que estarán vigentes del 1 de enero al 31 de diciembre de 2022.</w:t>
            </w:r>
          </w:p>
        </w:tc>
      </w:tr>
    </w:tbl>
    <w:p w14:paraId="03FABE9B" w14:textId="45F8751D" w:rsidR="00DC3A1A" w:rsidRPr="007F4F7E"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7F4F7E"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12</w:t>
      </w:r>
      <w:r w:rsidR="006166DB" w:rsidRPr="007F4F7E">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7F4F7E" w14:paraId="096E5FBB" w14:textId="77777777" w:rsidTr="00817C32">
        <w:trPr>
          <w:trHeight w:val="3534"/>
        </w:trPr>
        <w:tc>
          <w:tcPr>
            <w:tcW w:w="8828" w:type="dxa"/>
          </w:tcPr>
          <w:p w14:paraId="49132B93" w14:textId="3E0B4AA5" w:rsidR="007D22DB" w:rsidRDefault="007D22DB" w:rsidP="002434FF">
            <w:pPr>
              <w:contextualSpacing/>
              <w:mirrorIndents/>
              <w:rPr>
                <w:rFonts w:ascii="ITC Avant Garde Std Bk" w:hAnsi="ITC Avant Garde Std Bk"/>
                <w:color w:val="000000" w:themeColor="text1"/>
                <w:sz w:val="21"/>
                <w:szCs w:val="21"/>
              </w:rPr>
            </w:pPr>
          </w:p>
          <w:p w14:paraId="365917AD" w14:textId="2FED5A3F" w:rsidR="00C522AD" w:rsidRDefault="00547838" w:rsidP="00C522AD">
            <w:pPr>
              <w:contextualSpacing/>
              <w:mirrorIndents/>
              <w:jc w:val="both"/>
              <w:rPr>
                <w:rFonts w:ascii="ITC Avant Garde Std Bk" w:hAnsi="ITC Avant Garde Std Bk"/>
                <w:b/>
                <w:bCs/>
                <w:color w:val="000000" w:themeColor="text1"/>
                <w:sz w:val="21"/>
                <w:szCs w:val="21"/>
              </w:rPr>
            </w:pPr>
            <w:r>
              <w:fldChar w:fldCharType="begin"/>
            </w:r>
            <w:r>
              <w:instrText>HYPERLINK "http://inventariotramites.ift.org.mx/mitweb/" \l "!/tramite/UCS-01-022-K"</w:instrText>
            </w:r>
            <w:r>
              <w:fldChar w:fldCharType="separate"/>
            </w:r>
            <w:r>
              <w:rPr>
                <w:rStyle w:val="Hipervnculo"/>
                <w:rFonts w:ascii="ITC Avant Garde Std Bk" w:hAnsi="ITC Avant Garde Std Bk"/>
                <w:b/>
                <w:bCs/>
                <w:sz w:val="21"/>
                <w:szCs w:val="21"/>
                <w:bdr w:val="none" w:sz="0" w:space="0" w:color="auto"/>
              </w:rPr>
              <w:t>UCS-01-022-K</w:t>
            </w:r>
            <w:r>
              <w:rPr>
                <w:rStyle w:val="Hipervnculo"/>
                <w:rFonts w:ascii="ITC Avant Garde Std Bk" w:hAnsi="ITC Avant Garde Std Bk"/>
                <w:b/>
                <w:bCs/>
                <w:sz w:val="21"/>
                <w:szCs w:val="21"/>
                <w:bdr w:val="none" w:sz="0" w:space="0" w:color="auto"/>
              </w:rPr>
              <w:fldChar w:fldCharType="end"/>
            </w:r>
            <w:r>
              <w:rPr>
                <w:rStyle w:val="Hipervnculo"/>
                <w:rFonts w:ascii="ITC Avant Garde Std Bk" w:hAnsi="ITC Avant Garde Std Bk"/>
                <w:b/>
                <w:bCs/>
                <w:sz w:val="21"/>
                <w:szCs w:val="21"/>
                <w:bdr w:val="none" w:sz="0" w:space="0" w:color="auto"/>
              </w:rPr>
              <w:t>:</w:t>
            </w:r>
            <w:r w:rsidR="00C522AD">
              <w:rPr>
                <w:rFonts w:ascii="ITC Avant Garde Std Bk" w:hAnsi="ITC Avant Garde Std Bk"/>
                <w:b/>
                <w:bCs/>
                <w:color w:val="000000" w:themeColor="text1"/>
                <w:sz w:val="21"/>
                <w:szCs w:val="21"/>
              </w:rPr>
              <w:t xml:space="preserve"> </w:t>
            </w:r>
            <w:r w:rsidR="00C522AD" w:rsidRPr="00547838">
              <w:rPr>
                <w:rFonts w:ascii="ITC Avant Garde Std Bk" w:hAnsi="ITC Avant Garde Std Bk"/>
                <w:color w:val="000000" w:themeColor="text1"/>
                <w:sz w:val="21"/>
                <w:szCs w:val="21"/>
              </w:rPr>
              <w:t>Solicitud de inscripción al Registro Público de Concesiones</w:t>
            </w:r>
            <w:r w:rsidR="00C522AD" w:rsidRPr="00547838">
              <w:rPr>
                <w:rFonts w:ascii="ITC Avant Garde Std Bk" w:hAnsi="ITC Avant Garde Std Bk"/>
                <w:bCs/>
                <w:color w:val="000000" w:themeColor="text1"/>
                <w:sz w:val="21"/>
                <w:szCs w:val="21"/>
              </w:rPr>
              <w:t xml:space="preserve"> </w:t>
            </w:r>
            <w:r w:rsidRPr="00547838">
              <w:rPr>
                <w:rFonts w:ascii="ITC Avant Garde Std Bk" w:hAnsi="ITC Avant Garde Std Bk"/>
                <w:bCs/>
                <w:color w:val="000000" w:themeColor="text1"/>
                <w:sz w:val="21"/>
                <w:szCs w:val="21"/>
              </w:rPr>
              <w:t>– Puntos de Interconexión.</w:t>
            </w:r>
            <w:bookmarkStart w:id="0" w:name="_GoBack"/>
            <w:bookmarkEnd w:id="0"/>
          </w:p>
          <w:p w14:paraId="50FFF79B" w14:textId="77777777" w:rsidR="00C522AD" w:rsidRDefault="00C522AD" w:rsidP="00C522AD">
            <w:pPr>
              <w:contextualSpacing/>
              <w:mirrorIndents/>
              <w:jc w:val="both"/>
              <w:rPr>
                <w:rFonts w:ascii="ITC Avant Garde Std Bk" w:hAnsi="ITC Avant Garde Std Bk"/>
                <w:b/>
                <w:bCs/>
                <w:color w:val="000000" w:themeColor="text1"/>
                <w:sz w:val="21"/>
                <w:szCs w:val="21"/>
              </w:rPr>
            </w:pPr>
          </w:p>
          <w:p w14:paraId="19A1A4A7" w14:textId="12EE09F0" w:rsidR="007D22DB" w:rsidRPr="00C522AD" w:rsidRDefault="007D22DB" w:rsidP="00C522AD">
            <w:pPr>
              <w:contextualSpacing/>
              <w:mirrorIndents/>
              <w:jc w:val="both"/>
              <w:rPr>
                <w:rFonts w:ascii="ITC Avant Garde Std Bk" w:hAnsi="ITC Avant Garde Std Bk"/>
                <w:b/>
                <w:bCs/>
                <w:color w:val="000000" w:themeColor="text1"/>
                <w:sz w:val="21"/>
                <w:szCs w:val="21"/>
              </w:rPr>
            </w:pPr>
            <w:r w:rsidRPr="007D22DB">
              <w:rPr>
                <w:rFonts w:ascii="ITC Avant Garde Std Bk" w:hAnsi="ITC Avant Garde Std Bk"/>
                <w:b/>
                <w:bCs/>
                <w:color w:val="000000" w:themeColor="text1"/>
                <w:sz w:val="21"/>
                <w:szCs w:val="21"/>
              </w:rPr>
              <w:t>Artículo 8.</w:t>
            </w:r>
            <w:r w:rsidRPr="007D22DB">
              <w:rPr>
                <w:rFonts w:ascii="ITC Avant Garde Std Bk" w:hAnsi="ITC Avant Garde Std Bk"/>
                <w:color w:val="000000" w:themeColor="text1"/>
                <w:sz w:val="21"/>
                <w:szCs w:val="21"/>
              </w:rPr>
              <w:t xml:space="preserve"> </w:t>
            </w:r>
            <w:r w:rsidRPr="007D22DB">
              <w:rPr>
                <w:rFonts w:ascii="ITC Avant Garde Std Bk" w:hAnsi="ITC Avant Garde Std Bk"/>
                <w:b/>
                <w:bCs/>
                <w:color w:val="000000" w:themeColor="text1"/>
                <w:sz w:val="21"/>
                <w:szCs w:val="21"/>
                <w:u w:val="single"/>
              </w:rPr>
              <w:t>El inicio de las Gestiones de Interconexión se acreditará presentando ante la Comisión</w:t>
            </w:r>
            <w:r w:rsidRPr="007D22DB">
              <w:rPr>
                <w:rFonts w:ascii="ITC Avant Garde Std Bk" w:hAnsi="ITC Avant Garde Std Bk"/>
                <w:color w:val="000000" w:themeColor="text1"/>
                <w:sz w:val="21"/>
                <w:szCs w:val="21"/>
              </w:rPr>
              <w:t xml:space="preserve"> los documentos o copia certificada de los mismos que contengan lo siguiente:</w:t>
            </w:r>
            <w:r>
              <w:rPr>
                <w:rFonts w:ascii="ITC Avant Garde Std Bk" w:hAnsi="ITC Avant Garde Std Bk"/>
                <w:color w:val="000000" w:themeColor="text1"/>
                <w:sz w:val="21"/>
                <w:szCs w:val="21"/>
              </w:rPr>
              <w:t xml:space="preserve"> (…)</w:t>
            </w:r>
          </w:p>
          <w:p w14:paraId="451999D2" w14:textId="77777777" w:rsidR="007D22DB" w:rsidRPr="007D22DB" w:rsidRDefault="007D22DB" w:rsidP="007D22DB">
            <w:pPr>
              <w:contextualSpacing/>
              <w:mirrorIndents/>
              <w:jc w:val="both"/>
              <w:rPr>
                <w:rFonts w:ascii="ITC Avant Garde Std Bk" w:hAnsi="ITC Avant Garde Std Bk"/>
                <w:color w:val="000000" w:themeColor="text1"/>
                <w:sz w:val="21"/>
                <w:szCs w:val="21"/>
              </w:rPr>
            </w:pPr>
          </w:p>
          <w:p w14:paraId="523B7C73" w14:textId="7A93AC52" w:rsidR="007D22DB" w:rsidRDefault="007D22DB" w:rsidP="007D22DB">
            <w:pPr>
              <w:contextualSpacing/>
              <w:mirrorIndents/>
              <w:jc w:val="both"/>
              <w:rPr>
                <w:rFonts w:ascii="ITC Avant Garde Std Bk" w:hAnsi="ITC Avant Garde Std Bk"/>
                <w:color w:val="000000" w:themeColor="text1"/>
                <w:sz w:val="21"/>
                <w:szCs w:val="21"/>
              </w:rPr>
            </w:pPr>
            <w:r w:rsidRPr="007D22DB">
              <w:rPr>
                <w:rFonts w:ascii="ITC Avant Garde Std Bk" w:hAnsi="ITC Avant Garde Std Bk"/>
                <w:b/>
                <w:bCs/>
                <w:color w:val="000000" w:themeColor="text1"/>
                <w:sz w:val="21"/>
                <w:szCs w:val="21"/>
              </w:rPr>
              <w:t>Artículo 9</w:t>
            </w:r>
            <w:r w:rsidRPr="007D22DB">
              <w:rPr>
                <w:rFonts w:ascii="ITC Avant Garde Std Bk" w:hAnsi="ITC Avant Garde Std Bk"/>
                <w:color w:val="000000" w:themeColor="text1"/>
                <w:sz w:val="21"/>
                <w:szCs w:val="21"/>
              </w:rPr>
              <w:t xml:space="preserve">. Cuando la intervención de la Comisión para la resolución de los términos y condiciones no convenidos por las partes se origine como consecuencia de la solicitud formulada por alguna de ellas, </w:t>
            </w:r>
            <w:r w:rsidRPr="009D3968">
              <w:rPr>
                <w:rFonts w:ascii="ITC Avant Garde Std Bk" w:hAnsi="ITC Avant Garde Std Bk"/>
                <w:b/>
                <w:bCs/>
                <w:color w:val="000000" w:themeColor="text1"/>
                <w:sz w:val="21"/>
                <w:szCs w:val="21"/>
                <w:u w:val="single"/>
              </w:rPr>
              <w:t>el solicitante deberá realizar la solicitud correspondiente por escrito en la que se señale las condiciones de interconexión que requiere sean determinadas por la Comisión</w:t>
            </w:r>
            <w:r w:rsidRPr="007D22DB">
              <w:rPr>
                <w:rFonts w:ascii="ITC Avant Garde Std Bk" w:hAnsi="ITC Avant Garde Std Bk"/>
                <w:color w:val="000000" w:themeColor="text1"/>
                <w:sz w:val="21"/>
                <w:szCs w:val="21"/>
              </w:rPr>
              <w:t>, acompañando a la misma la información que estime pertinente con relación a la prestación de los Servicios de Interconexión respectivos, incluyendo, el documento que acredite fehacientemente el inicio de las Gestiones de Interconexión de conformidad con  el Artículo 8 del presente Plan.</w:t>
            </w:r>
          </w:p>
          <w:p w14:paraId="0E46CA7E" w14:textId="4CD2EB43" w:rsidR="009D3968" w:rsidRDefault="009D3968" w:rsidP="007D22DB">
            <w:pPr>
              <w:contextualSpacing/>
              <w:mirrorIndents/>
              <w:jc w:val="both"/>
              <w:rPr>
                <w:rFonts w:ascii="ITC Avant Garde Std Bk" w:hAnsi="ITC Avant Garde Std Bk"/>
                <w:color w:val="000000" w:themeColor="text1"/>
                <w:sz w:val="21"/>
                <w:szCs w:val="21"/>
              </w:rPr>
            </w:pPr>
          </w:p>
          <w:p w14:paraId="227C3CFC" w14:textId="11EE56BA" w:rsidR="009D3968" w:rsidRDefault="009D3968" w:rsidP="007D22DB">
            <w:pPr>
              <w:contextualSpacing/>
              <w:mirrorIndents/>
              <w:jc w:val="both"/>
              <w:rPr>
                <w:rFonts w:ascii="ITC Avant Garde Std Bk" w:hAnsi="ITC Avant Garde Std Bk"/>
                <w:color w:val="000000" w:themeColor="text1"/>
                <w:sz w:val="21"/>
                <w:szCs w:val="21"/>
              </w:rPr>
            </w:pPr>
            <w:r w:rsidRPr="009D3968">
              <w:rPr>
                <w:rFonts w:ascii="ITC Avant Garde Std Bk" w:hAnsi="ITC Avant Garde Std Bk"/>
                <w:b/>
                <w:bCs/>
                <w:color w:val="000000" w:themeColor="text1"/>
                <w:sz w:val="21"/>
                <w:szCs w:val="21"/>
              </w:rPr>
              <w:t>Artículo 10.</w:t>
            </w:r>
            <w:r w:rsidRPr="009D3968">
              <w:rPr>
                <w:rFonts w:ascii="ITC Avant Garde Std Bk" w:hAnsi="ITC Avant Garde Std Bk"/>
                <w:color w:val="000000" w:themeColor="text1"/>
                <w:sz w:val="21"/>
                <w:szCs w:val="21"/>
              </w:rPr>
              <w:t xml:space="preserve"> </w:t>
            </w:r>
            <w:r w:rsidR="00B710ED" w:rsidRPr="00B710ED">
              <w:rPr>
                <w:rFonts w:ascii="ITC Avant Garde Std Bk" w:hAnsi="ITC Avant Garde Std Bk"/>
                <w:color w:val="000000" w:themeColor="text1"/>
                <w:sz w:val="21"/>
                <w:szCs w:val="21"/>
              </w:rPr>
              <w:t>Los Concesionarios que sean declarados con poder sustancial en cualquier mercado relevante relacionado con el objeto del Plan, de conformidad con la Ley Federal de Competencia Económica, estarán sujetos adicionalmente a las siguientes obligaciones:</w:t>
            </w:r>
          </w:p>
          <w:p w14:paraId="515D6672" w14:textId="77777777" w:rsidR="009D3968" w:rsidRDefault="009D3968" w:rsidP="007D22DB">
            <w:pPr>
              <w:contextualSpacing/>
              <w:mirrorIndents/>
              <w:jc w:val="both"/>
              <w:rPr>
                <w:rFonts w:ascii="ITC Avant Garde Std Bk" w:hAnsi="ITC Avant Garde Std Bk"/>
                <w:color w:val="000000" w:themeColor="text1"/>
                <w:sz w:val="21"/>
                <w:szCs w:val="21"/>
              </w:rPr>
            </w:pPr>
          </w:p>
          <w:p w14:paraId="5298389D" w14:textId="1DD6B5D0" w:rsidR="009D3968" w:rsidRDefault="002F1FD7" w:rsidP="007D22DB">
            <w:pPr>
              <w:contextualSpacing/>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 xml:space="preserve">     </w:t>
            </w:r>
            <w:r w:rsidR="009D3968">
              <w:rPr>
                <w:rFonts w:ascii="ITC Avant Garde Std Bk" w:hAnsi="ITC Avant Garde Std Bk"/>
                <w:color w:val="000000" w:themeColor="text1"/>
                <w:sz w:val="21"/>
                <w:szCs w:val="21"/>
              </w:rPr>
              <w:t xml:space="preserve">(…) </w:t>
            </w:r>
          </w:p>
          <w:p w14:paraId="40F090D1" w14:textId="77777777" w:rsidR="007D22DB" w:rsidRDefault="007D22DB" w:rsidP="002434FF">
            <w:pPr>
              <w:contextualSpacing/>
              <w:mirrorIndents/>
              <w:rPr>
                <w:rFonts w:ascii="ITC Avant Garde Std Bk" w:hAnsi="ITC Avant Garde Std Bk"/>
                <w:color w:val="000000" w:themeColor="text1"/>
                <w:sz w:val="21"/>
                <w:szCs w:val="21"/>
              </w:rPr>
            </w:pPr>
          </w:p>
          <w:p w14:paraId="098925C1" w14:textId="77777777" w:rsidR="002F1FD7" w:rsidRDefault="009D3968" w:rsidP="009D3968">
            <w:pPr>
              <w:ind w:left="602" w:right="498" w:hanging="283"/>
              <w:contextualSpacing/>
              <w:mirrorIndents/>
              <w:jc w:val="both"/>
              <w:rPr>
                <w:rFonts w:ascii="ITC Avant Garde Std Bk" w:hAnsi="ITC Avant Garde Std Bk"/>
                <w:color w:val="000000" w:themeColor="text1"/>
                <w:sz w:val="21"/>
                <w:szCs w:val="21"/>
              </w:rPr>
            </w:pPr>
            <w:r w:rsidRPr="009D3968">
              <w:rPr>
                <w:rFonts w:ascii="ITC Avant Garde Std Bk" w:hAnsi="ITC Avant Garde Std Bk"/>
                <w:color w:val="000000" w:themeColor="text1"/>
                <w:sz w:val="21"/>
                <w:szCs w:val="21"/>
              </w:rPr>
              <w:t>III.</w:t>
            </w:r>
            <w:r>
              <w:rPr>
                <w:rFonts w:ascii="ITC Avant Garde Std Bk" w:hAnsi="ITC Avant Garde Std Bk"/>
                <w:color w:val="000000" w:themeColor="text1"/>
                <w:sz w:val="21"/>
                <w:szCs w:val="21"/>
              </w:rPr>
              <w:t xml:space="preserve"> </w:t>
            </w:r>
            <w:r w:rsidRPr="009D3968">
              <w:rPr>
                <w:rFonts w:ascii="ITC Avant Garde Std Bk" w:hAnsi="ITC Avant Garde Std Bk"/>
                <w:color w:val="000000" w:themeColor="text1"/>
                <w:sz w:val="21"/>
                <w:szCs w:val="21"/>
              </w:rPr>
              <w:t xml:space="preserve">Atender en términos no discriminatorios las solicitudes de Servicios de Interconexión en cada Punto de Interconexión de su RPT, </w:t>
            </w:r>
            <w:r w:rsidRPr="009D3968">
              <w:rPr>
                <w:rFonts w:ascii="ITC Avant Garde Std Bk" w:hAnsi="ITC Avant Garde Std Bk"/>
                <w:b/>
                <w:bCs/>
                <w:color w:val="000000" w:themeColor="text1"/>
                <w:sz w:val="21"/>
                <w:szCs w:val="21"/>
                <w:u w:val="single"/>
              </w:rPr>
              <w:t>remitiendo a la Comisión dentro de los 5 días hábiles siguientes a la fecha de notificación de cada solicitud de Servicios de Interconexión que haya recibido</w:t>
            </w:r>
            <w:r w:rsidRPr="009D3968">
              <w:rPr>
                <w:rFonts w:ascii="ITC Avant Garde Std Bk" w:hAnsi="ITC Avant Garde Std Bk"/>
                <w:color w:val="000000" w:themeColor="text1"/>
                <w:sz w:val="21"/>
                <w:szCs w:val="21"/>
              </w:rPr>
              <w:t xml:space="preserve">,  la información relativa a los datos que permitan identificar al Concesionario Solicitante, la fecha y hora de notificación de la solicitud, así como, de manera detallada, los Servicios de Interconexión cuya provisión fue solicitada; asimismo, el Concesionario pondrá a disposición </w:t>
            </w:r>
          </w:p>
          <w:p w14:paraId="487BC049" w14:textId="1ADF0821" w:rsidR="007D22DB" w:rsidRDefault="009D3968" w:rsidP="002F1FD7">
            <w:pPr>
              <w:ind w:left="319" w:right="498"/>
              <w:contextualSpacing/>
              <w:mirrorIndents/>
              <w:jc w:val="both"/>
              <w:rPr>
                <w:rFonts w:ascii="ITC Avant Garde Std Bk" w:hAnsi="ITC Avant Garde Std Bk"/>
                <w:color w:val="000000" w:themeColor="text1"/>
                <w:sz w:val="21"/>
                <w:szCs w:val="21"/>
              </w:rPr>
            </w:pPr>
            <w:r w:rsidRPr="009D3968">
              <w:rPr>
                <w:rFonts w:ascii="ITC Avant Garde Std Bk" w:hAnsi="ITC Avant Garde Std Bk"/>
                <w:color w:val="000000" w:themeColor="text1"/>
                <w:sz w:val="21"/>
                <w:szCs w:val="21"/>
              </w:rPr>
              <w:lastRenderedPageBreak/>
              <w:t>de la Comisión un sistema de acceso vía remota a través del cual se podrá</w:t>
            </w:r>
            <w:r w:rsidR="002F1FD7">
              <w:rPr>
                <w:rFonts w:ascii="ITC Avant Garde Std Bk" w:hAnsi="ITC Avant Garde Std Bk"/>
                <w:color w:val="000000" w:themeColor="text1"/>
                <w:sz w:val="21"/>
                <w:szCs w:val="21"/>
              </w:rPr>
              <w:t xml:space="preserve"> </w:t>
            </w:r>
            <w:r w:rsidRPr="009D3968">
              <w:rPr>
                <w:rFonts w:ascii="ITC Avant Garde Std Bk" w:hAnsi="ITC Avant Garde Std Bk"/>
                <w:color w:val="000000" w:themeColor="text1"/>
                <w:sz w:val="21"/>
                <w:szCs w:val="21"/>
              </w:rPr>
              <w:t>dar seguimiento al estado de las solicitudes;</w:t>
            </w:r>
          </w:p>
          <w:p w14:paraId="79479029" w14:textId="7B18B2EB" w:rsidR="002F1FD7" w:rsidRDefault="002F1FD7" w:rsidP="002F1FD7">
            <w:pPr>
              <w:ind w:left="319" w:right="498"/>
              <w:contextualSpacing/>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 xml:space="preserve"> (…)</w:t>
            </w:r>
          </w:p>
          <w:p w14:paraId="7D94E684" w14:textId="77777777" w:rsidR="002F1FD7" w:rsidRPr="002F1FD7" w:rsidRDefault="002F1FD7" w:rsidP="002F1FD7">
            <w:pPr>
              <w:ind w:left="319" w:right="498"/>
              <w:contextualSpacing/>
              <w:mirrorIndents/>
              <w:jc w:val="both"/>
              <w:rPr>
                <w:rFonts w:ascii="ITC Avant Garde Std Bk" w:hAnsi="ITC Avant Garde Std Bk"/>
                <w:color w:val="000000" w:themeColor="text1"/>
                <w:sz w:val="21"/>
                <w:szCs w:val="21"/>
              </w:rPr>
            </w:pPr>
          </w:p>
          <w:p w14:paraId="4E8C8197" w14:textId="77777777" w:rsidR="002F1FD7" w:rsidRPr="002F1FD7" w:rsidRDefault="002F1FD7" w:rsidP="002F1FD7">
            <w:pPr>
              <w:pStyle w:val="ROMANOS"/>
              <w:tabs>
                <w:tab w:val="clear" w:pos="720"/>
                <w:tab w:val="left" w:pos="306"/>
              </w:tabs>
              <w:spacing w:line="244" w:lineRule="exact"/>
              <w:ind w:left="306" w:right="509" w:hanging="284"/>
              <w:rPr>
                <w:rFonts w:ascii="ITC Avant Garde Std Bk" w:hAnsi="ITC Avant Garde Std Bk"/>
                <w:sz w:val="21"/>
                <w:szCs w:val="21"/>
              </w:rPr>
            </w:pPr>
            <w:r w:rsidRPr="002F1FD7">
              <w:rPr>
                <w:rFonts w:ascii="ITC Avant Garde Std Bk" w:hAnsi="ITC Avant Garde Std Bk"/>
                <w:sz w:val="21"/>
                <w:szCs w:val="21"/>
              </w:rPr>
              <w:t>VI.</w:t>
            </w:r>
            <w:r w:rsidRPr="002F1FD7">
              <w:rPr>
                <w:rFonts w:ascii="ITC Avant Garde Std Bk" w:hAnsi="ITC Avant Garde Std Bk"/>
                <w:sz w:val="21"/>
                <w:szCs w:val="21"/>
              </w:rPr>
              <w:tab/>
              <w:t>A más tardar el mes de junio de cada año, publicar una oferta de interconexión que cumpla con lo establecido en el presente Plan, incluyendo al menos los términos y condiciones a que se refiere el artículo 6 del presente Plan y cada uno de los Servicios de Interconexión a que se refiere la fracción II del presente Artículo. La vigencia de la oferta será de un año calendario, es decir, del 1 de enero al 31 de diciembre del año siguiente a su publicación.</w:t>
            </w:r>
          </w:p>
          <w:p w14:paraId="7F546C39" w14:textId="77777777" w:rsidR="002F1FD7" w:rsidRPr="002F1FD7" w:rsidRDefault="002F1FD7" w:rsidP="002F1FD7">
            <w:pPr>
              <w:pStyle w:val="ROMANOS"/>
              <w:tabs>
                <w:tab w:val="clear" w:pos="720"/>
                <w:tab w:val="left" w:pos="306"/>
              </w:tabs>
              <w:spacing w:line="244" w:lineRule="exact"/>
              <w:ind w:left="306" w:right="509" w:hanging="284"/>
              <w:rPr>
                <w:rFonts w:ascii="ITC Avant Garde Std Bk" w:hAnsi="ITC Avant Garde Std Bk"/>
                <w:sz w:val="21"/>
                <w:szCs w:val="21"/>
              </w:rPr>
            </w:pPr>
            <w:r w:rsidRPr="002F1FD7">
              <w:rPr>
                <w:rFonts w:ascii="ITC Avant Garde Std Bk" w:hAnsi="ITC Avant Garde Std Bk"/>
                <w:sz w:val="21"/>
                <w:szCs w:val="21"/>
              </w:rPr>
              <w:tab/>
              <w:t xml:space="preserve">Durante los siguientes 60 días posteriores a la publicación de la oferta de interconexión, los Concesionarios podrán celebrar el convenio de interconexión a que se refiere el artículo 42 de la Ley. </w:t>
            </w:r>
            <w:r w:rsidRPr="002F1FD7">
              <w:rPr>
                <w:rFonts w:ascii="ITC Avant Garde Std Bk" w:hAnsi="ITC Avant Garde Std Bk"/>
                <w:b/>
                <w:bCs/>
                <w:sz w:val="21"/>
                <w:szCs w:val="21"/>
                <w:u w:val="single"/>
              </w:rPr>
              <w:t>En caso de que los concesionarios no logren celebrar el convenio, podrán solicitar la intervención de la Comisión, la cual resolverá las condiciones no convenidas en términos del artículo 42 de la Ley</w:t>
            </w:r>
            <w:r w:rsidRPr="002F1FD7">
              <w:rPr>
                <w:rFonts w:ascii="ITC Avant Garde Std Bk" w:hAnsi="ITC Avant Garde Std Bk"/>
                <w:sz w:val="21"/>
                <w:szCs w:val="21"/>
              </w:rPr>
              <w:t>.</w:t>
            </w:r>
          </w:p>
          <w:p w14:paraId="64C8B5E6" w14:textId="5DEC7A54" w:rsidR="002F1FD7" w:rsidRDefault="002F1FD7" w:rsidP="002F1FD7">
            <w:pPr>
              <w:pStyle w:val="ROMANOS"/>
              <w:tabs>
                <w:tab w:val="clear" w:pos="720"/>
                <w:tab w:val="left" w:pos="306"/>
              </w:tabs>
              <w:spacing w:line="244" w:lineRule="exact"/>
              <w:ind w:left="306" w:right="509" w:hanging="284"/>
              <w:rPr>
                <w:rFonts w:ascii="ITC Avant Garde Std Bk" w:hAnsi="ITC Avant Garde Std Bk"/>
                <w:sz w:val="21"/>
                <w:szCs w:val="21"/>
              </w:rPr>
            </w:pPr>
            <w:r w:rsidRPr="002F1FD7">
              <w:rPr>
                <w:rFonts w:ascii="ITC Avant Garde Std Bk" w:hAnsi="ITC Avant Garde Std Bk"/>
                <w:sz w:val="21"/>
                <w:szCs w:val="21"/>
              </w:rPr>
              <w:tab/>
            </w:r>
            <w:r w:rsidRPr="002F1FD7">
              <w:rPr>
                <w:rFonts w:ascii="ITC Avant Garde Std Bk" w:hAnsi="ITC Avant Garde Std Bk"/>
                <w:b/>
                <w:bCs/>
                <w:sz w:val="21"/>
                <w:szCs w:val="21"/>
                <w:u w:val="single"/>
              </w:rPr>
              <w:t>Sin perjuicio de lo anterior, cualquier Concesionario podrá solicitar la intervención de la Comisión para la resolución de términos y condiciones no convenidos de Convenios de Interconexión, sujetándose a lo establecido en el presente Plan</w:t>
            </w:r>
            <w:r w:rsidRPr="002F1FD7">
              <w:rPr>
                <w:rFonts w:ascii="ITC Avant Garde Std Bk" w:hAnsi="ITC Avant Garde Std Bk"/>
                <w:sz w:val="21"/>
                <w:szCs w:val="21"/>
              </w:rPr>
              <w:t>.</w:t>
            </w:r>
          </w:p>
          <w:p w14:paraId="018CB61A" w14:textId="77777777" w:rsidR="007D188F" w:rsidRDefault="007D188F" w:rsidP="007D188F">
            <w:pPr>
              <w:ind w:right="73"/>
              <w:contextualSpacing/>
              <w:mirrorIndents/>
              <w:jc w:val="both"/>
              <w:rPr>
                <w:rFonts w:ascii="ITC Avant Garde Std Bk" w:hAnsi="ITC Avant Garde Std Bk"/>
                <w:color w:val="000000" w:themeColor="text1"/>
                <w:sz w:val="21"/>
                <w:szCs w:val="21"/>
                <w:lang w:val="es-ES"/>
              </w:rPr>
            </w:pPr>
            <w:r>
              <w:rPr>
                <w:rFonts w:ascii="ITC Avant Garde Std Bk" w:hAnsi="ITC Avant Garde Std Bk"/>
                <w:color w:val="000000" w:themeColor="text1"/>
                <w:sz w:val="21"/>
                <w:szCs w:val="21"/>
                <w:lang w:val="es-ES"/>
              </w:rPr>
              <w:t>(…)</w:t>
            </w:r>
          </w:p>
          <w:p w14:paraId="55885C1C" w14:textId="77777777" w:rsidR="002F1FD7" w:rsidRDefault="002F1FD7" w:rsidP="00863D35">
            <w:pPr>
              <w:ind w:right="498"/>
              <w:contextualSpacing/>
              <w:mirrorIndents/>
              <w:jc w:val="both"/>
              <w:rPr>
                <w:rFonts w:ascii="ITC Avant Garde Std Bk" w:hAnsi="ITC Avant Garde Std Bk"/>
                <w:color w:val="000000" w:themeColor="text1"/>
                <w:sz w:val="21"/>
                <w:szCs w:val="21"/>
                <w:lang w:val="es-ES"/>
              </w:rPr>
            </w:pPr>
          </w:p>
          <w:p w14:paraId="7D44879B" w14:textId="77777777" w:rsidR="00863D35" w:rsidRDefault="00863D35" w:rsidP="00863D35">
            <w:pPr>
              <w:ind w:right="73"/>
              <w:contextualSpacing/>
              <w:mirrorIndents/>
              <w:jc w:val="both"/>
              <w:rPr>
                <w:rFonts w:ascii="ITC Avant Garde Std Bk" w:hAnsi="ITC Avant Garde Std Bk"/>
                <w:color w:val="000000" w:themeColor="text1"/>
                <w:sz w:val="21"/>
                <w:szCs w:val="21"/>
                <w:lang w:val="es-ES"/>
              </w:rPr>
            </w:pPr>
            <w:r w:rsidRPr="00863D35">
              <w:rPr>
                <w:rFonts w:ascii="ITC Avant Garde Std Bk" w:hAnsi="ITC Avant Garde Std Bk"/>
                <w:b/>
                <w:bCs/>
                <w:color w:val="000000" w:themeColor="text1"/>
                <w:sz w:val="21"/>
                <w:szCs w:val="21"/>
                <w:lang w:val="es-ES"/>
              </w:rPr>
              <w:t>Artículo 19.</w:t>
            </w:r>
            <w:r w:rsidRPr="00863D35">
              <w:rPr>
                <w:rFonts w:ascii="ITC Avant Garde Std Bk" w:hAnsi="ITC Avant Garde Std Bk"/>
                <w:color w:val="000000" w:themeColor="text1"/>
                <w:sz w:val="21"/>
                <w:szCs w:val="21"/>
                <w:lang w:val="es-ES"/>
              </w:rPr>
              <w:t xml:space="preserve"> Los Concesionarios deberán proveer el servicio de </w:t>
            </w:r>
            <w:proofErr w:type="spellStart"/>
            <w:r w:rsidRPr="00863D35">
              <w:rPr>
                <w:rFonts w:ascii="ITC Avant Garde Std Bk" w:hAnsi="ITC Avant Garde Std Bk"/>
                <w:color w:val="000000" w:themeColor="text1"/>
                <w:sz w:val="21"/>
                <w:szCs w:val="21"/>
                <w:lang w:val="es-ES"/>
              </w:rPr>
              <w:t>Coubicación</w:t>
            </w:r>
            <w:proofErr w:type="spellEnd"/>
            <w:r w:rsidRPr="00863D35">
              <w:rPr>
                <w:rFonts w:ascii="ITC Avant Garde Std Bk" w:hAnsi="ITC Avant Garde Std Bk"/>
                <w:color w:val="000000" w:themeColor="text1"/>
                <w:sz w:val="21"/>
                <w:szCs w:val="21"/>
                <w:lang w:val="es-ES"/>
              </w:rPr>
              <w:t xml:space="preserve"> cumpliendo con lo establecido en los Artículos 5 y 13 del presente Plan y, en tal sentido, están obligados a permitir la Compartición de Infraestructura, así como hacer disponibles el espacio físico y todos los servicios de suministro de energía, aire acondicionado, medidas de seguridad y demás facilidades que se requieran. </w:t>
            </w:r>
            <w:r w:rsidRPr="00863D35">
              <w:rPr>
                <w:rFonts w:ascii="ITC Avant Garde Std Bk" w:hAnsi="ITC Avant Garde Std Bk"/>
                <w:b/>
                <w:bCs/>
                <w:color w:val="000000" w:themeColor="text1"/>
                <w:sz w:val="21"/>
                <w:szCs w:val="21"/>
                <w:u w:val="single"/>
                <w:lang w:val="es-ES"/>
              </w:rPr>
              <w:t>En caso de impedimento técnico, el Concesionario Solicitado deberá acreditar a satisfacción de la Comisión tal situación</w:t>
            </w:r>
            <w:r w:rsidRPr="00863D35">
              <w:rPr>
                <w:rFonts w:ascii="ITC Avant Garde Std Bk" w:hAnsi="ITC Avant Garde Std Bk"/>
                <w:color w:val="000000" w:themeColor="text1"/>
                <w:sz w:val="21"/>
                <w:szCs w:val="21"/>
                <w:lang w:val="es-ES"/>
              </w:rPr>
              <w:t xml:space="preserve"> y, en tal caso, deberá ofrecer un medio alternativo de solución sin cargo adicional para el Concesionario Solicitante.</w:t>
            </w:r>
          </w:p>
          <w:p w14:paraId="4546769F" w14:textId="77777777" w:rsidR="00863D35" w:rsidRDefault="00863D35" w:rsidP="00863D35">
            <w:pPr>
              <w:ind w:right="73"/>
              <w:contextualSpacing/>
              <w:mirrorIndents/>
              <w:jc w:val="both"/>
              <w:rPr>
                <w:rFonts w:ascii="ITC Avant Garde Std Bk" w:hAnsi="ITC Avant Garde Std Bk"/>
                <w:color w:val="000000" w:themeColor="text1"/>
                <w:sz w:val="21"/>
                <w:szCs w:val="21"/>
                <w:lang w:val="es-ES"/>
              </w:rPr>
            </w:pPr>
          </w:p>
          <w:p w14:paraId="5A761D0F" w14:textId="30AFAD89" w:rsidR="00825439" w:rsidRDefault="00825439" w:rsidP="00863D35">
            <w:pPr>
              <w:ind w:right="73"/>
              <w:contextualSpacing/>
              <w:mirrorIndents/>
              <w:jc w:val="both"/>
              <w:rPr>
                <w:rFonts w:ascii="ITC Avant Garde Std Bk" w:hAnsi="ITC Avant Garde Std Bk"/>
                <w:color w:val="000000" w:themeColor="text1"/>
                <w:sz w:val="21"/>
                <w:szCs w:val="21"/>
                <w:lang w:val="es-ES"/>
              </w:rPr>
            </w:pPr>
            <w:r w:rsidRPr="00825439">
              <w:rPr>
                <w:rFonts w:ascii="ITC Avant Garde Std Bk" w:hAnsi="ITC Avant Garde Std Bk"/>
                <w:b/>
                <w:bCs/>
                <w:color w:val="000000" w:themeColor="text1"/>
                <w:sz w:val="21"/>
                <w:szCs w:val="21"/>
                <w:lang w:val="es-ES"/>
              </w:rPr>
              <w:t>Artículo 21</w:t>
            </w:r>
            <w:r w:rsidRPr="00825439">
              <w:rPr>
                <w:rFonts w:ascii="ITC Avant Garde Std Bk" w:hAnsi="ITC Avant Garde Std Bk"/>
                <w:color w:val="000000" w:themeColor="text1"/>
                <w:sz w:val="21"/>
                <w:szCs w:val="21"/>
                <w:lang w:val="es-ES"/>
              </w:rPr>
              <w:t xml:space="preserve">. Sin perjuicio de lo establecido en el Artículo 12 del presente Plan, la Interconexión de </w:t>
            </w:r>
            <w:proofErr w:type="spellStart"/>
            <w:r w:rsidRPr="00825439">
              <w:rPr>
                <w:rFonts w:ascii="ITC Avant Garde Std Bk" w:hAnsi="ITC Avant Garde Std Bk"/>
                <w:color w:val="000000" w:themeColor="text1"/>
                <w:sz w:val="21"/>
                <w:szCs w:val="21"/>
                <w:lang w:val="es-ES"/>
              </w:rPr>
              <w:t>RPTs</w:t>
            </w:r>
            <w:proofErr w:type="spellEnd"/>
            <w:r w:rsidRPr="00825439">
              <w:rPr>
                <w:rFonts w:ascii="ITC Avant Garde Std Bk" w:hAnsi="ITC Avant Garde Std Bk"/>
                <w:color w:val="000000" w:themeColor="text1"/>
                <w:sz w:val="21"/>
                <w:szCs w:val="21"/>
                <w:lang w:val="es-ES"/>
              </w:rPr>
              <w:t xml:space="preserve"> se sujetará a la utilización de los siguientes protocolos:</w:t>
            </w:r>
          </w:p>
          <w:p w14:paraId="5EA13F54" w14:textId="6B075C32" w:rsidR="00825439" w:rsidRDefault="00825439" w:rsidP="00863D35">
            <w:pPr>
              <w:ind w:right="73"/>
              <w:contextualSpacing/>
              <w:mirrorIndents/>
              <w:jc w:val="both"/>
              <w:rPr>
                <w:rFonts w:ascii="ITC Avant Garde Std Bk" w:hAnsi="ITC Avant Garde Std Bk"/>
                <w:color w:val="000000" w:themeColor="text1"/>
                <w:sz w:val="21"/>
                <w:szCs w:val="21"/>
                <w:lang w:val="es-ES"/>
              </w:rPr>
            </w:pPr>
          </w:p>
          <w:p w14:paraId="1468CC79" w14:textId="0A49D99A" w:rsidR="00825439" w:rsidRDefault="00825439" w:rsidP="00863D35">
            <w:pPr>
              <w:ind w:right="73"/>
              <w:contextualSpacing/>
              <w:mirrorIndents/>
              <w:jc w:val="both"/>
              <w:rPr>
                <w:rFonts w:ascii="ITC Avant Garde Std Bk" w:hAnsi="ITC Avant Garde Std Bk"/>
                <w:color w:val="000000" w:themeColor="text1"/>
                <w:sz w:val="21"/>
                <w:szCs w:val="21"/>
                <w:lang w:val="es-ES"/>
              </w:rPr>
            </w:pPr>
            <w:r>
              <w:rPr>
                <w:rFonts w:ascii="ITC Avant Garde Std Bk" w:hAnsi="ITC Avant Garde Std Bk"/>
                <w:color w:val="000000" w:themeColor="text1"/>
                <w:sz w:val="21"/>
                <w:szCs w:val="21"/>
                <w:lang w:val="es-ES"/>
              </w:rPr>
              <w:t>(…)</w:t>
            </w:r>
          </w:p>
          <w:p w14:paraId="4E2DA9FC" w14:textId="48DEF57F" w:rsidR="00817C32" w:rsidRDefault="00817C32" w:rsidP="00863D35">
            <w:pPr>
              <w:ind w:right="73"/>
              <w:contextualSpacing/>
              <w:mirrorIndents/>
              <w:jc w:val="both"/>
              <w:rPr>
                <w:rFonts w:ascii="ITC Avant Garde Std Bk" w:hAnsi="ITC Avant Garde Std Bk"/>
                <w:color w:val="000000" w:themeColor="text1"/>
                <w:sz w:val="21"/>
                <w:szCs w:val="21"/>
                <w:lang w:val="es-ES"/>
              </w:rPr>
            </w:pPr>
          </w:p>
          <w:p w14:paraId="0546BA41" w14:textId="6A92071C" w:rsidR="00817C32" w:rsidRDefault="00817C32" w:rsidP="00817C32">
            <w:pPr>
              <w:ind w:right="73"/>
              <w:contextualSpacing/>
              <w:mirrorIndents/>
              <w:jc w:val="both"/>
              <w:rPr>
                <w:rFonts w:ascii="ITC Avant Garde Std Bk" w:hAnsi="ITC Avant Garde Std Bk"/>
                <w:color w:val="000000" w:themeColor="text1"/>
                <w:sz w:val="21"/>
                <w:szCs w:val="21"/>
                <w:lang w:val="es-ES"/>
              </w:rPr>
            </w:pPr>
            <w:r w:rsidRPr="00817C32">
              <w:rPr>
                <w:rFonts w:ascii="ITC Avant Garde Std Bk" w:hAnsi="ITC Avant Garde Std Bk"/>
                <w:color w:val="000000" w:themeColor="text1"/>
                <w:sz w:val="21"/>
                <w:szCs w:val="21"/>
                <w:lang w:val="es-ES"/>
              </w:rPr>
              <w:t>Los Concesionarios deberán permitir la Interconexión a otros Concesionarios, utilizando protocolos de señalización o estándares de transmisión que ya estén utilizando en su interconexión con otras redes.</w:t>
            </w:r>
          </w:p>
          <w:p w14:paraId="7F27A817" w14:textId="77777777" w:rsidR="00817C32" w:rsidRPr="00817C32" w:rsidRDefault="00817C32" w:rsidP="00817C32">
            <w:pPr>
              <w:ind w:right="73"/>
              <w:contextualSpacing/>
              <w:mirrorIndents/>
              <w:jc w:val="both"/>
              <w:rPr>
                <w:rFonts w:ascii="ITC Avant Garde Std Bk" w:hAnsi="ITC Avant Garde Std Bk"/>
                <w:color w:val="000000" w:themeColor="text1"/>
                <w:sz w:val="21"/>
                <w:szCs w:val="21"/>
                <w:lang w:val="es-ES"/>
              </w:rPr>
            </w:pPr>
          </w:p>
          <w:p w14:paraId="2C7CF7E2" w14:textId="05640EA2" w:rsidR="00817C32" w:rsidRDefault="00817C32" w:rsidP="00817C32">
            <w:pPr>
              <w:ind w:right="73"/>
              <w:contextualSpacing/>
              <w:mirrorIndents/>
              <w:jc w:val="both"/>
              <w:rPr>
                <w:rFonts w:ascii="ITC Avant Garde Std Bk" w:hAnsi="ITC Avant Garde Std Bk"/>
                <w:color w:val="000000" w:themeColor="text1"/>
                <w:sz w:val="21"/>
                <w:szCs w:val="21"/>
                <w:lang w:val="es-ES"/>
              </w:rPr>
            </w:pPr>
            <w:r w:rsidRPr="00817C32">
              <w:rPr>
                <w:rFonts w:ascii="ITC Avant Garde Std Bk" w:hAnsi="ITC Avant Garde Std Bk"/>
                <w:color w:val="000000" w:themeColor="text1"/>
                <w:sz w:val="21"/>
                <w:szCs w:val="21"/>
                <w:lang w:val="es-ES"/>
              </w:rPr>
              <w:t xml:space="preserve">En caso de que exista interés en incorporar como disposiciones de carácter general nuevos protocolos de señalización o estándares de transmisión, </w:t>
            </w:r>
            <w:r w:rsidRPr="00817C32">
              <w:rPr>
                <w:rFonts w:ascii="ITC Avant Garde Std Bk" w:hAnsi="ITC Avant Garde Std Bk"/>
                <w:b/>
                <w:bCs/>
                <w:color w:val="000000" w:themeColor="text1"/>
                <w:sz w:val="21"/>
                <w:szCs w:val="21"/>
                <w:u w:val="single"/>
                <w:lang w:val="es-ES"/>
              </w:rPr>
              <w:t>cualquier Concesionario podrá solicitar que la Comisión convoque a los demás Concesionarios a fin de analizar la viabilidad y conveniencia para la adopción de los nuevos protocolos o estándares propuestos</w:t>
            </w:r>
            <w:r w:rsidRPr="00817C32">
              <w:rPr>
                <w:rFonts w:ascii="ITC Avant Garde Std Bk" w:hAnsi="ITC Avant Garde Std Bk"/>
                <w:color w:val="000000" w:themeColor="text1"/>
                <w:sz w:val="21"/>
                <w:szCs w:val="21"/>
                <w:lang w:val="es-ES"/>
              </w:rPr>
              <w:t xml:space="preserve">. Tomando en consideración </w:t>
            </w:r>
            <w:r w:rsidRPr="00817C32">
              <w:rPr>
                <w:rFonts w:ascii="ITC Avant Garde Std Bk" w:hAnsi="ITC Avant Garde Std Bk"/>
                <w:color w:val="000000" w:themeColor="text1"/>
                <w:sz w:val="21"/>
                <w:szCs w:val="21"/>
                <w:lang w:val="es-ES"/>
              </w:rPr>
              <w:lastRenderedPageBreak/>
              <w:t xml:space="preserve">las opiniones vertidas al respecto, la Comisión </w:t>
            </w:r>
            <w:proofErr w:type="gramStart"/>
            <w:r w:rsidRPr="00817C32">
              <w:rPr>
                <w:rFonts w:ascii="ITC Avant Garde Std Bk" w:hAnsi="ITC Avant Garde Std Bk"/>
                <w:color w:val="000000" w:themeColor="text1"/>
                <w:sz w:val="21"/>
                <w:szCs w:val="21"/>
                <w:lang w:val="es-ES"/>
              </w:rPr>
              <w:t>resolverá</w:t>
            </w:r>
            <w:proofErr w:type="gramEnd"/>
            <w:r w:rsidRPr="00817C32">
              <w:rPr>
                <w:rFonts w:ascii="ITC Avant Garde Std Bk" w:hAnsi="ITC Avant Garde Std Bk"/>
                <w:color w:val="000000" w:themeColor="text1"/>
                <w:sz w:val="21"/>
                <w:szCs w:val="21"/>
                <w:lang w:val="es-ES"/>
              </w:rPr>
              <w:t xml:space="preserve"> en definitiva, en un plazo máximo de 90 días naturales a partir de que se convocó a la discusión del tema.</w:t>
            </w:r>
          </w:p>
          <w:p w14:paraId="5C1D93F6" w14:textId="77777777" w:rsidR="00825439" w:rsidRDefault="00825439" w:rsidP="00863D35">
            <w:pPr>
              <w:ind w:right="73"/>
              <w:contextualSpacing/>
              <w:mirrorIndents/>
              <w:jc w:val="both"/>
              <w:rPr>
                <w:rFonts w:ascii="ITC Avant Garde Std Bk" w:hAnsi="ITC Avant Garde Std Bk"/>
                <w:color w:val="000000" w:themeColor="text1"/>
                <w:sz w:val="21"/>
                <w:szCs w:val="21"/>
                <w:lang w:val="es-ES"/>
              </w:rPr>
            </w:pPr>
          </w:p>
          <w:p w14:paraId="753D85C4" w14:textId="1451088D" w:rsidR="00AD2AA2" w:rsidRDefault="00AD2AA2" w:rsidP="00AD2AA2">
            <w:pPr>
              <w:ind w:right="73"/>
              <w:contextualSpacing/>
              <w:mirrorIndents/>
              <w:jc w:val="both"/>
              <w:rPr>
                <w:rFonts w:ascii="ITC Avant Garde Std Bk" w:hAnsi="ITC Avant Garde Std Bk"/>
                <w:color w:val="000000" w:themeColor="text1"/>
                <w:sz w:val="21"/>
                <w:szCs w:val="21"/>
                <w:lang w:val="es-ES"/>
              </w:rPr>
            </w:pPr>
            <w:r w:rsidRPr="00AD2AA2">
              <w:rPr>
                <w:rFonts w:ascii="ITC Avant Garde Std Bk" w:hAnsi="ITC Avant Garde Std Bk"/>
                <w:b/>
                <w:bCs/>
                <w:color w:val="000000" w:themeColor="text1"/>
                <w:sz w:val="21"/>
                <w:szCs w:val="21"/>
                <w:lang w:val="es-ES"/>
              </w:rPr>
              <w:t>Artículo 28.</w:t>
            </w:r>
            <w:r w:rsidRPr="00AD2AA2">
              <w:rPr>
                <w:rFonts w:ascii="ITC Avant Garde Std Bk" w:hAnsi="ITC Avant Garde Std Bk"/>
                <w:color w:val="000000" w:themeColor="text1"/>
                <w:sz w:val="21"/>
                <w:szCs w:val="21"/>
                <w:lang w:val="es-ES"/>
              </w:rPr>
              <w:t xml:space="preserve"> </w:t>
            </w:r>
            <w:r w:rsidRPr="00AD2AA2">
              <w:rPr>
                <w:rFonts w:ascii="ITC Avant Garde Std Bk" w:hAnsi="ITC Avant Garde Std Bk"/>
                <w:b/>
                <w:bCs/>
                <w:color w:val="000000" w:themeColor="text1"/>
                <w:sz w:val="21"/>
                <w:szCs w:val="21"/>
                <w:u w:val="single"/>
                <w:lang w:val="es-ES"/>
              </w:rPr>
              <w:t>De ocurrir una interrupción total en la provisión de algún Servicio de Interconexión, cuya duración sea superior a una hora, los Concesionarios involucrados deberán informar de tal situación a la Comisión, a más tardar al día hábil siguiente de ocurrida la interrupción de que se trate</w:t>
            </w:r>
            <w:r w:rsidRPr="00AD2AA2">
              <w:rPr>
                <w:rFonts w:ascii="ITC Avant Garde Std Bk" w:hAnsi="ITC Avant Garde Std Bk"/>
                <w:color w:val="000000" w:themeColor="text1"/>
                <w:sz w:val="21"/>
                <w:szCs w:val="21"/>
                <w:lang w:val="es-ES"/>
              </w:rPr>
              <w:t>, indicando el tiempo de duración, la causa de la interrupción, la solución y los efectos sobre otras redes interconectadas.</w:t>
            </w:r>
          </w:p>
          <w:p w14:paraId="03C1CC96" w14:textId="77777777" w:rsidR="00AD2AA2" w:rsidRPr="00AD2AA2" w:rsidRDefault="00AD2AA2" w:rsidP="00AD2AA2">
            <w:pPr>
              <w:ind w:right="73"/>
              <w:contextualSpacing/>
              <w:mirrorIndents/>
              <w:jc w:val="both"/>
              <w:rPr>
                <w:rFonts w:ascii="ITC Avant Garde Std Bk" w:hAnsi="ITC Avant Garde Std Bk"/>
                <w:color w:val="000000" w:themeColor="text1"/>
                <w:sz w:val="21"/>
                <w:szCs w:val="21"/>
                <w:lang w:val="es-ES"/>
              </w:rPr>
            </w:pPr>
          </w:p>
          <w:p w14:paraId="5441B5E0" w14:textId="3CD25548" w:rsidR="00AD2AA2" w:rsidRDefault="00AD2AA2" w:rsidP="00AD2AA2">
            <w:pPr>
              <w:ind w:right="73"/>
              <w:contextualSpacing/>
              <w:mirrorIndents/>
              <w:jc w:val="both"/>
              <w:rPr>
                <w:rFonts w:ascii="ITC Avant Garde Std Bk" w:hAnsi="ITC Avant Garde Std Bk"/>
                <w:color w:val="000000" w:themeColor="text1"/>
                <w:sz w:val="21"/>
                <w:szCs w:val="21"/>
                <w:lang w:val="es-ES"/>
              </w:rPr>
            </w:pPr>
            <w:r w:rsidRPr="00AD2AA2">
              <w:rPr>
                <w:rFonts w:ascii="ITC Avant Garde Std Bk" w:hAnsi="ITC Avant Garde Std Bk"/>
                <w:color w:val="000000" w:themeColor="text1"/>
                <w:sz w:val="21"/>
                <w:szCs w:val="21"/>
                <w:lang w:val="es-ES"/>
              </w:rPr>
              <w:t>En tal situación, la Comisión podrá designar a uno o más peritos para investigar de manera inmediata cualquier interrupción de los Servicios de Interconexión, con el fin de determinar si dicha interrupción fue generalizada o sólo afectó a algún Concesionario, así como para verificar las causas que la provocaron. Para tales efectos, los Concesionarios deberán otorgar todas las facilidades que requieran los peritos designados para la consecución de la investigación respectiva.</w:t>
            </w:r>
          </w:p>
          <w:p w14:paraId="6C1E8D3C" w14:textId="77777777" w:rsidR="00AD2AA2" w:rsidRPr="00AD2AA2" w:rsidRDefault="00AD2AA2" w:rsidP="00AD2AA2">
            <w:pPr>
              <w:ind w:right="73"/>
              <w:contextualSpacing/>
              <w:mirrorIndents/>
              <w:jc w:val="both"/>
              <w:rPr>
                <w:rFonts w:ascii="ITC Avant Garde Std Bk" w:hAnsi="ITC Avant Garde Std Bk"/>
                <w:color w:val="000000" w:themeColor="text1"/>
                <w:sz w:val="21"/>
                <w:szCs w:val="21"/>
                <w:lang w:val="es-ES"/>
              </w:rPr>
            </w:pPr>
          </w:p>
          <w:p w14:paraId="597DBC0F" w14:textId="77777777" w:rsidR="00AD2AA2" w:rsidRDefault="00AD2AA2" w:rsidP="00AD2AA2">
            <w:pPr>
              <w:ind w:right="73"/>
              <w:contextualSpacing/>
              <w:mirrorIndents/>
              <w:jc w:val="both"/>
              <w:rPr>
                <w:rFonts w:ascii="ITC Avant Garde Std Bk" w:hAnsi="ITC Avant Garde Std Bk"/>
                <w:color w:val="000000" w:themeColor="text1"/>
                <w:sz w:val="21"/>
                <w:szCs w:val="21"/>
                <w:lang w:val="es-ES"/>
              </w:rPr>
            </w:pPr>
            <w:r w:rsidRPr="00AD2AA2">
              <w:rPr>
                <w:rFonts w:ascii="ITC Avant Garde Std Bk" w:hAnsi="ITC Avant Garde Std Bk"/>
                <w:color w:val="000000" w:themeColor="text1"/>
                <w:sz w:val="21"/>
                <w:szCs w:val="21"/>
                <w:lang w:val="es-ES"/>
              </w:rPr>
              <w:t>Con la información obtenida, la Comisión resolverá sobre las medidas preventivas o correctivas necesarias y, en su caso, sobre la aplicación de las sanciones que pudieran corresponder.</w:t>
            </w:r>
          </w:p>
          <w:p w14:paraId="0D40E658" w14:textId="77777777" w:rsidR="00AD2AA2" w:rsidRDefault="00AD2AA2" w:rsidP="00AD2AA2">
            <w:pPr>
              <w:ind w:right="73"/>
              <w:contextualSpacing/>
              <w:mirrorIndents/>
              <w:jc w:val="both"/>
              <w:rPr>
                <w:rFonts w:ascii="ITC Avant Garde Std Bk" w:hAnsi="ITC Avant Garde Std Bk"/>
                <w:color w:val="000000" w:themeColor="text1"/>
                <w:sz w:val="21"/>
                <w:szCs w:val="21"/>
                <w:lang w:val="es-ES"/>
              </w:rPr>
            </w:pPr>
          </w:p>
          <w:p w14:paraId="4059E23B" w14:textId="27B15060" w:rsidR="00B710ED" w:rsidRDefault="00B710ED" w:rsidP="00B710ED">
            <w:pPr>
              <w:ind w:right="73"/>
              <w:contextualSpacing/>
              <w:mirrorIndents/>
              <w:jc w:val="both"/>
              <w:rPr>
                <w:rFonts w:ascii="ITC Avant Garde Std Bk" w:hAnsi="ITC Avant Garde Std Bk"/>
                <w:color w:val="000000" w:themeColor="text1"/>
                <w:sz w:val="21"/>
                <w:szCs w:val="21"/>
                <w:lang w:val="es-ES"/>
              </w:rPr>
            </w:pPr>
            <w:r w:rsidRPr="00B710ED">
              <w:rPr>
                <w:rFonts w:ascii="ITC Avant Garde Std Bk" w:hAnsi="ITC Avant Garde Std Bk"/>
                <w:b/>
                <w:bCs/>
                <w:color w:val="000000" w:themeColor="text1"/>
                <w:sz w:val="21"/>
                <w:szCs w:val="21"/>
                <w:lang w:val="es-ES"/>
              </w:rPr>
              <w:t>Artículo 29</w:t>
            </w:r>
            <w:r w:rsidRPr="00B710ED">
              <w:rPr>
                <w:rFonts w:ascii="ITC Avant Garde Std Bk" w:hAnsi="ITC Avant Garde Std Bk"/>
                <w:b/>
                <w:bCs/>
                <w:color w:val="000000" w:themeColor="text1"/>
                <w:sz w:val="21"/>
                <w:szCs w:val="21"/>
                <w:u w:val="single"/>
                <w:lang w:val="es-ES"/>
              </w:rPr>
              <w:t>. Cualquier cambio que pudiera afectar las características técnicas de la Interconexión, deberá ser notificado</w:t>
            </w:r>
            <w:r w:rsidRPr="00B710ED">
              <w:rPr>
                <w:rFonts w:ascii="ITC Avant Garde Std Bk" w:hAnsi="ITC Avant Garde Std Bk"/>
                <w:color w:val="000000" w:themeColor="text1"/>
                <w:sz w:val="21"/>
                <w:szCs w:val="21"/>
                <w:lang w:val="es-ES"/>
              </w:rPr>
              <w:t xml:space="preserve"> a los Concesionarios que pudieran resultar afectados y </w:t>
            </w:r>
            <w:r w:rsidRPr="00B710ED">
              <w:rPr>
                <w:rFonts w:ascii="ITC Avant Garde Std Bk" w:hAnsi="ITC Avant Garde Std Bk"/>
                <w:b/>
                <w:bCs/>
                <w:color w:val="000000" w:themeColor="text1"/>
                <w:sz w:val="21"/>
                <w:szCs w:val="21"/>
                <w:u w:val="single"/>
                <w:lang w:val="es-ES"/>
              </w:rPr>
              <w:t>a la Comisión al menos con 3 meses de anticipación a la fecha en que se pretenda realizar</w:t>
            </w:r>
            <w:r w:rsidRPr="00B710ED">
              <w:rPr>
                <w:rFonts w:ascii="ITC Avant Garde Std Bk" w:hAnsi="ITC Avant Garde Std Bk"/>
                <w:color w:val="000000" w:themeColor="text1"/>
                <w:sz w:val="21"/>
                <w:szCs w:val="21"/>
                <w:lang w:val="es-ES"/>
              </w:rPr>
              <w:t>. Cuando dichos cambios se deriven por decisión exclusiva de uno de los Concesionarios, éste deberá cubrir los costos asociados a la adecuación de los Puntos de Interconexión o Enlaces de Transmisión, en que incurra la otra red.</w:t>
            </w:r>
          </w:p>
          <w:p w14:paraId="586537CF" w14:textId="77777777" w:rsidR="00B710ED" w:rsidRPr="00B710ED" w:rsidRDefault="00B710ED" w:rsidP="00B710ED">
            <w:pPr>
              <w:ind w:right="73"/>
              <w:contextualSpacing/>
              <w:mirrorIndents/>
              <w:jc w:val="both"/>
              <w:rPr>
                <w:rFonts w:ascii="ITC Avant Garde Std Bk" w:hAnsi="ITC Avant Garde Std Bk"/>
                <w:color w:val="000000" w:themeColor="text1"/>
                <w:sz w:val="21"/>
                <w:szCs w:val="21"/>
                <w:lang w:val="es-ES"/>
              </w:rPr>
            </w:pPr>
          </w:p>
          <w:p w14:paraId="1E0A3A61" w14:textId="4B4F7842" w:rsidR="00B710ED" w:rsidRPr="002F1FD7" w:rsidRDefault="00B710ED" w:rsidP="00B710ED">
            <w:pPr>
              <w:ind w:right="73"/>
              <w:contextualSpacing/>
              <w:mirrorIndents/>
              <w:jc w:val="both"/>
              <w:rPr>
                <w:rFonts w:ascii="ITC Avant Garde Std Bk" w:hAnsi="ITC Avant Garde Std Bk"/>
                <w:color w:val="000000" w:themeColor="text1"/>
                <w:sz w:val="21"/>
                <w:szCs w:val="21"/>
                <w:lang w:val="es-ES"/>
              </w:rPr>
            </w:pPr>
            <w:r w:rsidRPr="00B710ED">
              <w:rPr>
                <w:rFonts w:ascii="ITC Avant Garde Std Bk" w:hAnsi="ITC Avant Garde Std Bk"/>
                <w:color w:val="000000" w:themeColor="text1"/>
                <w:sz w:val="21"/>
                <w:szCs w:val="21"/>
                <w:lang w:val="es-ES"/>
              </w:rPr>
              <w:t>Tratándose de cambios acordados por ambas partes, o que deriven del cumplimiento de alguna resolución emitida por la Comisión o de autoridades competentes, cada Concesionario cubrirá sus propios costos.</w:t>
            </w:r>
          </w:p>
        </w:tc>
      </w:tr>
    </w:tbl>
    <w:p w14:paraId="37E6B748" w14:textId="77777777" w:rsidR="006166DB" w:rsidRPr="007F4F7E"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F4F7E" w14:paraId="1683D7BD" w14:textId="77777777" w:rsidTr="007D2FD6">
        <w:tc>
          <w:tcPr>
            <w:tcW w:w="8828" w:type="dxa"/>
          </w:tcPr>
          <w:p w14:paraId="6A09D6D7" w14:textId="61D3FDEE" w:rsidR="007D2FD6" w:rsidRPr="00E0081F" w:rsidRDefault="00E0081F" w:rsidP="0025588A">
            <w:pPr>
              <w:pStyle w:val="Prrafodelista"/>
              <w:numPr>
                <w:ilvl w:val="0"/>
                <w:numId w:val="15"/>
              </w:numPr>
              <w:jc w:val="both"/>
            </w:pPr>
            <w:r w:rsidRPr="0025588A">
              <w:rPr>
                <w:rFonts w:ascii="ITC Avant Garde Std Bk" w:hAnsi="ITC Avant Garde Std Bk"/>
                <w:color w:val="000000" w:themeColor="text1"/>
                <w:sz w:val="21"/>
                <w:szCs w:val="21"/>
              </w:rPr>
              <w:t>Inspección, verificación y vigilancia: Ley Federal de Telecomunicaciones y Radiodifusión, artículos 291, 292, 293, 294, 295 y 296.</w:t>
            </w:r>
          </w:p>
        </w:tc>
      </w:tr>
    </w:tbl>
    <w:p w14:paraId="0D5D0600" w14:textId="75CEBF87" w:rsidR="004B7538" w:rsidRPr="007F4F7E" w:rsidRDefault="00DC3A1A" w:rsidP="007F4F7E">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7F4F7E">
        <w:rPr>
          <w:rFonts w:ascii="ITC Avant Garde Std Bk" w:hAnsi="ITC Avant Garde Std Bk"/>
          <w:b/>
          <w:color w:val="000000" w:themeColor="text1"/>
          <w:sz w:val="21"/>
          <w:szCs w:val="21"/>
        </w:rPr>
        <w:t>13.- Inspecciones, verificaciones o visitas domiciliarias relacionadas con la regulación y su fundamento legal:</w:t>
      </w:r>
    </w:p>
    <w:p w14:paraId="288650DD" w14:textId="43D8F7A4" w:rsidR="004B7538" w:rsidRPr="007F4F7E" w:rsidRDefault="004B7538" w:rsidP="002434FF">
      <w:pPr>
        <w:spacing w:after="0" w:line="240" w:lineRule="auto"/>
        <w:contextualSpacing/>
        <w:mirrorIndents/>
        <w:rPr>
          <w:rFonts w:ascii="ITC Avant Garde Std Bk" w:hAnsi="ITC Avant Garde Std Bk"/>
          <w:color w:val="000000" w:themeColor="text1"/>
          <w:sz w:val="21"/>
          <w:szCs w:val="21"/>
        </w:rPr>
      </w:pPr>
    </w:p>
    <w:p w14:paraId="75A121BF" w14:textId="41988E0E" w:rsidR="004B7538" w:rsidRPr="007F4F7E" w:rsidRDefault="004B7538" w:rsidP="002434FF">
      <w:pPr>
        <w:spacing w:after="0" w:line="240" w:lineRule="auto"/>
        <w:contextualSpacing/>
        <w:mirrorIndents/>
        <w:rPr>
          <w:rFonts w:ascii="ITC Avant Garde Std Bk" w:hAnsi="ITC Avant Garde Std Bk"/>
          <w:color w:val="000000" w:themeColor="text1"/>
          <w:sz w:val="21"/>
          <w:szCs w:val="21"/>
        </w:rPr>
      </w:pPr>
    </w:p>
    <w:p w14:paraId="148E77B2" w14:textId="38929B84" w:rsidR="004B7538" w:rsidRPr="007F4F7E" w:rsidRDefault="004B7538" w:rsidP="002434FF">
      <w:pPr>
        <w:spacing w:after="0" w:line="240" w:lineRule="auto"/>
        <w:contextualSpacing/>
        <w:mirrorIndents/>
        <w:rPr>
          <w:rFonts w:ascii="ITC Avant Garde Std Bk" w:hAnsi="ITC Avant Garde Std Bk"/>
          <w:color w:val="000000" w:themeColor="text1"/>
          <w:sz w:val="21"/>
          <w:szCs w:val="21"/>
        </w:rPr>
      </w:pPr>
    </w:p>
    <w:p w14:paraId="6B64E51A" w14:textId="18B60198" w:rsidR="004B7538" w:rsidRPr="007F4F7E" w:rsidRDefault="004B7538" w:rsidP="002434FF">
      <w:pPr>
        <w:spacing w:after="0" w:line="240" w:lineRule="auto"/>
        <w:contextualSpacing/>
        <w:mirrorIndents/>
        <w:rPr>
          <w:rFonts w:ascii="ITC Avant Garde Std Bk" w:hAnsi="ITC Avant Garde Std Bk"/>
          <w:color w:val="000000" w:themeColor="text1"/>
          <w:sz w:val="21"/>
          <w:szCs w:val="21"/>
        </w:rPr>
      </w:pPr>
    </w:p>
    <w:sectPr w:rsidR="004B7538" w:rsidRPr="007F4F7E"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9B1E09" w:rsidRDefault="009B1E09" w:rsidP="006166DB">
      <w:pPr>
        <w:spacing w:after="0" w:line="240" w:lineRule="auto"/>
      </w:pPr>
      <w:r>
        <w:separator/>
      </w:r>
    </w:p>
  </w:endnote>
  <w:endnote w:type="continuationSeparator" w:id="0">
    <w:p w14:paraId="133650C2" w14:textId="77777777" w:rsidR="009B1E09" w:rsidRDefault="009B1E09"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9B1E09" w:rsidRDefault="009B1E09" w:rsidP="006166DB">
      <w:pPr>
        <w:spacing w:after="0" w:line="240" w:lineRule="auto"/>
      </w:pPr>
      <w:r>
        <w:separator/>
      </w:r>
    </w:p>
  </w:footnote>
  <w:footnote w:type="continuationSeparator" w:id="0">
    <w:p w14:paraId="02A85A98" w14:textId="77777777" w:rsidR="009B1E09" w:rsidRDefault="009B1E09"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02F8D201" w:rsidR="009B1E09" w:rsidRDefault="009B1E09"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1F3E"/>
    <w:multiLevelType w:val="hybridMultilevel"/>
    <w:tmpl w:val="B322B7C0"/>
    <w:lvl w:ilvl="0" w:tplc="C00ABDD8">
      <w:start w:val="1"/>
      <w:numFmt w:val="decimal"/>
      <w:lvlText w:val="%1."/>
      <w:lvlJc w:val="left"/>
      <w:pPr>
        <w:ind w:left="708" w:hanging="708"/>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9224F4"/>
    <w:multiLevelType w:val="hybridMultilevel"/>
    <w:tmpl w:val="A224DB9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5D1595"/>
    <w:multiLevelType w:val="hybridMultilevel"/>
    <w:tmpl w:val="55B8E5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C2026D"/>
    <w:multiLevelType w:val="hybridMultilevel"/>
    <w:tmpl w:val="94342A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D46CE5"/>
    <w:multiLevelType w:val="hybridMultilevel"/>
    <w:tmpl w:val="C1E029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8"/>
  </w:num>
  <w:num w:numId="6">
    <w:abstractNumId w:val="14"/>
  </w:num>
  <w:num w:numId="7">
    <w:abstractNumId w:val="13"/>
  </w:num>
  <w:num w:numId="8">
    <w:abstractNumId w:val="9"/>
  </w:num>
  <w:num w:numId="9">
    <w:abstractNumId w:val="10"/>
  </w:num>
  <w:num w:numId="10">
    <w:abstractNumId w:val="11"/>
  </w:num>
  <w:num w:numId="11">
    <w:abstractNumId w:val="7"/>
  </w:num>
  <w:num w:numId="12">
    <w:abstractNumId w:val="2"/>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219D9"/>
    <w:rsid w:val="00085CAE"/>
    <w:rsid w:val="000911B6"/>
    <w:rsid w:val="00160C02"/>
    <w:rsid w:val="00174AB4"/>
    <w:rsid w:val="0019141E"/>
    <w:rsid w:val="001A0D96"/>
    <w:rsid w:val="001C36BF"/>
    <w:rsid w:val="001D0BED"/>
    <w:rsid w:val="001F3494"/>
    <w:rsid w:val="00207BA8"/>
    <w:rsid w:val="00223B0B"/>
    <w:rsid w:val="002434FF"/>
    <w:rsid w:val="00250D5A"/>
    <w:rsid w:val="0025588A"/>
    <w:rsid w:val="002B0B24"/>
    <w:rsid w:val="002E37B6"/>
    <w:rsid w:val="002F1FD7"/>
    <w:rsid w:val="00332FE9"/>
    <w:rsid w:val="00366E21"/>
    <w:rsid w:val="00384692"/>
    <w:rsid w:val="003A162A"/>
    <w:rsid w:val="003F1D7B"/>
    <w:rsid w:val="004317E0"/>
    <w:rsid w:val="00446F0C"/>
    <w:rsid w:val="004B7538"/>
    <w:rsid w:val="004C31A6"/>
    <w:rsid w:val="004C75E5"/>
    <w:rsid w:val="004D6D14"/>
    <w:rsid w:val="004E552A"/>
    <w:rsid w:val="005034EB"/>
    <w:rsid w:val="0053263F"/>
    <w:rsid w:val="00547838"/>
    <w:rsid w:val="00585BD4"/>
    <w:rsid w:val="005E34D0"/>
    <w:rsid w:val="005F0181"/>
    <w:rsid w:val="0061003C"/>
    <w:rsid w:val="006166DB"/>
    <w:rsid w:val="006441CF"/>
    <w:rsid w:val="0065492B"/>
    <w:rsid w:val="006911B3"/>
    <w:rsid w:val="006C1C6B"/>
    <w:rsid w:val="006F7E1D"/>
    <w:rsid w:val="00703626"/>
    <w:rsid w:val="00720D02"/>
    <w:rsid w:val="00727E14"/>
    <w:rsid w:val="007466F1"/>
    <w:rsid w:val="0078318D"/>
    <w:rsid w:val="007D188F"/>
    <w:rsid w:val="007D22DB"/>
    <w:rsid w:val="007D2FD6"/>
    <w:rsid w:val="007F4F7E"/>
    <w:rsid w:val="007F5106"/>
    <w:rsid w:val="008017FB"/>
    <w:rsid w:val="00802508"/>
    <w:rsid w:val="00815D92"/>
    <w:rsid w:val="00817C32"/>
    <w:rsid w:val="00825439"/>
    <w:rsid w:val="00863D35"/>
    <w:rsid w:val="0089205E"/>
    <w:rsid w:val="008E6D3D"/>
    <w:rsid w:val="009068EF"/>
    <w:rsid w:val="0090789C"/>
    <w:rsid w:val="009215E0"/>
    <w:rsid w:val="0092333A"/>
    <w:rsid w:val="009701A3"/>
    <w:rsid w:val="00977ED5"/>
    <w:rsid w:val="009877D4"/>
    <w:rsid w:val="009918CF"/>
    <w:rsid w:val="009A6722"/>
    <w:rsid w:val="009B1E09"/>
    <w:rsid w:val="009D3968"/>
    <w:rsid w:val="009D567D"/>
    <w:rsid w:val="00A25648"/>
    <w:rsid w:val="00A70F6B"/>
    <w:rsid w:val="00A93C7F"/>
    <w:rsid w:val="00AC079F"/>
    <w:rsid w:val="00AD2AA2"/>
    <w:rsid w:val="00AD4846"/>
    <w:rsid w:val="00AF71CC"/>
    <w:rsid w:val="00B018E8"/>
    <w:rsid w:val="00B30E6B"/>
    <w:rsid w:val="00B710ED"/>
    <w:rsid w:val="00B8531B"/>
    <w:rsid w:val="00B86C0F"/>
    <w:rsid w:val="00BC1ECF"/>
    <w:rsid w:val="00BE45D0"/>
    <w:rsid w:val="00C522AD"/>
    <w:rsid w:val="00C76443"/>
    <w:rsid w:val="00C8049B"/>
    <w:rsid w:val="00CA6249"/>
    <w:rsid w:val="00CC5DC9"/>
    <w:rsid w:val="00CF5F25"/>
    <w:rsid w:val="00D14569"/>
    <w:rsid w:val="00D21EE6"/>
    <w:rsid w:val="00D258BF"/>
    <w:rsid w:val="00D93EA9"/>
    <w:rsid w:val="00DC297F"/>
    <w:rsid w:val="00DC3A1A"/>
    <w:rsid w:val="00DF074B"/>
    <w:rsid w:val="00DF1654"/>
    <w:rsid w:val="00E0081F"/>
    <w:rsid w:val="00E70994"/>
    <w:rsid w:val="00E90F85"/>
    <w:rsid w:val="00EC1CE4"/>
    <w:rsid w:val="00EC32C4"/>
    <w:rsid w:val="00EF614E"/>
    <w:rsid w:val="00F014C6"/>
    <w:rsid w:val="00F30AF6"/>
    <w:rsid w:val="00F42CB3"/>
    <w:rsid w:val="00F52381"/>
    <w:rsid w:val="00F54CB3"/>
    <w:rsid w:val="00F62AAD"/>
    <w:rsid w:val="00F71208"/>
    <w:rsid w:val="00F72797"/>
    <w:rsid w:val="00F73022"/>
    <w:rsid w:val="00F86DE2"/>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ROMANOS">
    <w:name w:val="ROMANOS"/>
    <w:basedOn w:val="Normal"/>
    <w:rsid w:val="002F1FD7"/>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styleId="Mencinsinresolver">
    <w:name w:val="Unresolved Mention"/>
    <w:basedOn w:val="Fuentedeprrafopredeter"/>
    <w:uiPriority w:val="99"/>
    <w:semiHidden/>
    <w:unhideWhenUsed/>
    <w:rsid w:val="00C5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0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32D3DF096A9C479E84BBB3B5B44029E3"/>
        <w:category>
          <w:name w:val="General"/>
          <w:gallery w:val="placeholder"/>
        </w:category>
        <w:types>
          <w:type w:val="bbPlcHdr"/>
        </w:types>
        <w:behaviors>
          <w:behavior w:val="content"/>
        </w:behaviors>
        <w:guid w:val="{9BEBE48E-0FB5-4BB6-A69B-42EF6CE4A3B8}"/>
      </w:docPartPr>
      <w:docPartBody>
        <w:p w:rsidR="00C5412A" w:rsidRDefault="002619B7" w:rsidP="002619B7">
          <w:pPr>
            <w:pStyle w:val="32D3DF096A9C479E84BBB3B5B44029E3"/>
          </w:pPr>
          <w:r w:rsidRPr="00BB6A43">
            <w:rPr>
              <w:rStyle w:val="Textodelmarcadordeposicin"/>
            </w:rPr>
            <w:t>Elija un elemento.</w:t>
          </w:r>
        </w:p>
      </w:docPartBody>
    </w:docPart>
    <w:docPart>
      <w:docPartPr>
        <w:name w:val="356F0A2D146A469295D947D2761C8125"/>
        <w:category>
          <w:name w:val="General"/>
          <w:gallery w:val="placeholder"/>
        </w:category>
        <w:types>
          <w:type w:val="bbPlcHdr"/>
        </w:types>
        <w:behaviors>
          <w:behavior w:val="content"/>
        </w:behaviors>
        <w:guid w:val="{E450C521-BB69-4259-9099-48E90D2882FB}"/>
      </w:docPartPr>
      <w:docPartBody>
        <w:p w:rsidR="00C5412A" w:rsidRDefault="002619B7" w:rsidP="002619B7">
          <w:pPr>
            <w:pStyle w:val="356F0A2D146A469295D947D2761C8125"/>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1FA4"/>
    <w:rsid w:val="001B5A4B"/>
    <w:rsid w:val="00247CE4"/>
    <w:rsid w:val="002607A3"/>
    <w:rsid w:val="002619B7"/>
    <w:rsid w:val="0026494F"/>
    <w:rsid w:val="002852A0"/>
    <w:rsid w:val="002B7F38"/>
    <w:rsid w:val="002F0812"/>
    <w:rsid w:val="00303EA8"/>
    <w:rsid w:val="004E3322"/>
    <w:rsid w:val="005D084C"/>
    <w:rsid w:val="00687FEB"/>
    <w:rsid w:val="006D779E"/>
    <w:rsid w:val="007313BB"/>
    <w:rsid w:val="007866FE"/>
    <w:rsid w:val="008E6773"/>
    <w:rsid w:val="009149B3"/>
    <w:rsid w:val="00977C64"/>
    <w:rsid w:val="009F2A3C"/>
    <w:rsid w:val="00A52267"/>
    <w:rsid w:val="00A72DE6"/>
    <w:rsid w:val="00B01F8A"/>
    <w:rsid w:val="00BA56D0"/>
    <w:rsid w:val="00BD1645"/>
    <w:rsid w:val="00BF7C0D"/>
    <w:rsid w:val="00C2228D"/>
    <w:rsid w:val="00C5412A"/>
    <w:rsid w:val="00D31C9E"/>
    <w:rsid w:val="00D57942"/>
    <w:rsid w:val="00D57A8B"/>
    <w:rsid w:val="00D83928"/>
    <w:rsid w:val="00DF3746"/>
    <w:rsid w:val="00E047A7"/>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19B7"/>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32D3DF096A9C479E84BBB3B5B44029E3">
    <w:name w:val="32D3DF096A9C479E84BBB3B5B44029E3"/>
    <w:rsid w:val="002619B7"/>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356F0A2D146A469295D947D2761C8125">
    <w:name w:val="356F0A2D146A469295D947D2761C8125"/>
    <w:rsid w:val="00261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056B-280B-49A1-A946-08CEB42D8AA3}">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AFEF8EA1-B9D4-4747-B4C6-27021B60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7</cp:revision>
  <cp:lastPrinted>2021-11-29T04:49:00Z</cp:lastPrinted>
  <dcterms:created xsi:type="dcterms:W3CDTF">2022-03-29T00:09:00Z</dcterms:created>
  <dcterms:modified xsi:type="dcterms:W3CDTF">2022-07-11T22:46:00Z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