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DE530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E5306" w14:paraId="1B2E1BC8" w14:textId="77777777" w:rsidTr="00DF074B">
        <w:tc>
          <w:tcPr>
            <w:tcW w:w="8828" w:type="dxa"/>
          </w:tcPr>
          <w:p w14:paraId="5E631BCB" w14:textId="02246FF1" w:rsidR="006166DB" w:rsidRPr="00DE5306" w:rsidRDefault="00C9351C" w:rsidP="00605102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DE530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Lineamientos Generales de Accesibilidad al Servicio de Televisión Radiodifundida.</w:t>
            </w:r>
          </w:p>
        </w:tc>
      </w:tr>
    </w:tbl>
    <w:p w14:paraId="52EC83BF" w14:textId="77777777" w:rsidR="006166DB" w:rsidRPr="00DE5306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DE530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E5306" w14:paraId="454C3A95" w14:textId="77777777" w:rsidTr="2C344159">
        <w:tc>
          <w:tcPr>
            <w:tcW w:w="8828" w:type="dxa"/>
          </w:tcPr>
          <w:p w14:paraId="1A68E5FF" w14:textId="3DC36141" w:rsidR="006166DB" w:rsidRPr="00DE5306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DE5306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8-08-2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B46ECD" w:rsidRPr="00DE5306">
                  <w:rPr>
                    <w:rStyle w:val="Estilo4"/>
                    <w:sz w:val="21"/>
                    <w:szCs w:val="21"/>
                  </w:rPr>
                  <w:t>22</w:t>
                </w:r>
                <w:r w:rsidR="00AF71CC" w:rsidRPr="00DE5306">
                  <w:rPr>
                    <w:rStyle w:val="Estilo4"/>
                    <w:sz w:val="21"/>
                    <w:szCs w:val="21"/>
                  </w:rPr>
                  <w:t>/0</w:t>
                </w:r>
                <w:r w:rsidR="00B46ECD" w:rsidRPr="00DE5306">
                  <w:rPr>
                    <w:rStyle w:val="Estilo4"/>
                    <w:sz w:val="21"/>
                    <w:szCs w:val="21"/>
                  </w:rPr>
                  <w:t>8</w:t>
                </w:r>
                <w:r w:rsidR="0092333A" w:rsidRPr="00DE5306">
                  <w:rPr>
                    <w:rStyle w:val="Estilo4"/>
                    <w:sz w:val="21"/>
                    <w:szCs w:val="21"/>
                  </w:rPr>
                  <w:t>/201</w:t>
                </w:r>
                <w:r w:rsidR="00C9351C" w:rsidRPr="00DE5306">
                  <w:rPr>
                    <w:rStyle w:val="Estilo4"/>
                    <w:sz w:val="21"/>
                    <w:szCs w:val="21"/>
                  </w:rPr>
                  <w:t>8</w:t>
                </w:r>
              </w:sdtContent>
            </w:sdt>
          </w:p>
        </w:tc>
      </w:tr>
      <w:tr w:rsidR="003F1D7B" w:rsidRPr="00DE5306" w14:paraId="098151CF" w14:textId="77777777" w:rsidTr="2C344159">
        <w:tc>
          <w:tcPr>
            <w:tcW w:w="8828" w:type="dxa"/>
          </w:tcPr>
          <w:p w14:paraId="07D4CB20" w14:textId="232EECD1" w:rsidR="003F1D7B" w:rsidRPr="00DE5306" w:rsidRDefault="003F1D7B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DE5306">
              <w:rPr>
                <w:rStyle w:val="Estilo4"/>
                <w:sz w:val="21"/>
                <w:szCs w:val="21"/>
              </w:rPr>
              <w:t xml:space="preserve">Fecha de publicación en el DOF: </w:t>
            </w:r>
            <w:r w:rsidR="00C9351C" w:rsidRPr="00DE5306">
              <w:rPr>
                <w:rStyle w:val="Estilo4"/>
                <w:sz w:val="21"/>
                <w:szCs w:val="21"/>
              </w:rPr>
              <w:t>17</w:t>
            </w:r>
            <w:r w:rsidRPr="00DE5306">
              <w:rPr>
                <w:rStyle w:val="Estilo4"/>
                <w:sz w:val="21"/>
                <w:szCs w:val="21"/>
              </w:rPr>
              <w:t>/</w:t>
            </w:r>
            <w:r w:rsidR="00B46ECD" w:rsidRPr="00DE5306">
              <w:rPr>
                <w:rStyle w:val="Estilo4"/>
                <w:sz w:val="21"/>
                <w:szCs w:val="21"/>
              </w:rPr>
              <w:t>09</w:t>
            </w:r>
            <w:r w:rsidRPr="00DE5306">
              <w:rPr>
                <w:rStyle w:val="Estilo4"/>
                <w:sz w:val="21"/>
                <w:szCs w:val="21"/>
              </w:rPr>
              <w:t>/201</w:t>
            </w:r>
            <w:r w:rsidR="00C9351C" w:rsidRPr="00DE5306">
              <w:rPr>
                <w:rStyle w:val="Estilo4"/>
                <w:sz w:val="21"/>
                <w:szCs w:val="21"/>
              </w:rPr>
              <w:t>8</w:t>
            </w:r>
            <w:r w:rsidRPr="00DE5306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DE5306" w14:paraId="784A8897" w14:textId="77777777" w:rsidTr="2C344159">
        <w:tc>
          <w:tcPr>
            <w:tcW w:w="8828" w:type="dxa"/>
          </w:tcPr>
          <w:p w14:paraId="335C558B" w14:textId="59C28C05" w:rsidR="00DF074B" w:rsidRPr="00DE5306" w:rsidRDefault="004C31A6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DE5306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C9351C" w:rsidRPr="00DE5306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DE5306" w14:paraId="25C2F9B9" w14:textId="77777777" w:rsidTr="2C344159">
        <w:tblPrEx>
          <w:tblCellMar>
            <w:left w:w="70" w:type="dxa"/>
            <w:right w:w="70" w:type="dxa"/>
          </w:tblCellMar>
        </w:tblPrEx>
        <w:tc>
          <w:tcPr>
            <w:tcW w:w="8828" w:type="dxa"/>
          </w:tcPr>
          <w:p w14:paraId="187042E5" w14:textId="0EEC9BEB" w:rsidR="006166DB" w:rsidRPr="00DE5306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DE5306">
              <w:rPr>
                <w:rStyle w:val="Estilo4"/>
                <w:sz w:val="21"/>
                <w:szCs w:val="21"/>
              </w:rPr>
              <w:t xml:space="preserve">Inicio de la vigencia: </w:t>
            </w:r>
            <w:sdt>
              <w:sdtPr>
                <w:rPr>
                  <w:rFonts w:ascii="ITC Avant Garde Std Bk" w:eastAsia="Times New Roman" w:hAnsi="ITC Avant Garde Std Bk" w:cs="Calibri"/>
                  <w:color w:val="000000"/>
                  <w:sz w:val="21"/>
                  <w:szCs w:val="21"/>
                  <w:lang w:eastAsia="es-MX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8-12-1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color w:val="000000" w:themeColor="text1"/>
                </w:rPr>
              </w:sdtEndPr>
              <w:sdtContent>
                <w:r w:rsidR="001B6FFF">
                  <w:rPr>
                    <w:rFonts w:ascii="ITC Avant Garde Std Bk" w:eastAsia="Times New Roman" w:hAnsi="ITC Avant Garde Std Bk" w:cs="Calibri"/>
                    <w:color w:val="000000"/>
                    <w:sz w:val="21"/>
                    <w:szCs w:val="21"/>
                    <w:lang w:eastAsia="es-MX"/>
                  </w:rPr>
                  <w:t>11/12/2018</w:t>
                </w:r>
              </w:sdtContent>
            </w:sdt>
            <w:r w:rsidRPr="00DE5306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DE5306" w14:paraId="5C60735A" w14:textId="77777777" w:rsidTr="2C344159">
        <w:trPr>
          <w:trHeight w:val="50"/>
        </w:trPr>
        <w:tc>
          <w:tcPr>
            <w:tcW w:w="8828" w:type="dxa"/>
          </w:tcPr>
          <w:p w14:paraId="43F30054" w14:textId="28A876EE" w:rsidR="00DF074B" w:rsidRPr="00DE5306" w:rsidRDefault="00DF074B" w:rsidP="00DF074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DE5306">
              <w:rPr>
                <w:rStyle w:val="Estilo4"/>
                <w:sz w:val="21"/>
                <w:szCs w:val="21"/>
              </w:rPr>
              <w:t>Término de la vigencia:</w:t>
            </w:r>
            <w:r w:rsidR="00B46ECD" w:rsidRPr="00DE5306">
              <w:rPr>
                <w:rStyle w:val="Estilo4"/>
                <w:sz w:val="21"/>
                <w:szCs w:val="21"/>
              </w:rPr>
              <w:t xml:space="preserve"> No aplica</w:t>
            </w:r>
          </w:p>
        </w:tc>
      </w:tr>
    </w:tbl>
    <w:p w14:paraId="7B361F8E" w14:textId="77777777" w:rsidR="006166DB" w:rsidRPr="00DE5306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6657EF3" w14:textId="77777777" w:rsidR="006166DB" w:rsidRPr="00DE530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E5306" w14:paraId="2E594784" w14:textId="77777777" w:rsidTr="00DF074B">
        <w:tc>
          <w:tcPr>
            <w:tcW w:w="8828" w:type="dxa"/>
          </w:tcPr>
          <w:p w14:paraId="6C41AB66" w14:textId="4CB522BC" w:rsidR="006166DB" w:rsidRPr="00DE5306" w:rsidRDefault="00B46ECD" w:rsidP="002434FF">
            <w:p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DE530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DE5306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DE530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E5306" w14:paraId="0FEE5916" w14:textId="77777777" w:rsidTr="00DF074B">
        <w:tc>
          <w:tcPr>
            <w:tcW w:w="8828" w:type="dxa"/>
          </w:tcPr>
          <w:p w14:paraId="043F6ABC" w14:textId="59A07B51" w:rsidR="006166DB" w:rsidRPr="00DE5306" w:rsidRDefault="00B46ECD" w:rsidP="002434FF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DE530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DE5306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DE530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DE5306" w14:paraId="749D808B" w14:textId="77777777" w:rsidTr="00DF074B">
        <w:tc>
          <w:tcPr>
            <w:tcW w:w="8828" w:type="dxa"/>
          </w:tcPr>
          <w:p w14:paraId="07FF9FAE" w14:textId="49180C66" w:rsidR="00DC3A1A" w:rsidRPr="00DE5306" w:rsidRDefault="00C76443" w:rsidP="00DF074B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DE5306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DE5306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B46ECD" w:rsidRPr="00DE5306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DE5306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DE530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E5306" w14:paraId="380262AA" w14:textId="77777777" w:rsidTr="007D0777">
        <w:trPr>
          <w:trHeight w:val="187"/>
        </w:trPr>
        <w:tc>
          <w:tcPr>
            <w:tcW w:w="8828" w:type="dxa"/>
          </w:tcPr>
          <w:p w14:paraId="1917902A" w14:textId="1975FC28" w:rsidR="006166DB" w:rsidRPr="00DE5306" w:rsidRDefault="007B199B" w:rsidP="0092333A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26/12/2023</w:t>
            </w:r>
          </w:p>
        </w:tc>
      </w:tr>
    </w:tbl>
    <w:p w14:paraId="4E8FF191" w14:textId="77777777" w:rsidR="006166DB" w:rsidRPr="00DE530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3333167" w14:textId="178A32D8" w:rsidR="006166DB" w:rsidRPr="00DE530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E5306" w14:paraId="00840257" w14:textId="77777777" w:rsidTr="00DF074B">
        <w:tc>
          <w:tcPr>
            <w:tcW w:w="8828" w:type="dxa"/>
          </w:tcPr>
          <w:p w14:paraId="5DFAFB35" w14:textId="23B57BAE" w:rsidR="006166DB" w:rsidRPr="00DE5306" w:rsidRDefault="00A117E2" w:rsidP="002434FF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8C2231" w:rsidRPr="00DE5306">
                  <w:rPr>
                    <w:rStyle w:val="Estilo4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DE5306" w:rsidRDefault="006166DB" w:rsidP="002434FF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7B55D3FB" w:rsidR="006166DB" w:rsidRPr="00DE530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D12B1D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6166DB" w:rsidRPr="00DE5306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E5306" w14:paraId="040BA959" w14:textId="77777777" w:rsidTr="00164367">
        <w:trPr>
          <w:trHeight w:val="253"/>
        </w:trPr>
        <w:tc>
          <w:tcPr>
            <w:tcW w:w="8828" w:type="dxa"/>
          </w:tcPr>
          <w:p w14:paraId="5F275C45" w14:textId="575D1EC8" w:rsidR="00CA4E70" w:rsidRPr="00164367" w:rsidRDefault="00164367" w:rsidP="00164367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DE5306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10"/>
          <w:szCs w:val="10"/>
        </w:rPr>
      </w:pPr>
    </w:p>
    <w:p w14:paraId="308AB0E2" w14:textId="26B249A2" w:rsidR="00F73022" w:rsidRPr="00DE530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D12B1D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F73022" w:rsidRPr="00DE5306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DE5306" w14:paraId="373C675C" w14:textId="77777777" w:rsidTr="0A1B3EA4">
        <w:tc>
          <w:tcPr>
            <w:tcW w:w="8828" w:type="dxa"/>
          </w:tcPr>
          <w:p w14:paraId="53B08DCA" w14:textId="3C8CC3FB" w:rsidR="00F73022" w:rsidRPr="00A601A0" w:rsidRDefault="008C2231" w:rsidP="0092333A">
            <w:pPr>
              <w:tabs>
                <w:tab w:val="left" w:pos="1500"/>
              </w:tabs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A1B3EA4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L</w:t>
            </w:r>
            <w:r w:rsidRPr="002663E7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 regulación tiene por objeto establecer los parámetros que deberán cumplir los servicios de Accesibilidad para personas con Discapacidad en el Servicio de Televisión Radiodifundida</w:t>
            </w:r>
            <w:r w:rsidR="002663E7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, para los efectos del artículo Cuadragésimo Tercero Transitorio del Decreto por el que se expidió la Ley Federal de Telecomunicaciones y Radiodifusión</w:t>
            </w:r>
            <w:r w:rsidRPr="002663E7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. </w:t>
            </w:r>
          </w:p>
        </w:tc>
      </w:tr>
    </w:tbl>
    <w:p w14:paraId="2355FA42" w14:textId="77777777" w:rsidR="00F73022" w:rsidRPr="00DE5306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10"/>
          <w:szCs w:val="10"/>
        </w:rPr>
      </w:pPr>
    </w:p>
    <w:p w14:paraId="346E748B" w14:textId="170A2651" w:rsidR="006166DB" w:rsidRPr="00DE530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DE5306" w14:paraId="36A134C5" w14:textId="77777777" w:rsidTr="5FA5A67F">
        <w:tc>
          <w:tcPr>
            <w:tcW w:w="8828" w:type="dxa"/>
          </w:tcPr>
          <w:p w14:paraId="0C79C5AD" w14:textId="522BF42B" w:rsidR="006166DB" w:rsidRPr="00DE5306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DE5306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92333A" w:rsidRPr="00DE5306">
                  <w:rPr>
                    <w:rFonts w:ascii="ITC Avant Garde Std Bk" w:hAnsi="ITC Avant Garde Std Bk"/>
                    <w:sz w:val="21"/>
                    <w:szCs w:val="21"/>
                  </w:rPr>
                  <w:t xml:space="preserve">Radiodifusión </w:t>
                </w:r>
              </w:sdtContent>
            </w:sdt>
            <w:r w:rsidRPr="00DE5306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166DB" w:rsidRPr="00DE5306" w14:paraId="78629502" w14:textId="77777777" w:rsidTr="5FA5A67F">
        <w:tc>
          <w:tcPr>
            <w:tcW w:w="8828" w:type="dxa"/>
          </w:tcPr>
          <w:p w14:paraId="617248E0" w14:textId="5572CACD" w:rsidR="006166DB" w:rsidRPr="00DE5306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DE5306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92333A" w:rsidRPr="00DE5306">
                  <w:rPr>
                    <w:rFonts w:ascii="ITC Avant Garde Std Bk" w:hAnsi="ITC Avant Garde Std Bk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6166DB" w:rsidRPr="00DE5306" w14:paraId="380D841C" w14:textId="77777777" w:rsidTr="5FA5A67F">
        <w:tc>
          <w:tcPr>
            <w:tcW w:w="8828" w:type="dxa"/>
          </w:tcPr>
          <w:p w14:paraId="6C9F585B" w14:textId="64703AF2" w:rsidR="006166DB" w:rsidRPr="00DE5306" w:rsidRDefault="006166DB" w:rsidP="0092333A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5FA5A67F">
              <w:rPr>
                <w:rFonts w:ascii="ITC Avant Garde Std Bk" w:hAnsi="ITC Avant Garde Std Bk"/>
                <w:sz w:val="21"/>
                <w:szCs w:val="21"/>
              </w:rPr>
              <w:t xml:space="preserve">Regulado: </w:t>
            </w:r>
            <w:r w:rsidR="0092333A" w:rsidRPr="5FA5A67F">
              <w:rPr>
                <w:rFonts w:ascii="ITC Avant Garde Std Bk" w:hAnsi="ITC Avant Garde Std Bk"/>
                <w:sz w:val="21"/>
                <w:szCs w:val="21"/>
              </w:rPr>
              <w:t>Concesionarios</w:t>
            </w:r>
          </w:p>
        </w:tc>
      </w:tr>
    </w:tbl>
    <w:p w14:paraId="6F28DB01" w14:textId="5DEA0AD1" w:rsidR="001D0BED" w:rsidRPr="00DE5306" w:rsidRDefault="001D0BED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DE530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DE5306" w14:paraId="0977E504" w14:textId="77777777" w:rsidTr="5FA5A67F">
        <w:trPr>
          <w:trHeight w:val="65"/>
        </w:trPr>
        <w:tc>
          <w:tcPr>
            <w:tcW w:w="8828" w:type="dxa"/>
          </w:tcPr>
          <w:p w14:paraId="6F1538ED" w14:textId="40924735" w:rsidR="00DC3A1A" w:rsidRDefault="31A52A01" w:rsidP="00DF074B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5FA5A67F">
              <w:rPr>
                <w:rFonts w:ascii="ITC Avant Garde Std Bk" w:hAnsi="ITC Avant Garde Std Bk"/>
                <w:sz w:val="21"/>
                <w:szCs w:val="21"/>
              </w:rPr>
              <w:t>Ley Federal de Telecomunicaciones y Radiodifusión</w:t>
            </w:r>
          </w:p>
          <w:p w14:paraId="32BED2D6" w14:textId="77777777" w:rsidR="007D0777" w:rsidRDefault="007D0777" w:rsidP="007D0777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</w:p>
          <w:p w14:paraId="5D4A60FE" w14:textId="660CE18D" w:rsidR="00DF3E4C" w:rsidRPr="00DE5306" w:rsidRDefault="007D0777" w:rsidP="00DF074B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7D0777">
              <w:rPr>
                <w:rFonts w:ascii="ITC Avant Garde Std Bk" w:hAnsi="ITC Avant Garde Std Bk"/>
                <w:sz w:val="21"/>
                <w:szCs w:val="21"/>
              </w:rPr>
              <w:t>A</w:t>
            </w:r>
            <w:r w:rsidRPr="007D0777">
              <w:rPr>
                <w:rFonts w:ascii="ITC Avant Garde Std Bk" w:hAnsi="ITC Avant Garde Std Bk"/>
                <w:sz w:val="21"/>
                <w:szCs w:val="21"/>
              </w:rPr>
              <w:t xml:space="preserve">cuerdo </w:t>
            </w:r>
            <w:r w:rsidRPr="007D0777">
              <w:rPr>
                <w:rFonts w:ascii="ITC Avant Garde Std Bk" w:hAnsi="ITC Avant Garde Std Bk"/>
                <w:sz w:val="21"/>
                <w:szCs w:val="21"/>
              </w:rPr>
              <w:t xml:space="preserve">mediante el cual el Pleno del Instituto Federal de Telecomunicaciones elimina diversos trámites del Registro de Trámites y Servicios del Instituto Federal de </w:t>
            </w:r>
            <w:r w:rsidRPr="007D0777">
              <w:rPr>
                <w:rFonts w:ascii="ITC Avant Garde Std Bk" w:hAnsi="ITC Avant Garde Std Bk"/>
                <w:sz w:val="21"/>
                <w:szCs w:val="21"/>
              </w:rPr>
              <w:lastRenderedPageBreak/>
              <w:t>Telecomunicaciones; así como modifica y deroga diversas disposiciones como parte de las acciones de simplificación de trámites y servicios a su cargo</w:t>
            </w:r>
          </w:p>
        </w:tc>
      </w:tr>
    </w:tbl>
    <w:p w14:paraId="03FABE9B" w14:textId="45F8751D" w:rsidR="00DC3A1A" w:rsidRPr="00DE5306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66A130" w14:textId="7623840C" w:rsidR="006166DB" w:rsidRPr="00DE5306" w:rsidRDefault="00DC3A1A" w:rsidP="0A1B3EA4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bCs/>
          <w:color w:val="000000" w:themeColor="text1"/>
          <w:sz w:val="21"/>
          <w:szCs w:val="21"/>
        </w:rPr>
      </w:pPr>
      <w:r w:rsidRPr="0A1B3EA4">
        <w:rPr>
          <w:rFonts w:ascii="ITC Avant Garde Std Bk" w:hAnsi="ITC Avant Garde Std Bk"/>
          <w:b/>
          <w:bCs/>
          <w:color w:val="000000" w:themeColor="text1"/>
          <w:sz w:val="21"/>
          <w:szCs w:val="21"/>
        </w:rPr>
        <w:t>12</w:t>
      </w:r>
      <w:r w:rsidR="006166DB" w:rsidRPr="0A1B3EA4">
        <w:rPr>
          <w:rFonts w:ascii="ITC Avant Garde Std Bk" w:hAnsi="ITC Avant Garde Std Bk"/>
          <w:b/>
          <w:bCs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DE5306" w14:paraId="096E5FBB" w14:textId="77777777" w:rsidTr="5AC426DC">
        <w:tc>
          <w:tcPr>
            <w:tcW w:w="8828" w:type="dxa"/>
          </w:tcPr>
          <w:p w14:paraId="1E0A3A61" w14:textId="2B201033" w:rsidR="007D2FD6" w:rsidRDefault="007D2FD6" w:rsidP="5AC426DC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DE5306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DE5306" w14:paraId="1683D7BD" w14:textId="77777777" w:rsidTr="007D2FD6">
        <w:tc>
          <w:tcPr>
            <w:tcW w:w="8828" w:type="dxa"/>
          </w:tcPr>
          <w:p w14:paraId="33788251" w14:textId="77777777" w:rsidR="00CF2E71" w:rsidRPr="00CF2E71" w:rsidRDefault="00CF2E71" w:rsidP="00CF2E71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CF2E71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  <w:p w14:paraId="6A09D6D7" w14:textId="70EFDD7D" w:rsidR="007D2FD6" w:rsidRPr="00CF2E71" w:rsidRDefault="00AB7028" w:rsidP="00CF2E71">
            <w:pPr>
              <w:pStyle w:val="Prrafodelista"/>
              <w:numPr>
                <w:ilvl w:val="0"/>
                <w:numId w:val="13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Supervisión: Lineamientos Generales de Accesibilidad al Servicio de Televisión Radiodifundida, artículo 10.</w:t>
            </w:r>
          </w:p>
        </w:tc>
      </w:tr>
    </w:tbl>
    <w:p w14:paraId="21B252A3" w14:textId="77777777" w:rsidR="00DC3A1A" w:rsidRPr="00DE530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DE5306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DE5306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02F9C20" w14:textId="1D855C42" w:rsidR="004B7538" w:rsidRPr="00DE5306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0310148" w14:textId="130AEE91" w:rsidR="004B7538" w:rsidRPr="00DE5306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56EE820" w14:textId="2ACBD6FD" w:rsidR="004B7538" w:rsidRPr="00DE5306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90366B3" w14:textId="4287C31C" w:rsidR="004B7538" w:rsidRPr="00DE5306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D54DA18" w14:textId="6B3FAB26" w:rsidR="004B7538" w:rsidRPr="00DE5306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495C852" w14:textId="01329A7B" w:rsidR="004B7538" w:rsidRPr="00DE5306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5D0600" w14:textId="44BBF303" w:rsidR="004B7538" w:rsidRPr="00DE5306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88650DD" w14:textId="43D8F7A4" w:rsidR="004B7538" w:rsidRPr="00DE5306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75A121BF" w14:textId="41988E0E" w:rsidR="004B7538" w:rsidRPr="00DE5306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48E77B2" w14:textId="38929B84" w:rsidR="004B7538" w:rsidRPr="00DE5306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B64E51A" w14:textId="18B60198" w:rsidR="004B7538" w:rsidRPr="00DE5306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sectPr w:rsidR="004B7538" w:rsidRPr="00DE530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292A6E" w:rsidRDefault="00292A6E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292A6E" w:rsidRDefault="00292A6E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292A6E" w:rsidRDefault="00292A6E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292A6E" w:rsidRDefault="00292A6E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102456BB" w:rsidR="00292A6E" w:rsidRDefault="00292A6E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2594"/>
    <w:multiLevelType w:val="hybridMultilevel"/>
    <w:tmpl w:val="1338D1DC"/>
    <w:lvl w:ilvl="0" w:tplc="5EC66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24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CE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06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6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C6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AC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23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E2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06E6"/>
    <w:multiLevelType w:val="hybridMultilevel"/>
    <w:tmpl w:val="BED8E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3958"/>
    <w:multiLevelType w:val="hybridMultilevel"/>
    <w:tmpl w:val="3CBEAC5C"/>
    <w:lvl w:ilvl="0" w:tplc="F67C94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87308">
    <w:abstractNumId w:val="0"/>
  </w:num>
  <w:num w:numId="2" w16cid:durableId="972950688">
    <w:abstractNumId w:val="4"/>
  </w:num>
  <w:num w:numId="3" w16cid:durableId="766192433">
    <w:abstractNumId w:val="3"/>
  </w:num>
  <w:num w:numId="4" w16cid:durableId="1322781686">
    <w:abstractNumId w:val="1"/>
  </w:num>
  <w:num w:numId="5" w16cid:durableId="2027175817">
    <w:abstractNumId w:val="2"/>
  </w:num>
  <w:num w:numId="6" w16cid:durableId="1529874968">
    <w:abstractNumId w:val="7"/>
  </w:num>
  <w:num w:numId="7" w16cid:durableId="1136096992">
    <w:abstractNumId w:val="12"/>
  </w:num>
  <w:num w:numId="8" w16cid:durableId="344600561">
    <w:abstractNumId w:val="11"/>
  </w:num>
  <w:num w:numId="9" w16cid:durableId="113864944">
    <w:abstractNumId w:val="8"/>
  </w:num>
  <w:num w:numId="10" w16cid:durableId="521939917">
    <w:abstractNumId w:val="9"/>
  </w:num>
  <w:num w:numId="11" w16cid:durableId="817696064">
    <w:abstractNumId w:val="10"/>
  </w:num>
  <w:num w:numId="12" w16cid:durableId="472604885">
    <w:abstractNumId w:val="6"/>
  </w:num>
  <w:num w:numId="13" w16cid:durableId="1816099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trackRevisions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60C02"/>
    <w:rsid w:val="00164367"/>
    <w:rsid w:val="001A0D96"/>
    <w:rsid w:val="001B6FFF"/>
    <w:rsid w:val="001C36BF"/>
    <w:rsid w:val="001D0BED"/>
    <w:rsid w:val="001E694C"/>
    <w:rsid w:val="001F3494"/>
    <w:rsid w:val="00207BA8"/>
    <w:rsid w:val="00223B0B"/>
    <w:rsid w:val="002360F2"/>
    <w:rsid w:val="002434FF"/>
    <w:rsid w:val="00250D5A"/>
    <w:rsid w:val="0026494F"/>
    <w:rsid w:val="002663E7"/>
    <w:rsid w:val="00292A6E"/>
    <w:rsid w:val="002B0B24"/>
    <w:rsid w:val="002E37B6"/>
    <w:rsid w:val="00332FE9"/>
    <w:rsid w:val="00366E21"/>
    <w:rsid w:val="00384692"/>
    <w:rsid w:val="003A162A"/>
    <w:rsid w:val="003C005D"/>
    <w:rsid w:val="003F1D7B"/>
    <w:rsid w:val="00446F0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0020B"/>
    <w:rsid w:val="00605102"/>
    <w:rsid w:val="0061003C"/>
    <w:rsid w:val="006166DB"/>
    <w:rsid w:val="006441CF"/>
    <w:rsid w:val="0065492B"/>
    <w:rsid w:val="006911B3"/>
    <w:rsid w:val="006C63E2"/>
    <w:rsid w:val="006D779E"/>
    <w:rsid w:val="006E2D76"/>
    <w:rsid w:val="006F7E1D"/>
    <w:rsid w:val="00703626"/>
    <w:rsid w:val="00720D02"/>
    <w:rsid w:val="007466F1"/>
    <w:rsid w:val="0078318D"/>
    <w:rsid w:val="007B199B"/>
    <w:rsid w:val="007D0777"/>
    <w:rsid w:val="007D2FD6"/>
    <w:rsid w:val="007F5106"/>
    <w:rsid w:val="008017FB"/>
    <w:rsid w:val="00802508"/>
    <w:rsid w:val="00815D92"/>
    <w:rsid w:val="008548FF"/>
    <w:rsid w:val="00873D7C"/>
    <w:rsid w:val="0089205E"/>
    <w:rsid w:val="008C2231"/>
    <w:rsid w:val="008F714E"/>
    <w:rsid w:val="0092333A"/>
    <w:rsid w:val="009701A3"/>
    <w:rsid w:val="00977ED5"/>
    <w:rsid w:val="009918CF"/>
    <w:rsid w:val="009A6722"/>
    <w:rsid w:val="009D567D"/>
    <w:rsid w:val="00A117E2"/>
    <w:rsid w:val="00A601A0"/>
    <w:rsid w:val="00A70F6B"/>
    <w:rsid w:val="00A72DE6"/>
    <w:rsid w:val="00A93C7F"/>
    <w:rsid w:val="00AB7028"/>
    <w:rsid w:val="00AC079F"/>
    <w:rsid w:val="00AD4846"/>
    <w:rsid w:val="00AF6B6B"/>
    <w:rsid w:val="00AF71CC"/>
    <w:rsid w:val="00B018E8"/>
    <w:rsid w:val="00B30E6B"/>
    <w:rsid w:val="00B46ECD"/>
    <w:rsid w:val="00B73F0D"/>
    <w:rsid w:val="00B8531B"/>
    <w:rsid w:val="00BE45D0"/>
    <w:rsid w:val="00C07677"/>
    <w:rsid w:val="00C10635"/>
    <w:rsid w:val="00C538CE"/>
    <w:rsid w:val="00C71E88"/>
    <w:rsid w:val="00C76443"/>
    <w:rsid w:val="00C8049B"/>
    <w:rsid w:val="00C9351C"/>
    <w:rsid w:val="00CA4E70"/>
    <w:rsid w:val="00CF2E71"/>
    <w:rsid w:val="00CF5F25"/>
    <w:rsid w:val="00D03E57"/>
    <w:rsid w:val="00D12B1D"/>
    <w:rsid w:val="00D14569"/>
    <w:rsid w:val="00D258BF"/>
    <w:rsid w:val="00D31C9E"/>
    <w:rsid w:val="00D63700"/>
    <w:rsid w:val="00D661F5"/>
    <w:rsid w:val="00D93EA9"/>
    <w:rsid w:val="00DC3A1A"/>
    <w:rsid w:val="00DE5306"/>
    <w:rsid w:val="00DE79D9"/>
    <w:rsid w:val="00DF074B"/>
    <w:rsid w:val="00DF1654"/>
    <w:rsid w:val="00DF3E4C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D2D2B"/>
    <w:rsid w:val="00FF4F02"/>
    <w:rsid w:val="080F8D21"/>
    <w:rsid w:val="0A1B3EA4"/>
    <w:rsid w:val="17E936B3"/>
    <w:rsid w:val="2C344159"/>
    <w:rsid w:val="31A52A01"/>
    <w:rsid w:val="3D3ECE6D"/>
    <w:rsid w:val="4C373EAB"/>
    <w:rsid w:val="4FFF0D07"/>
    <w:rsid w:val="50B9F0BC"/>
    <w:rsid w:val="56D46C15"/>
    <w:rsid w:val="5748BE1B"/>
    <w:rsid w:val="5AC426DC"/>
    <w:rsid w:val="5CD084C4"/>
    <w:rsid w:val="5FA5A67F"/>
    <w:rsid w:val="62B0E137"/>
    <w:rsid w:val="699050C4"/>
    <w:rsid w:val="6CAACE15"/>
    <w:rsid w:val="755BC782"/>
    <w:rsid w:val="7921A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92A6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92A6E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600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01DD2"/>
    <w:rsid w:val="00017150"/>
    <w:rsid w:val="000A040B"/>
    <w:rsid w:val="001160CF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65463"/>
    <w:rsid w:val="004E3322"/>
    <w:rsid w:val="005D084C"/>
    <w:rsid w:val="00687FEB"/>
    <w:rsid w:val="006D779E"/>
    <w:rsid w:val="00701B74"/>
    <w:rsid w:val="007313BB"/>
    <w:rsid w:val="007866FE"/>
    <w:rsid w:val="008E6773"/>
    <w:rsid w:val="009149B3"/>
    <w:rsid w:val="00977C64"/>
    <w:rsid w:val="009D4B67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28E12F-29DB-4D3E-9051-DA3B56EF75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Carolina Sanchez Alquicira</cp:lastModifiedBy>
  <cp:revision>5</cp:revision>
  <cp:lastPrinted>2021-11-22T02:18:00Z</cp:lastPrinted>
  <dcterms:created xsi:type="dcterms:W3CDTF">2024-01-23T22:39:00Z</dcterms:created>
  <dcterms:modified xsi:type="dcterms:W3CDTF">2024-01-24T20:06:00Z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