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BB2C2" w14:textId="77777777" w:rsidR="006166DB" w:rsidRPr="007D3624" w:rsidRDefault="006166DB" w:rsidP="008531BF">
      <w:pPr>
        <w:shd w:val="clear" w:color="auto" w:fill="C5E0B3"/>
        <w:spacing w:after="0" w:line="240" w:lineRule="auto"/>
        <w:contextualSpacing/>
        <w:mirrorIndents/>
        <w:rPr>
          <w:rFonts w:ascii="ITC Avant Garde" w:hAnsi="ITC Avant Garde"/>
          <w:b/>
          <w:color w:val="000000"/>
          <w:sz w:val="21"/>
          <w:szCs w:val="21"/>
        </w:rPr>
      </w:pPr>
      <w:r w:rsidRPr="007D3624">
        <w:rPr>
          <w:rFonts w:ascii="ITC Avant Garde" w:hAnsi="ITC Avant Garde"/>
          <w:b/>
          <w:color w:val="000000"/>
          <w:sz w:val="21"/>
          <w:szCs w:val="21"/>
        </w:rPr>
        <w:t xml:space="preserve">1.- Nombre de la Regulación: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166DB" w:rsidRPr="007D3624" w14:paraId="6FB3AC00" w14:textId="77777777" w:rsidTr="008531BF">
        <w:tc>
          <w:tcPr>
            <w:tcW w:w="8828" w:type="dxa"/>
            <w:shd w:val="clear" w:color="auto" w:fill="auto"/>
          </w:tcPr>
          <w:p w14:paraId="5C457559" w14:textId="77777777" w:rsidR="006166DB" w:rsidRPr="007D3624" w:rsidRDefault="0035135A" w:rsidP="008531BF">
            <w:pPr>
              <w:spacing w:after="0" w:line="240" w:lineRule="auto"/>
              <w:contextualSpacing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7D3624">
              <w:rPr>
                <w:rFonts w:ascii="ITC Avant Garde" w:hAnsi="ITC Avant Garde"/>
                <w:color w:val="000000"/>
                <w:sz w:val="21"/>
                <w:szCs w:val="21"/>
              </w:rPr>
              <w:t>Acuerdo mediante el cual el Pleno del Instituto Federal de Telecomunicaciones emite los Lineamientos para el otorgamiento de la Constancia de Autorización, para el uso y aprovechamiento de bandas de frecuencias del espectro radioeléctrico para uso secundario</w:t>
            </w:r>
            <w:r w:rsidR="00FE64BE" w:rsidRPr="007D3624">
              <w:rPr>
                <w:rFonts w:ascii="ITC Avant Garde" w:hAnsi="ITC Avant Garde"/>
                <w:color w:val="000000"/>
                <w:sz w:val="21"/>
                <w:szCs w:val="21"/>
              </w:rPr>
              <w:t>.</w:t>
            </w:r>
          </w:p>
        </w:tc>
      </w:tr>
    </w:tbl>
    <w:p w14:paraId="5ADA5F94" w14:textId="77777777" w:rsidR="006166DB" w:rsidRPr="007D3624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/>
          <w:sz w:val="21"/>
          <w:szCs w:val="21"/>
        </w:rPr>
      </w:pPr>
    </w:p>
    <w:p w14:paraId="06919A0B" w14:textId="77777777" w:rsidR="006166DB" w:rsidRPr="007D3624" w:rsidRDefault="006166DB" w:rsidP="008531BF">
      <w:pPr>
        <w:shd w:val="clear" w:color="auto" w:fill="C5E0B3"/>
        <w:spacing w:after="0" w:line="240" w:lineRule="auto"/>
        <w:contextualSpacing/>
        <w:mirrorIndents/>
        <w:rPr>
          <w:rFonts w:ascii="ITC Avant Garde" w:hAnsi="ITC Avant Garde"/>
          <w:b/>
          <w:color w:val="000000"/>
          <w:sz w:val="21"/>
          <w:szCs w:val="21"/>
        </w:rPr>
      </w:pPr>
      <w:r w:rsidRPr="007D3624">
        <w:rPr>
          <w:rFonts w:ascii="ITC Avant Garde" w:hAnsi="ITC Avant Garde"/>
          <w:b/>
          <w:color w:val="000000"/>
          <w:sz w:val="21"/>
          <w:szCs w:val="21"/>
        </w:rPr>
        <w:t>2.- Fecha de expedición y vigencia: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166DB" w:rsidRPr="007D3624" w14:paraId="1EBD050D" w14:textId="77777777" w:rsidTr="008531BF">
        <w:tc>
          <w:tcPr>
            <w:tcW w:w="8828" w:type="dxa"/>
            <w:shd w:val="clear" w:color="auto" w:fill="auto"/>
          </w:tcPr>
          <w:p w14:paraId="1ACF5358" w14:textId="77777777" w:rsidR="006166DB" w:rsidRPr="007D3624" w:rsidRDefault="006166DB" w:rsidP="008531BF">
            <w:pPr>
              <w:spacing w:after="0" w:line="240" w:lineRule="auto"/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r w:rsidR="00431539"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>11</w:t>
            </w:r>
            <w:r w:rsidR="00AF71CC"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>/0</w:t>
            </w:r>
            <w:r w:rsidR="00431539"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>4</w:t>
            </w:r>
            <w:r w:rsidR="0092333A"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>/201</w:t>
            </w:r>
            <w:r w:rsidR="00431539"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>8</w:t>
            </w:r>
          </w:p>
        </w:tc>
      </w:tr>
      <w:tr w:rsidR="003F1D7B" w:rsidRPr="007D3624" w14:paraId="0A382242" w14:textId="77777777" w:rsidTr="008531BF">
        <w:tc>
          <w:tcPr>
            <w:tcW w:w="8828" w:type="dxa"/>
            <w:shd w:val="clear" w:color="auto" w:fill="auto"/>
          </w:tcPr>
          <w:p w14:paraId="54779265" w14:textId="77777777" w:rsidR="003F1D7B" w:rsidRPr="007D3624" w:rsidRDefault="003F1D7B" w:rsidP="008531BF">
            <w:pPr>
              <w:spacing w:after="0" w:line="240" w:lineRule="auto"/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431539"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>23</w:t>
            </w:r>
            <w:r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>/</w:t>
            </w:r>
            <w:r w:rsidR="00431539"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>04</w:t>
            </w:r>
            <w:r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>/201</w:t>
            </w:r>
            <w:r w:rsidR="00431539"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>8</w:t>
            </w:r>
            <w:r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3624" w14:paraId="21E12134" w14:textId="77777777" w:rsidTr="008531BF">
        <w:tc>
          <w:tcPr>
            <w:tcW w:w="8828" w:type="dxa"/>
            <w:shd w:val="clear" w:color="auto" w:fill="auto"/>
          </w:tcPr>
          <w:p w14:paraId="2686F13B" w14:textId="77777777" w:rsidR="00DF074B" w:rsidRPr="007D3624" w:rsidRDefault="004C31A6" w:rsidP="008531BF">
            <w:pPr>
              <w:spacing w:after="0" w:line="240" w:lineRule="auto"/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r w:rsidR="00431539"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Indefinida </w:t>
            </w:r>
          </w:p>
        </w:tc>
      </w:tr>
      <w:tr w:rsidR="006166DB" w:rsidRPr="007D3624" w14:paraId="6C29A241" w14:textId="77777777" w:rsidTr="008531BF">
        <w:tc>
          <w:tcPr>
            <w:tcW w:w="8828" w:type="dxa"/>
            <w:shd w:val="clear" w:color="auto" w:fill="auto"/>
          </w:tcPr>
          <w:p w14:paraId="54C38747" w14:textId="77777777" w:rsidR="006166DB" w:rsidRPr="007D3624" w:rsidRDefault="006166DB" w:rsidP="008531BF">
            <w:pPr>
              <w:spacing w:after="0" w:line="240" w:lineRule="auto"/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r w:rsidR="00431539"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>24</w:t>
            </w:r>
            <w:r w:rsidR="0092333A"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>/0</w:t>
            </w:r>
            <w:r w:rsidR="00431539"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>4</w:t>
            </w:r>
            <w:r w:rsidR="0092333A"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>/201</w:t>
            </w:r>
            <w:r w:rsidR="00431539"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>8</w:t>
            </w:r>
            <w:r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3624" w14:paraId="593FE4AD" w14:textId="77777777" w:rsidTr="008531BF">
        <w:trPr>
          <w:trHeight w:val="50"/>
        </w:trPr>
        <w:tc>
          <w:tcPr>
            <w:tcW w:w="8828" w:type="dxa"/>
            <w:shd w:val="clear" w:color="auto" w:fill="auto"/>
          </w:tcPr>
          <w:p w14:paraId="1442944C" w14:textId="77777777" w:rsidR="00DF074B" w:rsidRPr="007D3624" w:rsidRDefault="00DF074B" w:rsidP="008531BF">
            <w:pPr>
              <w:spacing w:after="0" w:line="240" w:lineRule="auto"/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>Término de la vigencia:</w:t>
            </w:r>
            <w:r w:rsidR="00431539"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No aplica</w:t>
            </w:r>
          </w:p>
        </w:tc>
      </w:tr>
    </w:tbl>
    <w:p w14:paraId="03349C1D" w14:textId="77777777" w:rsidR="006166DB" w:rsidRPr="007D3624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/>
          <w:sz w:val="21"/>
          <w:szCs w:val="21"/>
        </w:rPr>
      </w:pPr>
    </w:p>
    <w:p w14:paraId="1455C128" w14:textId="77777777" w:rsidR="006166DB" w:rsidRPr="007D3624" w:rsidRDefault="006166DB" w:rsidP="008531BF">
      <w:pPr>
        <w:shd w:val="clear" w:color="auto" w:fill="C5E0B3"/>
        <w:spacing w:after="0" w:line="240" w:lineRule="auto"/>
        <w:contextualSpacing/>
        <w:mirrorIndents/>
        <w:rPr>
          <w:rFonts w:ascii="ITC Avant Garde" w:hAnsi="ITC Avant Garde"/>
          <w:b/>
          <w:color w:val="000000"/>
          <w:sz w:val="21"/>
          <w:szCs w:val="21"/>
        </w:rPr>
      </w:pPr>
      <w:r w:rsidRPr="007D3624">
        <w:rPr>
          <w:rFonts w:ascii="ITC Avant Garde" w:hAnsi="ITC Avant Garde"/>
          <w:b/>
          <w:color w:val="000000"/>
          <w:sz w:val="21"/>
          <w:szCs w:val="21"/>
        </w:rPr>
        <w:t>3.- Autoridad o autoridades que la emiten: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166DB" w:rsidRPr="007D3624" w14:paraId="7CC7CBE4" w14:textId="77777777" w:rsidTr="008531BF">
        <w:tc>
          <w:tcPr>
            <w:tcW w:w="8828" w:type="dxa"/>
            <w:shd w:val="clear" w:color="auto" w:fill="auto"/>
          </w:tcPr>
          <w:p w14:paraId="38DFCCFD" w14:textId="77777777" w:rsidR="006166DB" w:rsidRPr="007D3624" w:rsidRDefault="00431539" w:rsidP="008531BF">
            <w:pPr>
              <w:spacing w:after="0" w:line="240" w:lineRule="auto"/>
              <w:mirrorIndents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7D3624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17E5DCB2" w14:textId="77777777" w:rsidR="006166DB" w:rsidRPr="007D3624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/>
          <w:sz w:val="21"/>
          <w:szCs w:val="21"/>
        </w:rPr>
      </w:pPr>
    </w:p>
    <w:p w14:paraId="68505DAC" w14:textId="77777777" w:rsidR="006166DB" w:rsidRPr="007D3624" w:rsidRDefault="006166DB" w:rsidP="008531BF">
      <w:pPr>
        <w:shd w:val="clear" w:color="auto" w:fill="C5E0B3"/>
        <w:spacing w:after="0" w:line="240" w:lineRule="auto"/>
        <w:contextualSpacing/>
        <w:mirrorIndents/>
        <w:rPr>
          <w:rFonts w:ascii="ITC Avant Garde" w:hAnsi="ITC Avant Garde"/>
          <w:b/>
          <w:color w:val="000000"/>
          <w:sz w:val="21"/>
          <w:szCs w:val="21"/>
        </w:rPr>
      </w:pPr>
      <w:r w:rsidRPr="007D3624">
        <w:rPr>
          <w:rFonts w:ascii="ITC Avant Garde" w:hAnsi="ITC Avant Garde"/>
          <w:b/>
          <w:color w:val="000000"/>
          <w:sz w:val="21"/>
          <w:szCs w:val="21"/>
        </w:rPr>
        <w:t xml:space="preserve">4.- Autoridad o autoridades que la aplican: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166DB" w:rsidRPr="007D3624" w14:paraId="544FB38E" w14:textId="77777777" w:rsidTr="008531BF">
        <w:tc>
          <w:tcPr>
            <w:tcW w:w="8828" w:type="dxa"/>
            <w:shd w:val="clear" w:color="auto" w:fill="auto"/>
          </w:tcPr>
          <w:p w14:paraId="6E26747C" w14:textId="77777777" w:rsidR="006166DB" w:rsidRPr="007D3624" w:rsidRDefault="00431539" w:rsidP="008531BF">
            <w:pPr>
              <w:spacing w:after="0" w:line="240" w:lineRule="auto"/>
              <w:contextualSpacing/>
              <w:mirrorIndents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7D3624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10A827D4" w14:textId="77777777" w:rsidR="006166DB" w:rsidRPr="007D3624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/>
          <w:sz w:val="21"/>
          <w:szCs w:val="21"/>
        </w:rPr>
      </w:pPr>
    </w:p>
    <w:p w14:paraId="1E0CB04E" w14:textId="77777777" w:rsidR="00DC3A1A" w:rsidRPr="007D3624" w:rsidRDefault="00DC3A1A" w:rsidP="008531BF">
      <w:pPr>
        <w:shd w:val="clear" w:color="auto" w:fill="C5E0B3"/>
        <w:spacing w:after="0" w:line="240" w:lineRule="auto"/>
        <w:contextualSpacing/>
        <w:mirrorIndents/>
        <w:rPr>
          <w:rFonts w:ascii="ITC Avant Garde" w:hAnsi="ITC Avant Garde"/>
          <w:b/>
          <w:color w:val="000000"/>
          <w:sz w:val="21"/>
          <w:szCs w:val="21"/>
        </w:rPr>
      </w:pPr>
      <w:r w:rsidRPr="007D3624">
        <w:rPr>
          <w:rFonts w:ascii="ITC Avant Garde" w:hAnsi="ITC Avant Garde"/>
          <w:b/>
          <w:color w:val="000000"/>
          <w:sz w:val="21"/>
          <w:szCs w:val="21"/>
        </w:rPr>
        <w:t xml:space="preserve">5.- Ámbito de Aplicación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C3A1A" w:rsidRPr="007D3624" w14:paraId="5C7FAC1B" w14:textId="77777777" w:rsidTr="008531BF">
        <w:tc>
          <w:tcPr>
            <w:tcW w:w="8828" w:type="dxa"/>
            <w:shd w:val="clear" w:color="auto" w:fill="auto"/>
          </w:tcPr>
          <w:p w14:paraId="67D47454" w14:textId="43224B84" w:rsidR="00DC3A1A" w:rsidRPr="007D3624" w:rsidRDefault="00C76443" w:rsidP="008531BF">
            <w:pPr>
              <w:spacing w:after="0" w:line="240" w:lineRule="auto"/>
              <w:contextualSpacing/>
              <w:mirrorIndents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r w:rsidR="00431539"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>Federal</w:t>
            </w:r>
          </w:p>
        </w:tc>
      </w:tr>
    </w:tbl>
    <w:p w14:paraId="28FA6FBC" w14:textId="77777777" w:rsidR="00DC3A1A" w:rsidRPr="007D3624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/>
          <w:sz w:val="21"/>
          <w:szCs w:val="21"/>
        </w:rPr>
      </w:pPr>
    </w:p>
    <w:p w14:paraId="2A9D56AA" w14:textId="77777777" w:rsidR="006166DB" w:rsidRPr="007D3624" w:rsidRDefault="00DC3A1A" w:rsidP="008531BF">
      <w:pPr>
        <w:shd w:val="clear" w:color="auto" w:fill="C5E0B3"/>
        <w:spacing w:after="0" w:line="240" w:lineRule="auto"/>
        <w:contextualSpacing/>
        <w:mirrorIndents/>
        <w:rPr>
          <w:rFonts w:ascii="ITC Avant Garde" w:hAnsi="ITC Avant Garde"/>
          <w:b/>
          <w:color w:val="000000"/>
          <w:sz w:val="21"/>
          <w:szCs w:val="21"/>
        </w:rPr>
      </w:pPr>
      <w:r w:rsidRPr="007D3624">
        <w:rPr>
          <w:rFonts w:ascii="ITC Avant Garde" w:hAnsi="ITC Avant Garde"/>
          <w:b/>
          <w:color w:val="000000"/>
          <w:sz w:val="21"/>
          <w:szCs w:val="21"/>
        </w:rPr>
        <w:t>6</w:t>
      </w:r>
      <w:r w:rsidR="006166DB" w:rsidRPr="007D3624">
        <w:rPr>
          <w:rFonts w:ascii="ITC Avant Garde" w:hAnsi="ITC Avant Garde"/>
          <w:b/>
          <w:color w:val="000000"/>
          <w:sz w:val="21"/>
          <w:szCs w:val="21"/>
        </w:rPr>
        <w:t xml:space="preserve">.- Fechas en que ha sido actualizada: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D596D" w:rsidRPr="007D3624" w14:paraId="47E5FA98" w14:textId="77777777" w:rsidTr="008531BF">
        <w:tc>
          <w:tcPr>
            <w:tcW w:w="8828" w:type="dxa"/>
            <w:shd w:val="clear" w:color="auto" w:fill="auto"/>
          </w:tcPr>
          <w:p w14:paraId="711289A7" w14:textId="77777777" w:rsidR="007D3624" w:rsidRDefault="002D596D" w:rsidP="007D3624">
            <w:pPr>
              <w:spacing w:after="255" w:line="240" w:lineRule="auto"/>
              <w:contextualSpacing/>
              <w:mirrorIndents/>
              <w:jc w:val="both"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>20/11/2020</w:t>
            </w:r>
          </w:p>
          <w:p w14:paraId="7CD0CAC8" w14:textId="77777777" w:rsidR="007D3624" w:rsidRDefault="007D3624" w:rsidP="007D3624">
            <w:pPr>
              <w:spacing w:after="255" w:line="240" w:lineRule="auto"/>
              <w:contextualSpacing/>
              <w:mirrorIndents/>
              <w:jc w:val="both"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1A2AE6">
              <w:rPr>
                <w:rStyle w:val="Estilo4"/>
                <w:rFonts w:ascii="ITC Avant Garde" w:hAnsi="ITC Avant Garde"/>
                <w:sz w:val="21"/>
                <w:szCs w:val="21"/>
              </w:rPr>
              <w:t>29/12/2021</w:t>
            </w:r>
          </w:p>
          <w:p w14:paraId="6F37B9F6" w14:textId="7A8D811F" w:rsidR="00E3291F" w:rsidRPr="007D3624" w:rsidRDefault="00E3291F" w:rsidP="007D3624">
            <w:pPr>
              <w:spacing w:after="255" w:line="240" w:lineRule="auto"/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24/09/2024</w:t>
            </w:r>
          </w:p>
        </w:tc>
      </w:tr>
    </w:tbl>
    <w:p w14:paraId="5CCB662B" w14:textId="77777777" w:rsidR="006166DB" w:rsidRPr="007D3624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/>
          <w:sz w:val="21"/>
          <w:szCs w:val="21"/>
        </w:rPr>
      </w:pPr>
    </w:p>
    <w:p w14:paraId="021B6E5F" w14:textId="77777777" w:rsidR="006166DB" w:rsidRPr="007D3624" w:rsidRDefault="00DC3A1A" w:rsidP="008531BF">
      <w:pPr>
        <w:shd w:val="clear" w:color="auto" w:fill="C5E0B3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/>
          <w:sz w:val="21"/>
          <w:szCs w:val="21"/>
        </w:rPr>
      </w:pPr>
      <w:r w:rsidRPr="007D3624">
        <w:rPr>
          <w:rFonts w:ascii="ITC Avant Garde" w:hAnsi="ITC Avant Garde"/>
          <w:b/>
          <w:color w:val="000000"/>
          <w:sz w:val="21"/>
          <w:szCs w:val="21"/>
        </w:rPr>
        <w:t>7</w:t>
      </w:r>
      <w:r w:rsidR="006166DB" w:rsidRPr="007D3624">
        <w:rPr>
          <w:rFonts w:ascii="ITC Avant Garde" w:hAnsi="ITC Avant Garde"/>
          <w:b/>
          <w:color w:val="000000"/>
          <w:sz w:val="21"/>
          <w:szCs w:val="21"/>
        </w:rPr>
        <w:t>.- Tipo de ordenamiento jurídico: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166DB" w:rsidRPr="007D3624" w14:paraId="6A215004" w14:textId="77777777" w:rsidTr="008531BF">
        <w:trPr>
          <w:trHeight w:val="58"/>
        </w:trPr>
        <w:tc>
          <w:tcPr>
            <w:tcW w:w="8828" w:type="dxa"/>
            <w:shd w:val="clear" w:color="auto" w:fill="auto"/>
          </w:tcPr>
          <w:p w14:paraId="7165D174" w14:textId="7173F7D1" w:rsidR="00D32399" w:rsidRPr="00D32399" w:rsidRDefault="009A1046" w:rsidP="008531BF">
            <w:pPr>
              <w:spacing w:after="0" w:line="240" w:lineRule="auto"/>
              <w:contextualSpacing/>
              <w:mirrorIndents/>
              <w:jc w:val="both"/>
              <w:rPr>
                <w:rFonts w:ascii="ITC Avant Garde" w:hAnsi="ITC Avant Garde"/>
                <w:i/>
                <w:color w:val="AEAAAA"/>
                <w:sz w:val="21"/>
                <w:szCs w:val="21"/>
              </w:rPr>
            </w:pPr>
            <w:r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>Lineamiento</w:t>
            </w:r>
            <w:r w:rsidR="00096898">
              <w:rPr>
                <w:rStyle w:val="Estilo4"/>
                <w:rFonts w:ascii="ITC Avant Garde" w:hAnsi="ITC Avant Garde"/>
                <w:sz w:val="21"/>
                <w:szCs w:val="21"/>
              </w:rPr>
              <w:t>s</w:t>
            </w:r>
            <w:r w:rsidRPr="007D3624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1B07AA8F" w14:textId="77777777" w:rsidR="006166DB" w:rsidRPr="007D3624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/>
          <w:sz w:val="21"/>
          <w:szCs w:val="21"/>
        </w:rPr>
      </w:pPr>
    </w:p>
    <w:p w14:paraId="1026E228" w14:textId="0D4F08F7" w:rsidR="006166DB" w:rsidRPr="007D3624" w:rsidRDefault="00DC3A1A" w:rsidP="008531BF">
      <w:pPr>
        <w:shd w:val="clear" w:color="auto" w:fill="C5E0B3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/>
          <w:sz w:val="21"/>
          <w:szCs w:val="21"/>
        </w:rPr>
      </w:pPr>
      <w:r w:rsidRPr="007D3624">
        <w:rPr>
          <w:rFonts w:ascii="ITC Avant Garde" w:hAnsi="ITC Avant Garde"/>
          <w:b/>
          <w:color w:val="000000"/>
          <w:sz w:val="21"/>
          <w:szCs w:val="21"/>
        </w:rPr>
        <w:t>8</w:t>
      </w:r>
      <w:r w:rsidR="006166DB" w:rsidRPr="007D3624">
        <w:rPr>
          <w:rFonts w:ascii="ITC Avant Garde" w:hAnsi="ITC Avant Garde"/>
          <w:b/>
          <w:color w:val="000000"/>
          <w:sz w:val="21"/>
          <w:szCs w:val="21"/>
        </w:rPr>
        <w:t>.</w:t>
      </w:r>
      <w:r w:rsidR="00542B86">
        <w:rPr>
          <w:rFonts w:ascii="ITC Avant Garde" w:hAnsi="ITC Avant Garde"/>
          <w:b/>
          <w:color w:val="000000"/>
          <w:sz w:val="21"/>
          <w:szCs w:val="21"/>
        </w:rPr>
        <w:t>-</w:t>
      </w:r>
      <w:r w:rsidR="006166DB" w:rsidRPr="007D3624">
        <w:rPr>
          <w:rFonts w:ascii="ITC Avant Garde" w:hAnsi="ITC Avant Garde"/>
          <w:sz w:val="21"/>
          <w:szCs w:val="21"/>
        </w:rPr>
        <w:t xml:space="preserve"> </w:t>
      </w:r>
      <w:r w:rsidR="006166DB" w:rsidRPr="007D3624">
        <w:rPr>
          <w:rFonts w:ascii="ITC Avant Garde" w:hAnsi="ITC Avant Garde"/>
          <w:b/>
          <w:color w:val="000000"/>
          <w:sz w:val="21"/>
          <w:szCs w:val="21"/>
        </w:rPr>
        <w:t>Índice de la Regulación: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166DB" w:rsidRPr="007D3624" w14:paraId="2ED752B6" w14:textId="77777777" w:rsidTr="008531BF">
        <w:trPr>
          <w:trHeight w:val="65"/>
        </w:trPr>
        <w:tc>
          <w:tcPr>
            <w:tcW w:w="8828" w:type="dxa"/>
            <w:shd w:val="clear" w:color="auto" w:fill="auto"/>
          </w:tcPr>
          <w:p w14:paraId="3FC62071" w14:textId="65216FDF" w:rsidR="00BA1D8C" w:rsidRPr="00542B86" w:rsidRDefault="00542B86" w:rsidP="00542B86">
            <w:pPr>
              <w:spacing w:after="0" w:line="240" w:lineRule="auto"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>No aplica</w:t>
            </w:r>
          </w:p>
        </w:tc>
      </w:tr>
    </w:tbl>
    <w:p w14:paraId="158CEAC9" w14:textId="77777777" w:rsidR="00F73022" w:rsidRPr="007D3624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/>
          <w:sz w:val="21"/>
          <w:szCs w:val="21"/>
        </w:rPr>
      </w:pPr>
    </w:p>
    <w:p w14:paraId="5A17CC40" w14:textId="2C17A8E0" w:rsidR="00F73022" w:rsidRPr="007D3624" w:rsidRDefault="00DC3A1A" w:rsidP="008531BF">
      <w:pPr>
        <w:shd w:val="clear" w:color="auto" w:fill="C5E0B3"/>
        <w:spacing w:after="0" w:line="240" w:lineRule="auto"/>
        <w:contextualSpacing/>
        <w:mirrorIndents/>
        <w:rPr>
          <w:rFonts w:ascii="ITC Avant Garde" w:hAnsi="ITC Avant Garde"/>
          <w:b/>
          <w:color w:val="000000"/>
          <w:sz w:val="21"/>
          <w:szCs w:val="21"/>
        </w:rPr>
      </w:pPr>
      <w:r w:rsidRPr="007D3624">
        <w:rPr>
          <w:rFonts w:ascii="ITC Avant Garde" w:hAnsi="ITC Avant Garde"/>
          <w:b/>
          <w:color w:val="000000"/>
          <w:sz w:val="21"/>
          <w:szCs w:val="21"/>
        </w:rPr>
        <w:t>9</w:t>
      </w:r>
      <w:r w:rsidR="00F73022" w:rsidRPr="007D3624">
        <w:rPr>
          <w:rFonts w:ascii="ITC Avant Garde" w:hAnsi="ITC Avant Garde"/>
          <w:b/>
          <w:color w:val="000000"/>
          <w:sz w:val="21"/>
          <w:szCs w:val="21"/>
        </w:rPr>
        <w:t>.</w:t>
      </w:r>
      <w:r w:rsidR="00542B86">
        <w:rPr>
          <w:rFonts w:ascii="ITC Avant Garde" w:hAnsi="ITC Avant Garde"/>
          <w:b/>
          <w:color w:val="000000"/>
          <w:sz w:val="21"/>
          <w:szCs w:val="21"/>
        </w:rPr>
        <w:t>-</w:t>
      </w:r>
      <w:r w:rsidR="00F73022" w:rsidRPr="007D3624">
        <w:rPr>
          <w:rFonts w:ascii="ITC Avant Garde" w:hAnsi="ITC Avant Garde"/>
          <w:sz w:val="21"/>
          <w:szCs w:val="21"/>
        </w:rPr>
        <w:t xml:space="preserve"> </w:t>
      </w:r>
      <w:r w:rsidR="00F73022" w:rsidRPr="007D3624">
        <w:rPr>
          <w:rFonts w:ascii="ITC Avant Garde" w:hAnsi="ITC Avant Garde"/>
          <w:b/>
          <w:color w:val="000000"/>
          <w:sz w:val="21"/>
          <w:szCs w:val="21"/>
        </w:rPr>
        <w:t>Objeto de la Regulación: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73022" w:rsidRPr="007D3624" w14:paraId="4DEBA79D" w14:textId="77777777" w:rsidTr="008531BF">
        <w:tc>
          <w:tcPr>
            <w:tcW w:w="8828" w:type="dxa"/>
            <w:shd w:val="clear" w:color="auto" w:fill="auto"/>
          </w:tcPr>
          <w:p w14:paraId="5E03AC08" w14:textId="404C4651" w:rsidR="00F73022" w:rsidRPr="007D3624" w:rsidRDefault="00813B6D" w:rsidP="008531BF">
            <w:pPr>
              <w:tabs>
                <w:tab w:val="left" w:pos="1500"/>
              </w:tabs>
              <w:spacing w:after="0" w:line="240" w:lineRule="auto"/>
              <w:contextualSpacing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7D3624">
              <w:rPr>
                <w:rFonts w:ascii="ITC Avant Garde" w:hAnsi="ITC Avant Garde"/>
                <w:color w:val="000000"/>
                <w:sz w:val="21"/>
                <w:szCs w:val="21"/>
              </w:rPr>
              <w:t>Regular, bajo el régimen de autorización, el uso secundario de bandas de frecuencias del espectro radioeléctrico, destinadas a satisfacer necesidades específicas de telecomunicaciones y/o radiodifusión sonora en frecuencia modulada, de personas dedicadas a actividades determinadas que no tienen como finalidad prestar servicios públicos de telecomunicaciones y/o radiodifusión con fines comerciales.</w:t>
            </w:r>
          </w:p>
        </w:tc>
      </w:tr>
    </w:tbl>
    <w:p w14:paraId="648A23C6" w14:textId="77777777" w:rsidR="00F73022" w:rsidRPr="007D3624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/>
          <w:sz w:val="21"/>
          <w:szCs w:val="21"/>
        </w:rPr>
      </w:pPr>
    </w:p>
    <w:p w14:paraId="228B58CB" w14:textId="77777777" w:rsidR="006166DB" w:rsidRPr="007D3624" w:rsidRDefault="00DC3A1A" w:rsidP="008531BF">
      <w:pPr>
        <w:shd w:val="clear" w:color="auto" w:fill="C5E0B3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/>
          <w:sz w:val="21"/>
          <w:szCs w:val="21"/>
        </w:rPr>
      </w:pPr>
      <w:r w:rsidRPr="007D3624">
        <w:rPr>
          <w:rFonts w:ascii="ITC Avant Garde" w:hAnsi="ITC Avant Garde"/>
          <w:b/>
          <w:color w:val="000000"/>
          <w:sz w:val="21"/>
          <w:szCs w:val="21"/>
        </w:rPr>
        <w:t>10</w:t>
      </w:r>
      <w:r w:rsidR="006166DB" w:rsidRPr="007D3624">
        <w:rPr>
          <w:rFonts w:ascii="ITC Avant Garde" w:hAnsi="ITC Avant Garde"/>
          <w:b/>
          <w:color w:val="000000"/>
          <w:sz w:val="21"/>
          <w:szCs w:val="21"/>
        </w:rPr>
        <w:t>.- Materias, sectores y sujetos regulados: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166DB" w:rsidRPr="007D3624" w14:paraId="0BDE67A9" w14:textId="77777777" w:rsidTr="008531BF">
        <w:tc>
          <w:tcPr>
            <w:tcW w:w="8828" w:type="dxa"/>
            <w:shd w:val="clear" w:color="auto" w:fill="auto"/>
          </w:tcPr>
          <w:p w14:paraId="56DA32DF" w14:textId="2CA35463" w:rsidR="006166DB" w:rsidRPr="007D3624" w:rsidRDefault="006166DB" w:rsidP="008531BF">
            <w:pPr>
              <w:spacing w:after="0" w:line="240" w:lineRule="auto"/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3624">
              <w:rPr>
                <w:rFonts w:ascii="ITC Avant Garde" w:hAnsi="ITC Avant Garde"/>
                <w:sz w:val="21"/>
                <w:szCs w:val="21"/>
              </w:rPr>
              <w:t>Materia:</w:t>
            </w:r>
            <w:r w:rsidR="00542B86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="0082027D">
              <w:rPr>
                <w:rFonts w:ascii="ITC Avant Garde" w:hAnsi="ITC Avant Garde"/>
                <w:sz w:val="21"/>
                <w:szCs w:val="21"/>
              </w:rPr>
              <w:t xml:space="preserve">Telecomunicaciones y </w:t>
            </w:r>
            <w:r w:rsidR="00E8680B" w:rsidRPr="007D3624">
              <w:rPr>
                <w:rFonts w:ascii="ITC Avant Garde" w:hAnsi="ITC Avant Garde"/>
                <w:sz w:val="21"/>
                <w:szCs w:val="21"/>
              </w:rPr>
              <w:t>Radiodifusión</w:t>
            </w:r>
          </w:p>
        </w:tc>
      </w:tr>
      <w:tr w:rsidR="006166DB" w:rsidRPr="007D3624" w14:paraId="7B8ED288" w14:textId="77777777" w:rsidTr="008531BF">
        <w:tc>
          <w:tcPr>
            <w:tcW w:w="8828" w:type="dxa"/>
            <w:shd w:val="clear" w:color="auto" w:fill="auto"/>
          </w:tcPr>
          <w:p w14:paraId="6E3B7F48" w14:textId="59001A78" w:rsidR="006166DB" w:rsidRPr="007D3624" w:rsidRDefault="006166DB" w:rsidP="008531BF">
            <w:pPr>
              <w:spacing w:after="0" w:line="240" w:lineRule="auto"/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3624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r w:rsidR="00861722">
              <w:rPr>
                <w:rFonts w:ascii="ITC Avant Garde" w:hAnsi="ITC Avant Garde"/>
                <w:sz w:val="21"/>
                <w:szCs w:val="21"/>
              </w:rPr>
              <w:t>Otros servicios de telecomu</w:t>
            </w:r>
            <w:r w:rsidR="006A09BC">
              <w:rPr>
                <w:rFonts w:ascii="ITC Avant Garde" w:hAnsi="ITC Avant Garde"/>
                <w:sz w:val="21"/>
                <w:szCs w:val="21"/>
              </w:rPr>
              <w:t xml:space="preserve">nicaciones </w:t>
            </w:r>
          </w:p>
        </w:tc>
      </w:tr>
      <w:tr w:rsidR="00E047F3" w:rsidRPr="007D3624" w14:paraId="0B78A133" w14:textId="77777777" w:rsidTr="008531BF">
        <w:tc>
          <w:tcPr>
            <w:tcW w:w="8828" w:type="dxa"/>
            <w:shd w:val="clear" w:color="auto" w:fill="auto"/>
          </w:tcPr>
          <w:p w14:paraId="312FA278" w14:textId="63775C05" w:rsidR="00E047F3" w:rsidRPr="007D3624" w:rsidRDefault="00E047F3" w:rsidP="008531BF">
            <w:pPr>
              <w:spacing w:after="0" w:line="240" w:lineRule="auto"/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</w:p>
        </w:tc>
      </w:tr>
      <w:tr w:rsidR="006166DB" w:rsidRPr="007D3624" w14:paraId="27A9A6CD" w14:textId="77777777" w:rsidTr="008531BF">
        <w:tc>
          <w:tcPr>
            <w:tcW w:w="8828" w:type="dxa"/>
            <w:shd w:val="clear" w:color="auto" w:fill="auto"/>
          </w:tcPr>
          <w:p w14:paraId="2DCCDF92" w14:textId="77777777" w:rsidR="006166DB" w:rsidRPr="007D3624" w:rsidRDefault="006166DB" w:rsidP="008531BF">
            <w:pPr>
              <w:spacing w:after="0" w:line="240" w:lineRule="auto"/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3624">
              <w:rPr>
                <w:rFonts w:ascii="ITC Avant Garde" w:hAnsi="ITC Avant Garde"/>
                <w:sz w:val="21"/>
                <w:szCs w:val="21"/>
              </w:rPr>
              <w:lastRenderedPageBreak/>
              <w:t xml:space="preserve">Regulado: </w:t>
            </w:r>
            <w:r w:rsidR="00486C33" w:rsidRPr="007D3624">
              <w:rPr>
                <w:rFonts w:ascii="ITC Avant Garde" w:hAnsi="ITC Avant Garde"/>
                <w:sz w:val="21"/>
                <w:szCs w:val="21"/>
              </w:rPr>
              <w:t>Autorizado</w:t>
            </w:r>
          </w:p>
        </w:tc>
      </w:tr>
    </w:tbl>
    <w:p w14:paraId="3270DA3E" w14:textId="77777777" w:rsidR="001D0BED" w:rsidRPr="007D3624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/>
          <w:sz w:val="21"/>
          <w:szCs w:val="21"/>
        </w:rPr>
      </w:pPr>
    </w:p>
    <w:p w14:paraId="2E715936" w14:textId="77777777" w:rsidR="00DC3A1A" w:rsidRPr="007D3624" w:rsidRDefault="00DC3A1A" w:rsidP="008531BF">
      <w:pPr>
        <w:shd w:val="clear" w:color="auto" w:fill="C5E0B3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/>
          <w:sz w:val="21"/>
          <w:szCs w:val="21"/>
        </w:rPr>
      </w:pPr>
      <w:r w:rsidRPr="007D3624">
        <w:rPr>
          <w:rFonts w:ascii="ITC Avant Garde" w:hAnsi="ITC Avant Garde"/>
          <w:b/>
          <w:color w:val="000000"/>
          <w:sz w:val="21"/>
          <w:szCs w:val="21"/>
        </w:rPr>
        <w:t>11.- Otras regulaciones vinculadas o derivadas de esta regulación: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C3A1A" w:rsidRPr="007D3624" w14:paraId="186ABCBE" w14:textId="77777777" w:rsidTr="008531BF">
        <w:trPr>
          <w:trHeight w:val="65"/>
        </w:trPr>
        <w:tc>
          <w:tcPr>
            <w:tcW w:w="8828" w:type="dxa"/>
            <w:shd w:val="clear" w:color="auto" w:fill="auto"/>
          </w:tcPr>
          <w:p w14:paraId="4D783A8B" w14:textId="77777777" w:rsidR="00DC3A1A" w:rsidRPr="007D3624" w:rsidRDefault="00FB4DD2" w:rsidP="008531BF">
            <w:pPr>
              <w:spacing w:after="0" w:line="240" w:lineRule="auto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7D3624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aprueba el Cuadro Nacional de Atribución de Frecuencias.</w:t>
            </w:r>
          </w:p>
        </w:tc>
      </w:tr>
    </w:tbl>
    <w:p w14:paraId="51D77B1F" w14:textId="77777777" w:rsidR="00DC3A1A" w:rsidRPr="007D3624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/>
          <w:sz w:val="21"/>
          <w:szCs w:val="21"/>
        </w:rPr>
      </w:pPr>
    </w:p>
    <w:p w14:paraId="529B33A5" w14:textId="77777777" w:rsidR="006166DB" w:rsidRPr="007D3624" w:rsidRDefault="00DC3A1A" w:rsidP="008531BF">
      <w:pPr>
        <w:shd w:val="clear" w:color="auto" w:fill="C5E0B3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/>
          <w:sz w:val="21"/>
          <w:szCs w:val="21"/>
        </w:rPr>
      </w:pPr>
      <w:r w:rsidRPr="007D3624">
        <w:rPr>
          <w:rFonts w:ascii="ITC Avant Garde" w:hAnsi="ITC Avant Garde"/>
          <w:b/>
          <w:color w:val="000000"/>
          <w:sz w:val="21"/>
          <w:szCs w:val="21"/>
        </w:rPr>
        <w:t>12</w:t>
      </w:r>
      <w:r w:rsidR="006166DB" w:rsidRPr="007D3624">
        <w:rPr>
          <w:rFonts w:ascii="ITC Avant Garde" w:hAnsi="ITC Avant Garde"/>
          <w:b/>
          <w:color w:val="000000"/>
          <w:sz w:val="21"/>
          <w:szCs w:val="21"/>
        </w:rPr>
        <w:t xml:space="preserve">.- Trámites y Servicios relacionados con la Regulación: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D2FD6" w:rsidRPr="007D3624" w14:paraId="5AB6A11D" w14:textId="77777777" w:rsidTr="008531BF">
        <w:trPr>
          <w:trHeight w:val="772"/>
        </w:trPr>
        <w:tc>
          <w:tcPr>
            <w:tcW w:w="8828" w:type="dxa"/>
            <w:shd w:val="clear" w:color="auto" w:fill="auto"/>
          </w:tcPr>
          <w:p w14:paraId="7941C21A" w14:textId="7529C585" w:rsidR="00300154" w:rsidRDefault="00300154" w:rsidP="00300154">
            <w:pPr>
              <w:spacing w:after="0" w:line="240" w:lineRule="auto"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</w:p>
          <w:p w14:paraId="7020129C" w14:textId="1CD5709D" w:rsidR="00300154" w:rsidRDefault="00E3291F" w:rsidP="006C22B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mirrorIndents/>
              <w:jc w:val="both"/>
              <w:rPr>
                <w:rFonts w:ascii="ITC Avant Garde" w:hAnsi="ITC Avant Garde"/>
                <w:b/>
                <w:color w:val="000000"/>
                <w:sz w:val="21"/>
                <w:szCs w:val="21"/>
              </w:rPr>
            </w:pPr>
            <w:hyperlink r:id="rId11" w:anchor="!/tramite/UCS-01-012" w:history="1">
              <w:r w:rsidR="00300154" w:rsidRPr="00300154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</w:t>
              </w:r>
              <w:r w:rsidR="00300154" w:rsidRPr="00300154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1</w:t>
              </w:r>
              <w:r w:rsidR="00300154" w:rsidRPr="00300154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-012</w:t>
              </w:r>
            </w:hyperlink>
            <w:r w:rsidR="00300154">
              <w:rPr>
                <w:rFonts w:ascii="ITC Avant Garde" w:hAnsi="ITC Avant Garde"/>
                <w:b/>
                <w:color w:val="000000"/>
                <w:sz w:val="21"/>
                <w:szCs w:val="21"/>
              </w:rPr>
              <w:t xml:space="preserve">: </w:t>
            </w:r>
            <w:r w:rsidR="00300154" w:rsidRPr="00300154">
              <w:rPr>
                <w:rFonts w:ascii="ITC Avant Garde" w:hAnsi="ITC Avant Garde"/>
                <w:color w:val="000000"/>
                <w:sz w:val="21"/>
                <w:szCs w:val="21"/>
              </w:rPr>
              <w:t>Solicitud de presentación de renuncia de concesión, permiso o autorización en materia de telecomunicaciones y radiodifusión.</w:t>
            </w:r>
            <w:r w:rsidR="00300154">
              <w:rPr>
                <w:rFonts w:ascii="ITC Avant Garde" w:hAnsi="ITC Avant Garde"/>
                <w:b/>
                <w:color w:val="000000"/>
                <w:sz w:val="21"/>
                <w:szCs w:val="21"/>
              </w:rPr>
              <w:t xml:space="preserve"> </w:t>
            </w:r>
          </w:p>
          <w:p w14:paraId="434DF693" w14:textId="77777777" w:rsidR="006C22B5" w:rsidRPr="006C22B5" w:rsidRDefault="006C22B5" w:rsidP="006C22B5">
            <w:pPr>
              <w:pStyle w:val="Prrafodelista"/>
              <w:spacing w:after="0" w:line="240" w:lineRule="auto"/>
              <w:mirrorIndents/>
              <w:jc w:val="both"/>
              <w:rPr>
                <w:rFonts w:ascii="ITC Avant Garde" w:hAnsi="ITC Avant Garde"/>
                <w:b/>
                <w:color w:val="000000"/>
                <w:sz w:val="21"/>
                <w:szCs w:val="21"/>
              </w:rPr>
            </w:pPr>
          </w:p>
          <w:p w14:paraId="74049DA1" w14:textId="71E7593A" w:rsidR="00300154" w:rsidRPr="005740EE" w:rsidRDefault="00E3291F" w:rsidP="00542B8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mirrorIndents/>
              <w:jc w:val="both"/>
              <w:rPr>
                <w:rFonts w:ascii="ITC Avant Garde" w:hAnsi="ITC Avant Garde"/>
                <w:b/>
                <w:color w:val="000000"/>
                <w:sz w:val="21"/>
                <w:szCs w:val="21"/>
              </w:rPr>
            </w:pPr>
            <w:hyperlink r:id="rId12" w:anchor="!/tramite/UCS-02-020-A" w:history="1">
              <w:r w:rsidR="00300154" w:rsidRPr="00300154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UCS-02-0</w:t>
              </w:r>
              <w:r w:rsidR="00300154" w:rsidRPr="00300154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2</w:t>
              </w:r>
              <w:r w:rsidR="00300154" w:rsidRPr="00300154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0-A</w:t>
              </w:r>
            </w:hyperlink>
            <w:r w:rsidR="00300154">
              <w:rPr>
                <w:rFonts w:ascii="ITC Avant Garde" w:hAnsi="ITC Avant Garde"/>
                <w:b/>
                <w:color w:val="000000"/>
                <w:sz w:val="21"/>
                <w:szCs w:val="21"/>
              </w:rPr>
              <w:t xml:space="preserve">: </w:t>
            </w:r>
            <w:r w:rsidR="00513FFB" w:rsidRPr="00542B86">
              <w:rPr>
                <w:rFonts w:ascii="ITC Avant Garde" w:hAnsi="ITC Avant Garde"/>
                <w:color w:val="000000"/>
                <w:sz w:val="21"/>
                <w:szCs w:val="21"/>
              </w:rPr>
              <w:t>Solicitud de Constancia de Autorización, para el uso y aprovechamiento de bandas de frecuencias del espectro radioeléctrico para uso secundario</w:t>
            </w:r>
            <w:r w:rsidR="00513FFB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 </w:t>
            </w:r>
            <w:r w:rsidR="005740EE">
              <w:rPr>
                <w:rFonts w:ascii="ITC Avant Garde" w:hAnsi="ITC Avant Garde"/>
                <w:color w:val="000000"/>
                <w:sz w:val="21"/>
                <w:szCs w:val="21"/>
              </w:rPr>
              <w:t>–</w:t>
            </w:r>
            <w:r w:rsidR="00513FFB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 </w:t>
            </w:r>
            <w:r w:rsidR="005740EE">
              <w:rPr>
                <w:rFonts w:ascii="ITC Avant Garde" w:hAnsi="ITC Avant Garde"/>
                <w:color w:val="000000"/>
                <w:sz w:val="21"/>
                <w:szCs w:val="21"/>
              </w:rPr>
              <w:t>Solicitud de Constancia de Autorización para Eventos Específicos en bandas de frecuencias atribuidas a telecomunicaciones.</w:t>
            </w:r>
          </w:p>
          <w:p w14:paraId="4B0EAEF8" w14:textId="77777777" w:rsidR="005740EE" w:rsidRPr="005740EE" w:rsidRDefault="005740EE" w:rsidP="005740EE">
            <w:pPr>
              <w:pStyle w:val="Prrafodelista"/>
              <w:rPr>
                <w:rFonts w:ascii="ITC Avant Garde" w:hAnsi="ITC Avant Garde"/>
                <w:b/>
                <w:color w:val="000000"/>
                <w:sz w:val="21"/>
                <w:szCs w:val="21"/>
              </w:rPr>
            </w:pPr>
          </w:p>
          <w:p w14:paraId="5356FC02" w14:textId="7D7E9A42" w:rsidR="005740EE" w:rsidRPr="005740EE" w:rsidRDefault="00E3291F" w:rsidP="00542B8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mirrorIndents/>
              <w:jc w:val="both"/>
              <w:rPr>
                <w:rFonts w:ascii="ITC Avant Garde" w:hAnsi="ITC Avant Garde"/>
                <w:b/>
                <w:color w:val="000000"/>
                <w:sz w:val="21"/>
                <w:szCs w:val="21"/>
              </w:rPr>
            </w:pPr>
            <w:hyperlink r:id="rId13" w:anchor="!/tramite/UCS-02-020-B" w:history="1">
              <w:r w:rsidR="005740EE" w:rsidRPr="005740EE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UCS-02-020-B</w:t>
              </w:r>
            </w:hyperlink>
            <w:r w:rsidR="005740EE" w:rsidRPr="005740EE">
              <w:rPr>
                <w:rFonts w:ascii="ITC Avant Garde" w:hAnsi="ITC Avant Garde"/>
                <w:b/>
                <w:color w:val="000000"/>
                <w:sz w:val="21"/>
                <w:szCs w:val="21"/>
              </w:rPr>
              <w:t xml:space="preserve">: </w:t>
            </w:r>
            <w:r w:rsidR="005740EE" w:rsidRPr="00542B86">
              <w:rPr>
                <w:rFonts w:ascii="ITC Avant Garde" w:hAnsi="ITC Avant Garde"/>
                <w:color w:val="000000"/>
                <w:sz w:val="21"/>
                <w:szCs w:val="21"/>
              </w:rPr>
              <w:t>Solicitud de Constancia de Autorización, para el uso y aprovechamiento de bandas de frecuencias del espectro radioeléctrico para uso secundario</w:t>
            </w:r>
            <w:r w:rsidR="005740EE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 – Solicitud de Constancia de Autorización para Instalaciones destinadas a actividades comerciales o industriales en bandas de frecuencias atribuidas a telecomunicaciones.</w:t>
            </w:r>
          </w:p>
          <w:p w14:paraId="3E107790" w14:textId="77777777" w:rsidR="005740EE" w:rsidRPr="005740EE" w:rsidRDefault="005740EE" w:rsidP="005740EE">
            <w:pPr>
              <w:pStyle w:val="Prrafodelista"/>
              <w:rPr>
                <w:rFonts w:ascii="ITC Avant Garde" w:hAnsi="ITC Avant Garde"/>
                <w:b/>
                <w:color w:val="000000"/>
                <w:sz w:val="21"/>
                <w:szCs w:val="21"/>
              </w:rPr>
            </w:pPr>
          </w:p>
          <w:p w14:paraId="7CF0D461" w14:textId="4B2360DB" w:rsidR="005740EE" w:rsidRPr="005740EE" w:rsidRDefault="00E3291F" w:rsidP="00542B8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mirrorIndents/>
              <w:jc w:val="both"/>
              <w:rPr>
                <w:rFonts w:ascii="ITC Avant Garde" w:hAnsi="ITC Avant Garde"/>
                <w:b/>
                <w:color w:val="000000"/>
                <w:sz w:val="21"/>
                <w:szCs w:val="21"/>
              </w:rPr>
            </w:pPr>
            <w:hyperlink r:id="rId14" w:anchor="!/tramite/UCS-02-020-C" w:history="1">
              <w:r w:rsidR="005740EE" w:rsidRPr="005740EE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UCS-02-020-C</w:t>
              </w:r>
            </w:hyperlink>
            <w:r w:rsidR="005740EE">
              <w:rPr>
                <w:rFonts w:ascii="ITC Avant Garde" w:hAnsi="ITC Avant Garde"/>
                <w:b/>
                <w:color w:val="000000"/>
                <w:sz w:val="21"/>
                <w:szCs w:val="21"/>
              </w:rPr>
              <w:t xml:space="preserve">: </w:t>
            </w:r>
            <w:r w:rsidR="005740EE" w:rsidRPr="00542B86">
              <w:rPr>
                <w:rFonts w:ascii="ITC Avant Garde" w:hAnsi="ITC Avant Garde"/>
                <w:color w:val="000000"/>
                <w:sz w:val="21"/>
                <w:szCs w:val="21"/>
              </w:rPr>
              <w:t>Solicitud de Constancia de Autorización, para el uso y aprovechamiento de bandas de frecuencias del espectro radioeléctrico para uso secundario</w:t>
            </w:r>
            <w:r w:rsidR="005740EE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 – Solicitud de Constancia de Autorización para Eventos Específicos en la banda de frecuencia modulada. </w:t>
            </w:r>
          </w:p>
          <w:p w14:paraId="0136DD26" w14:textId="77777777" w:rsidR="005740EE" w:rsidRPr="005740EE" w:rsidRDefault="005740EE" w:rsidP="005740EE">
            <w:pPr>
              <w:pStyle w:val="Prrafodelista"/>
              <w:rPr>
                <w:rFonts w:ascii="ITC Avant Garde" w:hAnsi="ITC Avant Garde"/>
                <w:b/>
                <w:color w:val="000000"/>
                <w:sz w:val="21"/>
                <w:szCs w:val="21"/>
              </w:rPr>
            </w:pPr>
          </w:p>
          <w:p w14:paraId="27479BF5" w14:textId="1D633966" w:rsidR="005740EE" w:rsidRPr="006C22B5" w:rsidRDefault="00E3291F" w:rsidP="00542B8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mirrorIndents/>
              <w:jc w:val="both"/>
              <w:rPr>
                <w:rFonts w:ascii="ITC Avant Garde" w:hAnsi="ITC Avant Garde"/>
                <w:b/>
                <w:color w:val="000000"/>
                <w:sz w:val="21"/>
                <w:szCs w:val="21"/>
              </w:rPr>
            </w:pPr>
            <w:hyperlink r:id="rId15" w:anchor="!/tramite/UCS-02-020-D" w:history="1">
              <w:r w:rsidR="005740EE" w:rsidRPr="006C22B5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UCS-02-020-D</w:t>
              </w:r>
            </w:hyperlink>
            <w:r w:rsidR="006C22B5" w:rsidRPr="006C22B5">
              <w:rPr>
                <w:rFonts w:ascii="ITC Avant Garde" w:hAnsi="ITC Avant Garde"/>
                <w:b/>
                <w:color w:val="000000"/>
                <w:sz w:val="21"/>
                <w:szCs w:val="21"/>
              </w:rPr>
              <w:t xml:space="preserve">: </w:t>
            </w:r>
            <w:r w:rsidR="006C22B5" w:rsidRPr="00542B86">
              <w:rPr>
                <w:rFonts w:ascii="ITC Avant Garde" w:hAnsi="ITC Avant Garde"/>
                <w:color w:val="000000"/>
                <w:sz w:val="21"/>
                <w:szCs w:val="21"/>
              </w:rPr>
              <w:t>Solicitud de Constancia de Autorización, para el uso y aprovechamiento de bandas de frecuencias del espectro radioeléctrico para uso secundario</w:t>
            </w:r>
            <w:r w:rsidR="006C22B5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 – Solicitud de Constancia de Autorización para Instalaciones destinadas a actividades comerciales o industriales en la banda de frecuencia modulada. </w:t>
            </w:r>
          </w:p>
          <w:p w14:paraId="2409FA0E" w14:textId="77777777" w:rsidR="00542B86" w:rsidRPr="006C22B5" w:rsidRDefault="00542B86" w:rsidP="00542B86">
            <w:pPr>
              <w:pStyle w:val="Prrafodelista"/>
              <w:spacing w:after="0" w:line="240" w:lineRule="auto"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</w:p>
          <w:p w14:paraId="2F1537FB" w14:textId="29DC0BDB" w:rsidR="008675D9" w:rsidRDefault="00E3291F" w:rsidP="00542B8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hyperlink r:id="rId16" w:anchor="!/tramite/UCS-02-021" w:history="1">
              <w:r w:rsidR="00542B86" w:rsidRPr="00542B86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</w:t>
              </w:r>
              <w:bookmarkStart w:id="0" w:name="_GoBack"/>
              <w:bookmarkEnd w:id="0"/>
              <w:r w:rsidR="00542B86" w:rsidRPr="00542B86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-</w:t>
              </w:r>
              <w:r w:rsidR="00542B86" w:rsidRPr="00542B86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021</w:t>
              </w:r>
            </w:hyperlink>
            <w:r w:rsidR="008675D9" w:rsidRPr="00542B86">
              <w:rPr>
                <w:rFonts w:ascii="ITC Avant Garde" w:hAnsi="ITC Avant Garde"/>
                <w:color w:val="000000"/>
                <w:sz w:val="21"/>
                <w:szCs w:val="21"/>
              </w:rPr>
              <w:t>: Solicitud de modificación de cobertura o cambio de ubicación geográfica respecto de la inicialmente establecida en la Constancia de Autorización, para el uso y aprovechamiento de bandas de frecuencias del espectro radioeléctrico para uso secundario</w:t>
            </w:r>
            <w:r w:rsidR="00E07152">
              <w:rPr>
                <w:rFonts w:ascii="ITC Avant Garde" w:hAnsi="ITC Avant Garde"/>
                <w:color w:val="000000"/>
                <w:sz w:val="21"/>
                <w:szCs w:val="21"/>
              </w:rPr>
              <w:t>.</w:t>
            </w:r>
          </w:p>
          <w:p w14:paraId="0A758D33" w14:textId="15105839" w:rsidR="00E07152" w:rsidRPr="00E07152" w:rsidRDefault="00E07152" w:rsidP="00E07152">
            <w:pPr>
              <w:spacing w:after="0" w:line="240" w:lineRule="auto"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</w:p>
        </w:tc>
      </w:tr>
    </w:tbl>
    <w:p w14:paraId="2B4FA93B" w14:textId="77777777" w:rsidR="006166DB" w:rsidRPr="007D3624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/>
          <w:sz w:val="21"/>
          <w:szCs w:val="21"/>
        </w:rPr>
      </w:pPr>
    </w:p>
    <w:tbl>
      <w:tblPr>
        <w:tblpPr w:leftFromText="141" w:rightFromText="141" w:vertAnchor="text" w:horzAnchor="margin" w:tblpY="5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D2FD6" w:rsidRPr="007D3624" w14:paraId="6D6CF7D9" w14:textId="77777777" w:rsidTr="00D91288">
        <w:trPr>
          <w:trHeight w:val="274"/>
        </w:trPr>
        <w:tc>
          <w:tcPr>
            <w:tcW w:w="8828" w:type="dxa"/>
            <w:shd w:val="clear" w:color="auto" w:fill="auto"/>
          </w:tcPr>
          <w:p w14:paraId="2A1C1227" w14:textId="75121995" w:rsidR="001808E4" w:rsidRPr="007D3624" w:rsidRDefault="001808E4" w:rsidP="008531B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7D3624">
              <w:rPr>
                <w:rFonts w:ascii="ITC Avant Garde" w:hAnsi="ITC Avant Garde"/>
                <w:color w:val="000000"/>
                <w:sz w:val="21"/>
                <w:szCs w:val="21"/>
              </w:rPr>
              <w:t>Inspección, verificación y vigilancia: Ley Federal de Telecomunicaciones y Radiodifusión, artículo 291</w:t>
            </w:r>
          </w:p>
          <w:p w14:paraId="11F13438" w14:textId="3E7329BC" w:rsidR="007D2FD6" w:rsidRPr="007D3624" w:rsidRDefault="009D0780" w:rsidP="008531B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7D3624">
              <w:rPr>
                <w:rFonts w:ascii="ITC Avant Garde" w:hAnsi="ITC Avant Garde"/>
                <w:color w:val="000000"/>
                <w:sz w:val="21"/>
                <w:szCs w:val="21"/>
              </w:rPr>
              <w:t>Artículo 23 de</w:t>
            </w:r>
            <w:r w:rsidR="00BE2ED4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 </w:t>
            </w:r>
            <w:r w:rsidRPr="007D3624">
              <w:rPr>
                <w:rFonts w:ascii="ITC Avant Garde" w:hAnsi="ITC Avant Garde"/>
                <w:color w:val="000000"/>
                <w:sz w:val="21"/>
                <w:szCs w:val="21"/>
              </w:rPr>
              <w:t>l</w:t>
            </w:r>
            <w:r w:rsidR="00BE2ED4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os </w:t>
            </w:r>
            <w:r w:rsidRPr="007D3624">
              <w:rPr>
                <w:rFonts w:ascii="ITC Avant Garde" w:hAnsi="ITC Avant Garde"/>
                <w:color w:val="000000"/>
                <w:sz w:val="21"/>
                <w:szCs w:val="21"/>
              </w:rPr>
              <w:t>Lineamiento</w:t>
            </w:r>
            <w:r w:rsidR="00BE2ED4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s </w:t>
            </w:r>
          </w:p>
        </w:tc>
      </w:tr>
    </w:tbl>
    <w:p w14:paraId="7A765424" w14:textId="02040539" w:rsidR="004B7538" w:rsidRPr="00E07152" w:rsidRDefault="00DC3A1A" w:rsidP="00E07152">
      <w:pPr>
        <w:shd w:val="clear" w:color="auto" w:fill="C5E0B3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/>
          <w:sz w:val="21"/>
          <w:szCs w:val="21"/>
        </w:rPr>
      </w:pPr>
      <w:r w:rsidRPr="007D3624">
        <w:rPr>
          <w:rFonts w:ascii="ITC Avant Garde" w:hAnsi="ITC Avant Garde"/>
          <w:b/>
          <w:color w:val="000000"/>
          <w:sz w:val="21"/>
          <w:szCs w:val="21"/>
        </w:rPr>
        <w:t>13.- Inspecciones, verificaciones o visitas domiciliarias relacionadas con la regulación y su fundamento legal:</w:t>
      </w:r>
    </w:p>
    <w:sectPr w:rsidR="004B7538" w:rsidRPr="00E07152" w:rsidSect="003F1D7B">
      <w:headerReference w:type="default" r:id="rId17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952D8" w14:textId="77777777" w:rsidR="00E3291F" w:rsidRDefault="00E3291F" w:rsidP="006166DB">
      <w:pPr>
        <w:spacing w:after="0" w:line="240" w:lineRule="auto"/>
      </w:pPr>
      <w:r>
        <w:separator/>
      </w:r>
    </w:p>
  </w:endnote>
  <w:endnote w:type="continuationSeparator" w:id="0">
    <w:p w14:paraId="170FF363" w14:textId="77777777" w:rsidR="00E3291F" w:rsidRDefault="00E3291F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23E50" w14:textId="77777777" w:rsidR="00E3291F" w:rsidRDefault="00E3291F" w:rsidP="006166DB">
      <w:pPr>
        <w:spacing w:after="0" w:line="240" w:lineRule="auto"/>
      </w:pPr>
      <w:r>
        <w:separator/>
      </w:r>
    </w:p>
  </w:footnote>
  <w:footnote w:type="continuationSeparator" w:id="0">
    <w:p w14:paraId="47266AC3" w14:textId="77777777" w:rsidR="00E3291F" w:rsidRDefault="00E3291F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9424C" w14:textId="1A2B0F96" w:rsidR="00E3291F" w:rsidRDefault="00E3291F" w:rsidP="007D2FD6">
    <w:pPr>
      <w:pStyle w:val="Encabezado"/>
      <w:tabs>
        <w:tab w:val="left" w:pos="2748"/>
      </w:tabs>
    </w:pPr>
    <w:r w:rsidRPr="00E02668">
      <w:rPr>
        <w:noProof/>
        <w:lang w:eastAsia="es-MX"/>
      </w:rPr>
      <w:drawing>
        <wp:inline distT="0" distB="0" distL="0" distR="0" wp14:anchorId="5A81F76B" wp14:editId="74A5DD63">
          <wp:extent cx="1003300" cy="698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hAnsi="ITC Avant Garde"/>
        <w:b/>
        <w:sz w:val="18"/>
        <w:szCs w:val="18"/>
      </w:rPr>
      <w:t xml:space="preserve"> </w:t>
    </w:r>
    <w:r>
      <w:rPr>
        <w:rFonts w:ascii="ITC Avant Garde" w:hAnsi="ITC Avant Garde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823"/>
    <w:multiLevelType w:val="hybridMultilevel"/>
    <w:tmpl w:val="FAECDFC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="Calibri" w:hAnsi="ITC Avant Garde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="Calibri" w:hAnsi="ITC Avant Garde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84DE6"/>
    <w:multiLevelType w:val="hybridMultilevel"/>
    <w:tmpl w:val="52E0AF3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D418B"/>
    <w:multiLevelType w:val="hybridMultilevel"/>
    <w:tmpl w:val="4F4EE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1436658"/>
    <w:multiLevelType w:val="hybridMultilevel"/>
    <w:tmpl w:val="32C88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13"/>
  </w:num>
  <w:num w:numId="7">
    <w:abstractNumId w:val="11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mailMerge>
    <w:mainDocumentType w:val="catalog"/>
    <w:dataType w:val="textFile"/>
    <w:activeRecord w:val="-1"/>
    <w:odso/>
  </w:mailMerge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E6"/>
    <w:rsid w:val="0006418E"/>
    <w:rsid w:val="00085CAE"/>
    <w:rsid w:val="000911B6"/>
    <w:rsid w:val="00096898"/>
    <w:rsid w:val="00160C02"/>
    <w:rsid w:val="001808E4"/>
    <w:rsid w:val="001A0D96"/>
    <w:rsid w:val="001A2AE6"/>
    <w:rsid w:val="001C36BF"/>
    <w:rsid w:val="001D0BED"/>
    <w:rsid w:val="001D74B7"/>
    <w:rsid w:val="001F3494"/>
    <w:rsid w:val="00207BA8"/>
    <w:rsid w:val="00223B0B"/>
    <w:rsid w:val="002434FF"/>
    <w:rsid w:val="00250D5A"/>
    <w:rsid w:val="002669FB"/>
    <w:rsid w:val="002B0B24"/>
    <w:rsid w:val="002C4264"/>
    <w:rsid w:val="002D596D"/>
    <w:rsid w:val="002E37B6"/>
    <w:rsid w:val="00300154"/>
    <w:rsid w:val="00332FE9"/>
    <w:rsid w:val="0035135A"/>
    <w:rsid w:val="00366E21"/>
    <w:rsid w:val="00384692"/>
    <w:rsid w:val="003A162A"/>
    <w:rsid w:val="003D2B5B"/>
    <w:rsid w:val="003F1D7B"/>
    <w:rsid w:val="00431539"/>
    <w:rsid w:val="00446F0C"/>
    <w:rsid w:val="0048274D"/>
    <w:rsid w:val="00486C33"/>
    <w:rsid w:val="004B7538"/>
    <w:rsid w:val="004C31A6"/>
    <w:rsid w:val="004C75E5"/>
    <w:rsid w:val="004D6D14"/>
    <w:rsid w:val="004E552A"/>
    <w:rsid w:val="005034EB"/>
    <w:rsid w:val="00513FFB"/>
    <w:rsid w:val="00542B86"/>
    <w:rsid w:val="005740EE"/>
    <w:rsid w:val="00585BD4"/>
    <w:rsid w:val="005D60BB"/>
    <w:rsid w:val="005E34D0"/>
    <w:rsid w:val="005F0181"/>
    <w:rsid w:val="005F6253"/>
    <w:rsid w:val="0061003C"/>
    <w:rsid w:val="00616685"/>
    <w:rsid w:val="006166DB"/>
    <w:rsid w:val="006441CF"/>
    <w:rsid w:val="0065492B"/>
    <w:rsid w:val="006911B3"/>
    <w:rsid w:val="006A09BC"/>
    <w:rsid w:val="006C22B5"/>
    <w:rsid w:val="006F7E1D"/>
    <w:rsid w:val="00703626"/>
    <w:rsid w:val="00720D02"/>
    <w:rsid w:val="00734866"/>
    <w:rsid w:val="007466F1"/>
    <w:rsid w:val="0078318D"/>
    <w:rsid w:val="007D2FD6"/>
    <w:rsid w:val="007D3624"/>
    <w:rsid w:val="007F5106"/>
    <w:rsid w:val="008017FB"/>
    <w:rsid w:val="00802508"/>
    <w:rsid w:val="00813B6D"/>
    <w:rsid w:val="00815D92"/>
    <w:rsid w:val="0082027D"/>
    <w:rsid w:val="008368D4"/>
    <w:rsid w:val="00850DE6"/>
    <w:rsid w:val="008531BF"/>
    <w:rsid w:val="008563A2"/>
    <w:rsid w:val="00861722"/>
    <w:rsid w:val="008675D9"/>
    <w:rsid w:val="0089205E"/>
    <w:rsid w:val="0092333A"/>
    <w:rsid w:val="00964BFF"/>
    <w:rsid w:val="009701A3"/>
    <w:rsid w:val="00977ED5"/>
    <w:rsid w:val="009918CF"/>
    <w:rsid w:val="009A1046"/>
    <w:rsid w:val="009A6722"/>
    <w:rsid w:val="009B526D"/>
    <w:rsid w:val="009D0780"/>
    <w:rsid w:val="009D567D"/>
    <w:rsid w:val="00A65956"/>
    <w:rsid w:val="00A70F6B"/>
    <w:rsid w:val="00A93C7F"/>
    <w:rsid w:val="00AC079F"/>
    <w:rsid w:val="00AD41B8"/>
    <w:rsid w:val="00AD4846"/>
    <w:rsid w:val="00AD5F25"/>
    <w:rsid w:val="00AF71CC"/>
    <w:rsid w:val="00B018E8"/>
    <w:rsid w:val="00B30E6B"/>
    <w:rsid w:val="00B8531B"/>
    <w:rsid w:val="00BA1D8C"/>
    <w:rsid w:val="00BB45B6"/>
    <w:rsid w:val="00BE2ED4"/>
    <w:rsid w:val="00BE45D0"/>
    <w:rsid w:val="00C76443"/>
    <w:rsid w:val="00C8049B"/>
    <w:rsid w:val="00CE2D52"/>
    <w:rsid w:val="00CF5F25"/>
    <w:rsid w:val="00CF74E6"/>
    <w:rsid w:val="00D14569"/>
    <w:rsid w:val="00D258BF"/>
    <w:rsid w:val="00D32399"/>
    <w:rsid w:val="00D91288"/>
    <w:rsid w:val="00D93EA9"/>
    <w:rsid w:val="00DC3A1A"/>
    <w:rsid w:val="00DF074B"/>
    <w:rsid w:val="00DF1654"/>
    <w:rsid w:val="00E047F3"/>
    <w:rsid w:val="00E07152"/>
    <w:rsid w:val="00E3067C"/>
    <w:rsid w:val="00E3291F"/>
    <w:rsid w:val="00E54179"/>
    <w:rsid w:val="00E70994"/>
    <w:rsid w:val="00E8680B"/>
    <w:rsid w:val="00EF55BB"/>
    <w:rsid w:val="00EF614E"/>
    <w:rsid w:val="00F014C6"/>
    <w:rsid w:val="00F123B3"/>
    <w:rsid w:val="00F30AF6"/>
    <w:rsid w:val="00F42CB3"/>
    <w:rsid w:val="00F52381"/>
    <w:rsid w:val="00F54CB3"/>
    <w:rsid w:val="00F62AAD"/>
    <w:rsid w:val="00F71208"/>
    <w:rsid w:val="00F73022"/>
    <w:rsid w:val="00FA4E22"/>
    <w:rsid w:val="00FB4DD2"/>
    <w:rsid w:val="00FE64BE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49AABC"/>
  <w15:chartTrackingRefBased/>
  <w15:docId w15:val="{9D0D033E-B15B-47BB-B916-42773E01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link w:val="Ttulo1"/>
    <w:uiPriority w:val="9"/>
    <w:rsid w:val="00085CA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2Car">
    <w:name w:val="Título 2 Car"/>
    <w:link w:val="Ttulo2"/>
    <w:uiPriority w:val="9"/>
    <w:rsid w:val="00085CA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3Car">
    <w:name w:val="Título 3 Car"/>
    <w:link w:val="Ttulo3"/>
    <w:uiPriority w:val="9"/>
    <w:rsid w:val="00085CA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Ttulo4Car">
    <w:name w:val="Título 4 Car"/>
    <w:link w:val="Ttulo4"/>
    <w:uiPriority w:val="9"/>
    <w:rsid w:val="00085CAE"/>
    <w:rPr>
      <w:rFonts w:ascii="Calibri Light" w:eastAsia="Times New Roman" w:hAnsi="Calibri Light" w:cs="Times New Roman"/>
      <w:i/>
      <w:iCs/>
      <w:color w:val="2E74B5"/>
    </w:rPr>
  </w:style>
  <w:style w:type="character" w:customStyle="1" w:styleId="Ttulo5Car">
    <w:name w:val="Título 5 Car"/>
    <w:link w:val="Ttulo5"/>
    <w:uiPriority w:val="9"/>
    <w:rsid w:val="00085CAE"/>
    <w:rPr>
      <w:rFonts w:ascii="Calibri Light" w:eastAsia="Times New Roman" w:hAnsi="Calibri Light" w:cs="Times New Roman"/>
      <w:color w:val="2E74B5"/>
    </w:rPr>
  </w:style>
  <w:style w:type="character" w:customStyle="1" w:styleId="Ttulo6Car">
    <w:name w:val="Título 6 Car"/>
    <w:link w:val="Ttulo6"/>
    <w:uiPriority w:val="9"/>
    <w:rsid w:val="00085CAE"/>
    <w:rPr>
      <w:rFonts w:ascii="Calibri Light" w:eastAsia="Times New Roman" w:hAnsi="Calibri Light" w:cs="Times New Roman"/>
      <w:color w:val="1F4D78"/>
    </w:rPr>
  </w:style>
  <w:style w:type="character" w:customStyle="1" w:styleId="Ttulo7Car">
    <w:name w:val="Título 7 Car"/>
    <w:link w:val="Ttulo7"/>
    <w:uiPriority w:val="9"/>
    <w:rsid w:val="00085CAE"/>
    <w:rPr>
      <w:rFonts w:ascii="Calibri Light" w:eastAsia="Times New Roman" w:hAnsi="Calibri Light" w:cs="Times New Roman"/>
      <w:i/>
      <w:iCs/>
      <w:color w:val="1F4D78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42B8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96898"/>
    <w:rPr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2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ventariotramites.ift.org.mx/mitweb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inventariotramites.ift.org.mx/mitweb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nventariotramites.ift.org.mx/mitweb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ventariotramites.ift.org.mx/mitwe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rian.garcia\OneDrive%20-%20Instituto%20Federal%20de%20Telecomunicaciones\Documentos\Analista%20de%20Tr&#225;mites\CANRTyS\REGISTRO%20DE%20REGULACIONES\Nueva%20CARGA\C-ERRO-16-LCAUABFERUS\C-ERRO-16-LCAUABFERU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CE0F1FBB38B4C8A0BB61156E48174" ma:contentTypeVersion="11" ma:contentTypeDescription="Crear nuevo documento." ma:contentTypeScope="" ma:versionID="07a0a21e02fe841e6d63c7f21d602141">
  <xsd:schema xmlns:xsd="http://www.w3.org/2001/XMLSchema" xmlns:xs="http://www.w3.org/2001/XMLSchema" xmlns:p="http://schemas.microsoft.com/office/2006/metadata/properties" xmlns:ns3="4be6e129-17bc-4f05-9def-a51dc5f03fa3" xmlns:ns4="8bdb61f3-1305-4a9b-97d4-47fb3fe9934c" targetNamespace="http://schemas.microsoft.com/office/2006/metadata/properties" ma:root="true" ma:fieldsID="fbae566ba4ea3f0b99ba07c478581933" ns3:_="" ns4:_="">
    <xsd:import namespace="4be6e129-17bc-4f05-9def-a51dc5f03fa3"/>
    <xsd:import namespace="8bdb61f3-1305-4a9b-97d4-47fb3fe99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e129-17bc-4f05-9def-a51dc5f03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b61f3-1305-4a9b-97d4-47fb3fe99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17760-1D21-48B1-BF01-30CB55164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6e129-17bc-4f05-9def-a51dc5f03fa3"/>
    <ds:schemaRef ds:uri="8bdb61f3-1305-4a9b-97d4-47fb3fe99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89A34-2874-4503-B595-9583AB1C5308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4be6e129-17bc-4f05-9def-a51dc5f03fa3"/>
    <ds:schemaRef ds:uri="8bdb61f3-1305-4a9b-97d4-47fb3fe9934c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7F17F5-D4B6-4CF8-B0B1-97B4C632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C-ERRO-16-LCAUABFERUS</Template>
  <TotalTime>1</TotalTime>
  <Pages>2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Israel Garcia Munoz</dc:creator>
  <cp:keywords/>
  <dc:description/>
  <cp:lastModifiedBy>Alexis Pina Vega</cp:lastModifiedBy>
  <cp:revision>2</cp:revision>
  <cp:lastPrinted>2024-10-04T00:35:00Z</cp:lastPrinted>
  <dcterms:created xsi:type="dcterms:W3CDTF">2024-10-04T00:36:00Z</dcterms:created>
  <dcterms:modified xsi:type="dcterms:W3CDTF">2024-10-04T00:36:00Z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0x0101007D6CE0F1FBB38B4C8A0BB61156E48174</vt:lpwstr>
  </property>
</Properties>
</file>