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4670E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670EC" w14:paraId="1B2E1BC8" w14:textId="77777777" w:rsidTr="00DF074B">
        <w:tc>
          <w:tcPr>
            <w:tcW w:w="8828" w:type="dxa"/>
          </w:tcPr>
          <w:p w14:paraId="5E631BCB" w14:textId="4FA4255D" w:rsidR="006166DB" w:rsidRPr="004670EC" w:rsidRDefault="003F3C8D" w:rsidP="00DC77EC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F3C8D">
              <w:rPr>
                <w:rFonts w:ascii="ITC Avant Garde" w:hAnsi="ITC Avant Garde"/>
                <w:sz w:val="21"/>
                <w:szCs w:val="21"/>
              </w:rPr>
              <w:t>A</w:t>
            </w:r>
            <w:r w:rsidR="009555C7">
              <w:rPr>
                <w:rFonts w:ascii="ITC Avant Garde" w:hAnsi="ITC Avant Garde"/>
                <w:sz w:val="21"/>
                <w:szCs w:val="21"/>
              </w:rPr>
              <w:t>cuerdo</w:t>
            </w:r>
            <w:r w:rsidR="00DC77EC" w:rsidRPr="004670EC">
              <w:rPr>
                <w:rFonts w:ascii="ITC Avant Garde" w:hAnsi="ITC Avant Garde"/>
                <w:sz w:val="21"/>
                <w:szCs w:val="21"/>
              </w:rPr>
              <w:t xml:space="preserve"> mediante el cual el Pleno del Instituto Federal de Telecomunicaciones expide la Disposición Técnica IFT-014-2018. Equipos de microondas para sistemas fijo multicanal punto a punto y punto a multipunto. Parte 1: radio acceso múltiple.</w:t>
            </w:r>
          </w:p>
        </w:tc>
      </w:tr>
    </w:tbl>
    <w:p w14:paraId="52EC83BF" w14:textId="77777777" w:rsidR="006166DB" w:rsidRPr="004670E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4670E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670EC" w14:paraId="454C3A95" w14:textId="77777777" w:rsidTr="00DF074B">
        <w:tc>
          <w:tcPr>
            <w:tcW w:w="8828" w:type="dxa"/>
          </w:tcPr>
          <w:p w14:paraId="1A68E5FF" w14:textId="46B60A3C" w:rsidR="006166DB" w:rsidRPr="004670EC" w:rsidRDefault="006166DB" w:rsidP="00DC77EC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8-10-2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DC77EC" w:rsidRPr="004670E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22/10/2018</w:t>
                </w:r>
              </w:sdtContent>
            </w:sdt>
          </w:p>
        </w:tc>
      </w:tr>
      <w:tr w:rsidR="003F1D7B" w:rsidRPr="004670EC" w14:paraId="098151CF" w14:textId="77777777" w:rsidTr="00DF074B">
        <w:tc>
          <w:tcPr>
            <w:tcW w:w="8828" w:type="dxa"/>
          </w:tcPr>
          <w:p w14:paraId="07D4CB20" w14:textId="440B9D33" w:rsidR="003F1D7B" w:rsidRPr="004670EC" w:rsidRDefault="003F1D7B" w:rsidP="00DC77EC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>Fe</w:t>
            </w:r>
            <w:r w:rsidR="00DC77EC"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>cha de publicación en el DOF: 26/11</w:t>
            </w:r>
            <w:r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>/201</w:t>
            </w:r>
            <w:r w:rsidR="00DC77EC"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>8</w:t>
            </w:r>
            <w:r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4670EC" w14:paraId="784A8897" w14:textId="77777777" w:rsidTr="00DF074B">
        <w:tc>
          <w:tcPr>
            <w:tcW w:w="8828" w:type="dxa"/>
          </w:tcPr>
          <w:p w14:paraId="335C558B" w14:textId="226CE31C" w:rsidR="00DF074B" w:rsidRPr="004670EC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DC77EC" w:rsidRPr="004670E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4670EC" w14:paraId="25C2F9B9" w14:textId="77777777" w:rsidTr="00DF074B">
        <w:tc>
          <w:tcPr>
            <w:tcW w:w="8828" w:type="dxa"/>
          </w:tcPr>
          <w:p w14:paraId="187042E5" w14:textId="09FFEA23" w:rsidR="006166DB" w:rsidRPr="004670EC" w:rsidRDefault="006166DB" w:rsidP="00DC77EC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8-11-2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DC77EC" w:rsidRPr="004670E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27/11/2018</w:t>
                </w:r>
              </w:sdtContent>
            </w:sdt>
            <w:r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4670EC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115C23DA" w:rsidR="00DF074B" w:rsidRPr="004670EC" w:rsidRDefault="00DF074B" w:rsidP="00C324ED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324ED" w:rsidRPr="004670E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4670E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4670E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670EC" w14:paraId="2E594784" w14:textId="77777777" w:rsidTr="00DF074B">
        <w:tc>
          <w:tcPr>
            <w:tcW w:w="8828" w:type="dxa"/>
          </w:tcPr>
          <w:p w14:paraId="6C41AB66" w14:textId="5434614E" w:rsidR="006166DB" w:rsidRPr="004670EC" w:rsidRDefault="00DC77EC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4670E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4670E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670EC" w14:paraId="0FEE5916" w14:textId="77777777" w:rsidTr="00DF074B">
        <w:tc>
          <w:tcPr>
            <w:tcW w:w="8828" w:type="dxa"/>
          </w:tcPr>
          <w:p w14:paraId="043F6ABC" w14:textId="4A511234" w:rsidR="006166DB" w:rsidRPr="004670EC" w:rsidRDefault="00DC77EC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4670E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4670E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4670EC" w14:paraId="749D808B" w14:textId="77777777" w:rsidTr="00DF074B">
        <w:tc>
          <w:tcPr>
            <w:tcW w:w="8828" w:type="dxa"/>
          </w:tcPr>
          <w:p w14:paraId="07FF9FAE" w14:textId="25673CCC" w:rsidR="00DC3A1A" w:rsidRPr="004670EC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4670E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DC77EC" w:rsidRPr="004670E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4670EC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4670E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4670EC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670EC" w14:paraId="380262AA" w14:textId="77777777" w:rsidTr="00DF074B">
        <w:tc>
          <w:tcPr>
            <w:tcW w:w="8828" w:type="dxa"/>
          </w:tcPr>
          <w:p w14:paraId="1917902A" w14:textId="75D7FBC7" w:rsidR="00DC77EC" w:rsidRPr="004670EC" w:rsidRDefault="00DC77EC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4670EC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4670E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4670EC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670EC" w14:paraId="00840257" w14:textId="77777777" w:rsidTr="00DF074B">
        <w:tc>
          <w:tcPr>
            <w:tcW w:w="8828" w:type="dxa"/>
          </w:tcPr>
          <w:p w14:paraId="5DFAFB35" w14:textId="131989C5" w:rsidR="006166DB" w:rsidRPr="004670EC" w:rsidRDefault="009555C7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DC77EC" w:rsidRPr="004670E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4670EC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5F21D315" w:rsidR="006166DB" w:rsidRPr="004670E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4670EC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4670EC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4670EC">
        <w:rPr>
          <w:rFonts w:ascii="ITC Avant Garde" w:hAnsi="ITC Avant Garde"/>
          <w:sz w:val="21"/>
          <w:szCs w:val="21"/>
        </w:rPr>
        <w:t xml:space="preserve"> </w:t>
      </w:r>
      <w:r w:rsidR="006166DB" w:rsidRPr="004670EC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670EC" w14:paraId="040BA959" w14:textId="77777777" w:rsidTr="00F73022">
        <w:trPr>
          <w:trHeight w:val="65"/>
        </w:trPr>
        <w:tc>
          <w:tcPr>
            <w:tcW w:w="8828" w:type="dxa"/>
          </w:tcPr>
          <w:p w14:paraId="05B39D90" w14:textId="77777777" w:rsidR="00CE23B0" w:rsidRPr="004670EC" w:rsidRDefault="00CE23B0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</w:p>
          <w:p w14:paraId="1D230F4E" w14:textId="48CD43EC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1.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Introducción</w:t>
            </w:r>
          </w:p>
          <w:p w14:paraId="650EE486" w14:textId="530BAE7E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2.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Objetivo y Campo de Aplicación</w:t>
            </w:r>
          </w:p>
          <w:p w14:paraId="0761C392" w14:textId="7335DD69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3.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Definiciones</w:t>
            </w:r>
          </w:p>
          <w:p w14:paraId="4C98782D" w14:textId="7634D1AC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4.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Abreviaturas y Símbolos</w:t>
            </w:r>
          </w:p>
          <w:p w14:paraId="104742C6" w14:textId="1A953851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5.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Especificaciones Técnicas</w:t>
            </w:r>
          </w:p>
          <w:p w14:paraId="18D9530A" w14:textId="7A4ED99E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5.1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Separación entre Canales</w:t>
            </w:r>
          </w:p>
          <w:p w14:paraId="64536772" w14:textId="0B48620B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5.2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Banda de Frecuencia de Operación</w:t>
            </w:r>
          </w:p>
          <w:p w14:paraId="6EB45ED2" w14:textId="79AEE6A7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5.3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Emisiones no Deseadas</w:t>
            </w:r>
          </w:p>
          <w:p w14:paraId="18A69966" w14:textId="06A607A8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5.3.1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Emisiones Fuera de Banda</w:t>
            </w:r>
          </w:p>
          <w:p w14:paraId="4A57A250" w14:textId="4792FB62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5.3.2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Emisiones no Esenciales</w:t>
            </w:r>
          </w:p>
          <w:p w14:paraId="1EFAC31D" w14:textId="60E6420D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5.4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Potencia Media</w:t>
            </w:r>
          </w:p>
          <w:p w14:paraId="151BE02B" w14:textId="74B5A3D1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5.5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Tolerancia de Frecuencia</w:t>
            </w:r>
          </w:p>
          <w:p w14:paraId="697380AD" w14:textId="64C7A5B4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5.6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Separación entre la Frecuencia de Transmisión y Recepción</w:t>
            </w:r>
          </w:p>
          <w:p w14:paraId="0F1C4963" w14:textId="03C9CD97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Métodos de Prueba</w:t>
            </w:r>
          </w:p>
          <w:p w14:paraId="4B381AF4" w14:textId="1EC1C116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6.1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Condiciones Normalizadas</w:t>
            </w:r>
          </w:p>
          <w:p w14:paraId="426EE120" w14:textId="03F25067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6.2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Instrumentos de Medición</w:t>
            </w:r>
          </w:p>
          <w:p w14:paraId="32BF6457" w14:textId="50038A04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6.3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Configuración para la Aplicación de los Métodos de Prueba</w:t>
            </w:r>
          </w:p>
          <w:p w14:paraId="73791DAB" w14:textId="574E1D89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lastRenderedPageBreak/>
              <w:t>6.3.1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Configuración General.</w:t>
            </w:r>
          </w:p>
          <w:p w14:paraId="08740E94" w14:textId="7431A20B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6.3.1.1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Configuración para Medición de Emisiones Conducidas</w:t>
            </w:r>
          </w:p>
          <w:p w14:paraId="675FF524" w14:textId="126BA88F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6.3.1.2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Configuración para Medición de Emisiones Radiadas</w:t>
            </w:r>
          </w:p>
          <w:p w14:paraId="674C5AD0" w14:textId="6A3D3AC7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6.4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Separación entre Canales y Frecuencia de Operación.</w:t>
            </w:r>
          </w:p>
          <w:p w14:paraId="7744DD9D" w14:textId="372C3FEA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6.4.1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Separación entre Canales.</w:t>
            </w:r>
          </w:p>
          <w:p w14:paraId="27F6BA23" w14:textId="607B0A0D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6.4.1.1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Equipos de Prueba</w:t>
            </w:r>
          </w:p>
          <w:p w14:paraId="3F4F8BFC" w14:textId="0BA8512D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6.4.1.2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Configuración de Prueba</w:t>
            </w:r>
          </w:p>
          <w:p w14:paraId="69BA1005" w14:textId="70981258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6.4.1.3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Procedimiento de Prueba</w:t>
            </w:r>
          </w:p>
          <w:p w14:paraId="220588FA" w14:textId="15BA0DB2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6.4.2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Banda de Frecuencia de Operación.</w:t>
            </w:r>
          </w:p>
          <w:p w14:paraId="4964ADA5" w14:textId="59C420F9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6.4.2.1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Equipos de Prueba</w:t>
            </w:r>
          </w:p>
          <w:p w14:paraId="36667014" w14:textId="0BBDD5CC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6.4.2.2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Configuración de Prueba</w:t>
            </w:r>
          </w:p>
          <w:p w14:paraId="12E680A4" w14:textId="267D7577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6.4.2.3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Procedimiento de Prueba</w:t>
            </w:r>
          </w:p>
          <w:p w14:paraId="2FE1D118" w14:textId="78C78BA9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6.5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Emisiones no Deseadas</w:t>
            </w:r>
          </w:p>
          <w:p w14:paraId="051F646F" w14:textId="71162BAD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6.5.1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Emisiones Fuera de Banda</w:t>
            </w:r>
          </w:p>
          <w:p w14:paraId="205C9A38" w14:textId="30ADE29C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6.5.1.1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Equipos de Prueba</w:t>
            </w:r>
          </w:p>
          <w:p w14:paraId="1B950A0C" w14:textId="3C631672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6.5.1.2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Configuración de Prueba</w:t>
            </w:r>
          </w:p>
          <w:p w14:paraId="3FAF2E93" w14:textId="47723FD4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6.5.1.3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Procedimiento de Prueba</w:t>
            </w:r>
          </w:p>
          <w:p w14:paraId="3E9A8A6E" w14:textId="03F7C5F8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6.5.2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Emisiones no Esenciales</w:t>
            </w:r>
          </w:p>
          <w:p w14:paraId="49BD6D4F" w14:textId="63B3CDF5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6.5.2.1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Equipos de Prueba</w:t>
            </w:r>
          </w:p>
          <w:p w14:paraId="03175741" w14:textId="18CE625B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6.5.2.2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Configuración de Prueba</w:t>
            </w:r>
          </w:p>
          <w:p w14:paraId="317B0D24" w14:textId="5E38D483" w:rsidR="00DC77EC" w:rsidRPr="004670EC" w:rsidRDefault="00DC77EC" w:rsidP="00DC77EC">
            <w:pPr>
              <w:ind w:left="2127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6.5.2.3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  <w:t>Procedimiento de Prueba</w:t>
            </w:r>
          </w:p>
          <w:p w14:paraId="58B3DE38" w14:textId="4443ABB1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6.6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Potencia Media</w:t>
            </w:r>
          </w:p>
          <w:p w14:paraId="0760E769" w14:textId="6A336FC0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6.6.1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Equipos de Prueba</w:t>
            </w:r>
          </w:p>
          <w:p w14:paraId="2B9A4B30" w14:textId="54A9EB96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6.6.2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Configuración de Prueba</w:t>
            </w:r>
          </w:p>
          <w:p w14:paraId="59433213" w14:textId="75D3FB1C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6.6.3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Procedimiento de Prueba</w:t>
            </w:r>
          </w:p>
          <w:p w14:paraId="01E4E13E" w14:textId="73ACFD7F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6.7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Tolerancia de Frecuencia</w:t>
            </w:r>
          </w:p>
          <w:p w14:paraId="44A1AEF0" w14:textId="0423A15F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6.7.1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Equipos de Prueba</w:t>
            </w:r>
          </w:p>
          <w:p w14:paraId="09C0F580" w14:textId="226B3F24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6.7.2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Configuración de Prueba</w:t>
            </w:r>
          </w:p>
          <w:p w14:paraId="4A96DE7B" w14:textId="58ED3ADD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6.7.3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Procedimiento de Prueba</w:t>
            </w:r>
          </w:p>
          <w:p w14:paraId="18E1EA41" w14:textId="0B4A0C8C" w:rsidR="00DC77EC" w:rsidRPr="004670EC" w:rsidRDefault="00DC77EC" w:rsidP="00DC77EC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6.8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Separación Entre la Frecuencia de Transmisión y Recepción</w:t>
            </w:r>
          </w:p>
          <w:p w14:paraId="2DE483B9" w14:textId="7487DBA0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6.8.1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Equipos de Prueba</w:t>
            </w:r>
          </w:p>
          <w:p w14:paraId="329E2E51" w14:textId="2118BA11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6.8.2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Configuración de Prueba</w:t>
            </w:r>
          </w:p>
          <w:p w14:paraId="7963B8A8" w14:textId="3849D3E2" w:rsidR="00DC77EC" w:rsidRPr="004670EC" w:rsidRDefault="00DC77EC" w:rsidP="00DC77EC">
            <w:pPr>
              <w:ind w:left="1418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6.8.3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Procedimiento de Prueba</w:t>
            </w:r>
          </w:p>
          <w:p w14:paraId="01B00011" w14:textId="071D173D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7.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Bibliografía</w:t>
            </w:r>
          </w:p>
          <w:p w14:paraId="57FF498A" w14:textId="6A320FF9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8.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Concordancia con Normas Internacionales</w:t>
            </w:r>
          </w:p>
          <w:p w14:paraId="77B52A45" w14:textId="76BE5FEE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9.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Evaluación de la Conformidad</w:t>
            </w:r>
          </w:p>
          <w:p w14:paraId="7C238290" w14:textId="6AF1FE70" w:rsidR="00DC77EC" w:rsidRPr="004670EC" w:rsidRDefault="00DC77EC" w:rsidP="00CE23B0">
            <w:pPr>
              <w:ind w:left="709"/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9.1</w:t>
            </w:r>
            <w:r w:rsidR="00187CC7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Vigilancia del Cumplimiento de la Certificación</w:t>
            </w:r>
          </w:p>
          <w:p w14:paraId="7954C4EC" w14:textId="5DABA481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10.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Verificación y Vigilancia de Cumplimiento</w:t>
            </w:r>
          </w:p>
          <w:p w14:paraId="44138041" w14:textId="06B5994C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11.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Contraseña de Producto</w:t>
            </w:r>
          </w:p>
          <w:p w14:paraId="3B2C1475" w14:textId="02DEA404" w:rsidR="00DC77EC" w:rsidRPr="004670EC" w:rsidRDefault="00DC77EC" w:rsidP="00DC77EC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12.</w:t>
            </w:r>
            <w:r w:rsidR="00CE23B0"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Disposiciones Transitorias</w:t>
            </w:r>
          </w:p>
          <w:p w14:paraId="61CE778D" w14:textId="77777777" w:rsidR="00CE23B0" w:rsidRPr="004670EC" w:rsidRDefault="00CE23B0" w:rsidP="0092333A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</w:p>
          <w:p w14:paraId="5F275C45" w14:textId="3246D10C" w:rsidR="006166DB" w:rsidRPr="004670EC" w:rsidRDefault="00DC77EC" w:rsidP="0092333A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Anexo A</w:t>
            </w:r>
          </w:p>
        </w:tc>
      </w:tr>
    </w:tbl>
    <w:p w14:paraId="4E6C6C7C" w14:textId="77777777" w:rsidR="00F73022" w:rsidRPr="004670EC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2FABB77A" w:rsidR="00F73022" w:rsidRPr="004670EC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4670EC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4670EC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4670EC">
        <w:rPr>
          <w:rFonts w:ascii="ITC Avant Garde" w:hAnsi="ITC Avant Garde"/>
          <w:sz w:val="21"/>
          <w:szCs w:val="21"/>
        </w:rPr>
        <w:t xml:space="preserve"> </w:t>
      </w:r>
      <w:r w:rsidR="00F73022" w:rsidRPr="004670EC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4670EC" w14:paraId="373C675C" w14:textId="77777777" w:rsidTr="00DF074B">
        <w:tc>
          <w:tcPr>
            <w:tcW w:w="8828" w:type="dxa"/>
          </w:tcPr>
          <w:p w14:paraId="53B08DCA" w14:textId="3F77880A" w:rsidR="00F73022" w:rsidRPr="004670EC" w:rsidRDefault="00DC77EC" w:rsidP="00DC77EC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Establecer las especificaciones técnicas y los correspondientes métodos de prueba que deben cumplir los equipos de radiocomunicación a utilizarse en un sistema de </w:t>
            </w: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>radio acceso múltiple por medio de Enlaces de microondas punto a punto y/o punto a multipunto en la banda de 2 300  a 2 450 MHz.</w:t>
            </w:r>
          </w:p>
        </w:tc>
      </w:tr>
    </w:tbl>
    <w:p w14:paraId="2355FA42" w14:textId="77777777" w:rsidR="00F73022" w:rsidRPr="004670EC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4670E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4670EC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670EC" w14:paraId="36A134C5" w14:textId="77777777" w:rsidTr="00DF074B">
        <w:tc>
          <w:tcPr>
            <w:tcW w:w="8828" w:type="dxa"/>
          </w:tcPr>
          <w:p w14:paraId="0C79C5AD" w14:textId="67AAB448" w:rsidR="006166DB" w:rsidRPr="004670EC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4670EC">
              <w:rPr>
                <w:rFonts w:ascii="ITC Avant Garde" w:hAnsi="ITC Avant Garde"/>
                <w:sz w:val="21"/>
                <w:szCs w:val="21"/>
              </w:rPr>
              <w:t>Materia:</w:t>
            </w:r>
            <w:r w:rsidR="00DC77EC" w:rsidRPr="004670EC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92333A" w:rsidRPr="004670EC">
                  <w:rPr>
                    <w:rFonts w:ascii="ITC Avant Garde" w:hAnsi="ITC Avant Garde"/>
                    <w:sz w:val="21"/>
                    <w:szCs w:val="21"/>
                  </w:rPr>
                  <w:t xml:space="preserve">Radiodifusión </w:t>
                </w:r>
              </w:sdtContent>
            </w:sdt>
            <w:r w:rsidRPr="004670EC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4670EC" w14:paraId="78629502" w14:textId="77777777" w:rsidTr="00DF074B">
        <w:tc>
          <w:tcPr>
            <w:tcW w:w="8828" w:type="dxa"/>
          </w:tcPr>
          <w:p w14:paraId="617248E0" w14:textId="319AFD1F" w:rsidR="006166DB" w:rsidRPr="004670EC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4670EC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DC77EC" w:rsidRPr="004670EC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4670EC" w14:paraId="380D841C" w14:textId="77777777" w:rsidTr="00DF074B">
        <w:tc>
          <w:tcPr>
            <w:tcW w:w="8828" w:type="dxa"/>
          </w:tcPr>
          <w:p w14:paraId="6C9F585B" w14:textId="3A9B0B00" w:rsidR="006166DB" w:rsidRPr="004670EC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4670EC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4670EC">
              <w:rPr>
                <w:rFonts w:ascii="ITC Avant Garde" w:hAnsi="ITC Avant Garde"/>
                <w:sz w:val="21"/>
                <w:szCs w:val="21"/>
              </w:rPr>
              <w:t xml:space="preserve">Concesionarios, permisionarios y autorizados. </w:t>
            </w:r>
            <w:r w:rsidRPr="004670EC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4670EC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4670E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4670EC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4C56B498" w:rsidR="00515C5E" w:rsidRPr="004670EC" w:rsidRDefault="009555C7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-</w:t>
            </w:r>
            <w:r w:rsidRPr="009555C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55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Acuerdo mediante el cual el Pleno del Instituto Federal de Telecomunicaciones expide el Procedimiento de evaluación de la conformidad en materia de telecomunicaciones y radiodifusión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03FABE9B" w14:textId="45F8751D" w:rsidR="00DC3A1A" w:rsidRPr="004670EC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4670E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4670EC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4670EC" w14:paraId="096E5FBB" w14:textId="77777777" w:rsidTr="007D2FD6">
        <w:tc>
          <w:tcPr>
            <w:tcW w:w="8828" w:type="dxa"/>
          </w:tcPr>
          <w:p w14:paraId="1E0A3A61" w14:textId="6C9999A1" w:rsidR="007D2FD6" w:rsidRPr="004670EC" w:rsidRDefault="009555C7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E6B748" w14:textId="77777777" w:rsidR="006166DB" w:rsidRPr="004670E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4670EC" w14:paraId="1683D7BD" w14:textId="77777777" w:rsidTr="007D2FD6">
        <w:tc>
          <w:tcPr>
            <w:tcW w:w="8828" w:type="dxa"/>
          </w:tcPr>
          <w:p w14:paraId="1B0B96D9" w14:textId="77777777" w:rsidR="007D2FD6" w:rsidRPr="004670EC" w:rsidRDefault="00755A4A" w:rsidP="00755A4A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  <w:p w14:paraId="7B06FDE4" w14:textId="4F982812" w:rsidR="00877D60" w:rsidRPr="004670EC" w:rsidRDefault="00877D60" w:rsidP="00877D60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10. </w:t>
            </w:r>
            <w:r w:rsidR="009362F3" w:rsidRPr="004670E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Verificación y Vigilancia de Cumplimiento</w:t>
            </w:r>
          </w:p>
          <w:p w14:paraId="6A09D6D7" w14:textId="56471C46" w:rsidR="00877D60" w:rsidRPr="004670EC" w:rsidRDefault="00877D60" w:rsidP="00877D60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670E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Corresponde al Instituto en el ámbito de su competencia, la verificación y vigilancia del cumplimiento de la presente Disposición Técnica, de conformidad con las disposiciones jurídicas aplicables.</w:t>
            </w:r>
          </w:p>
        </w:tc>
      </w:tr>
    </w:tbl>
    <w:p w14:paraId="21B252A3" w14:textId="77777777" w:rsidR="00DC3A1A" w:rsidRPr="004670E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670EC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4670E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4670E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4670EC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515C5E" w:rsidRDefault="00515C5E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515C5E" w:rsidRDefault="00515C5E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515C5E" w:rsidRDefault="00515C5E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515C5E" w:rsidRDefault="00515C5E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462D9179" w:rsidR="00515C5E" w:rsidRDefault="00515C5E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373AD"/>
    <w:multiLevelType w:val="hybridMultilevel"/>
    <w:tmpl w:val="F2F06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519209">
    <w:abstractNumId w:val="3"/>
  </w:num>
  <w:num w:numId="2" w16cid:durableId="1718045852">
    <w:abstractNumId w:val="2"/>
  </w:num>
  <w:num w:numId="3" w16cid:durableId="53282983">
    <w:abstractNumId w:val="0"/>
  </w:num>
  <w:num w:numId="4" w16cid:durableId="1218594253">
    <w:abstractNumId w:val="1"/>
  </w:num>
  <w:num w:numId="5" w16cid:durableId="1059742353">
    <w:abstractNumId w:val="4"/>
  </w:num>
  <w:num w:numId="6" w16cid:durableId="1603338496">
    <w:abstractNumId w:val="10"/>
  </w:num>
  <w:num w:numId="7" w16cid:durableId="451555058">
    <w:abstractNumId w:val="9"/>
  </w:num>
  <w:num w:numId="8" w16cid:durableId="1926331448">
    <w:abstractNumId w:val="5"/>
  </w:num>
  <w:num w:numId="9" w16cid:durableId="113989712">
    <w:abstractNumId w:val="6"/>
  </w:num>
  <w:num w:numId="10" w16cid:durableId="2030985774">
    <w:abstractNumId w:val="8"/>
  </w:num>
  <w:num w:numId="11" w16cid:durableId="1108351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629E2"/>
    <w:rsid w:val="00085CAE"/>
    <w:rsid w:val="000911B6"/>
    <w:rsid w:val="000D1529"/>
    <w:rsid w:val="000E5900"/>
    <w:rsid w:val="00160C02"/>
    <w:rsid w:val="00187CC7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A162A"/>
    <w:rsid w:val="003F1D7B"/>
    <w:rsid w:val="003F3C8D"/>
    <w:rsid w:val="00446F0C"/>
    <w:rsid w:val="004670EC"/>
    <w:rsid w:val="004B7538"/>
    <w:rsid w:val="004C31A6"/>
    <w:rsid w:val="004C75E5"/>
    <w:rsid w:val="004D6D14"/>
    <w:rsid w:val="004E552A"/>
    <w:rsid w:val="005034EB"/>
    <w:rsid w:val="00515C5E"/>
    <w:rsid w:val="00585BD4"/>
    <w:rsid w:val="005E34D0"/>
    <w:rsid w:val="005F0181"/>
    <w:rsid w:val="0061003C"/>
    <w:rsid w:val="00614DE3"/>
    <w:rsid w:val="006166DB"/>
    <w:rsid w:val="006441CF"/>
    <w:rsid w:val="0065492B"/>
    <w:rsid w:val="006911B3"/>
    <w:rsid w:val="006F7E1D"/>
    <w:rsid w:val="00703626"/>
    <w:rsid w:val="00720D02"/>
    <w:rsid w:val="007466F1"/>
    <w:rsid w:val="00755471"/>
    <w:rsid w:val="00755A4A"/>
    <w:rsid w:val="0078318D"/>
    <w:rsid w:val="007D2FD6"/>
    <w:rsid w:val="007F5106"/>
    <w:rsid w:val="008017FB"/>
    <w:rsid w:val="00802508"/>
    <w:rsid w:val="00807DD9"/>
    <w:rsid w:val="00815D92"/>
    <w:rsid w:val="00877D60"/>
    <w:rsid w:val="0089205E"/>
    <w:rsid w:val="0092333A"/>
    <w:rsid w:val="009362F3"/>
    <w:rsid w:val="009555C7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C324ED"/>
    <w:rsid w:val="00C420D9"/>
    <w:rsid w:val="00C76443"/>
    <w:rsid w:val="00C8049B"/>
    <w:rsid w:val="00CE23B0"/>
    <w:rsid w:val="00CF5F25"/>
    <w:rsid w:val="00D14569"/>
    <w:rsid w:val="00D258BF"/>
    <w:rsid w:val="00D93EA9"/>
    <w:rsid w:val="00DC3A1A"/>
    <w:rsid w:val="00DC77EC"/>
    <w:rsid w:val="00DF074B"/>
    <w:rsid w:val="00DF1654"/>
    <w:rsid w:val="00E40B30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D4908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1E117F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ED2B9F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9" ma:contentTypeDescription="Crear nuevo documento." ma:contentTypeScope="" ma:versionID="b95d42c50c11acde3df874087d53a0a7">
  <xsd:schema xmlns:xsd="http://www.w3.org/2001/XMLSchema" xmlns:xs="http://www.w3.org/2001/XMLSchema" xmlns:p="http://schemas.microsoft.com/office/2006/metadata/properties" xmlns:ns3="4be6e129-17bc-4f05-9def-a51dc5f03fa3" targetNamespace="http://schemas.microsoft.com/office/2006/metadata/properties" ma:root="true" ma:fieldsID="2ef3450fd825fe383a669c0055fc1490" ns3:_="">
    <xsd:import namespace="4be6e129-17bc-4f05-9def-a51dc5f03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31DAF-CBAF-4B37-8EB1-702A55C79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schemas.microsoft.com/office/infopath/2007/PartnerControls"/>
    <ds:schemaRef ds:uri="4be6e129-17bc-4f05-9def-a51dc5f03fa3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0F9E3-5F43-4973-BE7B-5D0F62BCD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3397</Characters>
  <Application>Microsoft Office Word</Application>
  <DocSecurity>0</DocSecurity>
  <Lines>113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Carolina Sánchez</cp:lastModifiedBy>
  <cp:revision>3</cp:revision>
  <dcterms:created xsi:type="dcterms:W3CDTF">2023-05-31T23:00:00Z</dcterms:created>
  <dcterms:modified xsi:type="dcterms:W3CDTF">2023-05-31T23:02:00Z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