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677443D4" w:rsidR="006166DB" w:rsidRPr="007D2FD6" w:rsidRDefault="0028449C" w:rsidP="0028449C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16DD2">
              <w:rPr>
                <w:rFonts w:ascii="ITC Avant Garde Std Bk" w:hAnsi="ITC Avant Garde Std Bk" w:cs="Times New Roman"/>
                <w:sz w:val="21"/>
                <w:szCs w:val="21"/>
              </w:rPr>
              <w:t>Acuerdo mediante el cual el Pleno del Instituto Federal de Telecomunicaciones expide la Disposición Técnica IFT-011-2017: Especificaciones técnicas de los equipos terminales móviles que puedan hacer uso del espectro radioeléctrico o ser conectados a redes de telecomunicaciones. Parte 2. Equipos terminales móviles que operan en las bandas de 700 MHz, 800 MHz, 850 MHz, 1900 MHz, 1700 MHz/2100 MHz y/o 2500 MHz.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282A0451" w:rsidR="006166DB" w:rsidRPr="007D2FD6" w:rsidRDefault="006166DB" w:rsidP="0028449C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7-11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8449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16/11/2017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07982537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069811915"/>
                <w:placeholder>
                  <w:docPart w:val="4794A6E3A3A146018CCFB2754089FB80"/>
                </w:placeholder>
                <w15:color w:val="99CC00"/>
                <w:date w:fullDate="2018-01-0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8449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03/01/2018</w:t>
                </w:r>
              </w:sdtContent>
            </w:sdt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60DDB914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5143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1787AFAB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8-04-0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5143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03/04/2018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430B56ED" w:rsidR="00DF074B" w:rsidRPr="007D2FD6" w:rsidRDefault="00DF074B" w:rsidP="0085143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5143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3B4DD17C" w:rsidR="006166DB" w:rsidRPr="007D2FD6" w:rsidRDefault="00851439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101CD3A9" w14:textId="77777777" w:rsidR="006166DB" w:rsidRDefault="0085143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  <w:p w14:paraId="2BA53FFB" w14:textId="77777777" w:rsidR="00851439" w:rsidRDefault="00851439" w:rsidP="00851439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Procuraduría Federal del Consumidor</w:t>
            </w:r>
          </w:p>
          <w:p w14:paraId="043F6ABC" w14:textId="51AF7A86" w:rsidR="009F3345" w:rsidRPr="007D2FD6" w:rsidRDefault="009F3345" w:rsidP="00851439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9F334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Secretaría de Economía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4BE6AFDE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5143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04FAD44D" w14:textId="77777777" w:rsidR="006166DB" w:rsidRDefault="0085143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30/07/2018</w:t>
            </w:r>
          </w:p>
          <w:p w14:paraId="1917902A" w14:textId="62DB8679" w:rsidR="00851439" w:rsidRPr="007D2FD6" w:rsidRDefault="0085143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12/02/2021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393AE5CF" w:rsidR="006166DB" w:rsidRPr="007D2FD6" w:rsidRDefault="009F3345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5143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2DFDAC95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F63A6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0B498DC7" w14:textId="34EB9794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1.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OBJETIVO.</w:t>
            </w:r>
          </w:p>
          <w:p w14:paraId="1FD0C511" w14:textId="386D712B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2.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CAMPO DE APLICACIÓN.</w:t>
            </w:r>
          </w:p>
          <w:p w14:paraId="2724D260" w14:textId="3F81F844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3.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DEFINICIONES Y ABREVIATURAS.</w:t>
            </w:r>
          </w:p>
          <w:p w14:paraId="4AA7855D" w14:textId="1DA59F5D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3.1.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Definiciones.</w:t>
            </w:r>
          </w:p>
          <w:p w14:paraId="17B42E7C" w14:textId="3A6A5E04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3.2.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="002E5E7D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Abreviaturas.</w:t>
            </w:r>
          </w:p>
          <w:p w14:paraId="7667FB86" w14:textId="4782B26E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ESPECIFICACIONES TÉCNICAS.</w:t>
            </w:r>
          </w:p>
          <w:p w14:paraId="0E293187" w14:textId="75DF7971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4.1.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Bandas de frecuencias de operación.</w:t>
            </w:r>
          </w:p>
          <w:p w14:paraId="5D5DC69B" w14:textId="588B4B11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4.1.1.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No bloqueo de bandas de frecuencias de operación.</w:t>
            </w:r>
          </w:p>
          <w:p w14:paraId="71991BD8" w14:textId="7DAC5D7C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4.1.2.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Soporte de la banda 28 (700 MHz) APT.</w:t>
            </w:r>
          </w:p>
          <w:p w14:paraId="19CE311F" w14:textId="0B2FC8FD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4.1.3.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Llamadas de voz mediante VoLTE.</w:t>
            </w:r>
          </w:p>
          <w:p w14:paraId="163F2B49" w14:textId="4D08F53E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4.2.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Tolerancia de frecuencia de operación.</w:t>
            </w:r>
          </w:p>
          <w:p w14:paraId="106C4BC4" w14:textId="664E7B48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4.3.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Potencia Isótropa Radiada Equivalente.</w:t>
            </w:r>
          </w:p>
          <w:p w14:paraId="25A3532E" w14:textId="7F998499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lastRenderedPageBreak/>
              <w:t xml:space="preserve">4.4.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Emisiones no deseadas.</w:t>
            </w:r>
          </w:p>
          <w:p w14:paraId="05BACF4D" w14:textId="77777777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4.4.1.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ab/>
              <w:t>Emisiones fuera de banda.</w:t>
            </w:r>
          </w:p>
          <w:p w14:paraId="6AAF6A4D" w14:textId="77777777" w:rsidR="00851439" w:rsidRPr="00851439" w:rsidRDefault="00851439" w:rsidP="00851439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4.4.1.1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ab/>
              <w:t>Emisiones fuera de banda en las bandas de frecuencias de operación en 800 MHz, 850 MHz, 1900 MHz y/o 1700 MHz/2100 MHz.</w:t>
            </w:r>
          </w:p>
          <w:p w14:paraId="668E080D" w14:textId="042533BA" w:rsidR="00851439" w:rsidRPr="00851439" w:rsidRDefault="00851439" w:rsidP="00851439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4.4.1.2.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Emisiones fuera de banda en las bandas de frecuencia de operación de  700 MHz y 2500 MHz.</w:t>
            </w:r>
          </w:p>
          <w:p w14:paraId="71D7D321" w14:textId="77777777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4.4.2.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ab/>
              <w:t>Emisiones no esenciales.</w:t>
            </w:r>
          </w:p>
          <w:p w14:paraId="7FCB9537" w14:textId="1546ADBD" w:rsidR="00851439" w:rsidRPr="00851439" w:rsidRDefault="00851439" w:rsidP="00851439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4.4.2.1.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Emisiones no esenciales en las bandas 800 MHz, 850 MHz, 1900 MHz y/o 1700 MHz/2100 MHz.</w:t>
            </w:r>
          </w:p>
          <w:p w14:paraId="4028657A" w14:textId="641A9080" w:rsidR="00851439" w:rsidRPr="00851439" w:rsidRDefault="00851439" w:rsidP="00851439">
            <w:pPr>
              <w:ind w:left="2127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4.4.2.2.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Emisiones no esenciales en las bandas de frecuencia de operación de  700 MHz y 2500 MHz.</w:t>
            </w:r>
          </w:p>
          <w:p w14:paraId="68C9D4F5" w14:textId="5CBE8BC6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4.5.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Ancho de banda ocupado.</w:t>
            </w:r>
          </w:p>
          <w:p w14:paraId="21FB9A77" w14:textId="4D3EED34" w:rsid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4.6.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Manual del Equipo Terminal Móvil.</w:t>
            </w:r>
          </w:p>
          <w:p w14:paraId="021EAF46" w14:textId="77777777" w:rsidR="002E5E7D" w:rsidRPr="00851439" w:rsidRDefault="002E5E7D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</w:p>
          <w:p w14:paraId="4C618A71" w14:textId="5508CA1F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MÉTODOS DE PRUEBA.</w:t>
            </w:r>
          </w:p>
          <w:p w14:paraId="5508E844" w14:textId="4479BECD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5.1.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="002E5E7D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Instrumentos de medición/Equipo de apoyo.</w:t>
            </w:r>
          </w:p>
          <w:p w14:paraId="51C36307" w14:textId="5AD66B51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5.2.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Configuración para la aplicación de los métodos de prueba.</w:t>
            </w:r>
          </w:p>
          <w:p w14:paraId="4FBAD3B7" w14:textId="1E4E2027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5.2.1.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="002E5E7D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Configuración para medición de emisiones conducidas.</w:t>
            </w:r>
          </w:p>
          <w:p w14:paraId="4D58FAF5" w14:textId="0B781F3C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5.2.2.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Configuración para medición de emisiones radiadas.</w:t>
            </w:r>
          </w:p>
          <w:p w14:paraId="69A05CEC" w14:textId="7E858FAA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5.3.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Bandas de frecuencias de operación.</w:t>
            </w:r>
          </w:p>
          <w:p w14:paraId="4819B45B" w14:textId="4E02889A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5.3.1.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="002E5E7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bloqueo de las bandas de frecuencias de operación.</w:t>
            </w:r>
          </w:p>
          <w:p w14:paraId="1D28F31C" w14:textId="60D98810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5.3.2.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Soporte de la banda 28 (700 MHz) APT.</w:t>
            </w:r>
          </w:p>
          <w:p w14:paraId="470329CD" w14:textId="77777777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>5.3.3.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Llamadas de voz mediante VoLTE.</w:t>
            </w:r>
          </w:p>
          <w:p w14:paraId="5F6772E4" w14:textId="5287BD72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5.4. 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Tolerancia de frecuencia.</w:t>
            </w:r>
          </w:p>
          <w:p w14:paraId="1EAF715E" w14:textId="6F80C545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5.5.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="002E5E7D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Potencia Isótropa Radiada Equivalente.</w:t>
            </w:r>
          </w:p>
          <w:p w14:paraId="4B9CE323" w14:textId="4B5B04CF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5.5.1.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Potencia de salida.</w:t>
            </w:r>
          </w:p>
          <w:p w14:paraId="5CC29433" w14:textId="1C622CCE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5.5.2.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Ancho de banda (relativa al método 5.5.1).</w:t>
            </w:r>
          </w:p>
          <w:p w14:paraId="2FBC443E" w14:textId="77777777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5.5.3.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Potencia de salida (empleando simulador digital).</w:t>
            </w:r>
          </w:p>
          <w:p w14:paraId="6492BE96" w14:textId="78EFA2BC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5.6.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Potencia de las emisiones no deseadas.</w:t>
            </w:r>
          </w:p>
          <w:p w14:paraId="6CA665F1" w14:textId="77777777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5.6.1.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Potencia de las emisiones fuera de banda y no esenciales para las bandas de frecuencia de operación de 800 MHz, 850 MHz, 1900 MHz y 1700 MHz/2100 MHz.</w:t>
            </w:r>
          </w:p>
          <w:p w14:paraId="46A1CC81" w14:textId="77777777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5.6.2.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Potencia de las emisiones fuera de banda para las bandas de frecuencia de operación de 700 MHz y 2500 MHz.</w:t>
            </w:r>
          </w:p>
          <w:p w14:paraId="482F57BD" w14:textId="7B85A891" w:rsidR="00851439" w:rsidRPr="00851439" w:rsidRDefault="00851439" w:rsidP="00851439">
            <w:pPr>
              <w:ind w:left="1418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5.6.3.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Potencia de las emisiones no esenciales para la banda de 700 MHz y 2500 MHz.</w:t>
            </w:r>
          </w:p>
          <w:p w14:paraId="5B45D68F" w14:textId="5BAB8561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5.7.</w:t>
            </w:r>
            <w:r w:rsidR="002E5E7D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Ancho de Banda Ocupado.</w:t>
            </w:r>
          </w:p>
          <w:p w14:paraId="2145112E" w14:textId="5E28BF2A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5.8.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Manual del Equipo Terminal Móvil.</w:t>
            </w:r>
          </w:p>
          <w:p w14:paraId="71B0D465" w14:textId="77777777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6.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ab/>
              <w:t>CONCORDANCIA CON NORMAS INTERNACIONALES.</w:t>
            </w:r>
          </w:p>
          <w:p w14:paraId="27D119DC" w14:textId="77777777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7.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ab/>
              <w:t>BIBLIOGRAFÍA.</w:t>
            </w:r>
          </w:p>
          <w:p w14:paraId="1BD9C772" w14:textId="77777777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8.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ab/>
              <w:t>EVALUACIÓN DE LA CONFORMIDAD.</w:t>
            </w:r>
          </w:p>
          <w:p w14:paraId="0CC50E93" w14:textId="77777777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8.1. 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ab/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Vigilancia del cumplimiento de la certificación.</w:t>
            </w:r>
          </w:p>
          <w:p w14:paraId="7ECCCCAE" w14:textId="77777777" w:rsidR="00851439" w:rsidRPr="00851439" w:rsidRDefault="00851439" w:rsidP="00851439">
            <w:pPr>
              <w:ind w:left="709"/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8.2. 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ab/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Visita de Vigilancia del cumplimiento de la certificación.</w:t>
            </w:r>
          </w:p>
          <w:p w14:paraId="11D520A8" w14:textId="77777777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9.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ab/>
              <w:t>VERIFICACIÓN Y VIGILANCIA DEL CUMPLIMIENTO DE LA DISPOSICIÓN TÉCNICA.</w:t>
            </w:r>
          </w:p>
          <w:p w14:paraId="385280CF" w14:textId="77777777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10.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ab/>
              <w:t>CONTRASEÑA DEL PRODUCTO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>.</w:t>
            </w:r>
          </w:p>
          <w:p w14:paraId="50244C61" w14:textId="77777777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lastRenderedPageBreak/>
              <w:t>TRANSITORIOS.</w:t>
            </w:r>
          </w:p>
          <w:p w14:paraId="1B931482" w14:textId="77777777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ANEXO A.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ab/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Formato de Reporte de Resultados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_tradnl"/>
              </w:rPr>
              <w:t>.</w:t>
            </w:r>
          </w:p>
          <w:p w14:paraId="74868EF3" w14:textId="77777777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ANEXO B.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 xml:space="preserve">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  <w:lang w:val="es-ES"/>
              </w:rPr>
              <w:tab/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>Formato del acta de visita de vigilancia del cumplimiento de la certificación.</w:t>
            </w:r>
          </w:p>
          <w:p w14:paraId="6926E44E" w14:textId="77777777" w:rsidR="00851439" w:rsidRPr="00851439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ANEXO C. 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ab/>
              <w:t>Formato general de trámites del organismo de certificación ante el Instituto Federal de Telecomunicaciones.</w:t>
            </w:r>
          </w:p>
          <w:p w14:paraId="5F275C45" w14:textId="3D1B8140" w:rsidR="006166DB" w:rsidRPr="007D2FD6" w:rsidRDefault="00851439" w:rsidP="0085143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 xml:space="preserve">ANEXO D. </w:t>
            </w:r>
            <w:r w:rsidRPr="00851439">
              <w:rPr>
                <w:rFonts w:ascii="ITC Avant Garde" w:hAnsi="ITC Avant Garde"/>
                <w:b/>
                <w:color w:val="000000" w:themeColor="text1"/>
                <w:sz w:val="21"/>
                <w:szCs w:val="21"/>
                <w:lang w:val="es-ES_tradnl"/>
              </w:rPr>
              <w:tab/>
              <w:t>Clase de potencia.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77D2A386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F63A6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3711BA00" w:rsidR="00F73022" w:rsidRPr="007D2FD6" w:rsidRDefault="00851439" w:rsidP="0085143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stablece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las especificaciones técnicas de los Equipos Terminales Móviles que puedan hacer uso del espectro radioeléctrico en las bandas de frecuencias de 700 MHz, 800 MHz, 850MHz, 1900 MHz, 1700 MHz/2100 MHz y/o 2500 MHz o ser conectados a redes de telecomunicaciones; así como los métodos de prueba para comprobar el cumplimiento de dichas especificaciones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2BCB4E30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  <w:r w:rsidR="00935FBD">
        <w:rPr>
          <w:rFonts w:ascii="ITC Avant Garde" w:hAnsi="ITC Avant Garde"/>
          <w:b/>
          <w:color w:val="000000" w:themeColor="text1"/>
          <w:sz w:val="21"/>
          <w:szCs w:val="21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3FB26234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r w:rsidR="00851439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851439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0F10281E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851439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3A9B0B00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Concesionarios, permisionarios y autorizados.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7C49E497" w14:textId="77777777" w:rsidR="009F3345" w:rsidRDefault="009F3345" w:rsidP="0028449C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9F3345">
              <w:rPr>
                <w:rFonts w:ascii="ITC Avant Garde" w:hAnsi="ITC Avant Garde"/>
                <w:sz w:val="21"/>
                <w:szCs w:val="21"/>
              </w:rPr>
              <w:t>ACUERDO mediante el cual el Pleno del Instituto Federal de Telecomunicaciones modifica la Disposición Técnica IFT-011-2017: Especificaciones de los Equipos Terminales Móviles que puedan hacer uso del espectro radioeléctrico o ser conectados a redes de telecomunicaciones. Parte 1. Código de Identidad de Fabricación del Equipo (IMEI) y funcionalidad de receptor de radiodifusión sonora en frecuencia modulada (FM).</w:t>
            </w:r>
          </w:p>
          <w:p w14:paraId="368A4126" w14:textId="77777777" w:rsidR="009F3345" w:rsidRPr="009F3345" w:rsidRDefault="009F3345" w:rsidP="009F3345">
            <w:pPr>
              <w:pStyle w:val="Prrafodelista"/>
              <w:numPr>
                <w:ilvl w:val="0"/>
                <w:numId w:val="11"/>
              </w:numPr>
              <w:mirrorIndents/>
              <w:rPr>
                <w:rFonts w:ascii="ITC Avant Garde" w:hAnsi="ITC Avant Garde"/>
                <w:bCs/>
                <w:sz w:val="21"/>
                <w:szCs w:val="21"/>
              </w:rPr>
            </w:pPr>
            <w:r w:rsidRPr="009F3345">
              <w:rPr>
                <w:rFonts w:ascii="ITC Avant Garde" w:hAnsi="ITC Avant Garde"/>
                <w:bCs/>
                <w:sz w:val="21"/>
                <w:szCs w:val="21"/>
              </w:rPr>
              <w:t>ACUERDO mediante el cual el Pleno del Instituto Federal de Telecomunicaciones expide la Disposición Técnica IFT-011-2022: Especificaciones Técnicas de los Equipos Terminales Móviles que puedan hacer uso del espectro radioeléctrico o ser conectados a redes de telecomunicaciones. Parte 3. Servicio de Radiodifusión Celular para la notificación por Riesgo o situaciones de Emergencia.</w:t>
            </w:r>
          </w:p>
          <w:p w14:paraId="5D4A60FE" w14:textId="4443E8E1" w:rsidR="009F3345" w:rsidRPr="0028449C" w:rsidRDefault="009F3345" w:rsidP="009F3345">
            <w:pPr>
              <w:pStyle w:val="Prrafodelista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74DDEEDD" w:rsidR="00FF167F" w:rsidRPr="007B4D5C" w:rsidRDefault="007B4D5C" w:rsidP="007B4D5C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37E6B748" w14:textId="077726CC" w:rsidR="006166DB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11821FA" w14:textId="4C20524D" w:rsidR="00735A3E" w:rsidRPr="00735A3E" w:rsidRDefault="00735A3E" w:rsidP="00735A3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tbl>
      <w:tblPr>
        <w:tblStyle w:val="Tablaconcuadrcula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63A6" w:rsidRPr="007D2FD6" w14:paraId="3EEF54E7" w14:textId="77777777" w:rsidTr="003F63A6">
        <w:tc>
          <w:tcPr>
            <w:tcW w:w="8828" w:type="dxa"/>
          </w:tcPr>
          <w:p w14:paraId="57695B99" w14:textId="072E0665" w:rsidR="003F63A6" w:rsidRPr="00D46FC5" w:rsidRDefault="003F63A6" w:rsidP="003F63A6">
            <w:pPr>
              <w:pStyle w:val="Prrafodelista"/>
              <w:numPr>
                <w:ilvl w:val="0"/>
                <w:numId w:val="12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46FC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</w:t>
            </w:r>
            <w:r w:rsidR="009F334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  <w:p w14:paraId="7FEBE40E" w14:textId="77777777" w:rsidR="003F63A6" w:rsidRPr="00D46FC5" w:rsidRDefault="003F63A6" w:rsidP="003F63A6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1798E75F" w14:textId="5E06C675" w:rsidR="003F63A6" w:rsidRDefault="003F63A6" w:rsidP="003F63A6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9. Verificación y Vigilancia del Cumplimiento de la Disposición Técnica.</w:t>
            </w:r>
          </w:p>
          <w:p w14:paraId="44F87103" w14:textId="77777777" w:rsidR="00D85E85" w:rsidRPr="00851439" w:rsidRDefault="00D85E85" w:rsidP="009F3345">
            <w:pPr>
              <w:pStyle w:val="Prrafodelista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5FF0EBC5" w14:textId="77777777" w:rsidR="003F63A6" w:rsidRPr="00851439" w:rsidRDefault="003F63A6" w:rsidP="003F63A6">
            <w:pPr>
              <w:pStyle w:val="Prrafodelista"/>
              <w:ind w:left="1307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  <w:t>Corresponde al Instituto en el ámbito de su competencia, la verificación y vigilancia del cumplimiento de la presente Disposición Técnica, de conformidad con las disposiciones jurídicas aplicables.</w:t>
            </w:r>
          </w:p>
          <w:p w14:paraId="3891D09D" w14:textId="33E5FC33" w:rsidR="003F63A6" w:rsidRPr="00851439" w:rsidRDefault="00C87EEE" w:rsidP="003F63A6">
            <w:pPr>
              <w:pStyle w:val="Prrafodelista"/>
              <w:ind w:left="1307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    </w:t>
            </w:r>
            <w:r w:rsidR="003F63A6"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Para efectos de lo anterior, y con el objeto de determinar que los ETM, cumplen con las especificaciones establecidos en la presente Disposición Técnica, se deben utilizar los métodos de prueba descritos en el numeral 5.</w:t>
            </w:r>
          </w:p>
          <w:p w14:paraId="4CFCEE07" w14:textId="77777777" w:rsidR="003F63A6" w:rsidRPr="00851439" w:rsidRDefault="003F63A6" w:rsidP="003F63A6">
            <w:pPr>
              <w:pStyle w:val="Prrafodelista"/>
              <w:ind w:left="1307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II.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  <w:t xml:space="preserve">Para los efectos de las fracciones anteriores, en su caso, el Instituto en colaboración con la Secretaría de Economía a través de la Procuraduría </w:t>
            </w:r>
            <w:r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Federal del Consumidor, en el ámbito de sus respectivas atribuciones, podrán determinar las ciudades, las muestras y los sitios donde se llevarán a cabo las visitas de verificación y vigilancia del cumplimiento.</w:t>
            </w:r>
          </w:p>
          <w:p w14:paraId="1E4457F7" w14:textId="1B7A8B27" w:rsidR="003F63A6" w:rsidRPr="0028449C" w:rsidRDefault="00C87EEE" w:rsidP="003F63A6">
            <w:pPr>
              <w:pStyle w:val="Prrafodelista"/>
              <w:ind w:left="1307" w:hanging="284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   </w:t>
            </w:r>
            <w:r w:rsidR="003F63A6" w:rsidRPr="0085143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En cualquier caso de incumplimiento de la presente Disposición Técnica, se aplicarán las sanciones que correspondan de conformidad con la Ley Federal de Telecomunicaciones y Radiodifusión y demás disposiciones jurídicas que correspondan.</w:t>
            </w:r>
          </w:p>
        </w:tc>
      </w:tr>
    </w:tbl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  <w:bookmarkStart w:id="0" w:name="_GoBack"/>
      <w:bookmarkEnd w:id="0"/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B50A" w16cex:dateUtc="2022-10-29T01:07:00Z"/>
  <w16cex:commentExtensible w16cex:durableId="27067971" w16cex:dateUtc="2022-10-28T20:53:00Z"/>
  <w16cex:commentExtensible w16cex:durableId="2706B320" w16cex:dateUtc="2022-10-29T00:59:00Z"/>
  <w16cex:commentExtensible w16cex:durableId="2706B4AA" w16cex:dateUtc="2022-10-29T0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4B41EB" w:rsidRDefault="004B41EB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4B41EB" w:rsidRDefault="004B41EB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4B41EB" w:rsidRDefault="004B41EB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4B41EB" w:rsidRDefault="004B41EB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3B7044C8" w:rsidR="004B41EB" w:rsidRDefault="004B41EB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430F"/>
    <w:multiLevelType w:val="hybridMultilevel"/>
    <w:tmpl w:val="926A8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C4309CA"/>
    <w:multiLevelType w:val="hybridMultilevel"/>
    <w:tmpl w:val="8F540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F5219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6494F"/>
    <w:rsid w:val="0028449C"/>
    <w:rsid w:val="002B0B24"/>
    <w:rsid w:val="002E37B6"/>
    <w:rsid w:val="002E5E7D"/>
    <w:rsid w:val="002F0812"/>
    <w:rsid w:val="00303BD5"/>
    <w:rsid w:val="00332FE9"/>
    <w:rsid w:val="00366E21"/>
    <w:rsid w:val="00384692"/>
    <w:rsid w:val="003A162A"/>
    <w:rsid w:val="003C5DE7"/>
    <w:rsid w:val="003F1D7B"/>
    <w:rsid w:val="003F63A6"/>
    <w:rsid w:val="003F7275"/>
    <w:rsid w:val="00446F0C"/>
    <w:rsid w:val="004B41EB"/>
    <w:rsid w:val="004B7538"/>
    <w:rsid w:val="004C31A6"/>
    <w:rsid w:val="004C75E5"/>
    <w:rsid w:val="004D6D14"/>
    <w:rsid w:val="004E552A"/>
    <w:rsid w:val="005034EB"/>
    <w:rsid w:val="00546D4E"/>
    <w:rsid w:val="00585BD4"/>
    <w:rsid w:val="005E34D0"/>
    <w:rsid w:val="005F0181"/>
    <w:rsid w:val="0061003C"/>
    <w:rsid w:val="006166DB"/>
    <w:rsid w:val="006441CF"/>
    <w:rsid w:val="00651AB5"/>
    <w:rsid w:val="00653C51"/>
    <w:rsid w:val="0065492B"/>
    <w:rsid w:val="00666744"/>
    <w:rsid w:val="006911B3"/>
    <w:rsid w:val="006D779E"/>
    <w:rsid w:val="006F7E1D"/>
    <w:rsid w:val="00703626"/>
    <w:rsid w:val="00720D02"/>
    <w:rsid w:val="00735A3E"/>
    <w:rsid w:val="007466F1"/>
    <w:rsid w:val="0078318D"/>
    <w:rsid w:val="007B4D5C"/>
    <w:rsid w:val="007D2FD6"/>
    <w:rsid w:val="007D4B66"/>
    <w:rsid w:val="007F5106"/>
    <w:rsid w:val="008017FB"/>
    <w:rsid w:val="00802508"/>
    <w:rsid w:val="00815D92"/>
    <w:rsid w:val="00851439"/>
    <w:rsid w:val="0089205E"/>
    <w:rsid w:val="0092333A"/>
    <w:rsid w:val="00935FBD"/>
    <w:rsid w:val="009701A3"/>
    <w:rsid w:val="00977ED5"/>
    <w:rsid w:val="009918CF"/>
    <w:rsid w:val="009A6722"/>
    <w:rsid w:val="009D567D"/>
    <w:rsid w:val="009F3345"/>
    <w:rsid w:val="00A176BA"/>
    <w:rsid w:val="00A70F6B"/>
    <w:rsid w:val="00A72DE6"/>
    <w:rsid w:val="00A93C7F"/>
    <w:rsid w:val="00AC079F"/>
    <w:rsid w:val="00AD4846"/>
    <w:rsid w:val="00AF71CC"/>
    <w:rsid w:val="00B018E8"/>
    <w:rsid w:val="00B30E6B"/>
    <w:rsid w:val="00B8531B"/>
    <w:rsid w:val="00B95154"/>
    <w:rsid w:val="00BC25D1"/>
    <w:rsid w:val="00BE45D0"/>
    <w:rsid w:val="00C76443"/>
    <w:rsid w:val="00C8049B"/>
    <w:rsid w:val="00C87EEE"/>
    <w:rsid w:val="00CF5F25"/>
    <w:rsid w:val="00D14569"/>
    <w:rsid w:val="00D258BF"/>
    <w:rsid w:val="00D31C9E"/>
    <w:rsid w:val="00D46FC5"/>
    <w:rsid w:val="00D85E85"/>
    <w:rsid w:val="00D93EA9"/>
    <w:rsid w:val="00DB5A1A"/>
    <w:rsid w:val="00DC3A1A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167F"/>
    <w:rsid w:val="00FF4F02"/>
    <w:rsid w:val="5B7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935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4794A6E3A3A146018CCFB2754089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A2C9-0F98-4446-8BBB-DF882DE1E6E3}"/>
      </w:docPartPr>
      <w:docPartBody>
        <w:p w:rsidR="00A176BA" w:rsidRDefault="00A176BA" w:rsidP="00A176BA">
          <w:pPr>
            <w:pStyle w:val="4794A6E3A3A146018CCFB2754089FB80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F73CD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176BA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96D5D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76BA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4794A6E3A3A146018CCFB2754089FB80">
    <w:name w:val="4794A6E3A3A146018CCFB2754089FB80"/>
    <w:rsid w:val="00A17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AFF1F-4449-4CC3-BC3E-EE368394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5677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APV</cp:lastModifiedBy>
  <cp:revision>2</cp:revision>
  <cp:lastPrinted>2022-03-25T18:33:00Z</cp:lastPrinted>
  <dcterms:created xsi:type="dcterms:W3CDTF">2023-02-02T19:12:00Z</dcterms:created>
  <dcterms:modified xsi:type="dcterms:W3CDTF">2023-02-02T19:12:00Z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