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1B2E1BC8" w14:textId="77777777" w:rsidTr="00DF074B">
        <w:tc>
          <w:tcPr>
            <w:tcW w:w="8828" w:type="dxa"/>
          </w:tcPr>
          <w:p w14:paraId="5E631BCB" w14:textId="7438A823" w:rsidR="006166DB" w:rsidRPr="0081786B" w:rsidRDefault="00BA3528" w:rsidP="00BA3528">
            <w:pPr>
              <w:pStyle w:val="Texto"/>
              <w:spacing w:after="0" w:line="219" w:lineRule="exact"/>
              <w:ind w:firstLine="0"/>
              <w:rPr>
                <w:rFonts w:ascii="ITC Avant Garde Std Bk" w:hAnsi="ITC Avant Garde Std Bk"/>
                <w:b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Acuerdo mediante el cual el Pleno del Instituto Federal de Telecomunicaciones expide la Disposición Técnica IFT-013-2016: Especificaciones y requerimientos mínimos para la instalación y operación de estaciones de televisión, equipos auxiliares y equipos complementarios</w:t>
            </w:r>
          </w:p>
        </w:tc>
      </w:tr>
    </w:tbl>
    <w:p w14:paraId="52EC83BF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56872A26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454C3A95" w14:textId="77777777" w:rsidTr="00DF074B">
        <w:tc>
          <w:tcPr>
            <w:tcW w:w="8828" w:type="dxa"/>
          </w:tcPr>
          <w:p w14:paraId="1A68E5FF" w14:textId="45F2A1EE" w:rsidR="006166DB" w:rsidRPr="0081786B" w:rsidRDefault="006166DB" w:rsidP="002434FF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Fecha de expedición: </w:t>
            </w:r>
            <w:sdt>
              <w:sdtPr>
                <w:rPr>
                  <w:rStyle w:val="Estilo4"/>
                  <w:sz w:val="20"/>
                  <w:szCs w:val="20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12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21/12/2016</w:t>
                </w:r>
              </w:sdtContent>
            </w:sdt>
          </w:p>
        </w:tc>
      </w:tr>
      <w:tr w:rsidR="003F1D7B" w:rsidRPr="0081786B" w14:paraId="098151CF" w14:textId="77777777" w:rsidTr="00DF074B">
        <w:tc>
          <w:tcPr>
            <w:tcW w:w="8828" w:type="dxa"/>
          </w:tcPr>
          <w:p w14:paraId="07D4CB20" w14:textId="2B36A7EC" w:rsidR="003F1D7B" w:rsidRPr="0081786B" w:rsidRDefault="003F1D7B" w:rsidP="003F1D7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Fe</w:t>
            </w:r>
            <w:r w:rsidR="00BA3528" w:rsidRPr="0081786B">
              <w:rPr>
                <w:rStyle w:val="Estilo4"/>
                <w:sz w:val="20"/>
                <w:szCs w:val="20"/>
              </w:rPr>
              <w:t>cha de publicación en el DOF: 30/12/2016</w:t>
            </w:r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DF074B" w:rsidRPr="0081786B" w14:paraId="784A8897" w14:textId="77777777" w:rsidTr="00DF074B">
        <w:tc>
          <w:tcPr>
            <w:tcW w:w="8828" w:type="dxa"/>
          </w:tcPr>
          <w:p w14:paraId="335C558B" w14:textId="1FEC41C5" w:rsidR="00DF074B" w:rsidRPr="0081786B" w:rsidRDefault="004C31A6" w:rsidP="003F1D7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Tipo de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 xml:space="preserve">Indefinida </w:t>
                </w:r>
              </w:sdtContent>
            </w:sdt>
          </w:p>
        </w:tc>
      </w:tr>
      <w:tr w:rsidR="006166DB" w:rsidRPr="0081786B" w14:paraId="25C2F9B9" w14:textId="77777777" w:rsidTr="00DF074B">
        <w:tc>
          <w:tcPr>
            <w:tcW w:w="8828" w:type="dxa"/>
          </w:tcPr>
          <w:p w14:paraId="187042E5" w14:textId="16D8A5F9" w:rsidR="006166DB" w:rsidRPr="0081786B" w:rsidRDefault="006166DB" w:rsidP="002434FF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Inicio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1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01/01/2017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DF074B" w:rsidRPr="0081786B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12B367C" w:rsidR="00DF074B" w:rsidRPr="0081786B" w:rsidRDefault="00DF074B" w:rsidP="00DF074B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Término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No aplica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</w:tbl>
    <w:p w14:paraId="7B361F8E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6657EF3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2E594784" w14:textId="77777777" w:rsidTr="00DF074B">
        <w:tc>
          <w:tcPr>
            <w:tcW w:w="8828" w:type="dxa"/>
          </w:tcPr>
          <w:p w14:paraId="6C41AB66" w14:textId="41A0DA6B" w:rsidR="006166DB" w:rsidRPr="0081786B" w:rsidRDefault="00BA3528" w:rsidP="00BA3528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32195651" w14:textId="77777777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11112038" w14:textId="77777777" w:rsidR="006166DB" w:rsidRPr="0081786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FEE5916" w14:textId="77777777" w:rsidTr="00DF074B">
        <w:tc>
          <w:tcPr>
            <w:tcW w:w="8828" w:type="dxa"/>
          </w:tcPr>
          <w:p w14:paraId="043F6ABC" w14:textId="64F44709" w:rsidR="006166DB" w:rsidRPr="0081786B" w:rsidRDefault="00BA3528" w:rsidP="00BA3528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45DC499A" w14:textId="063A5F7C" w:rsidR="006166DB" w:rsidRPr="0081786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5315D7AB" w14:textId="77777777" w:rsidR="00DC3A1A" w:rsidRPr="0081786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81786B" w14:paraId="749D808B" w14:textId="77777777" w:rsidTr="00DF074B">
        <w:tc>
          <w:tcPr>
            <w:tcW w:w="8828" w:type="dxa"/>
          </w:tcPr>
          <w:p w14:paraId="07FF9FAE" w14:textId="67B48466" w:rsidR="00DC3A1A" w:rsidRPr="0081786B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Ámbito de Aplicación</w:t>
            </w:r>
            <w:r w:rsidR="00366E21" w:rsidRPr="0081786B">
              <w:rPr>
                <w:rStyle w:val="Estilo4"/>
                <w:sz w:val="20"/>
                <w:szCs w:val="20"/>
              </w:rPr>
              <w:t xml:space="preserve">: </w:t>
            </w:r>
            <w:sdt>
              <w:sdtPr>
                <w:rPr>
                  <w:rStyle w:val="Estilo4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81786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2F008405" w14:textId="67E4D8D6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6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380262AA" w14:textId="77777777" w:rsidTr="00DF074B">
        <w:tc>
          <w:tcPr>
            <w:tcW w:w="8828" w:type="dxa"/>
          </w:tcPr>
          <w:p w14:paraId="0DC4316B" w14:textId="77777777" w:rsidR="00161EA6" w:rsidRDefault="00161EA6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20/09/2019</w:t>
            </w:r>
          </w:p>
          <w:p w14:paraId="57688DBF" w14:textId="4C0598D0" w:rsidR="006166DB" w:rsidRDefault="00BA3528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07/07/2020</w:t>
            </w:r>
          </w:p>
          <w:p w14:paraId="1917902A" w14:textId="3DD230E0" w:rsidR="00161EA6" w:rsidRPr="0081786B" w:rsidRDefault="00161EA6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11/05/2023</w:t>
            </w:r>
          </w:p>
        </w:tc>
      </w:tr>
    </w:tbl>
    <w:p w14:paraId="4E8FF191" w14:textId="77777777" w:rsidR="006166DB" w:rsidRPr="0081786B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03333167" w14:textId="178A32D8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7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0840257" w14:textId="77777777" w:rsidTr="00DF074B">
        <w:tc>
          <w:tcPr>
            <w:tcW w:w="8828" w:type="dxa"/>
          </w:tcPr>
          <w:p w14:paraId="5DFAFB35" w14:textId="480FE72A" w:rsidR="006166DB" w:rsidRPr="0081786B" w:rsidRDefault="009F7412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BA3528" w:rsidRPr="0081786B">
                  <w:rPr>
                    <w:rStyle w:val="Estilo4"/>
                    <w:sz w:val="20"/>
                    <w:szCs w:val="20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81786B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0"/>
          <w:szCs w:val="20"/>
        </w:rPr>
      </w:pPr>
    </w:p>
    <w:p w14:paraId="22B399FE" w14:textId="584DF834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8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</w:t>
      </w:r>
      <w:r w:rsidR="001439BD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-</w:t>
      </w:r>
      <w:r w:rsidR="006166DB" w:rsidRPr="0081786B">
        <w:rPr>
          <w:rFonts w:ascii="ITC Avant Garde Std Bk" w:hAnsi="ITC Avant Garde Std Bk"/>
          <w:sz w:val="20"/>
          <w:szCs w:val="20"/>
        </w:rPr>
        <w:t xml:space="preserve"> 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040BA959" w14:textId="77777777" w:rsidTr="00F73022">
        <w:trPr>
          <w:trHeight w:val="65"/>
        </w:trPr>
        <w:tc>
          <w:tcPr>
            <w:tcW w:w="8828" w:type="dxa"/>
          </w:tcPr>
          <w:p w14:paraId="5D64A466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2666CB99" w14:textId="7903D53D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SECCIÓN UNO. GENERALIDADES.</w:t>
            </w:r>
          </w:p>
          <w:p w14:paraId="23186C7D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509D63A7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1. INTRODUCCIÓN.</w:t>
            </w:r>
          </w:p>
          <w:p w14:paraId="4104EAEA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2. TÍTULO.</w:t>
            </w:r>
          </w:p>
          <w:p w14:paraId="74B4E66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3. OBJETO Y CAMPO DE APLICACIÓN.</w:t>
            </w:r>
          </w:p>
          <w:p w14:paraId="4C9F78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5AF7DDA0" w14:textId="7B06BD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SECCIÓN DOS. ESPECIFICACIONES TÉCNICAS.</w:t>
            </w:r>
          </w:p>
          <w:p w14:paraId="21DC5C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1FE25A7" w14:textId="1CCDE524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4. ABREVIATURAS.</w:t>
            </w:r>
          </w:p>
          <w:p w14:paraId="3DF77267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5. DEFINICIONES.</w:t>
            </w:r>
          </w:p>
          <w:p w14:paraId="58ECA14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6. BANDAS DE RADIODIFUSIÓN Y NORMAS DE EMISIÓN.</w:t>
            </w:r>
          </w:p>
          <w:p w14:paraId="08F3DBB1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6.1 BANDAS DE RADIODIFUSIÓN</w:t>
            </w:r>
          </w:p>
          <w:p w14:paraId="0E3FBFF0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 NORMAS DE EMISIÓN.</w:t>
            </w:r>
          </w:p>
          <w:p w14:paraId="3EB31B3A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6.2.1 TIPO DE EMISIÓN.</w:t>
            </w:r>
          </w:p>
          <w:p w14:paraId="78284D05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6.2.2 ANCHO DE BANDA NECESARIA.</w:t>
            </w:r>
          </w:p>
          <w:p w14:paraId="3D1FA790" w14:textId="77777777" w:rsidR="00BA3528" w:rsidRPr="0081786B" w:rsidRDefault="00BA3528" w:rsidP="003F48F2">
            <w:pPr>
              <w:pStyle w:val="Texto"/>
              <w:spacing w:after="0"/>
              <w:ind w:left="28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6.2.3 TIPO DE MODULACIÓN.</w:t>
            </w:r>
          </w:p>
          <w:p w14:paraId="026C04C6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7. ESTACIONES DE TELEVISIÓN Y EQUIPOS COMPLEMENTARIOS.</w:t>
            </w:r>
          </w:p>
          <w:p w14:paraId="04FFE205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7.1 ESTACIONES DE TELEVISIÓN.</w:t>
            </w:r>
          </w:p>
          <w:p w14:paraId="678E953C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7.2 EQUIPOS COMPLEMENTARIOS</w:t>
            </w:r>
          </w:p>
          <w:p w14:paraId="64001133" w14:textId="77777777" w:rsidR="00BA3528" w:rsidRPr="0081786B" w:rsidRDefault="00BA3528" w:rsidP="003F48F2">
            <w:pPr>
              <w:pStyle w:val="Texto"/>
              <w:spacing w:after="0"/>
              <w:ind w:left="110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lastRenderedPageBreak/>
              <w:t>7.3 CLASIFICACIÓN DE LAS ESTACIONES DE TELEVISIÓN Y EQUIPOS COMPLEMENTARIOS</w:t>
            </w:r>
          </w:p>
          <w:p w14:paraId="71A0D074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7.3.1 BAJA POTENCIA.</w:t>
            </w:r>
          </w:p>
          <w:p w14:paraId="4169E6CE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7.3.2 ALTA POTENCIA.</w:t>
            </w:r>
          </w:p>
          <w:p w14:paraId="16C83FA2" w14:textId="77777777" w:rsidR="00BA3528" w:rsidRPr="0081786B" w:rsidRDefault="00BA3528" w:rsidP="003F48F2">
            <w:pPr>
              <w:pStyle w:val="Texto"/>
              <w:spacing w:after="0"/>
              <w:ind w:firstLine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 VERIFICACIÓN DE LA POTENCIA DE OPERACIÓN DEL TRANSMISOR.</w:t>
            </w:r>
          </w:p>
          <w:p w14:paraId="1B3DF8AE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7.4.1 MÉTODO DIRECTO.</w:t>
            </w:r>
          </w:p>
          <w:p w14:paraId="3379E1FC" w14:textId="77777777" w:rsidR="00BA3528" w:rsidRPr="0081786B" w:rsidRDefault="00BA3528" w:rsidP="003F48F2">
            <w:pPr>
              <w:pStyle w:val="Texto"/>
              <w:spacing w:after="0"/>
              <w:ind w:left="26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7.4.2 MÉTODO INDIRECTO.</w:t>
            </w:r>
          </w:p>
          <w:p w14:paraId="65DF51EB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7.5 REQUISITOS PARA SOLICITUDES DE NUEVAS AUTORIZACIONES O MODIFICACIONES.</w:t>
            </w:r>
          </w:p>
          <w:p w14:paraId="43568840" w14:textId="14B449C6" w:rsidR="00BA3528" w:rsidRPr="0081786B" w:rsidRDefault="003F48F2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 xml:space="preserve"> </w:t>
            </w:r>
            <w:r w:rsidRPr="0081786B">
              <w:rPr>
                <w:rStyle w:val="Estilo4"/>
                <w:rFonts w:eastAsiaTheme="minorHAnsi"/>
                <w:sz w:val="20"/>
              </w:rPr>
              <w:t xml:space="preserve">   </w:t>
            </w:r>
            <w:r w:rsidR="00BA3528"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7.5.1 PARÁMETROS DE OPERACIÓN.</w:t>
            </w:r>
          </w:p>
          <w:p w14:paraId="15E4FD44" w14:textId="77777777" w:rsidR="003F48F2" w:rsidRPr="0081786B" w:rsidRDefault="003F48F2" w:rsidP="00BA3528">
            <w:pPr>
              <w:pStyle w:val="Texto"/>
              <w:spacing w:after="0"/>
              <w:ind w:left="22" w:hanging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69B5DDF5" w14:textId="637EE35B" w:rsidR="00BA3528" w:rsidRPr="0081786B" w:rsidRDefault="00BA3528" w:rsidP="00BA3528">
            <w:pPr>
              <w:pStyle w:val="Texto"/>
              <w:spacing w:after="0"/>
              <w:ind w:left="22" w:hanging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8. ESPECIFICACIONES TÉCNICAS DE LOS EQUIPOS TRANSMISORES DE ESTACIONES DE TELEVISIÓN, EQUIPOS AUXILIARES Y EQUIPOS COMPLEMENTARIOS.</w:t>
            </w:r>
          </w:p>
          <w:p w14:paraId="0110F0A0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8.1 RADIACIONES NO ESENCIALES.</w:t>
            </w:r>
          </w:p>
          <w:p w14:paraId="01EBDDD4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8.2 TOLERANCIA EN POTENCIA.</w:t>
            </w:r>
          </w:p>
          <w:p w14:paraId="50A9CE3B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8.3 CARACTERÍSTICAS DE AMPLITUD CONTRA FRECUENCIA DE LOS EQUIPOS TRANSMISORES.</w:t>
            </w:r>
          </w:p>
          <w:p w14:paraId="1D5985F6" w14:textId="77777777" w:rsidR="00BA3528" w:rsidRPr="0081786B" w:rsidRDefault="00BA3528" w:rsidP="003F48F2">
            <w:pPr>
              <w:pStyle w:val="Texto"/>
              <w:spacing w:after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8.3.1 CARACTERÍSTICAS DEL CANAL.</w:t>
            </w:r>
          </w:p>
          <w:p w14:paraId="0E74F567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8.4 NIVELES DE AUDIO DEL CANAL DE TRANSMISIÓN.</w:t>
            </w:r>
          </w:p>
          <w:p w14:paraId="5DA48ECB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37F72B63" w14:textId="0CD4E010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9. SISTEMA RADIANTE (LÍNEAS, ANTENAS Y ESTRUCTURAS PARA EL SOPORTE DE LAS ANTENAS).</w:t>
            </w:r>
          </w:p>
          <w:p w14:paraId="20484CEF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 LÍNEAS Y SISTEMAS DE ACOPLAMIENTO.</w:t>
            </w:r>
          </w:p>
          <w:p w14:paraId="10BC29BE" w14:textId="77777777" w:rsidR="00BA3528" w:rsidRPr="0081786B" w:rsidRDefault="00BA3528" w:rsidP="003F48F2">
            <w:pPr>
              <w:pStyle w:val="Texto"/>
              <w:spacing w:after="0"/>
              <w:ind w:left="19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9.1.1 SISTEMAS DE ACOPLAMIENTO.</w:t>
            </w:r>
          </w:p>
          <w:p w14:paraId="1D9A2B5A" w14:textId="77777777" w:rsidR="00BA3528" w:rsidRPr="0081786B" w:rsidRDefault="00BA3528" w:rsidP="003F48F2">
            <w:pPr>
              <w:pStyle w:val="Texto"/>
              <w:spacing w:after="0"/>
              <w:ind w:left="19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9.1.2 LÍNEAS (TIPO Y PÉRDIDAS).</w:t>
            </w:r>
          </w:p>
          <w:p w14:paraId="3E7DE08E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9.2 ANTENAS.</w:t>
            </w:r>
          </w:p>
          <w:p w14:paraId="7E1C7EA6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9.3 CARGA RESISTIVA DE ACOPLAMIENTO PARA PRUEBA.</w:t>
            </w:r>
          </w:p>
          <w:p w14:paraId="2633A90E" w14:textId="77777777" w:rsidR="00BA3528" w:rsidRPr="0081786B" w:rsidRDefault="00BA3528" w:rsidP="003F48F2">
            <w:pPr>
              <w:pStyle w:val="Texto"/>
              <w:spacing w:after="0"/>
              <w:ind w:left="4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 ESTRUCTURAS PARA EL SOPORTE DE LAS ANTENAS.</w:t>
            </w:r>
          </w:p>
          <w:p w14:paraId="26E95694" w14:textId="77777777" w:rsidR="00BA3528" w:rsidRPr="0081786B" w:rsidRDefault="00BA3528" w:rsidP="003F48F2">
            <w:pPr>
              <w:pStyle w:val="Texto"/>
              <w:spacing w:after="0"/>
              <w:ind w:left="17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9.4.1 ESTRUCTURA.</w:t>
            </w:r>
          </w:p>
          <w:p w14:paraId="60AB3318" w14:textId="77777777" w:rsidR="00BA3528" w:rsidRPr="0081786B" w:rsidRDefault="00BA3528" w:rsidP="003F48F2">
            <w:pPr>
              <w:pStyle w:val="Texto"/>
              <w:spacing w:after="0"/>
              <w:ind w:left="17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9.4.2 USO DE UNA ESTRUCTURA PARA LA INSTALACIÓN DE VARIAS ANTENAS TRANSMISORAS</w:t>
            </w:r>
          </w:p>
          <w:p w14:paraId="22D41CED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9.5 UBICACIÓN DEL SISTEMA RADIADOR.</w:t>
            </w:r>
          </w:p>
          <w:p w14:paraId="3E667794" w14:textId="77777777" w:rsidR="00BA3528" w:rsidRPr="0081786B" w:rsidRDefault="00BA3528" w:rsidP="003F48F2">
            <w:pPr>
              <w:pStyle w:val="Texto"/>
              <w:spacing w:after="0"/>
              <w:ind w:left="66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9.6 SISTEMA NACIONAL DE INFORMACIÓN DE INFRAESTRUCTURA</w:t>
            </w:r>
          </w:p>
          <w:p w14:paraId="5AAA2098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C064D8A" w14:textId="0D06D871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10. ÁREAS DE SERVICIO.</w:t>
            </w:r>
          </w:p>
          <w:p w14:paraId="18D9B31A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10.1 CONTORNOS DE INTENSIDAD DE CAMPO Y UMBRAL DE VISIBILIDAD.</w:t>
            </w:r>
          </w:p>
          <w:p w14:paraId="6CF98D03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2B8AB9B" w14:textId="4BB1543D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CAPITULO 11. ÍNDICES Y PARÁMETROS DE CALIDAD DE SERVICIO.</w:t>
            </w:r>
          </w:p>
          <w:p w14:paraId="319C5E3C" w14:textId="77777777" w:rsidR="00BA3528" w:rsidRPr="0081786B" w:rsidRDefault="00BA3528" w:rsidP="003F48F2">
            <w:pPr>
              <w:pStyle w:val="Texto"/>
              <w:spacing w:after="0"/>
              <w:ind w:left="2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 PARÁMETROS DE CALIDAD DE SERVICIO.</w:t>
            </w:r>
          </w:p>
          <w:p w14:paraId="56D7E043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11.1.1 TASA DE TRANSFERENCIA.</w:t>
            </w:r>
          </w:p>
          <w:p w14:paraId="32C35A95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11.1.2 RESOLUCIÓN ESPACIAL Y RELACIÓN DE ASPECTO.</w:t>
            </w:r>
          </w:p>
          <w:p w14:paraId="0B76E3B8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11.1.3 RELACIÓN DE ERROR DE MODULACIÓN (MER).</w:t>
            </w:r>
          </w:p>
          <w:p w14:paraId="6B0AB84C" w14:textId="77777777" w:rsidR="00BA3528" w:rsidRPr="0081786B" w:rsidRDefault="00BA3528" w:rsidP="003F48F2">
            <w:pPr>
              <w:pStyle w:val="Texto"/>
              <w:spacing w:after="0"/>
              <w:ind w:left="154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11.1.4 TASA DE ERRORES BINARIOS (BER)</w:t>
            </w:r>
          </w:p>
          <w:p w14:paraId="154D2D21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 ÍNDICES DE CALIDAD DE SERVICIO.</w:t>
            </w:r>
          </w:p>
          <w:p w14:paraId="4CC905A8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11.2.1 TASA DE TRANSFERENCIA.</w:t>
            </w:r>
          </w:p>
          <w:p w14:paraId="56EAE07C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11.2.2 RESOLUCIÓN ESPACIAL Y RELACIÓN DE ASPECTO.</w:t>
            </w:r>
          </w:p>
          <w:p w14:paraId="0BB2E8D1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11.2.3 RELACIÓN DE ERROR DE MODULACIÓN (MER).</w:t>
            </w:r>
          </w:p>
          <w:p w14:paraId="699A3F63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11.2.4 TASA DE ERRORES BINARIOS (BER).</w:t>
            </w:r>
          </w:p>
          <w:p w14:paraId="5D7EB246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 VERIFICACIÓN DEL CUMPLIMIENTO.</w:t>
            </w:r>
          </w:p>
          <w:p w14:paraId="608A0430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11.3.1 RELACIÓN DE ERROR DE MODULACIÓN (MER).</w:t>
            </w:r>
          </w:p>
          <w:p w14:paraId="29CFA0B2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11.3.2 TASA DE ERRORES BINARIOS (BER).</w:t>
            </w:r>
          </w:p>
          <w:p w14:paraId="1D549ECA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11.3.3 TASA DE TRANSFERENCIA.</w:t>
            </w:r>
          </w:p>
          <w:p w14:paraId="525C61DB" w14:textId="77777777" w:rsidR="00BA3528" w:rsidRPr="0081786B" w:rsidRDefault="00BA3528" w:rsidP="003F48F2">
            <w:pPr>
              <w:pStyle w:val="Texto"/>
              <w:spacing w:after="0"/>
              <w:ind w:left="132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11.3.4 RESOLUCIÓN ESPACIAL Y RELACIÓN DE ASPECTO.</w:t>
            </w:r>
          </w:p>
          <w:p w14:paraId="3D22EA6C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11.4 FALLAS EN EL SERVICIO.</w:t>
            </w:r>
          </w:p>
          <w:p w14:paraId="6B246CE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F87FF3B" w14:textId="3CA398A9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12. MEDIDORES E INSTRUMENTOS DE COMPROBACIÓN.</w:t>
            </w:r>
          </w:p>
          <w:p w14:paraId="1F577E03" w14:textId="3899CB04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13. INFORMACIÓN TÉCNICA, LEGAL, PROGRAMÁTICA Y ECONÓMICA</w:t>
            </w:r>
            <w:r w:rsidR="009F7412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 xml:space="preserve"> </w:t>
            </w:r>
            <w:r w:rsidR="009F7412">
              <w:rPr>
                <w:rStyle w:val="Estilo4"/>
                <w:rFonts w:eastAsiaTheme="minorHAnsi" w:cstheme="minorBidi"/>
              </w:rPr>
              <w:t>(Se deroga)</w:t>
            </w: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.</w:t>
            </w:r>
          </w:p>
          <w:p w14:paraId="7A89EB10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lastRenderedPageBreak/>
              <w:t>CAPÍTULO 14. INTERFERENCIAS.</w:t>
            </w:r>
          </w:p>
          <w:p w14:paraId="180BCAF0" w14:textId="7777777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15. SEGURIDAD.</w:t>
            </w:r>
          </w:p>
          <w:p w14:paraId="17751210" w14:textId="77777777" w:rsidR="00BA3528" w:rsidRPr="0081786B" w:rsidRDefault="00BA3528" w:rsidP="003F48F2">
            <w:pPr>
              <w:pStyle w:val="Texto"/>
              <w:spacing w:after="0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15.1 REQUISITOS DE SEGURIDAD PARA PROTECCIÓN DE LA VIDA HUMANA Y DEL EQUIPO.</w:t>
            </w:r>
          </w:p>
          <w:p w14:paraId="01429E1F" w14:textId="77777777" w:rsidR="00BA3528" w:rsidRPr="0081786B" w:rsidRDefault="00BA3528" w:rsidP="003F48F2">
            <w:pPr>
              <w:pStyle w:val="Texto"/>
              <w:spacing w:after="0" w:line="224" w:lineRule="exact"/>
              <w:ind w:left="288"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15.2 PROTECCIÓN PARA EL EQUIPO.</w:t>
            </w:r>
          </w:p>
          <w:p w14:paraId="77F785D4" w14:textId="77777777" w:rsidR="003F48F2" w:rsidRPr="0081786B" w:rsidRDefault="003F48F2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</w:p>
          <w:p w14:paraId="73B8C87A" w14:textId="6F71B346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16. CONCORDANCIA CON NORMAS INTERNACIONALES.</w:t>
            </w:r>
          </w:p>
          <w:p w14:paraId="12EFD986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17. BIBLIOGRAFÍA.</w:t>
            </w:r>
          </w:p>
          <w:p w14:paraId="1678A999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18. VIGILANCIA.</w:t>
            </w:r>
          </w:p>
          <w:p w14:paraId="2E0F03BD" w14:textId="77777777" w:rsidR="00BA3528" w:rsidRPr="0081786B" w:rsidRDefault="00BA3528" w:rsidP="00BA3528">
            <w:pPr>
              <w:pStyle w:val="Texto"/>
              <w:spacing w:after="0" w:line="224" w:lineRule="exact"/>
              <w:ind w:firstLine="22"/>
              <w:rPr>
                <w:rStyle w:val="Estilo4"/>
                <w:rFonts w:eastAsiaTheme="minorHAnsi" w:cstheme="minorBidi"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CAPÍTULO 19. SANCIONES.</w:t>
            </w:r>
          </w:p>
          <w:p w14:paraId="475EC844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110F2322" w14:textId="6DD60A87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A.</w:t>
            </w:r>
          </w:p>
          <w:p w14:paraId="18A7D4D4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0CC38F0B" w14:textId="1A35AFD9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MÉTODO LONGLEY-RICE PARA LA PREDICCIÓN DE ÁREAS DE SERVICIO DIGITAL.</w:t>
            </w:r>
          </w:p>
          <w:p w14:paraId="028C0905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45535B9B" w14:textId="799C76F2" w:rsidR="00BA3528" w:rsidRPr="0081786B" w:rsidRDefault="00BA3528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B</w:t>
            </w:r>
          </w:p>
          <w:p w14:paraId="0748EB10" w14:textId="77777777" w:rsidR="003F48F2" w:rsidRPr="0081786B" w:rsidRDefault="003F48F2" w:rsidP="00BA3528">
            <w:pPr>
              <w:pStyle w:val="Texto"/>
              <w:spacing w:after="0"/>
              <w:ind w:firstLine="22"/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</w:pPr>
          </w:p>
          <w:p w14:paraId="5F275C45" w14:textId="666A074D" w:rsidR="006166DB" w:rsidRPr="0081786B" w:rsidRDefault="00BA3528" w:rsidP="009F7412">
            <w:pPr>
              <w:pStyle w:val="Texto"/>
              <w:spacing w:after="0"/>
              <w:ind w:firstLine="22"/>
              <w:rPr>
                <w:rFonts w:ascii="ITC Avant Garde Std Bk" w:hAnsi="ITC Avant Garde Std Bk"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>APÉNDICE C</w:t>
            </w:r>
            <w:r w:rsidR="009F7412">
              <w:rPr>
                <w:rStyle w:val="Estilo4"/>
                <w:rFonts w:eastAsiaTheme="minorHAnsi" w:cstheme="minorBidi"/>
                <w:b/>
                <w:sz w:val="20"/>
                <w:lang w:val="es-MX" w:eastAsia="en-US"/>
              </w:rPr>
              <w:t xml:space="preserve"> (Se deroga)</w:t>
            </w:r>
          </w:p>
        </w:tc>
      </w:tr>
    </w:tbl>
    <w:p w14:paraId="4E6C6C7C" w14:textId="77777777" w:rsidR="00F73022" w:rsidRPr="0081786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08AB0E2" w14:textId="4237C280" w:rsidR="00F73022" w:rsidRPr="0081786B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9</w:t>
      </w:r>
      <w:r w:rsidR="00F73022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</w:t>
      </w:r>
      <w:r w:rsidR="001439BD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-</w:t>
      </w:r>
      <w:r w:rsidR="00F73022" w:rsidRPr="0081786B">
        <w:rPr>
          <w:rFonts w:ascii="ITC Avant Garde Std Bk" w:hAnsi="ITC Avant Garde Std Bk"/>
          <w:sz w:val="20"/>
          <w:szCs w:val="20"/>
        </w:rPr>
        <w:t xml:space="preserve"> </w:t>
      </w:r>
      <w:r w:rsidR="00F73022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81786B" w14:paraId="373C675C" w14:textId="77777777" w:rsidTr="00DF074B">
        <w:tc>
          <w:tcPr>
            <w:tcW w:w="8828" w:type="dxa"/>
          </w:tcPr>
          <w:p w14:paraId="53B08DCA" w14:textId="766FE8AA" w:rsidR="00F73022" w:rsidRPr="0081786B" w:rsidRDefault="00FE30FB" w:rsidP="00FE30FB">
            <w:pPr>
              <w:pStyle w:val="Texto"/>
              <w:spacing w:after="0" w:line="220" w:lineRule="exact"/>
              <w:ind w:firstLine="0"/>
              <w:rPr>
                <w:rFonts w:ascii="ITC Avant Garde Std Bk" w:hAnsi="ITC Avant Garde Std Bk"/>
                <w:color w:val="000000"/>
                <w:sz w:val="20"/>
              </w:rPr>
            </w:pPr>
            <w:r w:rsidRPr="0081786B">
              <w:rPr>
                <w:rStyle w:val="Estilo4"/>
                <w:rFonts w:eastAsiaTheme="minorHAnsi" w:cstheme="minorBidi"/>
                <w:sz w:val="20"/>
                <w:lang w:val="es-MX" w:eastAsia="en-US"/>
              </w:rPr>
              <w:t>Establece las especificaciones y requerimientos mínimos de carácter técnico que deben cumplir las Estaciones de Televisión, Equipos Auxiliares y Equipos Complementarios para su instalación y operación en los Canales de Transmisión del 2 al 36, a fin de que proporcionen un servicio eficiente y de calidad, lo cual incluye el establecimiento de Índices de Calidad a que deberán sujetarse los prestadores del Servicio de Televisión Radiodifundida.</w:t>
            </w:r>
          </w:p>
        </w:tc>
      </w:tr>
    </w:tbl>
    <w:p w14:paraId="2355FA42" w14:textId="77777777" w:rsidR="00F73022" w:rsidRPr="0081786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46E748B" w14:textId="170A2651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10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1786B" w14:paraId="36A134C5" w14:textId="77777777" w:rsidTr="00DF074B">
        <w:tc>
          <w:tcPr>
            <w:tcW w:w="8828" w:type="dxa"/>
          </w:tcPr>
          <w:p w14:paraId="0C79C5AD" w14:textId="44A12B55" w:rsidR="006166DB" w:rsidRPr="0081786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>Materia: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FE30FB" w:rsidRPr="0081786B">
                  <w:rPr>
                    <w:rFonts w:ascii="ITC Avant Garde Std Bk" w:hAnsi="ITC Avant Garde Std Bk"/>
                    <w:sz w:val="20"/>
                    <w:szCs w:val="20"/>
                  </w:rPr>
                  <w:t xml:space="preserve">Telecomunicaciones </w:t>
                </w:r>
              </w:sdtContent>
            </w:sdt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  </w:t>
            </w:r>
          </w:p>
        </w:tc>
      </w:tr>
      <w:tr w:rsidR="006166DB" w:rsidRPr="0081786B" w14:paraId="78629502" w14:textId="77777777" w:rsidTr="00DF074B">
        <w:tc>
          <w:tcPr>
            <w:tcW w:w="8828" w:type="dxa"/>
          </w:tcPr>
          <w:p w14:paraId="617248E0" w14:textId="31724301" w:rsidR="006166DB" w:rsidRPr="0081786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FE30FB" w:rsidRPr="0081786B">
                  <w:rPr>
                    <w:rFonts w:ascii="ITC Avant Garde Std Bk" w:hAnsi="ITC Avant Garde Std Bk"/>
                    <w:sz w:val="20"/>
                    <w:szCs w:val="20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6166DB" w:rsidRPr="0081786B" w14:paraId="380D841C" w14:textId="77777777" w:rsidTr="00DF074B">
        <w:tc>
          <w:tcPr>
            <w:tcW w:w="8828" w:type="dxa"/>
          </w:tcPr>
          <w:p w14:paraId="6C9F585B" w14:textId="096FAF34" w:rsidR="00FE30FB" w:rsidRPr="0081786B" w:rsidRDefault="006166DB" w:rsidP="00FE30FB">
            <w:pPr>
              <w:contextualSpacing/>
              <w:mirrorIndents/>
              <w:jc w:val="both"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Regulado: </w:t>
            </w:r>
            <w:r w:rsidR="00FE30FB" w:rsidRPr="0081786B">
              <w:rPr>
                <w:rFonts w:ascii="ITC Avant Garde Std Bk" w:hAnsi="ITC Avant Garde Std Bk"/>
                <w:sz w:val="20"/>
                <w:szCs w:val="20"/>
              </w:rPr>
              <w:t>O</w:t>
            </w:r>
            <w:r w:rsidR="00DB567C" w:rsidRPr="0081786B">
              <w:rPr>
                <w:rFonts w:ascii="ITC Avant Garde Std Bk" w:hAnsi="ITC Avant Garde Std Bk"/>
                <w:sz w:val="20"/>
                <w:szCs w:val="20"/>
              </w:rPr>
              <w:t>peradores</w:t>
            </w:r>
            <w:r w:rsidR="00FE30FB" w:rsidRPr="0081786B">
              <w:rPr>
                <w:rFonts w:ascii="ITC Avant Garde Std Bk" w:hAnsi="ITC Avant Garde Std Bk"/>
                <w:sz w:val="20"/>
                <w:szCs w:val="20"/>
              </w:rPr>
              <w:t xml:space="preserve"> de las Estaciones de Televisión, Equipos Auxiliares y Equipos Complementarios en los Estados Unidos Mexicanos.</w:t>
            </w:r>
          </w:p>
        </w:tc>
      </w:tr>
    </w:tbl>
    <w:p w14:paraId="6F28DB01" w14:textId="5DEA0AD1" w:rsidR="001D0BED" w:rsidRPr="0081786B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9827835" w14:textId="77777777" w:rsidR="00DC3A1A" w:rsidRPr="0081786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81786B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07CB4B65" w:rsidR="00DC3A1A" w:rsidRPr="0081786B" w:rsidRDefault="009F7412" w:rsidP="009F7412">
            <w:pPr>
              <w:contextualSpacing/>
              <w:mirrorIndents/>
              <w:jc w:val="both"/>
              <w:rPr>
                <w:rFonts w:ascii="ITC Avant Garde Std Bk" w:hAnsi="ITC Avant Garde Std Bk"/>
                <w:sz w:val="20"/>
                <w:szCs w:val="20"/>
              </w:rPr>
            </w:pPr>
            <w:r>
              <w:rPr>
                <w:rFonts w:ascii="ITC Avant Garde Std Bk" w:hAnsi="ITC Avant Garde Std Bk"/>
                <w:sz w:val="20"/>
                <w:szCs w:val="20"/>
              </w:rPr>
              <w:t xml:space="preserve">- </w:t>
            </w:r>
            <w:r w:rsidRPr="00210A23">
              <w:rPr>
                <w:rStyle w:val="Estilo4"/>
                <w:sz w:val="20"/>
                <w:szCs w:val="20"/>
              </w:rPr>
              <w:t>Acuerdo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‘Disposición Técnica IFT-013-2016: Especificaciones y requerimientos mínimos para la instalación y operación de estaciones de televisión, equipos auxiliares y equipos complementarios</w:t>
            </w:r>
            <w:r>
              <w:rPr>
                <w:rStyle w:val="Estilo4"/>
                <w:sz w:val="20"/>
                <w:szCs w:val="20"/>
              </w:rPr>
              <w:t>.</w:t>
            </w:r>
          </w:p>
        </w:tc>
      </w:tr>
    </w:tbl>
    <w:p w14:paraId="03FABE9B" w14:textId="45F8751D" w:rsidR="00DC3A1A" w:rsidRPr="0081786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0D66A130" w14:textId="7623840C" w:rsidR="006166DB" w:rsidRPr="0081786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12</w:t>
      </w:r>
      <w:r w:rsidR="006166DB"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81786B" w14:paraId="096E5FBB" w14:textId="77777777" w:rsidTr="7541C9F3">
        <w:tc>
          <w:tcPr>
            <w:tcW w:w="8828" w:type="dxa"/>
          </w:tcPr>
          <w:p w14:paraId="177A9CB8" w14:textId="77777777" w:rsidR="004E56F8" w:rsidRPr="009C1AAC" w:rsidRDefault="004E56F8" w:rsidP="009C1AAC">
            <w:pPr>
              <w:jc w:val="both"/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</w:pPr>
          </w:p>
          <w:p w14:paraId="7E928399" w14:textId="2D9ACED3" w:rsidR="004E56F8" w:rsidRPr="004E56F8" w:rsidRDefault="009F7412" w:rsidP="004E56F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</w:pPr>
            <w:hyperlink r:id="rId11" w:anchor="!/tramite/UC-02-003" w:history="1">
              <w:r w:rsidR="004E56F8" w:rsidRPr="004E56F8">
                <w:rPr>
                  <w:rStyle w:val="Hipervnculo"/>
                  <w:rFonts w:ascii="ITC Avant Garde Std Bk" w:hAnsi="ITC Avant Garde Std Bk" w:cs="Arial"/>
                  <w:b/>
                  <w:sz w:val="20"/>
                  <w:szCs w:val="20"/>
                  <w:bdr w:val="none" w:sz="0" w:space="0" w:color="auto"/>
                </w:rPr>
                <w:t>UC-02-003</w:t>
              </w:r>
            </w:hyperlink>
            <w:r w:rsidR="004E56F8"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  <w:t xml:space="preserve">: </w:t>
            </w:r>
            <w:r w:rsidR="004E56F8" w:rsidRPr="004E56F8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>Presentación del aviso de la</w:t>
            </w:r>
            <w:r w:rsidR="004E56F8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>s</w:t>
            </w:r>
            <w:r w:rsidR="004E56F8" w:rsidRPr="004E56F8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 xml:space="preserve"> manifestaci</w:t>
            </w:r>
            <w:r w:rsidR="004E56F8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>ones de los concesionarios y autorizados sobre el ejercicio de medición de los índices de calidad, de las estaciones de Televisión, Equipos Auxiliares y Complementarios.</w:t>
            </w:r>
          </w:p>
          <w:p w14:paraId="7FE0D887" w14:textId="77777777" w:rsidR="00843E16" w:rsidRPr="00D81627" w:rsidRDefault="00843E16" w:rsidP="00D81627">
            <w:pPr>
              <w:jc w:val="both"/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</w:pPr>
          </w:p>
          <w:p w14:paraId="1E0A3A61" w14:textId="3921E436" w:rsidR="00DE20B0" w:rsidRPr="0081786B" w:rsidRDefault="009F7412" w:rsidP="009C1AA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 Std Bk" w:hAnsi="ITC Avant Garde Std Bk"/>
                <w:color w:val="000000"/>
                <w:sz w:val="20"/>
              </w:rPr>
            </w:pPr>
            <w:hyperlink r:id="rId12" w:anchor="!/tramite/UMCA-01-006" w:history="1">
              <w:r w:rsidR="004C001C" w:rsidRPr="009C1AAC">
                <w:rPr>
                  <w:rStyle w:val="Hipervnculo"/>
                  <w:rFonts w:ascii="ITC Avant Garde Std Bk" w:hAnsi="ITC Avant Garde Std Bk"/>
                  <w:b/>
                  <w:sz w:val="20"/>
                  <w:szCs w:val="20"/>
                </w:rPr>
                <w:t>UMCA-01-006</w:t>
              </w:r>
            </w:hyperlink>
            <w:r w:rsidR="004C001C" w:rsidRPr="009C1AAC">
              <w:rPr>
                <w:rFonts w:ascii="ITC Avant Garde Std Bk" w:hAnsi="ITC Avant Garde Std Bk" w:cs="Arial"/>
                <w:b/>
                <w:color w:val="000000"/>
                <w:sz w:val="20"/>
                <w:szCs w:val="20"/>
              </w:rPr>
              <w:t>:</w:t>
            </w:r>
            <w:r w:rsidR="004C001C" w:rsidRPr="009C1AAC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 xml:space="preserve"> Solicitud de autorización de retransmisión en equipos complementarios de una señal que coincida en al menos el 75% con el contenido programático de la estación de televisión principal al que se asocia</w:t>
            </w:r>
          </w:p>
        </w:tc>
      </w:tr>
    </w:tbl>
    <w:p w14:paraId="3041D6E1" w14:textId="77777777" w:rsidR="00B431F5" w:rsidRPr="0081786B" w:rsidRDefault="00B431F5" w:rsidP="0081786B">
      <w:pPr>
        <w:spacing w:after="0" w:line="240" w:lineRule="auto"/>
        <w:contextualSpacing/>
        <w:mirrorIndents/>
        <w:rPr>
          <w:rFonts w:ascii="ITC Avant Garde Std Bk" w:hAnsi="ITC Avant Garde Std Bk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1F5" w:rsidRPr="0081786B" w14:paraId="1ADD8BC5" w14:textId="77777777" w:rsidTr="00B431F5">
        <w:tc>
          <w:tcPr>
            <w:tcW w:w="8828" w:type="dxa"/>
            <w:tcBorders>
              <w:bottom w:val="single" w:sz="4" w:space="0" w:color="auto"/>
            </w:tcBorders>
          </w:tcPr>
          <w:p w14:paraId="768657A7" w14:textId="6CE44205" w:rsidR="00B431F5" w:rsidRPr="0081786B" w:rsidRDefault="00B431F5" w:rsidP="00B431F5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  <w:lastRenderedPageBreak/>
              <w:t>13.- Inspecciones, verificaciones o visitas domiciliarias relacionadas con la regulación y su fundamento legal:</w:t>
            </w:r>
          </w:p>
        </w:tc>
      </w:tr>
      <w:tr w:rsidR="00B431F5" w:rsidRPr="0081786B" w14:paraId="14D43124" w14:textId="77777777" w:rsidTr="00B431F5">
        <w:trPr>
          <w:trHeight w:val="590"/>
        </w:trPr>
        <w:tc>
          <w:tcPr>
            <w:tcW w:w="8828" w:type="dxa"/>
            <w:tcBorders>
              <w:top w:val="single" w:sz="4" w:space="0" w:color="auto"/>
            </w:tcBorders>
          </w:tcPr>
          <w:p w14:paraId="7B2F078F" w14:textId="77777777" w:rsidR="00B431F5" w:rsidRPr="0015260B" w:rsidRDefault="00B431F5" w:rsidP="0015260B">
            <w:pPr>
              <w:mirrorIndents/>
              <w:rPr>
                <w:rFonts w:ascii="ITC Avant Garde Std Bk" w:hAnsi="ITC Avant Garde Std Bk"/>
                <w:sz w:val="20"/>
                <w:szCs w:val="20"/>
              </w:rPr>
            </w:pPr>
          </w:p>
          <w:p w14:paraId="5EDF808F" w14:textId="3F53D25A" w:rsidR="0015260B" w:rsidRPr="0015260B" w:rsidRDefault="0015260B" w:rsidP="0015260B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15260B">
              <w:rPr>
                <w:rFonts w:ascii="ITC Avant Garde Std Bk" w:hAnsi="ITC Avant Garde Std Bk" w:cs="Arial"/>
                <w:color w:val="000000"/>
                <w:sz w:val="20"/>
                <w:szCs w:val="20"/>
              </w:rPr>
              <w:t>CAPÍTULO 18. VIGILANCIA</w:t>
            </w:r>
          </w:p>
          <w:p w14:paraId="5641ECDD" w14:textId="4933AF79" w:rsidR="00B431F5" w:rsidRPr="0015260B" w:rsidRDefault="00B431F5" w:rsidP="0015260B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15260B">
              <w:rPr>
                <w:rFonts w:ascii="ITC Avant Garde Std Bk" w:hAnsi="ITC Avant Garde Std Bk"/>
                <w:sz w:val="20"/>
                <w:szCs w:val="20"/>
              </w:rPr>
              <w:t>Inspección, verificación y vigilancia: Ley Federal de Telecomunicaciones y Radiodifusión, artículos 291, 292, 293, 294, 295 y 296.</w:t>
            </w:r>
          </w:p>
          <w:p w14:paraId="1B974238" w14:textId="77777777" w:rsidR="00B431F5" w:rsidRPr="0081786B" w:rsidRDefault="00B431F5" w:rsidP="00B431F5">
            <w:pPr>
              <w:contextualSpacing/>
              <w:mirrorIndents/>
              <w:jc w:val="center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</w:tbl>
    <w:p w14:paraId="148E77B2" w14:textId="38929B84" w:rsidR="004B7538" w:rsidRPr="0081786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B64E51A" w14:textId="18B60198" w:rsidR="004B7538" w:rsidRPr="0081786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sectPr w:rsidR="004B7538" w:rsidRPr="0081786B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E55583" w:rsidRDefault="00E55583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55583" w:rsidRDefault="00E5558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E55583" w:rsidRDefault="00E55583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55583" w:rsidRDefault="00E5558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65B4AFAA" w:rsidR="00E55583" w:rsidRDefault="00E5558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9A"/>
    <w:multiLevelType w:val="hybridMultilevel"/>
    <w:tmpl w:val="F6D6F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364"/>
    <w:multiLevelType w:val="hybridMultilevel"/>
    <w:tmpl w:val="DFBCE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4762"/>
    <w:multiLevelType w:val="hybridMultilevel"/>
    <w:tmpl w:val="E7789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DD"/>
    <w:multiLevelType w:val="hybridMultilevel"/>
    <w:tmpl w:val="73308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20518">
    <w:abstractNumId w:val="4"/>
  </w:num>
  <w:num w:numId="2" w16cid:durableId="675687854">
    <w:abstractNumId w:val="3"/>
  </w:num>
  <w:num w:numId="3" w16cid:durableId="652805270">
    <w:abstractNumId w:val="1"/>
  </w:num>
  <w:num w:numId="4" w16cid:durableId="860509614">
    <w:abstractNumId w:val="2"/>
  </w:num>
  <w:num w:numId="5" w16cid:durableId="1643583733">
    <w:abstractNumId w:val="6"/>
  </w:num>
  <w:num w:numId="6" w16cid:durableId="91629415">
    <w:abstractNumId w:val="13"/>
  </w:num>
  <w:num w:numId="7" w16cid:durableId="614948156">
    <w:abstractNumId w:val="12"/>
  </w:num>
  <w:num w:numId="8" w16cid:durableId="1880622444">
    <w:abstractNumId w:val="8"/>
  </w:num>
  <w:num w:numId="9" w16cid:durableId="799230114">
    <w:abstractNumId w:val="9"/>
  </w:num>
  <w:num w:numId="10" w16cid:durableId="1546521667">
    <w:abstractNumId w:val="10"/>
  </w:num>
  <w:num w:numId="11" w16cid:durableId="205870374">
    <w:abstractNumId w:val="5"/>
  </w:num>
  <w:num w:numId="12" w16cid:durableId="149054424">
    <w:abstractNumId w:val="11"/>
  </w:num>
  <w:num w:numId="13" w16cid:durableId="2007441305">
    <w:abstractNumId w:val="7"/>
  </w:num>
  <w:num w:numId="14" w16cid:durableId="141508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29C7"/>
    <w:rsid w:val="00085CAE"/>
    <w:rsid w:val="000911B6"/>
    <w:rsid w:val="000C64C8"/>
    <w:rsid w:val="001439BD"/>
    <w:rsid w:val="0015260B"/>
    <w:rsid w:val="00160C02"/>
    <w:rsid w:val="00161EA6"/>
    <w:rsid w:val="001A0D96"/>
    <w:rsid w:val="001C36BF"/>
    <w:rsid w:val="001D0BED"/>
    <w:rsid w:val="001E5B36"/>
    <w:rsid w:val="001F3494"/>
    <w:rsid w:val="00207BA8"/>
    <w:rsid w:val="00223B0B"/>
    <w:rsid w:val="0022646D"/>
    <w:rsid w:val="0024084F"/>
    <w:rsid w:val="002434FF"/>
    <w:rsid w:val="00250D5A"/>
    <w:rsid w:val="0026091F"/>
    <w:rsid w:val="0026494F"/>
    <w:rsid w:val="002B0B24"/>
    <w:rsid w:val="002B7422"/>
    <w:rsid w:val="002C307F"/>
    <w:rsid w:val="002E37B6"/>
    <w:rsid w:val="002F0812"/>
    <w:rsid w:val="00332FE9"/>
    <w:rsid w:val="00366E21"/>
    <w:rsid w:val="00384692"/>
    <w:rsid w:val="003A162A"/>
    <w:rsid w:val="003F1D7B"/>
    <w:rsid w:val="003F48F2"/>
    <w:rsid w:val="00446F0C"/>
    <w:rsid w:val="004B5586"/>
    <w:rsid w:val="004B7538"/>
    <w:rsid w:val="004C001C"/>
    <w:rsid w:val="004C31A6"/>
    <w:rsid w:val="004C75E5"/>
    <w:rsid w:val="004D6D14"/>
    <w:rsid w:val="004E552A"/>
    <w:rsid w:val="004E56F8"/>
    <w:rsid w:val="005034EB"/>
    <w:rsid w:val="005279F2"/>
    <w:rsid w:val="00585BD4"/>
    <w:rsid w:val="005B4D27"/>
    <w:rsid w:val="005E34D0"/>
    <w:rsid w:val="005F0181"/>
    <w:rsid w:val="0061003C"/>
    <w:rsid w:val="006166DB"/>
    <w:rsid w:val="00636A4D"/>
    <w:rsid w:val="006441CF"/>
    <w:rsid w:val="006478DE"/>
    <w:rsid w:val="0065492B"/>
    <w:rsid w:val="006911B3"/>
    <w:rsid w:val="006D166D"/>
    <w:rsid w:val="006D779E"/>
    <w:rsid w:val="006F7E1D"/>
    <w:rsid w:val="00703626"/>
    <w:rsid w:val="00720D02"/>
    <w:rsid w:val="00733CA3"/>
    <w:rsid w:val="007466F1"/>
    <w:rsid w:val="0078318D"/>
    <w:rsid w:val="007D2FD6"/>
    <w:rsid w:val="007F5106"/>
    <w:rsid w:val="008017FB"/>
    <w:rsid w:val="00802508"/>
    <w:rsid w:val="00815D92"/>
    <w:rsid w:val="0081786B"/>
    <w:rsid w:val="00843E16"/>
    <w:rsid w:val="00847A02"/>
    <w:rsid w:val="0089205E"/>
    <w:rsid w:val="008D6FA1"/>
    <w:rsid w:val="008E6350"/>
    <w:rsid w:val="0092333A"/>
    <w:rsid w:val="009701A3"/>
    <w:rsid w:val="00977ED5"/>
    <w:rsid w:val="009918CF"/>
    <w:rsid w:val="009A6722"/>
    <w:rsid w:val="009B4E91"/>
    <w:rsid w:val="009C1AAC"/>
    <w:rsid w:val="009D567D"/>
    <w:rsid w:val="009F7412"/>
    <w:rsid w:val="00A17D70"/>
    <w:rsid w:val="00A70F6B"/>
    <w:rsid w:val="00A72DE6"/>
    <w:rsid w:val="00A76456"/>
    <w:rsid w:val="00A80070"/>
    <w:rsid w:val="00A92BD8"/>
    <w:rsid w:val="00A93C7F"/>
    <w:rsid w:val="00AC079F"/>
    <w:rsid w:val="00AD4846"/>
    <w:rsid w:val="00AE4A9B"/>
    <w:rsid w:val="00AF71CC"/>
    <w:rsid w:val="00B018E8"/>
    <w:rsid w:val="00B24DC4"/>
    <w:rsid w:val="00B30E6B"/>
    <w:rsid w:val="00B431F5"/>
    <w:rsid w:val="00B627A7"/>
    <w:rsid w:val="00B8531B"/>
    <w:rsid w:val="00BA3528"/>
    <w:rsid w:val="00BB653D"/>
    <w:rsid w:val="00BD5B72"/>
    <w:rsid w:val="00BE45D0"/>
    <w:rsid w:val="00C76443"/>
    <w:rsid w:val="00C8049B"/>
    <w:rsid w:val="00CF5F25"/>
    <w:rsid w:val="00D14569"/>
    <w:rsid w:val="00D258BF"/>
    <w:rsid w:val="00D31C9E"/>
    <w:rsid w:val="00D81627"/>
    <w:rsid w:val="00D93EA9"/>
    <w:rsid w:val="00DA1ACA"/>
    <w:rsid w:val="00DB567C"/>
    <w:rsid w:val="00DC1D55"/>
    <w:rsid w:val="00DC3A1A"/>
    <w:rsid w:val="00DD194B"/>
    <w:rsid w:val="00DE20B0"/>
    <w:rsid w:val="00DF074B"/>
    <w:rsid w:val="00DF1654"/>
    <w:rsid w:val="00E55583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E30FB"/>
    <w:rsid w:val="00FF4F02"/>
    <w:rsid w:val="17CB5422"/>
    <w:rsid w:val="7541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55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C3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875A7"/>
    <w:rsid w:val="001B5A4B"/>
    <w:rsid w:val="00217602"/>
    <w:rsid w:val="00247CE4"/>
    <w:rsid w:val="002607A3"/>
    <w:rsid w:val="0026494F"/>
    <w:rsid w:val="002852A0"/>
    <w:rsid w:val="002B7F38"/>
    <w:rsid w:val="002F0812"/>
    <w:rsid w:val="00303EA8"/>
    <w:rsid w:val="00443D3F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F2F96"/>
    <w:rsid w:val="00B01F8A"/>
    <w:rsid w:val="00BD1645"/>
    <w:rsid w:val="00BF7C0D"/>
    <w:rsid w:val="00C2228D"/>
    <w:rsid w:val="00C547B4"/>
    <w:rsid w:val="00D31C9E"/>
    <w:rsid w:val="00D57942"/>
    <w:rsid w:val="00D57A8B"/>
    <w:rsid w:val="00D83928"/>
    <w:rsid w:val="00DC7243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1ED22-78F3-465C-B607-E8DB46A4B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5411</Characters>
  <Application>Microsoft Office Word</Application>
  <DocSecurity>0</DocSecurity>
  <Lines>135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Sánchez</cp:lastModifiedBy>
  <cp:revision>4</cp:revision>
  <dcterms:created xsi:type="dcterms:W3CDTF">2023-05-15T17:33:00Z</dcterms:created>
  <dcterms:modified xsi:type="dcterms:W3CDTF">2023-06-01T17:17:00Z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