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6CA8" w14:textId="77777777" w:rsidR="001315BC" w:rsidRPr="001315BC" w:rsidRDefault="001315BC" w:rsidP="000659AB">
      <w:pPr>
        <w:pStyle w:val="Ttulo1"/>
        <w:spacing w:before="0" w:after="101" w:line="234" w:lineRule="exact"/>
        <w:ind w:firstLine="289"/>
      </w:pPr>
      <w:r w:rsidRPr="001315BC">
        <w:t>Nota Aclaratoria al Acuerdo mediante el cual el Pleno del Instituto Federal de Telecomunicaciones emite los Lineamientos para el registro de Radioenlaces Fijos en el Sistema Integral de Administración del Espectro Radioeléctrico, por parte de los Concesionarios que prestan el Servicio de Provisión de Capacidad para Radioenlaces Fijos, a través de la Ventanilla Electrónica del Instituto Federal de Telecomunicaciones, publicado el 30 de diciembre de 2020.</w:t>
      </w:r>
    </w:p>
    <w:p w14:paraId="643E2F63" w14:textId="77777777" w:rsidR="001315BC" w:rsidRPr="001315BC" w:rsidRDefault="001315BC" w:rsidP="001315BC">
      <w:pPr>
        <w:pStyle w:val="Texto"/>
        <w:spacing w:line="234" w:lineRule="exact"/>
        <w:jc w:val="center"/>
        <w:rPr>
          <w:rFonts w:ascii="ITC Avant Garde Std Bk" w:hAnsi="ITC Avant Garde Std Bk"/>
          <w:color w:val="000000"/>
          <w:sz w:val="16"/>
          <w:szCs w:val="16"/>
        </w:rPr>
      </w:pPr>
      <w:hyperlink r:id="rId7" w:history="1">
        <w:r w:rsidRPr="001315BC">
          <w:rPr>
            <w:rStyle w:val="Hipervnculo"/>
            <w:rFonts w:ascii="ITC Avant Garde Std Bk" w:hAnsi="ITC Avant Garde Std Bk"/>
            <w:sz w:val="16"/>
            <w:szCs w:val="16"/>
          </w:rPr>
          <w:t>Publicado en el Diario Oficial de la Federación el 6 de enero de 2021</w:t>
        </w:r>
      </w:hyperlink>
    </w:p>
    <w:p w14:paraId="40ACD84F" w14:textId="77777777" w:rsidR="001315BC" w:rsidRDefault="001315BC" w:rsidP="001315BC">
      <w:pPr>
        <w:pStyle w:val="Texto"/>
        <w:spacing w:line="234" w:lineRule="exact"/>
        <w:rPr>
          <w:rFonts w:ascii="ITC Avant Garde Std Bk" w:hAnsi="ITC Avant Garde Std Bk"/>
          <w:color w:val="000000"/>
          <w:szCs w:val="18"/>
        </w:rPr>
      </w:pPr>
    </w:p>
    <w:p w14:paraId="41F32564" w14:textId="77777777" w:rsidR="001315BC" w:rsidRPr="001315BC" w:rsidRDefault="001315BC" w:rsidP="001315BC">
      <w:pPr>
        <w:pStyle w:val="Texto"/>
        <w:spacing w:line="234" w:lineRule="exact"/>
        <w:rPr>
          <w:rFonts w:ascii="ITC Avant Garde Std Bk" w:hAnsi="ITC Avant Garde Std Bk"/>
          <w:color w:val="000000"/>
          <w:szCs w:val="18"/>
        </w:rPr>
      </w:pPr>
      <w:r w:rsidRPr="001315BC">
        <w:rPr>
          <w:rFonts w:ascii="ITC Avant Garde Std Bk" w:hAnsi="ITC Avant Garde Std Bk"/>
          <w:color w:val="000000"/>
          <w:szCs w:val="18"/>
        </w:rPr>
        <w:t>En el Anexo Único, Lineamientos para el registro de Radioenlaces Fijos en el Sistema Integral de Administración del Espectro Radioeléctrico, por parte de los Concesionarios que prestan el Servicio de Provisión de Capacidad para Radioenlaces Fijos</w:t>
      </w:r>
      <w:r w:rsidRPr="001315BC">
        <w:rPr>
          <w:rFonts w:ascii="ITC Avant Garde Std Bk" w:hAnsi="ITC Avant Garde Std Bk"/>
          <w:color w:val="000000"/>
          <w:szCs w:val="18"/>
          <w:lang w:val="es-ES_tradnl"/>
        </w:rPr>
        <w:t>, a través de la Ventanilla Electrónica del Instituto Federal de Telecomunicaciones</w:t>
      </w:r>
      <w:r w:rsidRPr="001315BC">
        <w:rPr>
          <w:rFonts w:ascii="ITC Avant Garde Std Bk" w:hAnsi="ITC Avant Garde Std Bk"/>
          <w:color w:val="000000"/>
          <w:szCs w:val="18"/>
        </w:rPr>
        <w:t>, Transitorios, Transitorio Segundo, dice:</w:t>
      </w:r>
    </w:p>
    <w:p w14:paraId="27EE4D3D" w14:textId="77777777" w:rsidR="001315BC" w:rsidRPr="001315BC" w:rsidRDefault="001315BC" w:rsidP="001315BC">
      <w:pPr>
        <w:pStyle w:val="Texto"/>
        <w:spacing w:line="234" w:lineRule="exact"/>
        <w:rPr>
          <w:rFonts w:ascii="ITC Avant Garde Std Bk" w:hAnsi="ITC Avant Garde Std Bk"/>
          <w:szCs w:val="18"/>
        </w:rPr>
      </w:pPr>
      <w:r w:rsidRPr="001315BC">
        <w:rPr>
          <w:rFonts w:ascii="ITC Avant Garde Std Bk" w:hAnsi="ITC Avant Garde Std Bk"/>
          <w:b/>
          <w:szCs w:val="18"/>
        </w:rPr>
        <w:t xml:space="preserve">Segundo. </w:t>
      </w:r>
      <w:r w:rsidRPr="001315BC">
        <w:rPr>
          <w:rFonts w:ascii="ITC Avant Garde Std Bk" w:hAnsi="ITC Avant Garde Std Bk"/>
          <w:szCs w:val="18"/>
        </w:rPr>
        <w:t>Hasta en tanto se encuentre en funcionamiento el Módulo, los Concesionarios deberán gestionar la expedición de las Constancias de No Interferencia de los Radioenlaces Fijos que deseen instalar y operar, así como, modificar o cancelar enlaces, ante alguna de las Empresas Certificadoras autorizadas por el Instituto para tal propósito.</w:t>
      </w:r>
    </w:p>
    <w:p w14:paraId="7C15E3D0" w14:textId="77777777" w:rsidR="001315BC" w:rsidRPr="001315BC" w:rsidRDefault="001315BC" w:rsidP="001315BC">
      <w:pPr>
        <w:pStyle w:val="Texto"/>
        <w:spacing w:line="234" w:lineRule="exact"/>
        <w:rPr>
          <w:rFonts w:ascii="ITC Avant Garde Std Bk" w:hAnsi="ITC Avant Garde Std Bk"/>
          <w:b/>
          <w:szCs w:val="18"/>
        </w:rPr>
      </w:pPr>
      <w:r w:rsidRPr="001315BC">
        <w:rPr>
          <w:rFonts w:ascii="ITC Avant Garde Std Bk" w:hAnsi="ITC Avant Garde Std Bk"/>
          <w:b/>
          <w:szCs w:val="18"/>
        </w:rPr>
        <w:t>…</w:t>
      </w:r>
    </w:p>
    <w:p w14:paraId="6ED1ADC7" w14:textId="77777777" w:rsidR="001315BC" w:rsidRPr="001315BC" w:rsidRDefault="001315BC" w:rsidP="001315BC">
      <w:pPr>
        <w:pStyle w:val="ROMANOS"/>
        <w:spacing w:line="234" w:lineRule="exact"/>
        <w:rPr>
          <w:rFonts w:ascii="ITC Avant Garde Std Bk" w:hAnsi="ITC Avant Garde Std Bk"/>
          <w:b/>
        </w:rPr>
      </w:pPr>
      <w:r w:rsidRPr="001315BC">
        <w:rPr>
          <w:rFonts w:ascii="ITC Avant Garde Std Bk" w:hAnsi="ITC Avant Garde Std Bk"/>
          <w:b/>
        </w:rPr>
        <w:t>III.</w:t>
      </w:r>
      <w:r w:rsidRPr="001315BC">
        <w:rPr>
          <w:rFonts w:ascii="ITC Avant Garde Std Bk" w:hAnsi="ITC Avant Garde Std Bk"/>
          <w:b/>
        </w:rPr>
        <w:tab/>
        <w:t>…</w:t>
      </w:r>
    </w:p>
    <w:p w14:paraId="7D049803" w14:textId="77777777" w:rsidR="001315BC" w:rsidRPr="001315BC" w:rsidRDefault="001315BC" w:rsidP="001315BC">
      <w:pPr>
        <w:pStyle w:val="INCISO"/>
        <w:spacing w:line="234" w:lineRule="exact"/>
        <w:ind w:left="1152" w:hanging="432"/>
        <w:rPr>
          <w:rFonts w:ascii="ITC Avant Garde Std Bk" w:hAnsi="ITC Avant Garde Std Bk"/>
          <w:b/>
        </w:rPr>
      </w:pPr>
      <w:r w:rsidRPr="001315BC">
        <w:rPr>
          <w:rFonts w:ascii="ITC Avant Garde Std Bk" w:hAnsi="ITC Avant Garde Std Bk"/>
          <w:b/>
        </w:rPr>
        <w:t>a)</w:t>
      </w:r>
      <w:r w:rsidRPr="001315BC">
        <w:rPr>
          <w:rFonts w:ascii="ITC Avant Garde Std Bk" w:hAnsi="ITC Avant Garde Std Bk"/>
          <w:b/>
        </w:rPr>
        <w:tab/>
        <w:t>…</w:t>
      </w:r>
    </w:p>
    <w:p w14:paraId="34489A82" w14:textId="77777777" w:rsidR="001315BC" w:rsidRPr="001315BC" w:rsidRDefault="001315BC" w:rsidP="001315BC">
      <w:pPr>
        <w:pStyle w:val="INCISO"/>
        <w:spacing w:line="234" w:lineRule="exact"/>
        <w:ind w:left="1152" w:hanging="432"/>
        <w:rPr>
          <w:rFonts w:ascii="ITC Avant Garde Std Bk" w:hAnsi="ITC Avant Garde Std Bk"/>
        </w:rPr>
      </w:pPr>
      <w:r w:rsidRPr="001315BC">
        <w:rPr>
          <w:rFonts w:ascii="ITC Avant Garde Std Bk" w:hAnsi="ITC Avant Garde Std Bk"/>
          <w:b/>
        </w:rPr>
        <w:t>b)</w:t>
      </w:r>
      <w:r w:rsidRPr="001315BC">
        <w:rPr>
          <w:rFonts w:ascii="ITC Avant Garde Std Bk" w:hAnsi="ITC Avant Garde Std Bk"/>
        </w:rPr>
        <w:tab/>
        <w:t>Expedir a los Concesionarios Constancias de No interferencia por cada Radioenlace Fijo que se pretenda instalar y operar, al amparo de concesiones para usar, aprovechar y explotar Bandas de Frecuencias para la prestación del Servicio de Provisión de Capacidad.</w:t>
      </w:r>
    </w:p>
    <w:p w14:paraId="605C4AF6" w14:textId="77777777" w:rsidR="001315BC" w:rsidRPr="001315BC" w:rsidRDefault="001315BC" w:rsidP="001315BC">
      <w:pPr>
        <w:pStyle w:val="INCISO"/>
        <w:spacing w:line="234" w:lineRule="exact"/>
        <w:ind w:left="1152" w:firstLine="0"/>
        <w:rPr>
          <w:rFonts w:ascii="ITC Avant Garde Std Bk" w:hAnsi="ITC Avant Garde Std Bk"/>
        </w:rPr>
      </w:pPr>
      <w:r w:rsidRPr="001315BC">
        <w:rPr>
          <w:rFonts w:ascii="ITC Avant Garde Std Bk" w:hAnsi="ITC Avant Garde Std Bk"/>
        </w:rPr>
        <w:t>Las Constancias de No Interferencia que emitan las Empresas Certificadoras tendrán una vigencia indefinida, hasta en tanto entre en operación el Módulo, a partir de lo cual tendrán una vigencia de 3 (tres) años calendario.</w:t>
      </w:r>
    </w:p>
    <w:p w14:paraId="4FB4A21F" w14:textId="77777777" w:rsidR="001315BC" w:rsidRPr="001315BC" w:rsidRDefault="001315BC" w:rsidP="001315BC">
      <w:pPr>
        <w:pStyle w:val="INCISO"/>
        <w:spacing w:line="234" w:lineRule="exact"/>
        <w:ind w:left="1152" w:hanging="432"/>
        <w:rPr>
          <w:rFonts w:ascii="ITC Avant Garde Std Bk" w:hAnsi="ITC Avant Garde Std Bk"/>
        </w:rPr>
      </w:pPr>
      <w:r w:rsidRPr="001315BC">
        <w:rPr>
          <w:rFonts w:ascii="ITC Avant Garde Std Bk" w:hAnsi="ITC Avant Garde Std Bk"/>
          <w:b/>
        </w:rPr>
        <w:t>c)</w:t>
      </w:r>
      <w:r w:rsidRPr="001315BC">
        <w:rPr>
          <w:rFonts w:ascii="ITC Avant Garde Std Bk" w:hAnsi="ITC Avant Garde Std Bk"/>
        </w:rPr>
        <w:tab/>
        <w:t>Mantener actualizada la base de datos de Radioenlaces Fijos, respecto de los cuales hayan expedido Constancias de No Interferencia que operen al amparo de concesiones para usar, aprovechar y explotar Bandas de Frecuencias para la prestación del Servicio de Provisión de Capacidad, y</w:t>
      </w:r>
    </w:p>
    <w:p w14:paraId="5FBC6889" w14:textId="77777777" w:rsidR="001315BC" w:rsidRPr="001315BC" w:rsidRDefault="001315BC" w:rsidP="001315BC">
      <w:pPr>
        <w:pStyle w:val="Texto"/>
        <w:spacing w:line="234" w:lineRule="exact"/>
        <w:rPr>
          <w:rFonts w:ascii="ITC Avant Garde Std Bk" w:hAnsi="ITC Avant Garde Std Bk"/>
          <w:color w:val="000000"/>
          <w:szCs w:val="18"/>
        </w:rPr>
      </w:pPr>
      <w:r w:rsidRPr="001315BC">
        <w:rPr>
          <w:rFonts w:ascii="ITC Avant Garde Std Bk" w:hAnsi="ITC Avant Garde Std Bk"/>
          <w:color w:val="000000"/>
          <w:szCs w:val="18"/>
        </w:rPr>
        <w:t>Debe decir:</w:t>
      </w:r>
    </w:p>
    <w:p w14:paraId="5A03317A" w14:textId="77777777" w:rsidR="001315BC" w:rsidRPr="001315BC" w:rsidRDefault="001315BC" w:rsidP="001315BC">
      <w:pPr>
        <w:pStyle w:val="Texto"/>
        <w:spacing w:line="234" w:lineRule="exact"/>
        <w:rPr>
          <w:rFonts w:ascii="ITC Avant Garde Std Bk" w:hAnsi="ITC Avant Garde Std Bk"/>
          <w:szCs w:val="18"/>
        </w:rPr>
      </w:pPr>
      <w:r w:rsidRPr="001315BC">
        <w:rPr>
          <w:rFonts w:ascii="ITC Avant Garde Std Bk" w:hAnsi="ITC Avant Garde Std Bk"/>
          <w:b/>
          <w:szCs w:val="18"/>
        </w:rPr>
        <w:t xml:space="preserve">Segundo. Sin perjuicio de lo establecido en el artículo Transitorio Primero y hasta </w:t>
      </w:r>
      <w:r w:rsidRPr="001315BC">
        <w:rPr>
          <w:rFonts w:ascii="ITC Avant Garde Std Bk" w:hAnsi="ITC Avant Garde Std Bk"/>
          <w:szCs w:val="18"/>
        </w:rPr>
        <w:t>en tanto se encuentre en funcionamiento el Módulo</w:t>
      </w:r>
      <w:r w:rsidRPr="001315BC">
        <w:rPr>
          <w:rFonts w:ascii="ITC Avant Garde Std Bk" w:hAnsi="ITC Avant Garde Std Bk"/>
          <w:b/>
          <w:szCs w:val="18"/>
        </w:rPr>
        <w:t xml:space="preserve">, a partir de los 30 días naturales posteriores a la entrada en vigor de los presentes Lineamientos, </w:t>
      </w:r>
      <w:r w:rsidRPr="001315BC">
        <w:rPr>
          <w:rFonts w:ascii="ITC Avant Garde Std Bk" w:hAnsi="ITC Avant Garde Std Bk"/>
          <w:szCs w:val="18"/>
        </w:rPr>
        <w:t>los Concesionarios deberán gestionar la expedición de las Constancias de No Interferencia de los Radioenlaces Fijos que deseen instalar y operar, así como, modificar o cancelar enlaces, ante alguna de las Empresas Certificadoras autorizadas por el Instituto para tal propósito.</w:t>
      </w:r>
    </w:p>
    <w:p w14:paraId="478DE9C4" w14:textId="77777777" w:rsidR="001315BC" w:rsidRPr="001315BC" w:rsidRDefault="001315BC" w:rsidP="001315BC">
      <w:pPr>
        <w:pStyle w:val="Texto"/>
        <w:spacing w:line="234" w:lineRule="exact"/>
        <w:rPr>
          <w:rFonts w:ascii="ITC Avant Garde Std Bk" w:hAnsi="ITC Avant Garde Std Bk"/>
          <w:b/>
          <w:szCs w:val="18"/>
        </w:rPr>
      </w:pPr>
      <w:r w:rsidRPr="001315BC">
        <w:rPr>
          <w:rFonts w:ascii="ITC Avant Garde Std Bk" w:hAnsi="ITC Avant Garde Std Bk"/>
          <w:b/>
          <w:szCs w:val="18"/>
        </w:rPr>
        <w:t>…</w:t>
      </w:r>
    </w:p>
    <w:p w14:paraId="2A4DD2E1" w14:textId="77777777" w:rsidR="001315BC" w:rsidRPr="001315BC" w:rsidRDefault="001315BC" w:rsidP="001315BC">
      <w:pPr>
        <w:pStyle w:val="ROMANOS"/>
        <w:spacing w:line="234" w:lineRule="exact"/>
        <w:rPr>
          <w:rFonts w:ascii="ITC Avant Garde Std Bk" w:hAnsi="ITC Avant Garde Std Bk"/>
          <w:b/>
        </w:rPr>
      </w:pPr>
      <w:r w:rsidRPr="001315BC">
        <w:rPr>
          <w:rFonts w:ascii="ITC Avant Garde Std Bk" w:hAnsi="ITC Avant Garde Std Bk"/>
          <w:b/>
        </w:rPr>
        <w:t>III.</w:t>
      </w:r>
      <w:r w:rsidRPr="001315BC">
        <w:rPr>
          <w:rFonts w:ascii="ITC Avant Garde Std Bk" w:hAnsi="ITC Avant Garde Std Bk"/>
          <w:b/>
        </w:rPr>
        <w:tab/>
        <w:t>…</w:t>
      </w:r>
    </w:p>
    <w:p w14:paraId="069FD0F1" w14:textId="77777777" w:rsidR="001315BC" w:rsidRPr="001315BC" w:rsidRDefault="001315BC" w:rsidP="001315BC">
      <w:pPr>
        <w:pStyle w:val="INCISO"/>
        <w:spacing w:line="234" w:lineRule="exact"/>
        <w:ind w:left="1152" w:hanging="432"/>
        <w:rPr>
          <w:rFonts w:ascii="ITC Avant Garde Std Bk" w:hAnsi="ITC Avant Garde Std Bk"/>
          <w:b/>
        </w:rPr>
      </w:pPr>
      <w:r w:rsidRPr="001315BC">
        <w:rPr>
          <w:rFonts w:ascii="ITC Avant Garde Std Bk" w:hAnsi="ITC Avant Garde Std Bk"/>
          <w:b/>
        </w:rPr>
        <w:t>a)</w:t>
      </w:r>
      <w:r w:rsidRPr="001315BC">
        <w:rPr>
          <w:rFonts w:ascii="ITC Avant Garde Std Bk" w:hAnsi="ITC Avant Garde Std Bk"/>
          <w:b/>
        </w:rPr>
        <w:tab/>
        <w:t>…</w:t>
      </w:r>
    </w:p>
    <w:p w14:paraId="3C1F60CD" w14:textId="77777777" w:rsidR="001315BC" w:rsidRPr="001315BC" w:rsidRDefault="001315BC" w:rsidP="001315BC">
      <w:pPr>
        <w:pStyle w:val="INCISO"/>
        <w:spacing w:line="234" w:lineRule="exact"/>
        <w:ind w:left="1152" w:hanging="432"/>
        <w:rPr>
          <w:rFonts w:ascii="ITC Avant Garde Std Bk" w:hAnsi="ITC Avant Garde Std Bk"/>
        </w:rPr>
      </w:pPr>
      <w:r w:rsidRPr="001315BC">
        <w:rPr>
          <w:rFonts w:ascii="ITC Avant Garde Std Bk" w:hAnsi="ITC Avant Garde Std Bk"/>
          <w:b/>
        </w:rPr>
        <w:t>b)</w:t>
      </w:r>
      <w:r w:rsidRPr="001315BC">
        <w:rPr>
          <w:rFonts w:ascii="ITC Avant Garde Std Bk" w:hAnsi="ITC Avant Garde Std Bk"/>
        </w:rPr>
        <w:tab/>
        <w:t xml:space="preserve">Expedir a los Concesionarios Constancias de No interferencia por cada Radioenlace Fijo que se pretenda instalar y operar, al amparo de concesiones para usar, aprovechar y explotar Bandas de Frecuencias para la prestación del Servicio de Provisión de </w:t>
      </w:r>
      <w:r w:rsidRPr="001315BC">
        <w:rPr>
          <w:rFonts w:ascii="ITC Avant Garde Std Bk" w:hAnsi="ITC Avant Garde Std Bk"/>
        </w:rPr>
        <w:lastRenderedPageBreak/>
        <w:t>Capacidad. Las Constancias de No Interferencia que emitan las Empresas Certificadoras tendrán una vigencia indefinida, hasta en tanto entre en operación el Módulo, a partir de lo cual tendrán una vigencia de 3 (tres) años calendario;</w:t>
      </w:r>
    </w:p>
    <w:p w14:paraId="1AD17B9B" w14:textId="77777777" w:rsidR="001315BC" w:rsidRPr="001315BC" w:rsidRDefault="001315BC" w:rsidP="001315BC">
      <w:pPr>
        <w:pStyle w:val="INCISO"/>
        <w:spacing w:line="252" w:lineRule="exact"/>
        <w:ind w:left="1152" w:hanging="432"/>
        <w:rPr>
          <w:rFonts w:ascii="ITC Avant Garde Std Bk" w:hAnsi="ITC Avant Garde Std Bk"/>
          <w:b/>
        </w:rPr>
      </w:pPr>
      <w:r w:rsidRPr="001315BC">
        <w:rPr>
          <w:rFonts w:ascii="ITC Avant Garde Std Bk" w:hAnsi="ITC Avant Garde Std Bk"/>
          <w:b/>
        </w:rPr>
        <w:t>c)</w:t>
      </w:r>
      <w:r w:rsidRPr="001315BC">
        <w:rPr>
          <w:rFonts w:ascii="ITC Avant Garde Std Bk" w:hAnsi="ITC Avant Garde Std Bk"/>
        </w:rPr>
        <w:tab/>
        <w:t xml:space="preserve">Mantener actualizada la base de datos de Radioenlaces Fijos, respecto de los cuales hayan expedido Constancias de No Interferencia que operen al amparo de concesiones para usar, aprovechar y explotar Bandas de Frecuencias para la prestación del Servicio de Provisión de Capacidad. </w:t>
      </w:r>
      <w:r w:rsidRPr="001315BC">
        <w:rPr>
          <w:rFonts w:ascii="ITC Avant Garde Std Bk" w:hAnsi="ITC Avant Garde Std Bk"/>
          <w:b/>
        </w:rPr>
        <w:t>Las empresas certificadoras estarán obligadas a proporcionar estas bases de datos en caso de que le sean requeridas por el Instituto;</w:t>
      </w:r>
    </w:p>
    <w:p w14:paraId="717FA8B2" w14:textId="77777777" w:rsidR="001315BC" w:rsidRPr="001315BC" w:rsidRDefault="001315BC" w:rsidP="001315BC">
      <w:pPr>
        <w:pStyle w:val="Texto"/>
        <w:spacing w:line="252" w:lineRule="exact"/>
        <w:rPr>
          <w:rFonts w:ascii="ITC Avant Garde Std Bk" w:hAnsi="ITC Avant Garde Std Bk"/>
          <w:color w:val="000000"/>
          <w:szCs w:val="18"/>
        </w:rPr>
      </w:pPr>
      <w:r w:rsidRPr="001315BC">
        <w:rPr>
          <w:rFonts w:ascii="ITC Avant Garde Std Bk" w:hAnsi="ITC Avant Garde Std Bk"/>
          <w:color w:val="000000"/>
          <w:szCs w:val="18"/>
        </w:rPr>
        <w:t>En el Transitorio Sexto, dice:</w:t>
      </w:r>
    </w:p>
    <w:p w14:paraId="4977A821" w14:textId="77777777" w:rsidR="001315BC" w:rsidRPr="001315BC" w:rsidRDefault="001315BC" w:rsidP="001315BC">
      <w:pPr>
        <w:pStyle w:val="Texto"/>
        <w:spacing w:line="252" w:lineRule="exact"/>
        <w:rPr>
          <w:rFonts w:ascii="ITC Avant Garde Std Bk" w:hAnsi="ITC Avant Garde Std Bk"/>
          <w:szCs w:val="18"/>
        </w:rPr>
      </w:pPr>
      <w:r w:rsidRPr="001315BC">
        <w:rPr>
          <w:rFonts w:ascii="ITC Avant Garde Std Bk" w:hAnsi="ITC Avant Garde Std Bk"/>
          <w:b/>
          <w:szCs w:val="18"/>
        </w:rPr>
        <w:t xml:space="preserve">Sexto. </w:t>
      </w:r>
      <w:r w:rsidRPr="001315BC">
        <w:rPr>
          <w:rFonts w:ascii="ITC Avant Garde Std Bk" w:hAnsi="ITC Avant Garde Std Bk"/>
          <w:szCs w:val="18"/>
        </w:rPr>
        <w:t>La Base de Datos con la que iniciará operaciones el Módulo será la resultante de la última carga semestral que realicen los Concesionarios en el SIAER, derivado de la condición de los títulos de concesión de los Concesionarios del Servicio de Provisión de Capacidad relativas a la entrega en forma electrónica de la información técnica de los Radioenlaces Fijos en operación, al amparo de la concesión para usar, aprovechar y explotar bandas de frecuencias del espectro radioeléctrico, y se actualizará con los registros de las Actuaciones Electrónicas a que se refieren los Lineamientos.</w:t>
      </w:r>
    </w:p>
    <w:p w14:paraId="0E79D062" w14:textId="77777777" w:rsidR="001315BC" w:rsidRPr="001315BC" w:rsidRDefault="001315BC" w:rsidP="001315BC">
      <w:pPr>
        <w:pStyle w:val="Texto"/>
        <w:spacing w:line="252" w:lineRule="exact"/>
        <w:rPr>
          <w:rFonts w:ascii="ITC Avant Garde Std Bk" w:hAnsi="ITC Avant Garde Std Bk"/>
          <w:color w:val="000000"/>
          <w:szCs w:val="18"/>
        </w:rPr>
      </w:pPr>
      <w:r w:rsidRPr="001315BC">
        <w:rPr>
          <w:rFonts w:ascii="ITC Avant Garde Std Bk" w:hAnsi="ITC Avant Garde Std Bk"/>
          <w:color w:val="000000"/>
          <w:szCs w:val="18"/>
        </w:rPr>
        <w:t>Debe decir:</w:t>
      </w:r>
    </w:p>
    <w:p w14:paraId="723C03A2" w14:textId="77777777" w:rsidR="001315BC" w:rsidRPr="001315BC" w:rsidRDefault="001315BC" w:rsidP="001315BC">
      <w:pPr>
        <w:pStyle w:val="Texto"/>
        <w:spacing w:line="252" w:lineRule="exact"/>
        <w:rPr>
          <w:rFonts w:ascii="ITC Avant Garde Std Bk" w:hAnsi="ITC Avant Garde Std Bk"/>
          <w:b/>
          <w:szCs w:val="18"/>
        </w:rPr>
      </w:pPr>
      <w:r w:rsidRPr="001315BC">
        <w:rPr>
          <w:rFonts w:ascii="ITC Avant Garde Std Bk" w:hAnsi="ITC Avant Garde Std Bk"/>
          <w:b/>
          <w:szCs w:val="18"/>
        </w:rPr>
        <w:t xml:space="preserve">Sexto. </w:t>
      </w:r>
      <w:r w:rsidRPr="001315BC">
        <w:rPr>
          <w:rFonts w:ascii="ITC Avant Garde Std Bk" w:hAnsi="ITC Avant Garde Std Bk"/>
          <w:szCs w:val="18"/>
        </w:rPr>
        <w:t>La Base de Datos con la que iniciará operaciones el Módulo será la resultante de la última carga semestral que realicen los Concesionarios en el SIAER, derivado de la condición de los títulos de concesión de los Concesionarios del Servicio de Provisión de Capacidad relativas a la entrega en forma electrónica de la información técnica de los Radioenlaces Fijos en operación, al amparo de la concesión para usar, aprovechar y explotar bandas de frecuencias del espectro radioeléctrico, y se actualizará con los registros de las Actuaciones Electrónicas a que se refieren los Lineamientos.</w:t>
      </w:r>
      <w:r w:rsidRPr="001315BC">
        <w:rPr>
          <w:rFonts w:ascii="ITC Avant Garde Std Bk" w:hAnsi="ITC Avant Garde Std Bk"/>
          <w:b/>
          <w:szCs w:val="18"/>
        </w:rPr>
        <w:t xml:space="preserve"> Lo anterior sin perjuicio de la obligación de los concesionarios de proporcionar al Instituto la información que les sea requerida en cualquier otro momento, a fin de garantizar que la Base de Datos se encuentre debidamente actualizada.</w:t>
      </w:r>
    </w:p>
    <w:p w14:paraId="03645B5C" w14:textId="77777777" w:rsidR="001315BC" w:rsidRPr="001315BC" w:rsidRDefault="001315BC" w:rsidP="001315BC">
      <w:pPr>
        <w:pStyle w:val="Texto"/>
        <w:spacing w:line="252" w:lineRule="exact"/>
        <w:rPr>
          <w:rFonts w:ascii="ITC Avant Garde Std Bk" w:hAnsi="ITC Avant Garde Std Bk"/>
          <w:szCs w:val="18"/>
        </w:rPr>
      </w:pPr>
      <w:r w:rsidRPr="001315BC">
        <w:rPr>
          <w:rFonts w:ascii="ITC Avant Garde Std Bk" w:hAnsi="ITC Avant Garde Std Bk"/>
          <w:szCs w:val="18"/>
        </w:rPr>
        <w:t xml:space="preserve">Ciudad de México, a 30 de diciembre de 2020.- El Titular de la Dirección General de Ingeniería del Espectro y Estudios Técnicos, </w:t>
      </w:r>
      <w:r w:rsidRPr="001315BC">
        <w:rPr>
          <w:rFonts w:ascii="ITC Avant Garde Std Bk" w:hAnsi="ITC Avant Garde Std Bk"/>
          <w:b/>
          <w:szCs w:val="18"/>
        </w:rPr>
        <w:t xml:space="preserve">Ricardo Castañeda </w:t>
      </w:r>
      <w:proofErr w:type="gramStart"/>
      <w:r w:rsidRPr="001315BC">
        <w:rPr>
          <w:rFonts w:ascii="ITC Avant Garde Std Bk" w:hAnsi="ITC Avant Garde Std Bk"/>
          <w:b/>
          <w:szCs w:val="18"/>
        </w:rPr>
        <w:t>Álvarez</w:t>
      </w:r>
      <w:r w:rsidRPr="001315BC">
        <w:rPr>
          <w:rFonts w:ascii="ITC Avant Garde Std Bk" w:hAnsi="ITC Avant Garde Std Bk"/>
          <w:szCs w:val="18"/>
        </w:rPr>
        <w:t>.-</w:t>
      </w:r>
      <w:proofErr w:type="gramEnd"/>
      <w:r w:rsidRPr="001315BC">
        <w:rPr>
          <w:rFonts w:ascii="ITC Avant Garde Std Bk" w:hAnsi="ITC Avant Garde Std Bk"/>
          <w:szCs w:val="18"/>
        </w:rPr>
        <w:t xml:space="preserve"> Rúbrica.</w:t>
      </w:r>
    </w:p>
    <w:p w14:paraId="3C11957D" w14:textId="77777777" w:rsidR="00006AB4" w:rsidRPr="001315BC" w:rsidRDefault="00006AB4">
      <w:pPr>
        <w:rPr>
          <w:rFonts w:ascii="ITC Avant Garde Std Bk" w:hAnsi="ITC Avant Garde Std Bk"/>
          <w:sz w:val="18"/>
          <w:szCs w:val="18"/>
        </w:rPr>
      </w:pPr>
    </w:p>
    <w:sectPr w:rsidR="00006AB4" w:rsidRPr="001315BC" w:rsidSect="003C5FB6">
      <w:headerReference w:type="even" r:id="rId8"/>
      <w:headerReference w:type="default" r:id="rId9"/>
      <w:footerReference w:type="default" r:id="rId10"/>
      <w:pgSz w:w="12240" w:h="15840"/>
      <w:pgMar w:top="252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B24D" w14:textId="77777777" w:rsidR="00010C86" w:rsidRDefault="00010C86" w:rsidP="003C5FB6">
      <w:r>
        <w:separator/>
      </w:r>
    </w:p>
  </w:endnote>
  <w:endnote w:type="continuationSeparator" w:id="0">
    <w:p w14:paraId="1EB1D343" w14:textId="77777777" w:rsidR="00010C86" w:rsidRDefault="00010C86" w:rsidP="003C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ECB1" w14:textId="77777777" w:rsidR="00F33997" w:rsidRPr="00A7236C" w:rsidRDefault="00F33997" w:rsidP="00F33997">
    <w:pPr>
      <w:pStyle w:val="Piedepgina"/>
      <w:jc w:val="right"/>
      <w:rPr>
        <w:rFonts w:ascii="ITC Avant Garde" w:hAnsi="ITC Avant Garde"/>
        <w:sz w:val="14"/>
        <w:szCs w:val="14"/>
      </w:rPr>
    </w:pPr>
    <w:r w:rsidRPr="00A7236C">
      <w:rPr>
        <w:rFonts w:ascii="ITC Avant Garde" w:hAnsi="ITC Avant Garde"/>
        <w:sz w:val="14"/>
        <w:szCs w:val="14"/>
      </w:rPr>
      <w:t xml:space="preserve">Página </w:t>
    </w:r>
    <w:r w:rsidRPr="00A7236C">
      <w:rPr>
        <w:rFonts w:ascii="ITC Avant Garde" w:hAnsi="ITC Avant Garde"/>
        <w:b/>
        <w:bCs/>
        <w:sz w:val="14"/>
        <w:szCs w:val="14"/>
      </w:rPr>
      <w:fldChar w:fldCharType="begin"/>
    </w:r>
    <w:r w:rsidRPr="00A7236C">
      <w:rPr>
        <w:rFonts w:ascii="ITC Avant Garde" w:hAnsi="ITC Avant Garde"/>
        <w:b/>
        <w:bCs/>
        <w:sz w:val="14"/>
        <w:szCs w:val="14"/>
      </w:rPr>
      <w:instrText>PAGE</w:instrText>
    </w:r>
    <w:r w:rsidRPr="00A7236C">
      <w:rPr>
        <w:rFonts w:ascii="ITC Avant Garde" w:hAnsi="ITC Avant Garde"/>
        <w:b/>
        <w:bCs/>
        <w:sz w:val="14"/>
        <w:szCs w:val="14"/>
      </w:rPr>
      <w:fldChar w:fldCharType="separate"/>
    </w:r>
    <w:r w:rsidR="00464DC8">
      <w:rPr>
        <w:rFonts w:ascii="ITC Avant Garde" w:hAnsi="ITC Avant Garde"/>
        <w:b/>
        <w:bCs/>
        <w:noProof/>
        <w:sz w:val="14"/>
        <w:szCs w:val="14"/>
      </w:rPr>
      <w:t>1</w:t>
    </w:r>
    <w:r w:rsidRPr="00A7236C">
      <w:rPr>
        <w:rFonts w:ascii="ITC Avant Garde" w:hAnsi="ITC Avant Garde"/>
        <w:b/>
        <w:bCs/>
        <w:sz w:val="14"/>
        <w:szCs w:val="14"/>
      </w:rPr>
      <w:fldChar w:fldCharType="end"/>
    </w:r>
    <w:r w:rsidRPr="00A7236C">
      <w:rPr>
        <w:rFonts w:ascii="ITC Avant Garde" w:hAnsi="ITC Avant Garde"/>
        <w:sz w:val="14"/>
        <w:szCs w:val="14"/>
      </w:rPr>
      <w:t xml:space="preserve"> de </w:t>
    </w:r>
    <w:r w:rsidRPr="00A7236C">
      <w:rPr>
        <w:rFonts w:ascii="ITC Avant Garde" w:hAnsi="ITC Avant Garde"/>
        <w:b/>
        <w:bCs/>
        <w:sz w:val="14"/>
        <w:szCs w:val="14"/>
      </w:rPr>
      <w:fldChar w:fldCharType="begin"/>
    </w:r>
    <w:r w:rsidRPr="00A7236C">
      <w:rPr>
        <w:rFonts w:ascii="ITC Avant Garde" w:hAnsi="ITC Avant Garde"/>
        <w:b/>
        <w:bCs/>
        <w:sz w:val="14"/>
        <w:szCs w:val="14"/>
      </w:rPr>
      <w:instrText>NUMPAGES</w:instrText>
    </w:r>
    <w:r w:rsidRPr="00A7236C">
      <w:rPr>
        <w:rFonts w:ascii="ITC Avant Garde" w:hAnsi="ITC Avant Garde"/>
        <w:b/>
        <w:bCs/>
        <w:sz w:val="14"/>
        <w:szCs w:val="14"/>
      </w:rPr>
      <w:fldChar w:fldCharType="separate"/>
    </w:r>
    <w:r w:rsidR="00464DC8">
      <w:rPr>
        <w:rFonts w:ascii="ITC Avant Garde" w:hAnsi="ITC Avant Garde"/>
        <w:b/>
        <w:bCs/>
        <w:noProof/>
        <w:sz w:val="14"/>
        <w:szCs w:val="14"/>
      </w:rPr>
      <w:t>2</w:t>
    </w:r>
    <w:r w:rsidRPr="00A7236C">
      <w:rPr>
        <w:rFonts w:ascii="ITC Avant Garde" w:hAnsi="ITC Avant Garde"/>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C0294" w14:textId="77777777" w:rsidR="00010C86" w:rsidRDefault="00010C86" w:rsidP="003C5FB6">
      <w:r>
        <w:separator/>
      </w:r>
    </w:p>
  </w:footnote>
  <w:footnote w:type="continuationSeparator" w:id="0">
    <w:p w14:paraId="7A3E97CB" w14:textId="77777777" w:rsidR="00010C86" w:rsidRDefault="00010C86" w:rsidP="003C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C1DE" w14:textId="77777777" w:rsidR="003C5FB6" w:rsidRDefault="003C5FB6" w:rsidP="00ED4124">
    <w:pPr>
      <w:pStyle w:val="Encabezado"/>
      <w:tabs>
        <w:tab w:val="clear" w:pos="4252"/>
        <w:tab w:val="clear" w:pos="8504"/>
        <w:tab w:val="center" w:pos="4419"/>
        <w:tab w:val="right" w:pos="8838"/>
      </w:tabs>
    </w:pPr>
    <w:r>
      <w:rPr>
        <w:lang w:val="es-ES"/>
      </w:rPr>
      <w:t>[Escriba texto]</w:t>
    </w:r>
    <w:r w:rsidR="00ED4124">
      <w:rPr>
        <w:lang w:val="es-ES"/>
      </w:rPr>
      <w:tab/>
    </w:r>
    <w:r>
      <w:rPr>
        <w:lang w:val="es-ES"/>
      </w:rPr>
      <w:t>[Escriba texto]</w:t>
    </w:r>
    <w:r w:rsidR="00ED4124">
      <w:rPr>
        <w:lang w:val="es-ES"/>
      </w:rPr>
      <w:tab/>
    </w:r>
    <w:r>
      <w:rPr>
        <w:lang w:val="es-ES"/>
      </w:rPr>
      <w:t>[Escriba texto]</w:t>
    </w:r>
  </w:p>
  <w:p w14:paraId="3671265C" w14:textId="77777777" w:rsidR="003C5FB6" w:rsidRDefault="003C5F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E5DB" w14:textId="26F1736D" w:rsidR="003C5FB6" w:rsidRDefault="001923EE">
    <w:pPr>
      <w:pStyle w:val="Encabezado"/>
    </w:pPr>
    <w:r>
      <w:rPr>
        <w:noProof/>
      </w:rPr>
      <w:drawing>
        <wp:anchor distT="0" distB="0" distL="114300" distR="114300" simplePos="0" relativeHeight="251657728" behindDoc="1" locked="0" layoutInCell="1" allowOverlap="1" wp14:anchorId="56D12558" wp14:editId="69CA93C6">
          <wp:simplePos x="0" y="0"/>
          <wp:positionH relativeFrom="page">
            <wp:align>right</wp:align>
          </wp:positionH>
          <wp:positionV relativeFrom="paragraph">
            <wp:posOffset>-454025</wp:posOffset>
          </wp:positionV>
          <wp:extent cx="7886700" cy="10205720"/>
          <wp:effectExtent l="0" t="0" r="0" b="0"/>
          <wp:wrapNone/>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B6"/>
    <w:rsid w:val="00006AB4"/>
    <w:rsid w:val="00010C86"/>
    <w:rsid w:val="000659AB"/>
    <w:rsid w:val="001315BC"/>
    <w:rsid w:val="001923EE"/>
    <w:rsid w:val="00212A74"/>
    <w:rsid w:val="003C5FB6"/>
    <w:rsid w:val="00456BE5"/>
    <w:rsid w:val="00464DC8"/>
    <w:rsid w:val="005B49D9"/>
    <w:rsid w:val="005E0BAC"/>
    <w:rsid w:val="00A7236C"/>
    <w:rsid w:val="00C02942"/>
    <w:rsid w:val="00D238CE"/>
    <w:rsid w:val="00ED4124"/>
    <w:rsid w:val="00F33997"/>
    <w:rsid w:val="00F501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01A62"/>
  <w14:defaultImageDpi w14:val="330"/>
  <w15:chartTrackingRefBased/>
  <w15:docId w15:val="{61470281-B26E-4017-B73C-78735E6F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paragraph" w:styleId="Ttulo1">
    <w:name w:val="heading 1"/>
    <w:basedOn w:val="Normal"/>
    <w:next w:val="Normal"/>
    <w:link w:val="Ttulo1Car"/>
    <w:uiPriority w:val="9"/>
    <w:qFormat/>
    <w:rsid w:val="000659AB"/>
    <w:pPr>
      <w:keepNext/>
      <w:keepLines/>
      <w:spacing w:before="240"/>
      <w:jc w:val="center"/>
      <w:outlineLvl w:val="0"/>
    </w:pPr>
    <w:rPr>
      <w:rFonts w:ascii="ITC Avant Garde" w:eastAsiaTheme="majorEastAsia" w:hAnsi="ITC Avant Garde" w:cstheme="majorBidi"/>
      <w:b/>
      <w:color w:val="000000" w:themeColor="text1"/>
      <w:sz w:val="21"/>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5FB6"/>
    <w:pPr>
      <w:tabs>
        <w:tab w:val="center" w:pos="4252"/>
        <w:tab w:val="right" w:pos="8504"/>
      </w:tabs>
    </w:pPr>
  </w:style>
  <w:style w:type="character" w:customStyle="1" w:styleId="EncabezadoCar">
    <w:name w:val="Encabezado Car"/>
    <w:basedOn w:val="Fuentedeprrafopredeter"/>
    <w:link w:val="Encabezado"/>
    <w:uiPriority w:val="99"/>
    <w:rsid w:val="003C5FB6"/>
  </w:style>
  <w:style w:type="paragraph" w:styleId="Piedepgina">
    <w:name w:val="footer"/>
    <w:basedOn w:val="Normal"/>
    <w:link w:val="PiedepginaCar"/>
    <w:uiPriority w:val="99"/>
    <w:unhideWhenUsed/>
    <w:rsid w:val="003C5FB6"/>
    <w:pPr>
      <w:tabs>
        <w:tab w:val="center" w:pos="4252"/>
        <w:tab w:val="right" w:pos="8504"/>
      </w:tabs>
    </w:pPr>
  </w:style>
  <w:style w:type="character" w:customStyle="1" w:styleId="PiedepginaCar">
    <w:name w:val="Pie de página Car"/>
    <w:basedOn w:val="Fuentedeprrafopredeter"/>
    <w:link w:val="Piedepgina"/>
    <w:uiPriority w:val="99"/>
    <w:rsid w:val="003C5FB6"/>
  </w:style>
  <w:style w:type="paragraph" w:styleId="Textodeglobo">
    <w:name w:val="Balloon Text"/>
    <w:basedOn w:val="Normal"/>
    <w:link w:val="TextodegloboCar"/>
    <w:uiPriority w:val="99"/>
    <w:semiHidden/>
    <w:unhideWhenUsed/>
    <w:rsid w:val="003C5FB6"/>
    <w:rPr>
      <w:rFonts w:ascii="Lucida Grande" w:hAnsi="Lucida Grande" w:cs="Lucida Grande"/>
      <w:sz w:val="18"/>
      <w:szCs w:val="18"/>
    </w:rPr>
  </w:style>
  <w:style w:type="character" w:customStyle="1" w:styleId="TextodegloboCar">
    <w:name w:val="Texto de globo Car"/>
    <w:link w:val="Textodeglobo"/>
    <w:uiPriority w:val="99"/>
    <w:semiHidden/>
    <w:rsid w:val="003C5FB6"/>
    <w:rPr>
      <w:rFonts w:ascii="Lucida Grande" w:hAnsi="Lucida Grande" w:cs="Lucida Grande"/>
      <w:sz w:val="18"/>
      <w:szCs w:val="18"/>
    </w:rPr>
  </w:style>
  <w:style w:type="paragraph" w:customStyle="1" w:styleId="Texto">
    <w:name w:val="Texto"/>
    <w:basedOn w:val="Normal"/>
    <w:link w:val="TextoCar"/>
    <w:rsid w:val="001315BC"/>
    <w:pPr>
      <w:spacing w:after="101" w:line="216" w:lineRule="exact"/>
      <w:ind w:firstLine="288"/>
      <w:jc w:val="both"/>
    </w:pPr>
    <w:rPr>
      <w:rFonts w:ascii="Arial" w:eastAsia="Times New Roman" w:hAnsi="Arial" w:cs="Arial"/>
      <w:sz w:val="18"/>
      <w:szCs w:val="20"/>
      <w:lang w:val="es-MX"/>
    </w:rPr>
  </w:style>
  <w:style w:type="paragraph" w:customStyle="1" w:styleId="CABEZA">
    <w:name w:val="CABEZA"/>
    <w:basedOn w:val="Normal"/>
    <w:rsid w:val="001315BC"/>
    <w:pPr>
      <w:jc w:val="center"/>
    </w:pPr>
    <w:rPr>
      <w:rFonts w:ascii="Times New Roman" w:eastAsia="Times New Roman" w:hAnsi="Times New Roman" w:cs="Arial"/>
      <w:b/>
      <w:sz w:val="28"/>
      <w:szCs w:val="28"/>
      <w:lang w:eastAsia="es-MX"/>
    </w:rPr>
  </w:style>
  <w:style w:type="paragraph" w:customStyle="1" w:styleId="ROMANOS">
    <w:name w:val="ROMANOS"/>
    <w:basedOn w:val="Normal"/>
    <w:link w:val="ROMANOSCar"/>
    <w:rsid w:val="001315BC"/>
    <w:pPr>
      <w:tabs>
        <w:tab w:val="left" w:pos="720"/>
      </w:tabs>
      <w:spacing w:after="101" w:line="216" w:lineRule="exact"/>
      <w:ind w:left="720" w:hanging="432"/>
      <w:jc w:val="both"/>
    </w:pPr>
    <w:rPr>
      <w:rFonts w:ascii="Arial" w:eastAsia="Times New Roman" w:hAnsi="Arial" w:cs="Arial"/>
      <w:sz w:val="18"/>
      <w:szCs w:val="18"/>
      <w:lang w:val="es-MX"/>
    </w:rPr>
  </w:style>
  <w:style w:type="paragraph" w:customStyle="1" w:styleId="INCISO">
    <w:name w:val="INCISO"/>
    <w:basedOn w:val="Normal"/>
    <w:rsid w:val="001315BC"/>
    <w:pPr>
      <w:spacing w:after="101" w:line="216" w:lineRule="exact"/>
      <w:ind w:left="1080" w:hanging="360"/>
      <w:jc w:val="both"/>
    </w:pPr>
    <w:rPr>
      <w:rFonts w:ascii="Arial" w:eastAsia="Times New Roman" w:hAnsi="Arial" w:cs="Arial"/>
      <w:sz w:val="18"/>
      <w:szCs w:val="18"/>
      <w:lang w:val="es-MX"/>
    </w:rPr>
  </w:style>
  <w:style w:type="paragraph" w:customStyle="1" w:styleId="Titulo1">
    <w:name w:val="Titulo 1"/>
    <w:basedOn w:val="Texto"/>
    <w:rsid w:val="001315BC"/>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1315BC"/>
    <w:pPr>
      <w:pBdr>
        <w:top w:val="double" w:sz="6" w:space="1" w:color="auto"/>
      </w:pBdr>
      <w:spacing w:line="240" w:lineRule="auto"/>
      <w:ind w:firstLine="0"/>
      <w:outlineLvl w:val="1"/>
    </w:pPr>
  </w:style>
  <w:style w:type="character" w:customStyle="1" w:styleId="TextoCar">
    <w:name w:val="Texto Car"/>
    <w:link w:val="Texto"/>
    <w:locked/>
    <w:rsid w:val="001315BC"/>
    <w:rPr>
      <w:rFonts w:ascii="Arial" w:eastAsia="Times New Roman" w:hAnsi="Arial" w:cs="Arial"/>
      <w:sz w:val="18"/>
      <w:lang w:eastAsia="es-ES"/>
    </w:rPr>
  </w:style>
  <w:style w:type="character" w:customStyle="1" w:styleId="ROMANOSCar">
    <w:name w:val="ROMANOS Car"/>
    <w:link w:val="ROMANOS"/>
    <w:locked/>
    <w:rsid w:val="001315BC"/>
    <w:rPr>
      <w:rFonts w:ascii="Arial" w:eastAsia="Times New Roman" w:hAnsi="Arial" w:cs="Arial"/>
      <w:sz w:val="18"/>
      <w:szCs w:val="18"/>
      <w:lang w:eastAsia="es-ES"/>
    </w:rPr>
  </w:style>
  <w:style w:type="character" w:styleId="Hipervnculo">
    <w:name w:val="Hyperlink"/>
    <w:uiPriority w:val="99"/>
    <w:unhideWhenUsed/>
    <w:rsid w:val="001315BC"/>
    <w:rPr>
      <w:color w:val="0563C1"/>
      <w:u w:val="single"/>
    </w:rPr>
  </w:style>
  <w:style w:type="character" w:customStyle="1" w:styleId="Ttulo1Car">
    <w:name w:val="Título 1 Car"/>
    <w:basedOn w:val="Fuentedeprrafopredeter"/>
    <w:link w:val="Ttulo1"/>
    <w:uiPriority w:val="9"/>
    <w:rsid w:val="000659AB"/>
    <w:rPr>
      <w:rFonts w:ascii="ITC Avant Garde" w:eastAsiaTheme="majorEastAsia" w:hAnsi="ITC Avant Garde" w:cstheme="majorBidi"/>
      <w:b/>
      <w:color w:val="000000" w:themeColor="text1"/>
      <w:sz w:val="21"/>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f.gob.mx/nota_detalle.php?codigo=5609535&amp;fecha=06/01/20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1BDEC-E324-42D2-BAA1-5026FBC9D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4398</Characters>
  <Application>Microsoft Office Word</Application>
  <DocSecurity>0</DocSecurity>
  <Lines>74</Lines>
  <Paragraphs>26</Paragraphs>
  <ScaleCrop>false</ScaleCrop>
  <HeadingPairs>
    <vt:vector size="2" baseType="variant">
      <vt:variant>
        <vt:lpstr>Título</vt:lpstr>
      </vt:variant>
      <vt:variant>
        <vt:i4>1</vt:i4>
      </vt:variant>
    </vt:vector>
  </HeadingPairs>
  <TitlesOfParts>
    <vt:vector size="1" baseType="lpstr">
      <vt:lpstr>Nota sobre Lineamientos Registro de Radioenlaces Fijos</vt:lpstr>
    </vt:vector>
  </TitlesOfParts>
  <Company>manchitas</Company>
  <LinksUpToDate>false</LinksUpToDate>
  <CharactersWithSpaces>5172</CharactersWithSpaces>
  <SharedDoc>false</SharedDoc>
  <HLinks>
    <vt:vector size="6" baseType="variant">
      <vt:variant>
        <vt:i4>2490371</vt:i4>
      </vt:variant>
      <vt:variant>
        <vt:i4>0</vt:i4>
      </vt:variant>
      <vt:variant>
        <vt:i4>0</vt:i4>
      </vt:variant>
      <vt:variant>
        <vt:i4>5</vt:i4>
      </vt:variant>
      <vt:variant>
        <vt:lpwstr>http://dof.gob.mx/nota_detalle.php?codigo=5609535&amp;fecha=06/01/2021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sobre Lineamientos Registro de Radioenlaces Fijos</dc:title>
  <dc:subject/>
  <dc:creator>Manchitas Franco</dc:creator>
  <cp:keywords/>
  <dc:description/>
  <cp:lastModifiedBy>Carolina Sánchez</cp:lastModifiedBy>
  <cp:revision>2</cp:revision>
  <cp:lastPrinted>2021-11-10T18:21:00Z</cp:lastPrinted>
  <dcterms:created xsi:type="dcterms:W3CDTF">2022-09-02T17:10:00Z</dcterms:created>
  <dcterms:modified xsi:type="dcterms:W3CDTF">2022-09-02T17:10:00Z</dcterms:modified>
</cp:coreProperties>
</file>