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1F6F6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 xml:space="preserve">1.- Nombre de la Regulación: </w:t>
      </w:r>
      <w:bookmarkStart w:id="0" w:name="_GoBack"/>
      <w:bookmarkEnd w:id="0"/>
    </w:p>
    <w:tbl>
      <w:tblPr>
        <w:tblStyle w:val="Tablaconcuadrcula"/>
        <w:tblW w:w="0" w:type="auto"/>
        <w:tblLook w:val="04A0" w:firstRow="1" w:lastRow="0" w:firstColumn="1" w:lastColumn="0" w:noHBand="0" w:noVBand="1"/>
      </w:tblPr>
      <w:tblGrid>
        <w:gridCol w:w="8828"/>
      </w:tblGrid>
      <w:tr w:rsidR="006166DB" w:rsidRPr="001F6F67" w14:paraId="1B2E1BC8" w14:textId="77777777" w:rsidTr="00DF074B">
        <w:tc>
          <w:tcPr>
            <w:tcW w:w="8828" w:type="dxa"/>
          </w:tcPr>
          <w:p w14:paraId="5E631BCB" w14:textId="5CC10D06" w:rsidR="006166DB" w:rsidRPr="001F6F67" w:rsidRDefault="00D2311C" w:rsidP="00053038">
            <w:pPr>
              <w:contextualSpacing/>
              <w:mirrorIndents/>
              <w:jc w:val="both"/>
              <w:rPr>
                <w:rFonts w:ascii="ITC Avant Garde" w:hAnsi="ITC Avant Garde"/>
                <w:color w:val="000000" w:themeColor="text1"/>
                <w:sz w:val="21"/>
                <w:szCs w:val="21"/>
              </w:rPr>
            </w:pPr>
            <w:r w:rsidRPr="001F6F67">
              <w:rPr>
                <w:rFonts w:ascii="ITC Avant Garde" w:hAnsi="ITC Avant Garde"/>
                <w:color w:val="000000"/>
                <w:sz w:val="21"/>
                <w:szCs w:val="21"/>
              </w:rPr>
              <w:t>Acuerdo mediante el cual el Pleno del Instituto Federal de Telecomunicaciones emite los Lineamientos que fijan los índices y parámetros de calidad a que deberán sujetarse los prestadores del servicio fijo</w:t>
            </w:r>
          </w:p>
        </w:tc>
      </w:tr>
    </w:tbl>
    <w:p w14:paraId="52EC83BF" w14:textId="77777777" w:rsidR="006166DB" w:rsidRPr="001F6F67"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1F6F6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1F6F67" w14:paraId="454C3A95" w14:textId="77777777" w:rsidTr="00DF074B">
        <w:tc>
          <w:tcPr>
            <w:tcW w:w="8828" w:type="dxa"/>
          </w:tcPr>
          <w:p w14:paraId="1A68E5FF" w14:textId="17C8A606" w:rsidR="006166DB" w:rsidRPr="001F6F67" w:rsidRDefault="006166DB" w:rsidP="00053038">
            <w:pPr>
              <w:contextualSpacing/>
              <w:mirrorIndents/>
              <w:rPr>
                <w:rStyle w:val="Estilo4"/>
                <w:rFonts w:ascii="ITC Avant Garde" w:hAnsi="ITC Avant Garde"/>
                <w:sz w:val="21"/>
                <w:szCs w:val="21"/>
              </w:rPr>
            </w:pPr>
            <w:r w:rsidRPr="001F6F67">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1-13T00:00:00Z">
                  <w:dateFormat w:val="dd/MM/yyyy"/>
                  <w:lid w:val="es-MX"/>
                  <w:storeMappedDataAs w:val="dateTime"/>
                  <w:calendar w:val="gregorian"/>
                </w:date>
              </w:sdtPr>
              <w:sdtEndPr>
                <w:rPr>
                  <w:rStyle w:val="Estilo4"/>
                </w:rPr>
              </w:sdtEndPr>
              <w:sdtContent>
                <w:r w:rsidR="00053038" w:rsidRPr="001F6F67">
                  <w:rPr>
                    <w:rStyle w:val="Estilo4"/>
                    <w:rFonts w:ascii="ITC Avant Garde" w:hAnsi="ITC Avant Garde"/>
                    <w:sz w:val="21"/>
                    <w:szCs w:val="21"/>
                  </w:rPr>
                  <w:t>13/11/2019</w:t>
                </w:r>
              </w:sdtContent>
            </w:sdt>
          </w:p>
        </w:tc>
      </w:tr>
      <w:tr w:rsidR="003F1D7B" w:rsidRPr="001F6F67" w14:paraId="098151CF" w14:textId="77777777" w:rsidTr="00DF074B">
        <w:tc>
          <w:tcPr>
            <w:tcW w:w="8828" w:type="dxa"/>
          </w:tcPr>
          <w:p w14:paraId="07D4CB20" w14:textId="54C0D93B" w:rsidR="003F1D7B" w:rsidRPr="001F6F67" w:rsidRDefault="003F1D7B" w:rsidP="00053038">
            <w:pPr>
              <w:contextualSpacing/>
              <w:mirrorIndents/>
              <w:rPr>
                <w:rStyle w:val="Estilo4"/>
                <w:rFonts w:ascii="ITC Avant Garde" w:hAnsi="ITC Avant Garde"/>
                <w:sz w:val="21"/>
                <w:szCs w:val="21"/>
              </w:rPr>
            </w:pPr>
            <w:r w:rsidRPr="001F6F67">
              <w:rPr>
                <w:rStyle w:val="Estilo4"/>
                <w:rFonts w:ascii="ITC Avant Garde" w:hAnsi="ITC Avant Garde"/>
                <w:sz w:val="21"/>
                <w:szCs w:val="21"/>
              </w:rPr>
              <w:t>Fe</w:t>
            </w:r>
            <w:r w:rsidR="00053038" w:rsidRPr="001F6F67">
              <w:rPr>
                <w:rStyle w:val="Estilo4"/>
                <w:rFonts w:ascii="ITC Avant Garde" w:hAnsi="ITC Avant Garde"/>
                <w:sz w:val="21"/>
                <w:szCs w:val="21"/>
              </w:rPr>
              <w:t>cha de publicación en el DOF: 25/02/2020</w:t>
            </w:r>
            <w:r w:rsidRPr="001F6F67">
              <w:rPr>
                <w:rStyle w:val="Estilo4"/>
                <w:rFonts w:ascii="ITC Avant Garde" w:hAnsi="ITC Avant Garde"/>
                <w:sz w:val="21"/>
                <w:szCs w:val="21"/>
              </w:rPr>
              <w:t xml:space="preserve"> </w:t>
            </w:r>
          </w:p>
        </w:tc>
      </w:tr>
      <w:tr w:rsidR="00DF074B" w:rsidRPr="001F6F67" w14:paraId="784A8897" w14:textId="77777777" w:rsidTr="00DF074B">
        <w:tc>
          <w:tcPr>
            <w:tcW w:w="8828" w:type="dxa"/>
          </w:tcPr>
          <w:p w14:paraId="335C558B" w14:textId="3F4F6604" w:rsidR="00DF074B" w:rsidRPr="001F6F67" w:rsidRDefault="004C31A6" w:rsidP="003F1D7B">
            <w:pPr>
              <w:contextualSpacing/>
              <w:mirrorIndents/>
              <w:rPr>
                <w:rStyle w:val="Estilo4"/>
                <w:rFonts w:ascii="ITC Avant Garde" w:hAnsi="ITC Avant Garde"/>
                <w:sz w:val="21"/>
                <w:szCs w:val="21"/>
              </w:rPr>
            </w:pPr>
            <w:r w:rsidRPr="001F6F67">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053038" w:rsidRPr="001F6F67">
                  <w:rPr>
                    <w:rStyle w:val="Estilo4"/>
                    <w:rFonts w:ascii="ITC Avant Garde" w:hAnsi="ITC Avant Garde"/>
                    <w:sz w:val="21"/>
                    <w:szCs w:val="21"/>
                  </w:rPr>
                  <w:t xml:space="preserve">Indefinida </w:t>
                </w:r>
              </w:sdtContent>
            </w:sdt>
          </w:p>
        </w:tc>
      </w:tr>
      <w:tr w:rsidR="006166DB" w:rsidRPr="001F6F67" w14:paraId="25C2F9B9" w14:textId="77777777" w:rsidTr="00DF074B">
        <w:tc>
          <w:tcPr>
            <w:tcW w:w="8828" w:type="dxa"/>
          </w:tcPr>
          <w:p w14:paraId="187042E5" w14:textId="1C89F59D" w:rsidR="006166DB" w:rsidRPr="001F6F67" w:rsidRDefault="006166DB" w:rsidP="00053038">
            <w:pPr>
              <w:contextualSpacing/>
              <w:mirrorIndents/>
              <w:rPr>
                <w:rStyle w:val="Estilo4"/>
                <w:rFonts w:ascii="ITC Avant Garde" w:hAnsi="ITC Avant Garde"/>
                <w:sz w:val="21"/>
                <w:szCs w:val="21"/>
              </w:rPr>
            </w:pPr>
            <w:r w:rsidRPr="001F6F67">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0-08-01T00:00:00Z">
                  <w:dateFormat w:val="dd/MM/yyyy"/>
                  <w:lid w:val="es-MX"/>
                  <w:storeMappedDataAs w:val="dateTime"/>
                  <w:calendar w:val="gregorian"/>
                </w:date>
              </w:sdtPr>
              <w:sdtEndPr>
                <w:rPr>
                  <w:rStyle w:val="Estilo4"/>
                </w:rPr>
              </w:sdtEndPr>
              <w:sdtContent>
                <w:r w:rsidR="00A9051D" w:rsidRPr="001F6F67">
                  <w:rPr>
                    <w:rStyle w:val="Estilo4"/>
                    <w:rFonts w:ascii="ITC Avant Garde" w:hAnsi="ITC Avant Garde"/>
                    <w:sz w:val="21"/>
                    <w:szCs w:val="21"/>
                  </w:rPr>
                  <w:t>01/08/2020</w:t>
                </w:r>
              </w:sdtContent>
            </w:sdt>
            <w:r w:rsidRPr="001F6F67">
              <w:rPr>
                <w:rStyle w:val="Estilo4"/>
                <w:rFonts w:ascii="ITC Avant Garde" w:hAnsi="ITC Avant Garde"/>
                <w:sz w:val="21"/>
                <w:szCs w:val="21"/>
              </w:rPr>
              <w:t xml:space="preserve"> </w:t>
            </w:r>
          </w:p>
        </w:tc>
      </w:tr>
      <w:tr w:rsidR="00DF074B" w:rsidRPr="001F6F67" w14:paraId="5C60735A" w14:textId="77777777" w:rsidTr="007F5106">
        <w:trPr>
          <w:trHeight w:val="50"/>
        </w:trPr>
        <w:tc>
          <w:tcPr>
            <w:tcW w:w="8828" w:type="dxa"/>
          </w:tcPr>
          <w:p w14:paraId="43F30054" w14:textId="3B676080" w:rsidR="00DF074B" w:rsidRPr="001F6F67" w:rsidRDefault="00DF074B" w:rsidP="00053038">
            <w:pPr>
              <w:contextualSpacing/>
              <w:mirrorIndents/>
              <w:rPr>
                <w:rStyle w:val="Estilo4"/>
                <w:rFonts w:ascii="ITC Avant Garde" w:hAnsi="ITC Avant Garde"/>
                <w:sz w:val="21"/>
                <w:szCs w:val="21"/>
              </w:rPr>
            </w:pPr>
            <w:r w:rsidRPr="001F6F67">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053038" w:rsidRPr="001F6F67">
                  <w:rPr>
                    <w:rStyle w:val="Estilo4"/>
                    <w:rFonts w:ascii="ITC Avant Garde" w:hAnsi="ITC Avant Garde"/>
                    <w:sz w:val="21"/>
                    <w:szCs w:val="21"/>
                  </w:rPr>
                  <w:t>No aplica</w:t>
                </w:r>
              </w:sdtContent>
            </w:sdt>
            <w:r w:rsidRPr="001F6F67">
              <w:rPr>
                <w:rStyle w:val="Estilo4"/>
                <w:rFonts w:ascii="ITC Avant Garde" w:hAnsi="ITC Avant Garde"/>
                <w:sz w:val="21"/>
                <w:szCs w:val="21"/>
              </w:rPr>
              <w:t xml:space="preserve"> </w:t>
            </w:r>
          </w:p>
        </w:tc>
      </w:tr>
    </w:tbl>
    <w:p w14:paraId="7B361F8E" w14:textId="77777777" w:rsidR="006166DB" w:rsidRPr="001F6F67"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1F6F6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1F6F67" w14:paraId="2E594784" w14:textId="77777777" w:rsidTr="00DF074B">
        <w:tc>
          <w:tcPr>
            <w:tcW w:w="8828" w:type="dxa"/>
          </w:tcPr>
          <w:p w14:paraId="6C41AB66" w14:textId="7EAE731F" w:rsidR="006166DB" w:rsidRPr="001F6F67" w:rsidRDefault="00053038" w:rsidP="002434FF">
            <w:pPr>
              <w:mirrorIndents/>
              <w:rPr>
                <w:rFonts w:ascii="ITC Avant Garde" w:hAnsi="ITC Avant Garde"/>
                <w:color w:val="000000" w:themeColor="text1"/>
                <w:sz w:val="21"/>
                <w:szCs w:val="21"/>
              </w:rPr>
            </w:pPr>
            <w:r w:rsidRPr="001F6F67">
              <w:rPr>
                <w:rFonts w:ascii="ITC Avant Garde" w:hAnsi="ITC Avant Garde"/>
                <w:color w:val="000000" w:themeColor="text1"/>
                <w:sz w:val="21"/>
                <w:szCs w:val="21"/>
              </w:rPr>
              <w:t>Instituto Federal de Telecomunicaciones</w:t>
            </w:r>
          </w:p>
        </w:tc>
      </w:tr>
    </w:tbl>
    <w:p w14:paraId="32195651" w14:textId="77777777" w:rsidR="006166DB" w:rsidRPr="001F6F67"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1F6F6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1F6F67" w14:paraId="0FEE5916" w14:textId="77777777" w:rsidTr="00DF074B">
        <w:tc>
          <w:tcPr>
            <w:tcW w:w="8828" w:type="dxa"/>
          </w:tcPr>
          <w:p w14:paraId="043F6ABC" w14:textId="333D748D" w:rsidR="006166DB" w:rsidRPr="001F6F67" w:rsidRDefault="00053038" w:rsidP="002434FF">
            <w:pPr>
              <w:contextualSpacing/>
              <w:mirrorIndents/>
              <w:rPr>
                <w:rFonts w:ascii="ITC Avant Garde" w:hAnsi="ITC Avant Garde"/>
                <w:color w:val="000000" w:themeColor="text1"/>
                <w:sz w:val="21"/>
                <w:szCs w:val="21"/>
              </w:rPr>
            </w:pPr>
            <w:r w:rsidRPr="001F6F67">
              <w:rPr>
                <w:rFonts w:ascii="ITC Avant Garde" w:hAnsi="ITC Avant Garde"/>
                <w:color w:val="000000" w:themeColor="text1"/>
                <w:sz w:val="21"/>
                <w:szCs w:val="21"/>
              </w:rPr>
              <w:t>Instituto Federal de Telecomunicaciones</w:t>
            </w:r>
          </w:p>
        </w:tc>
      </w:tr>
    </w:tbl>
    <w:p w14:paraId="45DC499A" w14:textId="063A5F7C" w:rsidR="006166DB" w:rsidRPr="001F6F67"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1F6F67"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1F6F67" w14:paraId="749D808B" w14:textId="77777777" w:rsidTr="00DF074B">
        <w:tc>
          <w:tcPr>
            <w:tcW w:w="8828" w:type="dxa"/>
          </w:tcPr>
          <w:p w14:paraId="07FF9FAE" w14:textId="731AA57C" w:rsidR="00DC3A1A" w:rsidRPr="001F6F67" w:rsidRDefault="00C76443" w:rsidP="00DF074B">
            <w:pPr>
              <w:contextualSpacing/>
              <w:mirrorIndents/>
              <w:rPr>
                <w:rFonts w:ascii="ITC Avant Garde" w:hAnsi="ITC Avant Garde"/>
                <w:color w:val="000000" w:themeColor="text1"/>
                <w:sz w:val="21"/>
                <w:szCs w:val="21"/>
              </w:rPr>
            </w:pPr>
            <w:r w:rsidRPr="001F6F67">
              <w:rPr>
                <w:rStyle w:val="Estilo4"/>
                <w:rFonts w:ascii="ITC Avant Garde" w:hAnsi="ITC Avant Garde"/>
                <w:sz w:val="21"/>
                <w:szCs w:val="21"/>
              </w:rPr>
              <w:t>Ámbito de Aplicación</w:t>
            </w:r>
            <w:r w:rsidR="00366E21" w:rsidRPr="001F6F67">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053038" w:rsidRPr="001F6F67">
                  <w:rPr>
                    <w:rStyle w:val="Estilo4"/>
                    <w:rFonts w:ascii="ITC Avant Garde" w:hAnsi="ITC Avant Garde"/>
                    <w:sz w:val="21"/>
                    <w:szCs w:val="21"/>
                  </w:rPr>
                  <w:t>Federal</w:t>
                </w:r>
              </w:sdtContent>
            </w:sdt>
          </w:p>
        </w:tc>
      </w:tr>
    </w:tbl>
    <w:p w14:paraId="086DD737" w14:textId="5145C4EC" w:rsidR="00DC3A1A" w:rsidRPr="001F6F67"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1F6F67"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6</w:t>
      </w:r>
      <w:r w:rsidR="006166DB" w:rsidRPr="001F6F67">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1F6F67" w14:paraId="380262AA" w14:textId="77777777" w:rsidTr="00DF074B">
        <w:tc>
          <w:tcPr>
            <w:tcW w:w="8828" w:type="dxa"/>
          </w:tcPr>
          <w:p w14:paraId="1917902A" w14:textId="77F664B4" w:rsidR="006166DB" w:rsidRPr="001F6F67" w:rsidRDefault="00053038" w:rsidP="0092333A">
            <w:pPr>
              <w:contextualSpacing/>
              <w:mirrorIndents/>
              <w:jc w:val="both"/>
              <w:rPr>
                <w:rFonts w:ascii="ITC Avant Garde" w:hAnsi="ITC Avant Garde"/>
                <w:color w:val="000000" w:themeColor="text1"/>
                <w:sz w:val="21"/>
                <w:szCs w:val="21"/>
              </w:rPr>
            </w:pPr>
            <w:r w:rsidRPr="001F6F67">
              <w:rPr>
                <w:rFonts w:ascii="ITC Avant Garde" w:hAnsi="ITC Avant Garde"/>
                <w:color w:val="000000" w:themeColor="text1"/>
                <w:sz w:val="21"/>
                <w:szCs w:val="21"/>
              </w:rPr>
              <w:t>27/05/2020</w:t>
            </w:r>
          </w:p>
        </w:tc>
      </w:tr>
    </w:tbl>
    <w:p w14:paraId="4E8FF191" w14:textId="77777777" w:rsidR="006166DB" w:rsidRPr="001F6F67"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1F6F67"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7</w:t>
      </w:r>
      <w:r w:rsidR="006166DB" w:rsidRPr="001F6F67">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1F6F67" w14:paraId="00840257" w14:textId="77777777" w:rsidTr="00DF074B">
        <w:tc>
          <w:tcPr>
            <w:tcW w:w="8828" w:type="dxa"/>
          </w:tcPr>
          <w:p w14:paraId="5DFAFB35" w14:textId="1C9F89B1" w:rsidR="006166DB" w:rsidRPr="001F6F67" w:rsidRDefault="001F6F67"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053038" w:rsidRPr="001F6F67">
                  <w:rPr>
                    <w:rStyle w:val="Estilo4"/>
                    <w:rFonts w:ascii="ITC Avant Garde" w:hAnsi="ITC Avant Garde"/>
                    <w:sz w:val="21"/>
                    <w:szCs w:val="21"/>
                  </w:rPr>
                  <w:t xml:space="preserve">Lineamiento </w:t>
                </w:r>
              </w:sdtContent>
            </w:sdt>
          </w:p>
        </w:tc>
      </w:tr>
    </w:tbl>
    <w:p w14:paraId="635A852A" w14:textId="77777777" w:rsidR="006166DB" w:rsidRPr="001F6F67"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42A11D9A" w:rsidR="006166DB" w:rsidRPr="001F6F67"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8</w:t>
      </w:r>
      <w:r w:rsidR="006166DB" w:rsidRPr="001F6F67">
        <w:rPr>
          <w:rFonts w:ascii="ITC Avant Garde" w:hAnsi="ITC Avant Garde"/>
          <w:b/>
          <w:color w:val="000000" w:themeColor="text1"/>
          <w:sz w:val="21"/>
          <w:szCs w:val="21"/>
        </w:rPr>
        <w:t>.</w:t>
      </w:r>
      <w:r w:rsidR="00F12E39" w:rsidRPr="001F6F67">
        <w:rPr>
          <w:rFonts w:ascii="ITC Avant Garde" w:hAnsi="ITC Avant Garde"/>
          <w:b/>
          <w:color w:val="000000" w:themeColor="text1"/>
          <w:sz w:val="21"/>
          <w:szCs w:val="21"/>
        </w:rPr>
        <w:t>-</w:t>
      </w:r>
      <w:r w:rsidR="006166DB" w:rsidRPr="001F6F67">
        <w:rPr>
          <w:rFonts w:ascii="ITC Avant Garde" w:hAnsi="ITC Avant Garde"/>
          <w:sz w:val="21"/>
          <w:szCs w:val="21"/>
        </w:rPr>
        <w:t xml:space="preserve"> </w:t>
      </w:r>
      <w:r w:rsidR="006166DB" w:rsidRPr="001F6F67">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1F6F67" w14:paraId="040BA959" w14:textId="77777777" w:rsidTr="00F73022">
        <w:trPr>
          <w:trHeight w:val="65"/>
        </w:trPr>
        <w:tc>
          <w:tcPr>
            <w:tcW w:w="8828" w:type="dxa"/>
          </w:tcPr>
          <w:p w14:paraId="5F275C45" w14:textId="00BCCA7F" w:rsidR="004C0233" w:rsidRPr="001F6F67" w:rsidRDefault="00F439D6" w:rsidP="00F439D6">
            <w:pPr>
              <w:mirrorIndents/>
              <w:rPr>
                <w:rFonts w:ascii="ITC Avant Garde" w:hAnsi="ITC Avant Garde"/>
                <w:color w:val="000000" w:themeColor="text1"/>
                <w:sz w:val="21"/>
                <w:szCs w:val="21"/>
              </w:rPr>
            </w:pPr>
            <w:r w:rsidRPr="001F6F67">
              <w:rPr>
                <w:rFonts w:ascii="ITC Avant Garde" w:hAnsi="ITC Avant Garde"/>
                <w:color w:val="000000" w:themeColor="text1"/>
                <w:sz w:val="21"/>
                <w:szCs w:val="21"/>
              </w:rPr>
              <w:t>No aplica</w:t>
            </w:r>
          </w:p>
        </w:tc>
      </w:tr>
    </w:tbl>
    <w:p w14:paraId="4E6C6C7C" w14:textId="77777777" w:rsidR="00F73022" w:rsidRPr="001F6F67" w:rsidRDefault="00F73022" w:rsidP="002434FF">
      <w:pPr>
        <w:spacing w:after="0" w:line="240" w:lineRule="auto"/>
        <w:contextualSpacing/>
        <w:mirrorIndents/>
        <w:rPr>
          <w:rFonts w:ascii="ITC Avant Garde" w:hAnsi="ITC Avant Garde"/>
          <w:color w:val="000000" w:themeColor="text1"/>
          <w:sz w:val="21"/>
          <w:szCs w:val="21"/>
        </w:rPr>
      </w:pPr>
    </w:p>
    <w:p w14:paraId="308AB0E2" w14:textId="39F97E6D" w:rsidR="00F73022" w:rsidRPr="001F6F67"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1F6F67">
        <w:rPr>
          <w:rFonts w:ascii="ITC Avant Garde" w:hAnsi="ITC Avant Garde"/>
          <w:b/>
          <w:color w:val="000000" w:themeColor="text1"/>
          <w:sz w:val="21"/>
          <w:szCs w:val="21"/>
        </w:rPr>
        <w:t>9</w:t>
      </w:r>
      <w:r w:rsidR="00F73022" w:rsidRPr="001F6F67">
        <w:rPr>
          <w:rFonts w:ascii="ITC Avant Garde" w:hAnsi="ITC Avant Garde"/>
          <w:b/>
          <w:color w:val="000000" w:themeColor="text1"/>
          <w:sz w:val="21"/>
          <w:szCs w:val="21"/>
        </w:rPr>
        <w:t>.</w:t>
      </w:r>
      <w:r w:rsidR="00F12E39" w:rsidRPr="001F6F67">
        <w:rPr>
          <w:rFonts w:ascii="ITC Avant Garde" w:hAnsi="ITC Avant Garde"/>
          <w:b/>
          <w:color w:val="000000" w:themeColor="text1"/>
          <w:sz w:val="21"/>
          <w:szCs w:val="21"/>
        </w:rPr>
        <w:t>-</w:t>
      </w:r>
      <w:r w:rsidR="00F73022" w:rsidRPr="001F6F67">
        <w:rPr>
          <w:rFonts w:ascii="ITC Avant Garde" w:hAnsi="ITC Avant Garde"/>
          <w:sz w:val="21"/>
          <w:szCs w:val="21"/>
        </w:rPr>
        <w:t xml:space="preserve"> </w:t>
      </w:r>
      <w:r w:rsidR="00F73022" w:rsidRPr="001F6F67">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1F6F67" w14:paraId="373C675C" w14:textId="77777777" w:rsidTr="00DF074B">
        <w:tc>
          <w:tcPr>
            <w:tcW w:w="8828" w:type="dxa"/>
          </w:tcPr>
          <w:p w14:paraId="53B08DCA" w14:textId="051D9CEA" w:rsidR="00F73022" w:rsidRPr="001F6F67" w:rsidRDefault="004C0233" w:rsidP="004C0233">
            <w:pPr>
              <w:tabs>
                <w:tab w:val="left" w:pos="1500"/>
              </w:tabs>
              <w:contextualSpacing/>
              <w:mirrorIndents/>
              <w:jc w:val="both"/>
              <w:rPr>
                <w:rFonts w:ascii="ITC Avant Garde" w:hAnsi="ITC Avant Garde"/>
                <w:color w:val="000000" w:themeColor="text1"/>
                <w:sz w:val="21"/>
                <w:szCs w:val="21"/>
              </w:rPr>
            </w:pPr>
            <w:r w:rsidRPr="001F6F67">
              <w:rPr>
                <w:rFonts w:ascii="ITC Avant Garde" w:hAnsi="ITC Avant Garde"/>
                <w:color w:val="000000" w:themeColor="text1"/>
                <w:sz w:val="21"/>
                <w:szCs w:val="21"/>
              </w:rPr>
              <w:t>F</w:t>
            </w:r>
            <w:r w:rsidR="00053038" w:rsidRPr="001F6F67">
              <w:rPr>
                <w:rFonts w:ascii="ITC Avant Garde" w:hAnsi="ITC Avant Garde"/>
                <w:color w:val="000000" w:themeColor="text1"/>
                <w:sz w:val="21"/>
                <w:szCs w:val="21"/>
              </w:rPr>
              <w:t>ijar los índices y parámetros de calidad del servicio fijo, así como establecer los términos para que dicho servicio se preste en condiciones de calidad en el territorio nacional en beneficio de los usuarios finales, de conformidad con lo dispuesto en la Ley Federal de Telecomunicaciones y Radiodifusión.</w:t>
            </w:r>
          </w:p>
        </w:tc>
      </w:tr>
    </w:tbl>
    <w:p w14:paraId="2355FA42" w14:textId="77777777" w:rsidR="00F73022" w:rsidRPr="001F6F67"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1F6F67"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10</w:t>
      </w:r>
      <w:r w:rsidR="006166DB" w:rsidRPr="001F6F67">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1F6F67" w14:paraId="36A134C5" w14:textId="77777777" w:rsidTr="00DF074B">
        <w:tc>
          <w:tcPr>
            <w:tcW w:w="8828" w:type="dxa"/>
          </w:tcPr>
          <w:p w14:paraId="0C79C5AD" w14:textId="303B2556" w:rsidR="006166DB" w:rsidRPr="001F6F67" w:rsidRDefault="006166DB" w:rsidP="002434FF">
            <w:pPr>
              <w:contextualSpacing/>
              <w:mirrorIndents/>
              <w:rPr>
                <w:rFonts w:ascii="ITC Avant Garde" w:hAnsi="ITC Avant Garde"/>
                <w:sz w:val="21"/>
                <w:szCs w:val="21"/>
              </w:rPr>
            </w:pPr>
            <w:r w:rsidRPr="001F6F67">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4C0233" w:rsidRPr="001F6F67">
                  <w:rPr>
                    <w:rFonts w:ascii="ITC Avant Garde" w:hAnsi="ITC Avant Garde"/>
                    <w:sz w:val="21"/>
                    <w:szCs w:val="21"/>
                  </w:rPr>
                  <w:t xml:space="preserve">Telecomunicaciones </w:t>
                </w:r>
              </w:sdtContent>
            </w:sdt>
            <w:r w:rsidRPr="001F6F67">
              <w:rPr>
                <w:rFonts w:ascii="ITC Avant Garde" w:hAnsi="ITC Avant Garde"/>
                <w:sz w:val="21"/>
                <w:szCs w:val="21"/>
              </w:rPr>
              <w:t xml:space="preserve">  </w:t>
            </w:r>
          </w:p>
        </w:tc>
      </w:tr>
      <w:tr w:rsidR="006166DB" w:rsidRPr="001F6F67" w14:paraId="78629502" w14:textId="77777777" w:rsidTr="00DF074B">
        <w:tc>
          <w:tcPr>
            <w:tcW w:w="8828" w:type="dxa"/>
          </w:tcPr>
          <w:p w14:paraId="617248E0" w14:textId="65DD33F8" w:rsidR="006166DB" w:rsidRPr="001F6F67" w:rsidRDefault="006166DB" w:rsidP="002434FF">
            <w:pPr>
              <w:contextualSpacing/>
              <w:mirrorIndents/>
              <w:rPr>
                <w:rFonts w:ascii="ITC Avant Garde" w:hAnsi="ITC Avant Garde"/>
                <w:sz w:val="21"/>
                <w:szCs w:val="21"/>
              </w:rPr>
            </w:pPr>
            <w:r w:rsidRPr="001F6F67">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4C0233" w:rsidRPr="001F6F67">
                  <w:rPr>
                    <w:rFonts w:ascii="ITC Avant Garde" w:hAnsi="ITC Avant Garde"/>
                    <w:sz w:val="21"/>
                    <w:szCs w:val="21"/>
                  </w:rPr>
                  <w:t>Operadores de servicios de telecomunicaciones alámbricas</w:t>
                </w:r>
              </w:sdtContent>
            </w:sdt>
          </w:p>
        </w:tc>
      </w:tr>
      <w:tr w:rsidR="004C0233" w:rsidRPr="001F6F67" w14:paraId="3E9CD597" w14:textId="77777777" w:rsidTr="00DF074B">
        <w:tc>
          <w:tcPr>
            <w:tcW w:w="8828" w:type="dxa"/>
          </w:tcPr>
          <w:p w14:paraId="3FBFDD62" w14:textId="00AE6AF8" w:rsidR="004C0233" w:rsidRPr="001F6F67" w:rsidRDefault="004C0233" w:rsidP="002434FF">
            <w:pPr>
              <w:contextualSpacing/>
              <w:mirrorIndents/>
              <w:rPr>
                <w:rFonts w:ascii="ITC Avant Garde" w:hAnsi="ITC Avant Garde"/>
                <w:sz w:val="21"/>
                <w:szCs w:val="21"/>
              </w:rPr>
            </w:pPr>
            <w:r w:rsidRPr="001F6F67">
              <w:rPr>
                <w:rFonts w:ascii="ITC Avant Garde" w:hAnsi="ITC Avant Garde"/>
                <w:sz w:val="21"/>
                <w:szCs w:val="21"/>
              </w:rPr>
              <w:t xml:space="preserve">Sector: </w:t>
            </w:r>
            <w:sdt>
              <w:sdtPr>
                <w:rPr>
                  <w:rFonts w:ascii="ITC Avant Garde" w:hAnsi="ITC Avant Garde"/>
                  <w:sz w:val="21"/>
                  <w:szCs w:val="21"/>
                </w:rPr>
                <w:id w:val="511110927"/>
                <w:placeholder>
                  <w:docPart w:val="E85D22AF345C42E0AC1FEDD72DE8DB2A"/>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1F6F67">
                  <w:rPr>
                    <w:rFonts w:ascii="ITC Avant Garde" w:hAnsi="ITC Avant Garde"/>
                    <w:sz w:val="21"/>
                    <w:szCs w:val="21"/>
                  </w:rPr>
                  <w:t>Operadores de servicios de telecomunicaciones inalámbricas</w:t>
                </w:r>
              </w:sdtContent>
            </w:sdt>
          </w:p>
        </w:tc>
      </w:tr>
      <w:tr w:rsidR="006166DB" w:rsidRPr="001F6F67" w14:paraId="380D841C" w14:textId="77777777" w:rsidTr="00DF074B">
        <w:tc>
          <w:tcPr>
            <w:tcW w:w="8828" w:type="dxa"/>
          </w:tcPr>
          <w:p w14:paraId="6C9F585B" w14:textId="786DBBF6" w:rsidR="006166DB" w:rsidRPr="001F6F67" w:rsidRDefault="006166DB" w:rsidP="0092333A">
            <w:pPr>
              <w:contextualSpacing/>
              <w:mirrorIndents/>
              <w:rPr>
                <w:rFonts w:ascii="ITC Avant Garde" w:hAnsi="ITC Avant Garde"/>
                <w:sz w:val="21"/>
                <w:szCs w:val="21"/>
              </w:rPr>
            </w:pPr>
            <w:r w:rsidRPr="001F6F67">
              <w:rPr>
                <w:rFonts w:ascii="ITC Avant Garde" w:hAnsi="ITC Avant Garde"/>
                <w:sz w:val="21"/>
                <w:szCs w:val="21"/>
              </w:rPr>
              <w:t xml:space="preserve">Regulado: </w:t>
            </w:r>
            <w:r w:rsidR="00F439D6" w:rsidRPr="001F6F67">
              <w:rPr>
                <w:rFonts w:ascii="ITC Avant Garde" w:hAnsi="ITC Avant Garde"/>
                <w:sz w:val="21"/>
                <w:szCs w:val="21"/>
              </w:rPr>
              <w:t>Concesionarios y autorizados que p</w:t>
            </w:r>
            <w:r w:rsidR="004C0233" w:rsidRPr="001F6F67">
              <w:rPr>
                <w:rFonts w:ascii="ITC Avant Garde" w:hAnsi="ITC Avant Garde"/>
                <w:sz w:val="21"/>
                <w:szCs w:val="21"/>
              </w:rPr>
              <w:t>rest</w:t>
            </w:r>
            <w:r w:rsidR="00F439D6" w:rsidRPr="001F6F67">
              <w:rPr>
                <w:rFonts w:ascii="ITC Avant Garde" w:hAnsi="ITC Avant Garde"/>
                <w:sz w:val="21"/>
                <w:szCs w:val="21"/>
              </w:rPr>
              <w:t xml:space="preserve">en </w:t>
            </w:r>
            <w:r w:rsidR="004C0233" w:rsidRPr="001F6F67">
              <w:rPr>
                <w:rFonts w:ascii="ITC Avant Garde" w:hAnsi="ITC Avant Garde"/>
                <w:sz w:val="21"/>
                <w:szCs w:val="21"/>
              </w:rPr>
              <w:t xml:space="preserve">el </w:t>
            </w:r>
            <w:r w:rsidR="00F439D6" w:rsidRPr="001F6F67">
              <w:rPr>
                <w:rFonts w:ascii="ITC Avant Garde" w:hAnsi="ITC Avant Garde"/>
                <w:sz w:val="21"/>
                <w:szCs w:val="21"/>
              </w:rPr>
              <w:t>s</w:t>
            </w:r>
            <w:r w:rsidR="004C0233" w:rsidRPr="001F6F67">
              <w:rPr>
                <w:rFonts w:ascii="ITC Avant Garde" w:hAnsi="ITC Avant Garde"/>
                <w:sz w:val="21"/>
                <w:szCs w:val="21"/>
              </w:rPr>
              <w:t xml:space="preserve">ervicio </w:t>
            </w:r>
            <w:r w:rsidR="00F439D6" w:rsidRPr="001F6F67">
              <w:rPr>
                <w:rFonts w:ascii="ITC Avant Garde" w:hAnsi="ITC Avant Garde"/>
                <w:sz w:val="21"/>
                <w:szCs w:val="21"/>
              </w:rPr>
              <w:t>de telefonía f</w:t>
            </w:r>
            <w:r w:rsidR="004C0233" w:rsidRPr="001F6F67">
              <w:rPr>
                <w:rFonts w:ascii="ITC Avant Garde" w:hAnsi="ITC Avant Garde"/>
                <w:sz w:val="21"/>
                <w:szCs w:val="21"/>
              </w:rPr>
              <w:t>ij</w:t>
            </w:r>
            <w:r w:rsidR="00F439D6" w:rsidRPr="001F6F67">
              <w:rPr>
                <w:rFonts w:ascii="ITC Avant Garde" w:hAnsi="ITC Avant Garde"/>
                <w:sz w:val="21"/>
                <w:szCs w:val="21"/>
              </w:rPr>
              <w:t>a</w:t>
            </w:r>
            <w:r w:rsidR="004C0233" w:rsidRPr="001F6F67">
              <w:rPr>
                <w:rFonts w:ascii="ITC Avant Garde" w:hAnsi="ITC Avant Garde"/>
                <w:sz w:val="21"/>
                <w:szCs w:val="21"/>
              </w:rPr>
              <w:t xml:space="preserve"> y/o el </w:t>
            </w:r>
            <w:r w:rsidR="00F439D6" w:rsidRPr="001F6F67">
              <w:rPr>
                <w:rFonts w:ascii="ITC Avant Garde" w:hAnsi="ITC Avant Garde"/>
                <w:sz w:val="21"/>
                <w:szCs w:val="21"/>
              </w:rPr>
              <w:t>s</w:t>
            </w:r>
            <w:r w:rsidR="004C0233" w:rsidRPr="001F6F67">
              <w:rPr>
                <w:rFonts w:ascii="ITC Avant Garde" w:hAnsi="ITC Avant Garde"/>
                <w:sz w:val="21"/>
                <w:szCs w:val="21"/>
              </w:rPr>
              <w:t xml:space="preserve">ervicio de </w:t>
            </w:r>
            <w:r w:rsidR="00F439D6" w:rsidRPr="001F6F67">
              <w:rPr>
                <w:rFonts w:ascii="ITC Avant Garde" w:hAnsi="ITC Avant Garde"/>
                <w:sz w:val="21"/>
                <w:szCs w:val="21"/>
              </w:rPr>
              <w:t>a</w:t>
            </w:r>
            <w:r w:rsidR="004C0233" w:rsidRPr="001F6F67">
              <w:rPr>
                <w:rFonts w:ascii="ITC Avant Garde" w:hAnsi="ITC Avant Garde"/>
                <w:sz w:val="21"/>
                <w:szCs w:val="21"/>
              </w:rPr>
              <w:t xml:space="preserve">cceso a </w:t>
            </w:r>
            <w:r w:rsidR="00F439D6" w:rsidRPr="001F6F67">
              <w:rPr>
                <w:rFonts w:ascii="ITC Avant Garde" w:hAnsi="ITC Avant Garde"/>
                <w:sz w:val="21"/>
                <w:szCs w:val="21"/>
              </w:rPr>
              <w:t>i</w:t>
            </w:r>
            <w:r w:rsidR="004C0233" w:rsidRPr="001F6F67">
              <w:rPr>
                <w:rFonts w:ascii="ITC Avant Garde" w:hAnsi="ITC Avant Garde"/>
                <w:sz w:val="21"/>
                <w:szCs w:val="21"/>
              </w:rPr>
              <w:t>nternet.</w:t>
            </w:r>
          </w:p>
        </w:tc>
      </w:tr>
    </w:tbl>
    <w:p w14:paraId="6F28DB01" w14:textId="5DEA0AD1" w:rsidR="001D0BED" w:rsidRPr="001F6F67"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1F6F67"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1F6F67" w14:paraId="0977E504" w14:textId="77777777" w:rsidTr="00DF074B">
        <w:trPr>
          <w:trHeight w:val="65"/>
        </w:trPr>
        <w:tc>
          <w:tcPr>
            <w:tcW w:w="8828" w:type="dxa"/>
          </w:tcPr>
          <w:p w14:paraId="087EE7E0" w14:textId="77777777" w:rsidR="00DC3A1A" w:rsidRPr="001F6F67" w:rsidRDefault="00863CD8" w:rsidP="008369F0">
            <w:pPr>
              <w:pStyle w:val="Prrafodelista"/>
              <w:numPr>
                <w:ilvl w:val="0"/>
                <w:numId w:val="15"/>
              </w:numPr>
              <w:mirrorIndents/>
              <w:rPr>
                <w:rFonts w:ascii="ITC Avant Garde" w:hAnsi="ITC Avant Garde"/>
                <w:sz w:val="21"/>
                <w:szCs w:val="21"/>
              </w:rPr>
            </w:pPr>
            <w:r w:rsidRPr="001F6F67">
              <w:rPr>
                <w:rFonts w:ascii="ITC Avant Garde" w:hAnsi="ITC Avant Garde"/>
                <w:sz w:val="21"/>
                <w:szCs w:val="21"/>
              </w:rPr>
              <w:t>Contadores de Desempeño</w:t>
            </w:r>
          </w:p>
          <w:p w14:paraId="5D4A60FE" w14:textId="57C79030" w:rsidR="00F439D6" w:rsidRPr="001F6F67" w:rsidRDefault="00F439D6" w:rsidP="008369F0">
            <w:pPr>
              <w:pStyle w:val="Prrafodelista"/>
              <w:numPr>
                <w:ilvl w:val="0"/>
                <w:numId w:val="15"/>
              </w:numPr>
              <w:mirrorIndents/>
              <w:rPr>
                <w:rFonts w:ascii="ITC Avant Garde" w:hAnsi="ITC Avant Garde"/>
                <w:sz w:val="21"/>
                <w:szCs w:val="21"/>
              </w:rPr>
            </w:pPr>
            <w:r w:rsidRPr="001F6F67">
              <w:rPr>
                <w:rFonts w:ascii="ITC Avant Garde" w:hAnsi="ITC Avant Garde"/>
                <w:sz w:val="21"/>
                <w:szCs w:val="21"/>
              </w:rPr>
              <w:lastRenderedPageBreak/>
              <w:t>Lineamientos de Ventanilla Electrónica</w:t>
            </w:r>
          </w:p>
        </w:tc>
      </w:tr>
    </w:tbl>
    <w:p w14:paraId="03FABE9B" w14:textId="45F8751D" w:rsidR="00DC3A1A" w:rsidRPr="001F6F67"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1F6F67"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12</w:t>
      </w:r>
      <w:r w:rsidR="006166DB" w:rsidRPr="001F6F67">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1F6F67" w14:paraId="096E5FBB" w14:textId="77777777" w:rsidTr="007D2FD6">
        <w:tc>
          <w:tcPr>
            <w:tcW w:w="8828" w:type="dxa"/>
          </w:tcPr>
          <w:p w14:paraId="57468E84" w14:textId="77777777" w:rsidR="00E67263" w:rsidRPr="001F6F67" w:rsidRDefault="00E67263" w:rsidP="00E67263">
            <w:pPr>
              <w:pStyle w:val="Prrafodelista"/>
              <w:mirrorIndents/>
              <w:jc w:val="both"/>
              <w:rPr>
                <w:rFonts w:ascii="ITC Avant Garde" w:hAnsi="ITC Avant Garde"/>
                <w:color w:val="000000" w:themeColor="text1"/>
                <w:sz w:val="21"/>
                <w:szCs w:val="21"/>
              </w:rPr>
            </w:pPr>
          </w:p>
          <w:p w14:paraId="47D45160" w14:textId="79D2EB44" w:rsidR="005E77A5" w:rsidRPr="001F6F67" w:rsidRDefault="001F6F67" w:rsidP="0019175A">
            <w:pPr>
              <w:pStyle w:val="Prrafodelista"/>
              <w:numPr>
                <w:ilvl w:val="0"/>
                <w:numId w:val="13"/>
              </w:numPr>
              <w:mirrorIndents/>
              <w:jc w:val="both"/>
              <w:rPr>
                <w:rFonts w:ascii="ITC Avant Garde" w:hAnsi="ITC Avant Garde"/>
                <w:color w:val="000000" w:themeColor="text1"/>
                <w:sz w:val="21"/>
                <w:szCs w:val="21"/>
              </w:rPr>
            </w:pPr>
            <w:hyperlink r:id="rId11" w:anchor="!/tramite/UC-01-009-B" w:history="1">
              <w:r w:rsidR="00770BA1" w:rsidRPr="001F6F67">
                <w:rPr>
                  <w:rStyle w:val="Hipervnculo"/>
                  <w:rFonts w:ascii="ITC Avant Garde" w:hAnsi="ITC Avant Garde"/>
                  <w:b/>
                  <w:sz w:val="21"/>
                  <w:szCs w:val="21"/>
                  <w:bdr w:val="none" w:sz="0" w:space="0" w:color="auto"/>
                </w:rPr>
                <w:t>UC-01-009 B</w:t>
              </w:r>
            </w:hyperlink>
            <w:r w:rsidR="005E77A5" w:rsidRPr="001F6F67">
              <w:rPr>
                <w:rFonts w:ascii="ITC Avant Garde" w:hAnsi="ITC Avant Garde"/>
                <w:color w:val="000000" w:themeColor="text1"/>
                <w:sz w:val="21"/>
                <w:szCs w:val="21"/>
              </w:rPr>
              <w:t>:</w:t>
            </w:r>
            <w:r w:rsidR="00E67263" w:rsidRPr="001F6F67">
              <w:rPr>
                <w:rFonts w:ascii="ITC Avant Garde" w:hAnsi="ITC Avant Garde"/>
                <w:color w:val="000000" w:themeColor="text1"/>
                <w:sz w:val="21"/>
                <w:szCs w:val="21"/>
              </w:rPr>
              <w:t xml:space="preserve"> </w:t>
            </w:r>
            <w:r w:rsidR="005E77A5" w:rsidRPr="001F6F67">
              <w:rPr>
                <w:rFonts w:ascii="ITC Avant Garde" w:hAnsi="ITC Avant Garde"/>
                <w:color w:val="000000" w:themeColor="text1"/>
                <w:sz w:val="21"/>
                <w:szCs w:val="21"/>
              </w:rPr>
              <w:t>Entrega de mapas de cobertura</w:t>
            </w:r>
            <w:r w:rsidR="00E67263" w:rsidRPr="001F6F67">
              <w:rPr>
                <w:rFonts w:ascii="ITC Avant Garde" w:hAnsi="ITC Avant Garde"/>
                <w:color w:val="000000" w:themeColor="text1"/>
                <w:sz w:val="21"/>
                <w:szCs w:val="21"/>
              </w:rPr>
              <w:t xml:space="preserve"> – Servicio Fijo.</w:t>
            </w:r>
          </w:p>
          <w:p w14:paraId="2404A205" w14:textId="77777777" w:rsidR="005D12A9" w:rsidRPr="001F6F67" w:rsidRDefault="005D12A9" w:rsidP="005D12A9">
            <w:pPr>
              <w:mirrorIndents/>
              <w:jc w:val="both"/>
              <w:rPr>
                <w:rFonts w:ascii="ITC Avant Garde" w:hAnsi="ITC Avant Garde"/>
                <w:color w:val="000000" w:themeColor="text1"/>
                <w:sz w:val="21"/>
                <w:szCs w:val="21"/>
              </w:rPr>
            </w:pPr>
          </w:p>
          <w:p w14:paraId="6D975BED" w14:textId="6BFB9D7B" w:rsidR="00C47EFD" w:rsidRPr="001F6F67" w:rsidRDefault="001F6F67" w:rsidP="0019175A">
            <w:pPr>
              <w:pStyle w:val="Prrafodelista"/>
              <w:numPr>
                <w:ilvl w:val="0"/>
                <w:numId w:val="13"/>
              </w:numPr>
              <w:mirrorIndents/>
              <w:jc w:val="both"/>
              <w:rPr>
                <w:rFonts w:ascii="ITC Avant Garde" w:hAnsi="ITC Avant Garde"/>
                <w:color w:val="000000" w:themeColor="text1"/>
                <w:sz w:val="21"/>
                <w:szCs w:val="21"/>
              </w:rPr>
            </w:pPr>
            <w:hyperlink r:id="rId12" w:anchor="!/tramite/UC-01-027-B" w:history="1">
              <w:r w:rsidR="00770BA1" w:rsidRPr="001F6F67">
                <w:rPr>
                  <w:rStyle w:val="Hipervnculo"/>
                  <w:rFonts w:ascii="ITC Avant Garde" w:hAnsi="ITC Avant Garde"/>
                  <w:b/>
                  <w:sz w:val="21"/>
                  <w:szCs w:val="21"/>
                  <w:bdr w:val="none" w:sz="0" w:space="0" w:color="auto"/>
                </w:rPr>
                <w:t>UC-01-027-B</w:t>
              </w:r>
            </w:hyperlink>
            <w:r w:rsidR="00C47EFD" w:rsidRPr="001F6F67">
              <w:rPr>
                <w:rFonts w:ascii="ITC Avant Garde" w:hAnsi="ITC Avant Garde"/>
                <w:color w:val="000000" w:themeColor="text1"/>
                <w:sz w:val="21"/>
                <w:szCs w:val="21"/>
              </w:rPr>
              <w:t>:</w:t>
            </w:r>
            <w:r w:rsidR="00B50F5B" w:rsidRPr="001F6F67">
              <w:rPr>
                <w:rFonts w:ascii="ITC Avant Garde" w:hAnsi="ITC Avant Garde"/>
                <w:color w:val="000000" w:themeColor="text1"/>
                <w:sz w:val="21"/>
                <w:szCs w:val="21"/>
              </w:rPr>
              <w:t xml:space="preserve"> </w:t>
            </w:r>
            <w:r w:rsidR="00C47EFD" w:rsidRPr="001F6F67">
              <w:rPr>
                <w:rFonts w:ascii="ITC Avant Garde" w:hAnsi="ITC Avant Garde"/>
                <w:color w:val="000000" w:themeColor="text1"/>
                <w:sz w:val="21"/>
                <w:szCs w:val="21"/>
              </w:rPr>
              <w:t>Entrega del reporte de fallas en parte o en la totalidad de la red que hagan imposible la prestación del servicio ofrecido</w:t>
            </w:r>
          </w:p>
          <w:p w14:paraId="4564BD35" w14:textId="77777777" w:rsidR="00C47EFD" w:rsidRPr="001F6F67" w:rsidRDefault="00C47EFD" w:rsidP="00C47EFD">
            <w:pPr>
              <w:pStyle w:val="Prrafodelista"/>
              <w:mirrorIndents/>
              <w:jc w:val="both"/>
              <w:rPr>
                <w:rFonts w:ascii="ITC Avant Garde" w:hAnsi="ITC Avant Garde"/>
                <w:color w:val="000000" w:themeColor="text1"/>
                <w:sz w:val="21"/>
                <w:szCs w:val="21"/>
              </w:rPr>
            </w:pPr>
          </w:p>
          <w:p w14:paraId="1408B2D6" w14:textId="34AC804E" w:rsidR="007D2FD6" w:rsidRPr="001F6F67" w:rsidRDefault="001F6F67" w:rsidP="0019175A">
            <w:pPr>
              <w:pStyle w:val="Prrafodelista"/>
              <w:numPr>
                <w:ilvl w:val="0"/>
                <w:numId w:val="13"/>
              </w:numPr>
              <w:mirrorIndents/>
              <w:jc w:val="both"/>
              <w:rPr>
                <w:rFonts w:ascii="ITC Avant Garde" w:hAnsi="ITC Avant Garde"/>
                <w:color w:val="000000" w:themeColor="text1"/>
                <w:sz w:val="21"/>
                <w:szCs w:val="21"/>
              </w:rPr>
            </w:pPr>
            <w:hyperlink r:id="rId13" w:anchor="!/tramite/UC-01-035" w:history="1">
              <w:r w:rsidR="00770BA1" w:rsidRPr="001F6F67">
                <w:rPr>
                  <w:rStyle w:val="Hipervnculo"/>
                  <w:rFonts w:ascii="ITC Avant Garde" w:hAnsi="ITC Avant Garde"/>
                  <w:b/>
                  <w:sz w:val="21"/>
                  <w:szCs w:val="21"/>
                  <w:bdr w:val="none" w:sz="0" w:space="0" w:color="auto"/>
                </w:rPr>
                <w:t>UC-01-035</w:t>
              </w:r>
            </w:hyperlink>
            <w:r w:rsidR="0019175A" w:rsidRPr="001F6F67">
              <w:rPr>
                <w:rFonts w:ascii="ITC Avant Garde" w:hAnsi="ITC Avant Garde"/>
                <w:color w:val="000000" w:themeColor="text1"/>
                <w:sz w:val="21"/>
                <w:szCs w:val="21"/>
              </w:rPr>
              <w:t>:</w:t>
            </w:r>
            <w:r w:rsidR="001F4FCB" w:rsidRPr="001F6F67">
              <w:rPr>
                <w:rFonts w:ascii="ITC Avant Garde" w:hAnsi="ITC Avant Garde"/>
                <w:color w:val="000000" w:themeColor="text1"/>
                <w:sz w:val="21"/>
                <w:szCs w:val="21"/>
              </w:rPr>
              <w:t xml:space="preserve"> </w:t>
            </w:r>
            <w:r w:rsidR="0019175A" w:rsidRPr="001F6F67">
              <w:rPr>
                <w:rFonts w:ascii="ITC Avant Garde" w:hAnsi="ITC Avant Garde"/>
                <w:color w:val="000000" w:themeColor="text1"/>
                <w:sz w:val="21"/>
                <w:szCs w:val="21"/>
              </w:rPr>
              <w:t>Presentación del informe de inicio de trabajos de mantenimiento preventivo o reparación, respecto de los servicios fijos de telefonía e internet.</w:t>
            </w:r>
          </w:p>
          <w:p w14:paraId="5752C63E" w14:textId="77777777" w:rsidR="00B41B56" w:rsidRPr="001F6F67" w:rsidRDefault="00B41B56" w:rsidP="00B41B56">
            <w:pPr>
              <w:pStyle w:val="Prrafodelista"/>
              <w:mirrorIndents/>
              <w:jc w:val="both"/>
              <w:rPr>
                <w:rFonts w:ascii="ITC Avant Garde" w:hAnsi="ITC Avant Garde"/>
                <w:color w:val="000000" w:themeColor="text1"/>
                <w:sz w:val="21"/>
                <w:szCs w:val="21"/>
              </w:rPr>
            </w:pPr>
          </w:p>
          <w:p w14:paraId="182F80F6" w14:textId="355D26E5" w:rsidR="00B41B56" w:rsidRPr="001F6F67" w:rsidRDefault="001F6F67" w:rsidP="00B41B56">
            <w:pPr>
              <w:pStyle w:val="Prrafodelista"/>
              <w:numPr>
                <w:ilvl w:val="0"/>
                <w:numId w:val="13"/>
              </w:numPr>
              <w:mirrorIndents/>
              <w:rPr>
                <w:rFonts w:ascii="ITC Avant Garde" w:hAnsi="ITC Avant Garde"/>
                <w:color w:val="000000" w:themeColor="text1"/>
                <w:sz w:val="21"/>
                <w:szCs w:val="21"/>
              </w:rPr>
            </w:pPr>
            <w:hyperlink r:id="rId14" w:anchor="!/tramite/UC-01-036" w:history="1">
              <w:r w:rsidR="00770BA1" w:rsidRPr="001F6F67">
                <w:rPr>
                  <w:rStyle w:val="Hipervnculo"/>
                  <w:rFonts w:ascii="ITC Avant Garde" w:hAnsi="ITC Avant Garde"/>
                  <w:b/>
                  <w:sz w:val="21"/>
                  <w:szCs w:val="21"/>
                  <w:bdr w:val="none" w:sz="0" w:space="0" w:color="auto"/>
                </w:rPr>
                <w:t>UC-01-036</w:t>
              </w:r>
            </w:hyperlink>
            <w:r w:rsidR="0019175A" w:rsidRPr="001F6F67">
              <w:rPr>
                <w:rFonts w:ascii="ITC Avant Garde" w:hAnsi="ITC Avant Garde"/>
                <w:color w:val="000000" w:themeColor="text1"/>
                <w:sz w:val="21"/>
                <w:szCs w:val="21"/>
              </w:rPr>
              <w:t>: Presentación del reporte de calidad del servicio de telefonía fija y la atención de fallas.</w:t>
            </w:r>
          </w:p>
          <w:p w14:paraId="58FEC126" w14:textId="77777777" w:rsidR="005E77A5" w:rsidRPr="001F6F67" w:rsidRDefault="005E77A5" w:rsidP="005E77A5">
            <w:pPr>
              <w:pStyle w:val="Prrafodelista"/>
              <w:rPr>
                <w:rFonts w:ascii="ITC Avant Garde" w:hAnsi="ITC Avant Garde"/>
                <w:color w:val="000000" w:themeColor="text1"/>
                <w:sz w:val="21"/>
                <w:szCs w:val="21"/>
              </w:rPr>
            </w:pPr>
          </w:p>
          <w:p w14:paraId="40A59C6A" w14:textId="77777777" w:rsidR="005E77A5" w:rsidRPr="001F6F67" w:rsidRDefault="005E77A5" w:rsidP="005E77A5">
            <w:pPr>
              <w:pStyle w:val="Prrafodelista"/>
              <w:numPr>
                <w:ilvl w:val="0"/>
                <w:numId w:val="13"/>
              </w:numPr>
              <w:mirrorIndents/>
              <w:jc w:val="both"/>
              <w:rPr>
                <w:rFonts w:ascii="ITC Avant Garde" w:hAnsi="ITC Avant Garde"/>
                <w:color w:val="000000" w:themeColor="text1"/>
                <w:sz w:val="21"/>
                <w:szCs w:val="21"/>
              </w:rPr>
            </w:pPr>
            <w:r w:rsidRPr="001F6F67">
              <w:rPr>
                <w:rFonts w:ascii="ITC Avant Garde" w:hAnsi="ITC Avant Garde"/>
                <w:b/>
                <w:bCs/>
                <w:color w:val="000000" w:themeColor="text1"/>
                <w:sz w:val="21"/>
                <w:szCs w:val="21"/>
              </w:rPr>
              <w:t>DÉCIMO OCTAVO.</w:t>
            </w:r>
            <w:r w:rsidRPr="001F6F67">
              <w:rPr>
                <w:rFonts w:ascii="ITC Avant Garde" w:hAnsi="ITC Avant Garde"/>
                <w:color w:val="000000" w:themeColor="text1"/>
                <w:sz w:val="21"/>
                <w:szCs w:val="21"/>
              </w:rPr>
              <w:t xml:space="preserve"> Los Prestadores del Servicio Fijo que brindan el Servicio de Acceso a Internet, que operen sus propios Sistemas de Gestión, que puedan generar archivos de Contadores de Desempeño, deberán conservar los archivos de Contadores de Desempeño de cada trimestre calendario, extraídos de sus Sistemas de Gestión, sin haber sido manipulados y almacenarlos durante los siguientes treinta días naturales, contados a partir del último día de dicho trimestre.</w:t>
            </w:r>
          </w:p>
          <w:p w14:paraId="5E8825C2" w14:textId="77777777" w:rsidR="005E77A5" w:rsidRPr="001F6F67" w:rsidRDefault="005E77A5" w:rsidP="005E77A5">
            <w:pPr>
              <w:pStyle w:val="Prrafodelista"/>
              <w:mirrorIndents/>
              <w:jc w:val="both"/>
              <w:rPr>
                <w:rFonts w:ascii="ITC Avant Garde" w:hAnsi="ITC Avant Garde"/>
                <w:color w:val="000000" w:themeColor="text1"/>
                <w:sz w:val="21"/>
                <w:szCs w:val="21"/>
              </w:rPr>
            </w:pPr>
          </w:p>
          <w:p w14:paraId="2C6E6341" w14:textId="1F5A1945" w:rsidR="005E77A5" w:rsidRPr="001F6F67" w:rsidRDefault="005E77A5" w:rsidP="005E77A5">
            <w:pPr>
              <w:pStyle w:val="Prrafodelista"/>
              <w:mirrorIndents/>
              <w:jc w:val="both"/>
              <w:rPr>
                <w:rFonts w:ascii="ITC Avant Garde" w:hAnsi="ITC Avant Garde"/>
                <w:b/>
                <w:bCs/>
                <w:color w:val="000000" w:themeColor="text1"/>
                <w:sz w:val="21"/>
                <w:szCs w:val="21"/>
                <w:u w:val="single"/>
              </w:rPr>
            </w:pPr>
            <w:r w:rsidRPr="001F6F67">
              <w:rPr>
                <w:rFonts w:ascii="ITC Avant Garde" w:hAnsi="ITC Avant Garde"/>
                <w:b/>
                <w:bCs/>
                <w:color w:val="000000" w:themeColor="text1"/>
                <w:sz w:val="21"/>
                <w:szCs w:val="21"/>
                <w:u w:val="single"/>
              </w:rPr>
              <w:t xml:space="preserve">Los archivos deberán contener la información de los Contadores de Desempeño del tráfico de datos a nivel Multiplexor de Acceso Agregador de Tráfico. En su caso, dichos archivos deberán ser </w:t>
            </w:r>
            <w:proofErr w:type="gramStart"/>
            <w:r w:rsidRPr="001F6F67">
              <w:rPr>
                <w:rFonts w:ascii="ITC Avant Garde" w:hAnsi="ITC Avant Garde"/>
                <w:b/>
                <w:bCs/>
                <w:color w:val="000000" w:themeColor="text1"/>
                <w:sz w:val="21"/>
                <w:szCs w:val="21"/>
                <w:u w:val="single"/>
              </w:rPr>
              <w:t>puestos  a</w:t>
            </w:r>
            <w:proofErr w:type="gramEnd"/>
            <w:r w:rsidRPr="001F6F67">
              <w:rPr>
                <w:rFonts w:ascii="ITC Avant Garde" w:hAnsi="ITC Avant Garde"/>
                <w:b/>
                <w:bCs/>
                <w:color w:val="000000" w:themeColor="text1"/>
                <w:sz w:val="21"/>
                <w:szCs w:val="21"/>
                <w:u w:val="single"/>
              </w:rPr>
              <w:t xml:space="preserve"> disposición del Instituto a través del medio y con la periodicidad que éste determine.</w:t>
            </w:r>
          </w:p>
          <w:p w14:paraId="42F07F8D" w14:textId="77777777" w:rsidR="005E77A5" w:rsidRPr="001F6F67" w:rsidRDefault="005E77A5" w:rsidP="005E77A5">
            <w:pPr>
              <w:pStyle w:val="Prrafodelista"/>
              <w:mirrorIndents/>
              <w:jc w:val="both"/>
              <w:rPr>
                <w:rFonts w:ascii="ITC Avant Garde" w:hAnsi="ITC Avant Garde"/>
                <w:b/>
                <w:bCs/>
                <w:color w:val="000000" w:themeColor="text1"/>
                <w:sz w:val="21"/>
                <w:szCs w:val="21"/>
                <w:u w:val="single"/>
              </w:rPr>
            </w:pPr>
          </w:p>
          <w:p w14:paraId="6A0EE89D" w14:textId="281D7E70" w:rsidR="005E77A5" w:rsidRPr="001F6F67" w:rsidRDefault="005E77A5" w:rsidP="005E77A5">
            <w:pPr>
              <w:pStyle w:val="Prrafodelista"/>
              <w:mirrorIndents/>
              <w:jc w:val="both"/>
              <w:rPr>
                <w:rFonts w:ascii="ITC Avant Garde" w:hAnsi="ITC Avant Garde"/>
                <w:color w:val="000000" w:themeColor="text1"/>
                <w:sz w:val="21"/>
                <w:szCs w:val="21"/>
              </w:rPr>
            </w:pPr>
            <w:r w:rsidRPr="001F6F67">
              <w:rPr>
                <w:rFonts w:ascii="ITC Avant Garde" w:hAnsi="ITC Avant Garde"/>
                <w:color w:val="000000" w:themeColor="text1"/>
                <w:sz w:val="21"/>
                <w:szCs w:val="21"/>
              </w:rPr>
              <w:t>A partir de la información entregada, el Instituto podrá realizar análisis del desempeño de las redes relativo a la calidad del Servicio de Acceso a Internet, cuyos resultados serán de carácter informativo y público.</w:t>
            </w:r>
          </w:p>
          <w:p w14:paraId="0E8844F0" w14:textId="77777777" w:rsidR="005E77A5" w:rsidRPr="001F6F67" w:rsidRDefault="005E77A5" w:rsidP="005E77A5">
            <w:pPr>
              <w:pStyle w:val="Prrafodelista"/>
              <w:mirrorIndents/>
              <w:jc w:val="both"/>
              <w:rPr>
                <w:rFonts w:ascii="ITC Avant Garde" w:hAnsi="ITC Avant Garde"/>
                <w:color w:val="000000" w:themeColor="text1"/>
                <w:sz w:val="21"/>
                <w:szCs w:val="21"/>
              </w:rPr>
            </w:pPr>
          </w:p>
          <w:p w14:paraId="6402C1E6" w14:textId="65BCB282" w:rsidR="00B41B56" w:rsidRPr="001F6F67" w:rsidRDefault="008369F0" w:rsidP="00B41B56">
            <w:pPr>
              <w:pStyle w:val="Texto"/>
              <w:numPr>
                <w:ilvl w:val="0"/>
                <w:numId w:val="13"/>
              </w:numPr>
              <w:spacing w:before="120" w:after="120" w:line="240" w:lineRule="auto"/>
              <w:rPr>
                <w:rFonts w:ascii="ITC Avant Garde" w:hAnsi="ITC Avant Garde"/>
                <w:sz w:val="21"/>
                <w:szCs w:val="21"/>
                <w:lang w:val="es-ES_tradnl"/>
              </w:rPr>
            </w:pPr>
            <w:r w:rsidRPr="001F6F67">
              <w:rPr>
                <w:rFonts w:ascii="ITC Avant Garde" w:hAnsi="ITC Avant Garde"/>
                <w:b/>
                <w:sz w:val="21"/>
                <w:szCs w:val="21"/>
                <w:lang w:val="es-ES_tradnl"/>
              </w:rPr>
              <w:t>DÉCIMO NOVENO:</w:t>
            </w:r>
            <w:r w:rsidR="00B41B56" w:rsidRPr="001F6F67">
              <w:rPr>
                <w:rFonts w:ascii="ITC Avant Garde" w:hAnsi="ITC Avant Garde"/>
                <w:b/>
                <w:sz w:val="21"/>
                <w:szCs w:val="21"/>
                <w:lang w:val="es-ES_tradnl"/>
              </w:rPr>
              <w:t xml:space="preserve"> </w:t>
            </w:r>
            <w:r w:rsidR="00B41B56" w:rsidRPr="001F6F67">
              <w:rPr>
                <w:rFonts w:ascii="ITC Avant Garde" w:hAnsi="ITC Avant Garde"/>
                <w:sz w:val="21"/>
                <w:szCs w:val="21"/>
                <w:lang w:val="es-ES_tradnl"/>
              </w:rPr>
              <w:t xml:space="preserve">Los Prestadores del Servicio Fijo que brinden el Servicio de Acceso a Internet, que operen sus propios Sistemas de Gestión, que puedan generar archivos de Contadores de Desempeño, </w:t>
            </w:r>
            <w:r w:rsidR="00B41B56" w:rsidRPr="001F6F67">
              <w:rPr>
                <w:rFonts w:ascii="ITC Avant Garde" w:hAnsi="ITC Avant Garde"/>
                <w:b/>
                <w:sz w:val="21"/>
                <w:szCs w:val="21"/>
                <w:u w:val="single"/>
                <w:lang w:val="es-ES_tradnl"/>
              </w:rPr>
              <w:t>deberán entregar de manera electrónica y dentro de los veinte días hábiles posteriores a cada trimestre calendario un reporte debidamente auditado por un tercero acreditado bajo la normatividad aplicable</w:t>
            </w:r>
            <w:r w:rsidR="00B41B56" w:rsidRPr="001F6F67">
              <w:rPr>
                <w:rFonts w:ascii="ITC Avant Garde" w:hAnsi="ITC Avant Garde"/>
                <w:sz w:val="21"/>
                <w:szCs w:val="21"/>
                <w:lang w:val="es-ES_tradnl"/>
              </w:rPr>
              <w:t>. Dicho reporte trimestral deberá contener la información de la calidad del Servicio de Acceso a Internet, generado a partir de dichos archivos de Contadores de Desempeño. Lo anterior, con base en los requerimientos y formato que para tales efectos defina el Instituto.</w:t>
            </w:r>
          </w:p>
          <w:p w14:paraId="234B0E18" w14:textId="1218C109" w:rsidR="00B41B56" w:rsidRPr="001F6F67" w:rsidRDefault="008369F0" w:rsidP="00B41B56">
            <w:pPr>
              <w:pStyle w:val="Texto"/>
              <w:numPr>
                <w:ilvl w:val="0"/>
                <w:numId w:val="13"/>
              </w:numPr>
              <w:spacing w:before="120" w:after="120" w:line="240" w:lineRule="auto"/>
              <w:rPr>
                <w:rFonts w:ascii="ITC Avant Garde" w:hAnsi="ITC Avant Garde"/>
                <w:sz w:val="21"/>
                <w:szCs w:val="21"/>
                <w:lang w:val="es-ES_tradnl"/>
              </w:rPr>
            </w:pPr>
            <w:r w:rsidRPr="001F6F67">
              <w:rPr>
                <w:rFonts w:ascii="ITC Avant Garde" w:hAnsi="ITC Avant Garde"/>
                <w:b/>
                <w:sz w:val="21"/>
                <w:szCs w:val="21"/>
                <w:lang w:val="es-ES_tradnl"/>
              </w:rPr>
              <w:t>VIGÉSIMO SEGUNDO:</w:t>
            </w:r>
            <w:r w:rsidR="00B41B56" w:rsidRPr="001F6F67">
              <w:rPr>
                <w:rFonts w:ascii="ITC Avant Garde" w:hAnsi="ITC Avant Garde"/>
                <w:sz w:val="21"/>
                <w:szCs w:val="21"/>
                <w:lang w:val="es-ES_tradnl"/>
              </w:rPr>
              <w:t xml:space="preserve"> …</w:t>
            </w:r>
          </w:p>
          <w:p w14:paraId="1E0A3A61" w14:textId="152D9B93" w:rsidR="00863CD8" w:rsidRPr="001F6F67" w:rsidRDefault="00B41B56" w:rsidP="00B41B56">
            <w:pPr>
              <w:pStyle w:val="Texto"/>
              <w:spacing w:before="120" w:after="120" w:line="240" w:lineRule="auto"/>
              <w:ind w:left="738" w:firstLine="0"/>
              <w:rPr>
                <w:rFonts w:ascii="ITC Avant Garde" w:hAnsi="ITC Avant Garde"/>
                <w:sz w:val="21"/>
                <w:szCs w:val="21"/>
                <w:lang w:val="es-ES_tradnl"/>
              </w:rPr>
            </w:pPr>
            <w:r w:rsidRPr="001F6F67">
              <w:rPr>
                <w:rFonts w:ascii="ITC Avant Garde" w:hAnsi="ITC Avant Garde"/>
                <w:sz w:val="21"/>
                <w:szCs w:val="21"/>
                <w:lang w:val="es-ES_tradnl"/>
              </w:rPr>
              <w:t xml:space="preserve">Los Prestadores del Servicio Fijo que brindan el Servicio de Acceso a Internet, deberán instalar la Herramienta de Medición de manera remota y evitando </w:t>
            </w:r>
            <w:r w:rsidRPr="001F6F67">
              <w:rPr>
                <w:rFonts w:ascii="ITC Avant Garde" w:hAnsi="ITC Avant Garde"/>
                <w:sz w:val="21"/>
                <w:szCs w:val="21"/>
                <w:lang w:val="es-ES_tradnl"/>
              </w:rPr>
              <w:lastRenderedPageBreak/>
              <w:t xml:space="preserve">la afectación al usuario final. En caso de que la Herramienta de Medición no pueda ser instalada los Equipos Terminales a ser medidos conforme al Anexo I (por ejemplo, por no soportar los protocolos necesarios), </w:t>
            </w:r>
            <w:r w:rsidRPr="001F6F67">
              <w:rPr>
                <w:rFonts w:ascii="ITC Avant Garde" w:hAnsi="ITC Avant Garde"/>
                <w:b/>
                <w:sz w:val="21"/>
                <w:szCs w:val="21"/>
                <w:lang w:val="es-ES_tradnl"/>
              </w:rPr>
              <w:t>los prestadores de dicho servicio deberán demostrar fehacientemente dicha imposibilidad técnica al Instituto e informar sobre la misma mediante escrito libre dentro de los primeros veinte días hábiles del mes de enero de cada año a través de la ventanilla electrónica del Instituto</w:t>
            </w:r>
            <w:r w:rsidRPr="001F6F67">
              <w:rPr>
                <w:rFonts w:ascii="ITC Avant Garde" w:hAnsi="ITC Avant Garde"/>
                <w:sz w:val="21"/>
                <w:szCs w:val="21"/>
                <w:lang w:val="es-ES_tradnl"/>
              </w:rPr>
              <w:t xml:space="preserve"> siguiendo el formato del Anexo V y conforme a los procedimientos que establecen los lineamientos de ventanilla electrónica emitidos por el Instituto.</w:t>
            </w:r>
          </w:p>
        </w:tc>
      </w:tr>
    </w:tbl>
    <w:p w14:paraId="37E6B748" w14:textId="77777777" w:rsidR="006166DB" w:rsidRPr="001F6F67"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1F6F67" w14:paraId="1683D7BD" w14:textId="77777777" w:rsidTr="007D2FD6">
        <w:tc>
          <w:tcPr>
            <w:tcW w:w="8828" w:type="dxa"/>
          </w:tcPr>
          <w:p w14:paraId="17BAA37F" w14:textId="232F30BA" w:rsidR="00B61396" w:rsidRPr="001F6F67" w:rsidRDefault="008369F0" w:rsidP="008369F0">
            <w:pPr>
              <w:pStyle w:val="Prrafodelista"/>
              <w:numPr>
                <w:ilvl w:val="0"/>
                <w:numId w:val="17"/>
              </w:numPr>
              <w:rPr>
                <w:rFonts w:ascii="ITC Avant Garde" w:hAnsi="ITC Avant Garde"/>
                <w:color w:val="000000" w:themeColor="text1"/>
                <w:sz w:val="21"/>
                <w:szCs w:val="21"/>
              </w:rPr>
            </w:pPr>
            <w:r w:rsidRPr="001F6F67">
              <w:rPr>
                <w:rFonts w:ascii="ITC Avant Garde" w:hAnsi="ITC Avant Garde"/>
                <w:color w:val="000000" w:themeColor="text1"/>
                <w:sz w:val="21"/>
                <w:szCs w:val="21"/>
              </w:rPr>
              <w:t>Inspección, verificación y vigilancia:  Ley Federal de Telecomunicaciones y Radiodifusión, artículo 291</w:t>
            </w:r>
          </w:p>
          <w:p w14:paraId="6A09D6D7" w14:textId="729999B4" w:rsidR="007D2FD6" w:rsidRPr="001F6F67" w:rsidRDefault="003163CD" w:rsidP="008369F0">
            <w:pPr>
              <w:pStyle w:val="Prrafodelista"/>
              <w:numPr>
                <w:ilvl w:val="0"/>
                <w:numId w:val="16"/>
              </w:numPr>
              <w:mirrorIndents/>
              <w:jc w:val="both"/>
              <w:rPr>
                <w:rFonts w:ascii="ITC Avant Garde" w:hAnsi="ITC Avant Garde"/>
                <w:color w:val="000000" w:themeColor="text1"/>
                <w:sz w:val="21"/>
                <w:szCs w:val="21"/>
              </w:rPr>
            </w:pPr>
            <w:r w:rsidRPr="001F6F67">
              <w:rPr>
                <w:rFonts w:ascii="ITC Avant Garde" w:hAnsi="ITC Avant Garde"/>
                <w:color w:val="000000" w:themeColor="text1"/>
                <w:sz w:val="21"/>
                <w:szCs w:val="21"/>
              </w:rPr>
              <w:t xml:space="preserve">VIGÉSIMO </w:t>
            </w:r>
            <w:r w:rsidR="00A9051D" w:rsidRPr="001F6F67">
              <w:rPr>
                <w:rFonts w:ascii="ITC Avant Garde" w:hAnsi="ITC Avant Garde"/>
                <w:color w:val="000000" w:themeColor="text1"/>
                <w:sz w:val="21"/>
                <w:szCs w:val="21"/>
              </w:rPr>
              <w:t xml:space="preserve">PRIMERO, VIGÉSIMO </w:t>
            </w:r>
            <w:r w:rsidRPr="001F6F67">
              <w:rPr>
                <w:rFonts w:ascii="ITC Avant Garde" w:hAnsi="ITC Avant Garde"/>
                <w:color w:val="000000" w:themeColor="text1"/>
                <w:sz w:val="21"/>
                <w:szCs w:val="21"/>
              </w:rPr>
              <w:t>QUINTO</w:t>
            </w:r>
          </w:p>
        </w:tc>
      </w:tr>
    </w:tbl>
    <w:p w14:paraId="21B252A3" w14:textId="77777777" w:rsidR="00DC3A1A" w:rsidRPr="001F6F67"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F6F67">
        <w:rPr>
          <w:rFonts w:ascii="ITC Avant Garde" w:hAnsi="ITC Avant Garde"/>
          <w:b/>
          <w:color w:val="000000" w:themeColor="text1"/>
          <w:sz w:val="21"/>
          <w:szCs w:val="21"/>
        </w:rPr>
        <w:t>13.- Inspecciones, verificaciones o visitas domiciliarias relacionadas con la regulación y su fundamento legal:</w:t>
      </w:r>
    </w:p>
    <w:p w14:paraId="75A121BF" w14:textId="41988E0E" w:rsidR="004B7538" w:rsidRPr="001F6F67"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1F6F67"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1F6F67" w:rsidRDefault="004B7538" w:rsidP="002434FF">
      <w:pPr>
        <w:spacing w:after="0" w:line="240" w:lineRule="auto"/>
        <w:contextualSpacing/>
        <w:mirrorIndents/>
        <w:rPr>
          <w:rFonts w:ascii="ITC Avant Garde" w:hAnsi="ITC Avant Garde"/>
          <w:color w:val="000000" w:themeColor="text1"/>
          <w:sz w:val="21"/>
          <w:szCs w:val="21"/>
        </w:rPr>
      </w:pPr>
    </w:p>
    <w:sectPr w:rsidR="004B7538" w:rsidRPr="001F6F67" w:rsidSect="003F1D7B">
      <w:headerReference w:type="default" r:id="rId15"/>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B50F5B" w:rsidRDefault="00B50F5B" w:rsidP="006166DB">
      <w:pPr>
        <w:spacing w:after="0" w:line="240" w:lineRule="auto"/>
      </w:pPr>
      <w:r>
        <w:separator/>
      </w:r>
    </w:p>
  </w:endnote>
  <w:endnote w:type="continuationSeparator" w:id="0">
    <w:p w14:paraId="133650C2" w14:textId="77777777" w:rsidR="00B50F5B" w:rsidRDefault="00B50F5B"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B50F5B" w:rsidRDefault="00B50F5B" w:rsidP="006166DB">
      <w:pPr>
        <w:spacing w:after="0" w:line="240" w:lineRule="auto"/>
      </w:pPr>
      <w:r>
        <w:separator/>
      </w:r>
    </w:p>
  </w:footnote>
  <w:footnote w:type="continuationSeparator" w:id="0">
    <w:p w14:paraId="02A85A98" w14:textId="77777777" w:rsidR="00B50F5B" w:rsidRDefault="00B50F5B"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17A39683" w:rsidR="00B50F5B" w:rsidRPr="00BC31E9" w:rsidRDefault="00B50F5B" w:rsidP="007D2FD6">
    <w:pPr>
      <w:pStyle w:val="Encabezado"/>
      <w:tabs>
        <w:tab w:val="left" w:pos="2748"/>
      </w:tabs>
      <w:rPr>
        <w:rFonts w:ascii="ITC Avant Garde Std Bk" w:hAnsi="ITC Avant Garde Std Bk"/>
      </w:rPr>
    </w:pPr>
    <w:r w:rsidRPr="00BC31E9">
      <w:rPr>
        <w:rFonts w:ascii="ITC Avant Garde Std Bk" w:hAnsi="ITC Avant Garde Std Bk"/>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BC31E9">
      <w:rPr>
        <w:rFonts w:ascii="ITC Avant Garde Std Bk" w:eastAsia="Calibri" w:hAnsi="ITC Avant Garde Std Bk" w:cs="Times New Roman"/>
        <w:b/>
        <w:sz w:val="18"/>
        <w:szCs w:val="18"/>
      </w:rPr>
      <w:t xml:space="preserve">                                       </w:t>
    </w:r>
    <w:r w:rsidRPr="00BC31E9">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B27"/>
    <w:multiLevelType w:val="hybridMultilevel"/>
    <w:tmpl w:val="A2B46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010F57"/>
    <w:multiLevelType w:val="hybridMultilevel"/>
    <w:tmpl w:val="74A2F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6420C9"/>
    <w:multiLevelType w:val="hybridMultilevel"/>
    <w:tmpl w:val="0E542F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94C9E"/>
    <w:multiLevelType w:val="hybridMultilevel"/>
    <w:tmpl w:val="BE3C8B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EB10BF"/>
    <w:multiLevelType w:val="hybridMultilevel"/>
    <w:tmpl w:val="3796D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B83F1D"/>
    <w:multiLevelType w:val="hybridMultilevel"/>
    <w:tmpl w:val="DB2E1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696C6C"/>
    <w:multiLevelType w:val="hybridMultilevel"/>
    <w:tmpl w:val="32D6A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8"/>
  </w:num>
  <w:num w:numId="6">
    <w:abstractNumId w:val="15"/>
  </w:num>
  <w:num w:numId="7">
    <w:abstractNumId w:val="13"/>
  </w:num>
  <w:num w:numId="8">
    <w:abstractNumId w:val="9"/>
  </w:num>
  <w:num w:numId="9">
    <w:abstractNumId w:val="10"/>
  </w:num>
  <w:num w:numId="10">
    <w:abstractNumId w:val="12"/>
  </w:num>
  <w:num w:numId="11">
    <w:abstractNumId w:val="14"/>
  </w:num>
  <w:num w:numId="12">
    <w:abstractNumId w:val="5"/>
  </w:num>
  <w:num w:numId="13">
    <w:abstractNumId w:val="7"/>
  </w:num>
  <w:num w:numId="14">
    <w:abstractNumId w:val="11"/>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17963"/>
    <w:rsid w:val="00053038"/>
    <w:rsid w:val="00085CAE"/>
    <w:rsid w:val="000911B6"/>
    <w:rsid w:val="000C47AA"/>
    <w:rsid w:val="00125137"/>
    <w:rsid w:val="00160C02"/>
    <w:rsid w:val="0019175A"/>
    <w:rsid w:val="001A0D96"/>
    <w:rsid w:val="001C36BF"/>
    <w:rsid w:val="001D0BED"/>
    <w:rsid w:val="001F3494"/>
    <w:rsid w:val="001F4FCB"/>
    <w:rsid w:val="001F6F67"/>
    <w:rsid w:val="00207BA8"/>
    <w:rsid w:val="00223B0B"/>
    <w:rsid w:val="002434FF"/>
    <w:rsid w:val="00250D5A"/>
    <w:rsid w:val="002B0B24"/>
    <w:rsid w:val="002E37B6"/>
    <w:rsid w:val="003163CD"/>
    <w:rsid w:val="00332FE9"/>
    <w:rsid w:val="00366E21"/>
    <w:rsid w:val="00384692"/>
    <w:rsid w:val="003A162A"/>
    <w:rsid w:val="003F1D7B"/>
    <w:rsid w:val="00446F0C"/>
    <w:rsid w:val="004B7538"/>
    <w:rsid w:val="004C0233"/>
    <w:rsid w:val="004C31A6"/>
    <w:rsid w:val="004C75E5"/>
    <w:rsid w:val="004D5EF2"/>
    <w:rsid w:val="004D6D14"/>
    <w:rsid w:val="004E552A"/>
    <w:rsid w:val="005034EB"/>
    <w:rsid w:val="00585BD4"/>
    <w:rsid w:val="005D12A9"/>
    <w:rsid w:val="005E34D0"/>
    <w:rsid w:val="005E77A5"/>
    <w:rsid w:val="005F0181"/>
    <w:rsid w:val="0061003C"/>
    <w:rsid w:val="006166DB"/>
    <w:rsid w:val="006441CF"/>
    <w:rsid w:val="0065492B"/>
    <w:rsid w:val="006911B3"/>
    <w:rsid w:val="006F7E1D"/>
    <w:rsid w:val="00703626"/>
    <w:rsid w:val="00720D02"/>
    <w:rsid w:val="0073296F"/>
    <w:rsid w:val="007466F1"/>
    <w:rsid w:val="00770BA1"/>
    <w:rsid w:val="0078318D"/>
    <w:rsid w:val="007D2FD6"/>
    <w:rsid w:val="007F5106"/>
    <w:rsid w:val="008017FB"/>
    <w:rsid w:val="00802508"/>
    <w:rsid w:val="00815D92"/>
    <w:rsid w:val="008369F0"/>
    <w:rsid w:val="00863CD8"/>
    <w:rsid w:val="0089205E"/>
    <w:rsid w:val="0092333A"/>
    <w:rsid w:val="009701A3"/>
    <w:rsid w:val="00977ED5"/>
    <w:rsid w:val="009918CF"/>
    <w:rsid w:val="009A6722"/>
    <w:rsid w:val="009D567D"/>
    <w:rsid w:val="00A70F6B"/>
    <w:rsid w:val="00A9051D"/>
    <w:rsid w:val="00A93C7F"/>
    <w:rsid w:val="00AC079F"/>
    <w:rsid w:val="00AD4846"/>
    <w:rsid w:val="00AF71CC"/>
    <w:rsid w:val="00B018E8"/>
    <w:rsid w:val="00B30E6B"/>
    <w:rsid w:val="00B41B56"/>
    <w:rsid w:val="00B50F5B"/>
    <w:rsid w:val="00B61396"/>
    <w:rsid w:val="00B8531B"/>
    <w:rsid w:val="00BC31E9"/>
    <w:rsid w:val="00BE45D0"/>
    <w:rsid w:val="00C47EFD"/>
    <w:rsid w:val="00C74CAF"/>
    <w:rsid w:val="00C76443"/>
    <w:rsid w:val="00C8049B"/>
    <w:rsid w:val="00CF5F25"/>
    <w:rsid w:val="00D14569"/>
    <w:rsid w:val="00D2311C"/>
    <w:rsid w:val="00D258BF"/>
    <w:rsid w:val="00D678C1"/>
    <w:rsid w:val="00D93EA9"/>
    <w:rsid w:val="00DB045A"/>
    <w:rsid w:val="00DC3A1A"/>
    <w:rsid w:val="00DF074B"/>
    <w:rsid w:val="00DF1654"/>
    <w:rsid w:val="00E036F7"/>
    <w:rsid w:val="00E05AAC"/>
    <w:rsid w:val="00E67263"/>
    <w:rsid w:val="00E70994"/>
    <w:rsid w:val="00EF614E"/>
    <w:rsid w:val="00F014C6"/>
    <w:rsid w:val="00F12E39"/>
    <w:rsid w:val="00F30AF6"/>
    <w:rsid w:val="00F42CB3"/>
    <w:rsid w:val="00F439D6"/>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47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E85D22AF345C42E0AC1FEDD72DE8DB2A"/>
        <w:category>
          <w:name w:val="General"/>
          <w:gallery w:val="placeholder"/>
        </w:category>
        <w:types>
          <w:type w:val="bbPlcHdr"/>
        </w:types>
        <w:behaviors>
          <w:behavior w:val="content"/>
        </w:behaviors>
        <w:guid w:val="{F1D6671F-5DEE-4158-87B1-CCC1D964D1E0}"/>
      </w:docPartPr>
      <w:docPartBody>
        <w:p w:rsidR="001333CB" w:rsidRDefault="001333CB" w:rsidP="001333CB">
          <w:pPr>
            <w:pStyle w:val="E85D22AF345C42E0AC1FEDD72DE8DB2A"/>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0F0F43"/>
    <w:rsid w:val="001333C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94BE8"/>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333CB"/>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E85D22AF345C42E0AC1FEDD72DE8DB2A">
    <w:name w:val="E85D22AF345C42E0AC1FEDD72DE8DB2A"/>
    <w:rsid w:val="001333CB"/>
  </w:style>
  <w:style w:type="paragraph" w:customStyle="1" w:styleId="A7FBAFF609894157A1D57C60D8584A2B">
    <w:name w:val="A7FBAFF609894157A1D57C60D8584A2B"/>
    <w:rsid w:val="00133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1A4E056B-280B-49A1-A946-08CEB42D8AA3}">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074A1E3-543F-4008-B0D3-37667CFD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18</cp:revision>
  <dcterms:created xsi:type="dcterms:W3CDTF">2021-11-20T00:00:00Z</dcterms:created>
  <dcterms:modified xsi:type="dcterms:W3CDTF">2022-06-29T18:43:00Z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