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E401" w14:textId="77777777" w:rsidR="006166DB" w:rsidRPr="007A0A29" w:rsidRDefault="006166DB" w:rsidP="00216F7F">
      <w:pPr>
        <w:shd w:val="clear" w:color="auto" w:fill="C5E0B3" w:themeFill="accent6" w:themeFillTint="66"/>
        <w:spacing w:after="0" w:line="240" w:lineRule="auto"/>
        <w:contextualSpacing/>
        <w:mirrorIndents/>
        <w:rPr>
          <w:b/>
          <w:color w:val="000000" w:themeColor="text1"/>
          <w:szCs w:val="21"/>
        </w:rPr>
      </w:pPr>
      <w:r w:rsidRPr="007A0A29">
        <w:rPr>
          <w:b/>
          <w:color w:val="000000" w:themeColor="text1"/>
          <w:szCs w:val="21"/>
        </w:rPr>
        <w:t xml:space="preserve">1.- Nombre de la Regulación: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A0A29" w14:paraId="1B2E1BC8" w14:textId="77777777" w:rsidTr="00DF074B">
        <w:tc>
          <w:tcPr>
            <w:tcW w:w="8828" w:type="dxa"/>
          </w:tcPr>
          <w:p w14:paraId="5E631BCB" w14:textId="215EC58B" w:rsidR="006166DB" w:rsidRPr="007A0A29" w:rsidRDefault="007A0A29" w:rsidP="007A0A29">
            <w:pPr>
              <w:rPr>
                <w:color w:val="000000" w:themeColor="text1"/>
                <w:szCs w:val="21"/>
              </w:rPr>
            </w:pPr>
            <w:r w:rsidRPr="007A0A29">
              <w:rPr>
                <w:color w:val="000000" w:themeColor="text1"/>
                <w:szCs w:val="21"/>
              </w:rPr>
              <w:t xml:space="preserve">Acuerdo mediante el cual el Pleno del Instituto Federal de Telecomunicaciones abroga diversos </w:t>
            </w:r>
            <w:r w:rsidRPr="007A0A29">
              <w:t>abroga diversos reglamentos expedidos con anterioridad a la entrada en vigor de la Ley Federal de Telecomunicaciones y Radiodifusión, y emite</w:t>
            </w:r>
            <w:r w:rsidRPr="007A0A29">
              <w:rPr>
                <w:color w:val="000000" w:themeColor="text1"/>
                <w:szCs w:val="21"/>
              </w:rPr>
              <w:t xml:space="preserve"> </w:t>
            </w:r>
            <w:r w:rsidR="00E524E3" w:rsidRPr="007A0A29">
              <w:rPr>
                <w:color w:val="000000" w:themeColor="text1"/>
                <w:szCs w:val="21"/>
              </w:rPr>
              <w:t>D</w:t>
            </w:r>
            <w:r w:rsidR="002C52D7" w:rsidRPr="007A0A29">
              <w:rPr>
                <w:color w:val="000000" w:themeColor="text1"/>
                <w:szCs w:val="21"/>
              </w:rPr>
              <w:t>isposiciones aplicables al servicio de telefonía pública y las relativas al procedimiento de homologación de equipos.</w:t>
            </w:r>
          </w:p>
        </w:tc>
      </w:tr>
    </w:tbl>
    <w:p w14:paraId="52EC83BF" w14:textId="77777777" w:rsidR="006166DB" w:rsidRPr="007A0A29" w:rsidRDefault="006166DB" w:rsidP="00216F7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56872A26" w14:textId="77777777" w:rsidR="006166DB" w:rsidRPr="007A0A29" w:rsidRDefault="006166DB" w:rsidP="00216F7F">
      <w:pPr>
        <w:shd w:val="clear" w:color="auto" w:fill="C5E0B3" w:themeFill="accent6" w:themeFillTint="66"/>
        <w:spacing w:after="0" w:line="240" w:lineRule="auto"/>
        <w:contextualSpacing/>
        <w:mirrorIndents/>
        <w:rPr>
          <w:b/>
          <w:color w:val="000000" w:themeColor="text1"/>
          <w:szCs w:val="21"/>
        </w:rPr>
      </w:pPr>
      <w:r w:rsidRPr="007A0A29">
        <w:rPr>
          <w:b/>
          <w:color w:val="000000" w:themeColor="text1"/>
          <w:szCs w:val="21"/>
        </w:rPr>
        <w:t>2.- Fecha de expedición y vigencia: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A0A29" w14:paraId="454C3A95" w14:textId="77777777" w:rsidTr="00DF074B">
        <w:tc>
          <w:tcPr>
            <w:tcW w:w="8828" w:type="dxa"/>
          </w:tcPr>
          <w:p w14:paraId="1A68E5FF" w14:textId="6E43DC1A" w:rsidR="006166DB" w:rsidRPr="007A0A29" w:rsidRDefault="006166DB" w:rsidP="00216F7F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Fecha de expedición: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Eliga la fecha de expedición "/>
                <w:tag w:val="Eliga la fecha de expedición "/>
                <w:id w:val="-1622067239"/>
                <w:placeholder>
                  <w:docPart w:val="AB8DF5F8E06C4C67A1656A6E13A446D8"/>
                </w:placeholder>
                <w15:color w:val="99CC00"/>
                <w:date w:fullDate="2019-08-21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Estilo4"/>
                </w:rPr>
              </w:sdtEndPr>
              <w:sdtContent>
                <w:r w:rsidR="002C52D7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21</w:t>
                </w:r>
                <w:r w:rsidR="00AF71CC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/0</w:t>
                </w:r>
                <w:r w:rsidR="002C52D7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8</w:t>
                </w:r>
                <w:r w:rsidR="0092333A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/201</w:t>
                </w:r>
                <w:r w:rsidR="002C52D7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9</w:t>
                </w:r>
              </w:sdtContent>
            </w:sdt>
          </w:p>
        </w:tc>
      </w:tr>
      <w:tr w:rsidR="003F1D7B" w:rsidRPr="007A0A29" w14:paraId="098151CF" w14:textId="77777777" w:rsidTr="00DF074B">
        <w:tc>
          <w:tcPr>
            <w:tcW w:w="8828" w:type="dxa"/>
          </w:tcPr>
          <w:p w14:paraId="07D4CB20" w14:textId="5D4F54F1" w:rsidR="003F1D7B" w:rsidRPr="007A0A29" w:rsidRDefault="003F1D7B" w:rsidP="00216F7F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>Fecha de publicación en el DOF: 1</w:t>
            </w:r>
            <w:r w:rsidR="002C52D7"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>3</w:t>
            </w:r>
            <w:r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>/0</w:t>
            </w:r>
            <w:r w:rsidR="002C52D7"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>9</w:t>
            </w:r>
            <w:r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>/201</w:t>
            </w:r>
            <w:r w:rsidR="002C52D7"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>9</w:t>
            </w:r>
            <w:r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 </w:t>
            </w:r>
          </w:p>
        </w:tc>
      </w:tr>
      <w:tr w:rsidR="00DF074B" w:rsidRPr="007A0A29" w14:paraId="784A8897" w14:textId="77777777" w:rsidTr="00DF074B">
        <w:tc>
          <w:tcPr>
            <w:tcW w:w="8828" w:type="dxa"/>
          </w:tcPr>
          <w:p w14:paraId="335C558B" w14:textId="405B22D2" w:rsidR="00DF074B" w:rsidRPr="007A0A29" w:rsidRDefault="004C31A6" w:rsidP="00216F7F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Tipo de vigencia: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Tipo de vigencia "/>
                <w:tag w:val="Elija un elmento "/>
                <w:id w:val="-732226209"/>
                <w:placeholder>
                  <w:docPart w:val="116AF818B57641F79234FE5C1310B6CD"/>
                </w:placeholder>
                <w15:color w:val="99CC00"/>
                <w:dropDownList>
                  <w:listItem w:value="Elija un elemento."/>
                  <w:listItem w:displayText="Indefinida " w:value="Indefinida "/>
                  <w:listItem w:displayText="Específica" w:value="Específica"/>
                  <w:listItem w:displayText="Abrogada" w:value="Abrogada"/>
                </w:dropDownList>
              </w:sdtPr>
              <w:sdtEndPr>
                <w:rPr>
                  <w:rStyle w:val="Estilo4"/>
                </w:rPr>
              </w:sdtEndPr>
              <w:sdtContent>
                <w:r w:rsidR="002C52D7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 xml:space="preserve">Indefinida </w:t>
                </w:r>
              </w:sdtContent>
            </w:sdt>
          </w:p>
        </w:tc>
      </w:tr>
      <w:tr w:rsidR="006166DB" w:rsidRPr="007A0A29" w14:paraId="25C2F9B9" w14:textId="77777777" w:rsidTr="00DF074B">
        <w:tc>
          <w:tcPr>
            <w:tcW w:w="8828" w:type="dxa"/>
          </w:tcPr>
          <w:p w14:paraId="187042E5" w14:textId="0FBB4965" w:rsidR="006166DB" w:rsidRPr="007A0A29" w:rsidRDefault="006166DB" w:rsidP="00216F7F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Inicio de la vigencia: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Inicio de vigencia "/>
                <w:tag w:val="Elija un elmento"/>
                <w:id w:val="-367525153"/>
                <w:placeholder>
                  <w:docPart w:val="C45E60C1C6B943CF80B1721B9C53D3AF"/>
                </w:placeholder>
                <w15:color w:val="99CC00"/>
                <w:date w:fullDate="2019-09-17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Estilo4"/>
                </w:rPr>
              </w:sdtEndPr>
              <w:sdtContent>
                <w:r w:rsidR="002C52D7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17</w:t>
                </w:r>
                <w:r w:rsidR="0092333A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/0</w:t>
                </w:r>
                <w:r w:rsidR="002C52D7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9</w:t>
                </w:r>
                <w:r w:rsidR="0092333A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/201</w:t>
                </w:r>
                <w:r w:rsidR="002C52D7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9</w:t>
                </w:r>
              </w:sdtContent>
            </w:sdt>
            <w:r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 </w:t>
            </w:r>
          </w:p>
        </w:tc>
      </w:tr>
      <w:tr w:rsidR="00DF074B" w:rsidRPr="007A0A29" w14:paraId="5C60735A" w14:textId="77777777" w:rsidTr="007F5106">
        <w:trPr>
          <w:trHeight w:val="50"/>
        </w:trPr>
        <w:tc>
          <w:tcPr>
            <w:tcW w:w="8828" w:type="dxa"/>
          </w:tcPr>
          <w:p w14:paraId="43F30054" w14:textId="428A9901" w:rsidR="00DF074B" w:rsidRPr="007A0A29" w:rsidRDefault="00DF074B" w:rsidP="00216F7F">
            <w:pPr>
              <w:contextualSpacing/>
              <w:mirrorIndents/>
              <w:rPr>
                <w:rStyle w:val="Estilo4"/>
                <w:rFonts w:ascii="ITC Avant Garde" w:hAnsi="ITC Avant Garde"/>
                <w:sz w:val="21"/>
                <w:szCs w:val="21"/>
              </w:rPr>
            </w:pPr>
            <w:r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Término de la vigencia: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Inicio de vigencia "/>
                <w:tag w:val="Elija un elmento"/>
                <w:id w:val="-1276313209"/>
                <w:placeholder>
                  <w:docPart w:val="74480DB032444D7CA04A2EC42A53E5F8"/>
                </w:placeholder>
                <w15:color w:val="99CC00"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>
                <w:rPr>
                  <w:rStyle w:val="Estilo4"/>
                </w:rPr>
              </w:sdtEndPr>
              <w:sdtContent>
                <w:r w:rsidR="002C52D7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No aplica</w:t>
                </w:r>
              </w:sdtContent>
            </w:sdt>
            <w:r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 </w:t>
            </w:r>
          </w:p>
        </w:tc>
      </w:tr>
    </w:tbl>
    <w:p w14:paraId="7B361F8E" w14:textId="77777777" w:rsidR="006166DB" w:rsidRPr="007A0A29" w:rsidRDefault="006166DB" w:rsidP="00216F7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66657EF3" w14:textId="77777777" w:rsidR="006166DB" w:rsidRPr="007A0A29" w:rsidRDefault="006166DB" w:rsidP="00216F7F">
      <w:pPr>
        <w:shd w:val="clear" w:color="auto" w:fill="C5E0B3" w:themeFill="accent6" w:themeFillTint="66"/>
        <w:spacing w:after="0" w:line="240" w:lineRule="auto"/>
        <w:contextualSpacing/>
        <w:mirrorIndents/>
        <w:rPr>
          <w:b/>
          <w:color w:val="000000" w:themeColor="text1"/>
          <w:szCs w:val="21"/>
        </w:rPr>
      </w:pPr>
      <w:r w:rsidRPr="007A0A29">
        <w:rPr>
          <w:b/>
          <w:color w:val="000000" w:themeColor="text1"/>
          <w:szCs w:val="21"/>
        </w:rPr>
        <w:t>3.- Autoridad o autoridades que la emiten: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A0A29" w14:paraId="2E594784" w14:textId="77777777" w:rsidTr="00DF074B">
        <w:tc>
          <w:tcPr>
            <w:tcW w:w="8828" w:type="dxa"/>
          </w:tcPr>
          <w:p w14:paraId="6C41AB66" w14:textId="6F334AC6" w:rsidR="006166DB" w:rsidRPr="007A0A29" w:rsidRDefault="002C52D7" w:rsidP="00216F7F">
            <w:pPr>
              <w:mirrorIndents/>
              <w:rPr>
                <w:color w:val="000000" w:themeColor="text1"/>
                <w:szCs w:val="21"/>
              </w:rPr>
            </w:pPr>
            <w:r w:rsidRPr="007A0A29">
              <w:rPr>
                <w:color w:val="000000" w:themeColor="text1"/>
                <w:szCs w:val="21"/>
              </w:rPr>
              <w:t>Instituto Federal de Telecomunicaciones</w:t>
            </w:r>
          </w:p>
        </w:tc>
      </w:tr>
    </w:tbl>
    <w:p w14:paraId="32195651" w14:textId="77777777" w:rsidR="006166DB" w:rsidRPr="007A0A29" w:rsidRDefault="006166DB" w:rsidP="00216F7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11112038" w14:textId="77777777" w:rsidR="006166DB" w:rsidRPr="007A0A29" w:rsidRDefault="006166DB" w:rsidP="00216F7F">
      <w:pPr>
        <w:shd w:val="clear" w:color="auto" w:fill="C5E0B3" w:themeFill="accent6" w:themeFillTint="66"/>
        <w:spacing w:after="0" w:line="240" w:lineRule="auto"/>
        <w:contextualSpacing/>
        <w:mirrorIndents/>
        <w:rPr>
          <w:b/>
          <w:color w:val="000000" w:themeColor="text1"/>
          <w:szCs w:val="21"/>
        </w:rPr>
      </w:pPr>
      <w:r w:rsidRPr="007A0A29">
        <w:rPr>
          <w:b/>
          <w:color w:val="000000" w:themeColor="text1"/>
          <w:szCs w:val="21"/>
        </w:rPr>
        <w:t xml:space="preserve">4.- Autoridad o autoridades que la aplican: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A0A29" w14:paraId="0FEE5916" w14:textId="77777777" w:rsidTr="00DF074B">
        <w:tc>
          <w:tcPr>
            <w:tcW w:w="8828" w:type="dxa"/>
          </w:tcPr>
          <w:p w14:paraId="043F6ABC" w14:textId="627A4ACD" w:rsidR="006166DB" w:rsidRPr="007A0A29" w:rsidRDefault="002C52D7" w:rsidP="00216F7F">
            <w:pPr>
              <w:contextualSpacing/>
              <w:mirrorIndents/>
              <w:rPr>
                <w:color w:val="000000" w:themeColor="text1"/>
                <w:szCs w:val="21"/>
              </w:rPr>
            </w:pPr>
            <w:r w:rsidRPr="007A0A29">
              <w:rPr>
                <w:color w:val="000000" w:themeColor="text1"/>
                <w:szCs w:val="21"/>
              </w:rPr>
              <w:t>Instituto Federal de Telecomunicaciones</w:t>
            </w:r>
          </w:p>
        </w:tc>
      </w:tr>
    </w:tbl>
    <w:p w14:paraId="45DC499A" w14:textId="063A5F7C" w:rsidR="006166DB" w:rsidRPr="007A0A29" w:rsidRDefault="006166DB" w:rsidP="00216F7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5315D7AB" w14:textId="77777777" w:rsidR="00DC3A1A" w:rsidRPr="007A0A29" w:rsidRDefault="00DC3A1A" w:rsidP="00216F7F">
      <w:pPr>
        <w:shd w:val="clear" w:color="auto" w:fill="C5E0B3" w:themeFill="accent6" w:themeFillTint="66"/>
        <w:spacing w:after="0" w:line="240" w:lineRule="auto"/>
        <w:contextualSpacing/>
        <w:mirrorIndents/>
        <w:rPr>
          <w:b/>
          <w:color w:val="000000" w:themeColor="text1"/>
          <w:szCs w:val="21"/>
        </w:rPr>
      </w:pPr>
      <w:r w:rsidRPr="007A0A29">
        <w:rPr>
          <w:b/>
          <w:color w:val="000000" w:themeColor="text1"/>
          <w:szCs w:val="21"/>
        </w:rPr>
        <w:t xml:space="preserve">5.- Ámbito de Aplicación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C3A1A" w:rsidRPr="007A0A29" w14:paraId="749D808B" w14:textId="77777777" w:rsidTr="00DF074B">
        <w:tc>
          <w:tcPr>
            <w:tcW w:w="8828" w:type="dxa"/>
          </w:tcPr>
          <w:p w14:paraId="07FF9FAE" w14:textId="428C8F3E" w:rsidR="00DC3A1A" w:rsidRPr="007A0A29" w:rsidRDefault="00C76443" w:rsidP="00216F7F">
            <w:pPr>
              <w:contextualSpacing/>
              <w:mirrorIndents/>
              <w:rPr>
                <w:color w:val="000000" w:themeColor="text1"/>
                <w:szCs w:val="21"/>
              </w:rPr>
            </w:pPr>
            <w:r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>Ámbito de Aplicación</w:t>
            </w:r>
            <w:r w:rsidR="00366E21" w:rsidRPr="007A0A29">
              <w:rPr>
                <w:rStyle w:val="Estilo4"/>
                <w:rFonts w:ascii="ITC Avant Garde" w:hAnsi="ITC Avant Garde"/>
                <w:sz w:val="21"/>
                <w:szCs w:val="21"/>
              </w:rPr>
              <w:t xml:space="preserve">: </w:t>
            </w: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Ámbito de Aplicación"/>
                <w:tag w:val="Elija un elemento "/>
                <w:id w:val="-1601018446"/>
                <w:placeholder>
                  <w:docPart w:val="FE8EC271ABE04DCE9F227F10B767E9FC"/>
                </w:placeholder>
                <w15:color w:val="99CC00"/>
                <w:dropDownList>
                  <w:listItem w:value="Elija un elemento."/>
                  <w:listItem w:displayText="Federal" w:value="Federal"/>
                  <w:listItem w:displayText="Estatal" w:value="Estatal"/>
                  <w:listItem w:displayText="Municipal" w:value="Municipal"/>
                </w:dropDownList>
              </w:sdtPr>
              <w:sdtEndPr>
                <w:rPr>
                  <w:rStyle w:val="Estilo4"/>
                </w:rPr>
              </w:sdtEndPr>
              <w:sdtContent>
                <w:r w:rsidR="002C52D7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Federal</w:t>
                </w:r>
              </w:sdtContent>
            </w:sdt>
          </w:p>
        </w:tc>
      </w:tr>
    </w:tbl>
    <w:p w14:paraId="086DD737" w14:textId="5145C4EC" w:rsidR="00DC3A1A" w:rsidRPr="007A0A29" w:rsidRDefault="00DC3A1A" w:rsidP="00216F7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2F008405" w14:textId="67E4D8D6" w:rsidR="006166DB" w:rsidRPr="007A0A29" w:rsidRDefault="00DC3A1A" w:rsidP="00216F7F">
      <w:pPr>
        <w:shd w:val="clear" w:color="auto" w:fill="C5E0B3" w:themeFill="accent6" w:themeFillTint="66"/>
        <w:spacing w:after="0" w:line="240" w:lineRule="auto"/>
        <w:contextualSpacing/>
        <w:mirrorIndents/>
        <w:rPr>
          <w:b/>
          <w:color w:val="000000" w:themeColor="text1"/>
          <w:szCs w:val="21"/>
        </w:rPr>
      </w:pPr>
      <w:r w:rsidRPr="007A0A29">
        <w:rPr>
          <w:b/>
          <w:color w:val="000000" w:themeColor="text1"/>
          <w:szCs w:val="21"/>
        </w:rPr>
        <w:t>6</w:t>
      </w:r>
      <w:r w:rsidR="006166DB" w:rsidRPr="007A0A29">
        <w:rPr>
          <w:b/>
          <w:color w:val="000000" w:themeColor="text1"/>
          <w:szCs w:val="21"/>
        </w:rPr>
        <w:t xml:space="preserve">.- Fechas en que ha sido actualizada: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A0A29" w14:paraId="380262AA" w14:textId="77777777" w:rsidTr="00DF074B">
        <w:tc>
          <w:tcPr>
            <w:tcW w:w="8828" w:type="dxa"/>
          </w:tcPr>
          <w:p w14:paraId="1917902A" w14:textId="27C39FC0" w:rsidR="006166DB" w:rsidRPr="007A0A29" w:rsidRDefault="007922BE" w:rsidP="00216F7F">
            <w:pPr>
              <w:contextualSpacing/>
              <w:mirrorIndents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29/12/2021</w:t>
            </w:r>
          </w:p>
        </w:tc>
      </w:tr>
    </w:tbl>
    <w:p w14:paraId="4E8FF191" w14:textId="77777777" w:rsidR="006166DB" w:rsidRPr="007A0A29" w:rsidRDefault="006166DB" w:rsidP="00216F7F">
      <w:pPr>
        <w:spacing w:after="0" w:line="240" w:lineRule="auto"/>
        <w:ind w:firstLine="708"/>
        <w:contextualSpacing/>
        <w:mirrorIndents/>
        <w:rPr>
          <w:color w:val="000000" w:themeColor="text1"/>
          <w:szCs w:val="21"/>
        </w:rPr>
      </w:pPr>
    </w:p>
    <w:p w14:paraId="03333167" w14:textId="178A32D8" w:rsidR="006166DB" w:rsidRPr="007A0A29" w:rsidRDefault="00DC3A1A" w:rsidP="00216F7F">
      <w:pPr>
        <w:shd w:val="clear" w:color="auto" w:fill="C5E0B3" w:themeFill="accent6" w:themeFillTint="66"/>
        <w:spacing w:after="0" w:line="240" w:lineRule="auto"/>
        <w:contextualSpacing/>
        <w:mirrorIndents/>
        <w:rPr>
          <w:b/>
          <w:color w:val="000000" w:themeColor="text1"/>
          <w:szCs w:val="21"/>
        </w:rPr>
      </w:pPr>
      <w:r w:rsidRPr="007A0A29">
        <w:rPr>
          <w:b/>
          <w:color w:val="000000" w:themeColor="text1"/>
          <w:szCs w:val="21"/>
        </w:rPr>
        <w:t>7</w:t>
      </w:r>
      <w:r w:rsidR="006166DB" w:rsidRPr="007A0A29">
        <w:rPr>
          <w:b/>
          <w:color w:val="000000" w:themeColor="text1"/>
          <w:szCs w:val="21"/>
        </w:rPr>
        <w:t>.- Tipo de ordenamiento jurídico: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A0A29" w14:paraId="00840257" w14:textId="77777777" w:rsidTr="00DF074B">
        <w:tc>
          <w:tcPr>
            <w:tcW w:w="8828" w:type="dxa"/>
          </w:tcPr>
          <w:p w14:paraId="5DFAFB35" w14:textId="1C23E274" w:rsidR="006166DB" w:rsidRPr="007A0A29" w:rsidRDefault="007922BE" w:rsidP="00216F7F">
            <w:pPr>
              <w:contextualSpacing/>
              <w:mirrorIndents/>
              <w:rPr>
                <w:i/>
                <w:color w:val="AEAAAA" w:themeColor="background2" w:themeShade="BF"/>
                <w:szCs w:val="21"/>
              </w:rPr>
            </w:pPr>
            <w:sdt>
              <w:sdtPr>
                <w:rPr>
                  <w:rStyle w:val="Estilo4"/>
                  <w:rFonts w:ascii="ITC Avant Garde" w:hAnsi="ITC Avant Garde"/>
                  <w:sz w:val="21"/>
                  <w:szCs w:val="21"/>
                </w:rPr>
                <w:alias w:val="Tipo de Ordenamiento "/>
                <w:tag w:val="Tipo de Ordenamiento "/>
                <w:id w:val="-182972413"/>
                <w:placeholder>
                  <w:docPart w:val="5233E99645114FB3B3B67F7B8A2D413B"/>
                </w:placeholder>
                <w15:color w:val="99CC00"/>
                <w:dropDownList>
                  <w:listItem w:value="Elija un elemento."/>
                  <w:listItem w:displayText="Acuerdo" w:value="Acuerdo"/>
                  <w:listItem w:displayText="Circular" w:value="Circular"/>
                  <w:listItem w:displayText="Código" w:value="Código"/>
                  <w:listItem w:displayText="Criterio" w:value="Criterio"/>
                  <w:listItem w:displayText="Decreto" w:value="Decreto"/>
                  <w:listItem w:displayText="Directiva" w:value="Directiva"/>
                  <w:listItem w:displayText="Disposición de carácter general" w:value="Disposición de carácter general"/>
                  <w:listItem w:displayText="Disposición Técnica" w:value="Disposición Técnica"/>
                  <w:listItem w:displayText="Estatuo " w:value="Estatuo "/>
                  <w:listItem w:displayText="Formato" w:value="Formato"/>
                  <w:listItem w:displayText="Instructivo" w:value="Instructivo"/>
                  <w:listItem w:displayText="Ley" w:value="Ley"/>
                  <w:listItem w:displayText="Lineamiento " w:value="Lineamiento "/>
                  <w:listItem w:displayText="Manual " w:value="Manual "/>
                  <w:listItem w:displayText="Metodología " w:value="Metodología "/>
                  <w:listItem w:displayText="Norma Oficial Mexicana" w:value="Norma Oficial Mexicana"/>
                  <w:listItem w:displayText="Reglas" w:value="Reglas"/>
                  <w:listItem w:displayText="Reglamento" w:value="Reglamento"/>
                  <w:listItem w:displayText="Otra " w:value="Otra "/>
                </w:dropDownList>
              </w:sdtPr>
              <w:sdtEndPr>
                <w:rPr>
                  <w:rStyle w:val="Fuentedeprrafopredeter"/>
                  <w:i/>
                  <w:color w:val="AEAAAA" w:themeColor="background2" w:themeShade="BF"/>
                </w:rPr>
              </w:sdtEndPr>
              <w:sdtContent>
                <w:r w:rsidR="002C52D7" w:rsidRPr="007A0A29">
                  <w:rPr>
                    <w:rStyle w:val="Estilo4"/>
                    <w:rFonts w:ascii="ITC Avant Garde" w:hAnsi="ITC Avant Garde"/>
                    <w:sz w:val="21"/>
                    <w:szCs w:val="21"/>
                  </w:rPr>
                  <w:t>Disposición de carácter general</w:t>
                </w:r>
              </w:sdtContent>
            </w:sdt>
          </w:p>
        </w:tc>
      </w:tr>
    </w:tbl>
    <w:p w14:paraId="635A852A" w14:textId="77777777" w:rsidR="006166DB" w:rsidRPr="007A0A29" w:rsidRDefault="006166DB" w:rsidP="00216F7F">
      <w:pPr>
        <w:spacing w:after="0" w:line="240" w:lineRule="auto"/>
        <w:contextualSpacing/>
        <w:mirrorIndents/>
        <w:rPr>
          <w:i/>
          <w:color w:val="000000" w:themeColor="text1"/>
          <w:szCs w:val="21"/>
        </w:rPr>
      </w:pPr>
    </w:p>
    <w:p w14:paraId="22B399FE" w14:textId="0217C64F" w:rsidR="006166DB" w:rsidRPr="007A0A29" w:rsidRDefault="00DC3A1A" w:rsidP="00216F7F">
      <w:pPr>
        <w:shd w:val="clear" w:color="auto" w:fill="C5E0B3" w:themeFill="accent6" w:themeFillTint="66"/>
        <w:spacing w:after="0" w:line="240" w:lineRule="auto"/>
        <w:contextualSpacing/>
        <w:mirrorIndents/>
        <w:rPr>
          <w:b/>
          <w:color w:val="000000" w:themeColor="text1"/>
          <w:szCs w:val="21"/>
        </w:rPr>
      </w:pPr>
      <w:r w:rsidRPr="007A0A29">
        <w:rPr>
          <w:b/>
          <w:color w:val="000000" w:themeColor="text1"/>
          <w:szCs w:val="21"/>
        </w:rPr>
        <w:t>8</w:t>
      </w:r>
      <w:r w:rsidR="006166DB" w:rsidRPr="007A0A29">
        <w:rPr>
          <w:b/>
          <w:color w:val="000000" w:themeColor="text1"/>
          <w:szCs w:val="21"/>
        </w:rPr>
        <w:t>.</w:t>
      </w:r>
      <w:r w:rsidR="00976786">
        <w:rPr>
          <w:b/>
          <w:color w:val="000000" w:themeColor="text1"/>
          <w:szCs w:val="21"/>
        </w:rPr>
        <w:t>-</w:t>
      </w:r>
      <w:r w:rsidR="006166DB" w:rsidRPr="007A0A29">
        <w:rPr>
          <w:szCs w:val="21"/>
        </w:rPr>
        <w:t xml:space="preserve"> </w:t>
      </w:r>
      <w:r w:rsidR="006166DB" w:rsidRPr="007A0A29">
        <w:rPr>
          <w:b/>
          <w:color w:val="000000" w:themeColor="text1"/>
          <w:szCs w:val="21"/>
        </w:rPr>
        <w:t>Índice de la Regulación: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A0A29" w14:paraId="040BA959" w14:textId="77777777" w:rsidTr="00F73022">
        <w:trPr>
          <w:trHeight w:val="65"/>
        </w:trPr>
        <w:tc>
          <w:tcPr>
            <w:tcW w:w="8828" w:type="dxa"/>
          </w:tcPr>
          <w:p w14:paraId="5F275C45" w14:textId="42B8EC42" w:rsidR="002C52D7" w:rsidRPr="00976786" w:rsidRDefault="0018680D" w:rsidP="00976786">
            <w:pPr>
              <w:mirrorIndents/>
              <w:rPr>
                <w:bCs/>
                <w:color w:val="000000" w:themeColor="text1"/>
                <w:szCs w:val="21"/>
              </w:rPr>
            </w:pPr>
            <w:r w:rsidRPr="00976786">
              <w:rPr>
                <w:bCs/>
                <w:color w:val="000000" w:themeColor="text1"/>
                <w:szCs w:val="21"/>
              </w:rPr>
              <w:t>No aplica</w:t>
            </w:r>
          </w:p>
        </w:tc>
      </w:tr>
    </w:tbl>
    <w:p w14:paraId="4E6C6C7C" w14:textId="77777777" w:rsidR="00F73022" w:rsidRPr="007A0A29" w:rsidRDefault="00F73022" w:rsidP="00216F7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308AB0E2" w14:textId="651F7254" w:rsidR="00F73022" w:rsidRPr="007A0A29" w:rsidRDefault="00DC3A1A" w:rsidP="00216F7F">
      <w:pPr>
        <w:shd w:val="clear" w:color="auto" w:fill="C5E0B3" w:themeFill="accent6" w:themeFillTint="66"/>
        <w:spacing w:after="0" w:line="240" w:lineRule="auto"/>
        <w:contextualSpacing/>
        <w:mirrorIndents/>
        <w:rPr>
          <w:b/>
          <w:color w:val="000000" w:themeColor="text1"/>
          <w:szCs w:val="21"/>
        </w:rPr>
      </w:pPr>
      <w:r w:rsidRPr="007A0A29">
        <w:rPr>
          <w:b/>
          <w:color w:val="000000" w:themeColor="text1"/>
          <w:szCs w:val="21"/>
        </w:rPr>
        <w:t>9</w:t>
      </w:r>
      <w:r w:rsidR="00F73022" w:rsidRPr="007A0A29">
        <w:rPr>
          <w:b/>
          <w:color w:val="000000" w:themeColor="text1"/>
          <w:szCs w:val="21"/>
        </w:rPr>
        <w:t>.</w:t>
      </w:r>
      <w:r w:rsidR="00976786">
        <w:rPr>
          <w:b/>
          <w:color w:val="000000" w:themeColor="text1"/>
          <w:szCs w:val="21"/>
        </w:rPr>
        <w:t>-</w:t>
      </w:r>
      <w:r w:rsidR="00F73022" w:rsidRPr="007A0A29">
        <w:rPr>
          <w:szCs w:val="21"/>
        </w:rPr>
        <w:t xml:space="preserve"> </w:t>
      </w:r>
      <w:r w:rsidR="00F73022" w:rsidRPr="007A0A29">
        <w:rPr>
          <w:b/>
          <w:color w:val="000000" w:themeColor="text1"/>
          <w:szCs w:val="21"/>
        </w:rPr>
        <w:t>Objeto de la Regulación: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73022" w:rsidRPr="007A0A29" w14:paraId="373C675C" w14:textId="77777777" w:rsidTr="00DF074B">
        <w:tc>
          <w:tcPr>
            <w:tcW w:w="8828" w:type="dxa"/>
          </w:tcPr>
          <w:p w14:paraId="53B08DCA" w14:textId="25DD43B5" w:rsidR="00F73022" w:rsidRPr="007A0A29" w:rsidRDefault="002C52D7" w:rsidP="00216F7F">
            <w:pPr>
              <w:tabs>
                <w:tab w:val="left" w:pos="1500"/>
              </w:tabs>
              <w:contextualSpacing/>
              <w:mirrorIndents/>
              <w:rPr>
                <w:color w:val="000000" w:themeColor="text1"/>
                <w:szCs w:val="21"/>
              </w:rPr>
            </w:pPr>
            <w:r w:rsidRPr="007A0A29">
              <w:rPr>
                <w:color w:val="000000" w:themeColor="text1"/>
                <w:szCs w:val="21"/>
              </w:rPr>
              <w:t>Regular las actividades relacionadas con comercialización de servicios y homologación de equipos.</w:t>
            </w:r>
          </w:p>
        </w:tc>
      </w:tr>
    </w:tbl>
    <w:p w14:paraId="2355FA42" w14:textId="77777777" w:rsidR="00F73022" w:rsidRPr="007A0A29" w:rsidRDefault="00F73022" w:rsidP="00216F7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346E748B" w14:textId="170A2651" w:rsidR="006166DB" w:rsidRPr="007A0A29" w:rsidRDefault="00DC3A1A" w:rsidP="00216F7F">
      <w:pPr>
        <w:shd w:val="clear" w:color="auto" w:fill="C5E0B3" w:themeFill="accent6" w:themeFillTint="66"/>
        <w:spacing w:after="0" w:line="240" w:lineRule="auto"/>
        <w:contextualSpacing/>
        <w:mirrorIndents/>
        <w:rPr>
          <w:b/>
          <w:color w:val="000000" w:themeColor="text1"/>
          <w:szCs w:val="21"/>
        </w:rPr>
      </w:pPr>
      <w:r w:rsidRPr="007A0A29">
        <w:rPr>
          <w:b/>
          <w:color w:val="000000" w:themeColor="text1"/>
          <w:szCs w:val="21"/>
        </w:rPr>
        <w:t>10</w:t>
      </w:r>
      <w:r w:rsidR="006166DB" w:rsidRPr="007A0A29">
        <w:rPr>
          <w:b/>
          <w:color w:val="000000" w:themeColor="text1"/>
          <w:szCs w:val="21"/>
        </w:rPr>
        <w:t>.- Materias, sectores y sujetos regulados: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6DB" w:rsidRPr="007A0A29" w14:paraId="36A134C5" w14:textId="77777777" w:rsidTr="00DF074B">
        <w:tc>
          <w:tcPr>
            <w:tcW w:w="8828" w:type="dxa"/>
          </w:tcPr>
          <w:p w14:paraId="0C79C5AD" w14:textId="751BE159" w:rsidR="006166DB" w:rsidRPr="007A0A29" w:rsidRDefault="006166DB" w:rsidP="00216F7F">
            <w:pPr>
              <w:contextualSpacing/>
              <w:mirrorIndents/>
              <w:rPr>
                <w:szCs w:val="21"/>
              </w:rPr>
            </w:pPr>
            <w:r w:rsidRPr="007A0A29">
              <w:rPr>
                <w:szCs w:val="21"/>
              </w:rPr>
              <w:t>Materia:</w:t>
            </w:r>
            <w:sdt>
              <w:sdtPr>
                <w:rPr>
                  <w:szCs w:val="21"/>
                </w:rPr>
                <w:id w:val="-1144422713"/>
                <w:placeholder>
                  <w:docPart w:val="6AC0039F80B14E42AC789819265ECFFB"/>
                </w:placeholder>
                <w15:color w:val="99CC00"/>
                <w:dropDownList>
                  <w:listItem w:value="Elija un elemento."/>
                  <w:listItem w:displayText="Telecomunicaciones " w:value="Telecomunicaciones "/>
                  <w:listItem w:displayText="Radiodifusión " w:value="Radiodifusión "/>
                  <w:listItem w:displayText="Telecomunicaciones y Radiodifusión " w:value="Telecomunicaciones y Radiodifusión "/>
                </w:dropDownList>
              </w:sdtPr>
              <w:sdtEndPr/>
              <w:sdtContent>
                <w:r w:rsidR="00363ECF" w:rsidRPr="007A0A29">
                  <w:rPr>
                    <w:szCs w:val="21"/>
                  </w:rPr>
                  <w:t xml:space="preserve">Telecomunicaciones y Radiodifusión </w:t>
                </w:r>
              </w:sdtContent>
            </w:sdt>
            <w:r w:rsidRPr="007A0A29">
              <w:rPr>
                <w:szCs w:val="21"/>
              </w:rPr>
              <w:t xml:space="preserve">  </w:t>
            </w:r>
          </w:p>
        </w:tc>
      </w:tr>
      <w:tr w:rsidR="006166DB" w:rsidRPr="007A0A29" w14:paraId="78629502" w14:textId="77777777" w:rsidTr="00DF074B">
        <w:tc>
          <w:tcPr>
            <w:tcW w:w="8828" w:type="dxa"/>
          </w:tcPr>
          <w:p w14:paraId="617248E0" w14:textId="42B3C950" w:rsidR="006166DB" w:rsidRPr="007A0A29" w:rsidRDefault="006166DB" w:rsidP="00216F7F">
            <w:pPr>
              <w:contextualSpacing/>
              <w:mirrorIndents/>
              <w:rPr>
                <w:szCs w:val="21"/>
              </w:rPr>
            </w:pPr>
            <w:r w:rsidRPr="007A0A29">
              <w:rPr>
                <w:szCs w:val="21"/>
              </w:rPr>
              <w:t xml:space="preserve">Sector: </w:t>
            </w:r>
            <w:sdt>
              <w:sdtPr>
                <w:rPr>
                  <w:szCs w:val="21"/>
                </w:rPr>
                <w:id w:val="-86231333"/>
                <w:placeholder>
                  <w:docPart w:val="0F5A8BA285AC404EA7CF86593950CDFB"/>
                </w:placeholder>
                <w15:color w:val="99CC00"/>
                <w:dropDownList>
                  <w:listItem w:value="Elija un elemento."/>
                  <w:listItem w:displayText="Transmisión de programas de radio" w:value="Transmisión de programas de radio"/>
                  <w:listItem w:displayText="Transmisión de programas de televisión" w:value="Transmisión de programas de televisión"/>
                  <w:listItem w:displayText="Producción de programación de canales para sistemas de televisión por cable o satelitales" w:value="Producción de programación de canales para sistemas de televisión por cable o satelitales"/>
                  <w:listItem w:displayText="Operadores de servicios de telecomunicaciones alámbricas" w:value="Operadores de servicios de telecomunicaciones alámbricas"/>
                  <w:listItem w:displayText="Operadores de servicios de telecomunicaciones inalámbricas" w:value="Operadores de servicios de telecomunicaciones inalámbricas"/>
                  <w:listItem w:displayText="Operadores de servicios de telecomunicaciones vía satélite" w:value="Operadores de servicios de telecomunicaciones vía satélite"/>
                  <w:listItem w:displayText="Otros servicios de telecomunicaciones" w:value="Otros servicios de telecomunicaciones"/>
                </w:dropDownList>
              </w:sdtPr>
              <w:sdtEndPr/>
              <w:sdtContent>
                <w:r w:rsidR="00363ECF" w:rsidRPr="007A0A29">
                  <w:rPr>
                    <w:szCs w:val="21"/>
                  </w:rPr>
                  <w:t>Operadores de servicios de telecomunicaciones alámbricas</w:t>
                </w:r>
              </w:sdtContent>
            </w:sdt>
          </w:p>
        </w:tc>
      </w:tr>
      <w:tr w:rsidR="00363ECF" w:rsidRPr="007A0A29" w14:paraId="59E47BA8" w14:textId="77777777" w:rsidTr="00DF074B">
        <w:tc>
          <w:tcPr>
            <w:tcW w:w="8828" w:type="dxa"/>
          </w:tcPr>
          <w:p w14:paraId="3181C161" w14:textId="086D767F" w:rsidR="00363ECF" w:rsidRPr="007A0A29" w:rsidRDefault="00363ECF" w:rsidP="00216F7F">
            <w:pPr>
              <w:contextualSpacing/>
              <w:mirrorIndents/>
              <w:rPr>
                <w:szCs w:val="21"/>
              </w:rPr>
            </w:pPr>
            <w:r w:rsidRPr="007A0A29">
              <w:rPr>
                <w:szCs w:val="21"/>
              </w:rPr>
              <w:t xml:space="preserve">Sector: </w:t>
            </w:r>
            <w:sdt>
              <w:sdtPr>
                <w:rPr>
                  <w:szCs w:val="21"/>
                </w:rPr>
                <w:id w:val="817298912"/>
                <w:placeholder>
                  <w:docPart w:val="BF8024FDF65B4E16935B26385FEF264B"/>
                </w:placeholder>
                <w15:color w:val="99CC00"/>
                <w:dropDownList>
                  <w:listItem w:value="Elija un elemento."/>
                  <w:listItem w:displayText="Transmisión de programas de radio" w:value="Transmisión de programas de radio"/>
                  <w:listItem w:displayText="Transmisión de programas de televisión" w:value="Transmisión de programas de televisión"/>
                  <w:listItem w:displayText="Producción de programación de canales para sistemas de televisión por cable o satelitales" w:value="Producción de programación de canales para sistemas de televisión por cable o satelitales"/>
                  <w:listItem w:displayText="Operadores de servicios de telecomunicaciones alámbricas" w:value="Operadores de servicios de telecomunicaciones alámbricas"/>
                  <w:listItem w:displayText="Operadores de servicios de telecomunicaciones inalámbricas" w:value="Operadores de servicios de telecomunicaciones inalámbricas"/>
                  <w:listItem w:displayText="Operadores de servicios de telecomunicaciones vía satélite" w:value="Operadores de servicios de telecomunicaciones vía satélite"/>
                  <w:listItem w:displayText="Otros servicios de telecomunicaciones" w:value="Otros servicios de telecomunicaciones"/>
                </w:dropDownList>
              </w:sdtPr>
              <w:sdtEndPr/>
              <w:sdtContent>
                <w:r w:rsidRPr="007A0A29">
                  <w:rPr>
                    <w:szCs w:val="21"/>
                  </w:rPr>
                  <w:t>Operadores de servicios de telecomunicaciones inalámbricas</w:t>
                </w:r>
              </w:sdtContent>
            </w:sdt>
          </w:p>
        </w:tc>
      </w:tr>
      <w:tr w:rsidR="006166DB" w:rsidRPr="007A0A29" w14:paraId="380D841C" w14:textId="77777777" w:rsidTr="00DF074B">
        <w:tc>
          <w:tcPr>
            <w:tcW w:w="8828" w:type="dxa"/>
          </w:tcPr>
          <w:p w14:paraId="6C9F585B" w14:textId="765B22C1" w:rsidR="006166DB" w:rsidRPr="007A0A29" w:rsidRDefault="006166DB" w:rsidP="00216F7F">
            <w:pPr>
              <w:contextualSpacing/>
              <w:mirrorIndents/>
              <w:rPr>
                <w:szCs w:val="21"/>
              </w:rPr>
            </w:pPr>
            <w:r w:rsidRPr="007A0A29">
              <w:rPr>
                <w:szCs w:val="21"/>
              </w:rPr>
              <w:t xml:space="preserve">Regulado: </w:t>
            </w:r>
            <w:r w:rsidR="0018680D" w:rsidRPr="007A0A29">
              <w:rPr>
                <w:szCs w:val="21"/>
              </w:rPr>
              <w:t>C</w:t>
            </w:r>
            <w:r w:rsidR="00363ECF" w:rsidRPr="007A0A29">
              <w:rPr>
                <w:szCs w:val="21"/>
              </w:rPr>
              <w:t>oncesionarios y autorizados que sean operadores del servicio de telefonía pública</w:t>
            </w:r>
          </w:p>
        </w:tc>
      </w:tr>
    </w:tbl>
    <w:p w14:paraId="6F28DB01" w14:textId="5DEA0AD1" w:rsidR="001D0BED" w:rsidRPr="007A0A29" w:rsidRDefault="001D0BED" w:rsidP="00216F7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39827835" w14:textId="77777777" w:rsidR="00DC3A1A" w:rsidRPr="007A0A29" w:rsidRDefault="00DC3A1A" w:rsidP="00216F7F">
      <w:pPr>
        <w:shd w:val="clear" w:color="auto" w:fill="C5E0B3" w:themeFill="accent6" w:themeFillTint="66"/>
        <w:spacing w:after="0" w:line="240" w:lineRule="auto"/>
        <w:contextualSpacing/>
        <w:mirrorIndents/>
        <w:rPr>
          <w:b/>
          <w:color w:val="000000" w:themeColor="text1"/>
          <w:szCs w:val="21"/>
        </w:rPr>
      </w:pPr>
      <w:r w:rsidRPr="007A0A29">
        <w:rPr>
          <w:b/>
          <w:color w:val="000000" w:themeColor="text1"/>
          <w:szCs w:val="21"/>
        </w:rPr>
        <w:t>11.- Otras regulaciones vinculadas o derivadas de esta regulación: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DC3A1A" w:rsidRPr="007A0A29" w14:paraId="0977E504" w14:textId="77777777" w:rsidTr="00DF074B">
        <w:trPr>
          <w:trHeight w:val="65"/>
        </w:trPr>
        <w:tc>
          <w:tcPr>
            <w:tcW w:w="8828" w:type="dxa"/>
          </w:tcPr>
          <w:p w14:paraId="73A8B664" w14:textId="77777777" w:rsidR="00DC3A1A" w:rsidRDefault="00363ECF" w:rsidP="00C363AE">
            <w:pPr>
              <w:pStyle w:val="Prrafodelista"/>
              <w:numPr>
                <w:ilvl w:val="0"/>
                <w:numId w:val="15"/>
              </w:numPr>
              <w:mirrorIndents/>
              <w:rPr>
                <w:szCs w:val="21"/>
              </w:rPr>
            </w:pPr>
            <w:r w:rsidRPr="007A0A29">
              <w:rPr>
                <w:szCs w:val="21"/>
              </w:rPr>
              <w:t>Lineamientos de Colaboración en Materia de Seguridad y Justicia.</w:t>
            </w:r>
          </w:p>
          <w:p w14:paraId="5D4A60FE" w14:textId="29CAFDFF" w:rsidR="007922BE" w:rsidRPr="007922BE" w:rsidRDefault="007922BE" w:rsidP="007922BE">
            <w:pPr>
              <w:pStyle w:val="Prrafodelista"/>
              <w:numPr>
                <w:ilvl w:val="0"/>
                <w:numId w:val="15"/>
              </w:numPr>
              <w:mirrorIndents/>
              <w:rPr>
                <w:szCs w:val="21"/>
              </w:rPr>
            </w:pPr>
            <w:r w:rsidRPr="007922BE">
              <w:rPr>
                <w:szCs w:val="21"/>
              </w:rPr>
              <w:lastRenderedPageBreak/>
              <w:t>A</w:t>
            </w:r>
            <w:r>
              <w:rPr>
                <w:szCs w:val="21"/>
              </w:rPr>
              <w:t>cuerdo</w:t>
            </w:r>
            <w:r w:rsidRPr="007922BE">
              <w:rPr>
                <w:szCs w:val="21"/>
              </w:rPr>
              <w:t> mediante el cual el Pleno del Instituto Federal de Telecomunicaciones expide los Lineamientos para la homologación de productos, equipos, dispositivos o aparatos destinados a telecomunicaciones o radiodifusión.</w:t>
            </w:r>
          </w:p>
        </w:tc>
      </w:tr>
    </w:tbl>
    <w:p w14:paraId="03FABE9B" w14:textId="45F8751D" w:rsidR="00DC3A1A" w:rsidRPr="007A0A29" w:rsidRDefault="00DC3A1A" w:rsidP="00216F7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0D66A130" w14:textId="7623840C" w:rsidR="006166DB" w:rsidRPr="007A0A29" w:rsidRDefault="00DC3A1A" w:rsidP="00216F7F">
      <w:pPr>
        <w:shd w:val="clear" w:color="auto" w:fill="C5E0B3" w:themeFill="accent6" w:themeFillTint="66"/>
        <w:spacing w:after="0" w:line="240" w:lineRule="auto"/>
        <w:contextualSpacing/>
        <w:mirrorIndents/>
        <w:rPr>
          <w:b/>
          <w:color w:val="000000" w:themeColor="text1"/>
          <w:szCs w:val="21"/>
        </w:rPr>
      </w:pPr>
      <w:r w:rsidRPr="007A0A29">
        <w:rPr>
          <w:b/>
          <w:color w:val="000000" w:themeColor="text1"/>
          <w:szCs w:val="21"/>
        </w:rPr>
        <w:t>12</w:t>
      </w:r>
      <w:r w:rsidR="006166DB" w:rsidRPr="007A0A29">
        <w:rPr>
          <w:b/>
          <w:color w:val="000000" w:themeColor="text1"/>
          <w:szCs w:val="21"/>
        </w:rPr>
        <w:t xml:space="preserve">.- Trámites y Servicios relacionados con la Regulación: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2FD6" w:rsidRPr="007A0A29" w14:paraId="096E5FBB" w14:textId="77777777" w:rsidTr="007D2FD6">
        <w:tc>
          <w:tcPr>
            <w:tcW w:w="8828" w:type="dxa"/>
          </w:tcPr>
          <w:p w14:paraId="1E0A3A61" w14:textId="278F7569" w:rsidR="002855B8" w:rsidRPr="007922BE" w:rsidRDefault="007922BE" w:rsidP="007922BE">
            <w:pPr>
              <w:pStyle w:val="Prrafodelista"/>
              <w:numPr>
                <w:ilvl w:val="0"/>
                <w:numId w:val="14"/>
              </w:numPr>
              <w:mirrorIndents/>
              <w:rPr>
                <w:color w:val="000000" w:themeColor="text1"/>
                <w:szCs w:val="21"/>
              </w:rPr>
            </w:pPr>
            <w:hyperlink r:id="rId11" w:anchor="!/tramite/UC-01-031" w:history="1">
              <w:r w:rsidR="00363ECF" w:rsidRPr="007A0A29">
                <w:rPr>
                  <w:rStyle w:val="Hipervnculo"/>
                  <w:b/>
                  <w:szCs w:val="21"/>
                  <w:bdr w:val="none" w:sz="0" w:space="0" w:color="auto"/>
                </w:rPr>
                <w:t>UC-01-031</w:t>
              </w:r>
            </w:hyperlink>
            <w:r w:rsidR="00363ECF" w:rsidRPr="007A0A29">
              <w:rPr>
                <w:b/>
                <w:color w:val="000000" w:themeColor="text1"/>
                <w:szCs w:val="21"/>
              </w:rPr>
              <w:t>:</w:t>
            </w:r>
            <w:r w:rsidR="007D1AC3" w:rsidRPr="007A0A29">
              <w:rPr>
                <w:color w:val="000000" w:themeColor="text1"/>
                <w:szCs w:val="21"/>
              </w:rPr>
              <w:t xml:space="preserve"> Presentación del informe de ubicación de aparatos telefónicos de uso público.</w:t>
            </w:r>
          </w:p>
        </w:tc>
      </w:tr>
    </w:tbl>
    <w:p w14:paraId="37E6B748" w14:textId="77777777" w:rsidR="006166DB" w:rsidRPr="007A0A29" w:rsidRDefault="006166DB" w:rsidP="00216F7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tbl>
      <w:tblPr>
        <w:tblStyle w:val="Tablaconcuadrcula"/>
        <w:tblpPr w:leftFromText="141" w:rightFromText="141" w:vertAnchor="text" w:horzAnchor="margin" w:tblpY="57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D2FD6" w:rsidRPr="007A0A29" w14:paraId="1683D7BD" w14:textId="77777777" w:rsidTr="007D2FD6">
        <w:tc>
          <w:tcPr>
            <w:tcW w:w="8828" w:type="dxa"/>
          </w:tcPr>
          <w:p w14:paraId="6A09D6D7" w14:textId="11BD3544" w:rsidR="007D2FD6" w:rsidRPr="009437F0" w:rsidRDefault="000B1FDF" w:rsidP="009437F0">
            <w:pPr>
              <w:tabs>
                <w:tab w:val="left" w:pos="1095"/>
              </w:tabs>
              <w:mirrorIndents/>
              <w:rPr>
                <w:color w:val="000000" w:themeColor="text1"/>
                <w:szCs w:val="21"/>
              </w:rPr>
            </w:pPr>
            <w:r w:rsidRPr="009437F0">
              <w:rPr>
                <w:color w:val="000000" w:themeColor="text1"/>
                <w:szCs w:val="21"/>
              </w:rPr>
              <w:t>Inspección, verificación y vigilancia: Ley Federal de Telecomunicaciones y Radiodifusión, artículo</w:t>
            </w:r>
            <w:r w:rsidR="008A15F0" w:rsidRPr="009437F0">
              <w:rPr>
                <w:color w:val="000000" w:themeColor="text1"/>
                <w:szCs w:val="21"/>
              </w:rPr>
              <w:t xml:space="preserve"> </w:t>
            </w:r>
            <w:r w:rsidRPr="009437F0">
              <w:rPr>
                <w:color w:val="000000" w:themeColor="text1"/>
                <w:szCs w:val="21"/>
              </w:rPr>
              <w:t>291</w:t>
            </w:r>
          </w:p>
        </w:tc>
      </w:tr>
    </w:tbl>
    <w:p w14:paraId="21B252A3" w14:textId="77777777" w:rsidR="00DC3A1A" w:rsidRPr="007A0A29" w:rsidRDefault="00DC3A1A" w:rsidP="00216F7F">
      <w:pPr>
        <w:shd w:val="clear" w:color="auto" w:fill="C5E0B3" w:themeFill="accent6" w:themeFillTint="66"/>
        <w:spacing w:after="0" w:line="240" w:lineRule="auto"/>
        <w:contextualSpacing/>
        <w:mirrorIndents/>
        <w:rPr>
          <w:b/>
          <w:color w:val="000000" w:themeColor="text1"/>
          <w:szCs w:val="21"/>
        </w:rPr>
      </w:pPr>
      <w:r w:rsidRPr="007A0A29">
        <w:rPr>
          <w:b/>
          <w:color w:val="000000" w:themeColor="text1"/>
          <w:szCs w:val="21"/>
        </w:rPr>
        <w:t>13.- Inspecciones, verificaciones o visitas domiciliarias relacionadas con la regulación y su fundamento legal:</w:t>
      </w:r>
    </w:p>
    <w:p w14:paraId="6F4BC737" w14:textId="5999110A" w:rsidR="006166DB" w:rsidRPr="007A0A29" w:rsidRDefault="006166DB" w:rsidP="00216F7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602F9C20" w14:textId="1D855C42" w:rsidR="004B7538" w:rsidRPr="007A0A29" w:rsidRDefault="004B7538" w:rsidP="002434F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20310148" w14:textId="130AEE91" w:rsidR="004B7538" w:rsidRPr="007A0A29" w:rsidRDefault="004B7538" w:rsidP="002434F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256EE820" w14:textId="2ACBD6FD" w:rsidR="004B7538" w:rsidRPr="007A0A29" w:rsidRDefault="004B7538" w:rsidP="002434F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690366B3" w14:textId="4287C31C" w:rsidR="004B7538" w:rsidRPr="007A0A29" w:rsidRDefault="004B7538" w:rsidP="002434F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6D54DA18" w14:textId="6B3FAB26" w:rsidR="004B7538" w:rsidRPr="007A0A29" w:rsidRDefault="004B7538" w:rsidP="002434F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0495C852" w14:textId="01329A7B" w:rsidR="004B7538" w:rsidRPr="007A0A29" w:rsidRDefault="004B7538" w:rsidP="002434F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0D5D0600" w14:textId="44BBF303" w:rsidR="004B7538" w:rsidRPr="007A0A29" w:rsidRDefault="004B7538" w:rsidP="002434F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288650DD" w14:textId="43D8F7A4" w:rsidR="004B7538" w:rsidRPr="007A0A29" w:rsidRDefault="004B7538" w:rsidP="002434F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75A121BF" w14:textId="41988E0E" w:rsidR="004B7538" w:rsidRPr="007A0A29" w:rsidRDefault="004B7538" w:rsidP="002434F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148E77B2" w14:textId="38929B84" w:rsidR="004B7538" w:rsidRPr="007A0A29" w:rsidRDefault="004B7538" w:rsidP="002434F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p w14:paraId="6B64E51A" w14:textId="18B60198" w:rsidR="004B7538" w:rsidRPr="007A0A29" w:rsidRDefault="004B7538" w:rsidP="002434FF">
      <w:pPr>
        <w:spacing w:after="0" w:line="240" w:lineRule="auto"/>
        <w:contextualSpacing/>
        <w:mirrorIndents/>
        <w:rPr>
          <w:color w:val="000000" w:themeColor="text1"/>
          <w:szCs w:val="21"/>
        </w:rPr>
      </w:pPr>
    </w:p>
    <w:sectPr w:rsidR="004B7538" w:rsidRPr="007A0A29" w:rsidSect="003F1D7B">
      <w:headerReference w:type="default" r:id="rId12"/>
      <w:pgSz w:w="12240" w:h="15840"/>
      <w:pgMar w:top="22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31CE" w14:textId="77777777" w:rsidR="00B66207" w:rsidRDefault="00B66207" w:rsidP="006166DB">
      <w:pPr>
        <w:spacing w:after="0" w:line="240" w:lineRule="auto"/>
      </w:pPr>
      <w:r>
        <w:separator/>
      </w:r>
    </w:p>
  </w:endnote>
  <w:endnote w:type="continuationSeparator" w:id="0">
    <w:p w14:paraId="133650C2" w14:textId="77777777" w:rsidR="00B66207" w:rsidRDefault="00B66207" w:rsidP="0061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0E92" w14:textId="77777777" w:rsidR="00B66207" w:rsidRDefault="00B66207" w:rsidP="006166DB">
      <w:pPr>
        <w:spacing w:after="0" w:line="240" w:lineRule="auto"/>
      </w:pPr>
      <w:r>
        <w:separator/>
      </w:r>
    </w:p>
  </w:footnote>
  <w:footnote w:type="continuationSeparator" w:id="0">
    <w:p w14:paraId="02A85A98" w14:textId="77777777" w:rsidR="00B66207" w:rsidRDefault="00B66207" w:rsidP="00616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7722" w14:textId="589533C8" w:rsidR="00B66207" w:rsidRPr="003F0696" w:rsidRDefault="00B66207" w:rsidP="007D2FD6">
    <w:pPr>
      <w:pStyle w:val="Encabezado"/>
      <w:tabs>
        <w:tab w:val="left" w:pos="2748"/>
      </w:tabs>
      <w:rPr>
        <w:rFonts w:ascii="ITC Avant Garde Std Bk" w:hAnsi="ITC Avant Garde Std Bk"/>
      </w:rPr>
    </w:pPr>
    <w:r w:rsidRPr="003F0696">
      <w:rPr>
        <w:rFonts w:ascii="ITC Avant Garde Std Bk" w:hAnsi="ITC Avant Garde Std Bk"/>
        <w:noProof/>
        <w:lang w:eastAsia="es-MX"/>
      </w:rPr>
      <w:drawing>
        <wp:inline distT="0" distB="0" distL="0" distR="0" wp14:anchorId="62D493CC" wp14:editId="1036E2D6">
          <wp:extent cx="100012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F0696">
      <w:rPr>
        <w:rFonts w:ascii="ITC Avant Garde Std Bk" w:eastAsia="Calibri" w:hAnsi="ITC Avant Garde Std Bk" w:cs="Times New Roman"/>
        <w:b/>
        <w:sz w:val="18"/>
        <w:szCs w:val="18"/>
      </w:rPr>
      <w:t xml:space="preserve">                                       </w:t>
    </w:r>
    <w:r w:rsidRPr="003F0696">
      <w:rPr>
        <w:rFonts w:ascii="ITC Avant Garde Std Bk" w:hAnsi="ITC Avant Garde Std Bk"/>
        <w:b/>
        <w:szCs w:val="21"/>
      </w:rPr>
      <w:t>Cédula de Información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B2D"/>
    <w:multiLevelType w:val="hybridMultilevel"/>
    <w:tmpl w:val="BB8C97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2965"/>
    <w:multiLevelType w:val="hybridMultilevel"/>
    <w:tmpl w:val="07EEA368"/>
    <w:lvl w:ilvl="0" w:tplc="40C2A014">
      <w:start w:val="1"/>
      <w:numFmt w:val="decimal"/>
      <w:lvlText w:val="%1)"/>
      <w:lvlJc w:val="left"/>
      <w:pPr>
        <w:ind w:left="720" w:hanging="360"/>
      </w:pPr>
      <w:rPr>
        <w:rFonts w:ascii="ITC Avant Garde" w:eastAsiaTheme="minorHAnsi" w:hAnsi="ITC Avant Garde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23EA2"/>
    <w:multiLevelType w:val="hybridMultilevel"/>
    <w:tmpl w:val="BB1C931E"/>
    <w:lvl w:ilvl="0" w:tplc="8F6C9CC8">
      <w:start w:val="1"/>
      <w:numFmt w:val="decimal"/>
      <w:lvlText w:val="%1)"/>
      <w:lvlJc w:val="left"/>
      <w:pPr>
        <w:ind w:left="720" w:hanging="360"/>
      </w:pPr>
      <w:rPr>
        <w:rFonts w:ascii="ITC Avant Garde" w:eastAsiaTheme="minorHAnsi" w:hAnsi="ITC Avant Garde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633C2"/>
    <w:multiLevelType w:val="hybridMultilevel"/>
    <w:tmpl w:val="18F0195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B79E4"/>
    <w:multiLevelType w:val="hybridMultilevel"/>
    <w:tmpl w:val="F69A1518"/>
    <w:lvl w:ilvl="0" w:tplc="BC7A42F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B60C4"/>
    <w:multiLevelType w:val="hybridMultilevel"/>
    <w:tmpl w:val="366636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F1A0E"/>
    <w:multiLevelType w:val="hybridMultilevel"/>
    <w:tmpl w:val="714A9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7DF7"/>
    <w:multiLevelType w:val="hybridMultilevel"/>
    <w:tmpl w:val="F636015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E6BAF"/>
    <w:multiLevelType w:val="hybridMultilevel"/>
    <w:tmpl w:val="F69A1518"/>
    <w:lvl w:ilvl="0" w:tplc="BC7A42F8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  <w:szCs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17D6F"/>
    <w:multiLevelType w:val="hybridMultilevel"/>
    <w:tmpl w:val="07A6CE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05E65"/>
    <w:multiLevelType w:val="hybridMultilevel"/>
    <w:tmpl w:val="197038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6424E"/>
    <w:multiLevelType w:val="hybridMultilevel"/>
    <w:tmpl w:val="DB2222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40C"/>
    <w:multiLevelType w:val="multilevel"/>
    <w:tmpl w:val="58320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C4F5F10"/>
    <w:multiLevelType w:val="hybridMultilevel"/>
    <w:tmpl w:val="D8D03D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C0A4C"/>
    <w:multiLevelType w:val="hybridMultilevel"/>
    <w:tmpl w:val="3C1678D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84803">
    <w:abstractNumId w:val="4"/>
  </w:num>
  <w:num w:numId="2" w16cid:durableId="1006640367">
    <w:abstractNumId w:val="3"/>
  </w:num>
  <w:num w:numId="3" w16cid:durableId="916743548">
    <w:abstractNumId w:val="1"/>
  </w:num>
  <w:num w:numId="4" w16cid:durableId="1707632610">
    <w:abstractNumId w:val="2"/>
  </w:num>
  <w:num w:numId="5" w16cid:durableId="1377045481">
    <w:abstractNumId w:val="7"/>
  </w:num>
  <w:num w:numId="6" w16cid:durableId="2001690837">
    <w:abstractNumId w:val="14"/>
  </w:num>
  <w:num w:numId="7" w16cid:durableId="189802955">
    <w:abstractNumId w:val="12"/>
  </w:num>
  <w:num w:numId="8" w16cid:durableId="754399675">
    <w:abstractNumId w:val="8"/>
  </w:num>
  <w:num w:numId="9" w16cid:durableId="2001494515">
    <w:abstractNumId w:val="9"/>
  </w:num>
  <w:num w:numId="10" w16cid:durableId="1797797343">
    <w:abstractNumId w:val="11"/>
  </w:num>
  <w:num w:numId="11" w16cid:durableId="2121483276">
    <w:abstractNumId w:val="0"/>
  </w:num>
  <w:num w:numId="12" w16cid:durableId="1444494986">
    <w:abstractNumId w:val="13"/>
  </w:num>
  <w:num w:numId="13" w16cid:durableId="2110464695">
    <w:abstractNumId w:val="6"/>
  </w:num>
  <w:num w:numId="14" w16cid:durableId="395125932">
    <w:abstractNumId w:val="10"/>
  </w:num>
  <w:num w:numId="15" w16cid:durableId="1946771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catalog"/>
    <w:dataType w:val="textFile"/>
    <w:activeRecord w:val="-1"/>
  </w:mailMerge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DB"/>
    <w:rsid w:val="0006485E"/>
    <w:rsid w:val="00085CAE"/>
    <w:rsid w:val="000911B6"/>
    <w:rsid w:val="000B1FDF"/>
    <w:rsid w:val="00160C02"/>
    <w:rsid w:val="0018680D"/>
    <w:rsid w:val="001A0D96"/>
    <w:rsid w:val="001C36BF"/>
    <w:rsid w:val="001D0BED"/>
    <w:rsid w:val="001F3494"/>
    <w:rsid w:val="00207BA8"/>
    <w:rsid w:val="00216F7F"/>
    <w:rsid w:val="00223B0B"/>
    <w:rsid w:val="002434FF"/>
    <w:rsid w:val="00250D5A"/>
    <w:rsid w:val="002855B8"/>
    <w:rsid w:val="002B0B24"/>
    <w:rsid w:val="002C52D7"/>
    <w:rsid w:val="002E37B6"/>
    <w:rsid w:val="00332FE9"/>
    <w:rsid w:val="00363ECF"/>
    <w:rsid w:val="00366E21"/>
    <w:rsid w:val="00384692"/>
    <w:rsid w:val="003A162A"/>
    <w:rsid w:val="003F0696"/>
    <w:rsid w:val="003F1D7B"/>
    <w:rsid w:val="00446F0C"/>
    <w:rsid w:val="004B7538"/>
    <w:rsid w:val="004C31A6"/>
    <w:rsid w:val="004C75E5"/>
    <w:rsid w:val="004D6D14"/>
    <w:rsid w:val="004E552A"/>
    <w:rsid w:val="005034EB"/>
    <w:rsid w:val="00585BD4"/>
    <w:rsid w:val="005E34D0"/>
    <w:rsid w:val="005F0181"/>
    <w:rsid w:val="0061003C"/>
    <w:rsid w:val="006166DB"/>
    <w:rsid w:val="006441CF"/>
    <w:rsid w:val="0065492B"/>
    <w:rsid w:val="006911B3"/>
    <w:rsid w:val="006F7E1D"/>
    <w:rsid w:val="00703626"/>
    <w:rsid w:val="00720D02"/>
    <w:rsid w:val="007466F1"/>
    <w:rsid w:val="0078318D"/>
    <w:rsid w:val="007922BE"/>
    <w:rsid w:val="007A0A29"/>
    <w:rsid w:val="007A751B"/>
    <w:rsid w:val="007D1AC3"/>
    <w:rsid w:val="007D2FD6"/>
    <w:rsid w:val="007F5106"/>
    <w:rsid w:val="008017FB"/>
    <w:rsid w:val="00802508"/>
    <w:rsid w:val="00815D92"/>
    <w:rsid w:val="0089205E"/>
    <w:rsid w:val="008A15F0"/>
    <w:rsid w:val="0092333A"/>
    <w:rsid w:val="009437F0"/>
    <w:rsid w:val="009701A3"/>
    <w:rsid w:val="00976786"/>
    <w:rsid w:val="00977ED5"/>
    <w:rsid w:val="009918CF"/>
    <w:rsid w:val="009A6722"/>
    <w:rsid w:val="009D567D"/>
    <w:rsid w:val="00A70F6B"/>
    <w:rsid w:val="00A93C7F"/>
    <w:rsid w:val="00AC079F"/>
    <w:rsid w:val="00AD4846"/>
    <w:rsid w:val="00AF71CC"/>
    <w:rsid w:val="00B018E8"/>
    <w:rsid w:val="00B30E6B"/>
    <w:rsid w:val="00B66207"/>
    <w:rsid w:val="00B850EF"/>
    <w:rsid w:val="00B8531B"/>
    <w:rsid w:val="00B96E64"/>
    <w:rsid w:val="00BC52ED"/>
    <w:rsid w:val="00BE45D0"/>
    <w:rsid w:val="00C363AE"/>
    <w:rsid w:val="00C76443"/>
    <w:rsid w:val="00C8049B"/>
    <w:rsid w:val="00CF5F25"/>
    <w:rsid w:val="00D14569"/>
    <w:rsid w:val="00D258BF"/>
    <w:rsid w:val="00D93EA9"/>
    <w:rsid w:val="00DC3A1A"/>
    <w:rsid w:val="00DF074B"/>
    <w:rsid w:val="00DF0ACC"/>
    <w:rsid w:val="00DF1654"/>
    <w:rsid w:val="00E524E3"/>
    <w:rsid w:val="00E70994"/>
    <w:rsid w:val="00EF614E"/>
    <w:rsid w:val="00F014C6"/>
    <w:rsid w:val="00F30AF6"/>
    <w:rsid w:val="00F42CB3"/>
    <w:rsid w:val="00F52381"/>
    <w:rsid w:val="00F54CB3"/>
    <w:rsid w:val="00F62AAD"/>
    <w:rsid w:val="00F71208"/>
    <w:rsid w:val="00F73022"/>
    <w:rsid w:val="00FA4E22"/>
    <w:rsid w:val="00FF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BA2AB15"/>
  <w15:chartTrackingRefBased/>
  <w15:docId w15:val="{EA4D9E9B-515F-4595-9A06-62A20A5E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29"/>
    <w:pPr>
      <w:jc w:val="both"/>
    </w:pPr>
    <w:rPr>
      <w:rFonts w:ascii="ITC Avant Garde" w:hAnsi="ITC Avant Garde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085C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5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85C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85C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85C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85C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085C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16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166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6DB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character" w:styleId="Refdecomentario">
    <w:name w:val="annotation reference"/>
    <w:basedOn w:val="Fuentedeprrafopredeter"/>
    <w:uiPriority w:val="99"/>
    <w:semiHidden/>
    <w:unhideWhenUsed/>
    <w:rsid w:val="006166DB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166DB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616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6DB"/>
  </w:style>
  <w:style w:type="paragraph" w:styleId="Piedepgina">
    <w:name w:val="footer"/>
    <w:basedOn w:val="Normal"/>
    <w:link w:val="PiedepginaCar"/>
    <w:uiPriority w:val="99"/>
    <w:unhideWhenUsed/>
    <w:rsid w:val="00616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6DB"/>
  </w:style>
  <w:style w:type="character" w:customStyle="1" w:styleId="Ttulo1Car">
    <w:name w:val="Título 1 Car"/>
    <w:basedOn w:val="Fuentedeprrafopredeter"/>
    <w:link w:val="Ttulo1"/>
    <w:uiPriority w:val="9"/>
    <w:rsid w:val="00085C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85C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85C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85CA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85CA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85CA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085CA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Estilo1">
    <w:name w:val="Estilo1"/>
    <w:uiPriority w:val="1"/>
    <w:rsid w:val="00085CAE"/>
    <w:rPr>
      <w:rFonts w:ascii="Times New Roman" w:hAnsi="Times New Roman"/>
    </w:rPr>
  </w:style>
  <w:style w:type="character" w:customStyle="1" w:styleId="Estilo2">
    <w:name w:val="Estilo2"/>
    <w:basedOn w:val="Fuentedeprrafopredeter"/>
    <w:uiPriority w:val="1"/>
    <w:rsid w:val="00085CAE"/>
    <w:rPr>
      <w:rFonts w:ascii="ITC Avant Garde Std Bk" w:hAnsi="ITC Avant Garde Std Bk"/>
    </w:rPr>
  </w:style>
  <w:style w:type="character" w:customStyle="1" w:styleId="Estilo3">
    <w:name w:val="Estilo3"/>
    <w:basedOn w:val="Fuentedeprrafopredeter"/>
    <w:uiPriority w:val="1"/>
    <w:rsid w:val="00085CAE"/>
    <w:rPr>
      <w:rFonts w:ascii="ITC Avant Garde Std Bk" w:hAnsi="ITC Avant Garde Std Bk"/>
      <w:sz w:val="22"/>
    </w:rPr>
  </w:style>
  <w:style w:type="character" w:customStyle="1" w:styleId="Estilo4">
    <w:name w:val="Estilo4"/>
    <w:basedOn w:val="Fuentedeprrafopredeter"/>
    <w:uiPriority w:val="1"/>
    <w:rsid w:val="00085CAE"/>
    <w:rPr>
      <w:rFonts w:ascii="ITC Avant Garde Std Bk" w:hAnsi="ITC Avant Garde Std Bk"/>
      <w:sz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01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01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01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018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181"/>
    <w:rPr>
      <w:rFonts w:ascii="Segoe UI" w:hAnsi="Segoe UI" w:cs="Segoe UI"/>
      <w:sz w:val="18"/>
      <w:szCs w:val="18"/>
    </w:rPr>
  </w:style>
  <w:style w:type="paragraph" w:customStyle="1" w:styleId="Texto">
    <w:name w:val="Texto"/>
    <w:basedOn w:val="Normal"/>
    <w:link w:val="TextoCar"/>
    <w:rsid w:val="0092333A"/>
    <w:pPr>
      <w:spacing w:after="101" w:line="216" w:lineRule="exact"/>
      <w:ind w:firstLine="288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92333A"/>
    <w:rPr>
      <w:rFonts w:ascii="Arial" w:eastAsia="Times New Roman" w:hAnsi="Arial" w:cs="Arial"/>
      <w:sz w:val="18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F0A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767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nventariotramites.ift.org.mx/mitweb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8DF5F8E06C4C67A1656A6E13A44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2FB96-1376-4778-93E7-8A4E4D146D0B}"/>
      </w:docPartPr>
      <w:docPartBody>
        <w:p w:rsidR="00017150" w:rsidRDefault="006D779E" w:rsidP="006D779E">
          <w:pPr>
            <w:pStyle w:val="AB8DF5F8E06C4C67A1656A6E13A446D8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45E60C1C6B943CF80B1721B9C53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E2E31-9930-489B-9A55-7CC7108A219B}"/>
      </w:docPartPr>
      <w:docPartBody>
        <w:p w:rsidR="00017150" w:rsidRDefault="006D779E" w:rsidP="006D779E">
          <w:pPr>
            <w:pStyle w:val="C45E60C1C6B943CF80B1721B9C53D3AF"/>
          </w:pPr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233E99645114FB3B3B67F7B8A2D4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B46C-9F4B-40BD-89AC-110F37790D90}"/>
      </w:docPartPr>
      <w:docPartBody>
        <w:p w:rsidR="00017150" w:rsidRDefault="006D779E" w:rsidP="006D779E">
          <w:pPr>
            <w:pStyle w:val="6AC0039F80B14E42AC789819265ECFFB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6AC0039F80B14E42AC789819265EC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1B633-0AD7-402C-BC4D-8D2C5ECDA53E}"/>
      </w:docPartPr>
      <w:docPartBody>
        <w:p w:rsidR="00017150" w:rsidRDefault="006D779E" w:rsidP="006D779E">
          <w:pPr>
            <w:pStyle w:val="0F5A8BA285AC404EA7CF86593950CDFB5"/>
          </w:pPr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0F5A8BA285AC404EA7CF86593950C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38DAE-24F9-489A-BDDD-9AD948FA278F}"/>
      </w:docPartPr>
      <w:docPartBody>
        <w:p w:rsidR="00017150" w:rsidRDefault="00A72DE6" w:rsidP="00A72DE6"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74480DB032444D7CA04A2EC42A53E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9F208-E653-4C49-894D-D4B82C1BECC1}"/>
      </w:docPartPr>
      <w:docPartBody>
        <w:p w:rsidR="002F0812" w:rsidRDefault="002F0812" w:rsidP="002F0812">
          <w:r w:rsidRPr="00BB6A4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16AF818B57641F79234FE5C1310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44838-C467-47D4-8736-FF77C9ADC6D2}"/>
      </w:docPartPr>
      <w:docPartBody>
        <w:p w:rsidR="00D31C9E" w:rsidRDefault="0026494F" w:rsidP="0026494F"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FE8EC271ABE04DCE9F227F10B767E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D1542-FBCC-494E-A2F1-5E63172FFBCD}"/>
      </w:docPartPr>
      <w:docPartBody>
        <w:p w:rsidR="001842EB" w:rsidRDefault="00D31C9E" w:rsidP="00D31C9E">
          <w:r w:rsidRPr="00BB6A43">
            <w:rPr>
              <w:rStyle w:val="Textodelmarcadordeposicin"/>
            </w:rPr>
            <w:t>Elija un elemento.</w:t>
          </w:r>
        </w:p>
      </w:docPartBody>
    </w:docPart>
    <w:docPart>
      <w:docPartPr>
        <w:name w:val="BF8024FDF65B4E16935B26385FEF2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A87F6-3985-47D5-8F36-9A6BC902BD67}"/>
      </w:docPartPr>
      <w:docPartBody>
        <w:p w:rsidR="00700774" w:rsidRDefault="0068303F" w:rsidP="0068303F">
          <w:pPr>
            <w:pStyle w:val="BF8024FDF65B4E16935B26385FEF264B"/>
          </w:pPr>
          <w:r w:rsidRPr="00BB6A4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Avant Garde Std Bk">
    <w:panose1 w:val="020B0502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9E"/>
    <w:rsid w:val="00017150"/>
    <w:rsid w:val="000A040B"/>
    <w:rsid w:val="001842EB"/>
    <w:rsid w:val="001B5A4B"/>
    <w:rsid w:val="00247CE4"/>
    <w:rsid w:val="002607A3"/>
    <w:rsid w:val="0026494F"/>
    <w:rsid w:val="002852A0"/>
    <w:rsid w:val="002B7F38"/>
    <w:rsid w:val="002F0812"/>
    <w:rsid w:val="00303EA8"/>
    <w:rsid w:val="004E3322"/>
    <w:rsid w:val="005D084C"/>
    <w:rsid w:val="0068303F"/>
    <w:rsid w:val="00687FEB"/>
    <w:rsid w:val="006D779E"/>
    <w:rsid w:val="00700774"/>
    <w:rsid w:val="007313BB"/>
    <w:rsid w:val="007866FE"/>
    <w:rsid w:val="008E6773"/>
    <w:rsid w:val="009149B3"/>
    <w:rsid w:val="00977C64"/>
    <w:rsid w:val="009F2A3C"/>
    <w:rsid w:val="00A52267"/>
    <w:rsid w:val="00A72DE6"/>
    <w:rsid w:val="00B01F8A"/>
    <w:rsid w:val="00BD1645"/>
    <w:rsid w:val="00BF7C0D"/>
    <w:rsid w:val="00C2228D"/>
    <w:rsid w:val="00CC1059"/>
    <w:rsid w:val="00D31C9E"/>
    <w:rsid w:val="00D57942"/>
    <w:rsid w:val="00D57A8B"/>
    <w:rsid w:val="00D83928"/>
    <w:rsid w:val="00DF3746"/>
    <w:rsid w:val="00E76047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303F"/>
    <w:rPr>
      <w:color w:val="808080"/>
    </w:rPr>
  </w:style>
  <w:style w:type="paragraph" w:customStyle="1" w:styleId="AB8DF5F8E06C4C67A1656A6E13A446D8">
    <w:name w:val="AB8DF5F8E06C4C67A1656A6E13A446D8"/>
    <w:rsid w:val="006D779E"/>
  </w:style>
  <w:style w:type="paragraph" w:customStyle="1" w:styleId="C45E60C1C6B943CF80B1721B9C53D3AF">
    <w:name w:val="C45E60C1C6B943CF80B1721B9C53D3AF"/>
    <w:rsid w:val="006D779E"/>
  </w:style>
  <w:style w:type="paragraph" w:customStyle="1" w:styleId="6AC0039F80B14E42AC789819265ECFFB">
    <w:name w:val="6AC0039F80B14E42AC789819265ECFFB"/>
    <w:rsid w:val="006D779E"/>
  </w:style>
  <w:style w:type="paragraph" w:customStyle="1" w:styleId="0F5A8BA285AC404EA7CF86593950CDFB5">
    <w:name w:val="0F5A8BA285AC404EA7CF86593950CDFB5"/>
    <w:rsid w:val="00A72DE6"/>
    <w:rPr>
      <w:rFonts w:eastAsiaTheme="minorHAnsi"/>
      <w:lang w:eastAsia="en-US"/>
    </w:rPr>
  </w:style>
  <w:style w:type="paragraph" w:customStyle="1" w:styleId="BF8024FDF65B4E16935B26385FEF264B">
    <w:name w:val="BF8024FDF65B4E16935B26385FEF264B"/>
    <w:rsid w:val="00683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3867C35412724396BD27E9CB570B40" ma:contentTypeVersion="0" ma:contentTypeDescription="Crear nuevo documento." ma:contentTypeScope="" ma:versionID="cc641cfc9dd91b66b40a16f9de5d7c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5D791-CCBF-423D-9A4F-4B73150676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4E056B-280B-49A1-A946-08CEB42D8AA3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13A8784-09C0-4774-8C15-3EBAD39247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ACC5CF-1B7D-4038-B1D1-DA0C330E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Rosas Yanez</dc:creator>
  <cp:keywords/>
  <dc:description/>
  <cp:lastModifiedBy>CGMR</cp:lastModifiedBy>
  <cp:revision>15</cp:revision>
  <dcterms:created xsi:type="dcterms:W3CDTF">2021-11-19T05:44:00Z</dcterms:created>
  <dcterms:modified xsi:type="dcterms:W3CDTF">2023-05-03T23:09:00Z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0x0101002E3867C35412724396BD27E9CB570B40</vt:lpwstr>
  </property>
</Properties>
</file>