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DAD3" w14:textId="77777777" w:rsidR="00022126" w:rsidRPr="00022126" w:rsidRDefault="00022126" w:rsidP="00022126">
      <w:pPr>
        <w:pStyle w:val="Texto"/>
        <w:spacing w:line="280" w:lineRule="exact"/>
        <w:jc w:val="center"/>
        <w:rPr>
          <w:rFonts w:ascii="ITC Avant Garde Std Bk" w:hAnsi="ITC Avant Garde Std Bk" w:cs="Times New Roman"/>
          <w:b/>
          <w:sz w:val="21"/>
          <w:szCs w:val="21"/>
          <w:lang w:val="es-MX" w:eastAsia="es-MX"/>
        </w:rPr>
      </w:pPr>
      <w:r w:rsidRPr="00022126">
        <w:rPr>
          <w:rFonts w:ascii="ITC Avant Garde Std Bk" w:hAnsi="ITC Avant Garde Std Bk" w:cs="Times New Roman"/>
          <w:b/>
          <w:sz w:val="21"/>
          <w:szCs w:val="21"/>
          <w:lang w:val="es-MX" w:eastAsia="es-MX"/>
        </w:rPr>
        <w:t>Acuerdo mediante el cual el Pleno del Instituto Federal de Telecomunicaciones delega en la Titular de la Unidad de Medios y Contenidos Audiovisuales la atribución para autorizar a los concesionarios de televisión radiodifundida que sus equipos complementarios puedan retransmitir una señal que coincida en al menos el 75% del contenido programático de la estación de televisión principal dentro del horario comprendido entre las 6:00 y 24:00 horas en los términos del capítulo 7.2 de la Disposición Técnica IFT-013-2016: Especificaciones y requerimientos mínimos para la instalación y operación de estaciones de televisión, equipos auxiliares y equipos complementarios.</w:t>
      </w:r>
    </w:p>
    <w:p w14:paraId="614CC22B" w14:textId="77777777" w:rsidR="00022126" w:rsidRPr="00022126" w:rsidRDefault="00D7295F" w:rsidP="00022126">
      <w:pPr>
        <w:pStyle w:val="Texto"/>
        <w:spacing w:line="280" w:lineRule="exact"/>
        <w:jc w:val="center"/>
        <w:rPr>
          <w:rFonts w:ascii="ITC Avant Garde Std Bk" w:hAnsi="ITC Avant Garde Std Bk"/>
          <w:b/>
          <w:sz w:val="16"/>
          <w:szCs w:val="16"/>
        </w:rPr>
      </w:pPr>
      <w:hyperlink r:id="rId7" w:history="1">
        <w:r w:rsidR="00022126" w:rsidRPr="00022126">
          <w:rPr>
            <w:rStyle w:val="Hipervnculo"/>
            <w:rFonts w:ascii="ITC Avant Garde Std Bk" w:hAnsi="ITC Avant Garde Std Bk"/>
            <w:b/>
            <w:sz w:val="16"/>
            <w:szCs w:val="16"/>
          </w:rPr>
          <w:t>Publicado en el Diario Oficial de la Federación el 27 de abril de 2017</w:t>
        </w:r>
      </w:hyperlink>
    </w:p>
    <w:p w14:paraId="58C1CC94" w14:textId="77777777" w:rsidR="00022126" w:rsidRPr="00022126" w:rsidRDefault="00022126" w:rsidP="00022126">
      <w:pPr>
        <w:pStyle w:val="Texto"/>
        <w:spacing w:line="280" w:lineRule="exact"/>
        <w:rPr>
          <w:rFonts w:ascii="ITC Avant Garde Std Bk" w:hAnsi="ITC Avant Garde Std Bk"/>
          <w:szCs w:val="18"/>
        </w:rPr>
      </w:pPr>
      <w:r w:rsidRPr="00022126">
        <w:rPr>
          <w:rFonts w:ascii="ITC Avant Garde Std Bk" w:hAnsi="ITC Avant Garde Std Bk"/>
          <w:b/>
          <w:szCs w:val="18"/>
        </w:rPr>
        <w:t>PRIMERO.-</w:t>
      </w:r>
      <w:r w:rsidRPr="00022126">
        <w:rPr>
          <w:rFonts w:ascii="ITC Avant Garde Std Bk" w:hAnsi="ITC Avant Garde Std Bk"/>
          <w:szCs w:val="18"/>
        </w:rPr>
        <w:t xml:space="preserve"> Se delega en la Titular de la Unidad de Medios y Contenidos Audiovisuales, de conformidad con los puntos considerativos del presente acuerdo, particularmente los contenidos en los párrafos cuarto y quinto, la atribución para autorizar a equipos complementarios retransmitir una señal que coincida en al menos el 75% del contenido programático de la estación de televisión principal dentro del horario comprendido entre las 6:00 y 24:00 horas en los términos del capítulo 7.2 de la Disposición Técnica IFT-013-2016: </w:t>
      </w:r>
      <w:r w:rsidRPr="00022126">
        <w:rPr>
          <w:rFonts w:ascii="ITC Avant Garde Std Bk" w:hAnsi="ITC Avant Garde Std Bk"/>
          <w:i/>
          <w:szCs w:val="18"/>
        </w:rPr>
        <w:t>Especificaciones y Requerimientos Mínimos para la Instalación y Operación de Estaciones de Televisión, Equipos Auxiliares y Equipos Complementarios</w:t>
      </w:r>
      <w:r w:rsidRPr="00022126">
        <w:rPr>
          <w:rFonts w:ascii="ITC Avant Garde Std Bk" w:hAnsi="ITC Avant Garde Std Bk"/>
          <w:szCs w:val="18"/>
        </w:rPr>
        <w:t>.</w:t>
      </w:r>
    </w:p>
    <w:p w14:paraId="1DD22541" w14:textId="77777777" w:rsidR="00022126" w:rsidRPr="00022126" w:rsidRDefault="00022126" w:rsidP="00022126">
      <w:pPr>
        <w:pStyle w:val="Texto"/>
        <w:spacing w:line="280" w:lineRule="exact"/>
        <w:rPr>
          <w:rFonts w:ascii="ITC Avant Garde Std Bk" w:hAnsi="ITC Avant Garde Std Bk"/>
          <w:szCs w:val="18"/>
        </w:rPr>
      </w:pPr>
      <w:proofErr w:type="gramStart"/>
      <w:r w:rsidRPr="00022126">
        <w:rPr>
          <w:rFonts w:ascii="ITC Avant Garde Std Bk" w:hAnsi="ITC Avant Garde Std Bk"/>
          <w:b/>
          <w:szCs w:val="18"/>
        </w:rPr>
        <w:t>SEGUNDO</w:t>
      </w:r>
      <w:r w:rsidRPr="00022126">
        <w:rPr>
          <w:rFonts w:ascii="ITC Avant Garde Std Bk" w:hAnsi="ITC Avant Garde Std Bk"/>
          <w:szCs w:val="18"/>
        </w:rPr>
        <w:t>.-</w:t>
      </w:r>
      <w:proofErr w:type="gramEnd"/>
      <w:r w:rsidRPr="00022126">
        <w:rPr>
          <w:rFonts w:ascii="ITC Avant Garde Std Bk" w:hAnsi="ITC Avant Garde Std Bk"/>
          <w:szCs w:val="18"/>
        </w:rPr>
        <w:t xml:space="preserve"> Se instruye a la Unidad de Medios y Contenidos Audiovisuales para que publique y mantenga actualizado, en el sitio de Internet del Instituto Federal de Telecomunicaciones, un listado que contenga las autorizaciones realizadas.</w:t>
      </w:r>
    </w:p>
    <w:p w14:paraId="21EC0023" w14:textId="77777777" w:rsidR="00022126" w:rsidRPr="00022126" w:rsidRDefault="00022126" w:rsidP="00022126">
      <w:pPr>
        <w:pStyle w:val="Texto"/>
        <w:spacing w:line="280" w:lineRule="exact"/>
        <w:rPr>
          <w:rFonts w:ascii="ITC Avant Garde Std Bk" w:hAnsi="ITC Avant Garde Std Bk"/>
          <w:szCs w:val="18"/>
        </w:rPr>
      </w:pPr>
      <w:proofErr w:type="gramStart"/>
      <w:r w:rsidRPr="00022126">
        <w:rPr>
          <w:rFonts w:ascii="ITC Avant Garde Std Bk" w:hAnsi="ITC Avant Garde Std Bk"/>
          <w:b/>
          <w:szCs w:val="18"/>
        </w:rPr>
        <w:t>TERCERO.-</w:t>
      </w:r>
      <w:proofErr w:type="gramEnd"/>
      <w:r w:rsidRPr="00022126">
        <w:rPr>
          <w:rFonts w:ascii="ITC Avant Garde Std Bk" w:hAnsi="ITC Avant Garde Std Bk"/>
          <w:b/>
          <w:szCs w:val="18"/>
        </w:rPr>
        <w:t xml:space="preserve"> </w:t>
      </w:r>
      <w:r w:rsidRPr="00022126">
        <w:rPr>
          <w:rFonts w:ascii="ITC Avant Garde Std Bk" w:hAnsi="ITC Avant Garde Std Bk"/>
          <w:szCs w:val="18"/>
        </w:rPr>
        <w:t>La atribución que se delega por virtud del presente Acuerdo, se entenderá sin perjuicio de su ejercicio directo por parte del Pleno del Instituto Federal de Telecomunicaciones.</w:t>
      </w:r>
    </w:p>
    <w:p w14:paraId="75CE0A2A" w14:textId="77777777" w:rsidR="00022126" w:rsidRPr="00022126" w:rsidRDefault="00022126" w:rsidP="00022126">
      <w:pPr>
        <w:pStyle w:val="Texto"/>
        <w:spacing w:line="280" w:lineRule="exact"/>
        <w:rPr>
          <w:rFonts w:ascii="ITC Avant Garde Std Bk" w:hAnsi="ITC Avant Garde Std Bk"/>
          <w:szCs w:val="18"/>
        </w:rPr>
      </w:pPr>
      <w:proofErr w:type="gramStart"/>
      <w:r w:rsidRPr="00022126">
        <w:rPr>
          <w:rFonts w:ascii="ITC Avant Garde Std Bk" w:hAnsi="ITC Avant Garde Std Bk"/>
          <w:b/>
          <w:szCs w:val="18"/>
        </w:rPr>
        <w:t>CUARTO.-</w:t>
      </w:r>
      <w:proofErr w:type="gramEnd"/>
      <w:r w:rsidRPr="00022126">
        <w:rPr>
          <w:rFonts w:ascii="ITC Avant Garde Std Bk" w:hAnsi="ITC Avant Garde Std Bk"/>
          <w:szCs w:val="18"/>
        </w:rPr>
        <w:t xml:space="preserve"> Publíquese el presente Acuerdo en el Diario Oficial de la Federación.</w:t>
      </w:r>
    </w:p>
    <w:p w14:paraId="7C68EA16" w14:textId="77777777" w:rsidR="00022126" w:rsidRPr="00022126" w:rsidRDefault="00022126" w:rsidP="00022126">
      <w:pPr>
        <w:pStyle w:val="ANOTACION"/>
        <w:spacing w:line="280" w:lineRule="exact"/>
        <w:rPr>
          <w:rFonts w:ascii="ITC Avant Garde Std Bk" w:hAnsi="ITC Avant Garde Std Bk"/>
          <w:szCs w:val="18"/>
        </w:rPr>
      </w:pPr>
      <w:r w:rsidRPr="00022126">
        <w:rPr>
          <w:rFonts w:ascii="ITC Avant Garde Std Bk" w:hAnsi="ITC Avant Garde Std Bk"/>
          <w:szCs w:val="18"/>
        </w:rPr>
        <w:t>TRANSITORIO</w:t>
      </w:r>
    </w:p>
    <w:p w14:paraId="5FE93F82" w14:textId="77777777" w:rsidR="00022126" w:rsidRPr="00022126" w:rsidRDefault="00022126" w:rsidP="00022126">
      <w:pPr>
        <w:pStyle w:val="Texto"/>
        <w:spacing w:line="280" w:lineRule="exact"/>
        <w:rPr>
          <w:rFonts w:ascii="ITC Avant Garde Std Bk" w:hAnsi="ITC Avant Garde Std Bk"/>
          <w:szCs w:val="18"/>
        </w:rPr>
      </w:pPr>
      <w:proofErr w:type="gramStart"/>
      <w:r w:rsidRPr="00022126">
        <w:rPr>
          <w:rFonts w:ascii="ITC Avant Garde Std Bk" w:hAnsi="ITC Avant Garde Std Bk"/>
          <w:b/>
          <w:szCs w:val="18"/>
        </w:rPr>
        <w:t>ÚNICO.-</w:t>
      </w:r>
      <w:proofErr w:type="gramEnd"/>
      <w:r w:rsidRPr="00022126">
        <w:rPr>
          <w:rFonts w:ascii="ITC Avant Garde Std Bk" w:hAnsi="ITC Avant Garde Std Bk"/>
          <w:szCs w:val="18"/>
        </w:rPr>
        <w:t xml:space="preserve"> El presente Acuerdo entrará en vigor el día siguiente al de su publicación en el Diario Oficial  de la Federación.</w:t>
      </w:r>
    </w:p>
    <w:p w14:paraId="12363F43" w14:textId="77777777" w:rsidR="00022126" w:rsidRPr="00022126" w:rsidRDefault="00022126" w:rsidP="00022126">
      <w:pPr>
        <w:pStyle w:val="Texto"/>
        <w:spacing w:line="280" w:lineRule="exact"/>
        <w:rPr>
          <w:rFonts w:ascii="ITC Avant Garde Std Bk" w:hAnsi="ITC Avant Garde Std Bk"/>
          <w:bCs/>
          <w:szCs w:val="18"/>
          <w:lang w:eastAsia="es-MX"/>
        </w:rPr>
      </w:pPr>
      <w:r w:rsidRPr="00022126">
        <w:rPr>
          <w:rFonts w:ascii="ITC Avant Garde Std Bk" w:hAnsi="ITC Avant Garde Std Bk"/>
          <w:bCs/>
          <w:szCs w:val="18"/>
          <w:lang w:eastAsia="es-MX"/>
        </w:rPr>
        <w:t xml:space="preserve">El Comisionado Presidente, </w:t>
      </w:r>
      <w:r w:rsidRPr="00022126">
        <w:rPr>
          <w:rFonts w:ascii="ITC Avant Garde Std Bk" w:hAnsi="ITC Avant Garde Std Bk"/>
          <w:b/>
          <w:bCs/>
          <w:szCs w:val="18"/>
          <w:lang w:eastAsia="es-MX"/>
        </w:rPr>
        <w:t xml:space="preserve">Gabriel Oswaldo Contreras </w:t>
      </w:r>
      <w:proofErr w:type="gramStart"/>
      <w:r w:rsidRPr="00022126">
        <w:rPr>
          <w:rFonts w:ascii="ITC Avant Garde Std Bk" w:hAnsi="ITC Avant Garde Std Bk"/>
          <w:b/>
          <w:bCs/>
          <w:szCs w:val="18"/>
          <w:lang w:eastAsia="es-MX"/>
        </w:rPr>
        <w:t>Saldívar</w:t>
      </w:r>
      <w:r w:rsidRPr="00022126">
        <w:rPr>
          <w:rFonts w:ascii="ITC Avant Garde Std Bk" w:hAnsi="ITC Avant Garde Std Bk"/>
          <w:bCs/>
          <w:szCs w:val="18"/>
          <w:lang w:eastAsia="es-MX"/>
        </w:rPr>
        <w:t>.-</w:t>
      </w:r>
      <w:proofErr w:type="gramEnd"/>
      <w:r w:rsidRPr="00022126">
        <w:rPr>
          <w:rFonts w:ascii="ITC Avant Garde Std Bk" w:hAnsi="ITC Avant Garde Std Bk"/>
          <w:bCs/>
          <w:szCs w:val="18"/>
          <w:lang w:eastAsia="es-MX"/>
        </w:rPr>
        <w:t xml:space="preserve"> Rúbrica.- Los Comisionados: </w:t>
      </w:r>
      <w:r w:rsidRPr="00022126">
        <w:rPr>
          <w:rFonts w:ascii="ITC Avant Garde Std Bk" w:hAnsi="ITC Avant Garde Std Bk"/>
          <w:b/>
          <w:bCs/>
          <w:szCs w:val="18"/>
          <w:lang w:eastAsia="es-MX"/>
        </w:rPr>
        <w:t xml:space="preserve">Adriana Sofía </w:t>
      </w:r>
      <w:proofErr w:type="spellStart"/>
      <w:r w:rsidRPr="00022126">
        <w:rPr>
          <w:rFonts w:ascii="ITC Avant Garde Std Bk" w:hAnsi="ITC Avant Garde Std Bk"/>
          <w:b/>
          <w:bCs/>
          <w:szCs w:val="18"/>
          <w:lang w:eastAsia="es-MX"/>
        </w:rPr>
        <w:t>Labardini</w:t>
      </w:r>
      <w:proofErr w:type="spellEnd"/>
      <w:r w:rsidRPr="00022126">
        <w:rPr>
          <w:rFonts w:ascii="ITC Avant Garde Std Bk" w:hAnsi="ITC Avant Garde Std Bk"/>
          <w:b/>
          <w:bCs/>
          <w:szCs w:val="18"/>
          <w:lang w:eastAsia="es-MX"/>
        </w:rPr>
        <w:t xml:space="preserve"> Inzunza</w:t>
      </w:r>
      <w:r w:rsidRPr="00022126">
        <w:rPr>
          <w:rFonts w:ascii="ITC Avant Garde Std Bk" w:hAnsi="ITC Avant Garde Std Bk"/>
          <w:bCs/>
          <w:szCs w:val="18"/>
          <w:lang w:eastAsia="es-MX"/>
        </w:rPr>
        <w:t xml:space="preserve">, </w:t>
      </w:r>
      <w:r w:rsidRPr="00022126">
        <w:rPr>
          <w:rFonts w:ascii="ITC Avant Garde Std Bk" w:hAnsi="ITC Avant Garde Std Bk"/>
          <w:b/>
          <w:bCs/>
          <w:szCs w:val="18"/>
          <w:lang w:eastAsia="es-MX"/>
        </w:rPr>
        <w:t xml:space="preserve">María Elena </w:t>
      </w:r>
      <w:proofErr w:type="spellStart"/>
      <w:r w:rsidRPr="00022126">
        <w:rPr>
          <w:rFonts w:ascii="ITC Avant Garde Std Bk" w:hAnsi="ITC Avant Garde Std Bk"/>
          <w:b/>
          <w:bCs/>
          <w:szCs w:val="18"/>
          <w:lang w:eastAsia="es-MX"/>
        </w:rPr>
        <w:t>Estavillo</w:t>
      </w:r>
      <w:proofErr w:type="spellEnd"/>
      <w:r w:rsidRPr="00022126">
        <w:rPr>
          <w:rFonts w:ascii="ITC Avant Garde Std Bk" w:hAnsi="ITC Avant Garde Std Bk"/>
          <w:b/>
          <w:bCs/>
          <w:szCs w:val="18"/>
          <w:lang w:eastAsia="es-MX"/>
        </w:rPr>
        <w:t xml:space="preserve"> Flores</w:t>
      </w:r>
      <w:r w:rsidRPr="00022126">
        <w:rPr>
          <w:rFonts w:ascii="ITC Avant Garde Std Bk" w:hAnsi="ITC Avant Garde Std Bk"/>
          <w:bCs/>
          <w:szCs w:val="18"/>
          <w:lang w:eastAsia="es-MX"/>
        </w:rPr>
        <w:t xml:space="preserve">, </w:t>
      </w:r>
      <w:r w:rsidRPr="00022126">
        <w:rPr>
          <w:rFonts w:ascii="ITC Avant Garde Std Bk" w:hAnsi="ITC Avant Garde Std Bk"/>
          <w:b/>
          <w:bCs/>
          <w:szCs w:val="18"/>
          <w:lang w:eastAsia="es-MX"/>
        </w:rPr>
        <w:t xml:space="preserve">Mario Germán </w:t>
      </w:r>
      <w:proofErr w:type="spellStart"/>
      <w:r w:rsidRPr="00022126">
        <w:rPr>
          <w:rFonts w:ascii="ITC Avant Garde Std Bk" w:hAnsi="ITC Avant Garde Std Bk"/>
          <w:b/>
          <w:bCs/>
          <w:szCs w:val="18"/>
          <w:lang w:eastAsia="es-MX"/>
        </w:rPr>
        <w:t>Fromow</w:t>
      </w:r>
      <w:proofErr w:type="spellEnd"/>
      <w:r w:rsidRPr="00022126">
        <w:rPr>
          <w:rFonts w:ascii="ITC Avant Garde Std Bk" w:hAnsi="ITC Avant Garde Std Bk"/>
          <w:b/>
          <w:bCs/>
          <w:szCs w:val="18"/>
          <w:lang w:eastAsia="es-MX"/>
        </w:rPr>
        <w:t xml:space="preserve"> Rangel</w:t>
      </w:r>
      <w:r w:rsidRPr="00022126">
        <w:rPr>
          <w:rFonts w:ascii="ITC Avant Garde Std Bk" w:hAnsi="ITC Avant Garde Std Bk"/>
          <w:bCs/>
          <w:szCs w:val="18"/>
          <w:lang w:eastAsia="es-MX"/>
        </w:rPr>
        <w:t xml:space="preserve">, </w:t>
      </w:r>
      <w:r w:rsidRPr="00022126">
        <w:rPr>
          <w:rFonts w:ascii="ITC Avant Garde Std Bk" w:hAnsi="ITC Avant Garde Std Bk"/>
          <w:b/>
          <w:bCs/>
          <w:szCs w:val="18"/>
          <w:lang w:eastAsia="es-MX"/>
        </w:rPr>
        <w:t>Adolfo Cuevas Teja</w:t>
      </w:r>
      <w:r w:rsidRPr="00022126">
        <w:rPr>
          <w:rFonts w:ascii="ITC Avant Garde Std Bk" w:hAnsi="ITC Avant Garde Std Bk"/>
          <w:bCs/>
          <w:szCs w:val="18"/>
          <w:lang w:eastAsia="es-MX"/>
        </w:rPr>
        <w:t xml:space="preserve">, </w:t>
      </w:r>
      <w:r w:rsidRPr="00022126">
        <w:rPr>
          <w:rFonts w:ascii="ITC Avant Garde Std Bk" w:hAnsi="ITC Avant Garde Std Bk"/>
          <w:b/>
          <w:bCs/>
          <w:szCs w:val="18"/>
          <w:lang w:eastAsia="es-MX"/>
        </w:rPr>
        <w:t>Javier Juárez Mojica</w:t>
      </w:r>
      <w:r w:rsidRPr="00022126">
        <w:rPr>
          <w:rFonts w:ascii="ITC Avant Garde Std Bk" w:hAnsi="ITC Avant Garde Std Bk"/>
          <w:bCs/>
          <w:szCs w:val="18"/>
          <w:lang w:eastAsia="es-MX"/>
        </w:rPr>
        <w:t>.- Rúbricas.</w:t>
      </w:r>
    </w:p>
    <w:p w14:paraId="4625A96F" w14:textId="77777777" w:rsidR="00006AB4" w:rsidRPr="00022126" w:rsidRDefault="00022126" w:rsidP="00022126">
      <w:pPr>
        <w:pStyle w:val="Texto"/>
        <w:spacing w:line="280" w:lineRule="exact"/>
        <w:rPr>
          <w:rFonts w:ascii="ITC Avant Garde Std Bk" w:hAnsi="ITC Avant Garde Std Bk"/>
          <w:szCs w:val="18"/>
        </w:rPr>
      </w:pPr>
      <w:r w:rsidRPr="00022126">
        <w:rPr>
          <w:rFonts w:ascii="ITC Avant Garde Std Bk" w:hAnsi="ITC Avant Garde Std Bk"/>
          <w:szCs w:val="18"/>
        </w:rPr>
        <w:t xml:space="preserve">El presente Acuerdo fue aprobado por el Pleno del Instituto Federal de Telecomunicaciones en su XIV Sesión Ordinaria celebrada el 5 de abril de 2017, </w:t>
      </w:r>
      <w:r w:rsidRPr="00022126">
        <w:rPr>
          <w:rFonts w:ascii="ITC Avant Garde Std Bk" w:hAnsi="ITC Avant Garde Std Bk"/>
          <w:bCs/>
          <w:szCs w:val="18"/>
        </w:rPr>
        <w:t>por unanimidad</w:t>
      </w:r>
      <w:r w:rsidRPr="00022126">
        <w:rPr>
          <w:rFonts w:ascii="ITC Avant Garde Std Bk" w:hAnsi="ITC Avant Garde Std Bk"/>
          <w:szCs w:val="18"/>
        </w:rPr>
        <w:t xml:space="preserve"> de votos de los Comisionados Gabriel Oswaldo Contreras Saldívar, Adriana Sofía </w:t>
      </w:r>
      <w:proofErr w:type="spellStart"/>
      <w:r w:rsidRPr="00022126">
        <w:rPr>
          <w:rFonts w:ascii="ITC Avant Garde Std Bk" w:hAnsi="ITC Avant Garde Std Bk"/>
          <w:szCs w:val="18"/>
        </w:rPr>
        <w:t>Labardini</w:t>
      </w:r>
      <w:proofErr w:type="spellEnd"/>
      <w:r w:rsidRPr="00022126">
        <w:rPr>
          <w:rFonts w:ascii="ITC Avant Garde Std Bk" w:hAnsi="ITC Avant Garde Std Bk"/>
          <w:szCs w:val="18"/>
        </w:rPr>
        <w:t xml:space="preserve"> Inzunza, María Elena </w:t>
      </w:r>
      <w:proofErr w:type="spellStart"/>
      <w:r w:rsidRPr="00022126">
        <w:rPr>
          <w:rFonts w:ascii="ITC Avant Garde Std Bk" w:hAnsi="ITC Avant Garde Std Bk"/>
          <w:szCs w:val="18"/>
        </w:rPr>
        <w:t>Estavillo</w:t>
      </w:r>
      <w:proofErr w:type="spellEnd"/>
      <w:r w:rsidRPr="00022126">
        <w:rPr>
          <w:rFonts w:ascii="ITC Avant Garde Std Bk" w:hAnsi="ITC Avant Garde Std Bk"/>
          <w:szCs w:val="18"/>
        </w:rPr>
        <w:t xml:space="preserve"> Flores, Mario Germán </w:t>
      </w:r>
      <w:proofErr w:type="spellStart"/>
      <w:r w:rsidRPr="00022126">
        <w:rPr>
          <w:rFonts w:ascii="ITC Avant Garde Std Bk" w:hAnsi="ITC Avant Garde Std Bk"/>
          <w:szCs w:val="18"/>
        </w:rPr>
        <w:t>Fromow</w:t>
      </w:r>
      <w:proofErr w:type="spellEnd"/>
      <w:r w:rsidRPr="00022126">
        <w:rPr>
          <w:rFonts w:ascii="ITC Avant Garde Std Bk" w:hAnsi="ITC Avant Garde Std Bk"/>
          <w:szCs w:val="18"/>
        </w:rPr>
        <w:t xml:space="preserve"> Rangel, Adolfo Cuevas Teja y Javier Juárez Mojica;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P/IFT/050417/166.</w:t>
      </w:r>
    </w:p>
    <w:sectPr w:rsidR="00006AB4" w:rsidRPr="00022126" w:rsidSect="003C5FB6">
      <w:headerReference w:type="even" r:id="rId8"/>
      <w:headerReference w:type="default" r:id="rId9"/>
      <w:footerReference w:type="default" r:id="rId10"/>
      <w:pgSz w:w="12240" w:h="15840"/>
      <w:pgMar w:top="252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C69B" w14:textId="77777777" w:rsidR="00D7295F" w:rsidRDefault="00D7295F" w:rsidP="003C5FB6">
      <w:r>
        <w:separator/>
      </w:r>
    </w:p>
  </w:endnote>
  <w:endnote w:type="continuationSeparator" w:id="0">
    <w:p w14:paraId="34FBF418" w14:textId="77777777" w:rsidR="00D7295F" w:rsidRDefault="00D7295F" w:rsidP="003C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3CA4" w14:textId="77777777" w:rsidR="00F33997" w:rsidRPr="00A7236C" w:rsidRDefault="00F33997" w:rsidP="00F33997">
    <w:pPr>
      <w:pStyle w:val="Piedepgina"/>
      <w:jc w:val="right"/>
      <w:rPr>
        <w:rFonts w:ascii="ITC Avant Garde" w:hAnsi="ITC Avant Garde"/>
        <w:sz w:val="14"/>
        <w:szCs w:val="14"/>
      </w:rPr>
    </w:pPr>
    <w:r w:rsidRPr="00A7236C">
      <w:rPr>
        <w:rFonts w:ascii="ITC Avant Garde" w:hAnsi="ITC Avant Garde"/>
        <w:sz w:val="14"/>
        <w:szCs w:val="14"/>
      </w:rPr>
      <w:t xml:space="preserve">Página </w:t>
    </w:r>
    <w:r w:rsidRPr="00A7236C">
      <w:rPr>
        <w:rFonts w:ascii="ITC Avant Garde" w:hAnsi="ITC Avant Garde"/>
        <w:b/>
        <w:bCs/>
        <w:sz w:val="14"/>
        <w:szCs w:val="14"/>
      </w:rPr>
      <w:fldChar w:fldCharType="begin"/>
    </w:r>
    <w:r w:rsidRPr="00A7236C">
      <w:rPr>
        <w:rFonts w:ascii="ITC Avant Garde" w:hAnsi="ITC Avant Garde"/>
        <w:b/>
        <w:bCs/>
        <w:sz w:val="14"/>
        <w:szCs w:val="14"/>
      </w:rPr>
      <w:instrText>PAGE</w:instrText>
    </w:r>
    <w:r w:rsidRPr="00A7236C">
      <w:rPr>
        <w:rFonts w:ascii="ITC Avant Garde" w:hAnsi="ITC Avant Garde"/>
        <w:b/>
        <w:bCs/>
        <w:sz w:val="14"/>
        <w:szCs w:val="14"/>
      </w:rPr>
      <w:fldChar w:fldCharType="separate"/>
    </w:r>
    <w:r w:rsidR="00EE6E3F">
      <w:rPr>
        <w:rFonts w:ascii="ITC Avant Garde" w:hAnsi="ITC Avant Garde"/>
        <w:b/>
        <w:bCs/>
        <w:noProof/>
        <w:sz w:val="14"/>
        <w:szCs w:val="14"/>
      </w:rPr>
      <w:t>1</w:t>
    </w:r>
    <w:r w:rsidRPr="00A7236C">
      <w:rPr>
        <w:rFonts w:ascii="ITC Avant Garde" w:hAnsi="ITC Avant Garde"/>
        <w:b/>
        <w:bCs/>
        <w:sz w:val="14"/>
        <w:szCs w:val="14"/>
      </w:rPr>
      <w:fldChar w:fldCharType="end"/>
    </w:r>
    <w:r w:rsidRPr="00A7236C">
      <w:rPr>
        <w:rFonts w:ascii="ITC Avant Garde" w:hAnsi="ITC Avant Garde"/>
        <w:sz w:val="14"/>
        <w:szCs w:val="14"/>
      </w:rPr>
      <w:t xml:space="preserve"> de </w:t>
    </w:r>
    <w:r w:rsidRPr="00A7236C">
      <w:rPr>
        <w:rFonts w:ascii="ITC Avant Garde" w:hAnsi="ITC Avant Garde"/>
        <w:b/>
        <w:bCs/>
        <w:sz w:val="14"/>
        <w:szCs w:val="14"/>
      </w:rPr>
      <w:fldChar w:fldCharType="begin"/>
    </w:r>
    <w:r w:rsidRPr="00A7236C">
      <w:rPr>
        <w:rFonts w:ascii="ITC Avant Garde" w:hAnsi="ITC Avant Garde"/>
        <w:b/>
        <w:bCs/>
        <w:sz w:val="14"/>
        <w:szCs w:val="14"/>
      </w:rPr>
      <w:instrText>NUMPAGES</w:instrText>
    </w:r>
    <w:r w:rsidRPr="00A7236C">
      <w:rPr>
        <w:rFonts w:ascii="ITC Avant Garde" w:hAnsi="ITC Avant Garde"/>
        <w:b/>
        <w:bCs/>
        <w:sz w:val="14"/>
        <w:szCs w:val="14"/>
      </w:rPr>
      <w:fldChar w:fldCharType="separate"/>
    </w:r>
    <w:r w:rsidR="00EE6E3F">
      <w:rPr>
        <w:rFonts w:ascii="ITC Avant Garde" w:hAnsi="ITC Avant Garde"/>
        <w:b/>
        <w:bCs/>
        <w:noProof/>
        <w:sz w:val="14"/>
        <w:szCs w:val="14"/>
      </w:rPr>
      <w:t>1</w:t>
    </w:r>
    <w:r w:rsidRPr="00A7236C">
      <w:rPr>
        <w:rFonts w:ascii="ITC Avant Garde" w:hAnsi="ITC Avant Garde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BC50" w14:textId="77777777" w:rsidR="00D7295F" w:rsidRDefault="00D7295F" w:rsidP="003C5FB6">
      <w:r>
        <w:separator/>
      </w:r>
    </w:p>
  </w:footnote>
  <w:footnote w:type="continuationSeparator" w:id="0">
    <w:p w14:paraId="3B323250" w14:textId="77777777" w:rsidR="00D7295F" w:rsidRDefault="00D7295F" w:rsidP="003C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5C01" w14:textId="77777777" w:rsidR="003C5FB6" w:rsidRDefault="003C5FB6" w:rsidP="00ED4124">
    <w:pPr>
      <w:pStyle w:val="Encabezado"/>
      <w:tabs>
        <w:tab w:val="clear" w:pos="4252"/>
        <w:tab w:val="clear" w:pos="8504"/>
        <w:tab w:val="center" w:pos="4419"/>
        <w:tab w:val="right" w:pos="8838"/>
      </w:tabs>
    </w:pPr>
    <w:r>
      <w:rPr>
        <w:lang w:val="es-ES"/>
      </w:rPr>
      <w:t>[Escriba texto]</w:t>
    </w:r>
    <w:r w:rsidR="00ED4124">
      <w:rPr>
        <w:lang w:val="es-ES"/>
      </w:rPr>
      <w:tab/>
    </w:r>
    <w:r>
      <w:rPr>
        <w:lang w:val="es-ES"/>
      </w:rPr>
      <w:t>[Escriba texto]</w:t>
    </w:r>
    <w:r w:rsidR="00ED4124">
      <w:rPr>
        <w:lang w:val="es-ES"/>
      </w:rPr>
      <w:tab/>
    </w:r>
    <w:r>
      <w:rPr>
        <w:lang w:val="es-ES"/>
      </w:rPr>
      <w:t>[Escriba texto]</w:t>
    </w:r>
  </w:p>
  <w:p w14:paraId="57F48EF8" w14:textId="77777777" w:rsidR="003C5FB6" w:rsidRDefault="003C5F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B2D6" w14:textId="77777777" w:rsidR="003C5FB6" w:rsidRDefault="00786F55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2B9658" wp14:editId="5E33B79C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886700" cy="102057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20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B6"/>
    <w:rsid w:val="00006AB4"/>
    <w:rsid w:val="00022126"/>
    <w:rsid w:val="001532A2"/>
    <w:rsid w:val="00212A74"/>
    <w:rsid w:val="00322ECA"/>
    <w:rsid w:val="003C5FB6"/>
    <w:rsid w:val="00456BE5"/>
    <w:rsid w:val="00786F55"/>
    <w:rsid w:val="00A7236C"/>
    <w:rsid w:val="00C02942"/>
    <w:rsid w:val="00D7295F"/>
    <w:rsid w:val="00ED4124"/>
    <w:rsid w:val="00EE6E3F"/>
    <w:rsid w:val="00F21346"/>
    <w:rsid w:val="00F33997"/>
    <w:rsid w:val="00F5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7DC785"/>
  <w14:defaultImageDpi w14:val="300"/>
  <w15:chartTrackingRefBased/>
  <w15:docId w15:val="{376563B1-5978-44FB-8234-6F92FCFD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5F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FB6"/>
  </w:style>
  <w:style w:type="paragraph" w:styleId="Piedepgina">
    <w:name w:val="footer"/>
    <w:basedOn w:val="Normal"/>
    <w:link w:val="PiedepginaCar"/>
    <w:uiPriority w:val="99"/>
    <w:unhideWhenUsed/>
    <w:rsid w:val="003C5F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FB6"/>
  </w:style>
  <w:style w:type="paragraph" w:styleId="Textodeglobo">
    <w:name w:val="Balloon Text"/>
    <w:basedOn w:val="Normal"/>
    <w:link w:val="TextodegloboCar"/>
    <w:uiPriority w:val="99"/>
    <w:semiHidden/>
    <w:unhideWhenUsed/>
    <w:rsid w:val="003C5FB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C5FB6"/>
    <w:rPr>
      <w:rFonts w:ascii="Lucida Grande" w:hAnsi="Lucida Grande" w:cs="Lucida Grande"/>
      <w:sz w:val="18"/>
      <w:szCs w:val="18"/>
    </w:rPr>
  </w:style>
  <w:style w:type="paragraph" w:customStyle="1" w:styleId="Texto">
    <w:name w:val="Texto"/>
    <w:basedOn w:val="Normal"/>
    <w:link w:val="TextoCar"/>
    <w:rsid w:val="0002212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paragraph" w:customStyle="1" w:styleId="CABEZA">
    <w:name w:val="CABEZA"/>
    <w:basedOn w:val="Normal"/>
    <w:rsid w:val="00022126"/>
    <w:pPr>
      <w:jc w:val="center"/>
    </w:pPr>
    <w:rPr>
      <w:rFonts w:ascii="Times New Roman" w:eastAsia="Calibri" w:hAnsi="Times New Roman" w:cs="Arial"/>
      <w:b/>
      <w:sz w:val="28"/>
      <w:szCs w:val="28"/>
      <w:lang w:eastAsia="es-MX"/>
    </w:rPr>
  </w:style>
  <w:style w:type="paragraph" w:customStyle="1" w:styleId="ANOTACION">
    <w:name w:val="ANOTACION"/>
    <w:basedOn w:val="Normal"/>
    <w:link w:val="ANOTACIONCar"/>
    <w:rsid w:val="00022126"/>
    <w:pPr>
      <w:spacing w:before="101" w:after="101" w:line="216" w:lineRule="atLeast"/>
      <w:jc w:val="center"/>
    </w:pPr>
    <w:rPr>
      <w:rFonts w:ascii="Times New Roman" w:eastAsia="Times New Roman" w:hAnsi="Times New Roman"/>
      <w:b/>
      <w:sz w:val="18"/>
      <w:szCs w:val="20"/>
    </w:rPr>
  </w:style>
  <w:style w:type="paragraph" w:customStyle="1" w:styleId="Titulo1">
    <w:name w:val="Titulo 1"/>
    <w:basedOn w:val="Texto"/>
    <w:rsid w:val="0002212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02212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022126"/>
    <w:rPr>
      <w:rFonts w:ascii="Arial" w:eastAsia="Times New Roman" w:hAnsi="Arial" w:cs="Arial"/>
      <w:sz w:val="18"/>
      <w:lang w:val="es-ES" w:eastAsia="es-ES"/>
    </w:rPr>
  </w:style>
  <w:style w:type="character" w:customStyle="1" w:styleId="ANOTACIONCar">
    <w:name w:val="ANOTACION Car"/>
    <w:link w:val="ANOTACION"/>
    <w:locked/>
    <w:rsid w:val="00022126"/>
    <w:rPr>
      <w:rFonts w:ascii="Times New Roman" w:eastAsia="Times New Roman" w:hAnsi="Times New Roman"/>
      <w:b/>
      <w:sz w:val="18"/>
      <w:lang w:val="es-ES_tradnl" w:eastAsia="es-ES"/>
    </w:rPr>
  </w:style>
  <w:style w:type="character" w:styleId="Refdenotaalpie">
    <w:name w:val="footnote reference"/>
    <w:uiPriority w:val="99"/>
    <w:rsid w:val="00022126"/>
    <w:rPr>
      <w:vertAlign w:val="superscript"/>
    </w:rPr>
  </w:style>
  <w:style w:type="character" w:styleId="Hipervnculo">
    <w:name w:val="Hyperlink"/>
    <w:uiPriority w:val="99"/>
    <w:unhideWhenUsed/>
    <w:rsid w:val="000221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f.gob.mx/nota_detalle.php?codigo=5480874&amp;fecha=27/04/20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4546BD-DADE-42DC-B3E0-6543B43D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manchitas</Company>
  <LinksUpToDate>false</LinksUpToDate>
  <CharactersWithSpaces>3106</CharactersWithSpaces>
  <SharedDoc>false</SharedDoc>
  <HLinks>
    <vt:vector size="6" baseType="variant">
      <vt:variant>
        <vt:i4>3014659</vt:i4>
      </vt:variant>
      <vt:variant>
        <vt:i4>0</vt:i4>
      </vt:variant>
      <vt:variant>
        <vt:i4>0</vt:i4>
      </vt:variant>
      <vt:variant>
        <vt:i4>5</vt:i4>
      </vt:variant>
      <vt:variant>
        <vt:lpwstr>http://dof.gob.mx/nota_detalle.php?codigo=5480874&amp;fecha=27/04/2017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Manchitas Franco</dc:creator>
  <cp:keywords/>
  <dc:description/>
  <cp:lastModifiedBy>Tania Lilith Mora Marin</cp:lastModifiedBy>
  <cp:revision>2</cp:revision>
  <cp:lastPrinted>2021-11-10T02:53:00Z</cp:lastPrinted>
  <dcterms:created xsi:type="dcterms:W3CDTF">2022-11-10T20:00:00Z</dcterms:created>
  <dcterms:modified xsi:type="dcterms:W3CDTF">2022-11-10T20:00:00Z</dcterms:modified>
</cp:coreProperties>
</file>