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307E2D4A" w:rsidR="006166DB" w:rsidRPr="007D2FD6" w:rsidRDefault="00331B84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expide la </w:t>
            </w:r>
            <w:r w:rsidR="00C06E99"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Metodología de separación contable aplicable a los Agentes Económicos Preponderantes, Agentes Declarados con poder sustancial de mercado y Redes Compartidas Mayoristas.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4095A75E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2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E2D99">
                  <w:rPr>
                    <w:rFonts w:ascii="ITC Avant Garde" w:hAnsi="ITC Avant Garde"/>
                    <w:sz w:val="21"/>
                    <w:szCs w:val="21"/>
                  </w:rPr>
                  <w:t>19/12/2017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7D644460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0E2D99">
              <w:rPr>
                <w:rStyle w:val="Estilo4"/>
                <w:rFonts w:ascii="ITC Avant Garde" w:hAnsi="ITC Avant Garde"/>
                <w:sz w:val="21"/>
                <w:szCs w:val="21"/>
              </w:rPr>
              <w:t>29/12/2017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5E25503F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12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0E2D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30/12/2017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8468F15" w:rsidR="00DF074B" w:rsidRPr="007D2FD6" w:rsidRDefault="00DF074B" w:rsidP="00C06E9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50B73E" w14:textId="77777777" w:rsidR="006166DB" w:rsidRDefault="00C06E9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29/10/2018</w:t>
            </w:r>
          </w:p>
          <w:p w14:paraId="0A6C9C11" w14:textId="77777777" w:rsidR="00C06E99" w:rsidRDefault="00C06E9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19/12/2018</w:t>
            </w:r>
          </w:p>
          <w:p w14:paraId="1917902A" w14:textId="74BE0F0A" w:rsidR="00C06E99" w:rsidRPr="007D2FD6" w:rsidRDefault="00C06E9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07/07/2020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3E957026" w:rsidR="006166DB" w:rsidRPr="007D2FD6" w:rsidRDefault="00263DA6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Metodología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39C436D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31B84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D3005DC" w:rsidR="006166DB" w:rsidRPr="007D2FD6" w:rsidRDefault="008756C5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CD39ABE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31B84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5A929B70" w:rsidR="00F73022" w:rsidRPr="007D2FD6" w:rsidRDefault="00C06E99" w:rsidP="00C06E9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>Establecer la metodología, los términos y las condiciones de separación contable aplicables a los concesionarios y/o autorizados que conforman los agentes económicos preponderantes, los agentes declarados con poder sustancial de mercado y las redes compartidas mayoristas.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BEB5DA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67BD673C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39A4D790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000EF06" w:rsidR="001D0BE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EDE94AB" w14:textId="77777777" w:rsidR="00263DA6" w:rsidRPr="007D2FD6" w:rsidRDefault="00263DA6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  <w:bookmarkStart w:id="0" w:name="_GoBack"/>
      <w:bookmarkEnd w:id="0"/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58A199D6" w:rsidR="00DC3A1A" w:rsidRPr="00F016E8" w:rsidRDefault="00C06E99" w:rsidP="00F016E8">
            <w:pPr>
              <w:pStyle w:val="Prrafodelista"/>
              <w:numPr>
                <w:ilvl w:val="0"/>
                <w:numId w:val="12"/>
              </w:numPr>
              <w:ind w:left="460"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F016E8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2FF0132F" w14:textId="77777777" w:rsidR="00331B84" w:rsidRPr="00331B84" w:rsidRDefault="00331B84" w:rsidP="00331B84">
            <w:pPr>
              <w:ind w:left="720"/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  <w:p w14:paraId="236379FA" w14:textId="7101E100" w:rsidR="00452683" w:rsidRDefault="00452683" w:rsidP="00C06E99">
            <w:pPr>
              <w:numPr>
                <w:ilvl w:val="0"/>
                <w:numId w:val="11"/>
              </w:numPr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1" w:anchor="!/tramite/UPR-04-001" w:history="1">
              <w:r w:rsidRPr="00331B8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UPR-04-001</w:t>
              </w:r>
            </w:hyperlink>
            <w:r>
              <w:rPr>
                <w:rStyle w:val="Hipervnculo"/>
                <w:rFonts w:ascii="ITC Avant Garde" w:hAnsi="ITC Avant Garde"/>
                <w:b/>
                <w:sz w:val="21"/>
                <w:szCs w:val="21"/>
                <w:bdr w:val="none" w:sz="0" w:space="0" w:color="auto"/>
              </w:rPr>
              <w:t>:</w:t>
            </w:r>
            <w:r>
              <w:rPr>
                <w:rStyle w:val="Hipervnculo"/>
                <w:b/>
              </w:rPr>
              <w:t xml:space="preserve"> </w:t>
            </w:r>
            <w:r w:rsidRPr="00C06E99">
              <w:rPr>
                <w:rFonts w:ascii="ITC Avant Garde" w:hAnsi="ITC Avant Garde"/>
                <w:color w:val="000000"/>
                <w:sz w:val="21"/>
                <w:szCs w:val="21"/>
              </w:rPr>
              <w:t>Solicitud de extensión del valor neto de la planta de activos a un porcentaje mayor, para efectos de la separación contable.</w:t>
            </w:r>
          </w:p>
          <w:p w14:paraId="55EFB4FE" w14:textId="77777777" w:rsidR="00452683" w:rsidRPr="00452683" w:rsidRDefault="00452683" w:rsidP="00452683">
            <w:pPr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  <w:p w14:paraId="496174D3" w14:textId="77777777" w:rsidR="00452683" w:rsidRDefault="00452683" w:rsidP="00452683">
            <w:pPr>
              <w:numPr>
                <w:ilvl w:val="0"/>
                <w:numId w:val="11"/>
              </w:numPr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2" w:anchor="!/tramite/UPR-04-002" w:history="1">
              <w:r w:rsidRPr="00331B8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UPR-04-002</w:t>
              </w:r>
            </w:hyperlink>
            <w:r>
              <w:rPr>
                <w:rStyle w:val="Hipervnculo"/>
                <w:rFonts w:ascii="ITC Avant Garde" w:hAnsi="ITC Avant Garde"/>
                <w:b/>
                <w:sz w:val="21"/>
                <w:szCs w:val="21"/>
                <w:bdr w:val="none" w:sz="0" w:space="0" w:color="auto"/>
              </w:rPr>
              <w:t>:</w:t>
            </w:r>
            <w:r>
              <w:rPr>
                <w:rStyle w:val="Hipervnculo"/>
                <w:b/>
              </w:rPr>
              <w:t xml:space="preserve"> </w:t>
            </w:r>
            <w:r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>Entrega de la inf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ormación de separación contable.</w:t>
            </w:r>
          </w:p>
          <w:p w14:paraId="67FF54B4" w14:textId="77777777" w:rsidR="00452683" w:rsidRDefault="00452683" w:rsidP="00452683">
            <w:pPr>
              <w:pStyle w:val="Prrafodelista"/>
            </w:pPr>
          </w:p>
          <w:p w14:paraId="69352BB5" w14:textId="03D9CF3B" w:rsidR="00C06E99" w:rsidRDefault="00263DA6" w:rsidP="00C06E99">
            <w:pPr>
              <w:numPr>
                <w:ilvl w:val="0"/>
                <w:numId w:val="11"/>
              </w:numPr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3" w:anchor="!/tramite/UPR-04-005" w:history="1">
              <w:r w:rsidR="00C06E99" w:rsidRPr="00331B8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URP-04-005</w:t>
              </w:r>
            </w:hyperlink>
            <w:r w:rsidR="00331B84">
              <w:rPr>
                <w:rStyle w:val="Hipervnculo"/>
                <w:rFonts w:ascii="ITC Avant Garde" w:hAnsi="ITC Avant Garde"/>
                <w:b/>
                <w:sz w:val="21"/>
                <w:szCs w:val="21"/>
                <w:bdr w:val="none" w:sz="0" w:space="0" w:color="auto"/>
              </w:rPr>
              <w:t>:</w:t>
            </w:r>
            <w:r w:rsidR="00331B84">
              <w:rPr>
                <w:rStyle w:val="Hipervnculo"/>
                <w:b/>
              </w:rPr>
              <w:t xml:space="preserve"> </w:t>
            </w:r>
            <w:r w:rsidR="00C06E99"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>Presentación del programa de implementación de separació</w:t>
            </w:r>
            <w:r w:rsidR="00C06E99">
              <w:rPr>
                <w:rFonts w:ascii="ITC Avant Garde" w:hAnsi="ITC Avant Garde"/>
                <w:color w:val="000000"/>
                <w:sz w:val="21"/>
                <w:szCs w:val="21"/>
              </w:rPr>
              <w:t>n contable y sus modificaciones.</w:t>
            </w:r>
          </w:p>
          <w:p w14:paraId="1E0A3A61" w14:textId="58F13A8A" w:rsidR="007D2FD6" w:rsidRPr="00452683" w:rsidRDefault="007D2FD6" w:rsidP="00452683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52FEFD03" w:rsidR="007D2FD6" w:rsidRPr="007D2FD6" w:rsidRDefault="00994F62" w:rsidP="007D2FD6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 w:rsidRPr="005719E6">
              <w:rPr>
                <w:rFonts w:ascii="ITC Avant Garde" w:hAnsi="ITC Avant Garde"/>
                <w:sz w:val="21"/>
                <w:szCs w:val="21"/>
              </w:rPr>
              <w:t xml:space="preserve"> Ley Federal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2B6992" w:rsidRDefault="002B6992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2B6992" w:rsidRDefault="002B6992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2B6992" w:rsidRDefault="002B6992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2B6992" w:rsidRDefault="002B6992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EE2F707" w:rsidR="002B6992" w:rsidRDefault="002B6992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C7E"/>
    <w:multiLevelType w:val="hybridMultilevel"/>
    <w:tmpl w:val="81668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2E3"/>
    <w:multiLevelType w:val="hybridMultilevel"/>
    <w:tmpl w:val="4AB45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E2D99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63DA6"/>
    <w:rsid w:val="002B0B24"/>
    <w:rsid w:val="002B6992"/>
    <w:rsid w:val="002E37B6"/>
    <w:rsid w:val="00331B84"/>
    <w:rsid w:val="00332FE9"/>
    <w:rsid w:val="00366E21"/>
    <w:rsid w:val="00384692"/>
    <w:rsid w:val="003A162A"/>
    <w:rsid w:val="003F1D7B"/>
    <w:rsid w:val="00446F0C"/>
    <w:rsid w:val="00452683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756C5"/>
    <w:rsid w:val="0089205E"/>
    <w:rsid w:val="0092333A"/>
    <w:rsid w:val="009701A3"/>
    <w:rsid w:val="00977ED5"/>
    <w:rsid w:val="009918CF"/>
    <w:rsid w:val="00994F62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06E99"/>
    <w:rsid w:val="00C76443"/>
    <w:rsid w:val="00C76B1A"/>
    <w:rsid w:val="00C8049B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016E8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B69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70FB7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4129A-3927-4C91-9E22-DB3D1913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9</cp:revision>
  <dcterms:created xsi:type="dcterms:W3CDTF">2021-11-18T19:14:00Z</dcterms:created>
  <dcterms:modified xsi:type="dcterms:W3CDTF">2022-06-29T17:06:00Z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