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F70369"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F70369" w14:paraId="1B2E1BC8" w14:textId="77777777" w:rsidTr="00DF074B">
        <w:tc>
          <w:tcPr>
            <w:tcW w:w="8828" w:type="dxa"/>
          </w:tcPr>
          <w:p w14:paraId="5E631BCB" w14:textId="6BC76ADD" w:rsidR="006166DB" w:rsidRPr="00F70369" w:rsidRDefault="00F70369" w:rsidP="00F70369">
            <w:pPr>
              <w:contextualSpacing/>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Acuerdo mediante el cual el Pleno del Instituto Federal de Telecomunicaciones expide la</w:t>
            </w:r>
            <w:bookmarkStart w:id="0" w:name="_GoBack"/>
            <w:r w:rsidRPr="00F70369">
              <w:rPr>
                <w:rFonts w:ascii="ITC Avant Garde Std Bk" w:hAnsi="ITC Avant Garde Std Bk"/>
                <w:color w:val="000000" w:themeColor="text1"/>
                <w:sz w:val="21"/>
                <w:szCs w:val="21"/>
              </w:rPr>
              <w:t xml:space="preserve"> Disposición Técnica IFT-010-2016: </w:t>
            </w:r>
            <w:bookmarkEnd w:id="0"/>
            <w:r w:rsidRPr="00F70369">
              <w:rPr>
                <w:rFonts w:ascii="ITC Avant Garde Std Bk" w:hAnsi="ITC Avant Garde Std Bk"/>
                <w:color w:val="000000" w:themeColor="text1"/>
                <w:sz w:val="21"/>
                <w:szCs w:val="21"/>
              </w:rPr>
              <w:t>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p>
        </w:tc>
      </w:tr>
    </w:tbl>
    <w:p w14:paraId="52EC83BF" w14:textId="77777777" w:rsidR="006166DB" w:rsidRPr="00F70369"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F70369"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F70369" w14:paraId="454C3A95" w14:textId="77777777" w:rsidTr="00DF074B">
        <w:tc>
          <w:tcPr>
            <w:tcW w:w="8828" w:type="dxa"/>
          </w:tcPr>
          <w:p w14:paraId="1A68E5FF" w14:textId="12EB0412" w:rsidR="006166DB" w:rsidRPr="00F70369" w:rsidRDefault="006166DB" w:rsidP="002434FF">
            <w:pPr>
              <w:contextualSpacing/>
              <w:mirrorIndents/>
              <w:rPr>
                <w:rStyle w:val="Estilo4"/>
                <w:sz w:val="21"/>
                <w:szCs w:val="21"/>
                <w:highlight w:val="yellow"/>
              </w:rPr>
            </w:pPr>
            <w:r w:rsidRPr="00F70369">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16-07-01T00:00:00Z">
                  <w:dateFormat w:val="dd/MM/yyyy"/>
                  <w:lid w:val="es-MX"/>
                  <w:storeMappedDataAs w:val="dateTime"/>
                  <w:calendar w:val="gregorian"/>
                </w:date>
              </w:sdtPr>
              <w:sdtEndPr>
                <w:rPr>
                  <w:rStyle w:val="Estilo4"/>
                </w:rPr>
              </w:sdtEndPr>
              <w:sdtContent>
                <w:r w:rsidR="00AF71CC" w:rsidRPr="00F70369">
                  <w:rPr>
                    <w:rStyle w:val="Estilo4"/>
                    <w:sz w:val="21"/>
                    <w:szCs w:val="21"/>
                  </w:rPr>
                  <w:t>0</w:t>
                </w:r>
                <w:r w:rsidR="00F70369" w:rsidRPr="00F70369">
                  <w:rPr>
                    <w:rStyle w:val="Estilo4"/>
                    <w:sz w:val="21"/>
                    <w:szCs w:val="21"/>
                  </w:rPr>
                  <w:t>1</w:t>
                </w:r>
                <w:r w:rsidR="00AF71CC" w:rsidRPr="00F70369">
                  <w:rPr>
                    <w:rStyle w:val="Estilo4"/>
                    <w:sz w:val="21"/>
                    <w:szCs w:val="21"/>
                  </w:rPr>
                  <w:t>/0</w:t>
                </w:r>
                <w:r w:rsidR="00F70369" w:rsidRPr="00F70369">
                  <w:rPr>
                    <w:rStyle w:val="Estilo4"/>
                    <w:sz w:val="21"/>
                    <w:szCs w:val="21"/>
                  </w:rPr>
                  <w:t>7</w:t>
                </w:r>
                <w:r w:rsidR="0092333A" w:rsidRPr="00F70369">
                  <w:rPr>
                    <w:rStyle w:val="Estilo4"/>
                    <w:sz w:val="21"/>
                    <w:szCs w:val="21"/>
                  </w:rPr>
                  <w:t>/201</w:t>
                </w:r>
                <w:r w:rsidR="00F70369" w:rsidRPr="00F70369">
                  <w:rPr>
                    <w:rStyle w:val="Estilo4"/>
                    <w:sz w:val="21"/>
                    <w:szCs w:val="21"/>
                  </w:rPr>
                  <w:t>6</w:t>
                </w:r>
              </w:sdtContent>
            </w:sdt>
          </w:p>
        </w:tc>
      </w:tr>
      <w:tr w:rsidR="003F1D7B" w:rsidRPr="00F70369" w14:paraId="098151CF" w14:textId="77777777" w:rsidTr="00DF074B">
        <w:tc>
          <w:tcPr>
            <w:tcW w:w="8828" w:type="dxa"/>
          </w:tcPr>
          <w:p w14:paraId="07D4CB20" w14:textId="26120BB1" w:rsidR="003F1D7B" w:rsidRPr="00F70369" w:rsidRDefault="003F1D7B" w:rsidP="003F1D7B">
            <w:pPr>
              <w:contextualSpacing/>
              <w:mirrorIndents/>
              <w:rPr>
                <w:rStyle w:val="Estilo4"/>
                <w:sz w:val="21"/>
                <w:szCs w:val="21"/>
              </w:rPr>
            </w:pPr>
            <w:r w:rsidRPr="00F70369">
              <w:rPr>
                <w:rStyle w:val="Estilo4"/>
                <w:sz w:val="21"/>
                <w:szCs w:val="21"/>
              </w:rPr>
              <w:t>Fecha de publicación en el DOF: 01/08/201</w:t>
            </w:r>
            <w:r w:rsidR="00F70369" w:rsidRPr="00F70369">
              <w:rPr>
                <w:rStyle w:val="Estilo4"/>
                <w:sz w:val="21"/>
                <w:szCs w:val="21"/>
              </w:rPr>
              <w:t>6</w:t>
            </w:r>
            <w:r w:rsidRPr="00F70369">
              <w:rPr>
                <w:rStyle w:val="Estilo4"/>
                <w:sz w:val="21"/>
                <w:szCs w:val="21"/>
              </w:rPr>
              <w:t xml:space="preserve"> </w:t>
            </w:r>
          </w:p>
        </w:tc>
      </w:tr>
      <w:tr w:rsidR="00DF074B" w:rsidRPr="00F70369" w14:paraId="784A8897" w14:textId="77777777" w:rsidTr="00DF074B">
        <w:tc>
          <w:tcPr>
            <w:tcW w:w="8828" w:type="dxa"/>
          </w:tcPr>
          <w:p w14:paraId="335C558B" w14:textId="181B18D0" w:rsidR="00DF074B" w:rsidRPr="00F70369" w:rsidRDefault="004C31A6" w:rsidP="003F1D7B">
            <w:pPr>
              <w:contextualSpacing/>
              <w:mirrorIndents/>
              <w:rPr>
                <w:rStyle w:val="Estilo4"/>
                <w:sz w:val="21"/>
                <w:szCs w:val="21"/>
              </w:rPr>
            </w:pPr>
            <w:r w:rsidRPr="00F70369">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F70369" w:rsidRPr="00F70369">
                  <w:rPr>
                    <w:rStyle w:val="Estilo4"/>
                    <w:sz w:val="21"/>
                    <w:szCs w:val="21"/>
                  </w:rPr>
                  <w:t xml:space="preserve">Indefinida </w:t>
                </w:r>
              </w:sdtContent>
            </w:sdt>
          </w:p>
        </w:tc>
      </w:tr>
      <w:tr w:rsidR="006166DB" w:rsidRPr="00F70369" w14:paraId="25C2F9B9" w14:textId="77777777" w:rsidTr="00DF074B">
        <w:tc>
          <w:tcPr>
            <w:tcW w:w="8828" w:type="dxa"/>
          </w:tcPr>
          <w:p w14:paraId="187042E5" w14:textId="558EF1AD" w:rsidR="006166DB" w:rsidRPr="00F70369" w:rsidRDefault="006166DB" w:rsidP="002434FF">
            <w:pPr>
              <w:contextualSpacing/>
              <w:mirrorIndents/>
              <w:rPr>
                <w:rStyle w:val="Estilo4"/>
                <w:sz w:val="21"/>
                <w:szCs w:val="21"/>
                <w:highlight w:val="yellow"/>
              </w:rPr>
            </w:pPr>
            <w:r w:rsidRPr="0050629B">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16-09-30T00:00:00Z">
                  <w:dateFormat w:val="dd/MM/yyyy"/>
                  <w:lid w:val="es-MX"/>
                  <w:storeMappedDataAs w:val="dateTime"/>
                  <w:calendar w:val="gregorian"/>
                </w:date>
              </w:sdtPr>
              <w:sdtEndPr>
                <w:rPr>
                  <w:rStyle w:val="Estilo4"/>
                </w:rPr>
              </w:sdtEndPr>
              <w:sdtContent>
                <w:r w:rsidR="0050629B" w:rsidRPr="0050629B">
                  <w:rPr>
                    <w:rStyle w:val="Estilo4"/>
                    <w:sz w:val="21"/>
                    <w:szCs w:val="21"/>
                  </w:rPr>
                  <w:t>30</w:t>
                </w:r>
                <w:r w:rsidR="0092333A" w:rsidRPr="0050629B">
                  <w:rPr>
                    <w:rStyle w:val="Estilo4"/>
                    <w:sz w:val="21"/>
                    <w:szCs w:val="21"/>
                  </w:rPr>
                  <w:t>/0</w:t>
                </w:r>
                <w:r w:rsidR="0050629B" w:rsidRPr="0050629B">
                  <w:rPr>
                    <w:rStyle w:val="Estilo4"/>
                    <w:sz w:val="21"/>
                    <w:szCs w:val="21"/>
                  </w:rPr>
                  <w:t>9</w:t>
                </w:r>
                <w:r w:rsidR="0092333A" w:rsidRPr="0050629B">
                  <w:rPr>
                    <w:rStyle w:val="Estilo4"/>
                    <w:sz w:val="21"/>
                    <w:szCs w:val="21"/>
                  </w:rPr>
                  <w:t>/201</w:t>
                </w:r>
                <w:r w:rsidR="0050629B" w:rsidRPr="0050629B">
                  <w:rPr>
                    <w:rStyle w:val="Estilo4"/>
                    <w:sz w:val="21"/>
                    <w:szCs w:val="21"/>
                  </w:rPr>
                  <w:t>6</w:t>
                </w:r>
              </w:sdtContent>
            </w:sdt>
            <w:r w:rsidRPr="0050629B">
              <w:rPr>
                <w:rStyle w:val="Estilo4"/>
                <w:sz w:val="21"/>
                <w:szCs w:val="21"/>
              </w:rPr>
              <w:t xml:space="preserve"> </w:t>
            </w:r>
          </w:p>
        </w:tc>
      </w:tr>
      <w:tr w:rsidR="00DF074B" w:rsidRPr="00F70369" w14:paraId="5C60735A" w14:textId="77777777" w:rsidTr="007F5106">
        <w:trPr>
          <w:trHeight w:val="50"/>
        </w:trPr>
        <w:tc>
          <w:tcPr>
            <w:tcW w:w="8828" w:type="dxa"/>
          </w:tcPr>
          <w:p w14:paraId="43F30054" w14:textId="4848B9DB" w:rsidR="00DF074B" w:rsidRPr="00F70369" w:rsidRDefault="00DF074B" w:rsidP="00DF074B">
            <w:pPr>
              <w:contextualSpacing/>
              <w:mirrorIndents/>
              <w:rPr>
                <w:rStyle w:val="Estilo4"/>
                <w:sz w:val="21"/>
                <w:szCs w:val="21"/>
                <w:highlight w:val="yellow"/>
              </w:rPr>
            </w:pPr>
            <w:r w:rsidRPr="0050629B">
              <w:rPr>
                <w:rStyle w:val="Estilo4"/>
                <w:sz w:val="21"/>
                <w:szCs w:val="21"/>
              </w:rPr>
              <w:t>Término de la vigencia:</w:t>
            </w:r>
            <w:r w:rsidR="0050629B" w:rsidRPr="0050629B">
              <w:rPr>
                <w:rStyle w:val="Estilo4"/>
                <w:sz w:val="21"/>
                <w:szCs w:val="21"/>
              </w:rPr>
              <w:t xml:space="preserve"> No aplica</w:t>
            </w:r>
          </w:p>
        </w:tc>
      </w:tr>
    </w:tbl>
    <w:p w14:paraId="7B361F8E" w14:textId="77777777" w:rsidR="006166DB" w:rsidRPr="00F70369"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F70369"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F70369" w14:paraId="2E594784" w14:textId="77777777" w:rsidTr="00DF074B">
        <w:tc>
          <w:tcPr>
            <w:tcW w:w="8828" w:type="dxa"/>
          </w:tcPr>
          <w:p w14:paraId="6C41AB66" w14:textId="760383B8" w:rsidR="006166DB" w:rsidRPr="00F70369" w:rsidRDefault="0050629B" w:rsidP="002434FF">
            <w:pPr>
              <w:mirrorIndents/>
              <w:rPr>
                <w:rFonts w:ascii="ITC Avant Garde Std Bk" w:hAnsi="ITC Avant Garde Std Bk"/>
                <w:color w:val="000000" w:themeColor="text1"/>
                <w:sz w:val="21"/>
                <w:szCs w:val="21"/>
              </w:rPr>
            </w:pPr>
            <w:r w:rsidRPr="0050629B">
              <w:rPr>
                <w:rFonts w:ascii="ITC Avant Garde Std Bk" w:hAnsi="ITC Avant Garde Std Bk"/>
                <w:color w:val="000000" w:themeColor="text1"/>
                <w:sz w:val="21"/>
                <w:szCs w:val="21"/>
              </w:rPr>
              <w:t>Instituto Federal de Telecomunicaciones</w:t>
            </w:r>
          </w:p>
        </w:tc>
      </w:tr>
    </w:tbl>
    <w:p w14:paraId="32195651" w14:textId="77777777" w:rsidR="006166DB" w:rsidRPr="00F70369"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F70369"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F70369" w14:paraId="0FEE5916" w14:textId="77777777" w:rsidTr="00DF074B">
        <w:tc>
          <w:tcPr>
            <w:tcW w:w="8828" w:type="dxa"/>
          </w:tcPr>
          <w:p w14:paraId="043F6ABC" w14:textId="768EAA2B" w:rsidR="006166DB" w:rsidRPr="00F70369" w:rsidRDefault="0050629B" w:rsidP="002434FF">
            <w:pPr>
              <w:contextualSpacing/>
              <w:mirrorIndents/>
              <w:rPr>
                <w:rFonts w:ascii="ITC Avant Garde Std Bk" w:hAnsi="ITC Avant Garde Std Bk"/>
                <w:color w:val="000000" w:themeColor="text1"/>
                <w:sz w:val="21"/>
                <w:szCs w:val="21"/>
              </w:rPr>
            </w:pPr>
            <w:r w:rsidRPr="0050629B">
              <w:rPr>
                <w:rFonts w:ascii="ITC Avant Garde Std Bk" w:hAnsi="ITC Avant Garde Std Bk"/>
                <w:color w:val="000000" w:themeColor="text1"/>
                <w:sz w:val="21"/>
                <w:szCs w:val="21"/>
              </w:rPr>
              <w:t>Instituto Federal de Telecomunicaciones</w:t>
            </w:r>
          </w:p>
        </w:tc>
      </w:tr>
    </w:tbl>
    <w:p w14:paraId="45DC499A" w14:textId="063A5F7C" w:rsidR="006166DB" w:rsidRPr="00F70369"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F70369"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F70369" w14:paraId="749D808B" w14:textId="77777777" w:rsidTr="00DF074B">
        <w:tc>
          <w:tcPr>
            <w:tcW w:w="8828" w:type="dxa"/>
          </w:tcPr>
          <w:p w14:paraId="07FF9FAE" w14:textId="28A751ED" w:rsidR="00DC3A1A" w:rsidRPr="004D6878" w:rsidRDefault="00C76443" w:rsidP="00DF074B">
            <w:pPr>
              <w:contextualSpacing/>
              <w:mirrorIndents/>
              <w:rPr>
                <w:rFonts w:ascii="ITC Avant Garde Std Bk" w:hAnsi="ITC Avant Garde Std Bk"/>
                <w:color w:val="000000" w:themeColor="text1"/>
                <w:sz w:val="21"/>
                <w:szCs w:val="21"/>
              </w:rPr>
            </w:pPr>
            <w:r w:rsidRPr="004D6878">
              <w:rPr>
                <w:rStyle w:val="Estilo4"/>
                <w:sz w:val="21"/>
                <w:szCs w:val="21"/>
              </w:rPr>
              <w:t>Ámbito de Aplicación</w:t>
            </w:r>
            <w:r w:rsidR="00366E21" w:rsidRPr="004D6878">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F70369" w:rsidRPr="004D6878">
                  <w:rPr>
                    <w:rStyle w:val="Estilo4"/>
                    <w:sz w:val="21"/>
                    <w:szCs w:val="21"/>
                  </w:rPr>
                  <w:t>Federal</w:t>
                </w:r>
              </w:sdtContent>
            </w:sdt>
          </w:p>
        </w:tc>
      </w:tr>
    </w:tbl>
    <w:p w14:paraId="086DD737" w14:textId="5145C4EC" w:rsidR="00DC3A1A" w:rsidRPr="00F70369"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F70369"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6</w:t>
      </w:r>
      <w:r w:rsidR="006166DB" w:rsidRPr="00F70369">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F70369" w14:paraId="380262AA" w14:textId="77777777" w:rsidTr="00DF074B">
        <w:tc>
          <w:tcPr>
            <w:tcW w:w="8828" w:type="dxa"/>
          </w:tcPr>
          <w:p w14:paraId="1917902A" w14:textId="7E2B6E75" w:rsidR="006166DB" w:rsidRPr="004D6878" w:rsidRDefault="004D6878" w:rsidP="0092333A">
            <w:pPr>
              <w:contextualSpacing/>
              <w:mirrorIndents/>
              <w:jc w:val="both"/>
              <w:rPr>
                <w:rFonts w:ascii="ITC Avant Garde Std Bk" w:hAnsi="ITC Avant Garde Std Bk"/>
                <w:color w:val="000000" w:themeColor="text1"/>
                <w:sz w:val="21"/>
                <w:szCs w:val="21"/>
              </w:rPr>
            </w:pPr>
            <w:r w:rsidRPr="004D6878">
              <w:rPr>
                <w:rFonts w:ascii="ITC Avant Garde Std Bk" w:hAnsi="ITC Avant Garde Std Bk"/>
                <w:color w:val="000000" w:themeColor="text1"/>
                <w:sz w:val="21"/>
                <w:szCs w:val="21"/>
              </w:rPr>
              <w:t>N</w:t>
            </w:r>
            <w:r w:rsidRPr="004D6878">
              <w:rPr>
                <w:rFonts w:ascii="ITC Avant Garde Std Bk" w:hAnsi="ITC Avant Garde Std Bk"/>
                <w:color w:val="000000" w:themeColor="text1"/>
              </w:rPr>
              <w:t>o aplica</w:t>
            </w:r>
          </w:p>
        </w:tc>
      </w:tr>
    </w:tbl>
    <w:p w14:paraId="4E8FF191" w14:textId="77777777" w:rsidR="006166DB" w:rsidRPr="00F70369"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F70369"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7</w:t>
      </w:r>
      <w:r w:rsidR="006166DB" w:rsidRPr="00F70369">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F70369" w14:paraId="00840257" w14:textId="77777777" w:rsidTr="00DF074B">
        <w:tc>
          <w:tcPr>
            <w:tcW w:w="8828" w:type="dxa"/>
          </w:tcPr>
          <w:p w14:paraId="5DFAFB35" w14:textId="0225CC0C" w:rsidR="006166DB" w:rsidRPr="00F70369" w:rsidRDefault="00584383"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4D6878">
                  <w:rPr>
                    <w:rStyle w:val="Estilo4"/>
                    <w:sz w:val="21"/>
                    <w:szCs w:val="21"/>
                  </w:rPr>
                  <w:t>Disposición Técnica</w:t>
                </w:r>
              </w:sdtContent>
            </w:sdt>
          </w:p>
        </w:tc>
      </w:tr>
    </w:tbl>
    <w:p w14:paraId="635A852A" w14:textId="77777777" w:rsidR="006166DB" w:rsidRPr="00F70369"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1D76D6F6" w:rsidR="006166DB" w:rsidRPr="00F70369"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8</w:t>
      </w:r>
      <w:r w:rsidR="006166DB" w:rsidRPr="00F70369">
        <w:rPr>
          <w:rFonts w:ascii="ITC Avant Garde Std Bk" w:hAnsi="ITC Avant Garde Std Bk"/>
          <w:b/>
          <w:color w:val="000000" w:themeColor="text1"/>
          <w:sz w:val="21"/>
          <w:szCs w:val="21"/>
        </w:rPr>
        <w:t>.</w:t>
      </w:r>
      <w:r w:rsidR="007A4199">
        <w:rPr>
          <w:rFonts w:ascii="ITC Avant Garde Std Bk" w:hAnsi="ITC Avant Garde Std Bk"/>
          <w:b/>
          <w:color w:val="000000" w:themeColor="text1"/>
          <w:sz w:val="21"/>
          <w:szCs w:val="21"/>
        </w:rPr>
        <w:t>-</w:t>
      </w:r>
      <w:r w:rsidR="006166DB" w:rsidRPr="00F70369">
        <w:rPr>
          <w:rFonts w:ascii="ITC Avant Garde Std Bk" w:hAnsi="ITC Avant Garde Std Bk"/>
          <w:sz w:val="21"/>
          <w:szCs w:val="21"/>
        </w:rPr>
        <w:t xml:space="preserve"> </w:t>
      </w:r>
      <w:r w:rsidR="006166DB" w:rsidRPr="00F70369">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F70369" w14:paraId="040BA959" w14:textId="77777777" w:rsidTr="00F73022">
        <w:trPr>
          <w:trHeight w:val="65"/>
        </w:trPr>
        <w:tc>
          <w:tcPr>
            <w:tcW w:w="8828" w:type="dxa"/>
          </w:tcPr>
          <w:p w14:paraId="0B5C58AF" w14:textId="77777777" w:rsidR="007A4199" w:rsidRDefault="007A4199" w:rsidP="007A4199">
            <w:pPr>
              <w:pStyle w:val="Prrafodelista"/>
              <w:ind w:left="873"/>
              <w:mirrorIndents/>
              <w:jc w:val="both"/>
              <w:rPr>
                <w:rFonts w:ascii="ITC Avant Garde Std Bk" w:hAnsi="ITC Avant Garde Std Bk"/>
                <w:color w:val="000000" w:themeColor="text1"/>
                <w:sz w:val="21"/>
                <w:szCs w:val="21"/>
              </w:rPr>
            </w:pPr>
          </w:p>
          <w:p w14:paraId="6AA8CCE4" w14:textId="5932C27F"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Objetivo.</w:t>
            </w:r>
          </w:p>
          <w:p w14:paraId="68C9484D" w14:textId="22FEFD31"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Campo de aplicación.</w:t>
            </w:r>
          </w:p>
          <w:p w14:paraId="0CE7AD62" w14:textId="31882758"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Definiciones y abreviaturas.</w:t>
            </w:r>
          </w:p>
          <w:p w14:paraId="2EF3424C" w14:textId="7F11AA25"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Especificaciones técnicas y condiciones de operación de los equipos de bloqueo de señales de telefonía celular, de radiocomunicación o de transmisión de datos e imagen.</w:t>
            </w:r>
          </w:p>
          <w:p w14:paraId="45433234" w14:textId="6535BD36"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Métodos de prueba.</w:t>
            </w:r>
          </w:p>
          <w:p w14:paraId="3DE9D181" w14:textId="25FEBC03"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Instalación y operación.</w:t>
            </w:r>
          </w:p>
          <w:p w14:paraId="4E1708D2" w14:textId="1EDE863E"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Concordancia con normas internacionales.</w:t>
            </w:r>
          </w:p>
          <w:p w14:paraId="64BA3AA7" w14:textId="0B5E0DBD"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Bibliografía.</w:t>
            </w:r>
          </w:p>
          <w:p w14:paraId="5768F4C1" w14:textId="7DAD8789" w:rsidR="00F70369" w:rsidRP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Evaluación de la conformidad y vigilancia del cumplimiento.</w:t>
            </w:r>
          </w:p>
          <w:p w14:paraId="0EBCD144" w14:textId="77777777" w:rsidR="00F70369" w:rsidRDefault="00F70369" w:rsidP="0050629B">
            <w:pPr>
              <w:pStyle w:val="Prrafodelista"/>
              <w:numPr>
                <w:ilvl w:val="0"/>
                <w:numId w:val="12"/>
              </w:numPr>
              <w:ind w:left="873"/>
              <w:mirrorIndents/>
              <w:jc w:val="both"/>
              <w:rPr>
                <w:rFonts w:ascii="ITC Avant Garde Std Bk" w:hAnsi="ITC Avant Garde Std Bk"/>
                <w:color w:val="000000" w:themeColor="text1"/>
                <w:sz w:val="21"/>
                <w:szCs w:val="21"/>
              </w:rPr>
            </w:pPr>
            <w:r w:rsidRPr="00F70369">
              <w:rPr>
                <w:rFonts w:ascii="ITC Avant Garde Std Bk" w:hAnsi="ITC Avant Garde Std Bk"/>
                <w:color w:val="000000" w:themeColor="text1"/>
                <w:sz w:val="21"/>
                <w:szCs w:val="21"/>
              </w:rPr>
              <w:t>Contraseña del producto.</w:t>
            </w:r>
          </w:p>
          <w:p w14:paraId="156EDD76" w14:textId="77777777" w:rsidR="007A4199" w:rsidRDefault="007A4199" w:rsidP="007A4199">
            <w:pPr>
              <w:pStyle w:val="Prrafodelista"/>
              <w:ind w:left="873"/>
              <w:mirrorIndents/>
              <w:jc w:val="both"/>
              <w:rPr>
                <w:rFonts w:ascii="ITC Avant Garde Std Bk" w:hAnsi="ITC Avant Garde Std Bk"/>
                <w:color w:val="000000" w:themeColor="text1"/>
                <w:sz w:val="21"/>
                <w:szCs w:val="21"/>
              </w:rPr>
            </w:pPr>
          </w:p>
          <w:p w14:paraId="74432DAC" w14:textId="70C2DD2E" w:rsidR="003257CC" w:rsidRDefault="00F70369" w:rsidP="007A4199">
            <w:pPr>
              <w:pStyle w:val="Prrafodelista"/>
              <w:ind w:left="873"/>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lastRenderedPageBreak/>
              <w:t>T</w:t>
            </w:r>
            <w:r w:rsidRPr="00F70369">
              <w:rPr>
                <w:rFonts w:ascii="ITC Avant Garde Std Bk" w:hAnsi="ITC Avant Garde Std Bk"/>
                <w:color w:val="000000" w:themeColor="text1"/>
                <w:sz w:val="21"/>
                <w:szCs w:val="21"/>
              </w:rPr>
              <w:t>ransitorios.</w:t>
            </w:r>
          </w:p>
          <w:p w14:paraId="7EAC22F8" w14:textId="77777777" w:rsidR="007A4199" w:rsidRDefault="007A4199" w:rsidP="007A4199">
            <w:pPr>
              <w:pStyle w:val="Prrafodelista"/>
              <w:ind w:left="873"/>
              <w:mirrorIndents/>
              <w:jc w:val="both"/>
              <w:rPr>
                <w:rFonts w:ascii="ITC Avant Garde Std Bk" w:hAnsi="ITC Avant Garde Std Bk"/>
                <w:color w:val="000000" w:themeColor="text1"/>
                <w:sz w:val="21"/>
                <w:szCs w:val="21"/>
              </w:rPr>
            </w:pPr>
          </w:p>
          <w:p w14:paraId="5F275C45" w14:textId="31390A0C" w:rsidR="003257CC" w:rsidRPr="003257CC" w:rsidRDefault="003257CC" w:rsidP="007A4199">
            <w:pPr>
              <w:pStyle w:val="Prrafodelista"/>
              <w:ind w:left="873"/>
              <w:mirrorIndents/>
              <w:jc w:val="both"/>
              <w:rPr>
                <w:rFonts w:ascii="ITC Avant Garde Std Bk" w:hAnsi="ITC Avant Garde Std Bk"/>
                <w:color w:val="000000" w:themeColor="text1"/>
                <w:sz w:val="21"/>
                <w:szCs w:val="21"/>
              </w:rPr>
            </w:pPr>
            <w:r w:rsidRPr="003257CC">
              <w:rPr>
                <w:rFonts w:ascii="ITC Avant Garde Std Bk" w:hAnsi="ITC Avant Garde Std Bk"/>
                <w:color w:val="000000" w:themeColor="text1"/>
                <w:sz w:val="21"/>
                <w:szCs w:val="21"/>
              </w:rPr>
              <w:t>Anexo A. Formato de reporte del resultado de la aplicación de los métodos de prueba al EBP sujeto a la DT IFT-010-2016 por el Laboratorio de Prueba y para evaluación por el Organismo de Certificación.</w:t>
            </w:r>
          </w:p>
        </w:tc>
      </w:tr>
    </w:tbl>
    <w:p w14:paraId="4E6C6C7C" w14:textId="77777777" w:rsidR="00F73022" w:rsidRPr="00F70369" w:rsidRDefault="00F73022" w:rsidP="002434FF">
      <w:pPr>
        <w:spacing w:after="0" w:line="240" w:lineRule="auto"/>
        <w:contextualSpacing/>
        <w:mirrorIndents/>
        <w:rPr>
          <w:rFonts w:ascii="ITC Avant Garde Std Bk" w:hAnsi="ITC Avant Garde Std Bk"/>
          <w:color w:val="000000" w:themeColor="text1"/>
          <w:sz w:val="21"/>
          <w:szCs w:val="21"/>
        </w:rPr>
      </w:pPr>
    </w:p>
    <w:p w14:paraId="308AB0E2" w14:textId="300A7D54" w:rsidR="00F73022" w:rsidRPr="00F70369"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9</w:t>
      </w:r>
      <w:r w:rsidR="00F73022" w:rsidRPr="00F70369">
        <w:rPr>
          <w:rFonts w:ascii="ITC Avant Garde Std Bk" w:hAnsi="ITC Avant Garde Std Bk"/>
          <w:b/>
          <w:color w:val="000000" w:themeColor="text1"/>
          <w:sz w:val="21"/>
          <w:szCs w:val="21"/>
        </w:rPr>
        <w:t>.</w:t>
      </w:r>
      <w:r w:rsidR="007A4199">
        <w:rPr>
          <w:rFonts w:ascii="ITC Avant Garde Std Bk" w:hAnsi="ITC Avant Garde Std Bk"/>
          <w:b/>
          <w:color w:val="000000" w:themeColor="text1"/>
          <w:sz w:val="21"/>
          <w:szCs w:val="21"/>
        </w:rPr>
        <w:t>-</w:t>
      </w:r>
      <w:r w:rsidR="00F73022" w:rsidRPr="00F70369">
        <w:rPr>
          <w:rFonts w:ascii="ITC Avant Garde Std Bk" w:hAnsi="ITC Avant Garde Std Bk"/>
          <w:sz w:val="21"/>
          <w:szCs w:val="21"/>
        </w:rPr>
        <w:t xml:space="preserve"> </w:t>
      </w:r>
      <w:r w:rsidR="00F73022" w:rsidRPr="00F70369">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F70369" w14:paraId="373C675C" w14:textId="77777777" w:rsidTr="00DF074B">
        <w:tc>
          <w:tcPr>
            <w:tcW w:w="8828" w:type="dxa"/>
          </w:tcPr>
          <w:p w14:paraId="585AD782" w14:textId="77777777" w:rsidR="007A4199" w:rsidRDefault="007A4199" w:rsidP="0050629B">
            <w:pPr>
              <w:tabs>
                <w:tab w:val="left" w:pos="1500"/>
              </w:tabs>
              <w:contextualSpacing/>
              <w:mirrorIndents/>
              <w:jc w:val="both"/>
              <w:rPr>
                <w:rFonts w:ascii="ITC Avant Garde Std Bk" w:hAnsi="ITC Avant Garde Std Bk"/>
                <w:color w:val="000000" w:themeColor="text1"/>
                <w:sz w:val="21"/>
                <w:szCs w:val="21"/>
              </w:rPr>
            </w:pPr>
          </w:p>
          <w:p w14:paraId="53B08DCA" w14:textId="2CC68EA3" w:rsidR="00F73022" w:rsidRPr="00F70369" w:rsidRDefault="0050629B" w:rsidP="0050629B">
            <w:pPr>
              <w:tabs>
                <w:tab w:val="left" w:pos="1500"/>
              </w:tabs>
              <w:contextualSpacing/>
              <w:mirrorIndents/>
              <w:jc w:val="both"/>
              <w:rPr>
                <w:rFonts w:ascii="ITC Avant Garde Std Bk" w:hAnsi="ITC Avant Garde Std Bk"/>
                <w:color w:val="000000" w:themeColor="text1"/>
                <w:sz w:val="21"/>
                <w:szCs w:val="21"/>
              </w:rPr>
            </w:pPr>
            <w:r w:rsidRPr="0050629B">
              <w:rPr>
                <w:rFonts w:ascii="ITC Avant Garde Std Bk" w:hAnsi="ITC Avant Garde Std Bk"/>
                <w:color w:val="000000" w:themeColor="text1"/>
                <w:sz w:val="21"/>
                <w:szCs w:val="21"/>
              </w:rPr>
              <w:t xml:space="preserve">La Disposición Técnica </w:t>
            </w:r>
            <w:r w:rsidR="000B3205" w:rsidRPr="000B3205">
              <w:rPr>
                <w:rFonts w:ascii="ITC Avant Garde Std Bk" w:hAnsi="ITC Avant Garde Std Bk"/>
                <w:color w:val="000000" w:themeColor="text1"/>
                <w:sz w:val="21"/>
                <w:szCs w:val="21"/>
              </w:rPr>
              <w:t xml:space="preserve">tiene como objetivo principal establecer las especificaciones técnicas y condiciones de operación para los equipos de bloqueo de señales de telefonía celular, de radiocomunicación o de transmisión de datos e imagen en todas las bandas de frecuencia que se utilicen para comunicación con los equipos terminales, así como los métodos de prueba para comprobar el cumplimiento de dichas especificaciones. Lo anterior es aplicable para todos aquellos equipos de bloqueo de señales, que en el ámbito técnico operativo bloqueen, cancelen o anulen de manera permanente las señales de telefonía celular, de radiocomunicación o de transmisión de datos e imagen dentro del perímetro de los centros de readaptación social, establecimientos penitenciarios o centros de internamiento para menores, federales o de las entidades federativas, cualquiera que sea su denominación, previéndose que cuando operen, no causen interferencias perjudiciales a otros equipos de operación autorizada, ni a las redes y servicios de telecomunicaciones autorizados por el Instituto, de tal manera que en todo momento se cumpla con lo establecido en el artículo 190, fracción VIII de la </w:t>
            </w:r>
            <w:r w:rsidR="00AF39ED" w:rsidRPr="00AF39ED">
              <w:rPr>
                <w:rFonts w:ascii="ITC Avant Garde Std Bk" w:hAnsi="ITC Avant Garde Std Bk"/>
                <w:color w:val="000000" w:themeColor="text1"/>
                <w:sz w:val="21"/>
                <w:szCs w:val="21"/>
              </w:rPr>
              <w:t>Ley Federal de Telecomunicaciones y Radiodifusión</w:t>
            </w:r>
            <w:r w:rsidR="000B3205" w:rsidRPr="000B3205">
              <w:rPr>
                <w:rFonts w:ascii="ITC Avant Garde Std Bk" w:hAnsi="ITC Avant Garde Std Bk"/>
                <w:color w:val="000000" w:themeColor="text1"/>
                <w:sz w:val="21"/>
                <w:szCs w:val="21"/>
              </w:rPr>
              <w:t>.</w:t>
            </w:r>
          </w:p>
        </w:tc>
      </w:tr>
    </w:tbl>
    <w:p w14:paraId="2355FA42" w14:textId="77777777" w:rsidR="00F73022" w:rsidRPr="00F70369"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F70369"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10</w:t>
      </w:r>
      <w:r w:rsidR="006166DB" w:rsidRPr="00F70369">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F70369" w14:paraId="36A134C5" w14:textId="77777777" w:rsidTr="00DF074B">
        <w:tc>
          <w:tcPr>
            <w:tcW w:w="8828" w:type="dxa"/>
          </w:tcPr>
          <w:p w14:paraId="0C79C5AD" w14:textId="11330BCF" w:rsidR="006166DB" w:rsidRPr="0050629B" w:rsidRDefault="006166DB" w:rsidP="002434FF">
            <w:pPr>
              <w:contextualSpacing/>
              <w:mirrorIndents/>
              <w:rPr>
                <w:rFonts w:ascii="ITC Avant Garde Std Bk" w:hAnsi="ITC Avant Garde Std Bk"/>
                <w:sz w:val="21"/>
                <w:szCs w:val="21"/>
                <w:highlight w:val="yellow"/>
              </w:rPr>
            </w:pPr>
            <w:r w:rsidRPr="000B3205">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757E72">
                  <w:rPr>
                    <w:rFonts w:ascii="ITC Avant Garde Std Bk" w:hAnsi="ITC Avant Garde Std Bk"/>
                    <w:sz w:val="21"/>
                    <w:szCs w:val="21"/>
                  </w:rPr>
                  <w:t xml:space="preserve">Telecomunicaciones y Radiodifusión </w:t>
                </w:r>
              </w:sdtContent>
            </w:sdt>
            <w:r w:rsidRPr="000B3205">
              <w:rPr>
                <w:rFonts w:ascii="ITC Avant Garde Std Bk" w:hAnsi="ITC Avant Garde Std Bk"/>
                <w:sz w:val="21"/>
                <w:szCs w:val="21"/>
              </w:rPr>
              <w:t xml:space="preserve">  </w:t>
            </w:r>
          </w:p>
        </w:tc>
      </w:tr>
      <w:tr w:rsidR="000B3205" w:rsidRPr="00F70369" w14:paraId="3BD12104" w14:textId="77777777" w:rsidTr="00DF074B">
        <w:tc>
          <w:tcPr>
            <w:tcW w:w="8828" w:type="dxa"/>
          </w:tcPr>
          <w:p w14:paraId="7CC8BB94" w14:textId="66AACBD8" w:rsidR="000B3205" w:rsidRPr="003257CC" w:rsidRDefault="000B3205" w:rsidP="002434FF">
            <w:pPr>
              <w:contextualSpacing/>
              <w:mirrorIndents/>
              <w:rPr>
                <w:rFonts w:ascii="ITC Avant Garde Std Bk" w:hAnsi="ITC Avant Garde Std Bk"/>
                <w:sz w:val="21"/>
                <w:szCs w:val="21"/>
              </w:rPr>
            </w:pPr>
            <w:r w:rsidRPr="003257CC">
              <w:rPr>
                <w:rFonts w:ascii="ITC Avant Garde Std Bk" w:hAnsi="ITC Avant Garde Std Bk"/>
                <w:sz w:val="21"/>
                <w:szCs w:val="21"/>
              </w:rPr>
              <w:t xml:space="preserve">Sector: </w:t>
            </w:r>
            <w:sdt>
              <w:sdtPr>
                <w:rPr>
                  <w:rFonts w:ascii="ITC Avant Garde Std Bk" w:hAnsi="ITC Avant Garde Std Bk"/>
                  <w:sz w:val="21"/>
                  <w:szCs w:val="21"/>
                </w:rPr>
                <w:id w:val="-605504300"/>
                <w:placeholder>
                  <w:docPart w:val="2939655132D5441E899589E606E8FF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3257CC">
                  <w:rPr>
                    <w:rFonts w:ascii="ITC Avant Garde Std Bk" w:hAnsi="ITC Avant Garde Std Bk"/>
                    <w:sz w:val="21"/>
                    <w:szCs w:val="21"/>
                  </w:rPr>
                  <w:t>Operadores de servicios de telecomunicaciones alámbricas</w:t>
                </w:r>
              </w:sdtContent>
            </w:sdt>
          </w:p>
        </w:tc>
      </w:tr>
      <w:tr w:rsidR="006166DB" w:rsidRPr="00F70369" w14:paraId="78629502" w14:textId="77777777" w:rsidTr="00DF074B">
        <w:tc>
          <w:tcPr>
            <w:tcW w:w="8828" w:type="dxa"/>
          </w:tcPr>
          <w:p w14:paraId="617248E0" w14:textId="5A5BB345" w:rsidR="006166DB" w:rsidRPr="003257CC" w:rsidRDefault="006166DB" w:rsidP="002434FF">
            <w:pPr>
              <w:contextualSpacing/>
              <w:mirrorIndents/>
              <w:rPr>
                <w:rFonts w:ascii="ITC Avant Garde Std Bk" w:hAnsi="ITC Avant Garde Std Bk"/>
                <w:sz w:val="21"/>
                <w:szCs w:val="21"/>
              </w:rPr>
            </w:pPr>
            <w:r w:rsidRPr="003257CC">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0B3205" w:rsidRPr="003257CC">
                  <w:rPr>
                    <w:rFonts w:ascii="ITC Avant Garde Std Bk" w:hAnsi="ITC Avant Garde Std Bk"/>
                    <w:sz w:val="21"/>
                    <w:szCs w:val="21"/>
                  </w:rPr>
                  <w:t>Operadores de servicios de telecomunicaciones inalámbricas</w:t>
                </w:r>
              </w:sdtContent>
            </w:sdt>
          </w:p>
        </w:tc>
      </w:tr>
      <w:tr w:rsidR="00A1527C" w:rsidRPr="00F70369" w14:paraId="6A5CE487" w14:textId="77777777" w:rsidTr="00DF074B">
        <w:tc>
          <w:tcPr>
            <w:tcW w:w="8828" w:type="dxa"/>
          </w:tcPr>
          <w:p w14:paraId="575170B0" w14:textId="5768C67D" w:rsidR="00A1527C" w:rsidRPr="003257CC" w:rsidRDefault="00A1527C" w:rsidP="002434FF">
            <w:pPr>
              <w:contextualSpacing/>
              <w:mirrorIndents/>
              <w:rPr>
                <w:rFonts w:ascii="ITC Avant Garde Std Bk" w:hAnsi="ITC Avant Garde Std Bk"/>
                <w:sz w:val="21"/>
                <w:szCs w:val="21"/>
              </w:rPr>
            </w:pPr>
            <w:r w:rsidRPr="003257CC">
              <w:rPr>
                <w:rFonts w:ascii="ITC Avant Garde Std Bk" w:hAnsi="ITC Avant Garde Std Bk"/>
                <w:sz w:val="21"/>
                <w:szCs w:val="21"/>
              </w:rPr>
              <w:t xml:space="preserve">Sector: </w:t>
            </w:r>
            <w:sdt>
              <w:sdtPr>
                <w:rPr>
                  <w:rFonts w:ascii="ITC Avant Garde Std Bk" w:hAnsi="ITC Avant Garde Std Bk"/>
                  <w:sz w:val="21"/>
                  <w:szCs w:val="21"/>
                </w:rPr>
                <w:id w:val="-620604410"/>
                <w:placeholder>
                  <w:docPart w:val="54C329517C7A48E28E87D0A00FE4DB83"/>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3257CC">
                  <w:rPr>
                    <w:rFonts w:ascii="ITC Avant Garde Std Bk" w:hAnsi="ITC Avant Garde Std Bk"/>
                    <w:sz w:val="21"/>
                    <w:szCs w:val="21"/>
                  </w:rPr>
                  <w:t>Operadores de servicios de telecomunicaciones vía satélite</w:t>
                </w:r>
              </w:sdtContent>
            </w:sdt>
          </w:p>
        </w:tc>
      </w:tr>
      <w:tr w:rsidR="006166DB" w:rsidRPr="00F70369" w14:paraId="380D841C" w14:textId="77777777" w:rsidTr="00DF074B">
        <w:tc>
          <w:tcPr>
            <w:tcW w:w="8828" w:type="dxa"/>
          </w:tcPr>
          <w:p w14:paraId="6C9F585B" w14:textId="4453BC9A" w:rsidR="006166DB" w:rsidRPr="003257CC" w:rsidRDefault="006166DB" w:rsidP="00757E72">
            <w:pPr>
              <w:contextualSpacing/>
              <w:mirrorIndents/>
              <w:jc w:val="both"/>
              <w:rPr>
                <w:rFonts w:ascii="ITC Avant Garde Std Bk" w:hAnsi="ITC Avant Garde Std Bk"/>
                <w:sz w:val="21"/>
                <w:szCs w:val="21"/>
              </w:rPr>
            </w:pPr>
            <w:r w:rsidRPr="003257CC">
              <w:rPr>
                <w:rFonts w:ascii="ITC Avant Garde Std Bk" w:hAnsi="ITC Avant Garde Std Bk"/>
                <w:sz w:val="21"/>
                <w:szCs w:val="21"/>
              </w:rPr>
              <w:t>Regulado:</w:t>
            </w:r>
            <w:r w:rsidR="00757E72">
              <w:rPr>
                <w:rFonts w:ascii="ITC Avant Garde Std Bk" w:hAnsi="ITC Avant Garde Std Bk"/>
                <w:sz w:val="21"/>
                <w:szCs w:val="21"/>
              </w:rPr>
              <w:t xml:space="preserve"> l</w:t>
            </w:r>
            <w:r w:rsidR="00757E72" w:rsidRPr="00757E72">
              <w:rPr>
                <w:rFonts w:ascii="ITC Avant Garde Std Bk" w:hAnsi="ITC Avant Garde Std Bk"/>
                <w:sz w:val="21"/>
                <w:szCs w:val="21"/>
              </w:rPr>
              <w:t>aboratorios de prueba</w:t>
            </w:r>
            <w:r w:rsidR="00757E72">
              <w:rPr>
                <w:rFonts w:ascii="ITC Avant Garde Std Bk" w:hAnsi="ITC Avant Garde Std Bk"/>
                <w:sz w:val="21"/>
                <w:szCs w:val="21"/>
              </w:rPr>
              <w:t>,</w:t>
            </w:r>
            <w:r w:rsidR="00757E72" w:rsidRPr="00757E72">
              <w:rPr>
                <w:rFonts w:ascii="ITC Avant Garde Std Bk" w:hAnsi="ITC Avant Garde Std Bk"/>
                <w:sz w:val="21"/>
                <w:szCs w:val="21"/>
              </w:rPr>
              <w:t xml:space="preserve"> organismos de certificación</w:t>
            </w:r>
            <w:r w:rsidR="00757E72">
              <w:rPr>
                <w:rFonts w:ascii="ITC Avant Garde Std Bk" w:hAnsi="ITC Avant Garde Std Bk"/>
                <w:sz w:val="21"/>
                <w:szCs w:val="21"/>
              </w:rPr>
              <w:t xml:space="preserve"> y </w:t>
            </w:r>
            <w:r w:rsidR="00757E72" w:rsidRPr="00757E72">
              <w:rPr>
                <w:rFonts w:ascii="ITC Avant Garde Std Bk" w:hAnsi="ITC Avant Garde Std Bk"/>
                <w:sz w:val="21"/>
                <w:szCs w:val="21"/>
              </w:rPr>
              <w:t>los equipos de bloqueo de señales de telefonía celular, de radiocomunicación o de transmisión de datos e imagen en las bandas de frecuencia que se utilicen para la recepción en los equipos terminales de comunicación</w:t>
            </w:r>
            <w:r w:rsidR="00F250C1">
              <w:rPr>
                <w:rFonts w:ascii="ITC Avant Garde Std Bk" w:hAnsi="ITC Avant Garde Std Bk"/>
                <w:sz w:val="21"/>
                <w:szCs w:val="21"/>
              </w:rPr>
              <w:t>.</w:t>
            </w:r>
          </w:p>
        </w:tc>
      </w:tr>
    </w:tbl>
    <w:p w14:paraId="6F28DB01" w14:textId="5DEA0AD1" w:rsidR="001D0BED" w:rsidRPr="00F70369" w:rsidRDefault="001D0BED"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F70369"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F70369" w14:paraId="0977E504" w14:textId="77777777" w:rsidTr="00DF074B">
        <w:trPr>
          <w:trHeight w:val="65"/>
        </w:trPr>
        <w:tc>
          <w:tcPr>
            <w:tcW w:w="8828" w:type="dxa"/>
          </w:tcPr>
          <w:p w14:paraId="46FAEF12" w14:textId="72FCA15B" w:rsidR="00CF61F5" w:rsidRDefault="0091481C" w:rsidP="004D6878">
            <w:pPr>
              <w:pStyle w:val="Prrafodelista"/>
              <w:numPr>
                <w:ilvl w:val="0"/>
                <w:numId w:val="13"/>
              </w:numPr>
              <w:ind w:hanging="387"/>
              <w:mirrorIndents/>
              <w:jc w:val="both"/>
              <w:rPr>
                <w:rFonts w:ascii="ITC Avant Garde Std Bk" w:hAnsi="ITC Avant Garde Std Bk"/>
                <w:sz w:val="21"/>
                <w:szCs w:val="21"/>
              </w:rPr>
            </w:pPr>
            <w:r w:rsidRPr="0091481C">
              <w:rPr>
                <w:rFonts w:ascii="ITC Avant Garde Std Bk" w:hAnsi="ITC Avant Garde Std Bk"/>
                <w:sz w:val="21"/>
                <w:szCs w:val="21"/>
              </w:rPr>
              <w:t>Ley Federal de Protección de Datos Personales en Posesión de los Particulares</w:t>
            </w:r>
            <w:r w:rsidR="00CF61F5" w:rsidRPr="00CF61F5">
              <w:rPr>
                <w:rFonts w:ascii="ITC Avant Garde Std Bk" w:hAnsi="ITC Avant Garde Std Bk"/>
                <w:sz w:val="21"/>
                <w:szCs w:val="21"/>
              </w:rPr>
              <w:t>.</w:t>
            </w:r>
          </w:p>
          <w:p w14:paraId="2376015C" w14:textId="32EAE8D4" w:rsidR="004E6138" w:rsidRDefault="0037105F" w:rsidP="004D6878">
            <w:pPr>
              <w:pStyle w:val="Prrafodelista"/>
              <w:numPr>
                <w:ilvl w:val="0"/>
                <w:numId w:val="13"/>
              </w:numPr>
              <w:ind w:hanging="387"/>
              <w:mirrorIndents/>
              <w:jc w:val="both"/>
              <w:rPr>
                <w:rFonts w:ascii="ITC Avant Garde Std Bk" w:hAnsi="ITC Avant Garde Std Bk"/>
                <w:sz w:val="21"/>
                <w:szCs w:val="21"/>
              </w:rPr>
            </w:pPr>
            <w:r>
              <w:rPr>
                <w:rFonts w:ascii="ITC Avant Garde Std Bk" w:hAnsi="ITC Avant Garde Std Bk"/>
                <w:sz w:val="21"/>
                <w:szCs w:val="21"/>
              </w:rPr>
              <w:t>L</w:t>
            </w:r>
            <w:r w:rsidR="00DC7EEA" w:rsidRPr="00DC7EEA">
              <w:rPr>
                <w:rFonts w:ascii="ITC Avant Garde Std Bk" w:hAnsi="ITC Avant Garde Std Bk"/>
                <w:sz w:val="21"/>
                <w:szCs w:val="21"/>
              </w:rPr>
              <w:t xml:space="preserve">ineamientos de </w:t>
            </w:r>
            <w:r>
              <w:rPr>
                <w:rFonts w:ascii="ITC Avant Garde Std Bk" w:hAnsi="ITC Avant Garde Std Bk"/>
                <w:sz w:val="21"/>
                <w:szCs w:val="21"/>
              </w:rPr>
              <w:t>c</w:t>
            </w:r>
            <w:r w:rsidR="00DC7EEA" w:rsidRPr="00DC7EEA">
              <w:rPr>
                <w:rFonts w:ascii="ITC Avant Garde Std Bk" w:hAnsi="ITC Avant Garde Std Bk"/>
                <w:sz w:val="21"/>
                <w:szCs w:val="21"/>
              </w:rPr>
              <w:t>olaboración entre Autoridades Penitenciarias y los Concesionarios de Servicios de Telecomunicaciones y Bases Técnicas para la Instalación y Operación de Sistemas de Inhibición.</w:t>
            </w:r>
          </w:p>
          <w:p w14:paraId="4E16580D" w14:textId="7ADA4AD7" w:rsidR="00DC3A1A" w:rsidRPr="004D6878" w:rsidRDefault="004D6878" w:rsidP="004D6878">
            <w:pPr>
              <w:pStyle w:val="Prrafodelista"/>
              <w:numPr>
                <w:ilvl w:val="0"/>
                <w:numId w:val="13"/>
              </w:numPr>
              <w:ind w:hanging="387"/>
              <w:mirrorIndents/>
              <w:jc w:val="both"/>
              <w:rPr>
                <w:rFonts w:ascii="ITC Avant Garde Std Bk" w:hAnsi="ITC Avant Garde Std Bk"/>
                <w:sz w:val="21"/>
                <w:szCs w:val="21"/>
              </w:rPr>
            </w:pPr>
            <w:r w:rsidRPr="004D6878">
              <w:rPr>
                <w:rFonts w:ascii="ITC Avant Garde Std Bk" w:hAnsi="ITC Avant Garde Std Bk"/>
                <w:sz w:val="21"/>
                <w:szCs w:val="21"/>
              </w:rPr>
              <w:t>Acuerdo mediante el cual el Pleno del Instituto Federal de Telecomunicaciones expide los Lineamientos de Colaboración en Materia de Seguridad y Justicia y modifica el plan técnico fundamental de numeración, publicado el 21 de junio de 1996.</w:t>
            </w:r>
          </w:p>
          <w:p w14:paraId="706F601A" w14:textId="77777777" w:rsidR="00A1527C" w:rsidRDefault="004D6878" w:rsidP="00A1527C">
            <w:pPr>
              <w:pStyle w:val="Prrafodelista"/>
              <w:numPr>
                <w:ilvl w:val="0"/>
                <w:numId w:val="13"/>
              </w:numPr>
              <w:ind w:hanging="387"/>
              <w:mirrorIndents/>
              <w:jc w:val="both"/>
              <w:rPr>
                <w:rFonts w:ascii="ITC Avant Garde Std Bk" w:hAnsi="ITC Avant Garde Std Bk"/>
                <w:sz w:val="21"/>
                <w:szCs w:val="21"/>
              </w:rPr>
            </w:pPr>
            <w:r w:rsidRPr="004D6878">
              <w:rPr>
                <w:rFonts w:ascii="ITC Avant Garde Std Bk" w:hAnsi="ITC Avant Garde Std Bk"/>
                <w:sz w:val="21"/>
                <w:szCs w:val="21"/>
              </w:rPr>
              <w:t>Acuerdo mediante el cual el Pleno del Instituto Federal de Telecomunicaciones modifica los Lineamientos de Colaboración en Materia de Seguridad y Justicia.</w:t>
            </w:r>
          </w:p>
          <w:p w14:paraId="72259C0F" w14:textId="59161839" w:rsidR="00A1527C" w:rsidRDefault="00A1527C" w:rsidP="00A1527C">
            <w:pPr>
              <w:pStyle w:val="Prrafodelista"/>
              <w:numPr>
                <w:ilvl w:val="0"/>
                <w:numId w:val="13"/>
              </w:numPr>
              <w:ind w:hanging="387"/>
              <w:mirrorIndents/>
              <w:jc w:val="both"/>
              <w:rPr>
                <w:rFonts w:ascii="ITC Avant Garde Std Bk" w:hAnsi="ITC Avant Garde Std Bk"/>
                <w:sz w:val="21"/>
                <w:szCs w:val="21"/>
              </w:rPr>
            </w:pPr>
            <w:r w:rsidRPr="00A1527C">
              <w:rPr>
                <w:rFonts w:ascii="ITC Avant Garde Std Bk" w:hAnsi="ITC Avant Garde Std Bk"/>
                <w:sz w:val="21"/>
                <w:szCs w:val="21"/>
              </w:rPr>
              <w:lastRenderedPageBreak/>
              <w:t>Lineamientos para la acreditación, autorización, designación y reconocimiento de laboratorios de prueba.</w:t>
            </w:r>
          </w:p>
          <w:p w14:paraId="4DF6EADC" w14:textId="77777777" w:rsidR="00A1527C" w:rsidRDefault="00A1527C" w:rsidP="00A1527C">
            <w:pPr>
              <w:pStyle w:val="Prrafodelista"/>
              <w:numPr>
                <w:ilvl w:val="0"/>
                <w:numId w:val="13"/>
              </w:numPr>
              <w:ind w:hanging="387"/>
              <w:mirrorIndents/>
              <w:jc w:val="both"/>
              <w:rPr>
                <w:rFonts w:ascii="ITC Avant Garde Std Bk" w:hAnsi="ITC Avant Garde Std Bk"/>
                <w:sz w:val="21"/>
                <w:szCs w:val="21"/>
              </w:rPr>
            </w:pPr>
            <w:r w:rsidRPr="00A1527C">
              <w:rPr>
                <w:rFonts w:ascii="ITC Avant Garde Std Bk" w:hAnsi="ITC Avant Garde Std Bk"/>
                <w:sz w:val="21"/>
                <w:szCs w:val="21"/>
              </w:rPr>
              <w:t>Acuerdo mediante el cual el Pleno del Instituto Federal de Telecomunicaciones expide los Lineamientos para la Acreditación y Autorización de Unidades de Verificación.</w:t>
            </w:r>
          </w:p>
          <w:p w14:paraId="5D4A60FE" w14:textId="6EEE71A9" w:rsidR="004D6878" w:rsidRPr="003257CC" w:rsidRDefault="00A1527C" w:rsidP="004D6878">
            <w:pPr>
              <w:pStyle w:val="Prrafodelista"/>
              <w:numPr>
                <w:ilvl w:val="0"/>
                <w:numId w:val="13"/>
              </w:numPr>
              <w:ind w:hanging="387"/>
              <w:mirrorIndents/>
              <w:jc w:val="both"/>
              <w:rPr>
                <w:rFonts w:ascii="ITC Avant Garde Std Bk" w:hAnsi="ITC Avant Garde Std Bk"/>
                <w:sz w:val="21"/>
                <w:szCs w:val="21"/>
              </w:rPr>
            </w:pPr>
            <w:r w:rsidRPr="00A1527C">
              <w:rPr>
                <w:rFonts w:ascii="ITC Avant Garde Std Bk" w:hAnsi="ITC Avant Garde Std Bk"/>
                <w:sz w:val="21"/>
                <w:szCs w:val="21"/>
              </w:rPr>
              <w:t>Acuerdo mediante el cual el Pleno del Instituto Federal de Telecomunicaciones expide el Procedimiento de evaluación de la conformidad en materia de telecomunicaciones y radiodifusión</w:t>
            </w:r>
            <w:r w:rsidR="00584383">
              <w:rPr>
                <w:rFonts w:ascii="ITC Avant Garde Std Bk" w:hAnsi="ITC Avant Garde Std Bk"/>
                <w:sz w:val="21"/>
                <w:szCs w:val="21"/>
              </w:rPr>
              <w:t>, así como sus modificaciones</w:t>
            </w:r>
            <w:r w:rsidRPr="00A1527C">
              <w:rPr>
                <w:rFonts w:ascii="ITC Avant Garde Std Bk" w:hAnsi="ITC Avant Garde Std Bk"/>
                <w:sz w:val="21"/>
                <w:szCs w:val="21"/>
              </w:rPr>
              <w:t>.</w:t>
            </w:r>
          </w:p>
        </w:tc>
      </w:tr>
    </w:tbl>
    <w:p w14:paraId="03FABE9B" w14:textId="45F8751D" w:rsidR="00DC3A1A" w:rsidRPr="00F70369"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F70369"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12</w:t>
      </w:r>
      <w:r w:rsidR="006166DB" w:rsidRPr="00F70369">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F70369" w14:paraId="096E5FBB" w14:textId="77777777" w:rsidTr="007D2FD6">
        <w:tc>
          <w:tcPr>
            <w:tcW w:w="8828" w:type="dxa"/>
          </w:tcPr>
          <w:p w14:paraId="30549D01" w14:textId="77777777" w:rsidR="00B83FD8" w:rsidRDefault="00B83FD8" w:rsidP="003257CC">
            <w:pPr>
              <w:contextualSpacing/>
              <w:mirrorIndents/>
              <w:jc w:val="both"/>
              <w:rPr>
                <w:rFonts w:ascii="ITC Avant Garde Std Bk" w:hAnsi="ITC Avant Garde Std Bk"/>
                <w:b/>
                <w:color w:val="000000" w:themeColor="text1"/>
                <w:sz w:val="21"/>
                <w:szCs w:val="21"/>
              </w:rPr>
            </w:pPr>
          </w:p>
          <w:p w14:paraId="4608A5FA" w14:textId="71418D5E" w:rsidR="00592E03" w:rsidRPr="00B83FD8" w:rsidRDefault="00584383" w:rsidP="00B83FD8">
            <w:pPr>
              <w:pStyle w:val="Prrafodelista"/>
              <w:numPr>
                <w:ilvl w:val="0"/>
                <w:numId w:val="16"/>
              </w:numPr>
              <w:mirrorIndents/>
              <w:jc w:val="both"/>
              <w:rPr>
                <w:rFonts w:ascii="ITC Avant Garde Std Bk" w:hAnsi="ITC Avant Garde Std Bk"/>
                <w:color w:val="000000" w:themeColor="text1"/>
                <w:sz w:val="21"/>
                <w:szCs w:val="21"/>
              </w:rPr>
            </w:pPr>
            <w:hyperlink r:id="rId11" w:anchor="!/tramite/UCS-04-068-A" w:history="1">
              <w:r w:rsidR="007F1907">
                <w:rPr>
                  <w:rStyle w:val="Hipervnculo"/>
                  <w:rFonts w:ascii="ITC Avant Garde" w:hAnsi="ITC Avant Garde"/>
                  <w:b/>
                  <w:sz w:val="21"/>
                  <w:szCs w:val="21"/>
                </w:rPr>
                <w:t>UCS-04-068-A</w:t>
              </w:r>
            </w:hyperlink>
            <w:r w:rsidR="00B83FD8" w:rsidRPr="00B83FD8">
              <w:rPr>
                <w:rFonts w:ascii="ITC Avant Garde Std Bk" w:hAnsi="ITC Avant Garde Std Bk"/>
                <w:b/>
                <w:color w:val="000000" w:themeColor="text1"/>
                <w:sz w:val="21"/>
                <w:szCs w:val="21"/>
              </w:rPr>
              <w:t>:</w:t>
            </w:r>
            <w:r w:rsidR="00B83FD8" w:rsidRPr="00B83FD8">
              <w:rPr>
                <w:rFonts w:ascii="ITC Avant Garde Std Bk" w:hAnsi="ITC Avant Garde Std Bk"/>
                <w:color w:val="000000" w:themeColor="text1"/>
                <w:sz w:val="21"/>
                <w:szCs w:val="21"/>
              </w:rPr>
              <w:t xml:space="preserve"> Solicitud de autorización de un Organismo de Certificación</w:t>
            </w:r>
            <w:r w:rsidR="007F1907">
              <w:rPr>
                <w:rFonts w:ascii="ITC Avant Garde Std Bk" w:hAnsi="ITC Avant Garde Std Bk"/>
                <w:color w:val="000000" w:themeColor="text1"/>
                <w:sz w:val="21"/>
                <w:szCs w:val="21"/>
              </w:rPr>
              <w:t xml:space="preserve"> – Disposición Técnica.</w:t>
            </w:r>
          </w:p>
          <w:p w14:paraId="1E0A3A61" w14:textId="7DC5C49F" w:rsidR="00592E03" w:rsidRPr="007F1907" w:rsidRDefault="00592E03" w:rsidP="007F1907">
            <w:pPr>
              <w:mirrorIndents/>
              <w:jc w:val="both"/>
              <w:rPr>
                <w:rFonts w:ascii="ITC Avant Garde Std Bk" w:hAnsi="ITC Avant Garde Std Bk"/>
                <w:color w:val="000000" w:themeColor="text1"/>
                <w:sz w:val="21"/>
                <w:szCs w:val="21"/>
              </w:rPr>
            </w:pPr>
          </w:p>
        </w:tc>
      </w:tr>
    </w:tbl>
    <w:p w14:paraId="37E6B748" w14:textId="77777777" w:rsidR="006166DB" w:rsidRPr="00F70369"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F70369" w14:paraId="1683D7BD" w14:textId="77777777" w:rsidTr="007D2FD6">
        <w:tc>
          <w:tcPr>
            <w:tcW w:w="8828" w:type="dxa"/>
          </w:tcPr>
          <w:p w14:paraId="6A09D6D7" w14:textId="4B542A56" w:rsidR="007D2FD6" w:rsidRPr="003257CC" w:rsidRDefault="003257CC" w:rsidP="00CC76C5">
            <w:pPr>
              <w:pStyle w:val="Prrafodelista"/>
              <w:numPr>
                <w:ilvl w:val="0"/>
                <w:numId w:val="15"/>
              </w:numPr>
              <w:jc w:val="both"/>
            </w:pPr>
            <w:r w:rsidRPr="00CC76C5">
              <w:rPr>
                <w:rFonts w:ascii="ITC Avant Garde Std Bk" w:hAnsi="ITC Avant Garde Std Bk"/>
                <w:color w:val="000000" w:themeColor="text1"/>
                <w:sz w:val="21"/>
                <w:szCs w:val="21"/>
              </w:rPr>
              <w:t>Inspección, verificación y vigilancia: Ley Federal de Telecomunicaciones y Radiodifusión, artículos 291, 292, 293, 294, 295 y 296.</w:t>
            </w:r>
          </w:p>
        </w:tc>
      </w:tr>
    </w:tbl>
    <w:p w14:paraId="21B252A3" w14:textId="77777777" w:rsidR="00DC3A1A" w:rsidRPr="00F70369"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F70369">
        <w:rPr>
          <w:rFonts w:ascii="ITC Avant Garde Std Bk" w:hAnsi="ITC Avant Garde Std Bk"/>
          <w:b/>
          <w:color w:val="000000" w:themeColor="text1"/>
          <w:sz w:val="21"/>
          <w:szCs w:val="21"/>
        </w:rPr>
        <w:t>13.- Inspecciones, verificaciones o visitas domiciliarias relacionadas con la regulación y su fundamento legal:</w:t>
      </w:r>
    </w:p>
    <w:p w14:paraId="6F4BC737" w14:textId="5999110A" w:rsidR="006166DB" w:rsidRPr="00F70369" w:rsidRDefault="006166DB" w:rsidP="002434FF">
      <w:pPr>
        <w:spacing w:after="0" w:line="240" w:lineRule="auto"/>
        <w:contextualSpacing/>
        <w:mirrorIndents/>
        <w:rPr>
          <w:rFonts w:ascii="ITC Avant Garde Std Bk" w:hAnsi="ITC Avant Garde Std Bk"/>
          <w:color w:val="000000" w:themeColor="text1"/>
          <w:sz w:val="21"/>
          <w:szCs w:val="21"/>
        </w:rPr>
      </w:pPr>
    </w:p>
    <w:p w14:paraId="602F9C20" w14:textId="1D855C42"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20310148" w14:textId="130AEE91"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256EE820" w14:textId="2ACBD6FD"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690366B3" w14:textId="4287C31C"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6D54DA18" w14:textId="6B3FAB26"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0495C852" w14:textId="01329A7B"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0D5D0600" w14:textId="44BBF303"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288650DD" w14:textId="43D8F7A4"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75A121BF" w14:textId="41988E0E"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148E77B2" w14:textId="38929B84"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p w14:paraId="6B64E51A" w14:textId="18B60198" w:rsidR="004B7538" w:rsidRPr="00F70369" w:rsidRDefault="004B7538" w:rsidP="002434FF">
      <w:pPr>
        <w:spacing w:after="0" w:line="240" w:lineRule="auto"/>
        <w:contextualSpacing/>
        <w:mirrorIndents/>
        <w:rPr>
          <w:rFonts w:ascii="ITC Avant Garde Std Bk" w:hAnsi="ITC Avant Garde Std Bk"/>
          <w:color w:val="000000" w:themeColor="text1"/>
          <w:sz w:val="21"/>
          <w:szCs w:val="21"/>
        </w:rPr>
      </w:pPr>
    </w:p>
    <w:sectPr w:rsidR="004B7538" w:rsidRPr="00F70369" w:rsidSect="003F1D7B">
      <w:headerReference w:type="default" r:id="rId12"/>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F7256C" w:rsidRDefault="00F7256C" w:rsidP="006166DB">
      <w:pPr>
        <w:spacing w:after="0" w:line="240" w:lineRule="auto"/>
      </w:pPr>
      <w:r>
        <w:separator/>
      </w:r>
    </w:p>
  </w:endnote>
  <w:endnote w:type="continuationSeparator" w:id="0">
    <w:p w14:paraId="133650C2" w14:textId="77777777" w:rsidR="00F7256C" w:rsidRDefault="00F7256C"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F7256C" w:rsidRDefault="00F7256C" w:rsidP="006166DB">
      <w:pPr>
        <w:spacing w:after="0" w:line="240" w:lineRule="auto"/>
      </w:pPr>
      <w:r>
        <w:separator/>
      </w:r>
    </w:p>
  </w:footnote>
  <w:footnote w:type="continuationSeparator" w:id="0">
    <w:p w14:paraId="02A85A98" w14:textId="77777777" w:rsidR="00F7256C" w:rsidRDefault="00F7256C"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08CBD8BB" w:rsidR="00F7256C" w:rsidRDefault="00F7256C"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1765DD"/>
    <w:multiLevelType w:val="hybridMultilevel"/>
    <w:tmpl w:val="1E4A7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4A26DE"/>
    <w:multiLevelType w:val="hybridMultilevel"/>
    <w:tmpl w:val="B66006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79B6087"/>
    <w:multiLevelType w:val="hybridMultilevel"/>
    <w:tmpl w:val="55923F92"/>
    <w:lvl w:ilvl="0" w:tplc="A196866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4DC639E"/>
    <w:multiLevelType w:val="hybridMultilevel"/>
    <w:tmpl w:val="55923F9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236B49"/>
    <w:multiLevelType w:val="hybridMultilevel"/>
    <w:tmpl w:val="5914A8B8"/>
    <w:lvl w:ilvl="0" w:tplc="A196866C">
      <w:start w:val="1"/>
      <w:numFmt w:val="decimal"/>
      <w:lvlText w:val="%1."/>
      <w:lvlJc w:val="left"/>
      <w:pPr>
        <w:ind w:left="387" w:hanging="708"/>
      </w:pPr>
      <w:rPr>
        <w:rFonts w:hint="default"/>
      </w:rPr>
    </w:lvl>
    <w:lvl w:ilvl="1" w:tplc="080A0019" w:tentative="1">
      <w:start w:val="1"/>
      <w:numFmt w:val="lowerLetter"/>
      <w:lvlText w:val="%2."/>
      <w:lvlJc w:val="left"/>
      <w:pPr>
        <w:ind w:left="759" w:hanging="360"/>
      </w:pPr>
    </w:lvl>
    <w:lvl w:ilvl="2" w:tplc="080A001B" w:tentative="1">
      <w:start w:val="1"/>
      <w:numFmt w:val="lowerRoman"/>
      <w:lvlText w:val="%3."/>
      <w:lvlJc w:val="right"/>
      <w:pPr>
        <w:ind w:left="1479" w:hanging="180"/>
      </w:pPr>
    </w:lvl>
    <w:lvl w:ilvl="3" w:tplc="080A000F" w:tentative="1">
      <w:start w:val="1"/>
      <w:numFmt w:val="decimal"/>
      <w:lvlText w:val="%4."/>
      <w:lvlJc w:val="left"/>
      <w:pPr>
        <w:ind w:left="2199" w:hanging="360"/>
      </w:pPr>
    </w:lvl>
    <w:lvl w:ilvl="4" w:tplc="080A0019" w:tentative="1">
      <w:start w:val="1"/>
      <w:numFmt w:val="lowerLetter"/>
      <w:lvlText w:val="%5."/>
      <w:lvlJc w:val="left"/>
      <w:pPr>
        <w:ind w:left="2919" w:hanging="360"/>
      </w:pPr>
    </w:lvl>
    <w:lvl w:ilvl="5" w:tplc="080A001B" w:tentative="1">
      <w:start w:val="1"/>
      <w:numFmt w:val="lowerRoman"/>
      <w:lvlText w:val="%6."/>
      <w:lvlJc w:val="right"/>
      <w:pPr>
        <w:ind w:left="3639" w:hanging="180"/>
      </w:pPr>
    </w:lvl>
    <w:lvl w:ilvl="6" w:tplc="080A000F" w:tentative="1">
      <w:start w:val="1"/>
      <w:numFmt w:val="decimal"/>
      <w:lvlText w:val="%7."/>
      <w:lvlJc w:val="left"/>
      <w:pPr>
        <w:ind w:left="4359" w:hanging="360"/>
      </w:pPr>
    </w:lvl>
    <w:lvl w:ilvl="7" w:tplc="080A0019" w:tentative="1">
      <w:start w:val="1"/>
      <w:numFmt w:val="lowerLetter"/>
      <w:lvlText w:val="%8."/>
      <w:lvlJc w:val="left"/>
      <w:pPr>
        <w:ind w:left="5079" w:hanging="360"/>
      </w:pPr>
    </w:lvl>
    <w:lvl w:ilvl="8" w:tplc="080A001B" w:tentative="1">
      <w:start w:val="1"/>
      <w:numFmt w:val="lowerRoman"/>
      <w:lvlText w:val="%9."/>
      <w:lvlJc w:val="right"/>
      <w:pPr>
        <w:ind w:left="5799" w:hanging="180"/>
      </w:pPr>
    </w:lvl>
  </w:abstractNum>
  <w:abstractNum w:abstractNumId="15" w15:restartNumberingAfterBreak="0">
    <w:nsid w:val="7DD07164"/>
    <w:multiLevelType w:val="hybridMultilevel"/>
    <w:tmpl w:val="CE041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13"/>
  </w:num>
  <w:num w:numId="7">
    <w:abstractNumId w:val="11"/>
  </w:num>
  <w:num w:numId="8">
    <w:abstractNumId w:val="6"/>
  </w:num>
  <w:num w:numId="9">
    <w:abstractNumId w:val="7"/>
  </w:num>
  <w:num w:numId="10">
    <w:abstractNumId w:val="10"/>
  </w:num>
  <w:num w:numId="11">
    <w:abstractNumId w:val="15"/>
  </w:num>
  <w:num w:numId="12">
    <w:abstractNumId w:val="9"/>
  </w:num>
  <w:num w:numId="13">
    <w:abstractNumId w:val="14"/>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65675"/>
    <w:rsid w:val="00085CAE"/>
    <w:rsid w:val="000911B6"/>
    <w:rsid w:val="000B3205"/>
    <w:rsid w:val="001545EA"/>
    <w:rsid w:val="00160C02"/>
    <w:rsid w:val="001A0D96"/>
    <w:rsid w:val="001C36BF"/>
    <w:rsid w:val="001D0BED"/>
    <w:rsid w:val="001F3494"/>
    <w:rsid w:val="00207BA8"/>
    <w:rsid w:val="00223B0B"/>
    <w:rsid w:val="002434FF"/>
    <w:rsid w:val="00250D5A"/>
    <w:rsid w:val="002B0B24"/>
    <w:rsid w:val="002E37B6"/>
    <w:rsid w:val="003257CC"/>
    <w:rsid w:val="00332FE9"/>
    <w:rsid w:val="00366E21"/>
    <w:rsid w:val="0037105F"/>
    <w:rsid w:val="00384692"/>
    <w:rsid w:val="003A162A"/>
    <w:rsid w:val="003B1191"/>
    <w:rsid w:val="003F1D7B"/>
    <w:rsid w:val="00446F0C"/>
    <w:rsid w:val="004B7538"/>
    <w:rsid w:val="004C31A6"/>
    <w:rsid w:val="004C75E5"/>
    <w:rsid w:val="004D6878"/>
    <w:rsid w:val="004D6D14"/>
    <w:rsid w:val="004E552A"/>
    <w:rsid w:val="004E6138"/>
    <w:rsid w:val="005034EB"/>
    <w:rsid w:val="0050629B"/>
    <w:rsid w:val="00584383"/>
    <w:rsid w:val="00585BD4"/>
    <w:rsid w:val="00592E03"/>
    <w:rsid w:val="005E34D0"/>
    <w:rsid w:val="005F0181"/>
    <w:rsid w:val="0061003C"/>
    <w:rsid w:val="006166DB"/>
    <w:rsid w:val="006441CF"/>
    <w:rsid w:val="0065492B"/>
    <w:rsid w:val="006911B3"/>
    <w:rsid w:val="006A592E"/>
    <w:rsid w:val="006F7E1D"/>
    <w:rsid w:val="00703626"/>
    <w:rsid w:val="00705B51"/>
    <w:rsid w:val="00720D02"/>
    <w:rsid w:val="007466F1"/>
    <w:rsid w:val="00757E72"/>
    <w:rsid w:val="0078318D"/>
    <w:rsid w:val="007A4199"/>
    <w:rsid w:val="007D2FD6"/>
    <w:rsid w:val="007F1907"/>
    <w:rsid w:val="007F5106"/>
    <w:rsid w:val="008017FB"/>
    <w:rsid w:val="00802508"/>
    <w:rsid w:val="00815D92"/>
    <w:rsid w:val="0089205E"/>
    <w:rsid w:val="008C783B"/>
    <w:rsid w:val="0091481C"/>
    <w:rsid w:val="0092333A"/>
    <w:rsid w:val="009701A3"/>
    <w:rsid w:val="00977ED5"/>
    <w:rsid w:val="009918CF"/>
    <w:rsid w:val="009A6722"/>
    <w:rsid w:val="009D567D"/>
    <w:rsid w:val="00A1527C"/>
    <w:rsid w:val="00A70F6B"/>
    <w:rsid w:val="00A93C7F"/>
    <w:rsid w:val="00AC079F"/>
    <w:rsid w:val="00AD4846"/>
    <w:rsid w:val="00AF110C"/>
    <w:rsid w:val="00AF39ED"/>
    <w:rsid w:val="00AF71CC"/>
    <w:rsid w:val="00B018E8"/>
    <w:rsid w:val="00B30E6B"/>
    <w:rsid w:val="00B82920"/>
    <w:rsid w:val="00B83FD8"/>
    <w:rsid w:val="00B8531B"/>
    <w:rsid w:val="00BA2B8C"/>
    <w:rsid w:val="00BE45D0"/>
    <w:rsid w:val="00C76443"/>
    <w:rsid w:val="00C8049B"/>
    <w:rsid w:val="00CC76C5"/>
    <w:rsid w:val="00CF5F25"/>
    <w:rsid w:val="00CF61F5"/>
    <w:rsid w:val="00D14569"/>
    <w:rsid w:val="00D258BF"/>
    <w:rsid w:val="00D93EA9"/>
    <w:rsid w:val="00DC3A1A"/>
    <w:rsid w:val="00DC7EEA"/>
    <w:rsid w:val="00DF074B"/>
    <w:rsid w:val="00DF1654"/>
    <w:rsid w:val="00E41651"/>
    <w:rsid w:val="00E70994"/>
    <w:rsid w:val="00EF614E"/>
    <w:rsid w:val="00F014C6"/>
    <w:rsid w:val="00F250C1"/>
    <w:rsid w:val="00F30AF6"/>
    <w:rsid w:val="00F42CB3"/>
    <w:rsid w:val="00F52381"/>
    <w:rsid w:val="00F54CB3"/>
    <w:rsid w:val="00F62AAD"/>
    <w:rsid w:val="00F70369"/>
    <w:rsid w:val="00F71208"/>
    <w:rsid w:val="00F7256C"/>
    <w:rsid w:val="00F72797"/>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styleId="Revisin">
    <w:name w:val="Revision"/>
    <w:hidden/>
    <w:uiPriority w:val="99"/>
    <w:semiHidden/>
    <w:rsid w:val="00F72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2939655132D5441E899589E606E8FFFB"/>
        <w:category>
          <w:name w:val="General"/>
          <w:gallery w:val="placeholder"/>
        </w:category>
        <w:types>
          <w:type w:val="bbPlcHdr"/>
        </w:types>
        <w:behaviors>
          <w:behavior w:val="content"/>
        </w:behaviors>
        <w:guid w:val="{010F776D-FDC3-4DB6-82C4-6E27CB566012}"/>
      </w:docPartPr>
      <w:docPartBody>
        <w:p w:rsidR="0000486F" w:rsidRDefault="001C0A2A" w:rsidP="001C0A2A">
          <w:pPr>
            <w:pStyle w:val="2939655132D5441E899589E606E8FFFB"/>
          </w:pPr>
          <w:r w:rsidRPr="00BB6A43">
            <w:rPr>
              <w:rStyle w:val="Textodelmarcadordeposicin"/>
            </w:rPr>
            <w:t>Elija un elemento.</w:t>
          </w:r>
        </w:p>
      </w:docPartBody>
    </w:docPart>
    <w:docPart>
      <w:docPartPr>
        <w:name w:val="54C329517C7A48E28E87D0A00FE4DB83"/>
        <w:category>
          <w:name w:val="General"/>
          <w:gallery w:val="placeholder"/>
        </w:category>
        <w:types>
          <w:type w:val="bbPlcHdr"/>
        </w:types>
        <w:behaviors>
          <w:behavior w:val="content"/>
        </w:behaviors>
        <w:guid w:val="{341714DB-39CC-4949-8618-025805E17363}"/>
      </w:docPartPr>
      <w:docPartBody>
        <w:p w:rsidR="0000486F" w:rsidRDefault="001C0A2A" w:rsidP="001C0A2A">
          <w:pPr>
            <w:pStyle w:val="54C329517C7A48E28E87D0A00FE4DB83"/>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0486F"/>
    <w:rsid w:val="00017150"/>
    <w:rsid w:val="000A040B"/>
    <w:rsid w:val="001842EB"/>
    <w:rsid w:val="001B5A4B"/>
    <w:rsid w:val="001C0A2A"/>
    <w:rsid w:val="00247CE4"/>
    <w:rsid w:val="002607A3"/>
    <w:rsid w:val="0026494F"/>
    <w:rsid w:val="002852A0"/>
    <w:rsid w:val="002B7F38"/>
    <w:rsid w:val="002F0812"/>
    <w:rsid w:val="00303EA8"/>
    <w:rsid w:val="004E3322"/>
    <w:rsid w:val="005C3983"/>
    <w:rsid w:val="005D084C"/>
    <w:rsid w:val="00687FEB"/>
    <w:rsid w:val="006D779E"/>
    <w:rsid w:val="006F515A"/>
    <w:rsid w:val="007313BB"/>
    <w:rsid w:val="007866FE"/>
    <w:rsid w:val="008E6773"/>
    <w:rsid w:val="009149B3"/>
    <w:rsid w:val="00977C64"/>
    <w:rsid w:val="009B3BF9"/>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0A2A"/>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2939655132D5441E899589E606E8FFFB">
    <w:name w:val="2939655132D5441E899589E606E8FFFB"/>
    <w:rsid w:val="001C0A2A"/>
  </w:style>
  <w:style w:type="paragraph" w:customStyle="1" w:styleId="54C329517C7A48E28E87D0A00FE4DB83">
    <w:name w:val="54C329517C7A48E28E87D0A00FE4DB83"/>
    <w:rsid w:val="001C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9" ma:contentTypeDescription="Crear nuevo documento." ma:contentTypeScope="" ma:versionID="b95d42c50c11acde3df874087d53a0a7">
  <xsd:schema xmlns:xsd="http://www.w3.org/2001/XMLSchema" xmlns:xs="http://www.w3.org/2001/XMLSchema" xmlns:p="http://schemas.microsoft.com/office/2006/metadata/properties" xmlns:ns3="4be6e129-17bc-4f05-9def-a51dc5f03fa3" targetNamespace="http://schemas.microsoft.com/office/2006/metadata/properties" ma:root="true" ma:fieldsID="2ef3450fd825fe383a669c0055fc1490" ns3:_="">
    <xsd:import namespace="4be6e129-17bc-4f05-9def-a51dc5f03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1A4E056B-280B-49A1-A946-08CEB42D8AA3}">
  <ds:schemaRefs>
    <ds:schemaRef ds:uri="http://schemas.openxmlformats.org/package/2006/metadata/core-properties"/>
    <ds:schemaRef ds:uri="http://schemas.microsoft.com/office/infopath/2007/PartnerControls"/>
    <ds:schemaRef ds:uri="http://purl.org/dc/dcmitype/"/>
    <ds:schemaRef ds:uri="4be6e129-17bc-4f05-9def-a51dc5f03fa3"/>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11C33622-D853-457B-902A-8D891E4A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4A786-03DC-4D8B-95BC-E5B877F4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4454</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cp:lastPrinted>2021-11-29T04:42:00Z</cp:lastPrinted>
  <dcterms:created xsi:type="dcterms:W3CDTF">2023-02-02T20:56:00Z</dcterms:created>
  <dcterms:modified xsi:type="dcterms:W3CDTF">2023-02-02T20:56:00Z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