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1D" w:rsidRPr="007B356E" w:rsidRDefault="000E651D" w:rsidP="007B356E">
      <w:pPr>
        <w:pStyle w:val="estilo30"/>
        <w:spacing w:before="0" w:beforeAutospacing="0" w:after="0" w:afterAutospacing="0"/>
        <w:jc w:val="right"/>
        <w:rPr>
          <w:rFonts w:ascii="ITC Avant Garde" w:hAnsi="ITC Avant Garde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/>
          <w:b/>
          <w:bCs/>
          <w:color w:val="000000"/>
          <w:sz w:val="18"/>
          <w:szCs w:val="18"/>
        </w:rPr>
        <w:t>INSTITUTO FEDERAL DE TELECOMUNICACIONES</w:t>
      </w:r>
    </w:p>
    <w:p w:rsidR="000E651D" w:rsidRPr="007B356E" w:rsidRDefault="000E651D" w:rsidP="007B356E">
      <w:pPr>
        <w:pStyle w:val="estilo30"/>
        <w:spacing w:before="0" w:beforeAutospacing="0" w:after="0" w:afterAutospacing="0"/>
        <w:jc w:val="right"/>
        <w:rPr>
          <w:rFonts w:ascii="ITC Avant Garde" w:hAnsi="ITC Avant Garde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/>
          <w:b/>
          <w:bCs/>
          <w:color w:val="000000"/>
          <w:sz w:val="18"/>
          <w:szCs w:val="18"/>
        </w:rPr>
        <w:t>COORDINACIÓN GENERAL DE MEJORA REGULATORIA</w:t>
      </w:r>
    </w:p>
    <w:p w:rsidR="000E651D" w:rsidRPr="007B356E" w:rsidRDefault="000E651D" w:rsidP="007B356E">
      <w:pPr>
        <w:pStyle w:val="estilo30"/>
        <w:spacing w:before="0" w:beforeAutospacing="0" w:after="0" w:afterAutospacing="0"/>
        <w:jc w:val="right"/>
        <w:rPr>
          <w:rFonts w:ascii="ITC Avant Garde" w:hAnsi="ITC Avant Garde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/>
          <w:b/>
          <w:bCs/>
          <w:color w:val="000000"/>
          <w:sz w:val="18"/>
          <w:szCs w:val="18"/>
        </w:rPr>
        <w:t>IFT/211/CGMR/</w:t>
      </w:r>
      <w:r w:rsidR="0015580A" w:rsidRPr="007B356E">
        <w:rPr>
          <w:rFonts w:ascii="ITC Avant Garde" w:hAnsi="ITC Avant Garde"/>
          <w:b/>
          <w:bCs/>
          <w:color w:val="000000"/>
          <w:sz w:val="18"/>
          <w:szCs w:val="18"/>
        </w:rPr>
        <w:t>009</w:t>
      </w:r>
      <w:r w:rsidRPr="007B356E">
        <w:rPr>
          <w:rFonts w:ascii="ITC Avant Garde" w:hAnsi="ITC Avant Garde"/>
          <w:b/>
          <w:bCs/>
          <w:color w:val="000000"/>
          <w:sz w:val="18"/>
          <w:szCs w:val="18"/>
        </w:rPr>
        <w:t>/202</w:t>
      </w:r>
      <w:r w:rsidR="0015580A" w:rsidRPr="007B356E">
        <w:rPr>
          <w:rFonts w:ascii="ITC Avant Garde" w:hAnsi="ITC Avant Garde"/>
          <w:b/>
          <w:bCs/>
          <w:color w:val="000000"/>
          <w:sz w:val="18"/>
          <w:szCs w:val="18"/>
        </w:rPr>
        <w:t>1</w:t>
      </w:r>
    </w:p>
    <w:p w:rsidR="000E651D" w:rsidRPr="007B356E" w:rsidRDefault="000E651D" w:rsidP="007B356E">
      <w:pPr>
        <w:pStyle w:val="estilo30"/>
        <w:spacing w:before="0" w:beforeAutospacing="0" w:after="0" w:afterAutospacing="0"/>
        <w:jc w:val="right"/>
        <w:rPr>
          <w:rFonts w:ascii="ITC Avant Garde" w:hAnsi="ITC Avant Garde"/>
          <w:bCs/>
          <w:color w:val="000000"/>
          <w:sz w:val="18"/>
          <w:szCs w:val="18"/>
        </w:rPr>
      </w:pPr>
    </w:p>
    <w:p w:rsidR="000E651D" w:rsidRPr="007B356E" w:rsidRDefault="000E651D" w:rsidP="007B356E">
      <w:pPr>
        <w:pStyle w:val="estilo30"/>
        <w:spacing w:before="0" w:beforeAutospacing="0" w:after="0" w:afterAutospacing="0"/>
        <w:jc w:val="right"/>
        <w:rPr>
          <w:rFonts w:ascii="ITC Avant Garde" w:hAnsi="ITC Avant Garde"/>
          <w:bCs/>
          <w:color w:val="000000"/>
          <w:sz w:val="18"/>
          <w:szCs w:val="18"/>
        </w:rPr>
      </w:pPr>
      <w:r w:rsidRPr="007B356E">
        <w:rPr>
          <w:rFonts w:ascii="ITC Avant Garde" w:hAnsi="ITC Avant Garde"/>
          <w:bCs/>
          <w:color w:val="000000"/>
          <w:sz w:val="18"/>
          <w:szCs w:val="18"/>
        </w:rPr>
        <w:t xml:space="preserve">Ciudad de México, a </w:t>
      </w:r>
      <w:r w:rsidR="0015580A" w:rsidRPr="007B356E">
        <w:rPr>
          <w:rFonts w:ascii="ITC Avant Garde" w:hAnsi="ITC Avant Garde"/>
          <w:bCs/>
          <w:color w:val="000000"/>
          <w:sz w:val="18"/>
          <w:szCs w:val="18"/>
        </w:rPr>
        <w:t>18</w:t>
      </w:r>
      <w:r w:rsidRPr="007B356E">
        <w:rPr>
          <w:rFonts w:ascii="ITC Avant Garde" w:hAnsi="ITC Avant Garde"/>
          <w:bCs/>
          <w:color w:val="000000"/>
          <w:sz w:val="18"/>
          <w:szCs w:val="18"/>
        </w:rPr>
        <w:t xml:space="preserve"> de </w:t>
      </w:r>
      <w:r w:rsidR="00A27BD7" w:rsidRPr="007B356E">
        <w:rPr>
          <w:rFonts w:ascii="ITC Avant Garde" w:hAnsi="ITC Avant Garde"/>
          <w:bCs/>
          <w:color w:val="000000"/>
          <w:sz w:val="18"/>
          <w:szCs w:val="18"/>
        </w:rPr>
        <w:t>enero de 2021</w:t>
      </w: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 w:cstheme="minorHAnsi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 w:cstheme="minorHAnsi"/>
          <w:b/>
          <w:bCs/>
          <w:color w:val="000000"/>
          <w:sz w:val="18"/>
          <w:szCs w:val="18"/>
        </w:rPr>
        <w:t>SONIA ALEJANDRA CELADA RAMÍREZ</w:t>
      </w: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 w:cstheme="minorHAnsi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 w:cstheme="minorHAnsi"/>
          <w:b/>
          <w:bCs/>
          <w:color w:val="000000"/>
          <w:sz w:val="18"/>
          <w:szCs w:val="18"/>
        </w:rPr>
        <w:t>DIRECTORA GENERAL DE CONSULTA JURÍDICA</w:t>
      </w: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 w:cstheme="minorHAnsi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 w:cstheme="minorHAnsi"/>
          <w:b/>
          <w:bCs/>
          <w:color w:val="000000"/>
          <w:sz w:val="18"/>
          <w:szCs w:val="18"/>
        </w:rPr>
        <w:t>INSTITUTO FEDERAL DE TELECOMUNICACIONES</w:t>
      </w: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 w:cstheme="minorHAnsi"/>
          <w:b/>
          <w:bCs/>
          <w:color w:val="000000"/>
          <w:sz w:val="18"/>
          <w:szCs w:val="18"/>
        </w:rPr>
      </w:pPr>
      <w:r w:rsidRPr="007B356E">
        <w:rPr>
          <w:rFonts w:ascii="ITC Avant Garde" w:hAnsi="ITC Avant Garde" w:cstheme="minorHAnsi"/>
          <w:b/>
          <w:bCs/>
          <w:color w:val="000000"/>
          <w:sz w:val="18"/>
          <w:szCs w:val="18"/>
        </w:rPr>
        <w:t>P R E S E N T E</w:t>
      </w:r>
    </w:p>
    <w:p w:rsidR="000E651D" w:rsidRPr="007B356E" w:rsidRDefault="000E651D" w:rsidP="007B356E">
      <w:pPr>
        <w:pStyle w:val="estilo30"/>
        <w:spacing w:before="0" w:beforeAutospacing="0" w:after="0" w:afterAutospacing="0"/>
        <w:rPr>
          <w:rFonts w:ascii="ITC Avant Garde" w:hAnsi="ITC Avant Garde"/>
          <w:b/>
          <w:bCs/>
          <w:color w:val="000000"/>
          <w:sz w:val="18"/>
          <w:szCs w:val="18"/>
        </w:rPr>
      </w:pP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Me refiero al oficio número </w:t>
      </w:r>
      <w:r w:rsidR="001442DD" w:rsidRPr="007B356E">
        <w:rPr>
          <w:rFonts w:ascii="ITC Avant Garde" w:eastAsia="Calibri" w:hAnsi="ITC Avant Garde" w:cs="Times New Roman"/>
          <w:bCs/>
          <w:sz w:val="18"/>
          <w:szCs w:val="18"/>
          <w:lang w:val="es-ES"/>
        </w:rPr>
        <w:t>IFT/227/UAJ/DG-CJ/001/2021</w:t>
      </w:r>
      <w:r w:rsidRPr="007B356E">
        <w:rPr>
          <w:rFonts w:ascii="ITC Avant Garde" w:eastAsia="Calibri" w:hAnsi="ITC Avant Garde" w:cs="Times New Roman"/>
          <w:bCs/>
          <w:sz w:val="18"/>
          <w:szCs w:val="18"/>
          <w:lang w:val="es-ES"/>
        </w:rPr>
        <w:t xml:space="preserve">, de fecha </w:t>
      </w:r>
      <w:r w:rsidR="001442DD" w:rsidRPr="007B356E">
        <w:rPr>
          <w:rFonts w:ascii="ITC Avant Garde" w:eastAsia="Calibri" w:hAnsi="ITC Avant Garde" w:cs="Times New Roman"/>
          <w:bCs/>
          <w:sz w:val="18"/>
          <w:szCs w:val="18"/>
          <w:lang w:val="es-ES"/>
        </w:rPr>
        <w:t>13</w:t>
      </w:r>
      <w:r w:rsidRPr="007B356E">
        <w:rPr>
          <w:rFonts w:ascii="ITC Avant Garde" w:eastAsia="Calibri" w:hAnsi="ITC Avant Garde" w:cs="Times New Roman"/>
          <w:bCs/>
          <w:sz w:val="18"/>
          <w:szCs w:val="18"/>
          <w:lang w:val="es-ES"/>
        </w:rPr>
        <w:t xml:space="preserve"> de </w:t>
      </w:r>
      <w:r w:rsidR="001442DD" w:rsidRPr="007B356E">
        <w:rPr>
          <w:rFonts w:ascii="ITC Avant Garde" w:eastAsia="Calibri" w:hAnsi="ITC Avant Garde" w:cs="Times New Roman"/>
          <w:bCs/>
          <w:sz w:val="18"/>
          <w:szCs w:val="18"/>
          <w:lang w:val="es-ES"/>
        </w:rPr>
        <w:t>enero de 2021</w:t>
      </w:r>
      <w:r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, </w:t>
      </w:r>
      <w:r w:rsidR="00824320">
        <w:rPr>
          <w:rFonts w:ascii="ITC Avant Garde" w:eastAsia="Calibri" w:hAnsi="ITC Avant Garde" w:cs="Times New Roman"/>
          <w:bCs/>
          <w:sz w:val="18"/>
          <w:szCs w:val="18"/>
        </w:rPr>
        <w:t xml:space="preserve">el cual fue </w:t>
      </w:r>
      <w:r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recibido </w:t>
      </w:r>
      <w:r w:rsidR="00824320">
        <w:rPr>
          <w:rFonts w:ascii="ITC Avant Garde" w:eastAsia="Calibri" w:hAnsi="ITC Avant Garde" w:cs="Times New Roman"/>
          <w:bCs/>
          <w:sz w:val="18"/>
          <w:szCs w:val="18"/>
        </w:rPr>
        <w:t>por</w:t>
      </w:r>
      <w:r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 la Coordinación General de Mejora Regulatoria (en lo sucesivo, la “CGMR”) ese mismo día, vía correo electrónico, mediante el cual la Unidad de Asuntos Jurídicos (en lo sucesivo, la “UAJ”) remite a esta unidad administrativa el </w:t>
      </w:r>
      <w:r w:rsidRPr="007B356E">
        <w:rPr>
          <w:rFonts w:ascii="ITC Avant Garde" w:eastAsia="Calibri" w:hAnsi="ITC Avant Garde" w:cs="Times New Roman"/>
          <w:b/>
          <w:bCs/>
          <w:sz w:val="18"/>
          <w:szCs w:val="18"/>
        </w:rPr>
        <w:t>“</w:t>
      </w:r>
      <w:r w:rsidR="001442DD" w:rsidRPr="007B356E">
        <w:rPr>
          <w:rFonts w:ascii="ITC Avant Garde" w:hAnsi="ITC Avant Garde"/>
          <w:b/>
          <w:sz w:val="18"/>
          <w:szCs w:val="18"/>
        </w:rPr>
        <w:t>Acuerdo modificatorio al Acuerdo</w:t>
      </w:r>
      <w:r w:rsidR="001442DD" w:rsidRPr="007B356E">
        <w:rPr>
          <w:rFonts w:ascii="ITC Avant Garde" w:hAnsi="ITC Avant Garde"/>
          <w:b/>
          <w:bCs/>
          <w:sz w:val="18"/>
          <w:szCs w:val="18"/>
        </w:rPr>
        <w:t xml:space="preserve"> mediante el cual el Pleno del Instituto Federal de Telecomunicaciones, por causa de fuerza mayor, determina los casos en que se suspenden los plazos y términos de ley, con fundamento en lo dispuesto en los artículos 28, párrafos segundo y tercero de la Ley Federal de Procedimiento Administrativo; 115, segundo párrafo y 121 de la Ley Federal de Competencia Económica, con motivo de las medidas de contingencia por la pandemia de coronavirus COVID-19, así como sus excepciones, a fin de preservar las funciones esenciales a cargo del propio Instituto y garantizar la continuidad y calidad en la prestación de los servicios de telecomunicaciones y radiodifusión</w:t>
      </w:r>
      <w:r w:rsidRPr="007B356E">
        <w:rPr>
          <w:rFonts w:ascii="ITC Avant Garde" w:eastAsia="Calibri" w:hAnsi="ITC Avant Garde" w:cs="Times New Roman"/>
          <w:bCs/>
          <w:sz w:val="18"/>
          <w:szCs w:val="18"/>
        </w:rPr>
        <w:t>”</w:t>
      </w:r>
      <w:r w:rsidR="00824320">
        <w:rPr>
          <w:rFonts w:ascii="ITC Avant Garde" w:hAnsi="ITC Avant Garde"/>
          <w:bCs/>
          <w:sz w:val="18"/>
          <w:szCs w:val="18"/>
        </w:rPr>
        <w:t xml:space="preserve"> </w:t>
      </w:r>
      <w:r w:rsidRPr="007B356E">
        <w:rPr>
          <w:rFonts w:ascii="ITC Avant Garde" w:hAnsi="ITC Avant Garde"/>
          <w:bCs/>
          <w:sz w:val="18"/>
          <w:szCs w:val="18"/>
        </w:rPr>
        <w:t>(en lo sucesivo, el “Acuerdo”)</w:t>
      </w:r>
      <w:r w:rsidRPr="007B356E">
        <w:rPr>
          <w:rFonts w:ascii="ITC Avant Garde" w:eastAsia="Calibri" w:hAnsi="ITC Avant Garde" w:cs="Times New Roman"/>
          <w:bCs/>
          <w:sz w:val="18"/>
          <w:szCs w:val="18"/>
        </w:rPr>
        <w:t>, publicado en el Diari</w:t>
      </w:r>
      <w:r w:rsidR="001442DD" w:rsidRPr="007B356E">
        <w:rPr>
          <w:rFonts w:ascii="ITC Avant Garde" w:eastAsia="Calibri" w:hAnsi="ITC Avant Garde" w:cs="Times New Roman"/>
          <w:bCs/>
          <w:sz w:val="18"/>
          <w:szCs w:val="18"/>
        </w:rPr>
        <w:t>o Oficial de la Federación</w:t>
      </w:r>
      <w:r w:rsidR="006F490D"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 (en lo sucesivo</w:t>
      </w:r>
      <w:r w:rsidR="00824320">
        <w:rPr>
          <w:rFonts w:ascii="ITC Avant Garde" w:eastAsia="Calibri" w:hAnsi="ITC Avant Garde" w:cs="Times New Roman"/>
          <w:bCs/>
          <w:sz w:val="18"/>
          <w:szCs w:val="18"/>
        </w:rPr>
        <w:t>,</w:t>
      </w:r>
      <w:r w:rsidR="006F490D"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 el “DOF”) </w:t>
      </w:r>
      <w:r w:rsidR="001442DD" w:rsidRPr="007B356E">
        <w:rPr>
          <w:rFonts w:ascii="ITC Avant Garde" w:eastAsia="Calibri" w:hAnsi="ITC Avant Garde" w:cs="Times New Roman"/>
          <w:bCs/>
          <w:sz w:val="18"/>
          <w:szCs w:val="18"/>
        </w:rPr>
        <w:t>el 28</w:t>
      </w:r>
      <w:r w:rsidRPr="007B356E">
        <w:rPr>
          <w:rFonts w:ascii="ITC Avant Garde" w:eastAsia="Calibri" w:hAnsi="ITC Avant Garde" w:cs="Times New Roman"/>
          <w:bCs/>
          <w:sz w:val="18"/>
          <w:szCs w:val="18"/>
        </w:rPr>
        <w:t xml:space="preserve"> de </w:t>
      </w:r>
      <w:r w:rsidR="001442DD" w:rsidRPr="007B356E">
        <w:rPr>
          <w:rFonts w:ascii="ITC Avant Garde" w:eastAsia="Calibri" w:hAnsi="ITC Avant Garde" w:cs="Times New Roman"/>
          <w:bCs/>
          <w:sz w:val="18"/>
          <w:szCs w:val="18"/>
        </w:rPr>
        <w:t>diciembre de 2020</w:t>
      </w:r>
      <w:r w:rsidRPr="007B356E">
        <w:rPr>
          <w:rFonts w:ascii="ITC Avant Garde" w:hAnsi="ITC Avant Garde"/>
          <w:bCs/>
          <w:sz w:val="18"/>
          <w:szCs w:val="18"/>
        </w:rPr>
        <w:t>, acompañado de su respectivo Análisis de Nulo Impacto Regulatorio (en lo sucesivo, el “ANIR”), a efecto de dar cumplimiento al proceso de mejora regulatoria previs</w:t>
      </w:r>
      <w:r w:rsidR="00824320">
        <w:rPr>
          <w:rFonts w:ascii="ITC Avant Garde" w:hAnsi="ITC Avant Garde"/>
          <w:bCs/>
          <w:sz w:val="18"/>
          <w:szCs w:val="18"/>
        </w:rPr>
        <w:t>to en el marco jurídico vigente</w:t>
      </w:r>
      <w:r w:rsidRPr="007B356E">
        <w:rPr>
          <w:rFonts w:ascii="ITC Avant Garde" w:hAnsi="ITC Avant Garde"/>
          <w:bCs/>
          <w:sz w:val="18"/>
          <w:szCs w:val="18"/>
        </w:rPr>
        <w:t xml:space="preserve"> para la emisión de reglas, lineamientos o disposiciones administrativas de carácter general.</w:t>
      </w: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/>
          <w:bCs/>
          <w:sz w:val="18"/>
          <w:szCs w:val="18"/>
        </w:rPr>
      </w:pPr>
    </w:p>
    <w:p w:rsidR="000E651D" w:rsidRPr="007B356E" w:rsidRDefault="000E651D" w:rsidP="007B356E">
      <w:pPr>
        <w:spacing w:after="0" w:line="240" w:lineRule="auto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 xml:space="preserve">A este respecto, con fundamento en lo señalado por los artículos 15, fracción XLI, y 51 de la </w:t>
      </w:r>
      <w:r w:rsidRPr="007B356E">
        <w:rPr>
          <w:rFonts w:ascii="ITC Avant Garde" w:hAnsi="ITC Avant Garde"/>
          <w:bCs/>
          <w:i/>
          <w:sz w:val="18"/>
          <w:szCs w:val="18"/>
        </w:rPr>
        <w:t>Ley Federal de Telecomunicaciones y Radiodifusión</w:t>
      </w:r>
      <w:r w:rsidRPr="007B356E">
        <w:rPr>
          <w:rFonts w:ascii="ITC Avant Garde" w:hAnsi="ITC Avant Garde"/>
          <w:bCs/>
          <w:sz w:val="18"/>
          <w:szCs w:val="18"/>
        </w:rPr>
        <w:t xml:space="preserve">; Lineamientos Primero, Segundo, fracciones II, XII y XIII, Décimo Cuarto, fracción II, Décimo Sexto y Vigésimo Primero a Vigésimo Cuarto de los </w:t>
      </w:r>
      <w:r w:rsidRPr="007B356E">
        <w:rPr>
          <w:rFonts w:ascii="ITC Avant Garde" w:hAnsi="ITC Avant Garde"/>
          <w:bCs/>
          <w:i/>
          <w:sz w:val="18"/>
          <w:szCs w:val="18"/>
        </w:rPr>
        <w:t>Lineamientos de Consulta Pública y</w:t>
      </w:r>
      <w:r w:rsidRPr="007B356E">
        <w:rPr>
          <w:rFonts w:ascii="ITC Avant Garde" w:hAnsi="ITC Avant Garde"/>
          <w:bCs/>
          <w:i/>
          <w:sz w:val="18"/>
          <w:szCs w:val="18"/>
          <w:lang w:val="es-NI"/>
        </w:rPr>
        <w:t xml:space="preserve"> Análisis</w:t>
      </w:r>
      <w:r w:rsidRPr="007B356E">
        <w:rPr>
          <w:rFonts w:ascii="ITC Avant Garde" w:hAnsi="ITC Avant Garde"/>
          <w:bCs/>
          <w:i/>
          <w:sz w:val="18"/>
          <w:szCs w:val="18"/>
        </w:rPr>
        <w:t xml:space="preserve"> de Impacto Regulatorio del Instituto Federal de Telecomunicaciones</w:t>
      </w:r>
      <w:r w:rsidRPr="007B356E">
        <w:rPr>
          <w:rStyle w:val="Refdenotaalpie"/>
          <w:rFonts w:ascii="ITC Avant Garde" w:hAnsi="ITC Avant Garde"/>
          <w:bCs/>
          <w:sz w:val="18"/>
          <w:szCs w:val="18"/>
        </w:rPr>
        <w:footnoteReference w:id="1"/>
      </w:r>
      <w:r w:rsidRPr="007B356E">
        <w:rPr>
          <w:rFonts w:ascii="ITC Avant Garde" w:hAnsi="ITC Avant Garde"/>
          <w:bCs/>
          <w:sz w:val="18"/>
          <w:szCs w:val="18"/>
        </w:rPr>
        <w:t xml:space="preserve">, así como 4, fracción VIII, inciso iv), y 75, fracción II, del </w:t>
      </w:r>
      <w:r w:rsidRPr="007B356E">
        <w:rPr>
          <w:rFonts w:ascii="ITC Avant Garde" w:hAnsi="ITC Avant Garde"/>
          <w:bCs/>
          <w:i/>
          <w:sz w:val="18"/>
          <w:szCs w:val="18"/>
        </w:rPr>
        <w:t>Estatuto Orgánico del Instituto Federal de Telecomunicaciones</w:t>
      </w:r>
      <w:r w:rsidRPr="007B356E">
        <w:rPr>
          <w:rFonts w:ascii="ITC Avant Garde" w:hAnsi="ITC Avant Garde"/>
          <w:bCs/>
          <w:sz w:val="18"/>
          <w:szCs w:val="18"/>
        </w:rPr>
        <w:t xml:space="preserve">, </w:t>
      </w:r>
      <w:r w:rsidRPr="007B356E">
        <w:rPr>
          <w:rFonts w:ascii="ITC Avant Garde" w:eastAsia="Times New Roman" w:hAnsi="ITC Avant Garde" w:cs="Times New Roman"/>
          <w:bCs/>
          <w:sz w:val="18"/>
          <w:szCs w:val="18"/>
          <w:lang w:eastAsia="es-MX"/>
        </w:rPr>
        <w:t>la CGMR</w:t>
      </w:r>
      <w:r w:rsidRPr="007B356E">
        <w:rPr>
          <w:rFonts w:ascii="ITC Avant Garde" w:eastAsia="Times New Roman" w:hAnsi="ITC Avant Garde" w:cs="Times New Roman"/>
          <w:b/>
          <w:bCs/>
          <w:sz w:val="18"/>
          <w:szCs w:val="18"/>
          <w:lang w:eastAsia="es-MX"/>
        </w:rPr>
        <w:t xml:space="preserve"> emite la presente opinión no vinculante sobre el ANIR del Acuerdo</w:t>
      </w:r>
      <w:r w:rsidRPr="007B356E">
        <w:rPr>
          <w:rFonts w:ascii="ITC Avant Garde" w:hAnsi="ITC Avant Garde"/>
          <w:bCs/>
          <w:sz w:val="18"/>
          <w:szCs w:val="18"/>
        </w:rPr>
        <w:t xml:space="preserve">, considerándose adecuado que, con éste último, la UAJ haya sometido a consideración del Pleno dicha propuesta normativa, al estimarse que, a su entrada en vigor, </w:t>
      </w:r>
      <w:r w:rsidRPr="007B356E">
        <w:rPr>
          <w:rFonts w:ascii="ITC Avant Garde" w:hAnsi="ITC Avant Garde"/>
          <w:b/>
          <w:bCs/>
          <w:sz w:val="18"/>
          <w:szCs w:val="18"/>
        </w:rPr>
        <w:t>no generará nuevos costos de cumplimiento</w:t>
      </w:r>
      <w:r w:rsidRPr="007B356E">
        <w:rPr>
          <w:rFonts w:ascii="ITC Avant Garde" w:hAnsi="ITC Avant Garde"/>
          <w:bCs/>
          <w:sz w:val="18"/>
          <w:szCs w:val="18"/>
        </w:rPr>
        <w:t>, debido a que no se:</w:t>
      </w:r>
    </w:p>
    <w:p w:rsidR="000E651D" w:rsidRPr="007B356E" w:rsidRDefault="000E651D" w:rsidP="007B356E">
      <w:pPr>
        <w:pStyle w:val="Default"/>
        <w:jc w:val="both"/>
        <w:rPr>
          <w:rFonts w:ascii="ITC Avant Garde" w:hAnsi="ITC Avant Garde"/>
          <w:bCs/>
          <w:sz w:val="18"/>
          <w:szCs w:val="18"/>
        </w:rPr>
      </w:pPr>
    </w:p>
    <w:p w:rsidR="000E651D" w:rsidRPr="007B356E" w:rsidRDefault="000E651D" w:rsidP="007B356E">
      <w:pPr>
        <w:pStyle w:val="Default"/>
        <w:numPr>
          <w:ilvl w:val="0"/>
          <w:numId w:val="1"/>
        </w:numPr>
        <w:ind w:left="709" w:right="284" w:hanging="425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>crearán nuevas obligaciones o se harán más estrictas las obligaciones existentes;</w:t>
      </w:r>
    </w:p>
    <w:p w:rsidR="000E651D" w:rsidRPr="007B356E" w:rsidRDefault="000E651D" w:rsidP="007B356E">
      <w:pPr>
        <w:pStyle w:val="Default"/>
        <w:numPr>
          <w:ilvl w:val="0"/>
          <w:numId w:val="1"/>
        </w:numPr>
        <w:ind w:left="709" w:right="284" w:hanging="425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>crearán o modificarán trámites (excepto cuando la modificación simplifique y facilite su cumplimiento);</w:t>
      </w:r>
    </w:p>
    <w:p w:rsidR="000E651D" w:rsidRPr="007B356E" w:rsidRDefault="000E651D" w:rsidP="007B356E">
      <w:pPr>
        <w:pStyle w:val="Default"/>
        <w:numPr>
          <w:ilvl w:val="0"/>
          <w:numId w:val="1"/>
        </w:numPr>
        <w:ind w:left="709" w:right="284" w:hanging="425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>reducirán o restringirán derechos o prestaciones, o</w:t>
      </w:r>
    </w:p>
    <w:p w:rsidR="000E651D" w:rsidRPr="007B356E" w:rsidRDefault="000E651D" w:rsidP="007B356E">
      <w:pPr>
        <w:pStyle w:val="Default"/>
        <w:numPr>
          <w:ilvl w:val="0"/>
          <w:numId w:val="1"/>
        </w:numPr>
        <w:ind w:left="709" w:right="284" w:hanging="425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>establecerán definiciones, clasificaciones, caracterizaciones o cualquier otro término de referencia, que conjuntamente con otra disposición en vigor, o con una disposición futura, afecten o puedan afectar los derechos, obligaciones, prestaciones o trámites.</w:t>
      </w:r>
    </w:p>
    <w:p w:rsidR="000E651D" w:rsidRPr="007B356E" w:rsidRDefault="000E651D" w:rsidP="007B356E">
      <w:pPr>
        <w:pStyle w:val="Default"/>
        <w:ind w:left="709" w:right="284"/>
        <w:jc w:val="both"/>
        <w:rPr>
          <w:rFonts w:ascii="ITC Avant Garde" w:hAnsi="ITC Avant Garde"/>
          <w:b/>
          <w:bCs/>
          <w:sz w:val="18"/>
          <w:szCs w:val="18"/>
        </w:rPr>
      </w:pPr>
    </w:p>
    <w:p w:rsidR="000E651D" w:rsidRPr="007B356E" w:rsidRDefault="001D053E" w:rsidP="007B356E">
      <w:pPr>
        <w:pStyle w:val="Default"/>
        <w:jc w:val="both"/>
        <w:rPr>
          <w:rFonts w:ascii="ITC Avant Garde" w:hAnsi="ITC Avant Garde"/>
          <w:bCs/>
          <w:sz w:val="18"/>
          <w:szCs w:val="18"/>
          <w:lang w:val="es-ES"/>
        </w:rPr>
      </w:pPr>
      <w:r>
        <w:rPr>
          <w:rFonts w:ascii="ITC Avant Garde" w:hAnsi="ITC Avant Garde"/>
          <w:bCs/>
          <w:sz w:val="18"/>
          <w:szCs w:val="18"/>
        </w:rPr>
        <w:t>Respecto a esto último, r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esulta conveniente señalar que las medidas contempladas en el Acuerdo tienen por objeto: </w:t>
      </w:r>
      <w:r w:rsidR="000E651D" w:rsidRPr="007B356E">
        <w:rPr>
          <w:rFonts w:ascii="ITC Avant Garde" w:hAnsi="ITC Avant Garde"/>
          <w:b/>
          <w:bCs/>
          <w:sz w:val="18"/>
          <w:szCs w:val="18"/>
        </w:rPr>
        <w:t>i)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 determinar </w:t>
      </w:r>
      <w:r w:rsidR="00B74212" w:rsidRPr="007B356E">
        <w:rPr>
          <w:rFonts w:ascii="ITC Avant Garde" w:hAnsi="ITC Avant Garde"/>
          <w:bCs/>
          <w:sz w:val="18"/>
          <w:szCs w:val="18"/>
        </w:rPr>
        <w:t xml:space="preserve">cómo días laborales los mencionados en el </w:t>
      </w:r>
      <w:r w:rsidR="00B74212" w:rsidRPr="00824320">
        <w:rPr>
          <w:rFonts w:ascii="ITC Avant Garde" w:hAnsi="ITC Avant Garde"/>
          <w:i/>
          <w:sz w:val="18"/>
          <w:szCs w:val="18"/>
        </w:rPr>
        <w:t>“Acuerdo mediante el cual el Pleno del Instituto Federal  de Telecomunicaciones aprueba su calendario anual de Sesiones Ordinarias y el calendario anual de labores para el año 2021 y principios de 2022</w:t>
      </w:r>
      <w:r w:rsidR="000D09F9" w:rsidRPr="00824320">
        <w:rPr>
          <w:rFonts w:ascii="ITC Avant Garde" w:hAnsi="ITC Avant Garde"/>
          <w:i/>
          <w:sz w:val="18"/>
          <w:szCs w:val="18"/>
        </w:rPr>
        <w:t>”</w:t>
      </w:r>
      <w:r w:rsidR="00F957F2" w:rsidRPr="007B356E">
        <w:rPr>
          <w:rFonts w:ascii="ITC Avant Garde" w:hAnsi="ITC Avant Garde"/>
          <w:sz w:val="18"/>
          <w:szCs w:val="18"/>
        </w:rPr>
        <w:t xml:space="preserve"> (en lo sucesivo, el “</w:t>
      </w:r>
      <w:r w:rsidR="00190A5F" w:rsidRPr="007B356E">
        <w:rPr>
          <w:rFonts w:ascii="ITC Avant Garde" w:hAnsi="ITC Avant Garde"/>
          <w:sz w:val="18"/>
          <w:szCs w:val="18"/>
        </w:rPr>
        <w:t>Acuerdo aprobatorio del Calendario</w:t>
      </w:r>
      <w:r w:rsidR="00F957F2" w:rsidRPr="007B356E">
        <w:rPr>
          <w:rFonts w:ascii="ITC Avant Garde" w:hAnsi="ITC Avant Garde"/>
          <w:sz w:val="18"/>
          <w:szCs w:val="18"/>
        </w:rPr>
        <w:t xml:space="preserve"> Anual de</w:t>
      </w:r>
      <w:r w:rsidR="00190A5F" w:rsidRPr="007B356E">
        <w:rPr>
          <w:rFonts w:ascii="ITC Avant Garde" w:hAnsi="ITC Avant Garde"/>
          <w:sz w:val="18"/>
          <w:szCs w:val="18"/>
        </w:rPr>
        <w:t xml:space="preserve"> Labores</w:t>
      </w:r>
      <w:r w:rsidR="00914A75" w:rsidRPr="007B356E">
        <w:rPr>
          <w:rFonts w:ascii="ITC Avant Garde" w:hAnsi="ITC Avant Garde"/>
          <w:sz w:val="18"/>
          <w:szCs w:val="18"/>
        </w:rPr>
        <w:t xml:space="preserve"> 2021 y 2022</w:t>
      </w:r>
      <w:r w:rsidR="00190A5F" w:rsidRPr="007B356E">
        <w:rPr>
          <w:rFonts w:ascii="ITC Avant Garde" w:hAnsi="ITC Avant Garde"/>
          <w:sz w:val="18"/>
          <w:szCs w:val="18"/>
        </w:rPr>
        <w:t>”)</w:t>
      </w:r>
      <w:r w:rsidR="006F490D" w:rsidRPr="007B356E">
        <w:rPr>
          <w:rFonts w:ascii="ITC Avant Garde" w:hAnsi="ITC Avant Garde"/>
          <w:sz w:val="18"/>
          <w:szCs w:val="18"/>
        </w:rPr>
        <w:t>, publicado en el DOF el 16 de diciembre de 2020,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 </w:t>
      </w:r>
      <w:r w:rsidR="000D09F9" w:rsidRPr="007B356E">
        <w:rPr>
          <w:rFonts w:ascii="ITC Avant Garde" w:hAnsi="ITC Avant Garde"/>
          <w:bCs/>
          <w:sz w:val="18"/>
          <w:szCs w:val="18"/>
        </w:rPr>
        <w:t xml:space="preserve">con el fin de 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garantizar la continuidad y </w:t>
      </w:r>
      <w:r w:rsidR="000E651D" w:rsidRPr="007B356E">
        <w:rPr>
          <w:rFonts w:ascii="ITC Avant Garde" w:hAnsi="ITC Avant Garde"/>
          <w:bCs/>
          <w:sz w:val="18"/>
          <w:szCs w:val="18"/>
        </w:rPr>
        <w:lastRenderedPageBreak/>
        <w:t>calidad en la prestación de los servicios públicos de telecomunicacion</w:t>
      </w:r>
      <w:r w:rsidR="000D09F9" w:rsidRPr="007B356E">
        <w:rPr>
          <w:rFonts w:ascii="ITC Avant Garde" w:hAnsi="ITC Avant Garde"/>
          <w:bCs/>
          <w:sz w:val="18"/>
          <w:szCs w:val="18"/>
        </w:rPr>
        <w:t>es y radiodifusión, por lo que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 continuarán corriendo los términos y plazos legales</w:t>
      </w:r>
      <w:r w:rsidR="00F957F2" w:rsidRPr="007B356E">
        <w:rPr>
          <w:rFonts w:ascii="ITC Avant Garde" w:hAnsi="ITC Avant Garde"/>
          <w:bCs/>
          <w:sz w:val="18"/>
          <w:szCs w:val="18"/>
        </w:rPr>
        <w:t xml:space="preserve"> para aquellos casos señalados en los acuerdos Segundo y Cuarto y en el Anexo del Acuerdo en comento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; </w:t>
      </w:r>
      <w:r w:rsidR="008D6BBE" w:rsidRPr="007B356E">
        <w:rPr>
          <w:rFonts w:ascii="ITC Avant Garde" w:hAnsi="ITC Avant Garde"/>
          <w:b/>
          <w:bCs/>
          <w:sz w:val="18"/>
          <w:szCs w:val="18"/>
          <w:lang w:val="es-ES"/>
        </w:rPr>
        <w:t>i</w:t>
      </w:r>
      <w:r w:rsidR="000E651D" w:rsidRPr="007B356E">
        <w:rPr>
          <w:rFonts w:ascii="ITC Avant Garde" w:hAnsi="ITC Avant Garde"/>
          <w:b/>
          <w:bCs/>
          <w:sz w:val="18"/>
          <w:szCs w:val="18"/>
          <w:lang w:val="es-ES"/>
        </w:rPr>
        <w:t>i)</w:t>
      </w:r>
      <w:r w:rsidR="000E651D" w:rsidRPr="007B356E">
        <w:rPr>
          <w:rFonts w:ascii="ITC Avant Garde" w:hAnsi="ITC Avant Garde"/>
          <w:bCs/>
          <w:sz w:val="18"/>
          <w:szCs w:val="18"/>
          <w:lang w:val="es-ES"/>
        </w:rPr>
        <w:t xml:space="preserve"> establecer</w:t>
      </w:r>
      <w:r w:rsidR="00F957F2" w:rsidRPr="007B356E">
        <w:rPr>
          <w:rFonts w:ascii="ITC Avant Garde" w:hAnsi="ITC Avant Garde"/>
          <w:bCs/>
          <w:sz w:val="18"/>
          <w:szCs w:val="18"/>
          <w:lang w:val="es-ES"/>
        </w:rPr>
        <w:t xml:space="preserve"> la continuidad de</w:t>
      </w:r>
      <w:r w:rsidR="000E651D" w:rsidRPr="007B356E">
        <w:rPr>
          <w:rFonts w:ascii="ITC Avant Garde" w:hAnsi="ITC Avant Garde"/>
          <w:bCs/>
          <w:sz w:val="18"/>
          <w:szCs w:val="18"/>
          <w:lang w:val="es-ES"/>
        </w:rPr>
        <w:t xml:space="preserve"> </w:t>
      </w:r>
      <w:r w:rsidR="0001622A" w:rsidRPr="007B356E">
        <w:rPr>
          <w:rFonts w:ascii="ITC Avant Garde" w:hAnsi="ITC Avant Garde"/>
          <w:bCs/>
          <w:sz w:val="18"/>
          <w:szCs w:val="18"/>
          <w:lang w:val="es-ES"/>
        </w:rPr>
        <w:t>los plazos y términos legales</w:t>
      </w:r>
      <w:r w:rsidR="00EB1302" w:rsidRPr="007B356E">
        <w:rPr>
          <w:rFonts w:ascii="ITC Avant Garde" w:hAnsi="ITC Avant Garde"/>
          <w:bCs/>
          <w:sz w:val="18"/>
          <w:szCs w:val="18"/>
          <w:lang w:val="es-ES"/>
        </w:rPr>
        <w:t xml:space="preserve"> </w:t>
      </w:r>
      <w:r w:rsidR="0001622A" w:rsidRPr="007B356E">
        <w:rPr>
          <w:rFonts w:ascii="ITC Avant Garde" w:hAnsi="ITC Avant Garde"/>
          <w:bCs/>
          <w:sz w:val="18"/>
          <w:szCs w:val="18"/>
          <w:lang w:val="es-ES"/>
        </w:rPr>
        <w:t>de los trámites, actuaciones, investigaciones y procedimientos previstos en el Anexo del Acuerdo, en</w:t>
      </w:r>
      <w:r w:rsidR="00F957F2" w:rsidRPr="007B356E">
        <w:rPr>
          <w:rFonts w:ascii="ITC Avant Garde" w:hAnsi="ITC Avant Garde"/>
          <w:bCs/>
          <w:sz w:val="18"/>
          <w:szCs w:val="18"/>
          <w:lang w:val="es-ES"/>
        </w:rPr>
        <w:t xml:space="preserve"> los</w:t>
      </w:r>
      <w:r w:rsidR="0001622A" w:rsidRPr="007B356E">
        <w:rPr>
          <w:rFonts w:ascii="ITC Avant Garde" w:hAnsi="ITC Avant Garde"/>
          <w:bCs/>
          <w:sz w:val="18"/>
          <w:szCs w:val="18"/>
          <w:lang w:val="es-ES"/>
        </w:rPr>
        <w:t xml:space="preserve"> días y horas hábiles en términos del </w:t>
      </w:r>
      <w:r w:rsidRPr="001D053E">
        <w:rPr>
          <w:rFonts w:ascii="ITC Avant Garde" w:hAnsi="ITC Avant Garde"/>
          <w:bCs/>
          <w:sz w:val="18"/>
          <w:szCs w:val="18"/>
          <w:lang w:val="es-ES"/>
        </w:rPr>
        <w:t>Acuerdo aprobatorio del Calendario Anual de Labores 2021 y 2022</w:t>
      </w:r>
      <w:r w:rsidR="0001622A" w:rsidRPr="007B356E">
        <w:rPr>
          <w:rFonts w:ascii="ITC Avant Garde" w:hAnsi="ITC Avant Garde"/>
          <w:bCs/>
          <w:sz w:val="18"/>
          <w:szCs w:val="18"/>
          <w:lang w:val="es-ES"/>
        </w:rPr>
        <w:t xml:space="preserve">, </w:t>
      </w:r>
      <w:r>
        <w:rPr>
          <w:rFonts w:ascii="ITC Avant Garde" w:hAnsi="ITC Avant Garde"/>
          <w:bCs/>
          <w:sz w:val="18"/>
          <w:szCs w:val="18"/>
          <w:lang w:val="es-ES"/>
        </w:rPr>
        <w:t>incluyéndose sus salvedades</w:t>
      </w:r>
      <w:r w:rsidR="0001622A" w:rsidRPr="007B356E">
        <w:rPr>
          <w:rFonts w:ascii="ITC Avant Garde" w:hAnsi="ITC Avant Garde"/>
          <w:bCs/>
          <w:sz w:val="18"/>
          <w:szCs w:val="18"/>
          <w:lang w:val="es-ES"/>
        </w:rPr>
        <w:t xml:space="preserve"> conforme </w:t>
      </w:r>
      <w:r w:rsidR="00190A5F" w:rsidRPr="007B356E">
        <w:rPr>
          <w:rFonts w:ascii="ITC Avant Garde" w:hAnsi="ITC Avant Garde"/>
          <w:bCs/>
          <w:sz w:val="18"/>
          <w:szCs w:val="18"/>
          <w:lang w:val="es-ES"/>
        </w:rPr>
        <w:t xml:space="preserve">a </w:t>
      </w:r>
      <w:r w:rsidR="0092439A" w:rsidRPr="007B356E">
        <w:rPr>
          <w:rFonts w:ascii="ITC Avant Garde" w:hAnsi="ITC Avant Garde"/>
          <w:bCs/>
          <w:sz w:val="18"/>
          <w:szCs w:val="18"/>
        </w:rPr>
        <w:t>los </w:t>
      </w:r>
      <w:r w:rsidR="0092439A" w:rsidRPr="007B356E">
        <w:rPr>
          <w:rFonts w:ascii="ITC Avant Garde" w:hAnsi="ITC Avant Garde"/>
          <w:bCs/>
          <w:i/>
          <w:sz w:val="18"/>
          <w:szCs w:val="18"/>
        </w:rPr>
        <w:t>Lineamientos para la sustanciación de los trámites y servicios que se realicen ante el Instituto Federal de Telecomunicaciones, a través de la Ventanilla Electrónica</w:t>
      </w:r>
      <w:r w:rsidR="00E576F5" w:rsidRPr="007B356E">
        <w:rPr>
          <w:rFonts w:ascii="ITC Avant Garde" w:hAnsi="ITC Avant Garde"/>
          <w:bCs/>
          <w:i/>
          <w:sz w:val="18"/>
          <w:szCs w:val="18"/>
        </w:rPr>
        <w:t>”</w:t>
      </w:r>
      <w:r w:rsidR="006F490D" w:rsidRPr="007B356E">
        <w:rPr>
          <w:rFonts w:ascii="ITC Avant Garde" w:hAnsi="ITC Avant Garde"/>
          <w:bCs/>
          <w:sz w:val="18"/>
          <w:szCs w:val="18"/>
        </w:rPr>
        <w:t>, publicado en el DOF el 5 de noviembre de 2019</w:t>
      </w:r>
      <w:r w:rsidR="00E576F5" w:rsidRPr="007B356E">
        <w:rPr>
          <w:rFonts w:ascii="ITC Avant Garde" w:hAnsi="ITC Avant Garde"/>
          <w:bCs/>
          <w:sz w:val="18"/>
          <w:szCs w:val="18"/>
        </w:rPr>
        <w:t>;</w:t>
      </w:r>
      <w:r w:rsidR="007976BF" w:rsidRPr="007B356E">
        <w:rPr>
          <w:rFonts w:ascii="ITC Avant Garde" w:hAnsi="ITC Avant Garde"/>
          <w:bCs/>
          <w:sz w:val="18"/>
          <w:szCs w:val="18"/>
        </w:rPr>
        <w:t xml:space="preserve"> </w:t>
      </w:r>
      <w:r w:rsidR="008D6BBE" w:rsidRPr="007B356E">
        <w:rPr>
          <w:rFonts w:ascii="ITC Avant Garde" w:hAnsi="ITC Avant Garde"/>
          <w:b/>
          <w:bCs/>
          <w:sz w:val="18"/>
          <w:szCs w:val="18"/>
          <w:lang w:val="es-ES"/>
        </w:rPr>
        <w:t>iii</w:t>
      </w:r>
      <w:r w:rsidR="000E651D" w:rsidRPr="007B356E">
        <w:rPr>
          <w:rFonts w:ascii="ITC Avant Garde" w:hAnsi="ITC Avant Garde"/>
          <w:b/>
          <w:bCs/>
          <w:sz w:val="18"/>
          <w:szCs w:val="18"/>
          <w:lang w:val="es-ES"/>
        </w:rPr>
        <w:t>)</w:t>
      </w:r>
      <w:r w:rsidR="00E576F5" w:rsidRPr="007B356E">
        <w:rPr>
          <w:rFonts w:ascii="ITC Avant Garde" w:hAnsi="ITC Avant Garde"/>
          <w:b/>
          <w:bCs/>
          <w:sz w:val="18"/>
          <w:szCs w:val="18"/>
          <w:lang w:val="es-ES"/>
        </w:rPr>
        <w:t xml:space="preserve"> </w:t>
      </w:r>
      <w:r w:rsidR="007976BF" w:rsidRPr="007B356E">
        <w:rPr>
          <w:rFonts w:ascii="ITC Avant Garde" w:hAnsi="ITC Avant Garde"/>
          <w:bCs/>
          <w:sz w:val="18"/>
          <w:szCs w:val="18"/>
        </w:rPr>
        <w:t xml:space="preserve">informar </w:t>
      </w:r>
      <w:r w:rsidR="0092439A" w:rsidRPr="007B356E">
        <w:rPr>
          <w:rFonts w:ascii="ITC Avant Garde" w:hAnsi="ITC Avant Garde"/>
          <w:bCs/>
          <w:sz w:val="18"/>
          <w:szCs w:val="18"/>
        </w:rPr>
        <w:t xml:space="preserve">que las personas servidoras públicas del Instituto realizarán </w:t>
      </w:r>
      <w:r w:rsidR="00824320">
        <w:rPr>
          <w:rFonts w:ascii="ITC Avant Garde" w:hAnsi="ITC Avant Garde"/>
          <w:bCs/>
          <w:sz w:val="18"/>
          <w:szCs w:val="18"/>
        </w:rPr>
        <w:t xml:space="preserve">sus </w:t>
      </w:r>
      <w:r w:rsidR="0092439A" w:rsidRPr="007B356E">
        <w:rPr>
          <w:rFonts w:ascii="ITC Avant Garde" w:hAnsi="ITC Avant Garde"/>
          <w:bCs/>
          <w:sz w:val="18"/>
          <w:szCs w:val="18"/>
        </w:rPr>
        <w:t xml:space="preserve">actividades institucionales conforme a </w:t>
      </w:r>
      <w:r w:rsidR="00824320">
        <w:rPr>
          <w:rFonts w:ascii="ITC Avant Garde" w:hAnsi="ITC Avant Garde"/>
          <w:bCs/>
          <w:sz w:val="18"/>
          <w:szCs w:val="18"/>
        </w:rPr>
        <w:t>las</w:t>
      </w:r>
      <w:r w:rsidR="0092439A" w:rsidRPr="007B356E">
        <w:rPr>
          <w:rFonts w:ascii="ITC Avant Garde" w:hAnsi="ITC Avant Garde"/>
          <w:bCs/>
          <w:sz w:val="18"/>
          <w:szCs w:val="18"/>
        </w:rPr>
        <w:t xml:space="preserve"> atribuciones </w:t>
      </w:r>
      <w:r w:rsidR="00824320">
        <w:rPr>
          <w:rFonts w:ascii="ITC Avant Garde" w:hAnsi="ITC Avant Garde"/>
          <w:bCs/>
          <w:sz w:val="18"/>
          <w:szCs w:val="18"/>
        </w:rPr>
        <w:t xml:space="preserve">que se les han conferido, </w:t>
      </w:r>
      <w:r w:rsidR="0092439A" w:rsidRPr="007B356E">
        <w:rPr>
          <w:rFonts w:ascii="ITC Avant Garde" w:hAnsi="ITC Avant Garde"/>
          <w:bCs/>
          <w:sz w:val="18"/>
          <w:szCs w:val="18"/>
        </w:rPr>
        <w:t>a través de la modalidad de teletrabajo</w:t>
      </w:r>
      <w:r w:rsidR="00496A86" w:rsidRPr="007B356E">
        <w:rPr>
          <w:rFonts w:ascii="ITC Avant Garde" w:hAnsi="ITC Avant Garde"/>
          <w:bCs/>
          <w:sz w:val="18"/>
          <w:szCs w:val="18"/>
        </w:rPr>
        <w:t>,</w:t>
      </w:r>
      <w:r w:rsidR="0092439A" w:rsidRPr="007B356E">
        <w:rPr>
          <w:rFonts w:ascii="ITC Avant Garde" w:hAnsi="ITC Avant Garde"/>
          <w:bCs/>
          <w:sz w:val="18"/>
          <w:szCs w:val="18"/>
        </w:rPr>
        <w:t xml:space="preserve"> a fin de atender los asuntos de su competencia, salvo aquellas personas servidoras públicas cuya presencia sea indispensable en las instalaciones del Instituto</w:t>
      </w:r>
      <w:r w:rsidR="00824320">
        <w:rPr>
          <w:rFonts w:ascii="ITC Avant Garde" w:hAnsi="ITC Avant Garde"/>
          <w:bCs/>
          <w:sz w:val="18"/>
          <w:szCs w:val="18"/>
        </w:rPr>
        <w:t xml:space="preserve"> Federal de Telecomunicaciones (en lo sucesivo, el “Instituto”)</w:t>
      </w:r>
      <w:r w:rsidR="00E576F5" w:rsidRPr="007B356E">
        <w:rPr>
          <w:rFonts w:ascii="ITC Avant Garde" w:hAnsi="ITC Avant Garde"/>
          <w:bCs/>
          <w:sz w:val="18"/>
          <w:szCs w:val="18"/>
        </w:rPr>
        <w:t>;</w:t>
      </w:r>
      <w:r w:rsidR="0092439A" w:rsidRPr="007B356E">
        <w:rPr>
          <w:rFonts w:ascii="ITC Avant Garde" w:hAnsi="ITC Avant Garde"/>
          <w:bCs/>
          <w:sz w:val="18"/>
          <w:szCs w:val="18"/>
        </w:rPr>
        <w:t xml:space="preserve"> </w:t>
      </w:r>
      <w:r w:rsidR="008D6BBE" w:rsidRPr="007B356E">
        <w:rPr>
          <w:rFonts w:ascii="ITC Avant Garde" w:hAnsi="ITC Avant Garde"/>
          <w:b/>
          <w:bCs/>
          <w:sz w:val="18"/>
          <w:szCs w:val="18"/>
        </w:rPr>
        <w:t>i</w:t>
      </w:r>
      <w:r w:rsidR="007976BF" w:rsidRPr="007B356E">
        <w:rPr>
          <w:rFonts w:ascii="ITC Avant Garde" w:hAnsi="ITC Avant Garde"/>
          <w:b/>
          <w:bCs/>
          <w:sz w:val="18"/>
          <w:szCs w:val="18"/>
        </w:rPr>
        <w:t>v</w:t>
      </w:r>
      <w:r w:rsidR="0092439A" w:rsidRPr="007B356E">
        <w:rPr>
          <w:rFonts w:ascii="ITC Avant Garde" w:hAnsi="ITC Avant Garde"/>
          <w:b/>
          <w:bCs/>
          <w:sz w:val="18"/>
          <w:szCs w:val="18"/>
        </w:rPr>
        <w:t>)</w:t>
      </w:r>
      <w:r w:rsidR="0092439A" w:rsidRPr="007B356E">
        <w:rPr>
          <w:rFonts w:ascii="ITC Avant Garde" w:hAnsi="ITC Avant Garde"/>
          <w:bCs/>
          <w:sz w:val="18"/>
          <w:szCs w:val="18"/>
        </w:rPr>
        <w:t xml:space="preserve"> </w:t>
      </w:r>
      <w:r w:rsidR="007976BF" w:rsidRPr="007B356E">
        <w:rPr>
          <w:rFonts w:ascii="ITC Avant Garde" w:hAnsi="ITC Avant Garde"/>
          <w:bCs/>
          <w:sz w:val="18"/>
          <w:szCs w:val="18"/>
          <w:lang w:val="es-ES"/>
        </w:rPr>
        <w:t xml:space="preserve">establecer </w:t>
      </w:r>
      <w:r w:rsidR="00496A86" w:rsidRPr="007B356E">
        <w:rPr>
          <w:rFonts w:ascii="ITC Avant Garde" w:hAnsi="ITC Avant Garde"/>
          <w:bCs/>
          <w:sz w:val="18"/>
          <w:szCs w:val="18"/>
          <w:lang w:val="es-ES"/>
        </w:rPr>
        <w:t xml:space="preserve">la </w:t>
      </w:r>
      <w:r w:rsidR="007976BF" w:rsidRPr="007B356E">
        <w:rPr>
          <w:rFonts w:ascii="ITC Avant Garde" w:hAnsi="ITC Avant Garde"/>
          <w:bCs/>
          <w:sz w:val="18"/>
          <w:szCs w:val="18"/>
          <w:lang w:val="es-ES"/>
        </w:rPr>
        <w:t>continuidad en la recepción de documentación en la Oficialía de Partes del Instituto</w:t>
      </w:r>
      <w:r w:rsidR="00496A86" w:rsidRPr="007B356E">
        <w:rPr>
          <w:rFonts w:ascii="ITC Avant Garde" w:hAnsi="ITC Avant Garde"/>
          <w:bCs/>
          <w:sz w:val="18"/>
          <w:szCs w:val="18"/>
          <w:lang w:val="es-ES"/>
        </w:rPr>
        <w:t xml:space="preserve">, conforme a lo previsto en el </w:t>
      </w:r>
      <w:r w:rsidR="00914A75" w:rsidRPr="007B356E">
        <w:rPr>
          <w:rFonts w:ascii="ITC Avant Garde" w:hAnsi="ITC Avant Garde"/>
          <w:bCs/>
          <w:sz w:val="18"/>
          <w:szCs w:val="18"/>
          <w:lang w:val="es-ES"/>
        </w:rPr>
        <w:t>Acuerdo aprobatorio del Calendario Anual de Labores 2021 y 2022</w:t>
      </w:r>
      <w:r w:rsidR="00496A86" w:rsidRPr="007B356E">
        <w:rPr>
          <w:rFonts w:ascii="ITC Avant Garde" w:hAnsi="ITC Avant Garde"/>
          <w:bCs/>
          <w:sz w:val="18"/>
          <w:szCs w:val="18"/>
          <w:lang w:val="es-ES"/>
        </w:rPr>
        <w:t>;</w:t>
      </w:r>
      <w:r w:rsidR="00854F1B" w:rsidRPr="007B356E">
        <w:rPr>
          <w:rFonts w:ascii="ITC Avant Garde" w:hAnsi="ITC Avant Garde"/>
          <w:b/>
          <w:bCs/>
          <w:sz w:val="18"/>
          <w:szCs w:val="18"/>
          <w:lang w:val="es-ES"/>
        </w:rPr>
        <w:t xml:space="preserve"> v) </w:t>
      </w:r>
      <w:r w:rsidR="000E651D" w:rsidRPr="007B356E">
        <w:rPr>
          <w:rFonts w:ascii="ITC Avant Garde" w:hAnsi="ITC Avant Garde"/>
          <w:bCs/>
          <w:sz w:val="18"/>
          <w:szCs w:val="18"/>
          <w:lang w:val="es-ES"/>
        </w:rPr>
        <w:t xml:space="preserve"> </w:t>
      </w:r>
      <w:r w:rsidR="00272DD8" w:rsidRPr="007B356E">
        <w:rPr>
          <w:rFonts w:ascii="ITC Avant Garde" w:hAnsi="ITC Avant Garde"/>
          <w:sz w:val="18"/>
          <w:szCs w:val="18"/>
        </w:rPr>
        <w:t>habilitar al Pleno del Instituto para sesionar en cualquier momento de las 24 horas del día en el período comprendido del 23 al 31 de diciembre de 2020 y del 1 al 7 de enero de 2021 y</w:t>
      </w:r>
      <w:r w:rsidR="00496A86" w:rsidRPr="007B356E">
        <w:rPr>
          <w:rFonts w:ascii="ITC Avant Garde" w:hAnsi="ITC Avant Garde"/>
          <w:sz w:val="18"/>
          <w:szCs w:val="18"/>
        </w:rPr>
        <w:t>,</w:t>
      </w:r>
      <w:r w:rsidR="00272DD8" w:rsidRPr="007B356E">
        <w:rPr>
          <w:rFonts w:ascii="ITC Avant Garde" w:hAnsi="ITC Avant Garde"/>
          <w:sz w:val="18"/>
          <w:szCs w:val="18"/>
        </w:rPr>
        <w:t xml:space="preserve"> </w:t>
      </w:r>
      <w:r w:rsidR="008D6BBE" w:rsidRPr="007B356E">
        <w:rPr>
          <w:rFonts w:ascii="ITC Avant Garde" w:hAnsi="ITC Avant Garde"/>
          <w:b/>
          <w:sz w:val="18"/>
          <w:szCs w:val="18"/>
        </w:rPr>
        <w:t>v</w:t>
      </w:r>
      <w:r w:rsidR="00494BA5" w:rsidRPr="007B356E">
        <w:rPr>
          <w:rFonts w:ascii="ITC Avant Garde" w:hAnsi="ITC Avant Garde"/>
          <w:b/>
          <w:sz w:val="18"/>
          <w:szCs w:val="18"/>
        </w:rPr>
        <w:t>i</w:t>
      </w:r>
      <w:r w:rsidR="00272DD8" w:rsidRPr="007B356E">
        <w:rPr>
          <w:rFonts w:ascii="ITC Avant Garde" w:hAnsi="ITC Avant Garde"/>
          <w:b/>
          <w:sz w:val="18"/>
          <w:szCs w:val="18"/>
        </w:rPr>
        <w:t xml:space="preserve">) </w:t>
      </w:r>
      <w:r w:rsidR="00E576F5" w:rsidRPr="007B356E">
        <w:rPr>
          <w:rFonts w:ascii="ITC Avant Garde" w:hAnsi="ITC Avant Garde"/>
          <w:sz w:val="18"/>
          <w:szCs w:val="18"/>
        </w:rPr>
        <w:t>p</w:t>
      </w:r>
      <w:r w:rsidR="00272DD8" w:rsidRPr="007B356E">
        <w:rPr>
          <w:rFonts w:ascii="ITC Avant Garde" w:hAnsi="ITC Avant Garde"/>
          <w:sz w:val="18"/>
          <w:szCs w:val="18"/>
        </w:rPr>
        <w:t>rever que la Secretaría Técnica del Pleno y las Unidades Administrativas del Instituto, prov</w:t>
      </w:r>
      <w:bookmarkStart w:id="0" w:name="_GoBack"/>
      <w:bookmarkEnd w:id="0"/>
      <w:r w:rsidR="00272DD8" w:rsidRPr="007B356E">
        <w:rPr>
          <w:rFonts w:ascii="ITC Avant Garde" w:hAnsi="ITC Avant Garde"/>
          <w:sz w:val="18"/>
          <w:szCs w:val="18"/>
        </w:rPr>
        <w:t>ean lo necesario para apoyar en todos los casos, la preparación y desarrollo de las sesiones del Pleno</w:t>
      </w:r>
      <w:r w:rsidR="00E576F5" w:rsidRPr="007B356E">
        <w:rPr>
          <w:rFonts w:ascii="ITC Avant Garde" w:hAnsi="ITC Avant Garde"/>
          <w:sz w:val="18"/>
          <w:szCs w:val="18"/>
        </w:rPr>
        <w:t xml:space="preserve">. </w:t>
      </w:r>
      <w:r w:rsidR="000E651D" w:rsidRPr="007B356E">
        <w:rPr>
          <w:rFonts w:ascii="ITC Avant Garde" w:hAnsi="ITC Avant Garde"/>
          <w:bCs/>
          <w:sz w:val="18"/>
          <w:szCs w:val="18"/>
          <w:lang w:val="es-ES"/>
        </w:rPr>
        <w:t xml:space="preserve">Lo anterior, </w:t>
      </w:r>
      <w:r w:rsidR="000E651D" w:rsidRPr="007B356E">
        <w:rPr>
          <w:rFonts w:ascii="ITC Avant Garde" w:hAnsi="ITC Avant Garde"/>
          <w:bCs/>
          <w:sz w:val="18"/>
          <w:szCs w:val="18"/>
        </w:rPr>
        <w:t xml:space="preserve">como medida regulatoria para contener la </w:t>
      </w:r>
      <w:r w:rsidR="000E651D" w:rsidRPr="007B356E">
        <w:rPr>
          <w:rFonts w:ascii="ITC Avant Garde" w:hAnsi="ITC Avant Garde" w:cs="Times New Roman"/>
          <w:bCs/>
          <w:sz w:val="18"/>
          <w:szCs w:val="18"/>
        </w:rPr>
        <w:t>propagación de la enfermedad causada por el virus SARS-CoV2 (COVID-19) que México y el resto del mundo padecen, así como en concordancia con las acciones implementadas por el Gobierno Federal, en torno a la protección de la salud, dentro de las cuales se establece que los sectores público, privado y social, pongan en práctica la suspensión temporal de actividades, términos o plazos, según corresponda, que involucren la concentración física, tránsito o desplazamiento de personas.</w:t>
      </w:r>
    </w:p>
    <w:p w:rsidR="000E651D" w:rsidRPr="007B356E" w:rsidRDefault="000E651D" w:rsidP="007B356E">
      <w:pPr>
        <w:pStyle w:val="Default"/>
        <w:ind w:right="758"/>
        <w:jc w:val="both"/>
        <w:rPr>
          <w:rFonts w:ascii="ITC Avant Garde" w:hAnsi="ITC Avant Garde"/>
          <w:bCs/>
          <w:sz w:val="18"/>
          <w:szCs w:val="18"/>
        </w:rPr>
      </w:pPr>
    </w:p>
    <w:p w:rsidR="000E651D" w:rsidRPr="007B356E" w:rsidRDefault="000E651D" w:rsidP="007B356E">
      <w:pPr>
        <w:pStyle w:val="Default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>Esperando que la presente opinión no vinculante le sea de utilidad, quedo a sus órdenes para cualquier comentario o duda que surja sobre el particular.</w:t>
      </w:r>
    </w:p>
    <w:p w:rsidR="000E651D" w:rsidRPr="007B356E" w:rsidRDefault="000E651D" w:rsidP="007B356E">
      <w:pPr>
        <w:pStyle w:val="Default"/>
        <w:jc w:val="both"/>
        <w:rPr>
          <w:rFonts w:ascii="ITC Avant Garde" w:hAnsi="ITC Avant Garde"/>
          <w:bCs/>
          <w:sz w:val="18"/>
          <w:szCs w:val="18"/>
        </w:rPr>
      </w:pPr>
    </w:p>
    <w:p w:rsidR="000E651D" w:rsidRPr="007B356E" w:rsidRDefault="000E651D" w:rsidP="007B356E">
      <w:pPr>
        <w:pStyle w:val="Default"/>
        <w:jc w:val="both"/>
        <w:rPr>
          <w:rFonts w:ascii="ITC Avant Garde" w:hAnsi="ITC Avant Garde"/>
          <w:bCs/>
          <w:sz w:val="18"/>
          <w:szCs w:val="18"/>
        </w:rPr>
      </w:pPr>
      <w:r w:rsidRPr="007B356E">
        <w:rPr>
          <w:rFonts w:ascii="ITC Avant Garde" w:hAnsi="ITC Avant Garde"/>
          <w:bCs/>
          <w:sz w:val="18"/>
          <w:szCs w:val="18"/>
        </w:rPr>
        <w:t>Sin más por el momento, reciba un cordial saludo.</w:t>
      </w:r>
    </w:p>
    <w:p w:rsidR="000E651D" w:rsidRPr="007B356E" w:rsidRDefault="000E651D" w:rsidP="007B356E">
      <w:pPr>
        <w:pStyle w:val="estilo30"/>
        <w:spacing w:before="0" w:beforeAutospacing="0" w:after="0" w:afterAutospacing="0"/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</w:pPr>
    </w:p>
    <w:p w:rsidR="000E651D" w:rsidRPr="007B356E" w:rsidRDefault="000E651D" w:rsidP="007B356E">
      <w:pPr>
        <w:pStyle w:val="estilo30"/>
        <w:spacing w:before="0" w:beforeAutospacing="0" w:after="0" w:afterAutospacing="0"/>
        <w:jc w:val="center"/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</w:pPr>
      <w:r w:rsidRPr="007B356E"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  <w:t>A T E N T A M E N T E</w:t>
      </w:r>
    </w:p>
    <w:p w:rsidR="000E651D" w:rsidRPr="007B356E" w:rsidRDefault="000E651D" w:rsidP="007B356E">
      <w:pPr>
        <w:pStyle w:val="Textoindependiente"/>
        <w:tabs>
          <w:tab w:val="left" w:pos="709"/>
        </w:tabs>
        <w:spacing w:after="0"/>
        <w:jc w:val="center"/>
        <w:rPr>
          <w:rFonts w:ascii="ITC Avant Garde" w:hAnsi="ITC Avant Garde" w:cs="Arial"/>
          <w:sz w:val="18"/>
          <w:szCs w:val="18"/>
          <w:lang w:val="pt-BR"/>
        </w:rPr>
      </w:pPr>
    </w:p>
    <w:p w:rsidR="000E651D" w:rsidRPr="007B356E" w:rsidRDefault="000E651D" w:rsidP="007B356E">
      <w:pPr>
        <w:pStyle w:val="Textoindependiente"/>
        <w:tabs>
          <w:tab w:val="left" w:pos="709"/>
        </w:tabs>
        <w:spacing w:after="0"/>
        <w:rPr>
          <w:rFonts w:ascii="ITC Avant Garde" w:hAnsi="ITC Avant Garde" w:cs="Arial"/>
          <w:sz w:val="18"/>
          <w:szCs w:val="18"/>
          <w:lang w:val="pt-BR"/>
        </w:rPr>
      </w:pPr>
    </w:p>
    <w:p w:rsidR="000E651D" w:rsidRPr="007B356E" w:rsidRDefault="000E651D" w:rsidP="007B356E">
      <w:pPr>
        <w:pStyle w:val="Textoindependiente"/>
        <w:tabs>
          <w:tab w:val="left" w:pos="709"/>
        </w:tabs>
        <w:spacing w:after="0"/>
        <w:rPr>
          <w:rFonts w:ascii="ITC Avant Garde" w:hAnsi="ITC Avant Garde" w:cs="Arial"/>
          <w:sz w:val="18"/>
          <w:szCs w:val="18"/>
          <w:lang w:val="pt-BR"/>
        </w:rPr>
      </w:pPr>
    </w:p>
    <w:p w:rsidR="000E651D" w:rsidRPr="007B356E" w:rsidRDefault="000E651D" w:rsidP="007B356E">
      <w:pPr>
        <w:pStyle w:val="estilo30"/>
        <w:spacing w:before="0" w:beforeAutospacing="0" w:after="0" w:afterAutospacing="0"/>
        <w:jc w:val="center"/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</w:pPr>
      <w:r w:rsidRPr="007B356E"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  <w:t>LUIS FERNANDO ROSAS YÁÑEZ</w:t>
      </w:r>
    </w:p>
    <w:p w:rsidR="000E651D" w:rsidRPr="007B356E" w:rsidRDefault="000E651D" w:rsidP="007B356E">
      <w:pPr>
        <w:spacing w:after="0" w:line="240" w:lineRule="auto"/>
        <w:jc w:val="center"/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</w:pPr>
      <w:r w:rsidRPr="007B356E"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  <w:t>COORDINADOR GENERAL</w:t>
      </w:r>
    </w:p>
    <w:p w:rsidR="000E651D" w:rsidRPr="007B356E" w:rsidRDefault="000E651D" w:rsidP="007B356E">
      <w:pPr>
        <w:spacing w:after="0" w:line="240" w:lineRule="auto"/>
        <w:rPr>
          <w:rFonts w:ascii="ITC Avant Garde" w:hAnsi="ITC Avant Garde"/>
          <w:b/>
          <w:bCs/>
          <w:color w:val="000000"/>
          <w:sz w:val="18"/>
          <w:szCs w:val="18"/>
          <w:lang w:val="pt-BR"/>
        </w:rPr>
      </w:pPr>
    </w:p>
    <w:p w:rsidR="000E651D" w:rsidRPr="007B356E" w:rsidRDefault="000E651D" w:rsidP="007B356E">
      <w:pPr>
        <w:pStyle w:val="estilo30"/>
        <w:spacing w:before="0" w:beforeAutospacing="0" w:after="0" w:afterAutospacing="0"/>
        <w:ind w:left="1134" w:right="1183"/>
        <w:jc w:val="center"/>
        <w:rPr>
          <w:rFonts w:ascii="ITC Avant Garde" w:hAnsi="ITC Avant Garde"/>
          <w:bCs/>
          <w:i/>
          <w:color w:val="000000"/>
          <w:sz w:val="15"/>
          <w:szCs w:val="15"/>
        </w:rPr>
      </w:pPr>
      <w:r w:rsidRPr="007B356E">
        <w:rPr>
          <w:rFonts w:ascii="ITC Avant Garde" w:hAnsi="ITC Avant Garde"/>
          <w:bCs/>
          <w:i/>
          <w:color w:val="000000"/>
          <w:sz w:val="15"/>
          <w:szCs w:val="15"/>
        </w:rPr>
        <w:t>Durante la contingencia sanitaria originada por el virus SARS-CoV2, los oficios serán remitidos vía electrónica y sin firma. Pasando el contexto actual, en caso de ser necesario, podrá remitirse el oficio original firmado.</w:t>
      </w:r>
    </w:p>
    <w:p w:rsidR="000E651D" w:rsidRPr="007B356E" w:rsidRDefault="000E651D" w:rsidP="007B356E">
      <w:pPr>
        <w:spacing w:after="0" w:line="240" w:lineRule="auto"/>
        <w:rPr>
          <w:rFonts w:ascii="ITC Avant Garde" w:hAnsi="ITC Avant Garde"/>
          <w:b/>
          <w:bCs/>
          <w:color w:val="000000"/>
          <w:sz w:val="18"/>
          <w:szCs w:val="18"/>
        </w:rPr>
      </w:pPr>
    </w:p>
    <w:p w:rsidR="000E651D" w:rsidRPr="007B356E" w:rsidRDefault="000E651D" w:rsidP="007B356E">
      <w:pPr>
        <w:pStyle w:val="Sinespaciado"/>
        <w:ind w:left="705" w:hanging="705"/>
        <w:jc w:val="both"/>
        <w:rPr>
          <w:rStyle w:val="Hipervnculo"/>
          <w:rFonts w:ascii="ITC Avant Garde" w:hAnsi="ITC Avant Garde"/>
          <w:bCs/>
          <w:sz w:val="16"/>
          <w:szCs w:val="16"/>
        </w:rPr>
      </w:pPr>
      <w:proofErr w:type="spellStart"/>
      <w:r w:rsidRPr="007B356E">
        <w:rPr>
          <w:rFonts w:ascii="ITC Avant Garde" w:hAnsi="ITC Avant Garde"/>
          <w:bCs/>
          <w:color w:val="000000"/>
          <w:sz w:val="16"/>
          <w:szCs w:val="16"/>
        </w:rPr>
        <w:t>C.c.p</w:t>
      </w:r>
      <w:proofErr w:type="spellEnd"/>
      <w:r w:rsidRPr="007B356E">
        <w:rPr>
          <w:rFonts w:ascii="ITC Avant Garde" w:hAnsi="ITC Avant Garde"/>
          <w:bCs/>
          <w:color w:val="000000"/>
          <w:sz w:val="16"/>
          <w:szCs w:val="16"/>
        </w:rPr>
        <w:t xml:space="preserve">. </w:t>
      </w:r>
      <w:r w:rsidRPr="007B356E">
        <w:rPr>
          <w:rFonts w:ascii="ITC Avant Garde" w:hAnsi="ITC Avant Garde"/>
          <w:bCs/>
          <w:color w:val="000000"/>
          <w:sz w:val="16"/>
          <w:szCs w:val="16"/>
        </w:rPr>
        <w:tab/>
      </w:r>
      <w:r w:rsidRPr="007B356E">
        <w:rPr>
          <w:rFonts w:ascii="ITC Avant Garde" w:hAnsi="ITC Avant Garde"/>
          <w:b/>
          <w:bCs/>
          <w:color w:val="000000"/>
          <w:sz w:val="16"/>
          <w:szCs w:val="16"/>
        </w:rPr>
        <w:t>Adolfo Cuevas Teja</w:t>
      </w:r>
      <w:r w:rsidRPr="007B356E">
        <w:rPr>
          <w:rFonts w:ascii="ITC Avant Garde" w:hAnsi="ITC Avant Garde"/>
          <w:bCs/>
          <w:color w:val="000000"/>
          <w:sz w:val="16"/>
          <w:szCs w:val="16"/>
        </w:rPr>
        <w:t xml:space="preserve">, Comisionado Presidente del Instituto Federal de Telecomunicaciones. - Para su conocimiento. Correo electrónico: </w:t>
      </w:r>
      <w:hyperlink r:id="rId8" w:history="1">
        <w:r w:rsidRPr="007B356E">
          <w:rPr>
            <w:rStyle w:val="Hipervnculo"/>
            <w:rFonts w:ascii="ITC Avant Garde" w:hAnsi="ITC Avant Garde"/>
            <w:bCs/>
            <w:sz w:val="16"/>
            <w:szCs w:val="16"/>
          </w:rPr>
          <w:t>adolfo.cuevas@ift.org.mx</w:t>
        </w:r>
      </w:hyperlink>
    </w:p>
    <w:p w:rsidR="000E651D" w:rsidRPr="007B356E" w:rsidRDefault="000E651D" w:rsidP="007B356E">
      <w:pPr>
        <w:pStyle w:val="Sinespaciado"/>
        <w:ind w:left="705" w:hanging="705"/>
        <w:jc w:val="both"/>
        <w:rPr>
          <w:rStyle w:val="Hipervnculo"/>
          <w:rFonts w:ascii="ITC Avant Garde" w:hAnsi="ITC Avant Garde"/>
          <w:bCs/>
          <w:sz w:val="16"/>
          <w:szCs w:val="16"/>
        </w:rPr>
      </w:pPr>
      <w:r w:rsidRPr="007B356E">
        <w:rPr>
          <w:rFonts w:ascii="ITC Avant Garde" w:hAnsi="ITC Avant Garde"/>
          <w:color w:val="000000"/>
          <w:sz w:val="16"/>
          <w:szCs w:val="16"/>
        </w:rPr>
        <w:tab/>
      </w:r>
      <w:r w:rsidRPr="007B356E">
        <w:rPr>
          <w:rFonts w:ascii="ITC Avant Garde" w:hAnsi="ITC Avant Garde"/>
          <w:b/>
          <w:bCs/>
          <w:color w:val="000000"/>
          <w:sz w:val="16"/>
          <w:szCs w:val="16"/>
        </w:rPr>
        <w:t>Juan José Crispín Borbolla</w:t>
      </w:r>
      <w:r w:rsidRPr="007B356E">
        <w:rPr>
          <w:rFonts w:ascii="ITC Avant Garde" w:hAnsi="ITC Avant Garde"/>
          <w:bCs/>
          <w:color w:val="000000"/>
          <w:sz w:val="16"/>
          <w:szCs w:val="16"/>
        </w:rPr>
        <w:t xml:space="preserve">, Coordinador Ejecutivo del Instituto Federal de Telecomunicaciones. - Mismo fin. Correo electrónico: </w:t>
      </w:r>
      <w:hyperlink r:id="rId9" w:history="1">
        <w:r w:rsidRPr="007B356E">
          <w:rPr>
            <w:rStyle w:val="Hipervnculo"/>
            <w:rFonts w:ascii="ITC Avant Garde" w:hAnsi="ITC Avant Garde"/>
            <w:bCs/>
            <w:sz w:val="16"/>
            <w:szCs w:val="16"/>
          </w:rPr>
          <w:t>juan.crispin@ift.org.mx</w:t>
        </w:r>
      </w:hyperlink>
    </w:p>
    <w:p w:rsidR="000E651D" w:rsidRPr="007B356E" w:rsidRDefault="000E651D" w:rsidP="007B356E">
      <w:pPr>
        <w:pStyle w:val="Sinespaciado"/>
        <w:ind w:left="705" w:hanging="705"/>
        <w:jc w:val="both"/>
        <w:rPr>
          <w:rStyle w:val="Hipervnculo"/>
          <w:rFonts w:ascii="ITC Avant Garde" w:hAnsi="ITC Avant Garde"/>
          <w:bCs/>
          <w:sz w:val="16"/>
          <w:szCs w:val="16"/>
        </w:rPr>
      </w:pPr>
      <w:r w:rsidRPr="007B356E">
        <w:rPr>
          <w:rFonts w:ascii="ITC Avant Garde" w:hAnsi="ITC Avant Garde"/>
          <w:color w:val="000000"/>
          <w:sz w:val="16"/>
          <w:szCs w:val="16"/>
        </w:rPr>
        <w:tab/>
      </w:r>
      <w:r w:rsidRPr="007B356E">
        <w:rPr>
          <w:rFonts w:ascii="ITC Avant Garde" w:hAnsi="ITC Avant Garde"/>
          <w:b/>
          <w:bCs/>
          <w:color w:val="000000"/>
          <w:sz w:val="16"/>
          <w:szCs w:val="16"/>
        </w:rPr>
        <w:t xml:space="preserve">Rodrigo Guzmán Araujo </w:t>
      </w:r>
      <w:proofErr w:type="spellStart"/>
      <w:r w:rsidRPr="007B356E">
        <w:rPr>
          <w:rFonts w:ascii="ITC Avant Garde" w:hAnsi="ITC Avant Garde"/>
          <w:b/>
          <w:bCs/>
          <w:color w:val="000000"/>
          <w:sz w:val="16"/>
          <w:szCs w:val="16"/>
        </w:rPr>
        <w:t>Mérigo</w:t>
      </w:r>
      <w:proofErr w:type="spellEnd"/>
      <w:r w:rsidRPr="007B356E">
        <w:rPr>
          <w:rFonts w:ascii="ITC Avant Garde" w:hAnsi="ITC Avant Garde"/>
          <w:bCs/>
          <w:color w:val="000000"/>
          <w:sz w:val="16"/>
          <w:szCs w:val="16"/>
        </w:rPr>
        <w:t xml:space="preserve">, Titular de la Unidad de Asuntos Jurídicos del Instituto Federal de Telecomunicaciones. -  Mismo fin. Correo electrónico: </w:t>
      </w:r>
      <w:hyperlink r:id="rId10" w:history="1">
        <w:r w:rsidRPr="007B356E">
          <w:rPr>
            <w:rStyle w:val="Hipervnculo"/>
            <w:rFonts w:ascii="ITC Avant Garde" w:hAnsi="ITC Avant Garde"/>
            <w:bCs/>
            <w:sz w:val="16"/>
            <w:szCs w:val="16"/>
          </w:rPr>
          <w:t>rodrigo.guzman@ift.org.mx</w:t>
        </w:r>
      </w:hyperlink>
    </w:p>
    <w:p w:rsidR="00281FEA" w:rsidRPr="007B356E" w:rsidRDefault="00281FEA" w:rsidP="007B356E">
      <w:pPr>
        <w:spacing w:after="0" w:line="240" w:lineRule="auto"/>
        <w:ind w:right="616"/>
        <w:rPr>
          <w:rFonts w:ascii="ITC Avant Garde" w:hAnsi="ITC Avant Garde"/>
          <w:i/>
          <w:sz w:val="18"/>
          <w:szCs w:val="18"/>
        </w:rPr>
      </w:pPr>
    </w:p>
    <w:p w:rsidR="00A27BD7" w:rsidRPr="007B356E" w:rsidRDefault="007B356E" w:rsidP="007B356E">
      <w:pPr>
        <w:spacing w:after="0" w:line="240" w:lineRule="auto"/>
        <w:ind w:left="1418" w:right="1183"/>
        <w:jc w:val="center"/>
        <w:rPr>
          <w:sz w:val="15"/>
          <w:szCs w:val="15"/>
        </w:rPr>
      </w:pPr>
      <w:r>
        <w:rPr>
          <w:rFonts w:ascii="ITC Avant Garde" w:hAnsi="ITC Avant Garde"/>
          <w:i/>
          <w:sz w:val="15"/>
          <w:szCs w:val="15"/>
        </w:rPr>
        <w:t>Tomando de</w:t>
      </w:r>
      <w:r w:rsidR="00A27BD7" w:rsidRPr="007B356E">
        <w:rPr>
          <w:rFonts w:ascii="ITC Avant Garde" w:hAnsi="ITC Avant Garde"/>
          <w:i/>
          <w:sz w:val="15"/>
          <w:szCs w:val="15"/>
        </w:rPr>
        <w:t xml:space="preserve"> referencia lo señalado en el “Acuerdo mediante el cual el Pleno del Instituto Federal de Telecomunicaciones expide los Lineamientos de Austeridad y Ajuste Presupuestario para el Ejercicio Fiscal 2020”, se informa que las copias de conocimiento que se marcan en el presente documento se enviarán a través de medios electrónicos.</w:t>
      </w:r>
    </w:p>
    <w:sectPr w:rsidR="00A27BD7" w:rsidRPr="007B356E" w:rsidSect="00DD6C2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311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8D" w:rsidRDefault="000E178D" w:rsidP="00406DF7">
      <w:pPr>
        <w:spacing w:after="0" w:line="240" w:lineRule="auto"/>
      </w:pPr>
      <w:r>
        <w:separator/>
      </w:r>
    </w:p>
  </w:endnote>
  <w:endnote w:type="continuationSeparator" w:id="0">
    <w:p w:rsidR="000E178D" w:rsidRDefault="000E178D" w:rsidP="0040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16"/>
        <w:szCs w:val="16"/>
      </w:rPr>
      <w:id w:val="-492944024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57F2" w:rsidRPr="00F957F2" w:rsidRDefault="00F957F2">
            <w:pPr>
              <w:pStyle w:val="Piedepgina"/>
              <w:jc w:val="right"/>
              <w:rPr>
                <w:rFonts w:ascii="ITC Avant Garde" w:hAnsi="ITC Avant Garde"/>
                <w:sz w:val="16"/>
                <w:szCs w:val="16"/>
              </w:rPr>
            </w:pPr>
            <w:r w:rsidRPr="00F957F2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Página </w:t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instrText>PAGE</w:instrText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1D053E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2</w:t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  <w:r w:rsidRPr="00F957F2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 de </w:t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instrText>NUMPAGES</w:instrText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1D053E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2</w:t>
            </w:r>
            <w:r w:rsidRPr="00F957F2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957F2" w:rsidRDefault="00F95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8D" w:rsidRDefault="000E178D" w:rsidP="00406DF7">
      <w:pPr>
        <w:spacing w:after="0" w:line="240" w:lineRule="auto"/>
      </w:pPr>
      <w:r>
        <w:separator/>
      </w:r>
    </w:p>
  </w:footnote>
  <w:footnote w:type="continuationSeparator" w:id="0">
    <w:p w:rsidR="000E178D" w:rsidRDefault="000E178D" w:rsidP="00406DF7">
      <w:pPr>
        <w:spacing w:after="0" w:line="240" w:lineRule="auto"/>
      </w:pPr>
      <w:r>
        <w:continuationSeparator/>
      </w:r>
    </w:p>
  </w:footnote>
  <w:footnote w:id="1">
    <w:p w:rsidR="000E651D" w:rsidRPr="007B356E" w:rsidRDefault="000E651D" w:rsidP="000E651D">
      <w:pPr>
        <w:pStyle w:val="Textonotapie"/>
        <w:jc w:val="both"/>
        <w:rPr>
          <w:rFonts w:ascii="ITC Avant Garde" w:hAnsi="ITC Avant Garde"/>
          <w:sz w:val="15"/>
          <w:szCs w:val="15"/>
        </w:rPr>
      </w:pPr>
      <w:r w:rsidRPr="007B356E">
        <w:rPr>
          <w:rStyle w:val="Refdenotaalpie"/>
          <w:rFonts w:ascii="ITC Avant Garde" w:hAnsi="ITC Avant Garde"/>
          <w:sz w:val="15"/>
          <w:szCs w:val="15"/>
        </w:rPr>
        <w:footnoteRef/>
      </w:r>
      <w:r w:rsidRPr="007B356E">
        <w:rPr>
          <w:rFonts w:ascii="ITC Avant Garde" w:hAnsi="ITC Avant Garde"/>
          <w:sz w:val="15"/>
          <w:szCs w:val="15"/>
        </w:rPr>
        <w:t xml:space="preserve"> Publicados en el Diario Oficial de la Federación el 8 de noviembre de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F7" w:rsidRDefault="000E651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5575" cy="10058400"/>
          <wp:effectExtent l="0" t="0" r="0" b="0"/>
          <wp:wrapNone/>
          <wp:docPr id="3" name="Imagen 3" descr="Hoja mem 2021_ro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Hoja mem 2021_ro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16" w:rsidRDefault="000E651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-721995</wp:posOffset>
          </wp:positionH>
          <wp:positionV relativeFrom="margin">
            <wp:posOffset>-1982470</wp:posOffset>
          </wp:positionV>
          <wp:extent cx="7775575" cy="10058400"/>
          <wp:effectExtent l="0" t="0" r="0" b="0"/>
          <wp:wrapNone/>
          <wp:docPr id="2" name="Imagen 2" descr="Hoja mem 2021_ro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Hoja mem 2021_ro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F7" w:rsidRDefault="000E178D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103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Hoja mem 2021_ro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664"/>
    <w:multiLevelType w:val="hybridMultilevel"/>
    <w:tmpl w:val="7A06CF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F7"/>
    <w:rsid w:val="00004C88"/>
    <w:rsid w:val="0001622A"/>
    <w:rsid w:val="000805BC"/>
    <w:rsid w:val="000D09F9"/>
    <w:rsid w:val="000E178D"/>
    <w:rsid w:val="000E651D"/>
    <w:rsid w:val="001442DD"/>
    <w:rsid w:val="0015580A"/>
    <w:rsid w:val="00190A5F"/>
    <w:rsid w:val="00197D24"/>
    <w:rsid w:val="001A4263"/>
    <w:rsid w:val="001C1C34"/>
    <w:rsid w:val="001D053E"/>
    <w:rsid w:val="00223614"/>
    <w:rsid w:val="00272DD8"/>
    <w:rsid w:val="00281FEA"/>
    <w:rsid w:val="00291A12"/>
    <w:rsid w:val="002A2415"/>
    <w:rsid w:val="002E6ED4"/>
    <w:rsid w:val="00406DF7"/>
    <w:rsid w:val="004857D8"/>
    <w:rsid w:val="00494BA5"/>
    <w:rsid w:val="00496A86"/>
    <w:rsid w:val="00500879"/>
    <w:rsid w:val="006F490D"/>
    <w:rsid w:val="00711270"/>
    <w:rsid w:val="007963D2"/>
    <w:rsid w:val="007976BF"/>
    <w:rsid w:val="007B356E"/>
    <w:rsid w:val="007E7698"/>
    <w:rsid w:val="00824320"/>
    <w:rsid w:val="0084184E"/>
    <w:rsid w:val="00847DB3"/>
    <w:rsid w:val="00854F1B"/>
    <w:rsid w:val="008D6BBE"/>
    <w:rsid w:val="008F30CF"/>
    <w:rsid w:val="00914A75"/>
    <w:rsid w:val="0092439A"/>
    <w:rsid w:val="00980590"/>
    <w:rsid w:val="00995F16"/>
    <w:rsid w:val="009A4EB7"/>
    <w:rsid w:val="009E50AB"/>
    <w:rsid w:val="00A02D10"/>
    <w:rsid w:val="00A11EC2"/>
    <w:rsid w:val="00A27BD7"/>
    <w:rsid w:val="00A72149"/>
    <w:rsid w:val="00AE2D8D"/>
    <w:rsid w:val="00B73776"/>
    <w:rsid w:val="00B74212"/>
    <w:rsid w:val="00BA6D11"/>
    <w:rsid w:val="00BB22C6"/>
    <w:rsid w:val="00BE2587"/>
    <w:rsid w:val="00BF63DD"/>
    <w:rsid w:val="00C0015F"/>
    <w:rsid w:val="00C652AC"/>
    <w:rsid w:val="00CC18FC"/>
    <w:rsid w:val="00D9759D"/>
    <w:rsid w:val="00DA776A"/>
    <w:rsid w:val="00DB0771"/>
    <w:rsid w:val="00DC3E09"/>
    <w:rsid w:val="00DD6C21"/>
    <w:rsid w:val="00DE09C3"/>
    <w:rsid w:val="00E02CC7"/>
    <w:rsid w:val="00E16803"/>
    <w:rsid w:val="00E576F5"/>
    <w:rsid w:val="00EB1302"/>
    <w:rsid w:val="00EE7C64"/>
    <w:rsid w:val="00F957F2"/>
    <w:rsid w:val="00F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."/>
  <w:listSeparator w:val=","/>
  <w14:docId w14:val="169B5519"/>
  <w15:docId w15:val="{F3A09F68-B314-426D-A493-B1CC724A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DF7"/>
  </w:style>
  <w:style w:type="paragraph" w:styleId="Piedepgina">
    <w:name w:val="footer"/>
    <w:basedOn w:val="Normal"/>
    <w:link w:val="PiedepginaCar"/>
    <w:uiPriority w:val="99"/>
    <w:unhideWhenUsed/>
    <w:rsid w:val="0040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DF7"/>
  </w:style>
  <w:style w:type="paragraph" w:customStyle="1" w:styleId="estilo30">
    <w:name w:val="estilo30"/>
    <w:basedOn w:val="Normal"/>
    <w:rsid w:val="000E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E651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E651D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0E65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65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65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651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651D"/>
    <w:rPr>
      <w:vertAlign w:val="superscript"/>
    </w:rPr>
  </w:style>
  <w:style w:type="paragraph" w:customStyle="1" w:styleId="Default">
    <w:name w:val="Default"/>
    <w:rsid w:val="000E651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lfo.cuevas@ift.org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drigo.guzman@ift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crispin@ift.org.m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C350-285C-4A28-A09E-E91C77B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Alejandro Patiño Ascencio</dc:creator>
  <cp:lastModifiedBy>Luis Fernando Rosas Yanez</cp:lastModifiedBy>
  <cp:revision>3</cp:revision>
  <dcterms:created xsi:type="dcterms:W3CDTF">2021-01-21T18:53:00Z</dcterms:created>
  <dcterms:modified xsi:type="dcterms:W3CDTF">2021-01-21T19:16:00Z</dcterms:modified>
</cp:coreProperties>
</file>