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E401" w14:textId="77777777" w:rsidR="006166DB" w:rsidRPr="00953C78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953C78">
        <w:rPr>
          <w:rFonts w:ascii="ITC Avant Garde" w:hAnsi="ITC Avant Garde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953C78" w14:paraId="1B2E1BC8" w14:textId="77777777" w:rsidTr="00DF074B">
        <w:tc>
          <w:tcPr>
            <w:tcW w:w="8828" w:type="dxa"/>
          </w:tcPr>
          <w:p w14:paraId="5E631BCB" w14:textId="6CA9E8BE" w:rsidR="006166DB" w:rsidRPr="00953C78" w:rsidRDefault="001B3018" w:rsidP="00935B87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bookmarkStart w:id="0" w:name="_GoBack"/>
            <w:r w:rsidRPr="00953C7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Acuerdo mediante el cual el Pleno del Instituto Federal de Telecomunicaciones expide la </w:t>
            </w:r>
            <w:r w:rsidR="00935B87" w:rsidRPr="00953C7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Disposición Técnica IFT-004-2016, Interfaz a redes públicas para equipos terminales.</w:t>
            </w:r>
            <w:bookmarkEnd w:id="0"/>
          </w:p>
        </w:tc>
      </w:tr>
    </w:tbl>
    <w:p w14:paraId="52EC83BF" w14:textId="77777777" w:rsidR="006166DB" w:rsidRPr="00953C78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6872A26" w14:textId="77777777" w:rsidR="006166DB" w:rsidRPr="00953C78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953C78">
        <w:rPr>
          <w:rFonts w:ascii="ITC Avant Garde" w:hAnsi="ITC Avant Garde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953C78" w14:paraId="454C3A95" w14:textId="77777777" w:rsidTr="00DF074B">
        <w:tc>
          <w:tcPr>
            <w:tcW w:w="8828" w:type="dxa"/>
          </w:tcPr>
          <w:p w14:paraId="1A68E5FF" w14:textId="60A22B05" w:rsidR="006166DB" w:rsidRPr="00953C78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953C78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16-01-13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935B87" w:rsidRPr="00953C78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13</w:t>
                </w:r>
                <w:r w:rsidR="00AF71CC" w:rsidRPr="00953C78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/0</w:t>
                </w:r>
                <w:r w:rsidR="00935B87" w:rsidRPr="00953C78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1</w:t>
                </w:r>
                <w:r w:rsidR="0092333A" w:rsidRPr="00953C78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/201</w:t>
                </w:r>
                <w:r w:rsidR="00935B87" w:rsidRPr="00953C78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6</w:t>
                </w:r>
              </w:sdtContent>
            </w:sdt>
          </w:p>
        </w:tc>
      </w:tr>
      <w:tr w:rsidR="003F1D7B" w:rsidRPr="00953C78" w14:paraId="098151CF" w14:textId="77777777" w:rsidTr="00DF074B">
        <w:tc>
          <w:tcPr>
            <w:tcW w:w="8828" w:type="dxa"/>
          </w:tcPr>
          <w:p w14:paraId="07D4CB20" w14:textId="32B547CA" w:rsidR="003F1D7B" w:rsidRPr="00953C78" w:rsidRDefault="003F1D7B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953C78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publicación en el DOF: </w:t>
            </w:r>
            <w:r w:rsidR="00935B87" w:rsidRPr="00953C78">
              <w:rPr>
                <w:rStyle w:val="Estilo4"/>
                <w:rFonts w:ascii="ITC Avant Garde" w:hAnsi="ITC Avant Garde"/>
                <w:sz w:val="21"/>
                <w:szCs w:val="21"/>
              </w:rPr>
              <w:t>2</w:t>
            </w:r>
            <w:r w:rsidRPr="00953C78">
              <w:rPr>
                <w:rStyle w:val="Estilo4"/>
                <w:rFonts w:ascii="ITC Avant Garde" w:hAnsi="ITC Avant Garde"/>
                <w:sz w:val="21"/>
                <w:szCs w:val="21"/>
              </w:rPr>
              <w:t>1/0</w:t>
            </w:r>
            <w:r w:rsidR="00935B87" w:rsidRPr="00953C78">
              <w:rPr>
                <w:rStyle w:val="Estilo4"/>
                <w:rFonts w:ascii="ITC Avant Garde" w:hAnsi="ITC Avant Garde"/>
                <w:sz w:val="21"/>
                <w:szCs w:val="21"/>
              </w:rPr>
              <w:t>1</w:t>
            </w:r>
            <w:r w:rsidRPr="00953C78">
              <w:rPr>
                <w:rStyle w:val="Estilo4"/>
                <w:rFonts w:ascii="ITC Avant Garde" w:hAnsi="ITC Avant Garde"/>
                <w:sz w:val="21"/>
                <w:szCs w:val="21"/>
              </w:rPr>
              <w:t>/201</w:t>
            </w:r>
            <w:r w:rsidR="00935B87" w:rsidRPr="00953C78">
              <w:rPr>
                <w:rStyle w:val="Estilo4"/>
                <w:rFonts w:ascii="ITC Avant Garde" w:hAnsi="ITC Avant Garde"/>
                <w:sz w:val="21"/>
                <w:szCs w:val="21"/>
              </w:rPr>
              <w:t>6</w:t>
            </w:r>
          </w:p>
        </w:tc>
      </w:tr>
      <w:tr w:rsidR="00DF074B" w:rsidRPr="00953C78" w14:paraId="784A8897" w14:textId="77777777" w:rsidTr="00A42CD9">
        <w:trPr>
          <w:trHeight w:val="261"/>
        </w:trPr>
        <w:tc>
          <w:tcPr>
            <w:tcW w:w="8828" w:type="dxa"/>
          </w:tcPr>
          <w:p w14:paraId="335C558B" w14:textId="7E1989E3" w:rsidR="00DF074B" w:rsidRPr="00953C78" w:rsidRDefault="004C31A6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953C78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935B87" w:rsidRPr="00953C78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953C78" w14:paraId="25C2F9B9" w14:textId="77777777" w:rsidTr="00DF074B">
        <w:tc>
          <w:tcPr>
            <w:tcW w:w="8828" w:type="dxa"/>
          </w:tcPr>
          <w:p w14:paraId="24327D22" w14:textId="77777777" w:rsidR="006166DB" w:rsidRPr="00953C78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953C78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16-01-20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92333A" w:rsidRPr="00953C78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2</w:t>
                </w:r>
                <w:r w:rsidR="00935B87" w:rsidRPr="00953C78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0</w:t>
                </w:r>
                <w:r w:rsidR="0092333A" w:rsidRPr="00953C78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/0</w:t>
                </w:r>
                <w:r w:rsidR="00935B87" w:rsidRPr="00953C78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1</w:t>
                </w:r>
                <w:r w:rsidR="0092333A" w:rsidRPr="00953C78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/201</w:t>
                </w:r>
                <w:r w:rsidR="00935B87" w:rsidRPr="00953C78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6</w:t>
                </w:r>
              </w:sdtContent>
            </w:sdt>
            <w:r w:rsidRPr="00953C78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  <w:p w14:paraId="187042E5" w14:textId="4EB944EF" w:rsidR="0011506B" w:rsidRPr="00953C78" w:rsidRDefault="0011506B" w:rsidP="0011506B">
            <w:pPr>
              <w:contextualSpacing/>
              <w:mirrorIndents/>
              <w:jc w:val="both"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953C78">
              <w:rPr>
                <w:rStyle w:val="Estilo4"/>
                <w:rFonts w:ascii="ITC Avant Garde" w:hAnsi="ITC Avant Garde"/>
                <w:sz w:val="21"/>
                <w:szCs w:val="21"/>
              </w:rPr>
              <w:t>Las secciones 5.1.8, 5.1.12.2, 6.1.8.2 y 6.1.12 de la presente Disposición Técnica entrarán en vigor el 20 de marzo de 2016</w:t>
            </w:r>
          </w:p>
        </w:tc>
      </w:tr>
      <w:tr w:rsidR="00DF074B" w:rsidRPr="00953C78" w14:paraId="5C60735A" w14:textId="77777777" w:rsidTr="007F5106">
        <w:trPr>
          <w:trHeight w:val="50"/>
        </w:trPr>
        <w:tc>
          <w:tcPr>
            <w:tcW w:w="8828" w:type="dxa"/>
          </w:tcPr>
          <w:p w14:paraId="43F30054" w14:textId="1AA857E7" w:rsidR="00DF074B" w:rsidRPr="00953C78" w:rsidRDefault="00DF074B" w:rsidP="00DF074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953C78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Término de la vigencia: </w:t>
            </w:r>
            <w:r w:rsidR="00935B87" w:rsidRPr="00953C78">
              <w:rPr>
                <w:rStyle w:val="Estilo4"/>
                <w:rFonts w:ascii="ITC Avant Garde" w:hAnsi="ITC Avant Garde"/>
                <w:sz w:val="21"/>
                <w:szCs w:val="21"/>
              </w:rPr>
              <w:t>No aplica</w:t>
            </w:r>
          </w:p>
        </w:tc>
      </w:tr>
    </w:tbl>
    <w:p w14:paraId="1F20BE9D" w14:textId="77777777" w:rsidR="00FB7817" w:rsidRPr="00953C78" w:rsidRDefault="00FB7817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6657EF3" w14:textId="77777777" w:rsidR="006166DB" w:rsidRPr="00953C78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953C78">
        <w:rPr>
          <w:rFonts w:ascii="ITC Avant Garde" w:hAnsi="ITC Avant Garde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953C78" w14:paraId="2E594784" w14:textId="77777777" w:rsidTr="00DF074B">
        <w:tc>
          <w:tcPr>
            <w:tcW w:w="8828" w:type="dxa"/>
          </w:tcPr>
          <w:p w14:paraId="6C41AB66" w14:textId="462E1953" w:rsidR="006166DB" w:rsidRPr="00953C78" w:rsidRDefault="00135F96" w:rsidP="002434FF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953C78">
              <w:rPr>
                <w:rFonts w:ascii="ITC Avant Garde" w:hAnsi="ITC Avant Garde"/>
                <w:sz w:val="21"/>
                <w:szCs w:val="21"/>
              </w:rPr>
              <w:t>Instituto Federal de Telecomunicaciones</w:t>
            </w:r>
          </w:p>
        </w:tc>
      </w:tr>
    </w:tbl>
    <w:p w14:paraId="32195651" w14:textId="77777777" w:rsidR="006166DB" w:rsidRPr="00953C78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1112038" w14:textId="77777777" w:rsidR="006166DB" w:rsidRPr="00953C78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953C78">
        <w:rPr>
          <w:rFonts w:ascii="ITC Avant Garde" w:hAnsi="ITC Avant Garde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953C78" w14:paraId="0FEE5916" w14:textId="77777777" w:rsidTr="00DF074B">
        <w:tc>
          <w:tcPr>
            <w:tcW w:w="8828" w:type="dxa"/>
          </w:tcPr>
          <w:p w14:paraId="043F6ABC" w14:textId="6CB11A63" w:rsidR="006166DB" w:rsidRPr="00953C78" w:rsidRDefault="00135F96" w:rsidP="002434FF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953C78">
              <w:rPr>
                <w:rFonts w:ascii="ITC Avant Garde" w:hAnsi="ITC Avant Garde"/>
                <w:sz w:val="21"/>
                <w:szCs w:val="21"/>
              </w:rPr>
              <w:t>Instituto Federal de Telecomunicaciones</w:t>
            </w:r>
          </w:p>
        </w:tc>
      </w:tr>
    </w:tbl>
    <w:p w14:paraId="45DC499A" w14:textId="063A5F7C" w:rsidR="006166DB" w:rsidRPr="00953C78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315D7AB" w14:textId="77777777" w:rsidR="00DC3A1A" w:rsidRPr="00953C78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953C78">
        <w:rPr>
          <w:rFonts w:ascii="ITC Avant Garde" w:hAnsi="ITC Avant Garde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953C78" w14:paraId="749D808B" w14:textId="77777777" w:rsidTr="00DF074B">
        <w:tc>
          <w:tcPr>
            <w:tcW w:w="8828" w:type="dxa"/>
          </w:tcPr>
          <w:p w14:paraId="07FF9FAE" w14:textId="2A8BA916" w:rsidR="00DC3A1A" w:rsidRPr="00953C78" w:rsidRDefault="00C76443" w:rsidP="00DF074B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953C78"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953C78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135F96" w:rsidRPr="00953C78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953C78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F008405" w14:textId="67E4D8D6" w:rsidR="006166DB" w:rsidRPr="00953C78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953C78">
        <w:rPr>
          <w:rFonts w:ascii="ITC Avant Garde" w:hAnsi="ITC Avant Garde"/>
          <w:b/>
          <w:color w:val="000000" w:themeColor="text1"/>
          <w:sz w:val="21"/>
          <w:szCs w:val="21"/>
        </w:rPr>
        <w:t>6</w:t>
      </w:r>
      <w:r w:rsidR="006166DB" w:rsidRPr="00953C78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953C78" w14:paraId="380262AA" w14:textId="77777777" w:rsidTr="00DF074B">
        <w:tc>
          <w:tcPr>
            <w:tcW w:w="8828" w:type="dxa"/>
          </w:tcPr>
          <w:p w14:paraId="1917902A" w14:textId="4EA8F0D6" w:rsidR="006166DB" w:rsidRPr="00953C78" w:rsidRDefault="00135F96" w:rsidP="0092333A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953C7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4E8FF191" w14:textId="77777777" w:rsidR="006166DB" w:rsidRPr="00953C78" w:rsidRDefault="006166DB" w:rsidP="002434FF">
      <w:pPr>
        <w:spacing w:after="0" w:line="240" w:lineRule="auto"/>
        <w:ind w:firstLine="708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03333167" w14:textId="178A32D8" w:rsidR="006166DB" w:rsidRPr="00953C78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953C78">
        <w:rPr>
          <w:rFonts w:ascii="ITC Avant Garde" w:hAnsi="ITC Avant Garde"/>
          <w:b/>
          <w:color w:val="000000" w:themeColor="text1"/>
          <w:sz w:val="21"/>
          <w:szCs w:val="21"/>
        </w:rPr>
        <w:t>7</w:t>
      </w:r>
      <w:r w:rsidR="006166DB" w:rsidRPr="00953C78">
        <w:rPr>
          <w:rFonts w:ascii="ITC Avant Garde" w:hAnsi="ITC Avant Garde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953C78" w14:paraId="00840257" w14:textId="77777777" w:rsidTr="00DF074B">
        <w:tc>
          <w:tcPr>
            <w:tcW w:w="8828" w:type="dxa"/>
          </w:tcPr>
          <w:p w14:paraId="5DFAFB35" w14:textId="297500CF" w:rsidR="006166DB" w:rsidRPr="00953C78" w:rsidRDefault="00535181" w:rsidP="002434FF">
            <w:pPr>
              <w:contextualSpacing/>
              <w:mirrorIndents/>
              <w:jc w:val="both"/>
              <w:rPr>
                <w:rFonts w:ascii="ITC Avant Garde" w:hAnsi="ITC Avant Garde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color w:val="AEAAAA" w:themeColor="background2" w:themeShade="BF"/>
                </w:rPr>
              </w:sdtEndPr>
              <w:sdtContent>
                <w:r w:rsidR="005B6688" w:rsidRPr="00953C78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Disposición Técnica</w:t>
                </w:r>
              </w:sdtContent>
            </w:sdt>
          </w:p>
        </w:tc>
      </w:tr>
    </w:tbl>
    <w:p w14:paraId="635A852A" w14:textId="77777777" w:rsidR="006166DB" w:rsidRPr="00953C78" w:rsidRDefault="006166DB" w:rsidP="002434FF">
      <w:pPr>
        <w:spacing w:after="0" w:line="240" w:lineRule="auto"/>
        <w:contextualSpacing/>
        <w:mirrorIndents/>
        <w:jc w:val="both"/>
        <w:rPr>
          <w:rFonts w:ascii="ITC Avant Garde" w:hAnsi="ITC Avant Garde"/>
          <w:i/>
          <w:color w:val="000000" w:themeColor="text1"/>
          <w:sz w:val="21"/>
          <w:szCs w:val="21"/>
        </w:rPr>
      </w:pPr>
    </w:p>
    <w:p w14:paraId="22B399FE" w14:textId="67BB5306" w:rsidR="006166DB" w:rsidRPr="00953C78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953C78">
        <w:rPr>
          <w:rFonts w:ascii="ITC Avant Garde" w:hAnsi="ITC Avant Garde"/>
          <w:b/>
          <w:color w:val="000000" w:themeColor="text1"/>
          <w:sz w:val="21"/>
          <w:szCs w:val="21"/>
        </w:rPr>
        <w:t>8</w:t>
      </w:r>
      <w:r w:rsidR="006166DB" w:rsidRPr="00953C78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516696" w:rsidRPr="00953C78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6166DB" w:rsidRPr="00953C78">
        <w:rPr>
          <w:rFonts w:ascii="ITC Avant Garde" w:hAnsi="ITC Avant Garde"/>
          <w:sz w:val="21"/>
          <w:szCs w:val="21"/>
        </w:rPr>
        <w:t xml:space="preserve"> </w:t>
      </w:r>
      <w:r w:rsidR="006166DB" w:rsidRPr="00953C78">
        <w:rPr>
          <w:rFonts w:ascii="ITC Avant Garde" w:hAnsi="ITC Avant Garde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953C78" w14:paraId="040BA959" w14:textId="77777777" w:rsidTr="00F73022">
        <w:trPr>
          <w:trHeight w:val="65"/>
        </w:trPr>
        <w:tc>
          <w:tcPr>
            <w:tcW w:w="8828" w:type="dxa"/>
          </w:tcPr>
          <w:p w14:paraId="236D8863" w14:textId="09FF1CBC" w:rsidR="00135F96" w:rsidRPr="00953C78" w:rsidRDefault="00135F96" w:rsidP="00135F96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953C7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1. Objetivo</w:t>
            </w:r>
          </w:p>
          <w:p w14:paraId="3C16000D" w14:textId="1DDA4AD4" w:rsidR="00135F96" w:rsidRPr="00953C78" w:rsidRDefault="00135F96" w:rsidP="00135F96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953C7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2. Campo de aplicación</w:t>
            </w:r>
          </w:p>
          <w:p w14:paraId="330CD481" w14:textId="67BDB029" w:rsidR="00135F96" w:rsidRPr="00953C78" w:rsidRDefault="00135F96" w:rsidP="00135F96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953C7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3. Referencias</w:t>
            </w:r>
          </w:p>
          <w:p w14:paraId="0E413447" w14:textId="15D5839B" w:rsidR="00135F96" w:rsidRPr="00953C78" w:rsidRDefault="00135F96" w:rsidP="00135F96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953C7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4. Definiciones y abreviaturas</w:t>
            </w:r>
          </w:p>
          <w:p w14:paraId="767F5258" w14:textId="4EACF11B" w:rsidR="00135F96" w:rsidRPr="00953C78" w:rsidRDefault="00135F96" w:rsidP="00135F96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953C7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5. Especificaciones</w:t>
            </w:r>
          </w:p>
          <w:p w14:paraId="0D86EFE9" w14:textId="36B7C810" w:rsidR="00135F96" w:rsidRPr="00953C78" w:rsidRDefault="00135F96" w:rsidP="00135F96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953C7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6. Métodos de prueba</w:t>
            </w:r>
          </w:p>
          <w:p w14:paraId="0CAE6D87" w14:textId="0CCD6812" w:rsidR="00135F96" w:rsidRPr="00953C78" w:rsidRDefault="00135F96" w:rsidP="00135F96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953C7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7. Bibliografía</w:t>
            </w:r>
          </w:p>
          <w:p w14:paraId="1AAC8A25" w14:textId="06B24048" w:rsidR="00135F96" w:rsidRPr="00953C78" w:rsidRDefault="00135F96" w:rsidP="00135F96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953C7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8. Concordancia con normas internacionales</w:t>
            </w:r>
          </w:p>
          <w:p w14:paraId="683C6676" w14:textId="08BAD52F" w:rsidR="00135F96" w:rsidRPr="00953C78" w:rsidRDefault="00135F96" w:rsidP="00135F96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953C7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9. Evaluación de la conformidad y vigilancia del cumplimiento</w:t>
            </w:r>
          </w:p>
          <w:p w14:paraId="70339F78" w14:textId="02912BD8" w:rsidR="00135F96" w:rsidRPr="00953C78" w:rsidRDefault="00135F96" w:rsidP="00135F96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953C7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10.Contraseña de producto</w:t>
            </w:r>
          </w:p>
          <w:p w14:paraId="5F275C45" w14:textId="13CECD30" w:rsidR="00616CEE" w:rsidRPr="00953C78" w:rsidRDefault="00135F96" w:rsidP="00135F96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953C7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Transitorios</w:t>
            </w:r>
          </w:p>
        </w:tc>
      </w:tr>
    </w:tbl>
    <w:p w14:paraId="4E6C6C7C" w14:textId="26E165BB" w:rsidR="00F73022" w:rsidRPr="00953C78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0086D8F" w14:textId="4E5FCA62" w:rsidR="00516696" w:rsidRPr="00953C78" w:rsidRDefault="00516696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4BE3FDB9" w14:textId="0489802C" w:rsidR="00516696" w:rsidRPr="00953C78" w:rsidRDefault="00516696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A06C2EC" w14:textId="77777777" w:rsidR="00516696" w:rsidRPr="00953C78" w:rsidRDefault="00516696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08AB0E2" w14:textId="186CF435" w:rsidR="00F73022" w:rsidRPr="00953C78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953C78">
        <w:rPr>
          <w:rFonts w:ascii="ITC Avant Garde" w:hAnsi="ITC Avant Garde"/>
          <w:b/>
          <w:color w:val="000000" w:themeColor="text1"/>
          <w:sz w:val="21"/>
          <w:szCs w:val="21"/>
        </w:rPr>
        <w:t>9</w:t>
      </w:r>
      <w:r w:rsidR="00F73022" w:rsidRPr="00953C78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516696" w:rsidRPr="00953C78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F73022" w:rsidRPr="00953C78">
        <w:rPr>
          <w:rFonts w:ascii="ITC Avant Garde" w:hAnsi="ITC Avant Garde"/>
          <w:sz w:val="21"/>
          <w:szCs w:val="21"/>
        </w:rPr>
        <w:t xml:space="preserve"> </w:t>
      </w:r>
      <w:r w:rsidR="00F73022" w:rsidRPr="00953C78">
        <w:rPr>
          <w:rFonts w:ascii="ITC Avant Garde" w:hAnsi="ITC Avant Garde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953C78" w14:paraId="373C675C" w14:textId="77777777" w:rsidTr="00DF074B">
        <w:tc>
          <w:tcPr>
            <w:tcW w:w="8828" w:type="dxa"/>
          </w:tcPr>
          <w:p w14:paraId="53B08DCA" w14:textId="2D01370B" w:rsidR="00F73022" w:rsidRPr="00953C78" w:rsidRDefault="0069009E" w:rsidP="00135F96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953C7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lastRenderedPageBreak/>
              <w:t>E</w:t>
            </w:r>
            <w:r w:rsidR="00135F96" w:rsidRPr="00953C7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stablece</w:t>
            </w:r>
            <w:r w:rsidRPr="00953C7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r</w:t>
            </w:r>
            <w:r w:rsidR="00135F96" w:rsidRPr="00953C7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los parámetros técnicos </w:t>
            </w:r>
            <w:proofErr w:type="gramStart"/>
            <w:r w:rsidR="00135F96" w:rsidRPr="00953C7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mínimos</w:t>
            </w:r>
            <w:proofErr w:type="gramEnd"/>
            <w:r w:rsidR="00135F96" w:rsidRPr="00953C7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así como los métodos de prueba que debe cumplir todo aquel equipo terminal que se conecte a través de un acceso alámbrico a una Red Pública de Telecomunicaciones.</w:t>
            </w:r>
          </w:p>
        </w:tc>
      </w:tr>
    </w:tbl>
    <w:p w14:paraId="2355FA42" w14:textId="77777777" w:rsidR="00F73022" w:rsidRPr="00953C78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46E748B" w14:textId="170A2651" w:rsidR="006166DB" w:rsidRPr="00953C78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953C78">
        <w:rPr>
          <w:rFonts w:ascii="ITC Avant Garde" w:hAnsi="ITC Avant Garde"/>
          <w:b/>
          <w:color w:val="000000" w:themeColor="text1"/>
          <w:sz w:val="21"/>
          <w:szCs w:val="21"/>
        </w:rPr>
        <w:t>10</w:t>
      </w:r>
      <w:r w:rsidR="006166DB" w:rsidRPr="00953C78">
        <w:rPr>
          <w:rFonts w:ascii="ITC Avant Garde" w:hAnsi="ITC Avant Garde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953C78" w14:paraId="36A134C5" w14:textId="77777777" w:rsidTr="00DF074B">
        <w:tc>
          <w:tcPr>
            <w:tcW w:w="8828" w:type="dxa"/>
          </w:tcPr>
          <w:p w14:paraId="0C79C5AD" w14:textId="2A8115FC" w:rsidR="006166DB" w:rsidRPr="00953C78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953C78">
              <w:rPr>
                <w:rFonts w:ascii="ITC Avant Garde" w:hAnsi="ITC Avant Garde"/>
                <w:sz w:val="21"/>
                <w:szCs w:val="21"/>
              </w:rPr>
              <w:t>Materia: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135F96" w:rsidRPr="00953C78">
                  <w:rPr>
                    <w:rFonts w:ascii="ITC Avant Garde" w:hAnsi="ITC Avant Garde"/>
                    <w:sz w:val="21"/>
                    <w:szCs w:val="21"/>
                  </w:rPr>
                  <w:t xml:space="preserve">Telecomunicaciones y Radiodifusión </w:t>
                </w:r>
              </w:sdtContent>
            </w:sdt>
            <w:r w:rsidRPr="00953C78">
              <w:rPr>
                <w:rFonts w:ascii="ITC Avant Garde" w:hAnsi="ITC Avant Garde"/>
                <w:sz w:val="21"/>
                <w:szCs w:val="21"/>
              </w:rPr>
              <w:t xml:space="preserve">  </w:t>
            </w:r>
          </w:p>
        </w:tc>
      </w:tr>
      <w:tr w:rsidR="00AB4435" w:rsidRPr="00953C78" w14:paraId="30F0EDB5" w14:textId="77777777" w:rsidTr="00F54ADD">
        <w:trPr>
          <w:trHeight w:val="327"/>
        </w:trPr>
        <w:tc>
          <w:tcPr>
            <w:tcW w:w="8828" w:type="dxa"/>
          </w:tcPr>
          <w:p w14:paraId="210AA88D" w14:textId="690C967F" w:rsidR="00AB4435" w:rsidRPr="00953C78" w:rsidRDefault="00AB4435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953C78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491946186"/>
                <w:placeholder>
                  <w:docPart w:val="B7B2A591F3E2407F80AD5E90AA77E1C2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Pr="00953C78"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alámbricas</w:t>
                </w:r>
              </w:sdtContent>
            </w:sdt>
          </w:p>
        </w:tc>
      </w:tr>
      <w:tr w:rsidR="006166DB" w:rsidRPr="00953C78" w14:paraId="380D841C" w14:textId="77777777" w:rsidTr="00DF074B">
        <w:tc>
          <w:tcPr>
            <w:tcW w:w="8828" w:type="dxa"/>
          </w:tcPr>
          <w:p w14:paraId="6C9F585B" w14:textId="778950C3" w:rsidR="00FB7817" w:rsidRPr="00953C78" w:rsidRDefault="006166DB" w:rsidP="00806255">
            <w:pPr>
              <w:contextualSpacing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953C78">
              <w:rPr>
                <w:rFonts w:ascii="ITC Avant Garde" w:hAnsi="ITC Avant Garde"/>
                <w:sz w:val="21"/>
                <w:szCs w:val="21"/>
              </w:rPr>
              <w:t xml:space="preserve">Regulado: </w:t>
            </w:r>
            <w:r w:rsidR="0069009E" w:rsidRPr="00953C78">
              <w:rPr>
                <w:rFonts w:ascii="ITC Avant Garde" w:hAnsi="ITC Avant Garde"/>
                <w:sz w:val="21"/>
                <w:szCs w:val="21"/>
              </w:rPr>
              <w:t>L</w:t>
            </w:r>
            <w:r w:rsidR="00FB7817" w:rsidRPr="00953C78">
              <w:rPr>
                <w:rFonts w:ascii="ITC Avant Garde" w:hAnsi="ITC Avant Garde"/>
                <w:sz w:val="21"/>
                <w:szCs w:val="21"/>
              </w:rPr>
              <w:t>aboratorios de prueba, organismos de certificación</w:t>
            </w:r>
            <w:r w:rsidR="009B3AD9" w:rsidRPr="00953C78">
              <w:rPr>
                <w:rFonts w:ascii="ITC Avant Garde" w:hAnsi="ITC Avant Garde"/>
                <w:sz w:val="21"/>
                <w:szCs w:val="21"/>
              </w:rPr>
              <w:t>, fabricantes, importadores, comercializadores, distribuidores</w:t>
            </w:r>
            <w:r w:rsidR="00FB7817" w:rsidRPr="00953C78">
              <w:rPr>
                <w:rFonts w:ascii="ITC Avant Garde" w:hAnsi="ITC Avant Garde"/>
                <w:sz w:val="21"/>
                <w:szCs w:val="21"/>
              </w:rPr>
              <w:t xml:space="preserve"> y </w:t>
            </w:r>
            <w:r w:rsidR="009B3AD9" w:rsidRPr="00953C78">
              <w:rPr>
                <w:rFonts w:ascii="ITC Avant Garde" w:hAnsi="ITC Avant Garde"/>
                <w:sz w:val="21"/>
                <w:szCs w:val="21"/>
              </w:rPr>
              <w:t xml:space="preserve">cualquier persona interesada en obtener certificar un equipo terminal </w:t>
            </w:r>
            <w:r w:rsidR="00FB7817" w:rsidRPr="00953C78">
              <w:rPr>
                <w:rFonts w:ascii="ITC Avant Garde" w:hAnsi="ITC Avant Garde"/>
                <w:sz w:val="21"/>
                <w:szCs w:val="21"/>
              </w:rPr>
              <w:t>que se conecte</w:t>
            </w:r>
            <w:r w:rsidR="00742FCB" w:rsidRPr="00953C78">
              <w:rPr>
                <w:rFonts w:ascii="ITC Avant Garde" w:hAnsi="ITC Avant Garde"/>
                <w:sz w:val="21"/>
                <w:szCs w:val="21"/>
              </w:rPr>
              <w:t>n</w:t>
            </w:r>
            <w:r w:rsidR="00FB7817" w:rsidRPr="00953C78">
              <w:rPr>
                <w:rFonts w:ascii="ITC Avant Garde" w:hAnsi="ITC Avant Garde"/>
                <w:sz w:val="21"/>
                <w:szCs w:val="21"/>
              </w:rPr>
              <w:t xml:space="preserve"> a través de un acceso alámbrico a una Red Pública de Telecomunicaciones.</w:t>
            </w:r>
          </w:p>
        </w:tc>
      </w:tr>
    </w:tbl>
    <w:p w14:paraId="6F28DB01" w14:textId="5DEA0AD1" w:rsidR="001D0BED" w:rsidRPr="00953C78" w:rsidRDefault="001D0BED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9827835" w14:textId="77777777" w:rsidR="00DC3A1A" w:rsidRPr="00953C78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953C78">
        <w:rPr>
          <w:rFonts w:ascii="ITC Avant Garde" w:hAnsi="ITC Avant Garde"/>
          <w:b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953C78" w14:paraId="0977E504" w14:textId="77777777" w:rsidTr="00DF074B">
        <w:trPr>
          <w:trHeight w:val="65"/>
        </w:trPr>
        <w:tc>
          <w:tcPr>
            <w:tcW w:w="8828" w:type="dxa"/>
          </w:tcPr>
          <w:p w14:paraId="7F02B088" w14:textId="31E73AC5" w:rsidR="00EE7934" w:rsidRPr="00953C78" w:rsidRDefault="00EE7934" w:rsidP="007558FE">
            <w:pPr>
              <w:pStyle w:val="Prrafodelista"/>
              <w:numPr>
                <w:ilvl w:val="0"/>
                <w:numId w:val="11"/>
              </w:numPr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953C78">
              <w:rPr>
                <w:rFonts w:ascii="ITC Avant Garde" w:hAnsi="ITC Avant Garde"/>
                <w:sz w:val="21"/>
                <w:szCs w:val="21"/>
              </w:rPr>
              <w:t>Acuerdo mediante el cual el Pleno del Instituto Federal de Telecomunicaciones abroga diversos reglamentos expedidos con anterioridad a la entrada en vigor de la Ley Federal de Telecomunicaciones y Radiodifusión, y emite disposiciones aplicables al servicio de telefonía pública y las relativas al procedimiento de homologación de equipos.</w:t>
            </w:r>
          </w:p>
          <w:p w14:paraId="7D3D2C38" w14:textId="12524F8C" w:rsidR="00AB4435" w:rsidRPr="00953C78" w:rsidRDefault="00AB4435" w:rsidP="007558FE">
            <w:pPr>
              <w:pStyle w:val="Prrafodelista"/>
              <w:numPr>
                <w:ilvl w:val="0"/>
                <w:numId w:val="11"/>
              </w:numPr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953C78">
              <w:rPr>
                <w:rFonts w:ascii="ITC Avant Garde" w:hAnsi="ITC Avant Garde"/>
                <w:sz w:val="21"/>
                <w:szCs w:val="21"/>
              </w:rPr>
              <w:t>Lineamientos para la acreditación, autorización, designación y reconocimiento de laboratorios de prueba.</w:t>
            </w:r>
          </w:p>
          <w:p w14:paraId="7AC2642E" w14:textId="5CB6E10D" w:rsidR="00EE7934" w:rsidRPr="00953C78" w:rsidRDefault="00EE7934" w:rsidP="007558FE">
            <w:pPr>
              <w:pStyle w:val="Prrafodelista"/>
              <w:numPr>
                <w:ilvl w:val="0"/>
                <w:numId w:val="11"/>
              </w:numPr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953C78">
              <w:rPr>
                <w:rFonts w:ascii="ITC Avant Garde" w:hAnsi="ITC Avant Garde"/>
                <w:sz w:val="21"/>
                <w:szCs w:val="21"/>
              </w:rPr>
              <w:t>Acuerdo mediante el cual el Pleno del Instituto Federal de Telecomunicaciones expide los Lineamientos para la Acreditación y Autorización de Unidades de Verificación.</w:t>
            </w:r>
          </w:p>
          <w:p w14:paraId="5C26F387" w14:textId="75FC8389" w:rsidR="00AB4435" w:rsidRPr="00953C78" w:rsidRDefault="00AB4435" w:rsidP="007558FE">
            <w:pPr>
              <w:pStyle w:val="Prrafodelista"/>
              <w:numPr>
                <w:ilvl w:val="0"/>
                <w:numId w:val="11"/>
              </w:numPr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953C78">
              <w:rPr>
                <w:rFonts w:ascii="ITC Avant Garde" w:hAnsi="ITC Avant Garde"/>
                <w:sz w:val="21"/>
                <w:szCs w:val="21"/>
              </w:rPr>
              <w:t>Acuerdo mediante el cual el Pleno del Instituto Federal de Telecomunicaciones expide el Procedimiento de evaluación de la conformidad en materia de telecomunicaciones y radiodifusión</w:t>
            </w:r>
            <w:r w:rsidR="00535181">
              <w:rPr>
                <w:rFonts w:ascii="ITC Avant Garde" w:hAnsi="ITC Avant Garde"/>
                <w:sz w:val="21"/>
                <w:szCs w:val="21"/>
              </w:rPr>
              <w:t xml:space="preserve"> </w:t>
            </w:r>
            <w:r w:rsidR="00535181" w:rsidRPr="00535181">
              <w:rPr>
                <w:rFonts w:ascii="ITC Avant Garde" w:hAnsi="ITC Avant Garde"/>
                <w:sz w:val="21"/>
                <w:szCs w:val="21"/>
              </w:rPr>
              <w:t>y modificaciones al mismo</w:t>
            </w:r>
            <w:r w:rsidRPr="00953C78">
              <w:rPr>
                <w:rFonts w:ascii="ITC Avant Garde" w:hAnsi="ITC Avant Garde"/>
                <w:sz w:val="21"/>
                <w:szCs w:val="21"/>
              </w:rPr>
              <w:t>.</w:t>
            </w:r>
          </w:p>
          <w:p w14:paraId="59F9C405" w14:textId="2E8AED88" w:rsidR="007558FE" w:rsidRPr="00953C78" w:rsidRDefault="007558FE" w:rsidP="007558FE">
            <w:pPr>
              <w:pStyle w:val="Prrafodelista"/>
              <w:numPr>
                <w:ilvl w:val="0"/>
                <w:numId w:val="11"/>
              </w:numPr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953C78">
              <w:rPr>
                <w:rFonts w:ascii="ITC Avant Garde" w:hAnsi="ITC Avant Garde"/>
                <w:sz w:val="21"/>
                <w:szCs w:val="21"/>
              </w:rPr>
              <w:t>Norma Oficial Mexicana NOM-008-SCFI-2002, Sistema General de Unidades de Medida.</w:t>
            </w:r>
          </w:p>
          <w:p w14:paraId="22C7457D" w14:textId="2C831ACC" w:rsidR="000819CE" w:rsidRPr="00953C78" w:rsidRDefault="000819CE" w:rsidP="007558FE">
            <w:pPr>
              <w:pStyle w:val="Prrafodelista"/>
              <w:numPr>
                <w:ilvl w:val="0"/>
                <w:numId w:val="11"/>
              </w:numPr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953C78">
              <w:rPr>
                <w:rFonts w:ascii="ITC Avant Garde" w:hAnsi="ITC Avant Garde"/>
                <w:sz w:val="21"/>
                <w:szCs w:val="21"/>
              </w:rPr>
              <w:t>Norma Oficial Mexicana NOM-196-SCFI-2016, Productos. Equipos terminales que se conecten o interconecten a través de un acceso alámbrico a una red pública de telecomunicaciones</w:t>
            </w:r>
          </w:p>
          <w:p w14:paraId="5D4A60FE" w14:textId="5C3AE1EA" w:rsidR="00F54ADD" w:rsidRPr="00953C78" w:rsidRDefault="00F54ADD" w:rsidP="007558FE">
            <w:pPr>
              <w:pStyle w:val="Prrafodelista"/>
              <w:numPr>
                <w:ilvl w:val="0"/>
                <w:numId w:val="11"/>
              </w:numPr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953C78">
              <w:rPr>
                <w:rFonts w:ascii="ITC Avant Garde" w:hAnsi="ITC Avant Garde"/>
                <w:sz w:val="21"/>
                <w:szCs w:val="21"/>
              </w:rPr>
              <w:t>lNMX-EC-17025-IMNC-2006 “Evaluación de la conformidad - Requisitos generales para la competencia de los laboratorios de ensayo y calibración”.</w:t>
            </w:r>
          </w:p>
        </w:tc>
      </w:tr>
    </w:tbl>
    <w:p w14:paraId="03FABE9B" w14:textId="45F8751D" w:rsidR="00DC3A1A" w:rsidRPr="00953C78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66A130" w14:textId="7623840C" w:rsidR="006166DB" w:rsidRPr="00953C78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953C78">
        <w:rPr>
          <w:rFonts w:ascii="ITC Avant Garde" w:hAnsi="ITC Avant Garde"/>
          <w:b/>
          <w:color w:val="000000" w:themeColor="text1"/>
          <w:sz w:val="21"/>
          <w:szCs w:val="21"/>
        </w:rPr>
        <w:t>12</w:t>
      </w:r>
      <w:r w:rsidR="006166DB" w:rsidRPr="00953C78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953C78" w14:paraId="096E5FBB" w14:textId="77777777" w:rsidTr="007D2FD6">
        <w:tc>
          <w:tcPr>
            <w:tcW w:w="8828" w:type="dxa"/>
          </w:tcPr>
          <w:p w14:paraId="7E9549B7" w14:textId="77777777" w:rsidR="00953C78" w:rsidRPr="00953C78" w:rsidRDefault="00953C78" w:rsidP="009B3AD9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0B0AAC1D" w14:textId="1FAFEF7B" w:rsidR="00953C78" w:rsidRPr="00953C78" w:rsidRDefault="00535181" w:rsidP="00953C78">
            <w:pPr>
              <w:pStyle w:val="Prrafodelista"/>
              <w:numPr>
                <w:ilvl w:val="0"/>
                <w:numId w:val="13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1" w:anchor="!/tramite/UCS-04-068-A" w:history="1">
              <w:r w:rsidR="00A10328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UCS-04-068-A</w:t>
              </w:r>
            </w:hyperlink>
            <w:r w:rsidR="00953C78" w:rsidRPr="00953C7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: Solicitud de autorización de un Organismo de Certificación – Disposición técnica. </w:t>
            </w:r>
          </w:p>
          <w:p w14:paraId="2FC0ADEB" w14:textId="77777777" w:rsidR="00953C78" w:rsidRPr="00953C78" w:rsidRDefault="00953C78" w:rsidP="009B3AD9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5F26E11F" w14:textId="4744A6D2" w:rsidR="009B3AD9" w:rsidRPr="00953C78" w:rsidRDefault="009B3AD9" w:rsidP="009B3AD9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953C7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9. Evaluación de la conformidad y vigilancia del cumplimiento</w:t>
            </w:r>
          </w:p>
          <w:p w14:paraId="036CF968" w14:textId="77777777" w:rsidR="009B3AD9" w:rsidRPr="00953C78" w:rsidRDefault="009B3AD9" w:rsidP="009B3AD9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71974491" w14:textId="6760B0D6" w:rsidR="009B3AD9" w:rsidRPr="00953C78" w:rsidRDefault="009B3AD9" w:rsidP="009B3AD9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953C7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La evaluación de la conformidad se realizará en los términos de la LFTR y en las disposiciones que para tal efecto establezca el Instituto.</w:t>
            </w:r>
          </w:p>
          <w:p w14:paraId="434A174A" w14:textId="77777777" w:rsidR="009B3AD9" w:rsidRPr="00953C78" w:rsidRDefault="009B3AD9" w:rsidP="009B3AD9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532E5481" w14:textId="667C22A6" w:rsidR="009B3AD9" w:rsidRPr="00953C78" w:rsidRDefault="009B3AD9" w:rsidP="009B3AD9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953C7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El Instituto es el encargado de vigilar el cumplimiento de esta Disposición Técnica.</w:t>
            </w:r>
          </w:p>
          <w:p w14:paraId="34060E55" w14:textId="77777777" w:rsidR="009B3AD9" w:rsidRPr="00953C78" w:rsidRDefault="009B3AD9" w:rsidP="009B3AD9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11805084" w14:textId="06A8C155" w:rsidR="009B3AD9" w:rsidRPr="00953C78" w:rsidRDefault="009B3AD9" w:rsidP="009B3AD9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953C7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lastRenderedPageBreak/>
              <w:t xml:space="preserve">Se podrá </w:t>
            </w:r>
            <w:r w:rsidRPr="00953C78">
              <w:rPr>
                <w:rFonts w:ascii="ITC Avant Garde" w:hAnsi="ITC Avant Garde"/>
                <w:b/>
                <w:bCs/>
                <w:color w:val="000000" w:themeColor="text1"/>
                <w:sz w:val="21"/>
                <w:szCs w:val="21"/>
                <w:u w:val="single"/>
              </w:rPr>
              <w:t>solicitar una ampliación del certificado de cumplimiento</w:t>
            </w:r>
            <w:r w:rsidRPr="00953C7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para familias de equipos terminales sujetos a esta DT que cuente con certificado de cumplimiento (respecto a la presente DT). Para la consecuente obtención de una ampliación del certificado de homologación para los equipos sujetos a esta DT que cuenten con una ampliación de cumplimiento, se estará al procedimiento determinado por el Instituto.</w:t>
            </w:r>
          </w:p>
          <w:p w14:paraId="130D9659" w14:textId="0B4D9E37" w:rsidR="009B3AD9" w:rsidRPr="00953C78" w:rsidRDefault="009B3AD9" w:rsidP="009B3AD9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1E0A3A61" w14:textId="2767CC01" w:rsidR="00947C77" w:rsidRPr="00953C78" w:rsidRDefault="009B3AD9" w:rsidP="00947C77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953C7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…</w:t>
            </w:r>
          </w:p>
        </w:tc>
      </w:tr>
    </w:tbl>
    <w:p w14:paraId="37E6B748" w14:textId="77777777" w:rsidR="006166DB" w:rsidRPr="00953C78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953C78" w14:paraId="1683D7BD" w14:textId="77777777" w:rsidTr="007D2FD6">
        <w:tc>
          <w:tcPr>
            <w:tcW w:w="8828" w:type="dxa"/>
          </w:tcPr>
          <w:p w14:paraId="2CAFF94E" w14:textId="574F8E60" w:rsidR="00A770E7" w:rsidRPr="00953C78" w:rsidRDefault="00A770E7" w:rsidP="00A770E7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953C7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Inspección, verificación y vigilancia: Ley Federal de Telecomunicaciones y Radiodifusión, artículos 291</w:t>
            </w:r>
          </w:p>
          <w:p w14:paraId="6A09D6D7" w14:textId="61C1894D" w:rsidR="007D2FD6" w:rsidRPr="00953C78" w:rsidRDefault="000819CE" w:rsidP="00A770E7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953C7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Numeral 9 de la Disposición Técnica</w:t>
            </w:r>
            <w:r w:rsidR="006F6D1B" w:rsidRPr="00953C7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.</w:t>
            </w:r>
          </w:p>
        </w:tc>
      </w:tr>
    </w:tbl>
    <w:p w14:paraId="6B64E51A" w14:textId="4ECF423F" w:rsidR="004B7538" w:rsidRPr="00953C78" w:rsidRDefault="00DC3A1A" w:rsidP="006F6D1B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953C78">
        <w:rPr>
          <w:rFonts w:ascii="ITC Avant Garde" w:hAnsi="ITC Avant Garde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</w:p>
    <w:sectPr w:rsidR="004B7538" w:rsidRPr="00953C78" w:rsidSect="003F1D7B">
      <w:headerReference w:type="default" r:id="rId12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531CE" w14:textId="77777777" w:rsidR="00B678B0" w:rsidRDefault="00B678B0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B678B0" w:rsidRDefault="00B678B0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80E92" w14:textId="77777777" w:rsidR="00B678B0" w:rsidRDefault="00B678B0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B678B0" w:rsidRDefault="00B678B0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7722" w14:textId="079DBCA2" w:rsidR="00B678B0" w:rsidRDefault="00B678B0" w:rsidP="007D2FD6">
    <w:pPr>
      <w:pStyle w:val="Encabezado"/>
      <w:tabs>
        <w:tab w:val="left" w:pos="2748"/>
      </w:tabs>
    </w:pPr>
    <w:r w:rsidRPr="001B3D06">
      <w:rPr>
        <w:noProof/>
        <w:lang w:eastAsia="es-MX"/>
      </w:rPr>
      <w:drawing>
        <wp:inline distT="0" distB="0" distL="0" distR="0" wp14:anchorId="62D493CC" wp14:editId="1036E2D6">
          <wp:extent cx="10001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2FD6">
      <w:rPr>
        <w:rFonts w:ascii="ITC Avant Garde" w:eastAsia="Calibri" w:hAnsi="ITC Avant Garde" w:cs="Times New Roman"/>
        <w:b/>
        <w:sz w:val="18"/>
        <w:szCs w:val="18"/>
      </w:rPr>
      <w:t xml:space="preserve"> </w:t>
    </w:r>
    <w:r>
      <w:rPr>
        <w:rFonts w:ascii="ITC Avant Garde" w:eastAsia="Calibri" w:hAnsi="ITC Avant Garde" w:cs="Times New Roman"/>
        <w:b/>
        <w:sz w:val="18"/>
        <w:szCs w:val="18"/>
      </w:rPr>
      <w:t xml:space="preserve">                                      </w:t>
    </w:r>
    <w:r w:rsidRPr="007D2FD6">
      <w:rPr>
        <w:rFonts w:ascii="ITC Avant Garde" w:hAnsi="ITC Avant Garde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33CE"/>
    <w:multiLevelType w:val="hybridMultilevel"/>
    <w:tmpl w:val="42062D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C6A84"/>
    <w:multiLevelType w:val="hybridMultilevel"/>
    <w:tmpl w:val="502C1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5FB5D95"/>
    <w:multiLevelType w:val="hybridMultilevel"/>
    <w:tmpl w:val="D2E08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2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819CE"/>
    <w:rsid w:val="00085CAE"/>
    <w:rsid w:val="000911B6"/>
    <w:rsid w:val="0011506B"/>
    <w:rsid w:val="00135F96"/>
    <w:rsid w:val="00160C02"/>
    <w:rsid w:val="001A0D96"/>
    <w:rsid w:val="001B3018"/>
    <w:rsid w:val="001C36BF"/>
    <w:rsid w:val="001D0BED"/>
    <w:rsid w:val="001F3494"/>
    <w:rsid w:val="00207BA8"/>
    <w:rsid w:val="00223B0B"/>
    <w:rsid w:val="002434FF"/>
    <w:rsid w:val="00250D5A"/>
    <w:rsid w:val="002B0B24"/>
    <w:rsid w:val="002E37B6"/>
    <w:rsid w:val="00332FE9"/>
    <w:rsid w:val="00366E21"/>
    <w:rsid w:val="00384692"/>
    <w:rsid w:val="0039441B"/>
    <w:rsid w:val="003A162A"/>
    <w:rsid w:val="003F1D7B"/>
    <w:rsid w:val="00446F0C"/>
    <w:rsid w:val="004B7538"/>
    <w:rsid w:val="004C31A6"/>
    <w:rsid w:val="004C75E5"/>
    <w:rsid w:val="004D57A1"/>
    <w:rsid w:val="004D6D14"/>
    <w:rsid w:val="004E552A"/>
    <w:rsid w:val="00500BFB"/>
    <w:rsid w:val="005034EB"/>
    <w:rsid w:val="00516696"/>
    <w:rsid w:val="00535181"/>
    <w:rsid w:val="00585BD4"/>
    <w:rsid w:val="005B6688"/>
    <w:rsid w:val="005E34D0"/>
    <w:rsid w:val="005F0181"/>
    <w:rsid w:val="0061003C"/>
    <w:rsid w:val="006166DB"/>
    <w:rsid w:val="00616CEE"/>
    <w:rsid w:val="0063762C"/>
    <w:rsid w:val="006441CF"/>
    <w:rsid w:val="0065492B"/>
    <w:rsid w:val="00657DBC"/>
    <w:rsid w:val="0069009E"/>
    <w:rsid w:val="006911B3"/>
    <w:rsid w:val="006E26A9"/>
    <w:rsid w:val="006F6D1B"/>
    <w:rsid w:val="006F7E1D"/>
    <w:rsid w:val="00703626"/>
    <w:rsid w:val="00720D02"/>
    <w:rsid w:val="00742FCB"/>
    <w:rsid w:val="007466F1"/>
    <w:rsid w:val="007558FE"/>
    <w:rsid w:val="0078318D"/>
    <w:rsid w:val="007D2FD6"/>
    <w:rsid w:val="007F5106"/>
    <w:rsid w:val="008017FB"/>
    <w:rsid w:val="00802508"/>
    <w:rsid w:val="00806255"/>
    <w:rsid w:val="00815D92"/>
    <w:rsid w:val="0089205E"/>
    <w:rsid w:val="0092333A"/>
    <w:rsid w:val="00935B87"/>
    <w:rsid w:val="00947C77"/>
    <w:rsid w:val="00953C78"/>
    <w:rsid w:val="009701A3"/>
    <w:rsid w:val="00977ED5"/>
    <w:rsid w:val="009918CF"/>
    <w:rsid w:val="009A6722"/>
    <w:rsid w:val="009B3AD9"/>
    <w:rsid w:val="009D567D"/>
    <w:rsid w:val="00A10328"/>
    <w:rsid w:val="00A42CD9"/>
    <w:rsid w:val="00A70F6B"/>
    <w:rsid w:val="00A770E7"/>
    <w:rsid w:val="00A93C7F"/>
    <w:rsid w:val="00AB4435"/>
    <w:rsid w:val="00AC079F"/>
    <w:rsid w:val="00AC2AE7"/>
    <w:rsid w:val="00AD4846"/>
    <w:rsid w:val="00AF71CC"/>
    <w:rsid w:val="00B018E8"/>
    <w:rsid w:val="00B30E6B"/>
    <w:rsid w:val="00B678B0"/>
    <w:rsid w:val="00B8531B"/>
    <w:rsid w:val="00BE45D0"/>
    <w:rsid w:val="00C14FD0"/>
    <w:rsid w:val="00C76443"/>
    <w:rsid w:val="00C8049B"/>
    <w:rsid w:val="00CB1F37"/>
    <w:rsid w:val="00CF5F25"/>
    <w:rsid w:val="00D14569"/>
    <w:rsid w:val="00D258BF"/>
    <w:rsid w:val="00D93EA9"/>
    <w:rsid w:val="00DC3A1A"/>
    <w:rsid w:val="00DF074B"/>
    <w:rsid w:val="00DF1654"/>
    <w:rsid w:val="00E70994"/>
    <w:rsid w:val="00EE7934"/>
    <w:rsid w:val="00EF614E"/>
    <w:rsid w:val="00F014C6"/>
    <w:rsid w:val="00F241B0"/>
    <w:rsid w:val="00F30AF6"/>
    <w:rsid w:val="00F42CB3"/>
    <w:rsid w:val="00F52381"/>
    <w:rsid w:val="00F54ADD"/>
    <w:rsid w:val="00F54CB3"/>
    <w:rsid w:val="00F62AAD"/>
    <w:rsid w:val="00F71208"/>
    <w:rsid w:val="00F72797"/>
    <w:rsid w:val="00F73022"/>
    <w:rsid w:val="00FA4E22"/>
    <w:rsid w:val="00FB7817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953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ventariotramites.ift.org.mx/mitweb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B7B2A591F3E2407F80AD5E90AA77E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84E73-A361-4FC1-B0CF-B389199D6B88}"/>
      </w:docPartPr>
      <w:docPartBody>
        <w:p w:rsidR="003F6BCE" w:rsidRDefault="00BC306F" w:rsidP="00BC306F">
          <w:pPr>
            <w:pStyle w:val="B7B2A591F3E2407F80AD5E90AA77E1C2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A040B"/>
    <w:rsid w:val="001842EB"/>
    <w:rsid w:val="001B5A4B"/>
    <w:rsid w:val="00247CE4"/>
    <w:rsid w:val="002607A3"/>
    <w:rsid w:val="0026494F"/>
    <w:rsid w:val="002852A0"/>
    <w:rsid w:val="002B7F38"/>
    <w:rsid w:val="002F0812"/>
    <w:rsid w:val="00303EA8"/>
    <w:rsid w:val="003949D6"/>
    <w:rsid w:val="003F6BCE"/>
    <w:rsid w:val="004E3322"/>
    <w:rsid w:val="005D084C"/>
    <w:rsid w:val="006663B0"/>
    <w:rsid w:val="00687FEB"/>
    <w:rsid w:val="006D779E"/>
    <w:rsid w:val="007313BB"/>
    <w:rsid w:val="007866FE"/>
    <w:rsid w:val="008A7739"/>
    <w:rsid w:val="008E6773"/>
    <w:rsid w:val="009149B3"/>
    <w:rsid w:val="00977C64"/>
    <w:rsid w:val="009F2A3C"/>
    <w:rsid w:val="00A52267"/>
    <w:rsid w:val="00A72DE6"/>
    <w:rsid w:val="00B01F8A"/>
    <w:rsid w:val="00BC306F"/>
    <w:rsid w:val="00BD1645"/>
    <w:rsid w:val="00BF7C0D"/>
    <w:rsid w:val="00C2228D"/>
    <w:rsid w:val="00D31C9E"/>
    <w:rsid w:val="00D57942"/>
    <w:rsid w:val="00D57A8B"/>
    <w:rsid w:val="00D83928"/>
    <w:rsid w:val="00DF3746"/>
    <w:rsid w:val="00F946B4"/>
    <w:rsid w:val="00F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949D6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B7B2A591F3E2407F80AD5E90AA77E1C2">
    <w:name w:val="B7B2A591F3E2407F80AD5E90AA77E1C2"/>
    <w:rsid w:val="00BC306F"/>
  </w:style>
  <w:style w:type="paragraph" w:customStyle="1" w:styleId="DD43E0BE5B004DC9805219ECB3327DCC">
    <w:name w:val="DD43E0BE5B004DC9805219ECB3327DCC"/>
    <w:rsid w:val="00BC306F"/>
  </w:style>
  <w:style w:type="paragraph" w:customStyle="1" w:styleId="5E1FD60A273246C38756B9095FFCDE29">
    <w:name w:val="5E1FD60A273246C38756B9095FFCDE29"/>
    <w:rsid w:val="00BC306F"/>
  </w:style>
  <w:style w:type="paragraph" w:customStyle="1" w:styleId="EBC66CBD7031427FB94854D599BB1392">
    <w:name w:val="EBC66CBD7031427FB94854D599BB1392"/>
    <w:rsid w:val="003949D6"/>
  </w:style>
  <w:style w:type="paragraph" w:customStyle="1" w:styleId="3CB3B45BFDF04069A7087877F6AA6BE7">
    <w:name w:val="3CB3B45BFDF04069A7087877F6AA6BE7"/>
    <w:rsid w:val="003949D6"/>
  </w:style>
  <w:style w:type="paragraph" w:customStyle="1" w:styleId="5A2EBB8AB8B540C3AED9B5EACB70A2CE">
    <w:name w:val="5A2EBB8AB8B540C3AED9B5EACB70A2CE"/>
    <w:rsid w:val="003949D6"/>
  </w:style>
  <w:style w:type="paragraph" w:customStyle="1" w:styleId="85E7B81FAD3746E3B13551F42A3F48C3">
    <w:name w:val="85E7B81FAD3746E3B13551F42A3F48C3"/>
    <w:rsid w:val="003949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6CE0F1FBB38B4C8A0BB61156E48174" ma:contentTypeVersion="9" ma:contentTypeDescription="Crear nuevo documento." ma:contentTypeScope="" ma:versionID="b95d42c50c11acde3df874087d53a0a7">
  <xsd:schema xmlns:xsd="http://www.w3.org/2001/XMLSchema" xmlns:xs="http://www.w3.org/2001/XMLSchema" xmlns:p="http://schemas.microsoft.com/office/2006/metadata/properties" xmlns:ns3="4be6e129-17bc-4f05-9def-a51dc5f03fa3" targetNamespace="http://schemas.microsoft.com/office/2006/metadata/properties" ma:root="true" ma:fieldsID="2ef3450fd825fe383a669c0055fc1490" ns3:_="">
    <xsd:import namespace="4be6e129-17bc-4f05-9def-a51dc5f03f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6e129-17bc-4f05-9def-a51dc5f03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10EDA-00EE-447F-918F-975B6B48B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6e129-17bc-4f05-9def-a51dc5f03f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E056B-280B-49A1-A946-08CEB42D8AA3}">
  <ds:schemaRefs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4be6e129-17bc-4f05-9def-a51dc5f03fa3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6E58A5-5735-4025-8493-8389D29A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3719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APV</cp:lastModifiedBy>
  <cp:revision>2</cp:revision>
  <cp:lastPrinted>2021-11-22T02:15:00Z</cp:lastPrinted>
  <dcterms:created xsi:type="dcterms:W3CDTF">2023-02-02T20:38:00Z</dcterms:created>
  <dcterms:modified xsi:type="dcterms:W3CDTF">2023-02-02T20:38:00Z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0x0101007D6CE0F1FBB38B4C8A0BB61156E48174</vt:lpwstr>
  </property>
</Properties>
</file>