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Caption w:val="Datos generales"/>
      </w:tblPr>
      <w:tblGrid>
        <w:gridCol w:w="3256"/>
        <w:gridCol w:w="3260"/>
        <w:gridCol w:w="2312"/>
      </w:tblGrid>
      <w:tr w:rsidR="00501ADF" w:rsidTr="00862F03">
        <w:trPr>
          <w:trHeight w:val="816"/>
          <w:tblHeader/>
        </w:trPr>
        <w:tc>
          <w:tcPr>
            <w:tcW w:w="3256" w:type="dxa"/>
            <w:shd w:val="clear" w:color="auto" w:fill="DBDBDB" w:themeFill="accent3" w:themeFillTint="66"/>
          </w:tcPr>
          <w:p w:rsidR="00501ADF" w:rsidRPr="0068307E" w:rsidRDefault="00501ADF" w:rsidP="00501ADF">
            <w:pPr>
              <w:jc w:val="both"/>
              <w:rPr>
                <w:b/>
                <w:sz w:val="20"/>
              </w:rPr>
            </w:pPr>
            <w:r w:rsidRPr="0068307E">
              <w:rPr>
                <w:b/>
                <w:sz w:val="20"/>
              </w:rPr>
              <w:t>Unidad administrativa:</w:t>
            </w:r>
          </w:p>
          <w:p w:rsidR="0068307E" w:rsidRPr="0068307E" w:rsidRDefault="00365D2F" w:rsidP="00501ADF">
            <w:pPr>
              <w:jc w:val="both"/>
              <w:rPr>
                <w:sz w:val="20"/>
              </w:rPr>
            </w:pPr>
            <w:r>
              <w:rPr>
                <w:sz w:val="20"/>
              </w:rPr>
              <w:t>Unidad de Competencia Económica</w:t>
            </w:r>
          </w:p>
          <w:p w:rsidR="0068307E" w:rsidRPr="0068307E" w:rsidRDefault="0068307E" w:rsidP="00501ADF">
            <w:pPr>
              <w:jc w:val="both"/>
              <w:rPr>
                <w:sz w:val="20"/>
              </w:rPr>
            </w:pPr>
          </w:p>
        </w:tc>
        <w:tc>
          <w:tcPr>
            <w:tcW w:w="5572" w:type="dxa"/>
            <w:gridSpan w:val="2"/>
            <w:shd w:val="clear" w:color="auto" w:fill="DBDBDB" w:themeFill="accent3" w:themeFillTint="66"/>
          </w:tcPr>
          <w:p w:rsidR="00501ADF" w:rsidRDefault="00501ADF" w:rsidP="00501ADF">
            <w:pPr>
              <w:jc w:val="both"/>
              <w:rPr>
                <w:b/>
                <w:sz w:val="20"/>
              </w:rPr>
            </w:pPr>
            <w:r w:rsidRPr="0068307E">
              <w:rPr>
                <w:b/>
                <w:sz w:val="20"/>
              </w:rPr>
              <w:t>Título del anteproyecto de regulación:</w:t>
            </w:r>
          </w:p>
          <w:p w:rsidR="0068307E" w:rsidRPr="00365D2F" w:rsidRDefault="00365D2F" w:rsidP="00501ADF">
            <w:pPr>
              <w:jc w:val="both"/>
              <w:rPr>
                <w:sz w:val="20"/>
              </w:rPr>
            </w:pPr>
            <w:r w:rsidRPr="00365D2F">
              <w:rPr>
                <w:sz w:val="20"/>
              </w:rPr>
              <w:t xml:space="preserve">“Anteproyecto de </w:t>
            </w:r>
            <w:r w:rsidR="008F71E9">
              <w:rPr>
                <w:sz w:val="20"/>
              </w:rPr>
              <w:t>G</w:t>
            </w:r>
            <w:r w:rsidRPr="00365D2F">
              <w:rPr>
                <w:sz w:val="20"/>
              </w:rPr>
              <w:t>uía para el control de concentraciones en los sectores de telecomunicaciones y radiodifusión”.</w:t>
            </w:r>
          </w:p>
          <w:p w:rsidR="0068307E" w:rsidRPr="0068307E" w:rsidRDefault="0068307E" w:rsidP="00501ADF">
            <w:pPr>
              <w:jc w:val="both"/>
              <w:rPr>
                <w:sz w:val="20"/>
              </w:rPr>
            </w:pPr>
          </w:p>
        </w:tc>
      </w:tr>
      <w:tr w:rsidR="0068307E" w:rsidTr="00365D2F">
        <w:tc>
          <w:tcPr>
            <w:tcW w:w="3256" w:type="dxa"/>
            <w:vMerge w:val="restart"/>
            <w:shd w:val="clear" w:color="auto" w:fill="DBDBDB" w:themeFill="accent3" w:themeFillTint="66"/>
          </w:tcPr>
          <w:p w:rsidR="0068307E" w:rsidRDefault="0068307E" w:rsidP="00501ADF">
            <w:pPr>
              <w:jc w:val="both"/>
              <w:rPr>
                <w:b/>
                <w:sz w:val="20"/>
              </w:rPr>
            </w:pPr>
            <w:r w:rsidRPr="0068307E">
              <w:rPr>
                <w:b/>
                <w:sz w:val="20"/>
              </w:rPr>
              <w:t>Datos de contacto:</w:t>
            </w:r>
          </w:p>
          <w:p w:rsidR="0068307E" w:rsidRDefault="0068307E" w:rsidP="00501ADF">
            <w:pPr>
              <w:jc w:val="both"/>
              <w:rPr>
                <w:b/>
                <w:sz w:val="20"/>
              </w:rPr>
            </w:pPr>
          </w:p>
          <w:p w:rsidR="0068307E" w:rsidRDefault="00365D2F" w:rsidP="00501ADF">
            <w:pPr>
              <w:jc w:val="both"/>
              <w:rPr>
                <w:sz w:val="20"/>
              </w:rPr>
            </w:pPr>
            <w:r>
              <w:rPr>
                <w:sz w:val="20"/>
              </w:rPr>
              <w:t>Mtro. Juan Manuel Hernández Pérez</w:t>
            </w:r>
          </w:p>
          <w:p w:rsidR="00365D2F" w:rsidRPr="0068307E" w:rsidRDefault="00365D2F" w:rsidP="00501ADF">
            <w:pPr>
              <w:jc w:val="both"/>
              <w:rPr>
                <w:sz w:val="20"/>
              </w:rPr>
            </w:pPr>
            <w:r>
              <w:rPr>
                <w:sz w:val="20"/>
              </w:rPr>
              <w:t>Lic. Benjamín Uriel Salinas Morales</w:t>
            </w:r>
          </w:p>
          <w:p w:rsidR="0068307E" w:rsidRPr="0068307E" w:rsidRDefault="00365D2F" w:rsidP="00501ADF">
            <w:pPr>
              <w:jc w:val="both"/>
              <w:rPr>
                <w:sz w:val="20"/>
              </w:rPr>
            </w:pPr>
            <w:r>
              <w:rPr>
                <w:sz w:val="20"/>
              </w:rPr>
              <w:t>Teléfonos: 5015-4047 y 50154024</w:t>
            </w:r>
          </w:p>
          <w:p w:rsidR="0068307E" w:rsidRDefault="0068307E" w:rsidP="00501ADF">
            <w:pPr>
              <w:jc w:val="both"/>
              <w:rPr>
                <w:sz w:val="20"/>
              </w:rPr>
            </w:pPr>
            <w:r w:rsidRPr="0068307E">
              <w:rPr>
                <w:sz w:val="20"/>
              </w:rPr>
              <w:t>Correo</w:t>
            </w:r>
            <w:r w:rsidR="00365D2F">
              <w:rPr>
                <w:sz w:val="20"/>
              </w:rPr>
              <w:t>s</w:t>
            </w:r>
            <w:r>
              <w:rPr>
                <w:sz w:val="20"/>
              </w:rPr>
              <w:t xml:space="preserve"> </w:t>
            </w:r>
            <w:r w:rsidRPr="0068307E">
              <w:rPr>
                <w:sz w:val="20"/>
              </w:rPr>
              <w:t>electrónico</w:t>
            </w:r>
            <w:r w:rsidR="00365D2F">
              <w:rPr>
                <w:sz w:val="20"/>
              </w:rPr>
              <w:t>s</w:t>
            </w:r>
            <w:r w:rsidRPr="0068307E">
              <w:rPr>
                <w:sz w:val="20"/>
              </w:rPr>
              <w:t>:</w:t>
            </w:r>
          </w:p>
          <w:p w:rsidR="0068307E" w:rsidRPr="00365D2F" w:rsidRDefault="00365D2F" w:rsidP="00D30A94">
            <w:pPr>
              <w:jc w:val="both"/>
              <w:rPr>
                <w:sz w:val="20"/>
                <w:szCs w:val="20"/>
              </w:rPr>
            </w:pPr>
            <w:r w:rsidRPr="00365D2F">
              <w:rPr>
                <w:sz w:val="20"/>
                <w:szCs w:val="20"/>
              </w:rPr>
              <w:t>manuel.hernadez</w:t>
            </w:r>
            <w:hyperlink r:id="rId7" w:history="1">
              <w:r w:rsidR="00D30A94" w:rsidRPr="00365D2F">
                <w:rPr>
                  <w:rStyle w:val="Hipervnculo"/>
                  <w:color w:val="auto"/>
                  <w:sz w:val="20"/>
                  <w:szCs w:val="20"/>
                  <w:u w:val="none"/>
                </w:rPr>
                <w:t>@ift.org.mx</w:t>
              </w:r>
            </w:hyperlink>
            <w:r w:rsidRPr="00365D2F">
              <w:rPr>
                <w:rStyle w:val="Hipervnculo"/>
                <w:color w:val="auto"/>
                <w:sz w:val="20"/>
                <w:szCs w:val="20"/>
                <w:u w:val="none"/>
              </w:rPr>
              <w:t xml:space="preserve">  benjamin.salinas</w:t>
            </w:r>
            <w:hyperlink r:id="rId8" w:history="1">
              <w:r w:rsidRPr="00365D2F">
                <w:rPr>
                  <w:rStyle w:val="Hipervnculo"/>
                  <w:color w:val="auto"/>
                  <w:sz w:val="20"/>
                  <w:szCs w:val="20"/>
                  <w:u w:val="none"/>
                </w:rPr>
                <w:t>@ift.org.mx</w:t>
              </w:r>
            </w:hyperlink>
            <w:r w:rsidR="0068307E" w:rsidRPr="00365D2F">
              <w:rPr>
                <w:sz w:val="20"/>
                <w:szCs w:val="20"/>
              </w:rPr>
              <w:t xml:space="preserve"> </w:t>
            </w:r>
          </w:p>
          <w:p w:rsidR="00365D2F" w:rsidRPr="0068307E" w:rsidRDefault="00365D2F" w:rsidP="00D30A94">
            <w:pPr>
              <w:jc w:val="both"/>
              <w:rPr>
                <w:b/>
                <w:sz w:val="20"/>
              </w:rPr>
            </w:pPr>
          </w:p>
        </w:tc>
        <w:tc>
          <w:tcPr>
            <w:tcW w:w="3260" w:type="dxa"/>
            <w:shd w:val="clear" w:color="auto" w:fill="DBDBDB" w:themeFill="accent3" w:themeFillTint="66"/>
          </w:tcPr>
          <w:p w:rsidR="0068307E" w:rsidRDefault="0068307E" w:rsidP="008A48B0">
            <w:pPr>
              <w:jc w:val="both"/>
              <w:rPr>
                <w:b/>
                <w:sz w:val="20"/>
              </w:rPr>
            </w:pPr>
            <w:r w:rsidRPr="0068307E">
              <w:rPr>
                <w:b/>
                <w:sz w:val="20"/>
              </w:rPr>
              <w:t>Fecha de elaboración:</w:t>
            </w:r>
          </w:p>
          <w:p w:rsidR="0068307E" w:rsidRPr="0068307E" w:rsidRDefault="0068307E" w:rsidP="008A48B0">
            <w:pPr>
              <w:jc w:val="both"/>
              <w:rPr>
                <w:b/>
                <w:sz w:val="20"/>
              </w:rPr>
            </w:pPr>
          </w:p>
        </w:tc>
        <w:tc>
          <w:tcPr>
            <w:tcW w:w="2312" w:type="dxa"/>
            <w:shd w:val="clear" w:color="auto" w:fill="DBDBDB" w:themeFill="accent3" w:themeFillTint="66"/>
          </w:tcPr>
          <w:p w:rsidR="0068307E" w:rsidRPr="008F71E9" w:rsidRDefault="00365D2F" w:rsidP="0068307E">
            <w:pPr>
              <w:jc w:val="center"/>
              <w:rPr>
                <w:sz w:val="20"/>
              </w:rPr>
            </w:pPr>
            <w:r w:rsidRPr="008F71E9">
              <w:rPr>
                <w:sz w:val="20"/>
              </w:rPr>
              <w:t>02/12/2016</w:t>
            </w:r>
          </w:p>
        </w:tc>
      </w:tr>
      <w:tr w:rsidR="0068307E" w:rsidTr="00365D2F">
        <w:trPr>
          <w:trHeight w:val="390"/>
        </w:trPr>
        <w:tc>
          <w:tcPr>
            <w:tcW w:w="3256" w:type="dxa"/>
            <w:vMerge/>
            <w:shd w:val="clear" w:color="auto" w:fill="DBDBDB" w:themeFill="accent3" w:themeFillTint="66"/>
          </w:tcPr>
          <w:p w:rsidR="0068307E" w:rsidRPr="0068307E" w:rsidRDefault="0068307E" w:rsidP="00501ADF">
            <w:pPr>
              <w:jc w:val="both"/>
              <w:rPr>
                <w:sz w:val="20"/>
              </w:rPr>
            </w:pPr>
          </w:p>
        </w:tc>
        <w:tc>
          <w:tcPr>
            <w:tcW w:w="3260" w:type="dxa"/>
            <w:shd w:val="clear" w:color="auto" w:fill="DBDBDB" w:themeFill="accent3" w:themeFillTint="66"/>
          </w:tcPr>
          <w:p w:rsidR="0068307E" w:rsidRPr="0068307E" w:rsidRDefault="0068307E" w:rsidP="0068307E">
            <w:pPr>
              <w:jc w:val="both"/>
              <w:rPr>
                <w:b/>
                <w:sz w:val="20"/>
              </w:rPr>
            </w:pPr>
            <w:r w:rsidRPr="0068307E">
              <w:rPr>
                <w:b/>
                <w:sz w:val="20"/>
              </w:rPr>
              <w:t xml:space="preserve">Fecha de </w:t>
            </w:r>
            <w:r>
              <w:rPr>
                <w:b/>
                <w:sz w:val="20"/>
              </w:rPr>
              <w:t>inicio de la consulta pública</w:t>
            </w:r>
            <w:r w:rsidRPr="0068307E">
              <w:rPr>
                <w:b/>
                <w:sz w:val="20"/>
              </w:rPr>
              <w:t>:</w:t>
            </w:r>
          </w:p>
        </w:tc>
        <w:tc>
          <w:tcPr>
            <w:tcW w:w="2312" w:type="dxa"/>
            <w:shd w:val="clear" w:color="auto" w:fill="DBDBDB" w:themeFill="accent3" w:themeFillTint="66"/>
          </w:tcPr>
          <w:p w:rsidR="0068307E" w:rsidRPr="0068307E" w:rsidRDefault="00332206" w:rsidP="0068307E">
            <w:pPr>
              <w:jc w:val="center"/>
              <w:rPr>
                <w:sz w:val="20"/>
              </w:rPr>
            </w:pPr>
            <w:r>
              <w:rPr>
                <w:sz w:val="20"/>
              </w:rPr>
              <w:t>23</w:t>
            </w:r>
            <w:r w:rsidR="008E0792" w:rsidRPr="007026F1">
              <w:rPr>
                <w:sz w:val="20"/>
              </w:rPr>
              <w:t>/12/2016</w:t>
            </w:r>
          </w:p>
        </w:tc>
      </w:tr>
      <w:tr w:rsidR="0068307E" w:rsidTr="00365D2F">
        <w:tc>
          <w:tcPr>
            <w:tcW w:w="3256" w:type="dxa"/>
            <w:vMerge/>
            <w:shd w:val="clear" w:color="auto" w:fill="DBDBDB" w:themeFill="accent3" w:themeFillTint="66"/>
          </w:tcPr>
          <w:p w:rsidR="0068307E" w:rsidRPr="0068307E" w:rsidRDefault="0068307E" w:rsidP="00501ADF">
            <w:pPr>
              <w:jc w:val="both"/>
              <w:rPr>
                <w:sz w:val="20"/>
              </w:rPr>
            </w:pPr>
          </w:p>
        </w:tc>
        <w:tc>
          <w:tcPr>
            <w:tcW w:w="3260" w:type="dxa"/>
            <w:shd w:val="clear" w:color="auto" w:fill="DBDBDB" w:themeFill="accent3" w:themeFillTint="66"/>
          </w:tcPr>
          <w:p w:rsidR="0068307E" w:rsidRPr="0068307E" w:rsidRDefault="005A40FB" w:rsidP="0068307E">
            <w:pPr>
              <w:jc w:val="both"/>
              <w:rPr>
                <w:b/>
                <w:sz w:val="20"/>
              </w:rPr>
            </w:pPr>
            <w:r>
              <w:rPr>
                <w:b/>
                <w:sz w:val="20"/>
              </w:rPr>
              <w:t xml:space="preserve">Fecha de </w:t>
            </w:r>
            <w:r w:rsidR="0068307E">
              <w:rPr>
                <w:b/>
                <w:sz w:val="20"/>
              </w:rPr>
              <w:t>conclusión de la consulta pública:</w:t>
            </w:r>
          </w:p>
        </w:tc>
        <w:tc>
          <w:tcPr>
            <w:tcW w:w="2312" w:type="dxa"/>
            <w:shd w:val="clear" w:color="auto" w:fill="DBDBDB" w:themeFill="accent3" w:themeFillTint="66"/>
          </w:tcPr>
          <w:p w:rsidR="0068307E" w:rsidRPr="0068307E" w:rsidRDefault="00332206" w:rsidP="0068307E">
            <w:pPr>
              <w:jc w:val="center"/>
              <w:rPr>
                <w:sz w:val="20"/>
              </w:rPr>
            </w:pPr>
            <w:r>
              <w:rPr>
                <w:sz w:val="20"/>
              </w:rPr>
              <w:t>16</w:t>
            </w:r>
            <w:r w:rsidR="008E0792" w:rsidRPr="007026F1">
              <w:rPr>
                <w:sz w:val="20"/>
              </w:rPr>
              <w:t>/02/2017</w:t>
            </w:r>
          </w:p>
        </w:tc>
      </w:tr>
    </w:tbl>
    <w:p w:rsidR="00501ADF" w:rsidRDefault="00501ADF" w:rsidP="00501ADF">
      <w:pPr>
        <w:jc w:val="both"/>
      </w:pPr>
    </w:p>
    <w:p w:rsidR="001932FC" w:rsidRDefault="001932FC" w:rsidP="0068307E">
      <w:pPr>
        <w:shd w:val="clear" w:color="auto" w:fill="A8D08D" w:themeFill="accent6" w:themeFillTint="99"/>
        <w:jc w:val="both"/>
      </w:pPr>
      <w: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Caption w:val="DEFINICIÓN DEL PROBLEMA Y OBJETIVOS GENERALES DE LA REGULACIÓN."/>
      </w:tblPr>
      <w:tblGrid>
        <w:gridCol w:w="8828"/>
      </w:tblGrid>
      <w:tr w:rsidR="001932FC" w:rsidRPr="00E6080B" w:rsidTr="00862F03">
        <w:trPr>
          <w:tblHeader/>
        </w:trPr>
        <w:tc>
          <w:tcPr>
            <w:tcW w:w="8828" w:type="dxa"/>
            <w:shd w:val="clear" w:color="auto" w:fill="FFFFFF" w:themeFill="background1"/>
          </w:tcPr>
          <w:p w:rsidR="001932FC" w:rsidRPr="008F71E9" w:rsidRDefault="001932FC" w:rsidP="008A48B0">
            <w:pPr>
              <w:shd w:val="clear" w:color="auto" w:fill="FFFFFF" w:themeFill="background1"/>
              <w:jc w:val="both"/>
              <w:rPr>
                <w:b/>
                <w:sz w:val="20"/>
                <w:szCs w:val="20"/>
              </w:rPr>
            </w:pPr>
            <w:r w:rsidRPr="008F71E9">
              <w:rPr>
                <w:b/>
                <w:sz w:val="20"/>
                <w:szCs w:val="20"/>
              </w:rPr>
              <w:t>1.</w:t>
            </w:r>
            <w:r w:rsidR="00E6080B" w:rsidRPr="008F71E9">
              <w:rPr>
                <w:b/>
                <w:sz w:val="20"/>
                <w:szCs w:val="20"/>
              </w:rPr>
              <w:t>-</w:t>
            </w:r>
            <w:r w:rsidRPr="008F71E9">
              <w:rPr>
                <w:b/>
                <w:sz w:val="20"/>
                <w:szCs w:val="20"/>
              </w:rPr>
              <w:t xml:space="preserve"> </w:t>
            </w:r>
            <w:r w:rsidR="00D221B5" w:rsidRPr="008F71E9">
              <w:rPr>
                <w:b/>
                <w:sz w:val="20"/>
                <w:szCs w:val="20"/>
              </w:rPr>
              <w:t>Explique brevemente en qué consiste el anteproyecto de regulación propuesto así como sus objetivos generales</w:t>
            </w:r>
            <w:r w:rsidRPr="008F71E9">
              <w:rPr>
                <w:b/>
                <w:sz w:val="20"/>
                <w:szCs w:val="20"/>
              </w:rPr>
              <w:t>:</w:t>
            </w:r>
          </w:p>
          <w:p w:rsidR="001932FC" w:rsidRDefault="001932FC" w:rsidP="008A48B0">
            <w:pPr>
              <w:shd w:val="clear" w:color="auto" w:fill="FFFFFF" w:themeFill="background1"/>
              <w:jc w:val="both"/>
              <w:rPr>
                <w:sz w:val="20"/>
                <w:szCs w:val="20"/>
              </w:rPr>
            </w:pPr>
          </w:p>
          <w:p w:rsidR="004F2345" w:rsidRPr="00E6080B" w:rsidRDefault="004F2345" w:rsidP="008A48B0">
            <w:pPr>
              <w:shd w:val="clear" w:color="auto" w:fill="FFFFFF" w:themeFill="background1"/>
              <w:jc w:val="both"/>
              <w:rPr>
                <w:sz w:val="20"/>
                <w:szCs w:val="20"/>
              </w:rPr>
            </w:pPr>
            <w:r w:rsidRPr="004F2345">
              <w:rPr>
                <w:sz w:val="20"/>
                <w:szCs w:val="20"/>
              </w:rPr>
              <w:t xml:space="preserve">La Guía para el Control de Concentraciones es un documento </w:t>
            </w:r>
            <w:r>
              <w:rPr>
                <w:sz w:val="20"/>
                <w:szCs w:val="20"/>
              </w:rPr>
              <w:t xml:space="preserve">que </w:t>
            </w:r>
            <w:r w:rsidRPr="004F2345">
              <w:rPr>
                <w:sz w:val="20"/>
                <w:szCs w:val="20"/>
              </w:rPr>
              <w:t>presenta información sobre la aplicación de los controles de concentraciones en los sectores de telecomunicaciones y radiodifusión. Ello con la finalidad de orientar a los agentes económicos, a la industria, a los interesados en los sectores y a la sociedad en general respecto de los procedimientos, formas de análisis, actuaciones y evaluaciones que el Instituto lleva a cabo en materia de concentraciones.</w:t>
            </w:r>
          </w:p>
          <w:p w:rsidR="001932FC" w:rsidRPr="00E6080B" w:rsidRDefault="001932FC" w:rsidP="001932FC">
            <w:pPr>
              <w:jc w:val="both"/>
              <w:rPr>
                <w:sz w:val="20"/>
                <w:szCs w:val="20"/>
              </w:rPr>
            </w:pPr>
          </w:p>
        </w:tc>
      </w:tr>
    </w:tbl>
    <w:p w:rsidR="001932FC" w:rsidRDefault="001932FC" w:rsidP="001932FC">
      <w:pPr>
        <w:jc w:val="both"/>
      </w:pPr>
    </w:p>
    <w:p w:rsidR="001932FC" w:rsidRDefault="001932FC" w:rsidP="00A1622C">
      <w:pPr>
        <w:shd w:val="clear" w:color="auto" w:fill="A8D08D" w:themeFill="accent6" w:themeFillTint="99"/>
        <w:jc w:val="both"/>
      </w:pPr>
      <w:r>
        <w:t xml:space="preserve">II. </w:t>
      </w:r>
      <w:r w:rsidR="00E21B49">
        <w:t>IMPACTO DE LA REGULACIÓN</w:t>
      </w:r>
      <w:r>
        <w:t>.</w:t>
      </w:r>
    </w:p>
    <w:tbl>
      <w:tblPr>
        <w:tblStyle w:val="Tablaconcuadrcula"/>
        <w:tblW w:w="0" w:type="auto"/>
        <w:tblLook w:val="04A0" w:firstRow="1" w:lastRow="0" w:firstColumn="1" w:lastColumn="0" w:noHBand="0" w:noVBand="1"/>
        <w:tblCaption w:val="IMPACTO DE LA REGULACIÓN."/>
      </w:tblPr>
      <w:tblGrid>
        <w:gridCol w:w="8828"/>
      </w:tblGrid>
      <w:tr w:rsidR="00E6080B" w:rsidTr="00862F03">
        <w:trPr>
          <w:tblHeader/>
        </w:trPr>
        <w:tc>
          <w:tcPr>
            <w:tcW w:w="8828" w:type="dxa"/>
          </w:tcPr>
          <w:p w:rsidR="00801FED" w:rsidRPr="008F71E9" w:rsidRDefault="00E35357" w:rsidP="00E6080B">
            <w:pPr>
              <w:jc w:val="both"/>
              <w:rPr>
                <w:b/>
                <w:sz w:val="20"/>
              </w:rPr>
            </w:pPr>
            <w:r w:rsidRPr="008F71E9">
              <w:rPr>
                <w:b/>
                <w:sz w:val="20"/>
              </w:rPr>
              <w:t>2</w:t>
            </w:r>
            <w:r w:rsidR="00E6080B" w:rsidRPr="008F71E9">
              <w:rPr>
                <w:b/>
                <w:sz w:val="20"/>
              </w:rPr>
              <w:t xml:space="preserve">.- </w:t>
            </w:r>
            <w:r w:rsidR="00E21B49" w:rsidRPr="008F71E9">
              <w:rPr>
                <w:b/>
                <w:sz w:val="20"/>
              </w:rPr>
              <w:t>Justifique las razones por las que considera que el anteproyecto de regulación propuesto no genera costos de cumplimiento para los particulares, independientemente de los beneficios que éste genere</w:t>
            </w:r>
            <w:r w:rsidR="00801FED" w:rsidRPr="008F71E9">
              <w:rPr>
                <w:b/>
                <w:sz w:val="20"/>
              </w:rPr>
              <w:t>:</w:t>
            </w:r>
          </w:p>
          <w:p w:rsidR="00E6080B" w:rsidRDefault="00E6080B" w:rsidP="00E6080B">
            <w:pPr>
              <w:jc w:val="both"/>
              <w:rPr>
                <w:sz w:val="20"/>
              </w:rPr>
            </w:pPr>
          </w:p>
          <w:p w:rsidR="004F2345" w:rsidRDefault="004F2345" w:rsidP="008F71E9">
            <w:pPr>
              <w:jc w:val="both"/>
              <w:rPr>
                <w:sz w:val="20"/>
              </w:rPr>
            </w:pPr>
            <w:r>
              <w:rPr>
                <w:sz w:val="20"/>
              </w:rPr>
              <w:t>No genera costos de cumplimiento en virtud de que no constituye una norma, lineamiento o disposición de carácter vinculante. Por el contrario, es un documento únicamente orientativo y que s</w:t>
            </w:r>
            <w:r w:rsidR="008E0792">
              <w:rPr>
                <w:sz w:val="20"/>
              </w:rPr>
              <w:t>ervirá de apoyo o guía</w:t>
            </w:r>
            <w:r>
              <w:rPr>
                <w:sz w:val="20"/>
              </w:rPr>
              <w:t xml:space="preserve"> para todos aquellos que requieran información sobre cómo el </w:t>
            </w:r>
            <w:r w:rsidR="008F71E9">
              <w:rPr>
                <w:sz w:val="20"/>
              </w:rPr>
              <w:t>I</w:t>
            </w:r>
            <w:r>
              <w:rPr>
                <w:sz w:val="20"/>
              </w:rPr>
              <w:t>nstituto tramita y analiza concentraciones en los sectores de telecomunicaciones y radiodifusión.</w:t>
            </w:r>
          </w:p>
          <w:p w:rsidR="008F71E9" w:rsidRDefault="008F71E9" w:rsidP="008F71E9">
            <w:pPr>
              <w:jc w:val="both"/>
            </w:pPr>
          </w:p>
        </w:tc>
      </w:tr>
    </w:tbl>
    <w:p w:rsidR="00E21B49" w:rsidRDefault="00E21B49" w:rsidP="00E21B49">
      <w:pPr>
        <w:jc w:val="both"/>
      </w:pPr>
    </w:p>
    <w:tbl>
      <w:tblPr>
        <w:tblStyle w:val="Tablaconcuadrcula"/>
        <w:tblW w:w="0" w:type="auto"/>
        <w:tblLook w:val="04A0" w:firstRow="1" w:lastRow="0" w:firstColumn="1" w:lastColumn="0" w:noHBand="0" w:noVBand="1"/>
        <w:tblCaption w:val="IMPACTO DE LA REGULACIÓN. "/>
      </w:tblPr>
      <w:tblGrid>
        <w:gridCol w:w="1696"/>
        <w:gridCol w:w="5670"/>
        <w:gridCol w:w="1462"/>
      </w:tblGrid>
      <w:tr w:rsidR="00804F49" w:rsidRPr="00804F49" w:rsidTr="00862F03">
        <w:trPr>
          <w:tblHeader/>
        </w:trPr>
        <w:tc>
          <w:tcPr>
            <w:tcW w:w="1696" w:type="dxa"/>
            <w:vMerge w:val="restart"/>
          </w:tcPr>
          <w:p w:rsidR="00804F49" w:rsidRPr="008F71E9" w:rsidRDefault="00E35357" w:rsidP="00804F49">
            <w:pPr>
              <w:jc w:val="both"/>
              <w:rPr>
                <w:b/>
                <w:sz w:val="20"/>
                <w:szCs w:val="20"/>
              </w:rPr>
            </w:pPr>
            <w:r w:rsidRPr="008F71E9">
              <w:rPr>
                <w:b/>
                <w:sz w:val="20"/>
                <w:szCs w:val="20"/>
              </w:rPr>
              <w:lastRenderedPageBreak/>
              <w:t>3</w:t>
            </w:r>
            <w:r w:rsidR="00804F49" w:rsidRPr="008F71E9">
              <w:rPr>
                <w:b/>
                <w:sz w:val="20"/>
                <w:szCs w:val="20"/>
              </w:rPr>
              <w:t>.- Indique cuál(es) de la(s) siguiente(s) acciones corresponde(n) al anteproyecto de regulación propuesto.</w:t>
            </w:r>
          </w:p>
        </w:tc>
        <w:tc>
          <w:tcPr>
            <w:tcW w:w="5670" w:type="dxa"/>
            <w:shd w:val="clear" w:color="auto" w:fill="A8D08D" w:themeFill="accent6" w:themeFillTint="99"/>
          </w:tcPr>
          <w:p w:rsidR="00804F49" w:rsidRPr="00804F49" w:rsidRDefault="00804F49" w:rsidP="00804F49">
            <w:pPr>
              <w:jc w:val="center"/>
              <w:rPr>
                <w:sz w:val="20"/>
                <w:szCs w:val="20"/>
              </w:rPr>
            </w:pPr>
            <w:r w:rsidRPr="00804F49">
              <w:rPr>
                <w:sz w:val="20"/>
                <w:szCs w:val="20"/>
              </w:rPr>
              <w:t>Acciones</w:t>
            </w:r>
          </w:p>
        </w:tc>
        <w:tc>
          <w:tcPr>
            <w:tcW w:w="1462" w:type="dxa"/>
            <w:shd w:val="clear" w:color="auto" w:fill="A8D08D" w:themeFill="accent6" w:themeFillTint="99"/>
          </w:tcPr>
          <w:p w:rsidR="00804F49" w:rsidRPr="00804F49" w:rsidRDefault="00804F49" w:rsidP="00804F49">
            <w:pPr>
              <w:jc w:val="center"/>
              <w:rPr>
                <w:sz w:val="20"/>
                <w:szCs w:val="20"/>
              </w:rPr>
            </w:pPr>
            <w:r w:rsidRPr="00804F49">
              <w:rPr>
                <w:sz w:val="20"/>
                <w:szCs w:val="20"/>
              </w:rPr>
              <w:t>Seleccione</w:t>
            </w:r>
          </w:p>
        </w:tc>
      </w:tr>
      <w:tr w:rsidR="00804F49" w:rsidRPr="00804F49" w:rsidTr="00862F03">
        <w:trPr>
          <w:tblHeader/>
        </w:trPr>
        <w:tc>
          <w:tcPr>
            <w:tcW w:w="1696" w:type="dxa"/>
            <w:vMerge/>
          </w:tcPr>
          <w:p w:rsidR="00804F49" w:rsidRPr="00804F49" w:rsidRDefault="00804F49" w:rsidP="00E21B49">
            <w:pPr>
              <w:jc w:val="both"/>
              <w:rPr>
                <w:sz w:val="20"/>
                <w:szCs w:val="20"/>
              </w:rPr>
            </w:pPr>
          </w:p>
        </w:tc>
        <w:tc>
          <w:tcPr>
            <w:tcW w:w="5670" w:type="dxa"/>
          </w:tcPr>
          <w:p w:rsidR="00804F49" w:rsidRPr="00804F49" w:rsidRDefault="00804F49" w:rsidP="00E21B49">
            <w:pPr>
              <w:jc w:val="both"/>
              <w:rPr>
                <w:sz w:val="20"/>
                <w:szCs w:val="20"/>
              </w:rPr>
            </w:pPr>
            <w:r w:rsidRPr="00804F49">
              <w:rPr>
                <w:sz w:val="20"/>
                <w:szCs w:val="20"/>
              </w:rPr>
              <w:t>Crea nuevas obligaciones y/o sanciones para los particulares o hace más estrictas las existentes</w:t>
            </w:r>
            <w:r>
              <w:rPr>
                <w:sz w:val="20"/>
                <w:szCs w:val="20"/>
              </w:rPr>
              <w:t>.</w:t>
            </w:r>
          </w:p>
        </w:tc>
        <w:tc>
          <w:tcPr>
            <w:tcW w:w="1462" w:type="dxa"/>
          </w:tcPr>
          <w:p w:rsidR="00804F49" w:rsidRPr="00804F49" w:rsidRDefault="00804F49" w:rsidP="00804F49">
            <w:pPr>
              <w:jc w:val="center"/>
              <w:rPr>
                <w:sz w:val="20"/>
                <w:szCs w:val="20"/>
              </w:rPr>
            </w:pPr>
            <w:r>
              <w:rPr>
                <w:sz w:val="20"/>
                <w:szCs w:val="20"/>
              </w:rPr>
              <w:t>Si ( ) No (</w:t>
            </w:r>
            <w:r w:rsidR="004F2345">
              <w:rPr>
                <w:sz w:val="20"/>
                <w:szCs w:val="20"/>
              </w:rPr>
              <w:t>x</w:t>
            </w:r>
            <w:r>
              <w:rPr>
                <w:sz w:val="20"/>
                <w:szCs w:val="20"/>
              </w:rPr>
              <w:t>)</w:t>
            </w:r>
          </w:p>
        </w:tc>
      </w:tr>
      <w:tr w:rsidR="00804F49" w:rsidRPr="00804F49" w:rsidTr="00862F03">
        <w:trPr>
          <w:tblHeader/>
        </w:trPr>
        <w:tc>
          <w:tcPr>
            <w:tcW w:w="1696" w:type="dxa"/>
            <w:vMerge/>
          </w:tcPr>
          <w:p w:rsidR="00804F49" w:rsidRPr="00804F49" w:rsidRDefault="00804F49" w:rsidP="00804F49">
            <w:pPr>
              <w:jc w:val="both"/>
              <w:rPr>
                <w:sz w:val="20"/>
                <w:szCs w:val="20"/>
              </w:rPr>
            </w:pPr>
          </w:p>
        </w:tc>
        <w:tc>
          <w:tcPr>
            <w:tcW w:w="5670" w:type="dxa"/>
          </w:tcPr>
          <w:p w:rsidR="00804F49" w:rsidRPr="00804F49" w:rsidRDefault="00804F49" w:rsidP="00804F49">
            <w:pPr>
              <w:jc w:val="both"/>
              <w:rPr>
                <w:sz w:val="20"/>
                <w:szCs w:val="20"/>
              </w:rPr>
            </w:pPr>
            <w:r w:rsidRPr="00804F49">
              <w:rPr>
                <w:sz w:val="20"/>
                <w:szCs w:val="20"/>
              </w:rPr>
              <w:t>Modifica o crea trámites que signifiquen mayores cargas administrativas o costos de cumplimiento para los particulares.</w:t>
            </w:r>
          </w:p>
        </w:tc>
        <w:tc>
          <w:tcPr>
            <w:tcW w:w="1462" w:type="dxa"/>
          </w:tcPr>
          <w:p w:rsidR="00804F49" w:rsidRDefault="004F2345" w:rsidP="00804F49">
            <w:pPr>
              <w:jc w:val="center"/>
            </w:pPr>
            <w:r>
              <w:rPr>
                <w:sz w:val="20"/>
                <w:szCs w:val="20"/>
              </w:rPr>
              <w:t>Si ( ) No (x</w:t>
            </w:r>
            <w:r w:rsidR="00804F49" w:rsidRPr="00D76D0A">
              <w:rPr>
                <w:sz w:val="20"/>
                <w:szCs w:val="20"/>
              </w:rPr>
              <w:t>)</w:t>
            </w:r>
          </w:p>
        </w:tc>
      </w:tr>
      <w:tr w:rsidR="00804F49" w:rsidRPr="00804F49" w:rsidTr="00862F03">
        <w:trPr>
          <w:tblHeader/>
        </w:trPr>
        <w:tc>
          <w:tcPr>
            <w:tcW w:w="1696" w:type="dxa"/>
            <w:vMerge/>
          </w:tcPr>
          <w:p w:rsidR="00804F49" w:rsidRPr="00804F49" w:rsidRDefault="00804F49" w:rsidP="00804F49">
            <w:pPr>
              <w:jc w:val="both"/>
              <w:rPr>
                <w:sz w:val="20"/>
                <w:szCs w:val="20"/>
              </w:rPr>
            </w:pPr>
          </w:p>
        </w:tc>
        <w:tc>
          <w:tcPr>
            <w:tcW w:w="5670" w:type="dxa"/>
          </w:tcPr>
          <w:p w:rsidR="00804F49" w:rsidRPr="00804F49" w:rsidRDefault="00804F49" w:rsidP="00804F49">
            <w:pPr>
              <w:jc w:val="both"/>
              <w:rPr>
                <w:sz w:val="20"/>
                <w:szCs w:val="20"/>
              </w:rPr>
            </w:pPr>
            <w:r w:rsidRPr="00804F49">
              <w:rPr>
                <w:sz w:val="20"/>
                <w:szCs w:val="20"/>
              </w:rPr>
              <w:t>Reduce o restringe prestaciones o derechos para los particulares.</w:t>
            </w:r>
          </w:p>
        </w:tc>
        <w:tc>
          <w:tcPr>
            <w:tcW w:w="1462" w:type="dxa"/>
          </w:tcPr>
          <w:p w:rsidR="00804F49" w:rsidRDefault="00804F49" w:rsidP="00804F49">
            <w:pPr>
              <w:jc w:val="center"/>
            </w:pPr>
            <w:r w:rsidRPr="00D76D0A">
              <w:rPr>
                <w:sz w:val="20"/>
                <w:szCs w:val="20"/>
              </w:rPr>
              <w:t>Si</w:t>
            </w:r>
            <w:r w:rsidR="004F2345">
              <w:rPr>
                <w:sz w:val="20"/>
                <w:szCs w:val="20"/>
              </w:rPr>
              <w:t xml:space="preserve"> ( ) No (x</w:t>
            </w:r>
            <w:r w:rsidRPr="00D76D0A">
              <w:rPr>
                <w:sz w:val="20"/>
                <w:szCs w:val="20"/>
              </w:rPr>
              <w:t>)</w:t>
            </w:r>
          </w:p>
        </w:tc>
      </w:tr>
      <w:tr w:rsidR="00804F49" w:rsidRPr="00804F49" w:rsidTr="00862F03">
        <w:trPr>
          <w:tblHeader/>
        </w:trPr>
        <w:tc>
          <w:tcPr>
            <w:tcW w:w="1696" w:type="dxa"/>
            <w:vMerge/>
          </w:tcPr>
          <w:p w:rsidR="00804F49" w:rsidRPr="00804F49" w:rsidRDefault="00804F49" w:rsidP="00804F49">
            <w:pPr>
              <w:jc w:val="both"/>
              <w:rPr>
                <w:sz w:val="20"/>
                <w:szCs w:val="20"/>
              </w:rPr>
            </w:pPr>
          </w:p>
        </w:tc>
        <w:tc>
          <w:tcPr>
            <w:tcW w:w="5670" w:type="dxa"/>
          </w:tcPr>
          <w:p w:rsidR="00804F49" w:rsidRPr="00804F49" w:rsidRDefault="00804F49" w:rsidP="00804F49">
            <w:pPr>
              <w:jc w:val="both"/>
              <w:rPr>
                <w:sz w:val="20"/>
                <w:szCs w:val="20"/>
              </w:rPr>
            </w:pPr>
            <w:r w:rsidRPr="00804F49">
              <w:rPr>
                <w:sz w:val="20"/>
                <w:szCs w:val="20"/>
              </w:rPr>
              <w:t>Establece o modifica definiciones, clasificaciones, metodologías, criterios, caracterizaciones o cualquier otro término de referencia, afectando derechos, obligaciones, prestaciones o trámites de los particulares.</w:t>
            </w:r>
          </w:p>
        </w:tc>
        <w:tc>
          <w:tcPr>
            <w:tcW w:w="1462" w:type="dxa"/>
          </w:tcPr>
          <w:p w:rsidR="00804F49" w:rsidRDefault="004F2345" w:rsidP="00804F49">
            <w:pPr>
              <w:jc w:val="center"/>
            </w:pPr>
            <w:r>
              <w:rPr>
                <w:sz w:val="20"/>
                <w:szCs w:val="20"/>
              </w:rPr>
              <w:t>Si ( ) No (x</w:t>
            </w:r>
            <w:r w:rsidR="00804F49" w:rsidRPr="00D76D0A">
              <w:rPr>
                <w:sz w:val="20"/>
                <w:szCs w:val="20"/>
              </w:rPr>
              <w:t>)</w:t>
            </w:r>
          </w:p>
        </w:tc>
      </w:tr>
    </w:tbl>
    <w:p w:rsidR="00E21B49" w:rsidRDefault="00E21B49" w:rsidP="00E21B49">
      <w:pPr>
        <w:jc w:val="both"/>
      </w:pPr>
    </w:p>
    <w:p w:rsidR="00A73AD8" w:rsidRDefault="00A73AD8" w:rsidP="00A73AD8">
      <w:pPr>
        <w:shd w:val="clear" w:color="auto" w:fill="A8D08D" w:themeFill="accent6" w:themeFillTint="99"/>
        <w:jc w:val="both"/>
      </w:pPr>
      <w:r>
        <w:t>I</w:t>
      </w:r>
      <w:r w:rsidR="00804F49">
        <w:t>I</w:t>
      </w:r>
      <w:r>
        <w:t>I. FUENTE CONSULTADAS, ANEXOS O CUALQUIER OTRA DOCUMENTACIÓN DE INTERÉS.</w:t>
      </w:r>
    </w:p>
    <w:tbl>
      <w:tblPr>
        <w:tblStyle w:val="Tablaconcuadrcula"/>
        <w:tblW w:w="0" w:type="auto"/>
        <w:tblLook w:val="04A0" w:firstRow="1" w:lastRow="0" w:firstColumn="1" w:lastColumn="0" w:noHBand="0" w:noVBand="1"/>
        <w:tblCaption w:val="FUENTE CONSULTADAS, ANEXOS O CUALQUIER OTRA DOCUMENTACIÓN DE INTERÉS."/>
      </w:tblPr>
      <w:tblGrid>
        <w:gridCol w:w="8828"/>
      </w:tblGrid>
      <w:tr w:rsidR="00862F03" w:rsidTr="00862F03">
        <w:trPr>
          <w:tblHeader/>
        </w:trPr>
        <w:tc>
          <w:tcPr>
            <w:tcW w:w="8828" w:type="dxa"/>
          </w:tcPr>
          <w:p w:rsidR="00862F03" w:rsidRPr="00862F03" w:rsidRDefault="00862F03" w:rsidP="00A73AD8">
            <w:pPr>
              <w:jc w:val="both"/>
              <w:rPr>
                <w:sz w:val="2"/>
              </w:rPr>
            </w:pPr>
            <w:r w:rsidRPr="00862F03">
              <w:rPr>
                <w:sz w:val="2"/>
              </w:rPr>
              <w:t>FUENTE CONSULTADAS, ANEXOS O CUALQUIER OTRA DOCUMENTACIÓN DE INTERÉS.</w:t>
            </w:r>
          </w:p>
        </w:tc>
      </w:tr>
      <w:tr w:rsidR="00A73AD8" w:rsidTr="00862F03">
        <w:tc>
          <w:tcPr>
            <w:tcW w:w="8828" w:type="dxa"/>
          </w:tcPr>
          <w:p w:rsidR="00B74C55" w:rsidRPr="008F71E9" w:rsidRDefault="00E35357" w:rsidP="00A73AD8">
            <w:pPr>
              <w:jc w:val="both"/>
              <w:rPr>
                <w:b/>
                <w:sz w:val="20"/>
              </w:rPr>
            </w:pPr>
            <w:r w:rsidRPr="008F71E9">
              <w:rPr>
                <w:b/>
                <w:sz w:val="20"/>
              </w:rPr>
              <w:t>4</w:t>
            </w:r>
            <w:r w:rsidR="00A73AD8" w:rsidRPr="008F71E9">
              <w:rPr>
                <w:b/>
                <w:sz w:val="20"/>
              </w:rPr>
              <w:t xml:space="preserve">.- Enliste </w:t>
            </w:r>
            <w:r w:rsidR="00B74C55" w:rsidRPr="008F71E9">
              <w:rPr>
                <w:b/>
                <w:sz w:val="20"/>
              </w:rPr>
              <w:t>los datos bibliográficos o las direcciones electrónicas consultadas para el diseño y redacción</w:t>
            </w:r>
            <w:r w:rsidR="00804F49" w:rsidRPr="008F71E9">
              <w:rPr>
                <w:b/>
                <w:sz w:val="20"/>
              </w:rPr>
              <w:t xml:space="preserve"> del anteproyecto de regulación, así como cualquier otra documentación que se considere de interés.</w:t>
            </w:r>
          </w:p>
          <w:p w:rsidR="00A73AD8" w:rsidRDefault="00A73AD8" w:rsidP="0086684A">
            <w:pPr>
              <w:jc w:val="both"/>
              <w:rPr>
                <w:sz w:val="20"/>
              </w:rPr>
            </w:pPr>
          </w:p>
          <w:p w:rsidR="003C48A0" w:rsidRPr="001C2854" w:rsidRDefault="003C48A0" w:rsidP="003C48A0">
            <w:pPr>
              <w:pStyle w:val="Textonotapie"/>
              <w:rPr>
                <w:rFonts w:asciiTheme="minorHAnsi" w:hAnsiTheme="minorHAnsi"/>
                <w:b/>
                <w:sz w:val="20"/>
                <w:szCs w:val="20"/>
                <w:lang w:val="es-MX"/>
              </w:rPr>
            </w:pPr>
            <w:r w:rsidRPr="001C2854">
              <w:rPr>
                <w:rFonts w:asciiTheme="minorHAnsi" w:hAnsiTheme="minorHAnsi"/>
                <w:b/>
                <w:sz w:val="20"/>
                <w:szCs w:val="20"/>
                <w:lang w:val="es-MX"/>
              </w:rPr>
              <w:t>Disposiciones legales utilizadas:</w:t>
            </w:r>
          </w:p>
          <w:p w:rsidR="003C48A0" w:rsidRPr="001C2854" w:rsidRDefault="003C48A0" w:rsidP="003C48A0">
            <w:pPr>
              <w:pStyle w:val="Textonotapie"/>
              <w:rPr>
                <w:rFonts w:asciiTheme="minorHAnsi" w:hAnsiTheme="minorHAnsi"/>
                <w:sz w:val="20"/>
                <w:szCs w:val="20"/>
                <w:lang w:val="es-MX"/>
              </w:rPr>
            </w:pPr>
          </w:p>
          <w:p w:rsidR="003C48A0" w:rsidRPr="001C2854" w:rsidRDefault="003C48A0" w:rsidP="003C48A0">
            <w:pPr>
              <w:pStyle w:val="Textonotapie"/>
              <w:rPr>
                <w:rFonts w:asciiTheme="minorHAnsi" w:hAnsiTheme="minorHAnsi"/>
                <w:sz w:val="20"/>
                <w:szCs w:val="20"/>
                <w:lang w:val="es-MX"/>
              </w:rPr>
            </w:pPr>
            <w:r w:rsidRPr="001C2854">
              <w:rPr>
                <w:rFonts w:asciiTheme="minorHAnsi" w:hAnsiTheme="minorHAnsi"/>
                <w:sz w:val="20"/>
                <w:szCs w:val="20"/>
                <w:lang w:val="es-MX"/>
              </w:rPr>
              <w:t>Código Civil Federal.</w:t>
            </w:r>
          </w:p>
          <w:p w:rsidR="003C48A0" w:rsidRPr="001C2854" w:rsidRDefault="003C48A0" w:rsidP="003C48A0">
            <w:pPr>
              <w:pStyle w:val="Textonotapie"/>
              <w:rPr>
                <w:rFonts w:asciiTheme="minorHAnsi" w:hAnsiTheme="minorHAnsi"/>
                <w:sz w:val="20"/>
                <w:szCs w:val="20"/>
                <w:lang w:val="es-MX"/>
              </w:rPr>
            </w:pPr>
            <w:r w:rsidRPr="001C2854">
              <w:rPr>
                <w:rFonts w:asciiTheme="minorHAnsi" w:hAnsiTheme="minorHAnsi"/>
                <w:sz w:val="20"/>
                <w:szCs w:val="20"/>
                <w:lang w:val="es-MX"/>
              </w:rPr>
              <w:t>Código Federal de Procedimientos Civiles.</w:t>
            </w:r>
            <w:bookmarkStart w:id="0" w:name="_GoBack"/>
            <w:bookmarkEnd w:id="0"/>
          </w:p>
          <w:p w:rsidR="003C48A0" w:rsidRPr="001C2854" w:rsidRDefault="003C48A0" w:rsidP="003C48A0">
            <w:pPr>
              <w:pStyle w:val="Textonotapie"/>
              <w:rPr>
                <w:rFonts w:asciiTheme="minorHAnsi" w:hAnsiTheme="minorHAnsi"/>
                <w:sz w:val="20"/>
                <w:szCs w:val="20"/>
                <w:lang w:val="es-MX"/>
              </w:rPr>
            </w:pPr>
            <w:r w:rsidRPr="001C2854">
              <w:rPr>
                <w:rFonts w:asciiTheme="minorHAnsi" w:hAnsiTheme="minorHAnsi"/>
                <w:sz w:val="20"/>
                <w:szCs w:val="20"/>
                <w:lang w:val="es-MX"/>
              </w:rPr>
              <w:t>Comisión Federal de Competencia Económica.</w:t>
            </w:r>
          </w:p>
          <w:p w:rsidR="003C48A0" w:rsidRPr="001C2854" w:rsidRDefault="003C48A0" w:rsidP="003C48A0">
            <w:pPr>
              <w:pStyle w:val="Textonotapie"/>
              <w:rPr>
                <w:rFonts w:asciiTheme="minorHAnsi" w:hAnsiTheme="minorHAnsi"/>
                <w:sz w:val="20"/>
                <w:szCs w:val="20"/>
                <w:lang w:val="es-MX"/>
              </w:rPr>
            </w:pPr>
            <w:r w:rsidRPr="001C2854">
              <w:rPr>
                <w:rFonts w:asciiTheme="minorHAnsi" w:hAnsiTheme="minorHAnsi"/>
                <w:sz w:val="20"/>
                <w:szCs w:val="20"/>
                <w:lang w:val="es-MX"/>
              </w:rPr>
              <w:t>Constitución Política de los Estados Unidos Mexicanos.</w:t>
            </w:r>
          </w:p>
          <w:p w:rsidR="003C48A0" w:rsidRPr="001C2854" w:rsidRDefault="003C48A0" w:rsidP="003C48A0">
            <w:pPr>
              <w:pStyle w:val="Textonotapie"/>
              <w:rPr>
                <w:rFonts w:asciiTheme="minorHAnsi" w:hAnsiTheme="minorHAnsi"/>
                <w:sz w:val="20"/>
                <w:szCs w:val="20"/>
                <w:lang w:val="es-MX"/>
              </w:rPr>
            </w:pPr>
            <w:r w:rsidRPr="001C2854">
              <w:rPr>
                <w:rFonts w:asciiTheme="minorHAnsi" w:hAnsiTheme="minorHAnsi"/>
                <w:sz w:val="20"/>
                <w:szCs w:val="20"/>
                <w:lang w:val="es-MX"/>
              </w:rPr>
              <w:t>Decreto por el que se reforman y adicionan diversas disposiciones de los artículos 6o., 7o., 27, 28, 73, 78, 94 y 105 de la Constitución Política de los Estados Unidos Mexicanos, en materia de telecomunicaciones, publicado en el DOF el once de junio de dos mil trece.</w:t>
            </w:r>
          </w:p>
          <w:p w:rsidR="003C48A0" w:rsidRPr="001C2854" w:rsidRDefault="003C48A0" w:rsidP="003C48A0">
            <w:pPr>
              <w:pStyle w:val="Textonotapie"/>
              <w:rPr>
                <w:rFonts w:asciiTheme="minorHAnsi" w:hAnsiTheme="minorHAnsi"/>
                <w:sz w:val="20"/>
                <w:szCs w:val="20"/>
                <w:lang w:val="es-MX"/>
              </w:rPr>
            </w:pPr>
            <w:r w:rsidRPr="001C2854">
              <w:rPr>
                <w:rFonts w:asciiTheme="minorHAnsi" w:hAnsiTheme="minorHAnsi"/>
                <w:sz w:val="20"/>
                <w:szCs w:val="20"/>
                <w:lang w:val="es-MX"/>
              </w:rPr>
              <w:t>Disposiciones Regulatorias de la Ley Federal de Competencia Económica para los sectores de telecomunicaciones y radiodifusión, emitidas por el Pleno del Instituto Federal de Telecomunicaciones.</w:t>
            </w:r>
          </w:p>
          <w:p w:rsidR="003C48A0" w:rsidRPr="001C2854" w:rsidRDefault="003C48A0" w:rsidP="003C48A0">
            <w:pPr>
              <w:pStyle w:val="Textonotapie"/>
              <w:rPr>
                <w:rFonts w:asciiTheme="minorHAnsi" w:hAnsiTheme="minorHAnsi"/>
                <w:sz w:val="20"/>
                <w:szCs w:val="20"/>
                <w:lang w:val="es-MX"/>
              </w:rPr>
            </w:pPr>
            <w:r w:rsidRPr="001C2854">
              <w:rPr>
                <w:rFonts w:asciiTheme="minorHAnsi" w:hAnsiTheme="minorHAnsi"/>
                <w:sz w:val="20"/>
                <w:szCs w:val="20"/>
                <w:lang w:val="es-MX"/>
              </w:rPr>
              <w:t xml:space="preserve">Estatuto Orgánico del Instituto Federal de Telecomunicaciones. </w:t>
            </w:r>
          </w:p>
          <w:p w:rsidR="003C48A0" w:rsidRPr="001C2854" w:rsidRDefault="003C48A0" w:rsidP="003C48A0">
            <w:pPr>
              <w:pStyle w:val="Textonotapie"/>
              <w:rPr>
                <w:rFonts w:asciiTheme="minorHAnsi" w:hAnsiTheme="minorHAnsi"/>
                <w:sz w:val="20"/>
                <w:szCs w:val="20"/>
                <w:lang w:val="es-MX"/>
              </w:rPr>
            </w:pPr>
            <w:r w:rsidRPr="001C2854">
              <w:rPr>
                <w:rFonts w:asciiTheme="minorHAnsi" w:hAnsiTheme="minorHAnsi"/>
                <w:sz w:val="20"/>
                <w:szCs w:val="20"/>
                <w:lang w:val="es-MX"/>
              </w:rPr>
              <w:t>Ley Federal de Competencia Económica.</w:t>
            </w:r>
          </w:p>
          <w:p w:rsidR="003C48A0" w:rsidRPr="001C2854" w:rsidRDefault="003C48A0" w:rsidP="003C48A0">
            <w:pPr>
              <w:pStyle w:val="Textonotapie"/>
              <w:rPr>
                <w:rFonts w:asciiTheme="minorHAnsi" w:hAnsiTheme="minorHAnsi"/>
                <w:sz w:val="20"/>
                <w:szCs w:val="20"/>
                <w:lang w:val="es-MX"/>
              </w:rPr>
            </w:pPr>
            <w:r w:rsidRPr="001C2854">
              <w:rPr>
                <w:rFonts w:asciiTheme="minorHAnsi" w:hAnsiTheme="minorHAnsi"/>
                <w:sz w:val="20"/>
                <w:szCs w:val="20"/>
                <w:lang w:val="es-MX"/>
              </w:rPr>
              <w:t>Ley Federal de Procedimiento Administrativo.</w:t>
            </w:r>
          </w:p>
          <w:p w:rsidR="003C48A0" w:rsidRPr="001C2854" w:rsidRDefault="003C48A0" w:rsidP="003C48A0">
            <w:pPr>
              <w:pStyle w:val="Textonotapie"/>
              <w:rPr>
                <w:rFonts w:asciiTheme="minorHAnsi" w:hAnsiTheme="minorHAnsi"/>
                <w:sz w:val="20"/>
                <w:szCs w:val="20"/>
                <w:lang w:val="es-MX"/>
              </w:rPr>
            </w:pPr>
            <w:r w:rsidRPr="001C2854">
              <w:rPr>
                <w:rFonts w:asciiTheme="minorHAnsi" w:hAnsiTheme="minorHAnsi"/>
                <w:sz w:val="20"/>
                <w:szCs w:val="20"/>
                <w:lang w:val="es-MX"/>
              </w:rPr>
              <w:t>Ley Federal de Telecomunicaciones y Radiodifusión.</w:t>
            </w:r>
          </w:p>
          <w:p w:rsidR="003C48A0" w:rsidRPr="001C2854" w:rsidRDefault="003C48A0" w:rsidP="003C48A0">
            <w:pPr>
              <w:pStyle w:val="Textonotapie"/>
              <w:rPr>
                <w:rFonts w:asciiTheme="minorHAnsi" w:hAnsiTheme="minorHAnsi"/>
                <w:sz w:val="20"/>
                <w:szCs w:val="20"/>
                <w:lang w:val="es-MX"/>
              </w:rPr>
            </w:pPr>
            <w:r w:rsidRPr="001C2854">
              <w:rPr>
                <w:rFonts w:asciiTheme="minorHAnsi" w:hAnsiTheme="minorHAnsi"/>
                <w:sz w:val="20"/>
                <w:szCs w:val="20"/>
                <w:lang w:val="es-MX"/>
              </w:rPr>
              <w:t>Lineamientos Generales sobre la Autorización de Arrendamiento de Espectro Radioeléctrico.</w:t>
            </w:r>
          </w:p>
          <w:p w:rsidR="003C48A0" w:rsidRPr="001C2854" w:rsidRDefault="003C48A0" w:rsidP="003C48A0">
            <w:pPr>
              <w:pStyle w:val="Textonotapie"/>
              <w:rPr>
                <w:rFonts w:asciiTheme="minorHAnsi" w:hAnsiTheme="minorHAnsi"/>
                <w:sz w:val="20"/>
                <w:szCs w:val="20"/>
                <w:lang w:val="es-MX"/>
              </w:rPr>
            </w:pPr>
          </w:p>
          <w:p w:rsidR="003C48A0" w:rsidRPr="001C2854" w:rsidRDefault="003C48A0" w:rsidP="003C48A0">
            <w:pPr>
              <w:pStyle w:val="Textonotapie"/>
              <w:rPr>
                <w:rFonts w:asciiTheme="minorHAnsi" w:hAnsiTheme="minorHAnsi"/>
                <w:b/>
                <w:sz w:val="20"/>
                <w:szCs w:val="20"/>
                <w:lang w:val="es-MX"/>
              </w:rPr>
            </w:pPr>
            <w:r w:rsidRPr="001C2854">
              <w:rPr>
                <w:rFonts w:asciiTheme="minorHAnsi" w:hAnsiTheme="minorHAnsi"/>
                <w:b/>
                <w:sz w:val="20"/>
                <w:szCs w:val="20"/>
                <w:lang w:val="es-MX"/>
              </w:rPr>
              <w:t xml:space="preserve">Precedentes decisorios emitidos por el Pleno del Instituto: </w:t>
            </w:r>
          </w:p>
          <w:p w:rsidR="003C48A0" w:rsidRPr="001C2854" w:rsidRDefault="003C48A0" w:rsidP="003C48A0">
            <w:pPr>
              <w:pStyle w:val="Textonotapie"/>
              <w:rPr>
                <w:rFonts w:asciiTheme="minorHAnsi" w:hAnsiTheme="minorHAnsi"/>
                <w:sz w:val="20"/>
                <w:szCs w:val="20"/>
                <w:lang w:val="es-MX"/>
              </w:rPr>
            </w:pPr>
          </w:p>
          <w:p w:rsidR="00AC05DC" w:rsidRPr="00AC05DC" w:rsidRDefault="00F92658" w:rsidP="003C48A0">
            <w:pPr>
              <w:pStyle w:val="Textonotapie"/>
              <w:rPr>
                <w:rFonts w:asciiTheme="minorHAnsi" w:hAnsiTheme="minorHAnsi"/>
                <w:sz w:val="20"/>
                <w:szCs w:val="20"/>
                <w:lang w:val="es-MX"/>
              </w:rPr>
            </w:pPr>
            <w:hyperlink r:id="rId9" w:history="1">
              <w:r w:rsidR="003C48A0" w:rsidRPr="00AC05DC">
                <w:rPr>
                  <w:rStyle w:val="Hipervnculo"/>
                  <w:rFonts w:asciiTheme="minorHAnsi" w:hAnsiTheme="minorHAnsi"/>
                  <w:sz w:val="20"/>
                  <w:szCs w:val="20"/>
                  <w:lang w:val="es-MX"/>
                </w:rPr>
                <w:t>Acuerdo P/IFT/210915/402</w:t>
              </w:r>
            </w:hyperlink>
          </w:p>
          <w:p w:rsidR="00AC05DC" w:rsidRDefault="00F92658" w:rsidP="003C48A0">
            <w:pPr>
              <w:pStyle w:val="Textonotapie"/>
              <w:rPr>
                <w:rFonts w:asciiTheme="minorHAnsi" w:hAnsiTheme="minorHAnsi"/>
                <w:sz w:val="20"/>
                <w:szCs w:val="20"/>
                <w:lang w:val="es-MX"/>
              </w:rPr>
            </w:pPr>
            <w:hyperlink r:id="rId10" w:history="1">
              <w:r w:rsidR="003C48A0" w:rsidRPr="00AC05DC">
                <w:rPr>
                  <w:rStyle w:val="Hipervnculo"/>
                  <w:rFonts w:asciiTheme="minorHAnsi" w:hAnsiTheme="minorHAnsi"/>
                  <w:sz w:val="20"/>
                  <w:szCs w:val="20"/>
                </w:rPr>
                <w:t>Acuerdo P/IFT/EXT/290415/86.</w:t>
              </w:r>
            </w:hyperlink>
            <w:r w:rsidR="003C48A0" w:rsidRPr="001C2854">
              <w:rPr>
                <w:rFonts w:asciiTheme="minorHAnsi" w:hAnsiTheme="minorHAnsi"/>
                <w:sz w:val="20"/>
                <w:szCs w:val="20"/>
              </w:rPr>
              <w:t xml:space="preserve"> </w:t>
            </w:r>
          </w:p>
          <w:p w:rsidR="003C48A0" w:rsidRPr="001C2854" w:rsidRDefault="00F92658" w:rsidP="003C48A0">
            <w:pPr>
              <w:pStyle w:val="Textonotapie"/>
              <w:rPr>
                <w:rFonts w:asciiTheme="minorHAnsi" w:hAnsiTheme="minorHAnsi"/>
                <w:sz w:val="20"/>
                <w:szCs w:val="20"/>
              </w:rPr>
            </w:pPr>
            <w:hyperlink r:id="rId11" w:history="1">
              <w:r w:rsidR="003C48A0" w:rsidRPr="00AC05DC">
                <w:rPr>
                  <w:rStyle w:val="Hipervnculo"/>
                  <w:rFonts w:asciiTheme="minorHAnsi" w:hAnsiTheme="minorHAnsi"/>
                  <w:sz w:val="20"/>
                  <w:szCs w:val="20"/>
                </w:rPr>
                <w:t>Acuerdo P/IFT/180315/93</w:t>
              </w:r>
              <w:r w:rsidR="00AC05DC" w:rsidRPr="00AC05DC">
                <w:rPr>
                  <w:rStyle w:val="Hipervnculo"/>
                  <w:rFonts w:asciiTheme="minorHAnsi" w:hAnsiTheme="minorHAnsi"/>
                  <w:sz w:val="20"/>
                  <w:szCs w:val="20"/>
                </w:rPr>
                <w:t>.</w:t>
              </w:r>
            </w:hyperlink>
          </w:p>
          <w:p w:rsidR="003C48A0" w:rsidRPr="001C2854" w:rsidRDefault="00F92658" w:rsidP="003C48A0">
            <w:pPr>
              <w:pStyle w:val="Textonotapie"/>
              <w:rPr>
                <w:rFonts w:asciiTheme="minorHAnsi" w:hAnsiTheme="minorHAnsi"/>
                <w:sz w:val="20"/>
                <w:szCs w:val="20"/>
              </w:rPr>
            </w:pPr>
            <w:hyperlink r:id="rId12" w:history="1">
              <w:r w:rsidR="003C48A0" w:rsidRPr="00AC05DC">
                <w:rPr>
                  <w:rStyle w:val="Hipervnculo"/>
                  <w:rFonts w:asciiTheme="minorHAnsi" w:hAnsiTheme="minorHAnsi"/>
                  <w:sz w:val="20"/>
                  <w:szCs w:val="20"/>
                </w:rPr>
                <w:t>Acuerdo P/IFT/EXT/170616/16</w:t>
              </w:r>
              <w:r w:rsidR="00AC05DC" w:rsidRPr="00AC05DC">
                <w:rPr>
                  <w:rStyle w:val="Hipervnculo"/>
                  <w:rFonts w:asciiTheme="minorHAnsi" w:hAnsiTheme="minorHAnsi"/>
                  <w:sz w:val="20"/>
                  <w:szCs w:val="20"/>
                </w:rPr>
                <w:t>.</w:t>
              </w:r>
            </w:hyperlink>
          </w:p>
          <w:p w:rsidR="003C48A0" w:rsidRPr="001C2854" w:rsidRDefault="00F92658" w:rsidP="003C48A0">
            <w:pPr>
              <w:pStyle w:val="Textonotapie"/>
              <w:rPr>
                <w:rFonts w:asciiTheme="minorHAnsi" w:hAnsiTheme="minorHAnsi"/>
                <w:sz w:val="20"/>
                <w:szCs w:val="20"/>
              </w:rPr>
            </w:pPr>
            <w:hyperlink r:id="rId13" w:history="1">
              <w:r w:rsidR="003C48A0" w:rsidRPr="00AC05DC">
                <w:rPr>
                  <w:rStyle w:val="Hipervnculo"/>
                  <w:rFonts w:asciiTheme="minorHAnsi" w:hAnsiTheme="minorHAnsi"/>
                  <w:sz w:val="20"/>
                  <w:szCs w:val="20"/>
                </w:rPr>
                <w:t>Acuerdo P/IFT/200416/160</w:t>
              </w:r>
              <w:r w:rsidR="00AC05DC" w:rsidRPr="00AC05DC">
                <w:rPr>
                  <w:rStyle w:val="Hipervnculo"/>
                  <w:rFonts w:asciiTheme="minorHAnsi" w:hAnsiTheme="minorHAnsi"/>
                  <w:sz w:val="20"/>
                  <w:szCs w:val="20"/>
                </w:rPr>
                <w:t>.</w:t>
              </w:r>
            </w:hyperlink>
          </w:p>
          <w:p w:rsidR="00AC05DC" w:rsidRDefault="00F92658" w:rsidP="003C48A0">
            <w:pPr>
              <w:pStyle w:val="Textonotapie"/>
              <w:rPr>
                <w:rFonts w:asciiTheme="minorHAnsi" w:hAnsiTheme="minorHAnsi"/>
                <w:sz w:val="20"/>
                <w:szCs w:val="20"/>
              </w:rPr>
            </w:pPr>
            <w:hyperlink r:id="rId14" w:history="1">
              <w:r w:rsidR="003C48A0" w:rsidRPr="00AC05DC">
                <w:rPr>
                  <w:rStyle w:val="Hipervnculo"/>
                  <w:rFonts w:asciiTheme="minorHAnsi" w:hAnsiTheme="minorHAnsi"/>
                  <w:sz w:val="20"/>
                  <w:szCs w:val="20"/>
                </w:rPr>
                <w:t>Acuerdo P/IFT/EXT/190216/7</w:t>
              </w:r>
              <w:r w:rsidR="00AC05DC" w:rsidRPr="00AC05DC">
                <w:rPr>
                  <w:rStyle w:val="Hipervnculo"/>
                  <w:rFonts w:asciiTheme="minorHAnsi" w:hAnsiTheme="minorHAnsi"/>
                  <w:sz w:val="20"/>
                  <w:szCs w:val="20"/>
                </w:rPr>
                <w:t>.</w:t>
              </w:r>
            </w:hyperlink>
          </w:p>
          <w:p w:rsidR="00AC05DC" w:rsidRDefault="00F92658" w:rsidP="003C48A0">
            <w:pPr>
              <w:pStyle w:val="Textonotapie"/>
              <w:rPr>
                <w:rFonts w:asciiTheme="minorHAnsi" w:hAnsiTheme="minorHAnsi"/>
                <w:sz w:val="20"/>
                <w:szCs w:val="20"/>
              </w:rPr>
            </w:pPr>
            <w:hyperlink r:id="rId15" w:history="1">
              <w:r w:rsidR="003C48A0" w:rsidRPr="00AC05DC">
                <w:rPr>
                  <w:rStyle w:val="Hipervnculo"/>
                  <w:rFonts w:asciiTheme="minorHAnsi" w:hAnsiTheme="minorHAnsi"/>
                  <w:i/>
                  <w:sz w:val="20"/>
                  <w:szCs w:val="20"/>
                </w:rPr>
                <w:t>Acuerdo mediante el cual el Pleno del Instituto Federal de Telecomunicaciones aprueba los elementos de referencia para identificar ex ante a los agentes económicos impedidos para tener influencia en la operación de la Red Compartida</w:t>
              </w:r>
              <w:r w:rsidR="00AC05DC" w:rsidRPr="00AC05DC">
                <w:rPr>
                  <w:rStyle w:val="Hipervnculo"/>
                  <w:rFonts w:asciiTheme="minorHAnsi" w:hAnsiTheme="minorHAnsi"/>
                  <w:sz w:val="20"/>
                  <w:szCs w:val="20"/>
                </w:rPr>
                <w:t>.</w:t>
              </w:r>
            </w:hyperlink>
            <w:r w:rsidR="003C48A0" w:rsidRPr="001C2854">
              <w:rPr>
                <w:rFonts w:asciiTheme="minorHAnsi" w:hAnsiTheme="minorHAnsi"/>
                <w:sz w:val="20"/>
                <w:szCs w:val="20"/>
              </w:rPr>
              <w:t xml:space="preserve"> </w:t>
            </w:r>
          </w:p>
          <w:p w:rsidR="003C48A0" w:rsidRPr="001C2854" w:rsidRDefault="00F92658" w:rsidP="003C48A0">
            <w:pPr>
              <w:pStyle w:val="Textonotapie"/>
              <w:rPr>
                <w:rFonts w:asciiTheme="minorHAnsi" w:hAnsiTheme="minorHAnsi"/>
                <w:sz w:val="20"/>
                <w:szCs w:val="20"/>
              </w:rPr>
            </w:pPr>
            <w:hyperlink r:id="rId16" w:history="1">
              <w:r w:rsidR="003C48A0" w:rsidRPr="00AC05DC">
                <w:rPr>
                  <w:rStyle w:val="Hipervnculo"/>
                  <w:rFonts w:asciiTheme="minorHAnsi" w:hAnsiTheme="minorHAnsi"/>
                  <w:sz w:val="20"/>
                  <w:szCs w:val="20"/>
                </w:rPr>
                <w:t>Acuerdo P/IFT/ 070115/30</w:t>
              </w:r>
              <w:r w:rsidR="00AC05DC" w:rsidRPr="00AC05DC">
                <w:rPr>
                  <w:rStyle w:val="Hipervnculo"/>
                  <w:rFonts w:asciiTheme="minorHAnsi" w:hAnsiTheme="minorHAnsi"/>
                  <w:sz w:val="20"/>
                  <w:szCs w:val="20"/>
                </w:rPr>
                <w:t>.</w:t>
              </w:r>
            </w:hyperlink>
          </w:p>
          <w:p w:rsidR="003C48A0" w:rsidRPr="001C2854" w:rsidRDefault="00F92658" w:rsidP="003C48A0">
            <w:pPr>
              <w:pStyle w:val="Textonotapie"/>
              <w:rPr>
                <w:rFonts w:asciiTheme="minorHAnsi" w:hAnsiTheme="minorHAnsi"/>
                <w:sz w:val="20"/>
                <w:szCs w:val="20"/>
              </w:rPr>
            </w:pPr>
            <w:hyperlink r:id="rId17" w:history="1">
              <w:r w:rsidR="003C48A0" w:rsidRPr="00AC05DC">
                <w:rPr>
                  <w:rStyle w:val="Hipervnculo"/>
                  <w:rFonts w:asciiTheme="minorHAnsi" w:hAnsiTheme="minorHAnsi"/>
                  <w:sz w:val="20"/>
                  <w:szCs w:val="20"/>
                </w:rPr>
                <w:t>Acuerdo P/IFT/EXT/151215/187</w:t>
              </w:r>
              <w:r w:rsidR="00AC05DC" w:rsidRPr="00AC05DC">
                <w:rPr>
                  <w:rStyle w:val="Hipervnculo"/>
                  <w:rFonts w:asciiTheme="minorHAnsi" w:hAnsiTheme="minorHAnsi"/>
                  <w:sz w:val="20"/>
                  <w:szCs w:val="20"/>
                </w:rPr>
                <w:t>.</w:t>
              </w:r>
            </w:hyperlink>
          </w:p>
          <w:p w:rsidR="003C48A0" w:rsidRPr="001C2854" w:rsidRDefault="00F92658" w:rsidP="003C48A0">
            <w:pPr>
              <w:pStyle w:val="Textonotapie"/>
              <w:rPr>
                <w:rFonts w:asciiTheme="minorHAnsi" w:hAnsiTheme="minorHAnsi"/>
                <w:sz w:val="20"/>
                <w:szCs w:val="20"/>
              </w:rPr>
            </w:pPr>
            <w:hyperlink r:id="rId18" w:history="1">
              <w:r w:rsidR="003C48A0" w:rsidRPr="00AC05DC">
                <w:rPr>
                  <w:rStyle w:val="Hipervnculo"/>
                  <w:rFonts w:asciiTheme="minorHAnsi" w:hAnsiTheme="minorHAnsi"/>
                  <w:sz w:val="20"/>
                  <w:szCs w:val="20"/>
                </w:rPr>
                <w:t>Acuerdo P/IFT/180315/90</w:t>
              </w:r>
              <w:r w:rsidR="00AC05DC" w:rsidRPr="00AC05DC">
                <w:rPr>
                  <w:rStyle w:val="Hipervnculo"/>
                  <w:rFonts w:asciiTheme="minorHAnsi" w:hAnsiTheme="minorHAnsi"/>
                  <w:sz w:val="20"/>
                  <w:szCs w:val="20"/>
                </w:rPr>
                <w:t>.</w:t>
              </w:r>
            </w:hyperlink>
          </w:p>
          <w:p w:rsidR="003C48A0" w:rsidRPr="00722C8E" w:rsidRDefault="00F92658" w:rsidP="00722C8E">
            <w:pPr>
              <w:pStyle w:val="Textonotapie"/>
              <w:rPr>
                <w:rStyle w:val="Hipervnculo"/>
                <w:rFonts w:asciiTheme="minorHAnsi" w:hAnsiTheme="minorHAnsi"/>
                <w:color w:val="auto"/>
                <w:sz w:val="20"/>
                <w:szCs w:val="20"/>
                <w:u w:val="none"/>
              </w:rPr>
            </w:pPr>
            <w:hyperlink r:id="rId19" w:history="1">
              <w:r w:rsidR="003C48A0" w:rsidRPr="00AC05DC">
                <w:rPr>
                  <w:rStyle w:val="Hipervnculo"/>
                  <w:rFonts w:asciiTheme="minorHAnsi" w:hAnsiTheme="minorHAnsi"/>
                  <w:sz w:val="20"/>
                  <w:szCs w:val="20"/>
                </w:rPr>
                <w:t>Acuerdo P/IFT/210915/404.</w:t>
              </w:r>
            </w:hyperlink>
            <w:r w:rsidR="003C48A0" w:rsidRPr="001C2854">
              <w:rPr>
                <w:rFonts w:asciiTheme="minorHAnsi" w:hAnsiTheme="minorHAnsi"/>
                <w:sz w:val="20"/>
                <w:szCs w:val="20"/>
              </w:rPr>
              <w:t xml:space="preserve"> </w:t>
            </w:r>
          </w:p>
          <w:p w:rsidR="003C48A0" w:rsidRPr="001C2854" w:rsidRDefault="00F92658" w:rsidP="003C48A0">
            <w:pPr>
              <w:rPr>
                <w:sz w:val="20"/>
                <w:szCs w:val="20"/>
              </w:rPr>
            </w:pPr>
            <w:hyperlink r:id="rId20" w:history="1">
              <w:r w:rsidR="003C48A0" w:rsidRPr="00AC05DC">
                <w:rPr>
                  <w:rStyle w:val="Hipervnculo"/>
                  <w:sz w:val="20"/>
                  <w:szCs w:val="20"/>
                </w:rPr>
                <w:t>Opinión Formal emitida por el Pleno del Instituto al interior del expediente UCE/OFC-001-2015</w:t>
              </w:r>
              <w:r w:rsidR="00AC05DC" w:rsidRPr="00AC05DC">
                <w:rPr>
                  <w:rStyle w:val="Hipervnculo"/>
                  <w:sz w:val="20"/>
                  <w:szCs w:val="20"/>
                </w:rPr>
                <w:t>.</w:t>
              </w:r>
            </w:hyperlink>
          </w:p>
          <w:p w:rsidR="00AC05DC" w:rsidRPr="001C2854" w:rsidRDefault="00AC05DC" w:rsidP="003C48A0">
            <w:pPr>
              <w:rPr>
                <w:sz w:val="20"/>
                <w:szCs w:val="20"/>
              </w:rPr>
            </w:pPr>
          </w:p>
          <w:p w:rsidR="003C48A0" w:rsidRPr="001C2854" w:rsidRDefault="003C48A0" w:rsidP="004A136E">
            <w:pPr>
              <w:pStyle w:val="Sinespaciado"/>
            </w:pPr>
            <w:r w:rsidRPr="004A136E">
              <w:rPr>
                <w:b/>
              </w:rPr>
              <w:t>Criterios judiciales utilizados:</w:t>
            </w:r>
            <w:r w:rsidRPr="001C2854">
              <w:t xml:space="preserve"> </w:t>
            </w:r>
          </w:p>
          <w:p w:rsidR="003C48A0" w:rsidRPr="001C2854" w:rsidRDefault="003C48A0" w:rsidP="003C48A0">
            <w:pPr>
              <w:pStyle w:val="Textonotapie"/>
              <w:rPr>
                <w:rFonts w:asciiTheme="minorHAnsi" w:hAnsiTheme="minorHAnsi"/>
                <w:sz w:val="20"/>
                <w:szCs w:val="20"/>
              </w:rPr>
            </w:pPr>
          </w:p>
          <w:p w:rsidR="003C48A0" w:rsidRPr="001C2854" w:rsidRDefault="003C48A0" w:rsidP="003C48A0">
            <w:pPr>
              <w:pStyle w:val="Textonotapie"/>
              <w:numPr>
                <w:ilvl w:val="0"/>
                <w:numId w:val="4"/>
              </w:numPr>
              <w:ind w:left="426"/>
              <w:rPr>
                <w:rFonts w:asciiTheme="minorHAnsi" w:hAnsiTheme="minorHAnsi"/>
                <w:sz w:val="20"/>
                <w:szCs w:val="20"/>
              </w:rPr>
            </w:pPr>
            <w:r w:rsidRPr="001C2854">
              <w:rPr>
                <w:rFonts w:asciiTheme="minorHAnsi" w:hAnsiTheme="minorHAnsi"/>
                <w:sz w:val="20"/>
                <w:szCs w:val="20"/>
              </w:rPr>
              <w:t>Registro No. 168 470, GRUPO DE INTERÉS ECONÓMICO. SU CONCEPTO Y ELEMENTOS QUE LO INTEGRAN EN MATERIA DE COMPETENCIA ECONÓMICA, Localización: [Jurisprudencia]; 9a. Época; T.C.C.; S.J.F. y su Gaceta; Tomo XXVIII, Noviembre de 2008; Pág. 1244. I.4o.A. J/66.</w:t>
            </w:r>
          </w:p>
          <w:p w:rsidR="003C48A0" w:rsidRPr="001C2854" w:rsidRDefault="003C48A0" w:rsidP="003C48A0">
            <w:pPr>
              <w:pStyle w:val="Textonotapie"/>
              <w:numPr>
                <w:ilvl w:val="0"/>
                <w:numId w:val="4"/>
              </w:numPr>
              <w:ind w:left="426"/>
              <w:rPr>
                <w:rFonts w:asciiTheme="minorHAnsi" w:hAnsiTheme="minorHAnsi"/>
                <w:sz w:val="20"/>
                <w:szCs w:val="20"/>
              </w:rPr>
            </w:pPr>
            <w:r w:rsidRPr="001C2854">
              <w:rPr>
                <w:rFonts w:asciiTheme="minorHAnsi" w:hAnsiTheme="minorHAnsi"/>
                <w:sz w:val="20"/>
                <w:szCs w:val="20"/>
              </w:rPr>
              <w:t xml:space="preserve">Registro No. 1008260. 280 (H), AGENTES ECONÓMICOS. SU CONCEPTO, Tribunales Colegiados de Circuito. Novena Época. Apéndice 1917-Septiembre 2011. Tomo IV. Administrativa Tercera Parte - Históricas Segunda Sección - TCC, página 1631. </w:t>
            </w:r>
          </w:p>
          <w:p w:rsidR="003C48A0" w:rsidRPr="001C2854" w:rsidRDefault="003C48A0" w:rsidP="003C48A0">
            <w:pPr>
              <w:pStyle w:val="Textonotapie"/>
              <w:numPr>
                <w:ilvl w:val="0"/>
                <w:numId w:val="4"/>
              </w:numPr>
              <w:ind w:left="426"/>
              <w:rPr>
                <w:rFonts w:asciiTheme="minorHAnsi" w:hAnsiTheme="minorHAnsi"/>
                <w:sz w:val="20"/>
                <w:szCs w:val="20"/>
              </w:rPr>
            </w:pPr>
            <w:r w:rsidRPr="001C2854">
              <w:rPr>
                <w:rFonts w:asciiTheme="minorHAnsi" w:hAnsiTheme="minorHAnsi"/>
                <w:sz w:val="20"/>
                <w:szCs w:val="20"/>
              </w:rPr>
              <w:t>Ejecutoria del Amparo en Revisión 169/2007, Primera Sala de la Suprema Corte de Justicia de la Nación, y</w:t>
            </w:r>
          </w:p>
          <w:p w:rsidR="003C48A0" w:rsidRPr="001C2854" w:rsidRDefault="003C48A0" w:rsidP="003C48A0">
            <w:pPr>
              <w:pStyle w:val="Textonotapie"/>
              <w:numPr>
                <w:ilvl w:val="0"/>
                <w:numId w:val="5"/>
              </w:numPr>
              <w:ind w:left="426"/>
              <w:rPr>
                <w:rFonts w:asciiTheme="minorHAnsi" w:hAnsiTheme="minorHAnsi"/>
                <w:sz w:val="20"/>
                <w:szCs w:val="20"/>
              </w:rPr>
            </w:pPr>
            <w:r w:rsidRPr="001C2854">
              <w:rPr>
                <w:rFonts w:asciiTheme="minorHAnsi" w:hAnsiTheme="minorHAnsi"/>
                <w:sz w:val="20"/>
                <w:szCs w:val="20"/>
              </w:rPr>
              <w:t>Ejecutoria del amparo en Revisión 479/2006, Cuarto Tribunal Colegiado en Materia Administrativa del Primer Circuito.</w:t>
            </w:r>
          </w:p>
          <w:p w:rsidR="003C48A0" w:rsidRPr="001C2854" w:rsidRDefault="003C48A0" w:rsidP="003C48A0">
            <w:pPr>
              <w:pStyle w:val="Textonotapie"/>
              <w:numPr>
                <w:ilvl w:val="0"/>
                <w:numId w:val="5"/>
              </w:numPr>
              <w:ind w:left="426"/>
              <w:rPr>
                <w:rFonts w:asciiTheme="minorHAnsi" w:hAnsiTheme="minorHAnsi"/>
                <w:sz w:val="20"/>
                <w:szCs w:val="20"/>
              </w:rPr>
            </w:pPr>
            <w:r w:rsidRPr="001C2854">
              <w:rPr>
                <w:rFonts w:asciiTheme="minorHAnsi" w:hAnsiTheme="minorHAnsi"/>
                <w:sz w:val="20"/>
                <w:szCs w:val="20"/>
              </w:rPr>
              <w:t>Registro No. 168 470, GRUPO DE INTERÉS ECONÓMICO. SU CONCEPTO Y ELEMENTOS QUE LO INTEGRAN EN MATERIA DE COMPETENCIA ECONÓMICA, Localización: [Jurisprudencia]; 9a. Época; T.C.C.; S.J.F. y su Gaceta; Tomo XXVIII, Noviembre de 2008; Pág. 1244. I.4o.A. J/66.</w:t>
            </w:r>
          </w:p>
          <w:p w:rsidR="003C48A0" w:rsidRPr="001C2854" w:rsidRDefault="003C48A0" w:rsidP="003C48A0">
            <w:pPr>
              <w:pStyle w:val="Textonotapie"/>
              <w:numPr>
                <w:ilvl w:val="0"/>
                <w:numId w:val="5"/>
              </w:numPr>
              <w:ind w:left="426"/>
              <w:rPr>
                <w:rFonts w:asciiTheme="minorHAnsi" w:hAnsiTheme="minorHAnsi"/>
                <w:sz w:val="20"/>
                <w:szCs w:val="20"/>
              </w:rPr>
            </w:pPr>
            <w:r w:rsidRPr="001C2854">
              <w:rPr>
                <w:rFonts w:asciiTheme="minorHAnsi" w:hAnsiTheme="minorHAnsi"/>
                <w:sz w:val="20"/>
                <w:szCs w:val="20"/>
              </w:rPr>
              <w:t>Ejecutoria del Amparo en Revisión 169/2007, Primera Sala de la Suprema Corte de Justicia de la Nación, y</w:t>
            </w:r>
          </w:p>
          <w:p w:rsidR="003C48A0" w:rsidRPr="001C2854" w:rsidRDefault="003C48A0" w:rsidP="003C48A0">
            <w:pPr>
              <w:pStyle w:val="Textonotapie"/>
              <w:numPr>
                <w:ilvl w:val="0"/>
                <w:numId w:val="5"/>
              </w:numPr>
              <w:ind w:left="426"/>
              <w:rPr>
                <w:rFonts w:asciiTheme="minorHAnsi" w:hAnsiTheme="minorHAnsi"/>
                <w:sz w:val="20"/>
                <w:szCs w:val="20"/>
              </w:rPr>
            </w:pPr>
            <w:r w:rsidRPr="001C2854">
              <w:rPr>
                <w:rFonts w:asciiTheme="minorHAnsi" w:hAnsiTheme="minorHAnsi"/>
                <w:sz w:val="20"/>
                <w:szCs w:val="20"/>
              </w:rPr>
              <w:t>Ejecutoria del amparo en Revisión 479/2006, Cuarto Tribunal Colegiado en Materia Administrativa del Primer Circuito.</w:t>
            </w:r>
          </w:p>
          <w:p w:rsidR="003C48A0" w:rsidRPr="001C2854" w:rsidRDefault="003C48A0" w:rsidP="003C48A0">
            <w:pPr>
              <w:pStyle w:val="Textonotapie"/>
              <w:numPr>
                <w:ilvl w:val="0"/>
                <w:numId w:val="5"/>
              </w:numPr>
              <w:ind w:left="426"/>
              <w:rPr>
                <w:rFonts w:asciiTheme="minorHAnsi" w:hAnsiTheme="minorHAnsi"/>
                <w:sz w:val="20"/>
                <w:szCs w:val="20"/>
              </w:rPr>
            </w:pPr>
            <w:r w:rsidRPr="001C2854">
              <w:rPr>
                <w:rFonts w:asciiTheme="minorHAnsi" w:hAnsiTheme="minorHAnsi"/>
                <w:b/>
                <w:sz w:val="20"/>
                <w:szCs w:val="20"/>
              </w:rPr>
              <w:t>Tesis aislada. COMISIÓN FEDERAL DE COMPETENCIA. INFORMES Y DOCUMENTOS QUE PUEDEREQUERIR EN SUS INVESTIGACIONES</w:t>
            </w:r>
            <w:r w:rsidRPr="001C2854">
              <w:rPr>
                <w:rFonts w:asciiTheme="minorHAnsi" w:hAnsiTheme="minorHAnsi"/>
                <w:sz w:val="20"/>
                <w:szCs w:val="20"/>
              </w:rPr>
              <w:t>. No. Registro: 181,195. Materia(s): Administrativa. Novena Época. Instancia: Tribunales Colegiados de Circuito. Fuente: Semanario Judicial de la Federación y su Gaceta. XX, Julio de 2004. Tesis: I.4o.A.432 A. Página: 1688.</w:t>
            </w:r>
          </w:p>
          <w:p w:rsidR="003C48A0" w:rsidRPr="001C2854" w:rsidRDefault="003C48A0" w:rsidP="003C48A0">
            <w:pPr>
              <w:pStyle w:val="Textonotapie"/>
              <w:numPr>
                <w:ilvl w:val="0"/>
                <w:numId w:val="5"/>
              </w:numPr>
              <w:ind w:left="426"/>
              <w:rPr>
                <w:rFonts w:asciiTheme="minorHAnsi" w:hAnsiTheme="minorHAnsi"/>
                <w:sz w:val="20"/>
                <w:szCs w:val="20"/>
              </w:rPr>
            </w:pPr>
            <w:r w:rsidRPr="001C2854">
              <w:rPr>
                <w:rFonts w:asciiTheme="minorHAnsi" w:hAnsiTheme="minorHAnsi"/>
                <w:b/>
                <w:sz w:val="20"/>
                <w:szCs w:val="20"/>
              </w:rPr>
              <w:t>Tesis aislada Páginas web o electrónicas. su contenido es un hecho notorio y susceptible de ser valorado en una decisión judicial,</w:t>
            </w:r>
            <w:r w:rsidRPr="001C2854">
              <w:rPr>
                <w:rFonts w:asciiTheme="minorHAnsi" w:hAnsiTheme="minorHAnsi"/>
                <w:sz w:val="20"/>
                <w:szCs w:val="20"/>
              </w:rPr>
              <w:t xml:space="preserve"> Décima Época, Registro 2004949, Tribunales Colegiados de Circuito, publicada en el Semanario Judicial de la Federación y su Gaceta, Libro XXVI, Noviembre de 2013, Tomo 2, materia civil, Tesis I.3o.C.35 K (10a.), página: 1373.</w:t>
            </w:r>
          </w:p>
          <w:p w:rsidR="003C48A0" w:rsidRPr="003C48A0" w:rsidRDefault="003C48A0" w:rsidP="0086684A">
            <w:pPr>
              <w:pStyle w:val="Textonotapie"/>
              <w:numPr>
                <w:ilvl w:val="0"/>
                <w:numId w:val="5"/>
              </w:numPr>
              <w:ind w:left="426"/>
              <w:rPr>
                <w:rFonts w:asciiTheme="minorHAnsi" w:hAnsiTheme="minorHAnsi"/>
                <w:sz w:val="20"/>
                <w:szCs w:val="20"/>
              </w:rPr>
            </w:pPr>
            <w:r w:rsidRPr="001C2854">
              <w:rPr>
                <w:rFonts w:asciiTheme="minorHAnsi" w:hAnsiTheme="minorHAnsi"/>
                <w:sz w:val="20"/>
                <w:szCs w:val="20"/>
              </w:rPr>
              <w:t>Tesis Aislada I.1o.A.E.57 A (10a.), Registro No. 2009320, INSTITUTO FEDERAL DE TELECOMUNICACIONES. PUEDE DECLARAR PREPONDERANTE TANTO A UN AGENTE ECONÓMICO, COMO A UN GRUPO DE INTERÉS ECONÓMICO.</w:t>
            </w:r>
          </w:p>
          <w:p w:rsidR="003C48A0" w:rsidRDefault="003C48A0" w:rsidP="0086684A">
            <w:pPr>
              <w:jc w:val="both"/>
              <w:rPr>
                <w:sz w:val="20"/>
              </w:rPr>
            </w:pPr>
          </w:p>
          <w:p w:rsidR="003C48A0" w:rsidRPr="008F71E9" w:rsidRDefault="003C48A0" w:rsidP="003C48A0">
            <w:pPr>
              <w:pStyle w:val="Textonotapie"/>
              <w:rPr>
                <w:rFonts w:asciiTheme="minorHAnsi" w:hAnsiTheme="minorHAnsi"/>
                <w:b/>
                <w:sz w:val="20"/>
                <w:szCs w:val="20"/>
                <w:lang w:val="en-US"/>
              </w:rPr>
            </w:pPr>
            <w:proofErr w:type="spellStart"/>
            <w:r w:rsidRPr="008F71E9">
              <w:rPr>
                <w:rFonts w:asciiTheme="minorHAnsi" w:hAnsiTheme="minorHAnsi"/>
                <w:b/>
                <w:sz w:val="20"/>
                <w:szCs w:val="20"/>
                <w:lang w:val="en-US"/>
              </w:rPr>
              <w:t>Otras</w:t>
            </w:r>
            <w:proofErr w:type="spellEnd"/>
            <w:r w:rsidRPr="008F71E9">
              <w:rPr>
                <w:rFonts w:asciiTheme="minorHAnsi" w:hAnsiTheme="minorHAnsi"/>
                <w:b/>
                <w:sz w:val="20"/>
                <w:szCs w:val="20"/>
                <w:lang w:val="en-US"/>
              </w:rPr>
              <w:t xml:space="preserve"> </w:t>
            </w:r>
            <w:proofErr w:type="spellStart"/>
            <w:r w:rsidRPr="008F71E9">
              <w:rPr>
                <w:rFonts w:asciiTheme="minorHAnsi" w:hAnsiTheme="minorHAnsi"/>
                <w:b/>
                <w:sz w:val="20"/>
                <w:szCs w:val="20"/>
                <w:lang w:val="en-US"/>
              </w:rPr>
              <w:t>fuentes</w:t>
            </w:r>
            <w:proofErr w:type="spellEnd"/>
            <w:r w:rsidRPr="008F71E9">
              <w:rPr>
                <w:rFonts w:asciiTheme="minorHAnsi" w:hAnsiTheme="minorHAnsi"/>
                <w:b/>
                <w:sz w:val="20"/>
                <w:szCs w:val="20"/>
                <w:lang w:val="en-US"/>
              </w:rPr>
              <w:t xml:space="preserve"> </w:t>
            </w:r>
            <w:proofErr w:type="spellStart"/>
            <w:r w:rsidRPr="008F71E9">
              <w:rPr>
                <w:rFonts w:asciiTheme="minorHAnsi" w:hAnsiTheme="minorHAnsi"/>
                <w:b/>
                <w:sz w:val="20"/>
                <w:szCs w:val="20"/>
                <w:lang w:val="en-US"/>
              </w:rPr>
              <w:t>utilizadas</w:t>
            </w:r>
            <w:proofErr w:type="spellEnd"/>
            <w:r w:rsidRPr="008F71E9">
              <w:rPr>
                <w:rFonts w:asciiTheme="minorHAnsi" w:hAnsiTheme="minorHAnsi"/>
                <w:b/>
                <w:sz w:val="20"/>
                <w:szCs w:val="20"/>
                <w:lang w:val="en-US"/>
              </w:rPr>
              <w:t>:</w:t>
            </w:r>
          </w:p>
          <w:p w:rsidR="003C48A0" w:rsidRPr="008F71E9" w:rsidRDefault="003C48A0" w:rsidP="003C48A0">
            <w:pPr>
              <w:pStyle w:val="Textonotapie"/>
              <w:rPr>
                <w:rFonts w:asciiTheme="minorHAnsi" w:hAnsiTheme="minorHAnsi"/>
                <w:sz w:val="20"/>
                <w:szCs w:val="20"/>
                <w:lang w:val="en-US"/>
              </w:rPr>
            </w:pPr>
          </w:p>
          <w:p w:rsidR="003C48A0" w:rsidRPr="008F71E9" w:rsidRDefault="00F92658" w:rsidP="003C48A0">
            <w:pPr>
              <w:pStyle w:val="Textonotapie"/>
              <w:rPr>
                <w:rFonts w:asciiTheme="minorHAnsi" w:hAnsiTheme="minorHAnsi"/>
                <w:sz w:val="20"/>
                <w:szCs w:val="20"/>
                <w:lang w:val="es-MX"/>
              </w:rPr>
            </w:pPr>
            <w:hyperlink r:id="rId21" w:history="1">
              <w:r w:rsidR="003C48A0" w:rsidRPr="00AC05DC">
                <w:rPr>
                  <w:rStyle w:val="Hipervnculo"/>
                  <w:rFonts w:asciiTheme="minorHAnsi" w:hAnsiTheme="minorHAnsi"/>
                  <w:sz w:val="20"/>
                  <w:szCs w:val="20"/>
                  <w:lang w:val="en-US"/>
                </w:rPr>
                <w:t xml:space="preserve">OCDE (2014), Investigations of Consummated and Non-Notifiable Mergers, numeral 4.1. Mergers falling below the mandatory notification thresholds, </w:t>
              </w:r>
              <w:proofErr w:type="spellStart"/>
              <w:r w:rsidR="003C48A0" w:rsidRPr="00AC05DC">
                <w:rPr>
                  <w:rStyle w:val="Hipervnculo"/>
                  <w:rFonts w:asciiTheme="minorHAnsi" w:hAnsiTheme="minorHAnsi"/>
                  <w:sz w:val="20"/>
                  <w:szCs w:val="20"/>
                  <w:lang w:val="en-US"/>
                </w:rPr>
                <w:t>páginas</w:t>
              </w:r>
              <w:proofErr w:type="spellEnd"/>
              <w:r w:rsidR="003C48A0" w:rsidRPr="00AC05DC">
                <w:rPr>
                  <w:rStyle w:val="Hipervnculo"/>
                  <w:rFonts w:asciiTheme="minorHAnsi" w:hAnsiTheme="minorHAnsi"/>
                  <w:sz w:val="20"/>
                  <w:szCs w:val="20"/>
                  <w:lang w:val="en-US"/>
                </w:rPr>
                <w:t xml:space="preserve"> 7 a 10. </w:t>
              </w:r>
              <w:r w:rsidR="003C48A0" w:rsidRPr="008F71E9">
                <w:rPr>
                  <w:rStyle w:val="Hipervnculo"/>
                  <w:rFonts w:asciiTheme="minorHAnsi" w:hAnsiTheme="minorHAnsi"/>
                  <w:sz w:val="20"/>
                  <w:szCs w:val="20"/>
                  <w:lang w:val="es-MX"/>
                </w:rPr>
                <w:t>Disponible en</w:t>
              </w:r>
              <w:r w:rsidR="00332206" w:rsidRPr="008F71E9">
                <w:rPr>
                  <w:rStyle w:val="Hipervnculo"/>
                  <w:rFonts w:asciiTheme="minorHAnsi" w:hAnsiTheme="minorHAnsi"/>
                  <w:sz w:val="20"/>
                  <w:szCs w:val="20"/>
                  <w:lang w:val="es-MX"/>
                </w:rPr>
                <w:t xml:space="preserve"> idioma inglés</w:t>
              </w:r>
            </w:hyperlink>
          </w:p>
          <w:p w:rsidR="00AC05DC" w:rsidRDefault="00F92658" w:rsidP="003C48A0">
            <w:pPr>
              <w:pStyle w:val="Textonotapie"/>
              <w:rPr>
                <w:rFonts w:asciiTheme="minorHAnsi" w:hAnsiTheme="minorHAnsi"/>
                <w:sz w:val="20"/>
                <w:szCs w:val="20"/>
              </w:rPr>
            </w:pPr>
            <w:hyperlink r:id="rId22" w:history="1">
              <w:r w:rsidR="003C48A0" w:rsidRPr="00AC05DC">
                <w:rPr>
                  <w:rStyle w:val="Hipervnculo"/>
                  <w:rFonts w:asciiTheme="minorHAnsi" w:hAnsiTheme="minorHAnsi"/>
                  <w:sz w:val="20"/>
                  <w:szCs w:val="20"/>
                </w:rPr>
                <w:t xml:space="preserve">Información sobre Adquisición de </w:t>
              </w:r>
              <w:proofErr w:type="spellStart"/>
              <w:r w:rsidR="003C48A0" w:rsidRPr="00AC05DC">
                <w:rPr>
                  <w:rStyle w:val="Hipervnculo"/>
                  <w:rFonts w:asciiTheme="minorHAnsi" w:hAnsiTheme="minorHAnsi"/>
                  <w:sz w:val="20"/>
                  <w:szCs w:val="20"/>
                </w:rPr>
                <w:t>ADRs</w:t>
              </w:r>
              <w:proofErr w:type="spellEnd"/>
              <w:r w:rsidR="003C48A0" w:rsidRPr="00AC05DC">
                <w:rPr>
                  <w:rStyle w:val="Hipervnculo"/>
                  <w:rFonts w:asciiTheme="minorHAnsi" w:hAnsiTheme="minorHAnsi"/>
                  <w:sz w:val="20"/>
                  <w:szCs w:val="20"/>
                </w:rPr>
                <w:t>.</w:t>
              </w:r>
            </w:hyperlink>
            <w:r w:rsidR="003C48A0" w:rsidRPr="001C2854">
              <w:rPr>
                <w:rFonts w:asciiTheme="minorHAnsi" w:hAnsiTheme="minorHAnsi"/>
                <w:sz w:val="20"/>
                <w:szCs w:val="20"/>
              </w:rPr>
              <w:t xml:space="preserve"> </w:t>
            </w:r>
          </w:p>
          <w:p w:rsidR="003C48A0" w:rsidRPr="001C2854" w:rsidRDefault="00F92658" w:rsidP="003C48A0">
            <w:pPr>
              <w:rPr>
                <w:sz w:val="20"/>
                <w:szCs w:val="20"/>
              </w:rPr>
            </w:pPr>
            <w:hyperlink r:id="rId23" w:history="1">
              <w:r w:rsidR="003C48A0" w:rsidRPr="00AC05DC">
                <w:rPr>
                  <w:rStyle w:val="Hipervnculo"/>
                  <w:sz w:val="20"/>
                  <w:szCs w:val="20"/>
                </w:rPr>
                <w:t>Información sobre procedimientos y trámi</w:t>
              </w:r>
              <w:r w:rsidR="00AC05DC" w:rsidRPr="00AC05DC">
                <w:rPr>
                  <w:rStyle w:val="Hipervnculo"/>
                  <w:sz w:val="20"/>
                  <w:szCs w:val="20"/>
                </w:rPr>
                <w:t>tes del Instituto</w:t>
              </w:r>
            </w:hyperlink>
          </w:p>
          <w:p w:rsidR="003C48A0" w:rsidRPr="001C2854" w:rsidRDefault="00F92658" w:rsidP="003C48A0">
            <w:pPr>
              <w:pStyle w:val="Textonotapie"/>
              <w:rPr>
                <w:rStyle w:val="Hipervnculo"/>
                <w:rFonts w:asciiTheme="minorHAnsi" w:hAnsiTheme="minorHAnsi"/>
                <w:sz w:val="20"/>
                <w:szCs w:val="20"/>
              </w:rPr>
            </w:pPr>
            <w:hyperlink r:id="rId24" w:history="1">
              <w:r w:rsidR="003C48A0" w:rsidRPr="00AC05DC">
                <w:rPr>
                  <w:rStyle w:val="Hipervnculo"/>
                  <w:rFonts w:asciiTheme="minorHAnsi" w:hAnsiTheme="minorHAnsi"/>
                  <w:sz w:val="20"/>
                  <w:szCs w:val="20"/>
                </w:rPr>
                <w:t xml:space="preserve">Información relacionada con el agente económico preponderante en </w:t>
              </w:r>
              <w:r w:rsidR="00AC05DC" w:rsidRPr="00AC05DC">
                <w:rPr>
                  <w:rStyle w:val="Hipervnculo"/>
                  <w:rFonts w:asciiTheme="minorHAnsi" w:hAnsiTheme="minorHAnsi"/>
                  <w:sz w:val="20"/>
                  <w:szCs w:val="20"/>
                </w:rPr>
                <w:t>el sector de telecomunicaciones</w:t>
              </w:r>
            </w:hyperlink>
            <w:r w:rsidR="003C48A0" w:rsidRPr="001C2854">
              <w:rPr>
                <w:rStyle w:val="Hipervnculo"/>
                <w:rFonts w:asciiTheme="minorHAnsi" w:hAnsiTheme="minorHAnsi"/>
                <w:sz w:val="20"/>
                <w:szCs w:val="20"/>
              </w:rPr>
              <w:t xml:space="preserve"> </w:t>
            </w:r>
          </w:p>
          <w:p w:rsidR="003C48A0" w:rsidRPr="001C2854" w:rsidRDefault="00F92658" w:rsidP="003C48A0">
            <w:pPr>
              <w:pStyle w:val="Textonotapie"/>
              <w:rPr>
                <w:rFonts w:asciiTheme="minorHAnsi" w:hAnsiTheme="minorHAnsi"/>
                <w:sz w:val="20"/>
                <w:szCs w:val="20"/>
              </w:rPr>
            </w:pPr>
            <w:hyperlink r:id="rId25" w:history="1">
              <w:r w:rsidR="003C48A0" w:rsidRPr="00AC05DC">
                <w:rPr>
                  <w:rStyle w:val="Hipervnculo"/>
                  <w:rFonts w:asciiTheme="minorHAnsi" w:hAnsiTheme="minorHAnsi"/>
                  <w:sz w:val="20"/>
                  <w:szCs w:val="20"/>
                </w:rPr>
                <w:t>Información relacionada con el agente económico preponderante</w:t>
              </w:r>
              <w:r w:rsidR="00AC05DC" w:rsidRPr="00AC05DC">
                <w:rPr>
                  <w:rStyle w:val="Hipervnculo"/>
                  <w:rFonts w:asciiTheme="minorHAnsi" w:hAnsiTheme="minorHAnsi"/>
                  <w:sz w:val="20"/>
                  <w:szCs w:val="20"/>
                </w:rPr>
                <w:t xml:space="preserve"> en el sector de radiodifusión</w:t>
              </w:r>
            </w:hyperlink>
          </w:p>
          <w:p w:rsidR="003C48A0" w:rsidRPr="001C2854" w:rsidRDefault="00F92658" w:rsidP="003C48A0">
            <w:pPr>
              <w:pStyle w:val="Textonotapie"/>
              <w:rPr>
                <w:rFonts w:asciiTheme="minorHAnsi" w:hAnsiTheme="minorHAnsi"/>
                <w:sz w:val="20"/>
                <w:szCs w:val="20"/>
              </w:rPr>
            </w:pPr>
            <w:hyperlink r:id="rId26" w:history="1">
              <w:r w:rsidR="003C48A0" w:rsidRPr="00AC05DC">
                <w:rPr>
                  <w:rStyle w:val="Hipervnculo"/>
                  <w:rFonts w:asciiTheme="minorHAnsi" w:hAnsiTheme="minorHAnsi"/>
                  <w:sz w:val="20"/>
                  <w:szCs w:val="20"/>
                </w:rPr>
                <w:t xml:space="preserve">Considerando Segundo de los </w:t>
              </w:r>
              <w:r w:rsidR="003C48A0" w:rsidRPr="00AC05DC">
                <w:rPr>
                  <w:rStyle w:val="Hipervnculo"/>
                  <w:rFonts w:asciiTheme="minorHAnsi" w:hAnsiTheme="minorHAnsi"/>
                  <w:i/>
                  <w:sz w:val="20"/>
                  <w:szCs w:val="20"/>
                </w:rPr>
                <w:t>Lineamientos generales sobre la autorización de arrendamiento de espectro radioeléctrico</w:t>
              </w:r>
              <w:r w:rsidR="003C48A0" w:rsidRPr="00AC05DC">
                <w:rPr>
                  <w:rStyle w:val="Hipervnculo"/>
                  <w:rFonts w:asciiTheme="minorHAnsi" w:hAnsiTheme="minorHAnsi"/>
                  <w:sz w:val="20"/>
                  <w:szCs w:val="20"/>
                </w:rPr>
                <w:t>, publicados en el DOF el treinta de marzo de do</w:t>
              </w:r>
              <w:r w:rsidR="00AC05DC" w:rsidRPr="00AC05DC">
                <w:rPr>
                  <w:rStyle w:val="Hipervnculo"/>
                  <w:rFonts w:asciiTheme="minorHAnsi" w:hAnsiTheme="minorHAnsi"/>
                  <w:sz w:val="20"/>
                  <w:szCs w:val="20"/>
                </w:rPr>
                <w:t>s mil dieciséis.</w:t>
              </w:r>
            </w:hyperlink>
          </w:p>
          <w:p w:rsidR="003C48A0" w:rsidRPr="001C2854" w:rsidRDefault="00F92658" w:rsidP="003C48A0">
            <w:pPr>
              <w:pStyle w:val="Textonotapie"/>
              <w:rPr>
                <w:rFonts w:asciiTheme="minorHAnsi" w:hAnsiTheme="minorHAnsi"/>
                <w:sz w:val="20"/>
                <w:szCs w:val="20"/>
              </w:rPr>
            </w:pPr>
            <w:hyperlink r:id="rId27" w:history="1">
              <w:r w:rsidR="003C48A0" w:rsidRPr="00862F03">
                <w:rPr>
                  <w:rStyle w:val="Hipervnculo"/>
                  <w:rFonts w:asciiTheme="minorHAnsi" w:hAnsiTheme="minorHAnsi"/>
                  <w:sz w:val="20"/>
                  <w:szCs w:val="20"/>
                </w:rPr>
                <w:t>Resolución del Conflicto Competencial Administrativo número 2/2015 (C.C.A. 2/2015) correspondiente al Segundo Tribunal Colegiado Especializado en Competencia Económica, Radiodifusión y Telecomunicaciones</w:t>
              </w:r>
              <w:r w:rsidR="00862F03" w:rsidRPr="00862F03">
                <w:rPr>
                  <w:rStyle w:val="Hipervnculo"/>
                  <w:rFonts w:asciiTheme="minorHAnsi" w:hAnsiTheme="minorHAnsi"/>
                  <w:sz w:val="20"/>
                  <w:szCs w:val="20"/>
                </w:rPr>
                <w:t>.</w:t>
              </w:r>
            </w:hyperlink>
          </w:p>
          <w:p w:rsidR="00870931" w:rsidRDefault="00870931" w:rsidP="00862F03">
            <w:pPr>
              <w:jc w:val="both"/>
            </w:pPr>
          </w:p>
        </w:tc>
      </w:tr>
    </w:tbl>
    <w:p w:rsidR="0086684A" w:rsidRDefault="0086684A" w:rsidP="0086684A">
      <w:pPr>
        <w:jc w:val="both"/>
      </w:pPr>
    </w:p>
    <w:sectPr w:rsidR="0086684A">
      <w:head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58" w:rsidRDefault="00F92658" w:rsidP="00501ADF">
      <w:pPr>
        <w:spacing w:after="0" w:line="240" w:lineRule="auto"/>
      </w:pPr>
      <w:r>
        <w:separator/>
      </w:r>
    </w:p>
  </w:endnote>
  <w:endnote w:type="continuationSeparator" w:id="0">
    <w:p w:rsidR="00F92658" w:rsidRDefault="00F92658"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entury Gothic"/>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58" w:rsidRDefault="00F92658" w:rsidP="00501ADF">
      <w:pPr>
        <w:spacing w:after="0" w:line="240" w:lineRule="auto"/>
      </w:pPr>
      <w:r>
        <w:separator/>
      </w:r>
    </w:p>
  </w:footnote>
  <w:footnote w:type="continuationSeparator" w:id="0">
    <w:p w:rsidR="00F92658" w:rsidRDefault="00F92658" w:rsidP="0050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DF" w:rsidRDefault="00804F49" w:rsidP="003327CD">
    <w:pPr>
      <w:spacing w:line="240" w:lineRule="auto"/>
    </w:pPr>
    <w:r>
      <w:rPr>
        <w:noProof/>
        <w:lang w:eastAsia="es-MX"/>
      </w:rPr>
      <mc:AlternateContent>
        <mc:Choice Requires="wps">
          <w:drawing>
            <wp:anchor distT="45720" distB="45720" distL="114300" distR="114300" simplePos="0" relativeHeight="251661312" behindDoc="0" locked="0" layoutInCell="1" allowOverlap="1" wp14:anchorId="02B9E0DB" wp14:editId="2FF3D1C7">
              <wp:simplePos x="0" y="0"/>
              <wp:positionH relativeFrom="margin">
                <wp:posOffset>2301240</wp:posOffset>
              </wp:positionH>
              <wp:positionV relativeFrom="paragraph">
                <wp:posOffset>7620</wp:posOffset>
              </wp:positionV>
              <wp:extent cx="3343275" cy="590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90550"/>
                      </a:xfrm>
                      <a:prstGeom prst="rect">
                        <a:avLst/>
                      </a:prstGeom>
                      <a:solidFill>
                        <a:srgbClr val="FFFFFF"/>
                      </a:solidFill>
                      <a:ln w="9525">
                        <a:solidFill>
                          <a:schemeClr val="bg1"/>
                        </a:solidFill>
                        <a:miter lim="800000"/>
                        <a:headEnd/>
                        <a:tailEnd/>
                      </a:ln>
                    </wps:spPr>
                    <wps:txbx>
                      <w:txbxContent>
                        <w:p w:rsidR="00804F49" w:rsidRDefault="00E35357" w:rsidP="00804F49">
                          <w:pPr>
                            <w:jc w:val="right"/>
                          </w:pPr>
                          <w:r>
                            <w:t>ANÁ</w:t>
                          </w:r>
                          <w:r w:rsidR="00804F49" w:rsidRPr="00804F49">
                            <w:t xml:space="preserve">LISIS DE </w:t>
                          </w:r>
                          <w:r>
                            <w:t xml:space="preserve">NULO </w:t>
                          </w:r>
                          <w:r w:rsidR="00804F49" w:rsidRPr="00804F49">
                            <w:t>IMPACTO REGULATORIO</w:t>
                          </w:r>
                        </w:p>
                        <w:p w:rsidR="00294941" w:rsidRPr="00804F49" w:rsidRDefault="00294941" w:rsidP="00804F4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9E0DB" id="_x0000_t202" coordsize="21600,21600" o:spt="202" path="m,l,21600r21600,l21600,xe">
              <v:stroke joinstyle="miter"/>
              <v:path gradientshapeok="t" o:connecttype="rect"/>
            </v:shapetype>
            <v:shape id="Cuadro de texto 2" o:spid="_x0000_s1026" type="#_x0000_t202" style="position:absolute;margin-left:181.2pt;margin-top:.6pt;width:263.25pt;height: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" strokecolor="white [3212]">
              <v:textbox>
                <w:txbxContent>
                  <w:p w:rsidR="00804F49" w:rsidRDefault="00E35357" w:rsidP="00804F49">
                    <w:pPr>
                      <w:jc w:val="right"/>
                    </w:pPr>
                    <w:r>
                      <w:t>ANÁ</w:t>
                    </w:r>
                    <w:r w:rsidR="00804F49" w:rsidRPr="00804F49">
                      <w:t xml:space="preserve">LISIS DE </w:t>
                    </w:r>
                    <w:r>
                      <w:t xml:space="preserve">NULO </w:t>
                    </w:r>
                    <w:r w:rsidR="00804F49" w:rsidRPr="00804F49">
                      <w:t>IMPACTO REGULATORIO</w:t>
                    </w:r>
                  </w:p>
                  <w:p w:rsidR="00294941" w:rsidRPr="00804F49" w:rsidRDefault="00294941" w:rsidP="00804F49">
                    <w:pPr>
                      <w:jc w:val="right"/>
                    </w:pPr>
                  </w:p>
                </w:txbxContent>
              </v:textbox>
              <w10:wrap type="square" anchorx="margin"/>
            </v:shape>
          </w:pict>
        </mc:Fallback>
      </mc:AlternateContent>
    </w:r>
    <w:r w:rsidR="00501ADF" w:rsidRPr="00501ADF">
      <w:rPr>
        <w:rFonts w:ascii="Arial" w:eastAsia="Times New Roman" w:hAnsi="Arial" w:cs="Arial"/>
        <w:noProof/>
        <w:color w:val="0000FF"/>
        <w:sz w:val="24"/>
        <w:szCs w:val="24"/>
        <w:lang w:eastAsia="es-MX"/>
      </w:rPr>
      <w:drawing>
        <wp:inline distT="0" distB="0" distL="0" distR="0" wp14:anchorId="37C39D2E" wp14:editId="6671CF0A">
          <wp:extent cx="1038225" cy="715645"/>
          <wp:effectExtent l="0" t="0" r="9525" b="8255"/>
          <wp:docPr id="1" name="Imagen 1" descr="https://encrypted-tbn2.gstatic.com/images?q=tbn:ANd9GcRY5aATv-i0Dl4tsgRC6sTmvj97bE_NeNxaa23wvHpkgMX4nWwz" title="LOGO i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645"/>
                  </a:xfrm>
                  <a:prstGeom prst="rect">
                    <a:avLst/>
                  </a:prstGeom>
                  <a:noFill/>
                  <a:ln>
                    <a:noFill/>
                  </a:ln>
                </pic:spPr>
              </pic:pic>
            </a:graphicData>
          </a:graphic>
        </wp:inline>
      </w:drawing>
    </w:r>
    <w:r w:rsidR="003327CD">
      <w:rPr>
        <w:noProof/>
        <w:lang w:eastAsia="es-MX"/>
      </w:rPr>
      <mc:AlternateContent>
        <mc:Choice Requires="wps">
          <w:drawing>
            <wp:inline distT="0" distB="0" distL="0" distR="0" wp14:anchorId="585B7EFC" wp14:editId="492377D7">
              <wp:extent cx="5612130" cy="9496"/>
              <wp:effectExtent l="0" t="0" r="26670" b="29210"/>
              <wp:docPr id="2" name="Conector recto 2" title="línea"/>
              <wp:cNvGraphicFramePr/>
              <a:graphic xmlns:a="http://schemas.openxmlformats.org/drawingml/2006/main">
                <a:graphicData uri="http://schemas.microsoft.com/office/word/2010/wordprocessingShape">
                  <wps:wsp>
                    <wps:cNvCnPr/>
                    <wps:spPr>
                      <a:xfrm flipV="1">
                        <a:off x="0" y="0"/>
                        <a:ext cx="5612130" cy="9496"/>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inline>
          </w:drawing>
        </mc:Choice>
        <mc:Fallback>
          <w:pict>
            <v:line w14:anchorId="19ECBBCD" id="Conector recto 2" o:spid="_x0000_s1026" alt="Título: línea" style="flip:y;visibility:visible;mso-wrap-style:square;mso-left-percent:-10001;mso-top-percent:-10001;mso-position-horizontal:absolute;mso-position-horizontal-relative:char;mso-position-vertical:absolute;mso-position-vertical-relative:line;mso-left-percent:-10001;mso-top-percent:-10001" from="0,0" to="44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" strokecolor="#70ad47 [3209]" strokeweight="1.5pt">
              <v:stroke joinstyle="miter"/>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14C"/>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0A6073"/>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1151EE"/>
    <w:rsid w:val="001932FC"/>
    <w:rsid w:val="00286496"/>
    <w:rsid w:val="00294941"/>
    <w:rsid w:val="00295E97"/>
    <w:rsid w:val="002D75FB"/>
    <w:rsid w:val="0030055F"/>
    <w:rsid w:val="003039BF"/>
    <w:rsid w:val="00332206"/>
    <w:rsid w:val="003327CD"/>
    <w:rsid w:val="00365D2F"/>
    <w:rsid w:val="003C037F"/>
    <w:rsid w:val="003C48A0"/>
    <w:rsid w:val="003F05E7"/>
    <w:rsid w:val="004A136E"/>
    <w:rsid w:val="004B6836"/>
    <w:rsid w:val="004E0DA9"/>
    <w:rsid w:val="004F2345"/>
    <w:rsid w:val="00501ADF"/>
    <w:rsid w:val="005A40FB"/>
    <w:rsid w:val="005B6627"/>
    <w:rsid w:val="00636431"/>
    <w:rsid w:val="006717D5"/>
    <w:rsid w:val="0068307E"/>
    <w:rsid w:val="006D7A08"/>
    <w:rsid w:val="007026F1"/>
    <w:rsid w:val="00722C8E"/>
    <w:rsid w:val="007B7973"/>
    <w:rsid w:val="007D4E5B"/>
    <w:rsid w:val="00801FED"/>
    <w:rsid w:val="00804F49"/>
    <w:rsid w:val="00862F03"/>
    <w:rsid w:val="0086684A"/>
    <w:rsid w:val="00870931"/>
    <w:rsid w:val="00876D05"/>
    <w:rsid w:val="008A48B0"/>
    <w:rsid w:val="008C76AF"/>
    <w:rsid w:val="008E0792"/>
    <w:rsid w:val="008E3011"/>
    <w:rsid w:val="008F71E9"/>
    <w:rsid w:val="00A1622C"/>
    <w:rsid w:val="00A204C3"/>
    <w:rsid w:val="00A73AD8"/>
    <w:rsid w:val="00AC05DC"/>
    <w:rsid w:val="00B4593D"/>
    <w:rsid w:val="00B6461E"/>
    <w:rsid w:val="00B74C55"/>
    <w:rsid w:val="00C370CF"/>
    <w:rsid w:val="00C917FC"/>
    <w:rsid w:val="00C95256"/>
    <w:rsid w:val="00D221B5"/>
    <w:rsid w:val="00D30A94"/>
    <w:rsid w:val="00E21B49"/>
    <w:rsid w:val="00E27972"/>
    <w:rsid w:val="00E35357"/>
    <w:rsid w:val="00E6080B"/>
    <w:rsid w:val="00EF7B4D"/>
    <w:rsid w:val="00F1226C"/>
    <w:rsid w:val="00F926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3C48A0"/>
    <w:pPr>
      <w:spacing w:after="0" w:line="240" w:lineRule="auto"/>
      <w:jc w:val="both"/>
    </w:pPr>
    <w:rPr>
      <w:rFonts w:ascii="ITC Avant Garde" w:hAnsi="ITC Avant Garde"/>
      <w:sz w:val="16"/>
      <w:szCs w:val="16"/>
      <w:lang w:val="es-ES"/>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C48A0"/>
    <w:rPr>
      <w:rFonts w:ascii="ITC Avant Garde" w:hAnsi="ITC Avant Garde"/>
      <w:sz w:val="16"/>
      <w:szCs w:val="16"/>
      <w:lang w:val="es-ES"/>
    </w:rPr>
  </w:style>
  <w:style w:type="paragraph" w:styleId="Textodeglobo">
    <w:name w:val="Balloon Text"/>
    <w:basedOn w:val="Normal"/>
    <w:link w:val="TextodegloboCar"/>
    <w:uiPriority w:val="99"/>
    <w:semiHidden/>
    <w:unhideWhenUsed/>
    <w:rsid w:val="007026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6F1"/>
    <w:rPr>
      <w:rFonts w:ascii="Segoe UI" w:hAnsi="Segoe UI" w:cs="Segoe UI"/>
      <w:sz w:val="18"/>
      <w:szCs w:val="18"/>
    </w:rPr>
  </w:style>
  <w:style w:type="character" w:styleId="Hipervnculovisitado">
    <w:name w:val="FollowedHyperlink"/>
    <w:basedOn w:val="Fuentedeprrafopredeter"/>
    <w:uiPriority w:val="99"/>
    <w:semiHidden/>
    <w:unhideWhenUsed/>
    <w:rsid w:val="00AC05DC"/>
    <w:rPr>
      <w:color w:val="954F72" w:themeColor="followedHyperlink"/>
      <w:u w:val="single"/>
    </w:rPr>
  </w:style>
  <w:style w:type="paragraph" w:styleId="Sinespaciado">
    <w:name w:val="No Spacing"/>
    <w:uiPriority w:val="1"/>
    <w:qFormat/>
    <w:rsid w:val="004A1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a@ift.org.mx" TargetMode="External"/><Relationship Id="rId13" Type="http://schemas.openxmlformats.org/officeDocument/2006/relationships/hyperlink" Target="http://www.ift.org.mx/sites/default/files/conocenos/pleno/sesiones_pleno/acuerdo_liga/version_publica_ucs_p_ift_200416_160_0.pdf" TargetMode="External"/><Relationship Id="rId18" Type="http://schemas.openxmlformats.org/officeDocument/2006/relationships/hyperlink" Target="http://apps.ift.org.mx/publicdata/versionpublicapift18031590_1.pdf" TargetMode="External"/><Relationship Id="rId26" Type="http://schemas.openxmlformats.org/officeDocument/2006/relationships/hyperlink" Target="http://www.dof.gob.mx/nota_detalle.php?codigo=5431448&amp;fecha=30/03/2016" TargetMode="External"/><Relationship Id="rId3" Type="http://schemas.openxmlformats.org/officeDocument/2006/relationships/settings" Target="settings.xml"/><Relationship Id="rId21" Type="http://schemas.openxmlformats.org/officeDocument/2006/relationships/hyperlink" Target="http://www.oecd.org/officialdocuments/publicdisplaydocumentpdf/?cote=DAF/COMP/WP3(2014)1&amp;doclanguage=en" TargetMode="External"/><Relationship Id="rId7" Type="http://schemas.openxmlformats.org/officeDocument/2006/relationships/hyperlink" Target="mailto:aaa@ift.org.mx" TargetMode="External"/><Relationship Id="rId12" Type="http://schemas.openxmlformats.org/officeDocument/2006/relationships/hyperlink" Target="http://www.ift.org.mx/sites/default/files/conocenos/pleno/sesiones/acuerdoliga/versionpublicaucepiftext17061616.pdf" TargetMode="External"/><Relationship Id="rId17" Type="http://schemas.openxmlformats.org/officeDocument/2006/relationships/hyperlink" Target="http://www.ift.org.mx/sites/default/files/conocenos/pleno/sesiones_pleno/acuerdo_liga/p_ift_ext_151215_187.pdf" TargetMode="External"/><Relationship Id="rId25" Type="http://schemas.openxmlformats.org/officeDocument/2006/relationships/hyperlink" Target="http://www.ift.org.mx/sites/default/files/p_ift_ext_060314_77.pdf" TargetMode="External"/><Relationship Id="rId2" Type="http://schemas.openxmlformats.org/officeDocument/2006/relationships/styles" Target="styles.xml"/><Relationship Id="rId16" Type="http://schemas.openxmlformats.org/officeDocument/2006/relationships/hyperlink" Target="http://www.ift.org.mx/sites/default/files/conocenos/pleno/sesiones/acuerdoliga/versionpublicapift07011530.pdf" TargetMode="External"/><Relationship Id="rId20" Type="http://schemas.openxmlformats.org/officeDocument/2006/relationships/hyperlink" Target="http://www.ift.org.mx/sites/default/files/conocenos/pleno/sesiones/acuerdoliga/versionpublicaucepift210915402.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ift.org.mx/publicdata/Version_Publica_P_IFT_180315_93.pdf" TargetMode="External"/><Relationship Id="rId24" Type="http://schemas.openxmlformats.org/officeDocument/2006/relationships/hyperlink" Target="http://www.ift.org.mx/sites/default/files/p_ift_ext_060314_76_version_publica_hoja.pdf" TargetMode="External"/><Relationship Id="rId5" Type="http://schemas.openxmlformats.org/officeDocument/2006/relationships/footnotes" Target="footnotes.xml"/><Relationship Id="rId15" Type="http://schemas.openxmlformats.org/officeDocument/2006/relationships/hyperlink" Target="http://www.ift.org.mx/sites/default/files/contenidogeneral/temas-relevantes/elementosdereferencia.pdf" TargetMode="External"/><Relationship Id="rId23" Type="http://schemas.openxmlformats.org/officeDocument/2006/relationships/hyperlink" Target="http://www.ift.org.mx/tramites" TargetMode="External"/><Relationship Id="rId28" Type="http://schemas.openxmlformats.org/officeDocument/2006/relationships/header" Target="header1.xml"/><Relationship Id="rId10" Type="http://schemas.openxmlformats.org/officeDocument/2006/relationships/hyperlink" Target="http://www.ift.org.mx/sites/default/files/conocenos/pleno/sesiones/acuerdoliga/versionpublicapiftext29041586.pdf" TargetMode="External"/><Relationship Id="rId19" Type="http://schemas.openxmlformats.org/officeDocument/2006/relationships/hyperlink" Target="http://www.ift.org.mx/sites/default/files/conocenos/pleno/sesiones/acuerdoliga/versionpublicaucepift210915404.pdf" TargetMode="External"/><Relationship Id="rId4" Type="http://schemas.openxmlformats.org/officeDocument/2006/relationships/webSettings" Target="webSettings.xml"/><Relationship Id="rId9" Type="http://schemas.openxmlformats.org/officeDocument/2006/relationships/hyperlink" Target="http://www.ift.org.mx/sites/default/files/conocenos/pleno/sesiones/acuerdoliga/versionpublicaucepift210915402.pdf" TargetMode="External"/><Relationship Id="rId14" Type="http://schemas.openxmlformats.org/officeDocument/2006/relationships/hyperlink" Target="http://www.ift.org.mx/sites/default/files/conocenos/pleno/sesiones/acuerdoliga/versionpublicapiftext1902167_1.pdf" TargetMode="External"/><Relationship Id="rId22" Type="http://schemas.openxmlformats.org/officeDocument/2006/relationships/hyperlink" Target="https://www.sec.gov/answers/adrs.htm%20y%20https:/www.sec.gov/investor/alerts/adr-bulletin.pdf" TargetMode="External"/><Relationship Id="rId27" Type="http://schemas.openxmlformats.org/officeDocument/2006/relationships/hyperlink" Target="http://sise.cjf.gob.mx/SVP/word1.aspx?arch=1305/13050000178576910004002.doc_1&amp;sec=Jazm%C3%ADn_Robles_Cort%C3%A9s&amp;svp=1"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8215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2</cp:revision>
  <dcterms:created xsi:type="dcterms:W3CDTF">2016-12-23T01:45:00Z</dcterms:created>
  <dcterms:modified xsi:type="dcterms:W3CDTF">2016-12-23T01:45:00Z</dcterms:modified>
</cp:coreProperties>
</file>