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74E3D" w14:textId="77777777" w:rsidR="0051200F" w:rsidRDefault="0051200F" w:rsidP="008C150C">
      <w:pPr>
        <w:widowControl w:val="0"/>
        <w:spacing w:after="0"/>
        <w:jc w:val="both"/>
        <w:rPr>
          <w:rFonts w:ascii="ITC Avant Garde" w:eastAsia="Times New Roman" w:hAnsi="ITC Avant Garde"/>
          <w:b/>
        </w:rPr>
      </w:pPr>
      <w:r w:rsidRPr="002549BE">
        <w:rPr>
          <w:rFonts w:ascii="ITC Avant Garde" w:eastAsia="Times New Roman" w:hAnsi="ITC Avant Garde"/>
          <w:b/>
        </w:rPr>
        <w:t xml:space="preserve">ACUERDO MEDIANTE EL CUAL EL PLENO DEL INSTITUTO FEDERAL DE TELECOMUNICACIONES SOMETE A CONSULTA PÚBLICA </w:t>
      </w:r>
      <w:r w:rsidR="00E93B89">
        <w:rPr>
          <w:rFonts w:ascii="ITC Avant Garde" w:eastAsia="Times New Roman" w:hAnsi="ITC Avant Garde"/>
          <w:b/>
        </w:rPr>
        <w:t xml:space="preserve">EL </w:t>
      </w:r>
      <w:r w:rsidR="00EF2C64" w:rsidRPr="002549BE">
        <w:rPr>
          <w:rFonts w:ascii="ITC Avant Garde" w:eastAsia="Times New Roman" w:hAnsi="ITC Avant Garde"/>
          <w:b/>
        </w:rPr>
        <w:t xml:space="preserve">MODELO DE COSTOS PARA </w:t>
      </w:r>
      <w:r w:rsidR="001668DD" w:rsidRPr="002549BE">
        <w:rPr>
          <w:rFonts w:ascii="ITC Avant Garde" w:eastAsia="Times New Roman" w:hAnsi="ITC Avant Garde"/>
          <w:b/>
        </w:rPr>
        <w:t xml:space="preserve">DETERMINAR LAS TARIFAS DE ACCESO </w:t>
      </w:r>
      <w:r w:rsidR="00BB77B0">
        <w:rPr>
          <w:rFonts w:ascii="ITC Avant Garde" w:eastAsia="Times New Roman" w:hAnsi="ITC Avant Garde"/>
          <w:b/>
        </w:rPr>
        <w:t>PAR</w:t>
      </w:r>
      <w:r w:rsidR="001668DD" w:rsidRPr="002549BE">
        <w:rPr>
          <w:rFonts w:ascii="ITC Avant Garde" w:eastAsia="Times New Roman" w:hAnsi="ITC Avant Garde"/>
          <w:b/>
        </w:rPr>
        <w:t>A LA</w:t>
      </w:r>
      <w:r w:rsidR="00783462">
        <w:rPr>
          <w:rFonts w:ascii="ITC Avant Garde" w:eastAsia="Times New Roman" w:hAnsi="ITC Avant Garde"/>
          <w:b/>
        </w:rPr>
        <w:t xml:space="preserve"> DESAGREGACIÓN DEL BUCLE LOCAL DE FIBRA ÓPTICA</w:t>
      </w:r>
      <w:r w:rsidR="001668DD" w:rsidRPr="002549BE">
        <w:rPr>
          <w:rFonts w:ascii="ITC Avant Garde" w:eastAsia="Times New Roman" w:hAnsi="ITC Avant Garde"/>
          <w:b/>
        </w:rPr>
        <w:t xml:space="preserve"> D</w:t>
      </w:r>
      <w:r w:rsidR="00674244" w:rsidRPr="002549BE">
        <w:rPr>
          <w:rFonts w:ascii="ITC Avant Garde" w:eastAsia="Times New Roman" w:hAnsi="ITC Avant Garde"/>
          <w:b/>
        </w:rPr>
        <w:t xml:space="preserve">EL AGENTE ECONÓMICO PREPONDERANTE EN EL SECTOR DE </w:t>
      </w:r>
      <w:r w:rsidR="005A126B" w:rsidRPr="002549BE">
        <w:rPr>
          <w:rFonts w:ascii="ITC Avant Garde" w:eastAsia="Times New Roman" w:hAnsi="ITC Avant Garde"/>
          <w:b/>
        </w:rPr>
        <w:t xml:space="preserve">LAS </w:t>
      </w:r>
      <w:r w:rsidR="001668DD" w:rsidRPr="002549BE">
        <w:rPr>
          <w:rFonts w:ascii="ITC Avant Garde" w:eastAsia="Times New Roman" w:hAnsi="ITC Avant Garde"/>
          <w:b/>
        </w:rPr>
        <w:t>TELECOMUNICACIONES.</w:t>
      </w:r>
    </w:p>
    <w:p w14:paraId="32D74E3E" w14:textId="77777777" w:rsidR="00065DDE" w:rsidRPr="00065DDE" w:rsidRDefault="00065DDE" w:rsidP="008C150C">
      <w:pPr>
        <w:widowControl w:val="0"/>
        <w:spacing w:after="0"/>
        <w:jc w:val="both"/>
        <w:rPr>
          <w:rFonts w:ascii="ITC Avant Garde" w:eastAsia="Times New Roman" w:hAnsi="ITC Avant Garde"/>
          <w:b/>
        </w:rPr>
      </w:pPr>
    </w:p>
    <w:p w14:paraId="32D74E3F" w14:textId="77777777" w:rsidR="0051200F" w:rsidRPr="002549BE" w:rsidRDefault="00EC4A87" w:rsidP="008C150C">
      <w:pPr>
        <w:widowControl w:val="0"/>
        <w:spacing w:after="0"/>
        <w:jc w:val="center"/>
        <w:rPr>
          <w:rFonts w:ascii="ITC Avant Garde" w:eastAsia="Times New Roman" w:hAnsi="ITC Avant Garde"/>
          <w:b/>
        </w:rPr>
      </w:pPr>
      <w:r w:rsidRPr="002549BE">
        <w:rPr>
          <w:rFonts w:ascii="ITC Avant Garde" w:eastAsia="Times New Roman" w:hAnsi="ITC Avant Garde"/>
          <w:b/>
        </w:rPr>
        <w:t>A N T E C E D E N T E S</w:t>
      </w:r>
    </w:p>
    <w:p w14:paraId="32D74E40" w14:textId="77777777" w:rsidR="0051200F" w:rsidRPr="002549BE" w:rsidRDefault="0051200F" w:rsidP="008C150C">
      <w:pPr>
        <w:widowControl w:val="0"/>
        <w:spacing w:after="0"/>
        <w:jc w:val="both"/>
        <w:rPr>
          <w:rFonts w:ascii="ITC Avant Garde" w:eastAsia="Times New Roman" w:hAnsi="ITC Avant Garde"/>
        </w:rPr>
      </w:pPr>
    </w:p>
    <w:p w14:paraId="32D74E41" w14:textId="77777777" w:rsidR="008C2C44" w:rsidRPr="002549BE" w:rsidRDefault="00DB0DEC" w:rsidP="00EB51F3">
      <w:pPr>
        <w:pStyle w:val="Prrafodelista"/>
        <w:widowControl w:val="0"/>
        <w:numPr>
          <w:ilvl w:val="0"/>
          <w:numId w:val="9"/>
        </w:numPr>
        <w:spacing w:after="0"/>
        <w:jc w:val="both"/>
        <w:rPr>
          <w:rFonts w:ascii="ITC Avant Garde" w:hAnsi="ITC Avant Garde"/>
          <w:sz w:val="22"/>
          <w:szCs w:val="22"/>
        </w:rPr>
      </w:pPr>
      <w:r w:rsidRPr="002549BE">
        <w:rPr>
          <w:rFonts w:ascii="ITC Avant Garde" w:eastAsia="Times New Roman" w:hAnsi="ITC Avant Garde"/>
          <w:sz w:val="22"/>
          <w:szCs w:val="22"/>
        </w:rPr>
        <w:t>El 11 de junio de 2013, se publicó en el Diario Oficial de la Federación (</w:t>
      </w:r>
      <w:r w:rsidR="00C47E47" w:rsidRPr="002549BE">
        <w:rPr>
          <w:rFonts w:ascii="ITC Avant Garde" w:eastAsia="Times New Roman" w:hAnsi="ITC Avant Garde"/>
          <w:sz w:val="22"/>
          <w:szCs w:val="22"/>
          <w:lang w:val="es-MX"/>
        </w:rPr>
        <w:t xml:space="preserve">en lo sucesivo </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DOF</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 el “</w:t>
      </w:r>
      <w:r w:rsidRPr="002549BE">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2549BE">
        <w:rPr>
          <w:rFonts w:ascii="ITC Avant Garde" w:eastAsia="Times New Roman" w:hAnsi="ITC Avant Garde"/>
          <w:sz w:val="22"/>
          <w:szCs w:val="22"/>
        </w:rPr>
        <w:t>” (</w:t>
      </w:r>
      <w:r w:rsidR="00C47E47" w:rsidRPr="002549BE">
        <w:rPr>
          <w:rFonts w:ascii="ITC Avant Garde" w:eastAsia="Times New Roman" w:hAnsi="ITC Avant Garde"/>
          <w:sz w:val="22"/>
          <w:szCs w:val="22"/>
          <w:lang w:val="es-MX"/>
        </w:rPr>
        <w:t>en lo sucesivo</w:t>
      </w:r>
      <w:r w:rsidR="00D579B4" w:rsidRPr="002549BE">
        <w:rPr>
          <w:rFonts w:ascii="ITC Avant Garde" w:eastAsia="Times New Roman" w:hAnsi="ITC Avant Garde"/>
          <w:sz w:val="22"/>
          <w:szCs w:val="22"/>
          <w:lang w:val="es-MX"/>
        </w:rPr>
        <w:t>, el</w:t>
      </w:r>
      <w:r w:rsidR="00C47E47" w:rsidRPr="002549BE">
        <w:rPr>
          <w:rFonts w:ascii="ITC Avant Garde" w:eastAsia="Times New Roman" w:hAnsi="ITC Avant Garde"/>
          <w:sz w:val="22"/>
          <w:szCs w:val="22"/>
          <w:lang w:val="es-MX"/>
        </w:rPr>
        <w:t xml:space="preserve"> </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Decreto</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 mediante el cual se creó al Instituto Federal de Telecomunicaciones (</w:t>
      </w:r>
      <w:r w:rsidR="00C47E47" w:rsidRPr="002549BE">
        <w:rPr>
          <w:rFonts w:ascii="ITC Avant Garde" w:eastAsia="Times New Roman" w:hAnsi="ITC Avant Garde"/>
          <w:sz w:val="22"/>
          <w:szCs w:val="22"/>
          <w:lang w:val="es-MX"/>
        </w:rPr>
        <w:t>en lo sucesivo</w:t>
      </w:r>
      <w:r w:rsidR="00D579B4" w:rsidRPr="002549BE">
        <w:rPr>
          <w:rFonts w:ascii="ITC Avant Garde" w:eastAsia="Times New Roman" w:hAnsi="ITC Avant Garde"/>
          <w:sz w:val="22"/>
          <w:szCs w:val="22"/>
          <w:lang w:val="es-MX"/>
        </w:rPr>
        <w:t>, el</w:t>
      </w:r>
      <w:r w:rsidR="00C47E47" w:rsidRPr="002549BE">
        <w:rPr>
          <w:rFonts w:ascii="ITC Avant Garde" w:eastAsia="Times New Roman" w:hAnsi="ITC Avant Garde"/>
          <w:sz w:val="22"/>
          <w:szCs w:val="22"/>
          <w:lang w:val="es-MX"/>
        </w:rPr>
        <w:t xml:space="preserve"> </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Instituto</w:t>
      </w:r>
      <w:r w:rsidR="00C3429B"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2549BE">
        <w:rPr>
          <w:rFonts w:ascii="ITC Avant Garde" w:eastAsia="Times New Roman" w:hAnsi="ITC Avant Garde"/>
          <w:sz w:val="22"/>
          <w:szCs w:val="22"/>
          <w:lang w:val="es-MX"/>
        </w:rPr>
        <w:t>en lo sucesivo</w:t>
      </w:r>
      <w:r w:rsidR="00D579B4" w:rsidRPr="002549BE">
        <w:rPr>
          <w:rFonts w:ascii="ITC Avant Garde" w:eastAsia="Times New Roman" w:hAnsi="ITC Avant Garde"/>
          <w:sz w:val="22"/>
          <w:szCs w:val="22"/>
          <w:lang w:val="es-MX"/>
        </w:rPr>
        <w:t>, la</w:t>
      </w:r>
      <w:r w:rsidR="00C47E47" w:rsidRPr="002549BE">
        <w:rPr>
          <w:rFonts w:ascii="ITC Avant Garde" w:eastAsia="Times New Roman" w:hAnsi="ITC Avant Garde"/>
          <w:sz w:val="22"/>
          <w:szCs w:val="22"/>
          <w:lang w:val="es-MX"/>
        </w:rPr>
        <w:t xml:space="preserve"> </w:t>
      </w:r>
      <w:r w:rsidR="00FA61F7"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Constitución</w:t>
      </w:r>
      <w:r w:rsidR="00FA61F7"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2D74E42" w14:textId="77777777" w:rsidR="00B72C3D" w:rsidRPr="002549BE" w:rsidRDefault="00B72C3D" w:rsidP="00B72C3D">
      <w:pPr>
        <w:pStyle w:val="Prrafodelista"/>
        <w:widowControl w:val="0"/>
        <w:spacing w:after="0"/>
        <w:jc w:val="both"/>
        <w:rPr>
          <w:rFonts w:ascii="ITC Avant Garde" w:hAnsi="ITC Avant Garde"/>
          <w:sz w:val="22"/>
          <w:szCs w:val="22"/>
        </w:rPr>
      </w:pPr>
    </w:p>
    <w:p w14:paraId="32D74E43" w14:textId="77777777" w:rsidR="00FE1A70" w:rsidRPr="002549BE" w:rsidRDefault="00B72C3D" w:rsidP="00FE1A70">
      <w:pPr>
        <w:pStyle w:val="Prrafodelista"/>
        <w:widowControl w:val="0"/>
        <w:numPr>
          <w:ilvl w:val="0"/>
          <w:numId w:val="9"/>
        </w:numPr>
        <w:spacing w:after="0"/>
        <w:jc w:val="both"/>
        <w:rPr>
          <w:rFonts w:ascii="ITC Avant Garde" w:hAnsi="ITC Avant Garde"/>
          <w:sz w:val="22"/>
          <w:szCs w:val="22"/>
        </w:rPr>
      </w:pPr>
      <w:r w:rsidRPr="002549BE">
        <w:rPr>
          <w:rFonts w:ascii="ITC Avant Garde" w:eastAsia="Times New Roman" w:hAnsi="ITC Avant Garde"/>
          <w:sz w:val="22"/>
          <w:szCs w:val="22"/>
          <w:lang w:val="es-MX"/>
        </w:rPr>
        <w:t>El 6 de marzo de 2014, el Pleno del Instituto en su V Sesión Extraordinaria, aprobó mediante Acuerdo P/IFT/EXT/060314/76 la “</w:t>
      </w:r>
      <w:r w:rsidRPr="002549BE">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2549BE">
        <w:rPr>
          <w:rFonts w:ascii="ITC Avant Garde" w:eastAsia="Times New Roman" w:hAnsi="ITC Avant Garde"/>
          <w:sz w:val="22"/>
          <w:szCs w:val="22"/>
          <w:lang w:val="es-MX"/>
        </w:rPr>
        <w:t>.” (en lo sucesivo,</w:t>
      </w:r>
      <w:r w:rsidR="00D579B4" w:rsidRPr="002549BE">
        <w:rPr>
          <w:rFonts w:ascii="ITC Avant Garde" w:eastAsia="Times New Roman" w:hAnsi="ITC Avant Garde"/>
          <w:sz w:val="22"/>
          <w:szCs w:val="22"/>
          <w:lang w:val="es-MX"/>
        </w:rPr>
        <w:t xml:space="preserve"> la</w:t>
      </w:r>
      <w:r w:rsidRPr="002549BE">
        <w:rPr>
          <w:rFonts w:ascii="ITC Avant Garde" w:eastAsia="Times New Roman" w:hAnsi="ITC Avant Garde"/>
          <w:sz w:val="22"/>
          <w:szCs w:val="22"/>
          <w:lang w:val="es-MX"/>
        </w:rPr>
        <w:t xml:space="preserve"> “Resolución AEP </w:t>
      </w:r>
      <w:r w:rsidR="00C3429B" w:rsidRPr="002549BE">
        <w:rPr>
          <w:rFonts w:ascii="ITC Avant Garde" w:eastAsia="Times New Roman" w:hAnsi="ITC Avant Garde"/>
          <w:sz w:val="22"/>
          <w:szCs w:val="22"/>
          <w:lang w:val="es-MX"/>
        </w:rPr>
        <w:t>Telecomunicaciones”)</w:t>
      </w:r>
      <w:r w:rsidR="003E69E9" w:rsidRPr="002549BE">
        <w:rPr>
          <w:rFonts w:ascii="ITC Avant Garde" w:eastAsia="Times New Roman" w:hAnsi="ITC Avant Garde"/>
          <w:sz w:val="22"/>
          <w:szCs w:val="22"/>
          <w:lang w:val="es-MX"/>
        </w:rPr>
        <w:t>.</w:t>
      </w:r>
    </w:p>
    <w:p w14:paraId="32D74E44" w14:textId="77777777" w:rsidR="00FE1A70" w:rsidRPr="002549BE" w:rsidRDefault="00FE1A70" w:rsidP="00FE1A70">
      <w:pPr>
        <w:pStyle w:val="Prrafodelista"/>
        <w:widowControl w:val="0"/>
        <w:spacing w:after="0"/>
        <w:jc w:val="both"/>
        <w:rPr>
          <w:rFonts w:ascii="ITC Avant Garde" w:eastAsia="Times New Roman" w:hAnsi="ITC Avant Garde"/>
          <w:sz w:val="22"/>
          <w:szCs w:val="22"/>
          <w:lang w:val="es-MX"/>
        </w:rPr>
      </w:pPr>
    </w:p>
    <w:p w14:paraId="32D74E45" w14:textId="77777777" w:rsidR="00C3429B" w:rsidRPr="002549BE" w:rsidRDefault="00C3429B" w:rsidP="00C3429B">
      <w:pPr>
        <w:pStyle w:val="Prrafodelista"/>
        <w:widowControl w:val="0"/>
        <w:numPr>
          <w:ilvl w:val="0"/>
          <w:numId w:val="9"/>
        </w:numPr>
        <w:spacing w:after="0"/>
        <w:jc w:val="both"/>
        <w:rPr>
          <w:rFonts w:ascii="ITC Avant Garde" w:eastAsia="Times New Roman" w:hAnsi="ITC Avant Garde"/>
          <w:sz w:val="22"/>
          <w:szCs w:val="22"/>
        </w:rPr>
      </w:pPr>
      <w:r w:rsidRPr="002549BE">
        <w:rPr>
          <w:rFonts w:ascii="ITC Avant Garde" w:eastAsia="Times New Roman" w:hAnsi="ITC Avant Garde"/>
          <w:sz w:val="22"/>
          <w:szCs w:val="22"/>
        </w:rPr>
        <w:t xml:space="preserve">En la Resolución AEP </w:t>
      </w:r>
      <w:r w:rsidRPr="002549BE">
        <w:rPr>
          <w:rFonts w:ascii="ITC Avant Garde" w:eastAsia="Times New Roman" w:hAnsi="ITC Avant Garde"/>
          <w:sz w:val="22"/>
          <w:szCs w:val="22"/>
          <w:lang w:val="es-MX"/>
        </w:rPr>
        <w:t>Telecomunicaci</w:t>
      </w:r>
      <w:r w:rsidR="005A126B" w:rsidRPr="002549BE">
        <w:rPr>
          <w:rFonts w:ascii="ITC Avant Garde" w:eastAsia="Times New Roman" w:hAnsi="ITC Avant Garde"/>
          <w:sz w:val="22"/>
          <w:szCs w:val="22"/>
          <w:lang w:val="es-MX"/>
        </w:rPr>
        <w:t>ones</w:t>
      </w:r>
      <w:r w:rsidRPr="002549BE">
        <w:rPr>
          <w:rFonts w:ascii="ITC Avant Garde" w:eastAsia="Times New Roman" w:hAnsi="ITC Avant Garde"/>
          <w:sz w:val="22"/>
          <w:szCs w:val="22"/>
          <w:lang w:val="es-MX"/>
        </w:rPr>
        <w:t xml:space="preserve"> </w:t>
      </w:r>
      <w:r w:rsidRPr="002549BE">
        <w:rPr>
          <w:rFonts w:ascii="ITC Avant Garde" w:eastAsia="Times New Roman" w:hAnsi="ITC Avant Garde"/>
          <w:sz w:val="22"/>
          <w:szCs w:val="22"/>
        </w:rPr>
        <w:t>el Pleno del Instituto emitió el Anexo 3 denominado</w:t>
      </w:r>
      <w:r w:rsidRPr="002549BE">
        <w:rPr>
          <w:rFonts w:ascii="ITC Avant Garde" w:hAnsi="ITC Avant Garde"/>
          <w:sz w:val="22"/>
          <w:szCs w:val="22"/>
        </w:rPr>
        <w:t xml:space="preserve"> </w:t>
      </w:r>
      <w:r w:rsidRPr="002549BE">
        <w:rPr>
          <w:rFonts w:ascii="ITC Avant Garde" w:hAnsi="ITC Avant Garde"/>
          <w:sz w:val="22"/>
          <w:szCs w:val="22"/>
          <w:lang w:val="es-MX"/>
        </w:rPr>
        <w:t>“</w:t>
      </w:r>
      <w:r w:rsidRPr="002549BE">
        <w:rPr>
          <w:rFonts w:ascii="ITC Avant Garde" w:eastAsia="Times New Roman" w:hAnsi="ITC Avant Garde"/>
          <w:i/>
          <w:sz w:val="22"/>
          <w:szCs w:val="22"/>
        </w:rPr>
        <w:t xml:space="preserve">MEDIDAS QUE PERMITEN LA DESAGREGACIÓN EFECTIVA DE LA RED LOCAL DEL AGENTE ECONÓMICO PREPONDERANTE EN TELECOMUNICACIONES DE MANERA QUE OTROS CONCESIONARIOS DE TELECOMUNICACIONES PUEDAN </w:t>
      </w:r>
      <w:r w:rsidRPr="002549BE">
        <w:rPr>
          <w:rFonts w:ascii="ITC Avant Garde" w:eastAsia="Times New Roman" w:hAnsi="ITC Avant Garde"/>
          <w:i/>
          <w:sz w:val="22"/>
          <w:szCs w:val="22"/>
        </w:rPr>
        <w:lastRenderedPageBreak/>
        <w:t>ACCEDER, ENTRE OTROS, A LOS MEDIOS FÍSICOS, TÉCNICOS Y LÓGICOS DE CONEXIÓN ENTRE CUALQUIER PUNTO TERMINAL DE LA RED PÚBLICA DE TELECOMUNICACIONES Y EL PUNTO DE ACCESO A LA RED LOCAL PERTENECIENTE A DICHO AGENTE</w:t>
      </w:r>
      <w:r w:rsidRPr="002549BE">
        <w:rPr>
          <w:rFonts w:ascii="ITC Avant Garde" w:eastAsia="Times New Roman" w:hAnsi="ITC Avant Garde"/>
          <w:sz w:val="22"/>
          <w:szCs w:val="22"/>
        </w:rPr>
        <w:t>” (</w:t>
      </w:r>
      <w:r w:rsidRPr="002549BE">
        <w:rPr>
          <w:rFonts w:ascii="ITC Avant Garde" w:eastAsia="Times New Roman" w:hAnsi="ITC Avant Garde"/>
          <w:sz w:val="22"/>
          <w:szCs w:val="22"/>
          <w:lang w:val="es-MX"/>
        </w:rPr>
        <w:t xml:space="preserve">en lo sucesivo, </w:t>
      </w:r>
      <w:r w:rsidR="00D579B4" w:rsidRPr="002549BE">
        <w:rPr>
          <w:rFonts w:ascii="ITC Avant Garde" w:eastAsia="Times New Roman" w:hAnsi="ITC Avant Garde"/>
          <w:sz w:val="22"/>
          <w:szCs w:val="22"/>
          <w:lang w:val="es-MX"/>
        </w:rPr>
        <w:t xml:space="preserve">las </w:t>
      </w:r>
      <w:r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Medidas</w:t>
      </w:r>
      <w:r w:rsidRPr="002549BE">
        <w:rPr>
          <w:rFonts w:ascii="ITC Avant Garde" w:eastAsia="Times New Roman" w:hAnsi="ITC Avant Garde"/>
          <w:sz w:val="22"/>
          <w:szCs w:val="22"/>
          <w:lang w:val="es-MX"/>
        </w:rPr>
        <w:t xml:space="preserve"> de Desagregación”</w:t>
      </w:r>
      <w:r w:rsidRPr="002549BE">
        <w:rPr>
          <w:rFonts w:ascii="ITC Avant Garde" w:eastAsia="Times New Roman" w:hAnsi="ITC Avant Garde"/>
          <w:sz w:val="22"/>
          <w:szCs w:val="22"/>
        </w:rPr>
        <w:t>).</w:t>
      </w:r>
    </w:p>
    <w:p w14:paraId="32D74E46" w14:textId="77777777" w:rsidR="00D41FB6" w:rsidRPr="002549BE" w:rsidRDefault="00D41FB6" w:rsidP="00CD7729">
      <w:pPr>
        <w:widowControl w:val="0"/>
        <w:spacing w:after="0"/>
        <w:jc w:val="both"/>
        <w:rPr>
          <w:rFonts w:ascii="ITC Avant Garde" w:eastAsia="Times New Roman" w:hAnsi="ITC Avant Garde"/>
        </w:rPr>
      </w:pPr>
    </w:p>
    <w:p w14:paraId="32D74E47" w14:textId="77777777" w:rsidR="00C85B23" w:rsidRPr="002549BE" w:rsidRDefault="00C85B23" w:rsidP="00EB51F3">
      <w:pPr>
        <w:pStyle w:val="Prrafodelista"/>
        <w:widowControl w:val="0"/>
        <w:numPr>
          <w:ilvl w:val="0"/>
          <w:numId w:val="9"/>
        </w:numPr>
        <w:spacing w:after="0"/>
        <w:jc w:val="both"/>
        <w:rPr>
          <w:rFonts w:ascii="ITC Avant Garde" w:eastAsia="Times New Roman" w:hAnsi="ITC Avant Garde"/>
          <w:sz w:val="22"/>
          <w:szCs w:val="22"/>
        </w:rPr>
      </w:pPr>
      <w:r w:rsidRPr="002549BE">
        <w:rPr>
          <w:rFonts w:ascii="ITC Avant Garde" w:eastAsia="Times New Roman" w:hAnsi="ITC Avant Garde"/>
          <w:sz w:val="22"/>
          <w:szCs w:val="22"/>
        </w:rPr>
        <w:t xml:space="preserve">El 14 de julio de 2014, se publicó en el </w:t>
      </w:r>
      <w:r w:rsidR="009A2F48" w:rsidRPr="002549BE">
        <w:rPr>
          <w:rFonts w:ascii="ITC Avant Garde" w:eastAsia="Times New Roman" w:hAnsi="ITC Avant Garde"/>
          <w:sz w:val="22"/>
          <w:szCs w:val="22"/>
        </w:rPr>
        <w:t>DOF</w:t>
      </w:r>
      <w:r w:rsidRPr="002549BE">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w:t>
      </w:r>
      <w:r w:rsidR="00D20C21">
        <w:rPr>
          <w:rFonts w:ascii="ITC Avant Garde" w:eastAsia="Times New Roman" w:hAnsi="ITC Avant Garde"/>
          <w:sz w:val="22"/>
          <w:szCs w:val="22"/>
          <w:lang w:val="es-MX"/>
        </w:rPr>
        <w:t xml:space="preserve"> (en lo sucesivo el “Decreto de Ley”</w:t>
      </w:r>
      <w:r w:rsidRPr="002549BE">
        <w:rPr>
          <w:rFonts w:ascii="ITC Avant Garde" w:eastAsia="Times New Roman" w:hAnsi="ITC Avant Garde"/>
          <w:sz w:val="22"/>
          <w:szCs w:val="22"/>
        </w:rPr>
        <w:t xml:space="preserve"> entrando en vigor la Ley Federal de Telecomunicaciones y Radiodifusión (</w:t>
      </w:r>
      <w:r w:rsidR="00C47E47" w:rsidRPr="002549BE">
        <w:rPr>
          <w:rFonts w:ascii="ITC Avant Garde" w:eastAsia="Times New Roman" w:hAnsi="ITC Avant Garde"/>
          <w:sz w:val="22"/>
          <w:szCs w:val="22"/>
          <w:lang w:val="es-MX"/>
        </w:rPr>
        <w:t xml:space="preserve">en lo sucesivo </w:t>
      </w:r>
      <w:r w:rsidR="00D579B4" w:rsidRPr="002549BE">
        <w:rPr>
          <w:rFonts w:ascii="ITC Avant Garde" w:eastAsia="Times New Roman" w:hAnsi="ITC Avant Garde"/>
          <w:sz w:val="22"/>
          <w:szCs w:val="22"/>
          <w:lang w:val="es-MX"/>
        </w:rPr>
        <w:t xml:space="preserve">la </w:t>
      </w:r>
      <w:r w:rsidR="00C47E47"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LFT</w:t>
      </w:r>
      <w:r w:rsidR="00C47E47" w:rsidRPr="002549BE">
        <w:rPr>
          <w:rFonts w:ascii="ITC Avant Garde" w:eastAsia="Times New Roman" w:hAnsi="ITC Avant Garde"/>
          <w:sz w:val="22"/>
          <w:szCs w:val="22"/>
          <w:lang w:val="es-MX"/>
        </w:rPr>
        <w:t>y</w:t>
      </w:r>
      <w:r w:rsidRPr="002549BE">
        <w:rPr>
          <w:rFonts w:ascii="ITC Avant Garde" w:eastAsia="Times New Roman" w:hAnsi="ITC Avant Garde"/>
          <w:sz w:val="22"/>
          <w:szCs w:val="22"/>
        </w:rPr>
        <w:t>R</w:t>
      </w:r>
      <w:r w:rsidR="00C47E47" w:rsidRPr="002549BE">
        <w:rPr>
          <w:rFonts w:ascii="ITC Avant Garde" w:eastAsia="Times New Roman" w:hAnsi="ITC Avant Garde"/>
          <w:sz w:val="22"/>
          <w:szCs w:val="22"/>
          <w:lang w:val="es-MX"/>
        </w:rPr>
        <w:t>”</w:t>
      </w:r>
      <w:r w:rsidRPr="002549BE">
        <w:rPr>
          <w:rFonts w:ascii="ITC Avant Garde" w:eastAsia="Times New Roman" w:hAnsi="ITC Avant Garde"/>
          <w:sz w:val="22"/>
          <w:szCs w:val="22"/>
        </w:rPr>
        <w:t>) el 13 de agosto del 2014.</w:t>
      </w:r>
    </w:p>
    <w:p w14:paraId="32D74E48" w14:textId="77777777" w:rsidR="003E69E9" w:rsidRPr="002549BE" w:rsidRDefault="003E69E9" w:rsidP="00073067">
      <w:pPr>
        <w:spacing w:after="0"/>
        <w:rPr>
          <w:rFonts w:ascii="ITC Avant Garde" w:hAnsi="ITC Avant Garde" w:cs="Arial"/>
          <w:b/>
          <w:bCs/>
        </w:rPr>
      </w:pPr>
    </w:p>
    <w:p w14:paraId="32D74E49" w14:textId="77777777" w:rsidR="00AE47FD" w:rsidRPr="002549BE" w:rsidRDefault="00B04F36" w:rsidP="008C150C">
      <w:pPr>
        <w:spacing w:after="0"/>
        <w:jc w:val="center"/>
        <w:rPr>
          <w:rFonts w:ascii="ITC Avant Garde" w:hAnsi="ITC Avant Garde" w:cs="Arial"/>
          <w:b/>
          <w:bCs/>
        </w:rPr>
      </w:pPr>
      <w:r w:rsidRPr="002549BE">
        <w:rPr>
          <w:rFonts w:ascii="ITC Avant Garde" w:hAnsi="ITC Avant Garde" w:cs="Arial"/>
          <w:b/>
          <w:bCs/>
        </w:rPr>
        <w:t>CONSIDERANDO</w:t>
      </w:r>
    </w:p>
    <w:p w14:paraId="32D74E4A" w14:textId="77777777" w:rsidR="00CD6B0E" w:rsidRPr="002549BE" w:rsidRDefault="00CD6B0E" w:rsidP="008C150C">
      <w:pPr>
        <w:spacing w:after="0"/>
        <w:jc w:val="both"/>
        <w:rPr>
          <w:rFonts w:ascii="ITC Avant Garde" w:hAnsi="ITC Avant Garde" w:cs="Arial"/>
          <w:b/>
          <w:bCs/>
        </w:rPr>
      </w:pPr>
    </w:p>
    <w:p w14:paraId="32D74E4B" w14:textId="77777777" w:rsidR="00AE47FD" w:rsidRPr="002549BE" w:rsidRDefault="00B04F36" w:rsidP="008C150C">
      <w:pPr>
        <w:spacing w:after="0"/>
        <w:jc w:val="both"/>
        <w:rPr>
          <w:rFonts w:ascii="ITC Avant Garde" w:hAnsi="ITC Avant Garde" w:cs="Arial"/>
          <w:bCs/>
        </w:rPr>
      </w:pPr>
      <w:r w:rsidRPr="002549BE">
        <w:rPr>
          <w:rFonts w:ascii="ITC Avant Garde" w:hAnsi="ITC Avant Garde" w:cs="Arial"/>
          <w:b/>
          <w:bCs/>
        </w:rPr>
        <w:t>PRIMERO.- Competencia del Instituto.</w:t>
      </w:r>
      <w:r w:rsidRPr="002549BE">
        <w:rPr>
          <w:rFonts w:ascii="ITC Avant Garde" w:hAnsi="ITC Avant Garde" w:cs="Arial"/>
          <w:bCs/>
        </w:rPr>
        <w:t xml:space="preserve"> De conformidad con el artículo 28, </w:t>
      </w:r>
      <w:r w:rsidR="00CD6B0E" w:rsidRPr="002549BE">
        <w:rPr>
          <w:rFonts w:ascii="ITC Avant Garde" w:hAnsi="ITC Avant Garde" w:cs="Arial"/>
          <w:bCs/>
        </w:rPr>
        <w:t>párrafo</w:t>
      </w:r>
      <w:r w:rsidR="008E69E6" w:rsidRPr="002549BE">
        <w:rPr>
          <w:rFonts w:ascii="ITC Avant Garde" w:hAnsi="ITC Avant Garde" w:cs="Arial"/>
          <w:bCs/>
        </w:rPr>
        <w:t>s</w:t>
      </w:r>
      <w:r w:rsidR="00CD6B0E" w:rsidRPr="002549BE">
        <w:rPr>
          <w:rFonts w:ascii="ITC Avant Garde" w:hAnsi="ITC Avant Garde" w:cs="Arial"/>
          <w:bCs/>
        </w:rPr>
        <w:t xml:space="preserve"> décimo quinto</w:t>
      </w:r>
      <w:r w:rsidR="00772305" w:rsidRPr="002549BE">
        <w:rPr>
          <w:rFonts w:ascii="ITC Avant Garde" w:hAnsi="ITC Avant Garde" w:cs="Arial"/>
          <w:bCs/>
        </w:rPr>
        <w:t xml:space="preserve"> y</w:t>
      </w:r>
      <w:r w:rsidR="00CD6B0E" w:rsidRPr="002549BE">
        <w:rPr>
          <w:rFonts w:ascii="ITC Avant Garde" w:hAnsi="ITC Avant Garde" w:cs="Arial"/>
          <w:bCs/>
        </w:rPr>
        <w:t xml:space="preserve"> décimo sexto </w:t>
      </w:r>
      <w:r w:rsidRPr="002549BE">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2549BE">
        <w:rPr>
          <w:rFonts w:ascii="ITC Avant Garde" w:hAnsi="ITC Avant Garde" w:cs="Arial"/>
          <w:bCs/>
        </w:rPr>
        <w:t>. Asimismo, es autoridad en materia</w:t>
      </w:r>
      <w:r w:rsidRPr="002549BE">
        <w:rPr>
          <w:rFonts w:ascii="ITC Avant Garde" w:hAnsi="ITC Avant Garde" w:cs="Arial"/>
          <w:bCs/>
        </w:rPr>
        <w:t xml:space="preserve"> de competencia económica de los sectores de radiodifusión y telecomunicaciones, por lo que en éstos regulará de forma asimétr</w:t>
      </w:r>
      <w:r w:rsidR="00CE7282" w:rsidRPr="002549BE">
        <w:rPr>
          <w:rFonts w:ascii="ITC Avant Garde" w:hAnsi="ITC Avant Garde" w:cs="Arial"/>
          <w:bCs/>
        </w:rPr>
        <w:t>i</w:t>
      </w:r>
      <w:r w:rsidRPr="002549BE">
        <w:rPr>
          <w:rFonts w:ascii="ITC Avant Garde" w:hAnsi="ITC Avant Garde" w:cs="Arial"/>
          <w:bCs/>
        </w:rPr>
        <w:t>ca a los participantes en estos mercados con el objeto de eliminar eficazmente las</w:t>
      </w:r>
      <w:r w:rsidR="00CE7282" w:rsidRPr="002549BE">
        <w:rPr>
          <w:rFonts w:ascii="ITC Avant Garde" w:hAnsi="ITC Avant Garde" w:cs="Arial"/>
          <w:bCs/>
        </w:rPr>
        <w:t xml:space="preserve"> </w:t>
      </w:r>
      <w:r w:rsidRPr="002549BE">
        <w:rPr>
          <w:rFonts w:ascii="ITC Avant Garde" w:hAnsi="ITC Avant Garde" w:cs="Arial"/>
          <w:bCs/>
        </w:rPr>
        <w:t>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2549BE">
        <w:rPr>
          <w:rFonts w:ascii="ITC Avant Garde" w:hAnsi="ITC Avant Garde" w:cs="Arial"/>
          <w:bCs/>
        </w:rPr>
        <w:t>.</w:t>
      </w:r>
    </w:p>
    <w:p w14:paraId="32D74E4C" w14:textId="77777777" w:rsidR="00AE47FD" w:rsidRPr="002549BE" w:rsidRDefault="00AE47FD" w:rsidP="008C150C">
      <w:pPr>
        <w:widowControl w:val="0"/>
        <w:spacing w:after="0"/>
        <w:jc w:val="both"/>
        <w:rPr>
          <w:rFonts w:ascii="ITC Avant Garde" w:eastAsia="Times New Roman" w:hAnsi="ITC Avant Garde"/>
        </w:rPr>
      </w:pPr>
    </w:p>
    <w:p w14:paraId="32D74E4D" w14:textId="77777777" w:rsidR="000F27A4" w:rsidRPr="002549BE" w:rsidRDefault="00650664" w:rsidP="00B57173">
      <w:pPr>
        <w:spacing w:after="0"/>
        <w:jc w:val="both"/>
        <w:rPr>
          <w:rFonts w:ascii="ITC Avant Garde" w:hAnsi="ITC Avant Garde" w:cs="Arial"/>
          <w:bCs/>
        </w:rPr>
      </w:pPr>
      <w:r w:rsidRPr="002549BE">
        <w:rPr>
          <w:rFonts w:ascii="ITC Avant Garde" w:hAnsi="ITC Avant Garde" w:cs="Arial"/>
          <w:bCs/>
        </w:rPr>
        <w:t xml:space="preserve">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w:t>
      </w:r>
      <w:r w:rsidRPr="002549BE">
        <w:rPr>
          <w:rFonts w:ascii="ITC Avant Garde" w:hAnsi="ITC Avant Garde" w:cs="Arial"/>
          <w:bCs/>
        </w:rPr>
        <w:tab/>
        <w:t xml:space="preserve">Pleno del Instituto, conforme </w:t>
      </w:r>
      <w:r w:rsidR="009B62C9" w:rsidRPr="002549BE">
        <w:rPr>
          <w:rFonts w:ascii="ITC Avant Garde" w:hAnsi="ITC Avant Garde" w:cs="Arial"/>
          <w:bCs/>
        </w:rPr>
        <w:t>a lo establecido por los artículos 15 fracci</w:t>
      </w:r>
      <w:r w:rsidR="005A04C8">
        <w:rPr>
          <w:rFonts w:ascii="ITC Avant Garde" w:hAnsi="ITC Avant Garde" w:cs="Arial"/>
          <w:bCs/>
        </w:rPr>
        <w:t>ón I de la LFTyR</w:t>
      </w:r>
      <w:r w:rsidR="009B62C9" w:rsidRPr="002549BE">
        <w:rPr>
          <w:rFonts w:ascii="ITC Avant Garde" w:hAnsi="ITC Avant Garde" w:cs="Arial"/>
          <w:bCs/>
        </w:rPr>
        <w:t xml:space="preserve"> y 6º de su Estatuto Orgánico, tiene la atribución de expedir disposiciones administrativas de carácter general, planes técnicos fundamentales, lineamientos, Modelos de Costos, procedimientos de evaluación de la conformidad, procedimientos de homologación y certificación y ordenamientos </w:t>
      </w:r>
      <w:r w:rsidR="009B62C9" w:rsidRPr="002549BE">
        <w:rPr>
          <w:rFonts w:ascii="ITC Avant Garde" w:hAnsi="ITC Avant Garde" w:cs="Arial"/>
          <w:bCs/>
        </w:rPr>
        <w:lastRenderedPageBreak/>
        <w:t xml:space="preserve">técnicos en materia de telecomunicaciones y radiodifusión, así como demás disposiciones para el cumplimiento de lo dispuesto en </w:t>
      </w:r>
      <w:r w:rsidR="00776189">
        <w:rPr>
          <w:rFonts w:ascii="ITC Avant Garde" w:hAnsi="ITC Avant Garde" w:cs="Arial"/>
          <w:bCs/>
        </w:rPr>
        <w:t>la LFTyR</w:t>
      </w:r>
      <w:r w:rsidR="00B32297" w:rsidRPr="002549BE">
        <w:rPr>
          <w:rFonts w:ascii="ITC Avant Garde" w:hAnsi="ITC Avant Garde" w:cs="Arial"/>
          <w:bCs/>
        </w:rPr>
        <w:t>.</w:t>
      </w:r>
    </w:p>
    <w:p w14:paraId="32D74E4E" w14:textId="77777777" w:rsidR="0073507C" w:rsidRPr="002549BE" w:rsidRDefault="0073507C" w:rsidP="00B57173">
      <w:pPr>
        <w:spacing w:after="0"/>
        <w:jc w:val="both"/>
        <w:rPr>
          <w:rFonts w:ascii="ITC Avant Garde" w:hAnsi="ITC Avant Garde" w:cs="Arial"/>
          <w:bCs/>
        </w:rPr>
      </w:pPr>
    </w:p>
    <w:p w14:paraId="32D74E4F" w14:textId="77777777" w:rsidR="0073507C" w:rsidRPr="002549BE" w:rsidRDefault="0073507C" w:rsidP="00B57173">
      <w:pPr>
        <w:spacing w:after="0"/>
        <w:jc w:val="both"/>
        <w:rPr>
          <w:rFonts w:ascii="ITC Avant Garde" w:hAnsi="ITC Avant Garde" w:cs="Arial"/>
          <w:bCs/>
        </w:rPr>
      </w:pPr>
      <w:r w:rsidRPr="002549BE">
        <w:rPr>
          <w:rFonts w:ascii="ITC Avant Garde" w:hAnsi="ITC Avant Garde" w:cs="Arial"/>
          <w:bCs/>
        </w:rPr>
        <w:t>Por otra parte, en cumplimiento a lo establecido en el artículo Octavo Transitorio, fracción III del Decreto</w:t>
      </w:r>
      <w:r w:rsidR="007D7595">
        <w:rPr>
          <w:rFonts w:ascii="ITC Avant Garde" w:hAnsi="ITC Avant Garde" w:cs="Arial"/>
          <w:bCs/>
        </w:rPr>
        <w:t xml:space="preserve"> </w:t>
      </w:r>
      <w:r w:rsidRPr="002549BE">
        <w:rPr>
          <w:rFonts w:ascii="ITC Avant Garde" w:hAnsi="ITC Avant Garde" w:cs="Arial"/>
          <w:bCs/>
        </w:rPr>
        <w:t xml:space="preserve">y mediante la Resolución </w:t>
      </w:r>
      <w:r w:rsidR="000E111D" w:rsidRPr="002549BE">
        <w:rPr>
          <w:rFonts w:ascii="ITC Avant Garde" w:hAnsi="ITC Avant Garde" w:cs="Arial"/>
          <w:bCs/>
        </w:rPr>
        <w:t>AEP Telecomunicaciones, el Instituto determinó la existencia de Agentes Económicos Preponderantes (en lo sucesivo “AEP”) en los sectores de radiodifusión y de telecomunicaciones, e impuso las medidas necesarias para evitar se afecte la competencia y la libre concurrencia y, con ello, a los usuarios finales. Dichas medidas incluyen las Medidas de Desagregación,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32D74E50" w14:textId="77777777" w:rsidR="00B57173" w:rsidRPr="002549BE" w:rsidRDefault="00B57173" w:rsidP="00B57173">
      <w:pPr>
        <w:spacing w:after="0"/>
        <w:jc w:val="both"/>
        <w:rPr>
          <w:rFonts w:ascii="ITC Avant Garde" w:hAnsi="ITC Avant Garde" w:cs="Arial"/>
          <w:bCs/>
        </w:rPr>
      </w:pPr>
    </w:p>
    <w:p w14:paraId="32D74E51" w14:textId="77777777" w:rsidR="000F27A4" w:rsidRPr="002549BE" w:rsidRDefault="00092AC3" w:rsidP="008C150C">
      <w:pPr>
        <w:spacing w:after="0"/>
        <w:jc w:val="both"/>
        <w:rPr>
          <w:rFonts w:ascii="ITC Avant Garde" w:hAnsi="ITC Avant Garde" w:cs="Arial"/>
          <w:bCs/>
        </w:rPr>
      </w:pPr>
      <w:r w:rsidRPr="002549BE">
        <w:rPr>
          <w:rFonts w:ascii="ITC Avant Garde" w:hAnsi="ITC Avant Garde" w:cs="Arial"/>
          <w:bCs/>
        </w:rPr>
        <w:t>E</w:t>
      </w:r>
      <w:r w:rsidR="00F12E54" w:rsidRPr="002549BE">
        <w:rPr>
          <w:rFonts w:ascii="ITC Avant Garde" w:hAnsi="ITC Avant Garde" w:cs="Arial"/>
          <w:bCs/>
        </w:rPr>
        <w:t xml:space="preserve">l artículo Trigésimo Quinto </w:t>
      </w:r>
      <w:r w:rsidR="00E42B0E" w:rsidRPr="002549BE">
        <w:rPr>
          <w:rFonts w:ascii="ITC Avant Garde" w:hAnsi="ITC Avant Garde" w:cs="Arial"/>
          <w:bCs/>
        </w:rPr>
        <w:t xml:space="preserve">Transitorio </w:t>
      </w:r>
      <w:r w:rsidR="00F12E54" w:rsidRPr="002549BE">
        <w:rPr>
          <w:rFonts w:ascii="ITC Avant Garde" w:hAnsi="ITC Avant Garde" w:cs="Arial"/>
          <w:bCs/>
        </w:rPr>
        <w:t xml:space="preserve">del Decreto de </w:t>
      </w:r>
      <w:r w:rsidRPr="002549BE">
        <w:rPr>
          <w:rFonts w:ascii="ITC Avant Garde" w:hAnsi="ITC Avant Garde" w:cs="Arial"/>
          <w:bCs/>
        </w:rPr>
        <w:t>Ley</w:t>
      </w:r>
      <w:r w:rsidR="00F12E54" w:rsidRPr="002549BE">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32D74E52" w14:textId="77777777" w:rsidR="003E69E9" w:rsidRPr="002549BE" w:rsidRDefault="003E69E9" w:rsidP="008C150C">
      <w:pPr>
        <w:spacing w:after="0"/>
        <w:jc w:val="both"/>
        <w:rPr>
          <w:rFonts w:ascii="ITC Avant Garde" w:hAnsi="ITC Avant Garde" w:cs="Arial"/>
          <w:bCs/>
        </w:rPr>
      </w:pPr>
    </w:p>
    <w:p w14:paraId="32D74E53" w14:textId="6E7B065D" w:rsidR="00B200B8" w:rsidRPr="0097236A" w:rsidRDefault="00AB7EEE" w:rsidP="00B200B8">
      <w:pPr>
        <w:spacing w:after="0"/>
        <w:jc w:val="both"/>
        <w:rPr>
          <w:rFonts w:ascii="ITC Avant Garde" w:hAnsi="ITC Avant Garde"/>
          <w:color w:val="000000"/>
        </w:rPr>
      </w:pPr>
      <w:r w:rsidRPr="002549BE">
        <w:rPr>
          <w:rFonts w:ascii="ITC Avant Garde" w:hAnsi="ITC Avant Garde" w:cs="Arial"/>
          <w:b/>
          <w:bCs/>
        </w:rPr>
        <w:t>SEGUNDO</w:t>
      </w:r>
      <w:r w:rsidRPr="002549BE">
        <w:rPr>
          <w:rFonts w:ascii="ITC Avant Garde" w:hAnsi="ITC Avant Garde" w:cs="Arial"/>
          <w:bCs/>
        </w:rPr>
        <w:t xml:space="preserve">.- </w:t>
      </w:r>
      <w:r w:rsidR="00BB77B0" w:rsidRPr="00BB77B0">
        <w:rPr>
          <w:rFonts w:ascii="ITC Avant Garde" w:hAnsi="ITC Avant Garde" w:cs="Arial"/>
          <w:b/>
          <w:bCs/>
        </w:rPr>
        <w:t>M</w:t>
      </w:r>
      <w:r w:rsidR="00BB77B0">
        <w:rPr>
          <w:rFonts w:ascii="ITC Avant Garde" w:hAnsi="ITC Avant Garde" w:cs="Arial"/>
          <w:b/>
          <w:bCs/>
        </w:rPr>
        <w:t>odelos de costos para determinar las tarifas de acceso para la desagregación del bucle local de fibra óptica</w:t>
      </w:r>
      <w:r w:rsidR="00987268">
        <w:rPr>
          <w:rFonts w:ascii="ITC Avant Garde" w:hAnsi="ITC Avant Garde" w:cs="Arial"/>
          <w:b/>
          <w:bCs/>
        </w:rPr>
        <w:t xml:space="preserve"> del AEP del sector </w:t>
      </w:r>
      <w:r w:rsidR="0048230A">
        <w:rPr>
          <w:rFonts w:ascii="ITC Avant Garde" w:hAnsi="ITC Avant Garde" w:cs="Arial"/>
          <w:b/>
          <w:bCs/>
        </w:rPr>
        <w:t>telecomunicaciones</w:t>
      </w:r>
      <w:r w:rsidR="00BB77B0" w:rsidRPr="00BB77B0">
        <w:rPr>
          <w:rFonts w:ascii="ITC Avant Garde" w:hAnsi="ITC Avant Garde" w:cs="Arial"/>
          <w:b/>
          <w:bCs/>
        </w:rPr>
        <w:t xml:space="preserve">.- </w:t>
      </w:r>
      <w:r w:rsidR="00B200B8">
        <w:rPr>
          <w:rFonts w:ascii="ITC Avant Garde" w:hAnsi="ITC Avant Garde" w:cs="Arial"/>
          <w:bCs/>
        </w:rPr>
        <w:t xml:space="preserve">En las Medidas de Desagregación se determinaron distintos servicios de desagregación </w:t>
      </w:r>
      <w:r w:rsidR="00B200B8" w:rsidRPr="00DA6AAE">
        <w:rPr>
          <w:rFonts w:ascii="ITC Avant Garde" w:hAnsi="ITC Avant Garde" w:cs="Arial"/>
          <w:bCs/>
        </w:rPr>
        <w:t>efectiva de la red local</w:t>
      </w:r>
      <w:r w:rsidR="00077486">
        <w:rPr>
          <w:rFonts w:ascii="ITC Avant Garde" w:hAnsi="ITC Avant Garde" w:cs="Arial"/>
          <w:bCs/>
        </w:rPr>
        <w:t xml:space="preserve">. </w:t>
      </w:r>
      <w:r w:rsidR="00077486">
        <w:rPr>
          <w:rFonts w:ascii="ITC Avant Garde" w:hAnsi="ITC Avant Garde"/>
          <w:color w:val="000000"/>
        </w:rPr>
        <w:t>Por su parte</w:t>
      </w:r>
      <w:r w:rsidR="00B200B8" w:rsidRPr="0097236A">
        <w:rPr>
          <w:rFonts w:ascii="ITC Avant Garde" w:hAnsi="ITC Avant Garde"/>
          <w:color w:val="000000"/>
        </w:rPr>
        <w:t>, la supervisión del órgano regulador tiene el propósito de que esos servicios de desagregación</w:t>
      </w:r>
      <w:r w:rsidR="00B200B8">
        <w:rPr>
          <w:rFonts w:ascii="ITC Avant Garde" w:hAnsi="ITC Avant Garde"/>
          <w:color w:val="000000"/>
        </w:rPr>
        <w:t xml:space="preserve"> </w:t>
      </w:r>
      <w:r w:rsidR="00B200B8" w:rsidRPr="0097236A">
        <w:rPr>
          <w:rFonts w:ascii="ITC Avant Garde" w:hAnsi="ITC Avant Garde"/>
          <w:color w:val="000000"/>
        </w:rPr>
        <w:t>se presten de manera eficiente, promoviendo la competencia y el desarrollo de la industria</w:t>
      </w:r>
      <w:r w:rsidR="00B200B8" w:rsidRPr="0097236A">
        <w:rPr>
          <w:rFonts w:ascii="ITC Avant Garde" w:hAnsi="ITC Avant Garde"/>
          <w:bCs/>
          <w:color w:val="000000"/>
        </w:rPr>
        <w:t xml:space="preserve">. </w:t>
      </w:r>
    </w:p>
    <w:p w14:paraId="32D74E54" w14:textId="77777777" w:rsidR="00B200B8" w:rsidRDefault="00B200B8" w:rsidP="00B200B8">
      <w:pPr>
        <w:spacing w:after="0"/>
        <w:jc w:val="both"/>
        <w:rPr>
          <w:rFonts w:ascii="ITC Avant Garde" w:hAnsi="ITC Avant Garde" w:cs="Arial"/>
          <w:bCs/>
        </w:rPr>
      </w:pPr>
    </w:p>
    <w:p w14:paraId="32D74E55" w14:textId="77777777" w:rsidR="00B200B8" w:rsidRDefault="00B200B8" w:rsidP="00B200B8">
      <w:pPr>
        <w:spacing w:after="0"/>
        <w:jc w:val="both"/>
        <w:rPr>
          <w:rFonts w:ascii="ITC Avant Garde" w:hAnsi="ITC Avant Garde" w:cs="Arial"/>
          <w:bCs/>
        </w:rPr>
      </w:pPr>
      <w:r w:rsidRPr="00E762D1">
        <w:rPr>
          <w:rFonts w:ascii="ITC Avant Garde" w:hAnsi="ITC Avant Garde" w:cs="Arial"/>
          <w:bCs/>
        </w:rPr>
        <w:t>En ese sentido, con la finalidad de alcanzar los objetivos que establece la Ley</w:t>
      </w:r>
      <w:r>
        <w:rPr>
          <w:rFonts w:ascii="ITC Avant Garde" w:hAnsi="ITC Avant Garde" w:cs="Arial"/>
          <w:bCs/>
        </w:rPr>
        <w:t>,</w:t>
      </w:r>
      <w:r w:rsidRPr="00E762D1">
        <w:rPr>
          <w:rFonts w:ascii="ITC Avant Garde" w:hAnsi="ITC Avant Garde" w:cs="Arial"/>
          <w:bCs/>
        </w:rPr>
        <w:t xml:space="preserve"> el Instituto cuenta con la atribución de </w:t>
      </w:r>
      <w:r w:rsidR="00DC6FA0">
        <w:rPr>
          <w:rFonts w:ascii="ITC Avant Garde" w:hAnsi="ITC Avant Garde" w:cs="Arial"/>
          <w:bCs/>
        </w:rPr>
        <w:t>desarrollar</w:t>
      </w:r>
      <w:r w:rsidRPr="00E762D1">
        <w:rPr>
          <w:rFonts w:ascii="ITC Avant Garde" w:hAnsi="ITC Avant Garde" w:cs="Arial"/>
          <w:bCs/>
        </w:rPr>
        <w:t xml:space="preserve"> Modelos de Costos para determinar las tarifas aplicables </w:t>
      </w:r>
      <w:r>
        <w:rPr>
          <w:rFonts w:ascii="ITC Avant Garde" w:hAnsi="ITC Avant Garde" w:cs="Arial"/>
          <w:bCs/>
        </w:rPr>
        <w:t xml:space="preserve">a los servicios de desagregación, de conformidad con las metodologías de costos señaladas en la Medida TRIGÉSIMA NOVENA de las Medidas de Desagregación. </w:t>
      </w:r>
      <w:r w:rsidRPr="00E762D1">
        <w:rPr>
          <w:rFonts w:ascii="ITC Avant Garde" w:hAnsi="ITC Avant Garde" w:cs="Arial"/>
          <w:bCs/>
        </w:rPr>
        <w:t>Razón por la cual, los Modelos de Costos constituyen una herramienta que permitirá a la autoridad ejercer de mejor manera la atribución de resolver lo que corresponda en los casos concretos.</w:t>
      </w:r>
    </w:p>
    <w:p w14:paraId="32D74E56" w14:textId="77777777" w:rsidR="00B200B8" w:rsidRPr="00E762D1" w:rsidRDefault="00B200B8" w:rsidP="00B200B8">
      <w:pPr>
        <w:spacing w:after="0"/>
        <w:jc w:val="both"/>
        <w:rPr>
          <w:rFonts w:ascii="ITC Avant Garde" w:hAnsi="ITC Avant Garde" w:cs="Arial"/>
          <w:bCs/>
        </w:rPr>
      </w:pPr>
    </w:p>
    <w:p w14:paraId="32D74E57" w14:textId="6C2D40D6" w:rsidR="00077486" w:rsidRDefault="00077486" w:rsidP="00077486">
      <w:pPr>
        <w:spacing w:after="0"/>
        <w:jc w:val="both"/>
        <w:rPr>
          <w:rFonts w:ascii="ITC Avant Garde" w:hAnsi="ITC Avant Garde" w:cs="Arial"/>
          <w:bCs/>
        </w:rPr>
      </w:pPr>
      <w:r>
        <w:rPr>
          <w:rFonts w:ascii="ITC Avant Garde" w:hAnsi="ITC Avant Garde" w:cs="Arial"/>
          <w:bCs/>
        </w:rPr>
        <w:t>La d</w:t>
      </w:r>
      <w:r w:rsidRPr="00055D99">
        <w:rPr>
          <w:rFonts w:ascii="ITC Avant Garde" w:hAnsi="ITC Avant Garde" w:cs="Arial"/>
          <w:bCs/>
        </w:rPr>
        <w:t xml:space="preserve">esagregación del </w:t>
      </w:r>
      <w:r>
        <w:rPr>
          <w:rFonts w:ascii="ITC Avant Garde" w:hAnsi="ITC Avant Garde" w:cs="Arial"/>
          <w:bCs/>
        </w:rPr>
        <w:t>b</w:t>
      </w:r>
      <w:r w:rsidRPr="00055D99">
        <w:rPr>
          <w:rFonts w:ascii="ITC Avant Garde" w:hAnsi="ITC Avant Garde" w:cs="Arial"/>
          <w:bCs/>
        </w:rPr>
        <w:t xml:space="preserve">ucle </w:t>
      </w:r>
      <w:r>
        <w:rPr>
          <w:rFonts w:ascii="ITC Avant Garde" w:hAnsi="ITC Avant Garde" w:cs="Arial"/>
          <w:bCs/>
        </w:rPr>
        <w:t>l</w:t>
      </w:r>
      <w:r w:rsidRPr="00055D99">
        <w:rPr>
          <w:rFonts w:ascii="ITC Avant Garde" w:hAnsi="ITC Avant Garde" w:cs="Arial"/>
          <w:bCs/>
        </w:rPr>
        <w:t>oca</w:t>
      </w:r>
      <w:r>
        <w:rPr>
          <w:rFonts w:ascii="ITC Avant Garde" w:hAnsi="ITC Avant Garde" w:cs="Arial"/>
          <w:bCs/>
        </w:rPr>
        <w:t xml:space="preserve">l y de elementos de red del AEP es </w:t>
      </w:r>
      <w:r w:rsidRPr="00055D99">
        <w:rPr>
          <w:rFonts w:ascii="ITC Avant Garde" w:hAnsi="ITC Avant Garde" w:cs="Arial"/>
          <w:bCs/>
        </w:rPr>
        <w:t>un</w:t>
      </w:r>
      <w:r>
        <w:rPr>
          <w:rFonts w:ascii="ITC Avant Garde" w:hAnsi="ITC Avant Garde" w:cs="Arial"/>
          <w:bCs/>
        </w:rPr>
        <w:t xml:space="preserve">a herramienta regulatoria que diversas autoridades reguladoras han implementado </w:t>
      </w:r>
      <w:r w:rsidRPr="00055D99">
        <w:rPr>
          <w:rFonts w:ascii="ITC Avant Garde" w:hAnsi="ITC Avant Garde" w:cs="Arial"/>
          <w:bCs/>
        </w:rPr>
        <w:t>para la promoción de la competencia</w:t>
      </w:r>
      <w:r>
        <w:rPr>
          <w:rFonts w:ascii="ITC Avant Garde" w:hAnsi="ITC Avant Garde" w:cs="Arial"/>
          <w:bCs/>
        </w:rPr>
        <w:t>. E</w:t>
      </w:r>
      <w:r w:rsidRPr="00055D99">
        <w:rPr>
          <w:rFonts w:ascii="ITC Avant Garde" w:hAnsi="ITC Avant Garde" w:cs="Arial"/>
          <w:bCs/>
        </w:rPr>
        <w:t xml:space="preserve">l bucle local es uno de los componentes de red cuya desagregación es mayormente requerida por operadores entrantes ya que </w:t>
      </w:r>
      <w:r>
        <w:rPr>
          <w:rFonts w:ascii="ITC Avant Garde" w:hAnsi="ITC Avant Garde" w:cs="Arial"/>
          <w:bCs/>
        </w:rPr>
        <w:t xml:space="preserve">constituye </w:t>
      </w:r>
      <w:r w:rsidRPr="00055D99">
        <w:rPr>
          <w:rFonts w:ascii="ITC Avant Garde" w:hAnsi="ITC Avant Garde" w:cs="Arial"/>
          <w:bCs/>
        </w:rPr>
        <w:t>el enlace entre el usuario final y la central</w:t>
      </w:r>
      <w:r w:rsidR="003E266D">
        <w:rPr>
          <w:rFonts w:ascii="ITC Avant Garde" w:hAnsi="ITC Avant Garde" w:cs="Arial"/>
          <w:bCs/>
        </w:rPr>
        <w:t xml:space="preserve"> telefónica o instalación equivalente</w:t>
      </w:r>
      <w:r w:rsidR="00987268">
        <w:rPr>
          <w:rFonts w:ascii="ITC Avant Garde" w:hAnsi="ITC Avant Garde" w:cs="Arial"/>
          <w:bCs/>
        </w:rPr>
        <w:t xml:space="preserve">, por lo </w:t>
      </w:r>
      <w:r w:rsidR="00987268">
        <w:rPr>
          <w:rFonts w:ascii="ITC Avant Garde" w:hAnsi="ITC Avant Garde" w:cs="Arial"/>
          <w:bCs/>
        </w:rPr>
        <w:lastRenderedPageBreak/>
        <w:t>que es un insumo necesario para atender en el corto plazo a una masa de nuevos clientes</w:t>
      </w:r>
      <w:r>
        <w:rPr>
          <w:rFonts w:ascii="ITC Avant Garde" w:hAnsi="ITC Avant Garde" w:cs="Arial"/>
          <w:bCs/>
        </w:rPr>
        <w:t xml:space="preserve">. Si bien </w:t>
      </w:r>
      <w:r w:rsidRPr="00055D99">
        <w:rPr>
          <w:rFonts w:ascii="ITC Avant Garde" w:hAnsi="ITC Avant Garde" w:cs="Arial"/>
          <w:bCs/>
        </w:rPr>
        <w:t xml:space="preserve">al hablar de desagregación del bucle local </w:t>
      </w:r>
      <w:r>
        <w:rPr>
          <w:rFonts w:ascii="ITC Avant Garde" w:hAnsi="ITC Avant Garde" w:cs="Arial"/>
          <w:bCs/>
        </w:rPr>
        <w:t xml:space="preserve">generalmente </w:t>
      </w:r>
      <w:r w:rsidRPr="00055D99">
        <w:rPr>
          <w:rFonts w:ascii="ITC Avant Garde" w:hAnsi="ITC Avant Garde" w:cs="Arial"/>
          <w:bCs/>
        </w:rPr>
        <w:t>se hace referencia al par de cobre en atención a que es el mayormente instalado en el acceso al usuario final</w:t>
      </w:r>
      <w:r>
        <w:rPr>
          <w:rFonts w:ascii="ITC Avant Garde" w:hAnsi="ITC Avant Garde" w:cs="Arial"/>
          <w:bCs/>
        </w:rPr>
        <w:t xml:space="preserve">, </w:t>
      </w:r>
      <w:r w:rsidRPr="00055D99">
        <w:rPr>
          <w:rFonts w:ascii="ITC Avant Garde" w:hAnsi="ITC Avant Garde" w:cs="Arial"/>
          <w:bCs/>
        </w:rPr>
        <w:t xml:space="preserve">el acceso al bucle local </w:t>
      </w:r>
      <w:r>
        <w:rPr>
          <w:rFonts w:ascii="ITC Avant Garde" w:hAnsi="ITC Avant Garde" w:cs="Arial"/>
          <w:bCs/>
        </w:rPr>
        <w:t xml:space="preserve">del AEP </w:t>
      </w:r>
      <w:r w:rsidR="00987268">
        <w:rPr>
          <w:rFonts w:ascii="ITC Avant Garde" w:hAnsi="ITC Avant Garde" w:cs="Arial"/>
          <w:bCs/>
        </w:rPr>
        <w:t xml:space="preserve">también </w:t>
      </w:r>
      <w:r w:rsidRPr="00055D99">
        <w:rPr>
          <w:rFonts w:ascii="ITC Avant Garde" w:hAnsi="ITC Avant Garde" w:cs="Arial"/>
          <w:bCs/>
        </w:rPr>
        <w:t xml:space="preserve">podría ser por otro </w:t>
      </w:r>
      <w:r>
        <w:rPr>
          <w:rFonts w:ascii="ITC Avant Garde" w:hAnsi="ITC Avant Garde" w:cs="Arial"/>
          <w:bCs/>
        </w:rPr>
        <w:t>medio de acceso</w:t>
      </w:r>
      <w:r w:rsidRPr="00055D99">
        <w:rPr>
          <w:rFonts w:ascii="ITC Avant Garde" w:hAnsi="ITC Avant Garde" w:cs="Arial"/>
          <w:bCs/>
        </w:rPr>
        <w:t xml:space="preserve">, como la fibra óptica. </w:t>
      </w:r>
      <w:r>
        <w:rPr>
          <w:rFonts w:ascii="ITC Avant Garde" w:hAnsi="ITC Avant Garde" w:cs="Arial"/>
          <w:bCs/>
        </w:rPr>
        <w:t>Dado que l</w:t>
      </w:r>
      <w:r w:rsidRPr="00055D99">
        <w:rPr>
          <w:rFonts w:ascii="ITC Avant Garde" w:hAnsi="ITC Avant Garde" w:cs="Arial"/>
          <w:bCs/>
        </w:rPr>
        <w:t>a fibra óptica es el medio</w:t>
      </w:r>
      <w:r>
        <w:rPr>
          <w:rFonts w:ascii="ITC Avant Garde" w:hAnsi="ITC Avant Garde" w:cs="Arial"/>
          <w:bCs/>
        </w:rPr>
        <w:t xml:space="preserve"> de transmisión que tiene l</w:t>
      </w:r>
      <w:r w:rsidRPr="00055D99">
        <w:rPr>
          <w:rFonts w:ascii="ITC Avant Garde" w:hAnsi="ITC Avant Garde" w:cs="Arial"/>
          <w:bCs/>
        </w:rPr>
        <w:t>a mayor capacidad (ancho de banda) y velocidad</w:t>
      </w:r>
      <w:r>
        <w:rPr>
          <w:rFonts w:ascii="ITC Avant Garde" w:hAnsi="ITC Avant Garde" w:cs="Arial"/>
          <w:bCs/>
        </w:rPr>
        <w:t xml:space="preserve"> y</w:t>
      </w:r>
      <w:r w:rsidRPr="00055D99">
        <w:rPr>
          <w:rFonts w:ascii="ITC Avant Garde" w:hAnsi="ITC Avant Garde" w:cs="Arial"/>
          <w:bCs/>
        </w:rPr>
        <w:t xml:space="preserve"> menor pérdida en la transmisión</w:t>
      </w:r>
      <w:r>
        <w:rPr>
          <w:rFonts w:ascii="ITC Avant Garde" w:hAnsi="ITC Avant Garde" w:cs="Arial"/>
          <w:bCs/>
        </w:rPr>
        <w:t>,</w:t>
      </w:r>
      <w:r w:rsidRPr="00055D99">
        <w:rPr>
          <w:rFonts w:ascii="ITC Avant Garde" w:hAnsi="ITC Avant Garde" w:cs="Arial"/>
          <w:bCs/>
        </w:rPr>
        <w:t xml:space="preserve"> </w:t>
      </w:r>
      <w:r>
        <w:rPr>
          <w:rFonts w:ascii="ITC Avant Garde" w:hAnsi="ITC Avant Garde" w:cs="Arial"/>
          <w:bCs/>
        </w:rPr>
        <w:t>desde hace varios años es la tecnología más utilizada</w:t>
      </w:r>
      <w:r w:rsidRPr="00055D99">
        <w:rPr>
          <w:rFonts w:ascii="ITC Avant Garde" w:hAnsi="ITC Avant Garde" w:cs="Arial"/>
          <w:bCs/>
        </w:rPr>
        <w:t xml:space="preserve"> en los nuevos despliegues de red</w:t>
      </w:r>
      <w:r>
        <w:rPr>
          <w:rFonts w:ascii="ITC Avant Garde" w:hAnsi="ITC Avant Garde" w:cs="Arial"/>
          <w:bCs/>
        </w:rPr>
        <w:t xml:space="preserve"> de telecomunicaciones</w:t>
      </w:r>
      <w:r w:rsidRPr="00055D99">
        <w:rPr>
          <w:rFonts w:ascii="ITC Avant Garde" w:hAnsi="ITC Avant Garde" w:cs="Arial"/>
          <w:bCs/>
        </w:rPr>
        <w:t xml:space="preserve">. </w:t>
      </w:r>
    </w:p>
    <w:p w14:paraId="32D74E58" w14:textId="77777777" w:rsidR="00077486" w:rsidRPr="00055D99" w:rsidRDefault="00077486" w:rsidP="00077486">
      <w:pPr>
        <w:spacing w:after="0"/>
        <w:jc w:val="both"/>
        <w:rPr>
          <w:rFonts w:ascii="ITC Avant Garde" w:hAnsi="ITC Avant Garde" w:cs="Arial"/>
          <w:bCs/>
        </w:rPr>
      </w:pPr>
    </w:p>
    <w:p w14:paraId="32D74E59" w14:textId="4865CDCC" w:rsidR="00B200B8" w:rsidRDefault="00987268" w:rsidP="00B200B8">
      <w:pPr>
        <w:spacing w:after="0"/>
        <w:jc w:val="both"/>
        <w:rPr>
          <w:rFonts w:ascii="ITC Avant Garde" w:hAnsi="ITC Avant Garde" w:cs="Arial"/>
          <w:bCs/>
        </w:rPr>
      </w:pPr>
      <w:r>
        <w:rPr>
          <w:rFonts w:ascii="ITC Avant Garde" w:hAnsi="ITC Avant Garde" w:cs="Arial"/>
          <w:bCs/>
        </w:rPr>
        <w:t xml:space="preserve">Como se señaló </w:t>
      </w:r>
      <w:r w:rsidR="006C4B61">
        <w:rPr>
          <w:rFonts w:ascii="ITC Avant Garde" w:hAnsi="ITC Avant Garde" w:cs="Arial"/>
          <w:bCs/>
        </w:rPr>
        <w:t>anteriormente</w:t>
      </w:r>
      <w:r>
        <w:rPr>
          <w:rFonts w:ascii="ITC Avant Garde" w:hAnsi="ITC Avant Garde" w:cs="Arial"/>
          <w:bCs/>
        </w:rPr>
        <w:t xml:space="preserve">, </w:t>
      </w:r>
      <w:r w:rsidR="00B200B8" w:rsidRPr="006A3202">
        <w:rPr>
          <w:rFonts w:ascii="ITC Avant Garde" w:hAnsi="ITC Avant Garde" w:cs="Arial"/>
          <w:bCs/>
        </w:rPr>
        <w:t xml:space="preserve">el Instituto </w:t>
      </w:r>
      <w:r w:rsidR="006D1312">
        <w:rPr>
          <w:rFonts w:ascii="ITC Avant Garde" w:hAnsi="ITC Avant Garde" w:cs="Arial"/>
          <w:bCs/>
        </w:rPr>
        <w:t>desarrolló</w:t>
      </w:r>
      <w:r w:rsidR="00B200B8" w:rsidRPr="006A3202">
        <w:rPr>
          <w:rFonts w:ascii="ITC Avant Garde" w:hAnsi="ITC Avant Garde" w:cs="Arial"/>
          <w:bCs/>
        </w:rPr>
        <w:t xml:space="preserve"> </w:t>
      </w:r>
      <w:r w:rsidR="00B200B8">
        <w:rPr>
          <w:rFonts w:ascii="ITC Avant Garde" w:hAnsi="ITC Avant Garde" w:cs="Arial"/>
          <w:bCs/>
        </w:rPr>
        <w:t>el Modelo</w:t>
      </w:r>
      <w:r w:rsidR="00B200B8" w:rsidRPr="006A3202">
        <w:rPr>
          <w:rFonts w:ascii="ITC Avant Garde" w:hAnsi="ITC Avant Garde" w:cs="Arial"/>
          <w:bCs/>
        </w:rPr>
        <w:t xml:space="preserve"> de </w:t>
      </w:r>
      <w:r w:rsidR="00B200B8">
        <w:rPr>
          <w:rFonts w:ascii="ITC Avant Garde" w:hAnsi="ITC Avant Garde" w:cs="Arial"/>
          <w:bCs/>
        </w:rPr>
        <w:t>C</w:t>
      </w:r>
      <w:r w:rsidR="00B200B8" w:rsidRPr="006A3202">
        <w:rPr>
          <w:rFonts w:ascii="ITC Avant Garde" w:hAnsi="ITC Avant Garde" w:cs="Arial"/>
          <w:bCs/>
        </w:rPr>
        <w:t xml:space="preserve">ostos </w:t>
      </w:r>
      <w:r w:rsidR="006D1312" w:rsidRPr="006A3202">
        <w:rPr>
          <w:rFonts w:ascii="ITC Avant Garde" w:hAnsi="ITC Avant Garde" w:cs="Arial"/>
          <w:bCs/>
        </w:rPr>
        <w:t>con el fin de contar con una herramienta formal</w:t>
      </w:r>
      <w:r w:rsidR="006D1312" w:rsidRPr="00B200B8">
        <w:rPr>
          <w:rFonts w:ascii="ITC Avant Garde" w:hAnsi="ITC Avant Garde" w:cs="Arial"/>
          <w:bCs/>
        </w:rPr>
        <w:t xml:space="preserve"> </w:t>
      </w:r>
      <w:r w:rsidR="00B200B8" w:rsidRPr="00B200B8">
        <w:rPr>
          <w:rFonts w:ascii="ITC Avant Garde" w:hAnsi="ITC Avant Garde" w:cs="Arial"/>
          <w:bCs/>
        </w:rPr>
        <w:t xml:space="preserve">para determinar las tarifas de </w:t>
      </w:r>
      <w:r w:rsidR="006D1312">
        <w:rPr>
          <w:rFonts w:ascii="ITC Avant Garde" w:hAnsi="ITC Avant Garde" w:cs="Arial"/>
          <w:bCs/>
        </w:rPr>
        <w:t xml:space="preserve">los servicios de </w:t>
      </w:r>
      <w:r w:rsidR="00B200B8" w:rsidRPr="00B200B8">
        <w:rPr>
          <w:rFonts w:ascii="ITC Avant Garde" w:hAnsi="ITC Avant Garde" w:cs="Arial"/>
          <w:bCs/>
        </w:rPr>
        <w:t>desagregación del bucle local de fibra óptica</w:t>
      </w:r>
      <w:r>
        <w:rPr>
          <w:rFonts w:ascii="ITC Avant Garde" w:hAnsi="ITC Avant Garde" w:cs="Arial"/>
          <w:bCs/>
        </w:rPr>
        <w:t>, en cumplimiento con la Medida TRIGÉSIMA NOVENA de las Medidas de Desagregación</w:t>
      </w:r>
      <w:r w:rsidR="00427A3C">
        <w:rPr>
          <w:rFonts w:ascii="ITC Avant Garde" w:hAnsi="ITC Avant Garde" w:cs="Arial"/>
          <w:bCs/>
        </w:rPr>
        <w:t>.</w:t>
      </w:r>
      <w:r w:rsidR="006D1312">
        <w:rPr>
          <w:rFonts w:ascii="ITC Avant Garde" w:hAnsi="ITC Avant Garde" w:cs="Arial"/>
          <w:bCs/>
        </w:rPr>
        <w:t xml:space="preserve"> A su vez </w:t>
      </w:r>
      <w:r w:rsidR="00B200B8" w:rsidRPr="00E762D1">
        <w:rPr>
          <w:rFonts w:ascii="ITC Avant Garde" w:hAnsi="ITC Avant Garde" w:cs="Arial"/>
          <w:bCs/>
        </w:rPr>
        <w:t xml:space="preserve">este Instituto considera de la mayor relevancia someter a un proceso de consulta pública </w:t>
      </w:r>
      <w:r w:rsidR="00B200B8">
        <w:rPr>
          <w:rFonts w:ascii="ITC Avant Garde" w:hAnsi="ITC Avant Garde" w:cs="Arial"/>
          <w:bCs/>
        </w:rPr>
        <w:t>dicho Modelo</w:t>
      </w:r>
      <w:r w:rsidR="00B200B8" w:rsidRPr="00E762D1">
        <w:rPr>
          <w:rFonts w:ascii="ITC Avant Garde" w:hAnsi="ITC Avant Garde" w:cs="Arial"/>
          <w:bCs/>
        </w:rPr>
        <w:t xml:space="preserve"> de Costos, con la finalidad de fortalecer la transparencia de las resoluciones que, en cada caso concreto emita para la determinación de las tarifas por la prestación de los servicios antes referidos. Dicha consulta pública tiene por objeto recabar comentarios de la industria los </w:t>
      </w:r>
      <w:r w:rsidR="00B200B8">
        <w:rPr>
          <w:rFonts w:ascii="ITC Avant Garde" w:hAnsi="ITC Avant Garde" w:cs="Arial"/>
          <w:bCs/>
        </w:rPr>
        <w:t>c</w:t>
      </w:r>
      <w:r w:rsidR="00B200B8" w:rsidRPr="00E762D1">
        <w:rPr>
          <w:rFonts w:ascii="ITC Avant Garde" w:hAnsi="ITC Avant Garde" w:cs="Arial"/>
          <w:bCs/>
        </w:rPr>
        <w:t xml:space="preserve">oncesionarios, permisionarios y autorizados, </w:t>
      </w:r>
      <w:r>
        <w:rPr>
          <w:rFonts w:ascii="ITC Avant Garde" w:hAnsi="ITC Avant Garde" w:cs="Arial"/>
          <w:bCs/>
        </w:rPr>
        <w:t xml:space="preserve">así como </w:t>
      </w:r>
      <w:r w:rsidR="00B200B8" w:rsidRPr="00E762D1">
        <w:rPr>
          <w:rFonts w:ascii="ITC Avant Garde" w:hAnsi="ITC Avant Garde" w:cs="Arial"/>
          <w:bCs/>
        </w:rPr>
        <w:t xml:space="preserve">de especialistas en la materia y del público en general, para ser analizados y, de resultar procedente, fortalecer </w:t>
      </w:r>
      <w:r w:rsidR="006D1312">
        <w:rPr>
          <w:rFonts w:ascii="ITC Avant Garde" w:hAnsi="ITC Avant Garde" w:cs="Arial"/>
          <w:bCs/>
        </w:rPr>
        <w:t>el Modelo de Costos en cuestión</w:t>
      </w:r>
      <w:r w:rsidR="00B200B8" w:rsidRPr="00E762D1">
        <w:rPr>
          <w:rFonts w:ascii="ITC Avant Garde" w:hAnsi="ITC Avant Garde" w:cs="Arial"/>
          <w:bCs/>
        </w:rPr>
        <w:t>.</w:t>
      </w:r>
    </w:p>
    <w:p w14:paraId="32D74E5A" w14:textId="77777777" w:rsidR="00B200B8" w:rsidRDefault="00B200B8" w:rsidP="00B200B8">
      <w:pPr>
        <w:spacing w:after="0"/>
        <w:jc w:val="both"/>
        <w:rPr>
          <w:rFonts w:ascii="ITC Avant Garde" w:hAnsi="ITC Avant Garde" w:cs="Arial"/>
          <w:bCs/>
        </w:rPr>
      </w:pPr>
    </w:p>
    <w:p w14:paraId="32D74E5C" w14:textId="7A3DA30B" w:rsidR="00B200B8" w:rsidRDefault="00B200B8" w:rsidP="00055D99">
      <w:pPr>
        <w:spacing w:after="0"/>
        <w:jc w:val="both"/>
        <w:rPr>
          <w:rFonts w:ascii="ITC Avant Garde" w:hAnsi="ITC Avant Garde" w:cs="Arial"/>
          <w:bCs/>
        </w:rPr>
      </w:pPr>
      <w:r w:rsidRPr="00E762D1">
        <w:rPr>
          <w:rFonts w:ascii="ITC Avant Garde" w:hAnsi="ITC Avant Garde" w:cs="Arial"/>
          <w:bCs/>
        </w:rPr>
        <w:t xml:space="preserve">Es decir, no obstante que el Modelo de Costos es como tal una herramienta </w:t>
      </w:r>
      <w:r w:rsidR="00427A3C">
        <w:rPr>
          <w:rFonts w:ascii="ITC Avant Garde" w:hAnsi="ITC Avant Garde" w:cs="Arial"/>
          <w:bCs/>
        </w:rPr>
        <w:t xml:space="preserve">con que cuenta </w:t>
      </w:r>
      <w:r w:rsidRPr="00E762D1">
        <w:rPr>
          <w:rFonts w:ascii="ITC Avant Garde" w:hAnsi="ITC Avant Garde" w:cs="Arial"/>
          <w:bCs/>
        </w:rPr>
        <w:t>la autoridad</w:t>
      </w:r>
      <w:r w:rsidR="00427A3C">
        <w:rPr>
          <w:rFonts w:ascii="ITC Avant Garde" w:hAnsi="ITC Avant Garde" w:cs="Arial"/>
          <w:bCs/>
        </w:rPr>
        <w:t>,</w:t>
      </w:r>
      <w:r w:rsidRPr="00E762D1">
        <w:rPr>
          <w:rFonts w:ascii="ITC Avant Garde" w:hAnsi="ITC Avant Garde" w:cs="Arial"/>
          <w:bCs/>
        </w:rPr>
        <w:t xml:space="preserve"> se estima de la mayor relevancia que, previo a su emisión y en su momento aplicación a un determinado caso en concreto, </w:t>
      </w:r>
      <w:r w:rsidR="0048230A">
        <w:rPr>
          <w:rFonts w:ascii="ITC Avant Garde" w:hAnsi="ITC Avant Garde" w:cs="Arial"/>
          <w:bCs/>
        </w:rPr>
        <w:t>por así ser determinado por el Pleno del Instituto</w:t>
      </w:r>
      <w:r w:rsidR="0061633F">
        <w:rPr>
          <w:rFonts w:ascii="ITC Avant Garde" w:hAnsi="ITC Avant Garde" w:cs="Arial"/>
          <w:bCs/>
        </w:rPr>
        <w:t>,</w:t>
      </w:r>
      <w:r w:rsidR="0048230A">
        <w:rPr>
          <w:rFonts w:ascii="ITC Avant Garde" w:hAnsi="ITC Avant Garde" w:cs="Arial"/>
          <w:bCs/>
        </w:rPr>
        <w:t xml:space="preserve"> tener </w:t>
      </w:r>
      <w:r w:rsidRPr="00E762D1">
        <w:rPr>
          <w:rFonts w:ascii="ITC Avant Garde" w:hAnsi="ITC Avant Garde" w:cs="Arial"/>
          <w:bCs/>
        </w:rPr>
        <w:t xml:space="preserve">conocimiento de las inquietudes </w:t>
      </w:r>
      <w:r>
        <w:rPr>
          <w:rFonts w:ascii="ITC Avant Garde" w:hAnsi="ITC Avant Garde" w:cs="Arial"/>
          <w:bCs/>
        </w:rPr>
        <w:t xml:space="preserve">de </w:t>
      </w:r>
      <w:r w:rsidRPr="00E762D1">
        <w:rPr>
          <w:rFonts w:ascii="ITC Avant Garde" w:hAnsi="ITC Avant Garde" w:cs="Arial"/>
          <w:bCs/>
        </w:rPr>
        <w:t xml:space="preserve">los regulados a efecto de que de forma simplemente informativa se pueda allegar de comentarios o sugerencias que permitan fortalecer </w:t>
      </w:r>
      <w:r w:rsidR="00427A3C">
        <w:rPr>
          <w:rFonts w:ascii="ITC Avant Garde" w:hAnsi="ITC Avant Garde" w:cs="Arial"/>
          <w:bCs/>
        </w:rPr>
        <w:t>dicha</w:t>
      </w:r>
      <w:r w:rsidRPr="00E762D1">
        <w:rPr>
          <w:rFonts w:ascii="ITC Avant Garde" w:hAnsi="ITC Avant Garde" w:cs="Arial"/>
          <w:bCs/>
        </w:rPr>
        <w:t xml:space="preserve"> herramienta para lograr </w:t>
      </w:r>
      <w:r w:rsidR="00427A3C">
        <w:rPr>
          <w:rFonts w:ascii="ITC Avant Garde" w:hAnsi="ITC Avant Garde" w:cs="Arial"/>
          <w:bCs/>
        </w:rPr>
        <w:t xml:space="preserve">los objetivos plasmados en </w:t>
      </w:r>
      <w:r w:rsidRPr="00E762D1">
        <w:rPr>
          <w:rFonts w:ascii="ITC Avant Garde" w:hAnsi="ITC Avant Garde" w:cs="Arial"/>
          <w:bCs/>
        </w:rPr>
        <w:t>la Ley.</w:t>
      </w:r>
    </w:p>
    <w:p w14:paraId="29A4E3B8" w14:textId="77777777" w:rsidR="00427A3C" w:rsidRDefault="00427A3C" w:rsidP="00055D99">
      <w:pPr>
        <w:spacing w:after="0"/>
        <w:jc w:val="both"/>
        <w:rPr>
          <w:rFonts w:ascii="ITC Avant Garde" w:hAnsi="ITC Avant Garde" w:cs="Arial"/>
          <w:b/>
          <w:bCs/>
        </w:rPr>
      </w:pPr>
    </w:p>
    <w:p w14:paraId="32D74E5D" w14:textId="24FEE57B" w:rsidR="006D1312" w:rsidRPr="007C69A8" w:rsidRDefault="00AB7EEE" w:rsidP="006D1312">
      <w:pPr>
        <w:spacing w:after="0"/>
        <w:jc w:val="both"/>
        <w:rPr>
          <w:rFonts w:ascii="ITC Avant Garde" w:hAnsi="ITC Avant Garde" w:cs="Arial"/>
          <w:bCs/>
        </w:rPr>
      </w:pPr>
      <w:r w:rsidRPr="002549BE">
        <w:rPr>
          <w:rFonts w:ascii="ITC Avant Garde" w:hAnsi="ITC Avant Garde" w:cs="Arial"/>
          <w:b/>
          <w:bCs/>
        </w:rPr>
        <w:t>TERCERO</w:t>
      </w:r>
      <w:r w:rsidR="007048F7" w:rsidRPr="002549BE">
        <w:rPr>
          <w:rFonts w:ascii="ITC Avant Garde" w:hAnsi="ITC Avant Garde" w:cs="Arial"/>
          <w:bCs/>
        </w:rPr>
        <w:t xml:space="preserve">.- </w:t>
      </w:r>
      <w:r w:rsidR="00BB77B0" w:rsidRPr="00BB77B0">
        <w:rPr>
          <w:rFonts w:ascii="ITC Avant Garde" w:hAnsi="ITC Avant Garde" w:cs="Arial"/>
          <w:b/>
          <w:bCs/>
        </w:rPr>
        <w:t xml:space="preserve">Consulta Pública </w:t>
      </w:r>
      <w:r w:rsidR="006D1312">
        <w:rPr>
          <w:rFonts w:ascii="ITC Avant Garde" w:hAnsi="ITC Avant Garde" w:cs="Arial"/>
          <w:b/>
          <w:bCs/>
        </w:rPr>
        <w:t>del Modelo de Costos</w:t>
      </w:r>
      <w:r w:rsidR="00BB77B0" w:rsidRPr="00BB77B0">
        <w:rPr>
          <w:rFonts w:ascii="ITC Avant Garde" w:hAnsi="ITC Avant Garde" w:cs="Arial"/>
          <w:b/>
          <w:bCs/>
        </w:rPr>
        <w:t xml:space="preserve">.- </w:t>
      </w:r>
      <w:r w:rsidR="006D1312" w:rsidRPr="007C69A8">
        <w:rPr>
          <w:rFonts w:ascii="ITC Avant Garde" w:eastAsia="Times New Roman" w:hAnsi="ITC Avant Garde"/>
          <w:szCs w:val="20"/>
        </w:rPr>
        <w:t xml:space="preserve">La </w:t>
      </w:r>
      <w:r w:rsidR="006D1312" w:rsidRPr="007C69A8">
        <w:rPr>
          <w:rFonts w:ascii="ITC Avant Garde" w:hAnsi="ITC Avant Garde" w:cs="Arial"/>
          <w:bCs/>
        </w:rPr>
        <w:t xml:space="preserve">consulta pública tiene por objeto cumplir con los principios de transparencia y participación ciudadana por parte del Instituto, con la finalidad de recabar comentarios de la industria, de especialistas en la materia y del público en general, </w:t>
      </w:r>
      <w:r w:rsidR="00987268">
        <w:rPr>
          <w:rFonts w:ascii="ITC Avant Garde" w:hAnsi="ITC Avant Garde" w:cs="Arial"/>
          <w:bCs/>
        </w:rPr>
        <w:t xml:space="preserve">que </w:t>
      </w:r>
      <w:r w:rsidR="006D1312" w:rsidRPr="007C69A8">
        <w:rPr>
          <w:rFonts w:ascii="ITC Avant Garde" w:hAnsi="ITC Avant Garde" w:cs="Arial"/>
          <w:bCs/>
        </w:rPr>
        <w:t xml:space="preserve">serán </w:t>
      </w:r>
      <w:r w:rsidR="00987268" w:rsidRPr="007C69A8">
        <w:rPr>
          <w:rFonts w:ascii="ITC Avant Garde" w:hAnsi="ITC Avant Garde" w:cs="Arial"/>
          <w:bCs/>
        </w:rPr>
        <w:t>analizados</w:t>
      </w:r>
      <w:r w:rsidR="00987268">
        <w:rPr>
          <w:rFonts w:ascii="ITC Avant Garde" w:hAnsi="ITC Avant Garde" w:cs="Arial"/>
          <w:bCs/>
        </w:rPr>
        <w:t xml:space="preserve"> y,</w:t>
      </w:r>
      <w:r w:rsidR="006D1312" w:rsidRPr="007C69A8">
        <w:rPr>
          <w:rFonts w:ascii="ITC Avant Garde" w:hAnsi="ITC Avant Garde" w:cs="Arial"/>
          <w:bCs/>
        </w:rPr>
        <w:t xml:space="preserve"> de resultar procedente</w:t>
      </w:r>
      <w:r w:rsidR="00987268">
        <w:rPr>
          <w:rFonts w:ascii="ITC Avant Garde" w:hAnsi="ITC Avant Garde" w:cs="Arial"/>
          <w:bCs/>
        </w:rPr>
        <w:t>s</w:t>
      </w:r>
      <w:r w:rsidR="006D1312" w:rsidRPr="007C69A8">
        <w:rPr>
          <w:rFonts w:ascii="ITC Avant Garde" w:hAnsi="ITC Avant Garde" w:cs="Arial"/>
          <w:bCs/>
        </w:rPr>
        <w:t>, fortalecer</w:t>
      </w:r>
      <w:r w:rsidR="00987268">
        <w:rPr>
          <w:rFonts w:ascii="ITC Avant Garde" w:hAnsi="ITC Avant Garde" w:cs="Arial"/>
          <w:bCs/>
        </w:rPr>
        <w:t>án</w:t>
      </w:r>
      <w:r w:rsidR="006D1312" w:rsidRPr="007C69A8">
        <w:rPr>
          <w:rFonts w:ascii="ITC Avant Garde" w:hAnsi="ITC Avant Garde" w:cs="Arial"/>
          <w:bCs/>
        </w:rPr>
        <w:t xml:space="preserve"> </w:t>
      </w:r>
      <w:r w:rsidR="00987268">
        <w:rPr>
          <w:rFonts w:ascii="ITC Avant Garde" w:hAnsi="ITC Avant Garde" w:cs="Arial"/>
          <w:bCs/>
        </w:rPr>
        <w:t xml:space="preserve">el </w:t>
      </w:r>
      <w:r w:rsidR="006D1312" w:rsidRPr="007C69A8">
        <w:rPr>
          <w:rFonts w:ascii="ITC Avant Garde" w:hAnsi="ITC Avant Garde" w:cs="Arial"/>
          <w:bCs/>
        </w:rPr>
        <w:t xml:space="preserve">Modelo de Costos. </w:t>
      </w:r>
    </w:p>
    <w:p w14:paraId="32D74E5E" w14:textId="77777777" w:rsidR="006D1312" w:rsidRPr="007C69A8" w:rsidRDefault="006D1312" w:rsidP="006D1312">
      <w:pPr>
        <w:spacing w:after="0"/>
        <w:jc w:val="both"/>
        <w:rPr>
          <w:rFonts w:ascii="ITC Avant Garde" w:hAnsi="ITC Avant Garde" w:cs="Arial"/>
          <w:bCs/>
        </w:rPr>
      </w:pPr>
    </w:p>
    <w:p w14:paraId="32D74E5F" w14:textId="61B6545B" w:rsidR="006D1312" w:rsidRDefault="006D1312" w:rsidP="006D1312">
      <w:pPr>
        <w:spacing w:after="0"/>
        <w:jc w:val="both"/>
        <w:rPr>
          <w:rFonts w:ascii="ITC Avant Garde" w:hAnsi="ITC Avant Garde" w:cs="Arial"/>
          <w:bCs/>
        </w:rPr>
      </w:pPr>
      <w:r w:rsidRPr="007C69A8">
        <w:rPr>
          <w:rFonts w:ascii="ITC Avant Garde" w:hAnsi="ITC Avant Garde" w:cs="Arial"/>
          <w:bCs/>
        </w:rPr>
        <w:t xml:space="preserve">Las consultas públicas sobre </w:t>
      </w:r>
      <w:r>
        <w:rPr>
          <w:rFonts w:ascii="ITC Avant Garde" w:hAnsi="ITC Avant Garde" w:cs="Arial"/>
          <w:bCs/>
        </w:rPr>
        <w:t>M</w:t>
      </w:r>
      <w:r w:rsidRPr="007C69A8">
        <w:rPr>
          <w:rFonts w:ascii="ITC Avant Garde" w:hAnsi="ITC Avant Garde" w:cs="Arial"/>
          <w:bCs/>
        </w:rPr>
        <w:t xml:space="preserve">odelos de </w:t>
      </w:r>
      <w:r>
        <w:rPr>
          <w:rFonts w:ascii="ITC Avant Garde" w:hAnsi="ITC Avant Garde" w:cs="Arial"/>
          <w:bCs/>
        </w:rPr>
        <w:t>C</w:t>
      </w:r>
      <w:r w:rsidRPr="007C69A8">
        <w:rPr>
          <w:rFonts w:ascii="ITC Avant Garde" w:hAnsi="ITC Avant Garde" w:cs="Arial"/>
          <w:bCs/>
        </w:rPr>
        <w:t xml:space="preserve">ostos relativos a </w:t>
      </w:r>
      <w:r>
        <w:rPr>
          <w:rFonts w:ascii="ITC Avant Garde" w:hAnsi="ITC Avant Garde" w:cs="Arial"/>
          <w:bCs/>
        </w:rPr>
        <w:t xml:space="preserve">tarifas de </w:t>
      </w:r>
      <w:r w:rsidRPr="007C69A8">
        <w:rPr>
          <w:rFonts w:ascii="ITC Avant Garde" w:hAnsi="ITC Avant Garde" w:cs="Arial"/>
          <w:bCs/>
        </w:rPr>
        <w:t xml:space="preserve">ofertas de referencia, son instrumentos que han implementado autoridades regulatorias de diversos países, con la finalidad de brindar transparencia, recibir retroalimentación de la </w:t>
      </w:r>
      <w:r w:rsidRPr="007C69A8">
        <w:rPr>
          <w:rFonts w:ascii="ITC Avant Garde" w:hAnsi="ITC Avant Garde" w:cs="Arial"/>
          <w:bCs/>
        </w:rPr>
        <w:lastRenderedPageBreak/>
        <w:t>industria y de los agentes económicos interesados, así como perfeccionar su diseño y operación.</w:t>
      </w:r>
    </w:p>
    <w:p w14:paraId="32D74E60" w14:textId="77777777" w:rsidR="006D1312" w:rsidRPr="007C69A8" w:rsidRDefault="006D1312" w:rsidP="006D1312">
      <w:pPr>
        <w:spacing w:after="0"/>
        <w:jc w:val="both"/>
        <w:rPr>
          <w:rFonts w:ascii="ITC Avant Garde" w:hAnsi="ITC Avant Garde" w:cs="Arial"/>
          <w:bCs/>
        </w:rPr>
      </w:pPr>
    </w:p>
    <w:p w14:paraId="32D74E61" w14:textId="77777777" w:rsidR="006D1312" w:rsidRPr="007C69A8" w:rsidRDefault="006D1312" w:rsidP="006D1312">
      <w:pPr>
        <w:spacing w:after="0"/>
        <w:jc w:val="both"/>
        <w:rPr>
          <w:rFonts w:ascii="ITC Avant Garde" w:hAnsi="ITC Avant Garde" w:cs="Arial"/>
          <w:bCs/>
        </w:rPr>
      </w:pPr>
      <w:r w:rsidRPr="007C69A8">
        <w:rPr>
          <w:rFonts w:ascii="ITC Avant Garde" w:hAnsi="ITC Avant Garde" w:cs="Arial"/>
          <w:bCs/>
        </w:rPr>
        <w:t>Una consulta pública implica la publicación de los principios, supuestos, variables y parámetros que forman</w:t>
      </w:r>
      <w:r>
        <w:rPr>
          <w:rFonts w:ascii="ITC Avant Garde" w:hAnsi="ITC Avant Garde" w:cs="Arial"/>
          <w:bCs/>
        </w:rPr>
        <w:t xml:space="preserve"> parte de los Modelos de Costos. </w:t>
      </w:r>
      <w:r w:rsidRPr="007C69A8">
        <w:rPr>
          <w:rFonts w:ascii="ITC Avant Garde" w:hAnsi="ITC Avant Garde" w:cs="Arial"/>
          <w:bCs/>
        </w:rPr>
        <w:t xml:space="preserve">Cambios en cada uno de estos elementos tienen, a su vez, un impacto en el resultado, por lo que es indispensable recibir observaciones, comentarios e inquietudes que los concesionarios o interesados tengan de manera previa a su aplicación por parte de la autoridad regulatoria. </w:t>
      </w:r>
    </w:p>
    <w:p w14:paraId="32D74E62" w14:textId="77777777" w:rsidR="006D1312" w:rsidRPr="007C69A8" w:rsidRDefault="006D1312" w:rsidP="006D1312">
      <w:pPr>
        <w:spacing w:after="0"/>
        <w:jc w:val="both"/>
        <w:rPr>
          <w:rFonts w:ascii="ITC Avant Garde" w:hAnsi="ITC Avant Garde" w:cs="Arial"/>
          <w:bCs/>
        </w:rPr>
      </w:pPr>
    </w:p>
    <w:p w14:paraId="32D74E63" w14:textId="2D7B3C77" w:rsidR="006D1312" w:rsidRPr="00104A8D" w:rsidRDefault="006D1312" w:rsidP="006D1312">
      <w:pPr>
        <w:spacing w:after="0"/>
        <w:jc w:val="both"/>
        <w:rPr>
          <w:rFonts w:ascii="ITC Avant Garde" w:hAnsi="ITC Avant Garde" w:cs="Arial"/>
          <w:bCs/>
        </w:rPr>
      </w:pPr>
      <w:r w:rsidRPr="007C69A8">
        <w:rPr>
          <w:rFonts w:ascii="ITC Avant Garde" w:hAnsi="ITC Avant Garde" w:cs="Arial"/>
          <w:bCs/>
        </w:rPr>
        <w:t xml:space="preserve">Las autoridades regulatorias pudieran no disponer de información </w:t>
      </w:r>
      <w:r w:rsidR="00987268">
        <w:rPr>
          <w:rFonts w:ascii="ITC Avant Garde" w:hAnsi="ITC Avant Garde" w:cs="Arial"/>
          <w:bCs/>
        </w:rPr>
        <w:t xml:space="preserve">precisa </w:t>
      </w:r>
      <w:r w:rsidRPr="007C69A8">
        <w:rPr>
          <w:rFonts w:ascii="ITC Avant Garde" w:hAnsi="ITC Avant Garde" w:cs="Arial"/>
          <w:bCs/>
        </w:rPr>
        <w:t xml:space="preserve">y completa </w:t>
      </w:r>
      <w:r w:rsidR="00987268">
        <w:rPr>
          <w:rFonts w:ascii="ITC Avant Garde" w:hAnsi="ITC Avant Garde" w:cs="Arial"/>
          <w:bCs/>
        </w:rPr>
        <w:t xml:space="preserve">para el diseño de </w:t>
      </w:r>
      <w:r>
        <w:rPr>
          <w:rFonts w:ascii="ITC Avant Garde" w:hAnsi="ITC Avant Garde" w:cs="Arial"/>
          <w:bCs/>
        </w:rPr>
        <w:t>M</w:t>
      </w:r>
      <w:r w:rsidRPr="007C69A8">
        <w:rPr>
          <w:rFonts w:ascii="ITC Avant Garde" w:hAnsi="ITC Avant Garde" w:cs="Arial"/>
          <w:bCs/>
        </w:rPr>
        <w:t xml:space="preserve">odelos de </w:t>
      </w:r>
      <w:r>
        <w:rPr>
          <w:rFonts w:ascii="ITC Avant Garde" w:hAnsi="ITC Avant Garde" w:cs="Arial"/>
          <w:bCs/>
        </w:rPr>
        <w:t>C</w:t>
      </w:r>
      <w:r w:rsidRPr="007C69A8">
        <w:rPr>
          <w:rFonts w:ascii="ITC Avant Garde" w:hAnsi="ITC Avant Garde" w:cs="Arial"/>
          <w:bCs/>
        </w:rPr>
        <w:t xml:space="preserve">ostos, por lo que la consulta pública se convierte en una herramienta necesaria </w:t>
      </w:r>
      <w:r w:rsidR="00987268">
        <w:rPr>
          <w:rFonts w:ascii="ITC Avant Garde" w:hAnsi="ITC Avant Garde" w:cs="Arial"/>
          <w:bCs/>
        </w:rPr>
        <w:t xml:space="preserve">para </w:t>
      </w:r>
      <w:r w:rsidRPr="007C69A8">
        <w:rPr>
          <w:rFonts w:ascii="ITC Avant Garde" w:hAnsi="ITC Avant Garde" w:cs="Arial"/>
          <w:bCs/>
        </w:rPr>
        <w:t>reducir significativamente el margen de error, y asegura</w:t>
      </w:r>
      <w:r w:rsidR="00427A3C">
        <w:rPr>
          <w:rFonts w:ascii="ITC Avant Garde" w:hAnsi="ITC Avant Garde" w:cs="Arial"/>
          <w:bCs/>
        </w:rPr>
        <w:t>r</w:t>
      </w:r>
      <w:r w:rsidRPr="007C69A8">
        <w:rPr>
          <w:rFonts w:ascii="ITC Avant Garde" w:hAnsi="ITC Avant Garde" w:cs="Arial"/>
          <w:bCs/>
        </w:rPr>
        <w:t xml:space="preserve"> que los supuestos reflejen la realidad del sector o del mercado de una manera más acertada</w:t>
      </w:r>
      <w:r w:rsidR="00987268">
        <w:rPr>
          <w:rFonts w:ascii="ITC Avant Garde" w:hAnsi="ITC Avant Garde" w:cs="Arial"/>
          <w:bCs/>
        </w:rPr>
        <w:t xml:space="preserve"> o razonable</w:t>
      </w:r>
      <w:r w:rsidRPr="007C69A8">
        <w:rPr>
          <w:rFonts w:ascii="ITC Avant Garde" w:hAnsi="ITC Avant Garde" w:cs="Arial"/>
          <w:bCs/>
        </w:rPr>
        <w:t>.</w:t>
      </w:r>
    </w:p>
    <w:p w14:paraId="32D74E64" w14:textId="77777777" w:rsidR="006D1312" w:rsidRDefault="006D1312" w:rsidP="006D1312">
      <w:pPr>
        <w:spacing w:after="0"/>
        <w:jc w:val="both"/>
        <w:rPr>
          <w:rFonts w:ascii="ITC Avant Garde" w:eastAsia="Times New Roman" w:hAnsi="ITC Avant Garde"/>
          <w:szCs w:val="20"/>
        </w:rPr>
      </w:pPr>
    </w:p>
    <w:p w14:paraId="32D74E65" w14:textId="77777777" w:rsidR="006D1312" w:rsidRPr="00591EB7" w:rsidRDefault="006D1312" w:rsidP="006D1312">
      <w:pPr>
        <w:spacing w:after="0"/>
        <w:jc w:val="both"/>
        <w:rPr>
          <w:rFonts w:ascii="ITC Avant Garde" w:eastAsia="Times New Roman" w:hAnsi="ITC Avant Garde"/>
          <w:szCs w:val="20"/>
        </w:rPr>
      </w:pPr>
      <w:r w:rsidRPr="00591EB7">
        <w:rPr>
          <w:rFonts w:ascii="ITC Avant Garde" w:eastAsia="Times New Roman" w:hAnsi="ITC Avant Garde"/>
          <w:szCs w:val="20"/>
        </w:rPr>
        <w:t>En este sentido, la presente Consulta Pública tiene como objeto de análisis todas las cuestiones relacionadas con:</w:t>
      </w:r>
    </w:p>
    <w:p w14:paraId="32D74E66" w14:textId="77777777" w:rsidR="006D1312" w:rsidRPr="000277EE" w:rsidRDefault="006D1312" w:rsidP="006D1312">
      <w:pPr>
        <w:spacing w:after="0"/>
        <w:jc w:val="both"/>
        <w:rPr>
          <w:rFonts w:ascii="ITC Avant Garde" w:eastAsia="Times New Roman" w:hAnsi="ITC Avant Garde"/>
          <w:sz w:val="18"/>
          <w:szCs w:val="20"/>
        </w:rPr>
      </w:pPr>
    </w:p>
    <w:p w14:paraId="32D74E67" w14:textId="780F3547" w:rsidR="006D1312" w:rsidRPr="00591EB7" w:rsidRDefault="006D1312" w:rsidP="006D1312">
      <w:pPr>
        <w:numPr>
          <w:ilvl w:val="0"/>
          <w:numId w:val="14"/>
        </w:numPr>
        <w:spacing w:after="0"/>
        <w:jc w:val="both"/>
        <w:rPr>
          <w:rFonts w:ascii="ITC Avant Garde" w:eastAsia="Times New Roman" w:hAnsi="ITC Avant Garde"/>
          <w:szCs w:val="20"/>
        </w:rPr>
      </w:pPr>
      <w:r w:rsidRPr="00591EB7">
        <w:rPr>
          <w:rFonts w:ascii="ITC Avant Garde" w:eastAsia="Times New Roman" w:hAnsi="ITC Avant Garde"/>
          <w:szCs w:val="20"/>
        </w:rPr>
        <w:t xml:space="preserve">La estructura, arquitectura y algoritmos utilizados en </w:t>
      </w:r>
      <w:r w:rsidR="00987268">
        <w:rPr>
          <w:rFonts w:ascii="ITC Avant Garde" w:eastAsia="Times New Roman" w:hAnsi="ITC Avant Garde"/>
          <w:szCs w:val="20"/>
        </w:rPr>
        <w:t xml:space="preserve">el  </w:t>
      </w:r>
      <w:r w:rsidRPr="00591EB7">
        <w:rPr>
          <w:rFonts w:ascii="ITC Avant Garde" w:eastAsia="Times New Roman" w:hAnsi="ITC Avant Garde"/>
          <w:szCs w:val="20"/>
        </w:rPr>
        <w:t>Modelo de Costos</w:t>
      </w:r>
    </w:p>
    <w:p w14:paraId="32D74E68" w14:textId="0DBA4438" w:rsidR="006D1312" w:rsidRPr="00591EB7" w:rsidRDefault="006D1312" w:rsidP="006D1312">
      <w:pPr>
        <w:numPr>
          <w:ilvl w:val="0"/>
          <w:numId w:val="14"/>
        </w:numPr>
        <w:spacing w:after="0"/>
        <w:jc w:val="both"/>
        <w:rPr>
          <w:rFonts w:ascii="ITC Avant Garde" w:eastAsia="Times New Roman" w:hAnsi="ITC Avant Garde"/>
          <w:szCs w:val="20"/>
        </w:rPr>
      </w:pPr>
      <w:r w:rsidRPr="00591EB7">
        <w:rPr>
          <w:rFonts w:ascii="ITC Avant Garde" w:eastAsia="Times New Roman" w:hAnsi="ITC Avant Garde"/>
          <w:szCs w:val="20"/>
        </w:rPr>
        <w:t>Los parámetros de</w:t>
      </w:r>
      <w:r w:rsidR="00987268">
        <w:rPr>
          <w:rFonts w:ascii="ITC Avant Garde" w:eastAsia="Times New Roman" w:hAnsi="ITC Avant Garde"/>
          <w:szCs w:val="20"/>
        </w:rPr>
        <w:t xml:space="preserve"> </w:t>
      </w:r>
      <w:r w:rsidRPr="00591EB7">
        <w:rPr>
          <w:rFonts w:ascii="ITC Avant Garde" w:eastAsia="Times New Roman" w:hAnsi="ITC Avant Garde"/>
          <w:szCs w:val="20"/>
        </w:rPr>
        <w:t>entrada de</w:t>
      </w:r>
      <w:r w:rsidR="00987268">
        <w:rPr>
          <w:rFonts w:ascii="ITC Avant Garde" w:eastAsia="Times New Roman" w:hAnsi="ITC Avant Garde"/>
          <w:szCs w:val="20"/>
        </w:rPr>
        <w:t>l</w:t>
      </w:r>
      <w:r w:rsidRPr="00591EB7">
        <w:rPr>
          <w:rFonts w:ascii="ITC Avant Garde" w:eastAsia="Times New Roman" w:hAnsi="ITC Avant Garde"/>
          <w:szCs w:val="20"/>
        </w:rPr>
        <w:t xml:space="preserve"> Modelo de Costos.</w:t>
      </w:r>
    </w:p>
    <w:p w14:paraId="32D74E69" w14:textId="77777777" w:rsidR="006D1312" w:rsidRPr="000277EE" w:rsidRDefault="006D1312" w:rsidP="006D1312">
      <w:pPr>
        <w:spacing w:after="0"/>
        <w:jc w:val="both"/>
        <w:rPr>
          <w:rFonts w:ascii="ITC Avant Garde" w:eastAsia="Times New Roman" w:hAnsi="ITC Avant Garde"/>
          <w:sz w:val="18"/>
          <w:szCs w:val="20"/>
        </w:rPr>
      </w:pPr>
    </w:p>
    <w:p w14:paraId="32D74E6A" w14:textId="1C95F33D" w:rsidR="006D1312" w:rsidRPr="00591EB7" w:rsidRDefault="006D1312" w:rsidP="006D1312">
      <w:pPr>
        <w:spacing w:after="0"/>
        <w:jc w:val="both"/>
        <w:rPr>
          <w:rFonts w:ascii="ITC Avant Garde" w:eastAsia="Times New Roman" w:hAnsi="ITC Avant Garde"/>
          <w:szCs w:val="20"/>
        </w:rPr>
      </w:pPr>
      <w:r w:rsidRPr="00591EB7">
        <w:rPr>
          <w:rFonts w:ascii="ITC Avant Garde" w:eastAsia="Times New Roman" w:hAnsi="ITC Avant Garde"/>
          <w:szCs w:val="20"/>
        </w:rPr>
        <w:t xml:space="preserve">Todo lo anterior con el objetivo último de robustecer </w:t>
      </w:r>
      <w:r w:rsidR="00987268">
        <w:rPr>
          <w:rFonts w:ascii="ITC Avant Garde" w:eastAsia="Times New Roman" w:hAnsi="ITC Avant Garde"/>
          <w:szCs w:val="20"/>
        </w:rPr>
        <w:t xml:space="preserve">el </w:t>
      </w:r>
      <w:r w:rsidRPr="00591EB7">
        <w:rPr>
          <w:rFonts w:ascii="ITC Avant Garde" w:eastAsia="Times New Roman" w:hAnsi="ITC Avant Garde"/>
          <w:szCs w:val="20"/>
        </w:rPr>
        <w:t xml:space="preserve">Modelo de Costos y tener un diálogo abierto </w:t>
      </w:r>
      <w:r w:rsidR="00987268">
        <w:rPr>
          <w:rFonts w:ascii="ITC Avant Garde" w:eastAsia="Times New Roman" w:hAnsi="ITC Avant Garde"/>
          <w:szCs w:val="20"/>
        </w:rPr>
        <w:t xml:space="preserve">y de carácter técnico </w:t>
      </w:r>
      <w:r w:rsidRPr="00591EB7">
        <w:rPr>
          <w:rFonts w:ascii="ITC Avant Garde" w:eastAsia="Times New Roman" w:hAnsi="ITC Avant Garde"/>
          <w:szCs w:val="20"/>
        </w:rPr>
        <w:t>entre el Instituto y los regulados.</w:t>
      </w:r>
    </w:p>
    <w:p w14:paraId="32D74E6B" w14:textId="77777777" w:rsidR="006D1312" w:rsidRPr="00591EB7" w:rsidRDefault="006D1312" w:rsidP="006D1312">
      <w:pPr>
        <w:spacing w:after="0"/>
        <w:jc w:val="both"/>
        <w:rPr>
          <w:rFonts w:ascii="ITC Avant Garde" w:eastAsia="Times New Roman" w:hAnsi="ITC Avant Garde"/>
          <w:szCs w:val="20"/>
        </w:rPr>
      </w:pPr>
    </w:p>
    <w:p w14:paraId="32D74E6C" w14:textId="75A9C6B3" w:rsidR="006D1312" w:rsidRPr="007C69A8" w:rsidRDefault="00987268" w:rsidP="006D1312">
      <w:pPr>
        <w:spacing w:after="0"/>
        <w:jc w:val="both"/>
        <w:rPr>
          <w:rFonts w:ascii="ITC Avant Garde" w:eastAsia="Times New Roman" w:hAnsi="ITC Avant Garde"/>
          <w:szCs w:val="20"/>
        </w:rPr>
      </w:pPr>
      <w:r>
        <w:rPr>
          <w:rFonts w:ascii="ITC Avant Garde" w:eastAsia="Times New Roman" w:hAnsi="ITC Avant Garde"/>
          <w:szCs w:val="20"/>
        </w:rPr>
        <w:t xml:space="preserve">El </w:t>
      </w:r>
      <w:r w:rsidR="006D1312" w:rsidRPr="007C69A8">
        <w:rPr>
          <w:rFonts w:ascii="ITC Avant Garde" w:eastAsia="Times New Roman" w:hAnsi="ITC Avant Garde"/>
          <w:szCs w:val="20"/>
        </w:rPr>
        <w:t>Modelo de Costos estará disponible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32D74E6D" w14:textId="77777777" w:rsidR="006D1312" w:rsidRPr="007C69A8" w:rsidRDefault="006D1312" w:rsidP="006D1312">
      <w:pPr>
        <w:spacing w:after="0"/>
        <w:jc w:val="both"/>
        <w:rPr>
          <w:rFonts w:ascii="ITC Avant Garde" w:eastAsia="Times New Roman" w:hAnsi="ITC Avant Garde"/>
          <w:szCs w:val="20"/>
        </w:rPr>
      </w:pPr>
    </w:p>
    <w:p w14:paraId="32D74E6E" w14:textId="51D32ECA" w:rsidR="006D1312" w:rsidRPr="007C69A8" w:rsidRDefault="006D1312" w:rsidP="006D1312">
      <w:pPr>
        <w:spacing w:after="0"/>
        <w:jc w:val="both"/>
        <w:rPr>
          <w:rFonts w:ascii="ITC Avant Garde" w:eastAsia="Times New Roman" w:hAnsi="ITC Avant Garde"/>
          <w:szCs w:val="20"/>
        </w:rPr>
      </w:pPr>
      <w:r w:rsidRPr="007C69A8">
        <w:rPr>
          <w:rFonts w:ascii="ITC Avant Garde" w:eastAsia="Times New Roman" w:hAnsi="ITC Avant Garde"/>
          <w:szCs w:val="20"/>
        </w:rPr>
        <w:t>La información y comentarios vertidos por los participantes durante la Consulta Pública, permitirán realizar la fase de calibración final de</w:t>
      </w:r>
      <w:r w:rsidR="00987268">
        <w:rPr>
          <w:rFonts w:ascii="ITC Avant Garde" w:eastAsia="Times New Roman" w:hAnsi="ITC Avant Garde"/>
          <w:szCs w:val="20"/>
        </w:rPr>
        <w:t>l</w:t>
      </w:r>
      <w:r w:rsidRPr="007C69A8">
        <w:rPr>
          <w:rFonts w:ascii="ITC Avant Garde" w:eastAsia="Times New Roman" w:hAnsi="ITC Avant Garde"/>
          <w:szCs w:val="20"/>
        </w:rPr>
        <w:t xml:space="preserve"> </w:t>
      </w:r>
      <w:r>
        <w:rPr>
          <w:rFonts w:ascii="ITC Avant Garde" w:eastAsia="Times New Roman" w:hAnsi="ITC Avant Garde"/>
          <w:szCs w:val="20"/>
        </w:rPr>
        <w:t>M</w:t>
      </w:r>
      <w:r w:rsidRPr="007C69A8">
        <w:rPr>
          <w:rFonts w:ascii="ITC Avant Garde" w:eastAsia="Times New Roman" w:hAnsi="ITC Avant Garde"/>
          <w:szCs w:val="20"/>
        </w:rPr>
        <w:t>odelo</w:t>
      </w:r>
      <w:r w:rsidR="00987268">
        <w:rPr>
          <w:rFonts w:ascii="ITC Avant Garde" w:eastAsia="Times New Roman" w:hAnsi="ITC Avant Garde"/>
          <w:szCs w:val="20"/>
        </w:rPr>
        <w:t xml:space="preserve"> de</w:t>
      </w:r>
      <w:r w:rsidR="00460163">
        <w:rPr>
          <w:rFonts w:ascii="ITC Avant Garde" w:eastAsia="Times New Roman" w:hAnsi="ITC Avant Garde"/>
          <w:szCs w:val="20"/>
        </w:rPr>
        <w:t xml:space="preserve"> </w:t>
      </w:r>
      <w:r w:rsidR="00987268">
        <w:rPr>
          <w:rFonts w:ascii="ITC Avant Garde" w:eastAsia="Times New Roman" w:hAnsi="ITC Avant Garde"/>
          <w:szCs w:val="20"/>
        </w:rPr>
        <w:t>Costos</w:t>
      </w:r>
      <w:r w:rsidRPr="007C69A8">
        <w:rPr>
          <w:rFonts w:ascii="ITC Avant Garde" w:eastAsia="Times New Roman" w:hAnsi="ITC Avant Garde"/>
          <w:szCs w:val="20"/>
        </w:rPr>
        <w:t>.</w:t>
      </w:r>
    </w:p>
    <w:p w14:paraId="32D74E6F" w14:textId="77777777" w:rsidR="006D1312" w:rsidRPr="007C69A8" w:rsidRDefault="006D1312" w:rsidP="006D1312">
      <w:pPr>
        <w:spacing w:after="0"/>
        <w:jc w:val="both"/>
        <w:rPr>
          <w:rFonts w:ascii="ITC Avant Garde" w:eastAsia="Times New Roman" w:hAnsi="ITC Avant Garde"/>
          <w:szCs w:val="20"/>
        </w:rPr>
      </w:pPr>
    </w:p>
    <w:p w14:paraId="7CF7ACE6" w14:textId="2FB302BF" w:rsidR="0094740C" w:rsidRDefault="00987268" w:rsidP="006D1312">
      <w:pPr>
        <w:spacing w:after="0"/>
        <w:jc w:val="both"/>
        <w:rPr>
          <w:rFonts w:ascii="ITC Avant Garde" w:eastAsia="Times New Roman" w:hAnsi="ITC Avant Garde"/>
          <w:szCs w:val="20"/>
        </w:rPr>
      </w:pPr>
      <w:r>
        <w:rPr>
          <w:rFonts w:ascii="ITC Avant Garde" w:eastAsia="Times New Roman" w:hAnsi="ITC Avant Garde"/>
          <w:szCs w:val="20"/>
        </w:rPr>
        <w:t xml:space="preserve">El </w:t>
      </w:r>
      <w:r w:rsidR="006D1312" w:rsidRPr="007C69A8">
        <w:rPr>
          <w:rFonts w:ascii="ITC Avant Garde" w:eastAsia="Times New Roman" w:hAnsi="ITC Avant Garde"/>
          <w:szCs w:val="20"/>
        </w:rPr>
        <w:t xml:space="preserve">Modelo de Costos muestra resultados de tarifas por la prestación de los servicios </w:t>
      </w:r>
      <w:r>
        <w:rPr>
          <w:rFonts w:ascii="ITC Avant Garde" w:eastAsia="Times New Roman" w:hAnsi="ITC Avant Garde"/>
          <w:szCs w:val="20"/>
        </w:rPr>
        <w:t xml:space="preserve">de </w:t>
      </w:r>
      <w:r w:rsidR="003E266D" w:rsidRPr="007C69A8">
        <w:rPr>
          <w:rFonts w:ascii="ITC Avant Garde" w:eastAsia="Times New Roman" w:hAnsi="ITC Avant Garde"/>
          <w:szCs w:val="20"/>
        </w:rPr>
        <w:t>desagregación</w:t>
      </w:r>
      <w:r w:rsidR="003E266D">
        <w:rPr>
          <w:rFonts w:ascii="ITC Avant Garde" w:eastAsia="Times New Roman" w:hAnsi="ITC Avant Garde"/>
          <w:szCs w:val="20"/>
        </w:rPr>
        <w:t xml:space="preserve"> del bucle local de fibra óptica</w:t>
      </w:r>
      <w:r w:rsidR="006D1312" w:rsidRPr="007C69A8">
        <w:rPr>
          <w:rFonts w:ascii="ITC Avant Garde" w:eastAsia="Times New Roman" w:hAnsi="ITC Avant Garde"/>
          <w:szCs w:val="20"/>
        </w:rPr>
        <w:t>, a partir de la estructura de los parámetros predeterminados por el Instituto, con el fin de que sirvan como referencia a los interesados</w:t>
      </w:r>
      <w:r w:rsidR="006D1312">
        <w:rPr>
          <w:rFonts w:ascii="ITC Avant Garde" w:eastAsia="Times New Roman" w:hAnsi="ITC Avant Garde"/>
          <w:szCs w:val="20"/>
        </w:rPr>
        <w:t xml:space="preserve">, </w:t>
      </w:r>
      <w:r w:rsidR="006D1312" w:rsidRPr="004727D7">
        <w:rPr>
          <w:rFonts w:ascii="ITC Avant Garde" w:eastAsia="Times New Roman" w:hAnsi="ITC Avant Garde"/>
          <w:szCs w:val="20"/>
        </w:rPr>
        <w:t>sin entenderse con ello que se trata de tarifas definitivas</w:t>
      </w:r>
      <w:r w:rsidR="006D1312" w:rsidRPr="007C69A8">
        <w:rPr>
          <w:rFonts w:ascii="ITC Avant Garde" w:eastAsia="Times New Roman" w:hAnsi="ITC Avant Garde"/>
          <w:szCs w:val="20"/>
        </w:rPr>
        <w:t>. Como se mencionó con anterioridad, el objetivo de la Consulta Pública es el análisis de</w:t>
      </w:r>
      <w:r>
        <w:rPr>
          <w:rFonts w:ascii="ITC Avant Garde" w:eastAsia="Times New Roman" w:hAnsi="ITC Avant Garde"/>
          <w:szCs w:val="20"/>
        </w:rPr>
        <w:t>l</w:t>
      </w:r>
      <w:r w:rsidR="006D1312" w:rsidRPr="007C69A8">
        <w:rPr>
          <w:rFonts w:ascii="ITC Avant Garde" w:eastAsia="Times New Roman" w:hAnsi="ITC Avant Garde"/>
          <w:szCs w:val="20"/>
        </w:rPr>
        <w:t xml:space="preserve"> Modelo </w:t>
      </w:r>
      <w:r w:rsidR="006D1312" w:rsidRPr="007C69A8">
        <w:rPr>
          <w:rFonts w:ascii="ITC Avant Garde" w:eastAsia="Times New Roman" w:hAnsi="ITC Avant Garde"/>
          <w:szCs w:val="20"/>
        </w:rPr>
        <w:lastRenderedPageBreak/>
        <w:t xml:space="preserve">de Costos, por lo que </w:t>
      </w:r>
      <w:r w:rsidR="00DC7E36">
        <w:rPr>
          <w:rFonts w:ascii="ITC Avant Garde" w:eastAsia="Times New Roman" w:hAnsi="ITC Avant Garde"/>
          <w:szCs w:val="20"/>
        </w:rPr>
        <w:t xml:space="preserve">sus </w:t>
      </w:r>
      <w:r w:rsidR="006D1312" w:rsidRPr="007C69A8">
        <w:rPr>
          <w:rFonts w:ascii="ITC Avant Garde" w:eastAsia="Times New Roman" w:hAnsi="ITC Avant Garde"/>
          <w:szCs w:val="20"/>
        </w:rPr>
        <w:t xml:space="preserve">resultados podrían modificarse si el Instituto considera procedente realizar algún ajuste a partir de comentarios </w:t>
      </w:r>
      <w:r w:rsidR="00460163">
        <w:rPr>
          <w:rFonts w:ascii="ITC Avant Garde" w:eastAsia="Times New Roman" w:hAnsi="ITC Avant Garde"/>
          <w:szCs w:val="20"/>
        </w:rPr>
        <w:t xml:space="preserve">y/o información </w:t>
      </w:r>
      <w:r w:rsidR="006D1312" w:rsidRPr="007C69A8">
        <w:rPr>
          <w:rFonts w:ascii="ITC Avant Garde" w:eastAsia="Times New Roman" w:hAnsi="ITC Avant Garde"/>
          <w:szCs w:val="20"/>
        </w:rPr>
        <w:t xml:space="preserve">vertidos a través de la </w:t>
      </w:r>
      <w:r w:rsidR="00DC7E36">
        <w:rPr>
          <w:rFonts w:ascii="ITC Avant Garde" w:eastAsia="Times New Roman" w:hAnsi="ITC Avant Garde"/>
          <w:szCs w:val="20"/>
        </w:rPr>
        <w:t>C</w:t>
      </w:r>
      <w:r w:rsidR="006D1312" w:rsidRPr="007C69A8">
        <w:rPr>
          <w:rFonts w:ascii="ITC Avant Garde" w:eastAsia="Times New Roman" w:hAnsi="ITC Avant Garde"/>
          <w:szCs w:val="20"/>
        </w:rPr>
        <w:t xml:space="preserve">onsulta </w:t>
      </w:r>
      <w:r w:rsidR="00DC7E36">
        <w:rPr>
          <w:rFonts w:ascii="ITC Avant Garde" w:eastAsia="Times New Roman" w:hAnsi="ITC Avant Garde"/>
          <w:szCs w:val="20"/>
        </w:rPr>
        <w:t>P</w:t>
      </w:r>
      <w:r w:rsidR="006D1312" w:rsidRPr="007C69A8">
        <w:rPr>
          <w:rFonts w:ascii="ITC Avant Garde" w:eastAsia="Times New Roman" w:hAnsi="ITC Avant Garde"/>
          <w:szCs w:val="20"/>
        </w:rPr>
        <w:t>ública.</w:t>
      </w:r>
    </w:p>
    <w:p w14:paraId="07CED2DB" w14:textId="77777777" w:rsidR="00DC7E36" w:rsidRPr="007C69A8" w:rsidRDefault="00DC7E36" w:rsidP="006D1312">
      <w:pPr>
        <w:spacing w:after="0"/>
        <w:jc w:val="both"/>
        <w:rPr>
          <w:rFonts w:ascii="ITC Avant Garde" w:eastAsia="Times New Roman" w:hAnsi="ITC Avant Garde"/>
          <w:szCs w:val="20"/>
        </w:rPr>
      </w:pPr>
    </w:p>
    <w:p w14:paraId="32D74E71" w14:textId="3089FE0F" w:rsidR="006D1312" w:rsidRPr="007C69A8" w:rsidRDefault="006D1312" w:rsidP="006D1312">
      <w:pPr>
        <w:spacing w:after="0"/>
        <w:jc w:val="both"/>
        <w:rPr>
          <w:rFonts w:ascii="ITC Avant Garde" w:eastAsia="Times New Roman" w:hAnsi="ITC Avant Garde"/>
          <w:bCs/>
          <w:szCs w:val="20"/>
        </w:rPr>
      </w:pPr>
      <w:r w:rsidRPr="007C69A8">
        <w:rPr>
          <w:rFonts w:ascii="ITC Avant Garde" w:eastAsia="Times New Roman" w:hAnsi="ITC Avant Garde"/>
          <w:bCs/>
          <w:szCs w:val="20"/>
        </w:rPr>
        <w:t>Como parte de este procedimiento, se insiste en la necesidad de que el Instituto tenga conocimiento de las opiniones de los integrantes de la industria</w:t>
      </w:r>
      <w:r w:rsidR="00DC7E36">
        <w:rPr>
          <w:rFonts w:ascii="ITC Avant Garde" w:eastAsia="Times New Roman" w:hAnsi="ITC Avant Garde"/>
          <w:bCs/>
          <w:szCs w:val="20"/>
        </w:rPr>
        <w:t xml:space="preserve">, puesto </w:t>
      </w:r>
      <w:r w:rsidRPr="007C69A8">
        <w:rPr>
          <w:rFonts w:ascii="ITC Avant Garde" w:eastAsia="Times New Roman" w:hAnsi="ITC Avant Garde"/>
          <w:bCs/>
          <w:szCs w:val="20"/>
        </w:rPr>
        <w:t>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w:t>
      </w:r>
      <w:r w:rsidR="00346541">
        <w:rPr>
          <w:rFonts w:ascii="ITC Avant Garde" w:eastAsia="Times New Roman" w:hAnsi="ITC Avant Garde"/>
          <w:bCs/>
          <w:szCs w:val="20"/>
        </w:rPr>
        <w:t>n</w:t>
      </w:r>
      <w:r w:rsidR="00427A3C">
        <w:rPr>
          <w:rFonts w:ascii="ITC Avant Garde" w:eastAsia="Times New Roman" w:hAnsi="ITC Avant Garde"/>
          <w:bCs/>
          <w:szCs w:val="20"/>
        </w:rPr>
        <w:t xml:space="preserve"> </w:t>
      </w:r>
      <w:r w:rsidRPr="007C69A8">
        <w:rPr>
          <w:rFonts w:ascii="ITC Avant Garde" w:eastAsia="Times New Roman" w:hAnsi="ITC Avant Garde"/>
          <w:bCs/>
          <w:szCs w:val="20"/>
        </w:rPr>
        <w:t>prestar los servicios evitando que se afecte la competencia y la libre concurrencia.</w:t>
      </w:r>
    </w:p>
    <w:p w14:paraId="32D74E72" w14:textId="77777777" w:rsidR="006D1312" w:rsidRPr="007C69A8" w:rsidRDefault="006D1312" w:rsidP="006D1312">
      <w:pPr>
        <w:spacing w:after="0"/>
        <w:jc w:val="both"/>
        <w:rPr>
          <w:rFonts w:ascii="ITC Avant Garde" w:eastAsia="Times New Roman" w:hAnsi="ITC Avant Garde"/>
          <w:bCs/>
          <w:szCs w:val="20"/>
        </w:rPr>
      </w:pPr>
    </w:p>
    <w:p w14:paraId="32D74E73" w14:textId="77777777" w:rsidR="006D1312" w:rsidRPr="007C69A8" w:rsidRDefault="006D1312" w:rsidP="006D1312">
      <w:pPr>
        <w:spacing w:after="0"/>
        <w:jc w:val="both"/>
        <w:rPr>
          <w:rFonts w:ascii="ITC Avant Garde" w:eastAsia="Times New Roman" w:hAnsi="ITC Avant Garde"/>
          <w:bCs/>
          <w:szCs w:val="20"/>
        </w:rPr>
      </w:pPr>
      <w:r w:rsidRPr="007C69A8">
        <w:rPr>
          <w:rFonts w:ascii="ITC Avant Garde" w:eastAsia="Times New Roman" w:hAnsi="ITC Avant Garde"/>
          <w:szCs w:val="20"/>
        </w:rPr>
        <w:t xml:space="preserve">Es conveniente señalar que </w:t>
      </w:r>
      <w:r w:rsidRPr="007C69A8">
        <w:rPr>
          <w:rFonts w:ascii="ITC Avant Garde" w:eastAsia="Times New Roman" w:hAnsi="ITC Avant Garde"/>
          <w:bCs/>
          <w:szCs w:val="20"/>
        </w:rPr>
        <w:t>el artículo 51 de la Ley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32D74E74" w14:textId="77777777" w:rsidR="006D1312" w:rsidRDefault="006D1312" w:rsidP="006D1312">
      <w:pPr>
        <w:spacing w:after="0"/>
        <w:jc w:val="both"/>
        <w:rPr>
          <w:rFonts w:ascii="ITC Avant Garde" w:eastAsia="Times New Roman" w:hAnsi="ITC Avant Garde"/>
          <w:szCs w:val="20"/>
        </w:rPr>
      </w:pPr>
    </w:p>
    <w:p w14:paraId="7EC4911D" w14:textId="49B4C41B" w:rsidR="00B16E4F" w:rsidRDefault="006D1312" w:rsidP="006D1312">
      <w:pPr>
        <w:spacing w:after="0"/>
        <w:jc w:val="both"/>
        <w:rPr>
          <w:rFonts w:ascii="ITC Avant Garde" w:hAnsi="ITC Avant Garde" w:cs="Arial"/>
          <w:bCs/>
        </w:rPr>
      </w:pPr>
      <w:r>
        <w:rPr>
          <w:rFonts w:ascii="ITC Avant Garde" w:hAnsi="ITC Avant Garde" w:cs="Arial"/>
          <w:bCs/>
        </w:rPr>
        <w:t xml:space="preserve">Conforme a lo </w:t>
      </w:r>
      <w:r w:rsidR="00DB656A">
        <w:rPr>
          <w:rFonts w:ascii="ITC Avant Garde" w:hAnsi="ITC Avant Garde" w:cs="Arial"/>
          <w:bCs/>
        </w:rPr>
        <w:t xml:space="preserve">antes </w:t>
      </w:r>
      <w:r>
        <w:rPr>
          <w:rFonts w:ascii="ITC Avant Garde" w:hAnsi="ITC Avant Garde" w:cs="Arial"/>
          <w:bCs/>
        </w:rPr>
        <w:t>expuesto,</w:t>
      </w:r>
      <w:r w:rsidRPr="00DF157F">
        <w:rPr>
          <w:rFonts w:ascii="ITC Avant Garde" w:hAnsi="ITC Avant Garde" w:cs="Arial"/>
          <w:bCs/>
        </w:rPr>
        <w:t xml:space="preserve"> se considera que </w:t>
      </w:r>
      <w:r>
        <w:rPr>
          <w:rFonts w:ascii="ITC Avant Garde" w:hAnsi="ITC Avant Garde" w:cs="Arial"/>
          <w:bCs/>
        </w:rPr>
        <w:t xml:space="preserve">el Modelo de Costos </w:t>
      </w:r>
      <w:r w:rsidR="00460163">
        <w:rPr>
          <w:rFonts w:ascii="ITC Avant Garde" w:hAnsi="ITC Avant Garde" w:cs="Arial"/>
          <w:bCs/>
        </w:rPr>
        <w:t xml:space="preserve">en cuestión </w:t>
      </w:r>
      <w:r w:rsidRPr="00DF157F">
        <w:rPr>
          <w:rFonts w:ascii="ITC Avant Garde" w:hAnsi="ITC Avant Garde" w:cs="Arial"/>
          <w:bCs/>
        </w:rPr>
        <w:t>debe estar sujet</w:t>
      </w:r>
      <w:r>
        <w:rPr>
          <w:rFonts w:ascii="ITC Avant Garde" w:hAnsi="ITC Avant Garde" w:cs="Arial"/>
          <w:bCs/>
        </w:rPr>
        <w:t>o</w:t>
      </w:r>
      <w:r w:rsidRPr="00DF157F">
        <w:rPr>
          <w:rFonts w:ascii="ITC Avant Garde" w:hAnsi="ITC Avant Garde" w:cs="Arial"/>
          <w:bCs/>
        </w:rPr>
        <w:t xml:space="preserve"> a un proceso de consulta pública para favorecer la transparencia y participación ciudadana con el fin de recibir los comentarios y opiniones de la industria, académicos, analistas y sociedad en general</w:t>
      </w:r>
      <w:r w:rsidR="00DC7E36">
        <w:rPr>
          <w:rFonts w:ascii="ITC Avant Garde" w:hAnsi="ITC Avant Garde" w:cs="Arial"/>
          <w:bCs/>
        </w:rPr>
        <w:t>, a fin de</w:t>
      </w:r>
      <w:r w:rsidRPr="00DF157F">
        <w:rPr>
          <w:rFonts w:ascii="ITC Avant Garde" w:hAnsi="ITC Avant Garde" w:cs="Arial"/>
          <w:bCs/>
        </w:rPr>
        <w:t xml:space="preserve"> llevar a cabo la</w:t>
      </w:r>
      <w:r>
        <w:rPr>
          <w:rFonts w:ascii="ITC Avant Garde" w:hAnsi="ITC Avant Garde" w:cs="Arial"/>
          <w:bCs/>
        </w:rPr>
        <w:t xml:space="preserve"> </w:t>
      </w:r>
      <w:r w:rsidRPr="00E745D3">
        <w:rPr>
          <w:rFonts w:ascii="ITC Avant Garde" w:hAnsi="ITC Avant Garde" w:cs="Arial"/>
          <w:bCs/>
        </w:rPr>
        <w:t xml:space="preserve">prestación </w:t>
      </w:r>
      <w:r>
        <w:rPr>
          <w:rFonts w:ascii="ITC Avant Garde" w:hAnsi="ITC Avant Garde" w:cs="Arial"/>
          <w:bCs/>
        </w:rPr>
        <w:t>de servicios de desagregación</w:t>
      </w:r>
      <w:r w:rsidRPr="00E745D3">
        <w:rPr>
          <w:rFonts w:ascii="ITC Avant Garde" w:hAnsi="ITC Avant Garde" w:cs="Arial"/>
          <w:bCs/>
        </w:rPr>
        <w:t>.</w:t>
      </w:r>
    </w:p>
    <w:p w14:paraId="36D416CD" w14:textId="77777777" w:rsidR="00346541" w:rsidRDefault="00346541" w:rsidP="006D1312">
      <w:pPr>
        <w:spacing w:after="0"/>
        <w:jc w:val="both"/>
        <w:rPr>
          <w:rFonts w:ascii="ITC Avant Garde" w:hAnsi="ITC Avant Garde" w:cs="Arial"/>
          <w:bCs/>
        </w:rPr>
      </w:pPr>
    </w:p>
    <w:p w14:paraId="5BEB7E55" w14:textId="0AD98424" w:rsidR="00B16E4F" w:rsidRPr="00DF157F" w:rsidRDefault="00DB656A" w:rsidP="006D1312">
      <w:pPr>
        <w:spacing w:after="0"/>
        <w:jc w:val="both"/>
        <w:rPr>
          <w:rFonts w:ascii="ITC Avant Garde" w:hAnsi="ITC Avant Garde" w:cs="Arial"/>
          <w:bCs/>
        </w:rPr>
      </w:pPr>
      <w:r>
        <w:rPr>
          <w:rFonts w:ascii="ITC Avant Garde" w:hAnsi="ITC Avant Garde" w:cs="Arial"/>
          <w:bCs/>
        </w:rPr>
        <w:t xml:space="preserve">De conformidad con </w:t>
      </w:r>
      <w:r w:rsidR="00B16E4F">
        <w:rPr>
          <w:rFonts w:ascii="ITC Avant Garde" w:hAnsi="ITC Avant Garde" w:cs="Arial"/>
          <w:bCs/>
        </w:rPr>
        <w:t>la Medida QUINTA de las Medidas de Desagregación</w:t>
      </w:r>
      <w:r w:rsidR="00581586">
        <w:rPr>
          <w:rFonts w:ascii="ITC Avant Garde" w:hAnsi="ITC Avant Garde" w:cs="Arial"/>
          <w:bCs/>
        </w:rPr>
        <w:t xml:space="preserve">, la cual dispone </w:t>
      </w:r>
      <w:r w:rsidR="00B16E4F">
        <w:rPr>
          <w:rFonts w:ascii="ITC Avant Garde" w:hAnsi="ITC Avant Garde" w:cs="Arial"/>
          <w:bCs/>
        </w:rPr>
        <w:t xml:space="preserve">que el AEP deberá </w:t>
      </w:r>
      <w:r>
        <w:rPr>
          <w:rFonts w:ascii="ITC Avant Garde" w:hAnsi="ITC Avant Garde" w:cs="Arial"/>
          <w:bCs/>
        </w:rPr>
        <w:t xml:space="preserve">publicar </w:t>
      </w:r>
      <w:r w:rsidR="00B16E4F">
        <w:rPr>
          <w:rFonts w:ascii="ITC Avant Garde" w:hAnsi="ITC Avant Garde" w:cs="Arial"/>
          <w:bCs/>
        </w:rPr>
        <w:t xml:space="preserve">a más tardar el 30 de noviembre </w:t>
      </w:r>
      <w:r w:rsidR="00346541">
        <w:rPr>
          <w:rFonts w:ascii="ITC Avant Garde" w:hAnsi="ITC Avant Garde" w:cs="Arial"/>
          <w:bCs/>
        </w:rPr>
        <w:t xml:space="preserve">de 2016 </w:t>
      </w:r>
      <w:r>
        <w:rPr>
          <w:rFonts w:ascii="ITC Avant Garde" w:hAnsi="ITC Avant Garde" w:cs="Arial"/>
          <w:bCs/>
        </w:rPr>
        <w:t>la Oferta de Referencia para la Desagregación del Bucle Local, que a su vez deberá contener las tarifas autorizadas por el Instituto para los diferentes servicios de desagregación, incluyendo aquellos prestados a través de la red de acceso de fibra óptica,</w:t>
      </w:r>
      <w:r w:rsidR="00581586">
        <w:rPr>
          <w:rFonts w:ascii="ITC Avant Garde" w:hAnsi="ITC Avant Garde" w:cs="Arial"/>
          <w:bCs/>
        </w:rPr>
        <w:t xml:space="preserve"> </w:t>
      </w:r>
      <w:r w:rsidR="00B16E4F">
        <w:rPr>
          <w:rFonts w:ascii="ITC Avant Garde" w:hAnsi="ITC Avant Garde" w:cs="Arial"/>
          <w:bCs/>
        </w:rPr>
        <w:t xml:space="preserve">este Instituto considera </w:t>
      </w:r>
      <w:r w:rsidR="00581586">
        <w:rPr>
          <w:rFonts w:ascii="ITC Avant Garde" w:hAnsi="ITC Avant Garde" w:cs="Arial"/>
          <w:bCs/>
        </w:rPr>
        <w:t>que</w:t>
      </w:r>
      <w:r w:rsidR="00B16E4F">
        <w:rPr>
          <w:rFonts w:ascii="ITC Avant Garde" w:hAnsi="ITC Avant Garde" w:cs="Arial"/>
          <w:bCs/>
        </w:rPr>
        <w:t xml:space="preserve"> el plazo para someter a Consulta Pública el Modelo de Costos</w:t>
      </w:r>
      <w:r w:rsidR="00581586">
        <w:rPr>
          <w:rFonts w:ascii="ITC Avant Garde" w:hAnsi="ITC Avant Garde" w:cs="Arial"/>
          <w:bCs/>
        </w:rPr>
        <w:t xml:space="preserve"> sea por un periodo improrrogable</w:t>
      </w:r>
      <w:r w:rsidR="006C4B61">
        <w:rPr>
          <w:rFonts w:ascii="ITC Avant Garde" w:hAnsi="ITC Avant Garde" w:cs="Arial"/>
          <w:bCs/>
        </w:rPr>
        <w:t xml:space="preserve"> de</w:t>
      </w:r>
      <w:r w:rsidR="00B16E4F">
        <w:rPr>
          <w:rFonts w:ascii="ITC Avant Garde" w:hAnsi="ITC Avant Garde" w:cs="Arial"/>
          <w:bCs/>
        </w:rPr>
        <w:t xml:space="preserve"> 20</w:t>
      </w:r>
      <w:r w:rsidR="00581586">
        <w:rPr>
          <w:rFonts w:ascii="ITC Avant Garde" w:hAnsi="ITC Avant Garde" w:cs="Arial"/>
          <w:bCs/>
        </w:rPr>
        <w:t xml:space="preserve"> (veinte)</w:t>
      </w:r>
      <w:r w:rsidR="00B16E4F">
        <w:rPr>
          <w:rFonts w:ascii="ITC Avant Garde" w:hAnsi="ITC Avant Garde" w:cs="Arial"/>
          <w:bCs/>
        </w:rPr>
        <w:t xml:space="preserve"> días hábiles.</w:t>
      </w:r>
    </w:p>
    <w:p w14:paraId="0D8DAF46" w14:textId="77777777" w:rsidR="00B16E4F" w:rsidRDefault="00B16E4F" w:rsidP="0068735D">
      <w:pPr>
        <w:spacing w:after="0"/>
        <w:jc w:val="both"/>
      </w:pPr>
    </w:p>
    <w:p w14:paraId="32D74E77" w14:textId="514ABB76" w:rsidR="006D1312" w:rsidRPr="00DF157F" w:rsidRDefault="006D1312" w:rsidP="006D1312">
      <w:pPr>
        <w:spacing w:after="0"/>
        <w:jc w:val="both"/>
        <w:rPr>
          <w:rFonts w:ascii="ITC Avant Garde" w:hAnsi="ITC Avant Garde" w:cs="Arial"/>
          <w:bCs/>
        </w:rPr>
      </w:pPr>
      <w:r w:rsidRPr="008C150C">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 y 51 de la Ley Federal de Telecomunicaciones y Radiodifusión, y 1</w:t>
      </w:r>
      <w:r w:rsidR="00060F37">
        <w:rPr>
          <w:rFonts w:ascii="ITC Avant Garde" w:hAnsi="ITC Avant Garde" w:cs="Arial"/>
          <w:bCs/>
        </w:rPr>
        <w:t>,</w:t>
      </w:r>
      <w:r w:rsidRPr="008C150C">
        <w:rPr>
          <w:rFonts w:ascii="ITC Avant Garde" w:hAnsi="ITC Avant Garde" w:cs="Arial"/>
          <w:bCs/>
        </w:rPr>
        <w:t xml:space="preserve"> 4 fracción </w:t>
      </w:r>
      <w:r w:rsidR="00060F37">
        <w:rPr>
          <w:rFonts w:ascii="ITC Avant Garde" w:hAnsi="ITC Avant Garde" w:cs="Arial"/>
          <w:bCs/>
        </w:rPr>
        <w:t>I</w:t>
      </w:r>
      <w:r w:rsidRPr="008C150C">
        <w:rPr>
          <w:rFonts w:ascii="ITC Avant Garde" w:hAnsi="ITC Avant Garde" w:cs="Arial"/>
          <w:bCs/>
        </w:rPr>
        <w:t xml:space="preserve"> y 6 fracción XXXVII del Estatuto</w:t>
      </w:r>
      <w:r w:rsidRPr="00DF157F">
        <w:rPr>
          <w:rFonts w:ascii="ITC Avant Garde" w:hAnsi="ITC Avant Garde" w:cs="Arial"/>
          <w:bCs/>
        </w:rPr>
        <w:t xml:space="preserve"> Orgánico del Instituto Federal de Telecomunicaciones, se expide el siguiente:</w:t>
      </w:r>
    </w:p>
    <w:p w14:paraId="32D74E78" w14:textId="77777777" w:rsidR="00F55800" w:rsidRDefault="00F55800" w:rsidP="008C150C">
      <w:pPr>
        <w:spacing w:after="0"/>
        <w:jc w:val="both"/>
        <w:rPr>
          <w:rFonts w:ascii="ITC Avant Garde" w:hAnsi="ITC Avant Garde" w:cs="Arial"/>
          <w:b/>
          <w:bCs/>
        </w:rPr>
      </w:pPr>
    </w:p>
    <w:p w14:paraId="32D74E79" w14:textId="77777777" w:rsidR="00835FB5" w:rsidRPr="002549BE" w:rsidRDefault="00835FB5" w:rsidP="008C150C">
      <w:pPr>
        <w:spacing w:after="0"/>
        <w:jc w:val="both"/>
        <w:rPr>
          <w:rFonts w:ascii="ITC Avant Garde" w:hAnsi="ITC Avant Garde" w:cs="Arial"/>
          <w:bCs/>
        </w:rPr>
      </w:pPr>
    </w:p>
    <w:p w14:paraId="32D74E7A" w14:textId="77777777" w:rsidR="00BB4ADA" w:rsidRPr="002549BE" w:rsidRDefault="00D17822" w:rsidP="008C150C">
      <w:pPr>
        <w:spacing w:after="0"/>
        <w:jc w:val="center"/>
        <w:rPr>
          <w:rFonts w:ascii="ITC Avant Garde" w:hAnsi="ITC Avant Garde" w:cs="Arial"/>
          <w:b/>
          <w:bCs/>
        </w:rPr>
      </w:pPr>
      <w:r w:rsidRPr="002549BE">
        <w:rPr>
          <w:rFonts w:ascii="ITC Avant Garde" w:hAnsi="ITC Avant Garde" w:cs="Arial"/>
          <w:b/>
          <w:bCs/>
        </w:rPr>
        <w:lastRenderedPageBreak/>
        <w:t>ACUERDO</w:t>
      </w:r>
    </w:p>
    <w:p w14:paraId="32D74E7B" w14:textId="77777777" w:rsidR="005B5F22" w:rsidRPr="002549BE" w:rsidRDefault="005B5F22" w:rsidP="008C150C">
      <w:pPr>
        <w:spacing w:after="0"/>
        <w:jc w:val="both"/>
        <w:rPr>
          <w:rFonts w:ascii="ITC Avant Garde" w:hAnsi="ITC Avant Garde" w:cs="Arial"/>
          <w:bCs/>
        </w:rPr>
      </w:pPr>
    </w:p>
    <w:p w14:paraId="32D74E7C" w14:textId="0DD5162D" w:rsidR="009C61F0" w:rsidRDefault="00864BEB" w:rsidP="008C150C">
      <w:pPr>
        <w:spacing w:after="0"/>
        <w:jc w:val="both"/>
        <w:rPr>
          <w:rFonts w:ascii="ITC Avant Garde" w:hAnsi="ITC Avant Garde" w:cs="Arial"/>
          <w:bCs/>
        </w:rPr>
      </w:pPr>
      <w:r w:rsidRPr="009C61F0">
        <w:rPr>
          <w:rFonts w:ascii="ITC Avant Garde" w:hAnsi="ITC Avant Garde" w:cs="Arial"/>
          <w:b/>
          <w:bCs/>
        </w:rPr>
        <w:t xml:space="preserve">PRIMERO.- </w:t>
      </w:r>
      <w:r w:rsidR="003C7EBB" w:rsidRPr="009C61F0">
        <w:rPr>
          <w:rFonts w:ascii="ITC Avant Garde" w:hAnsi="ITC Avant Garde" w:cs="Arial"/>
          <w:bCs/>
        </w:rPr>
        <w:t>Se somete a</w:t>
      </w:r>
      <w:r w:rsidR="009E2BD2" w:rsidRPr="009C61F0">
        <w:rPr>
          <w:rFonts w:ascii="ITC Avant Garde" w:hAnsi="ITC Avant Garde" w:cs="Arial"/>
          <w:bCs/>
        </w:rPr>
        <w:t xml:space="preserve"> consulta pública, por un plazo</w:t>
      </w:r>
      <w:r w:rsidR="003E2405" w:rsidRPr="009C61F0">
        <w:rPr>
          <w:rFonts w:ascii="ITC Avant Garde" w:hAnsi="ITC Avant Garde" w:cs="Arial"/>
          <w:bCs/>
        </w:rPr>
        <w:t xml:space="preserve"> </w:t>
      </w:r>
      <w:r w:rsidR="003C7EBB" w:rsidRPr="009C61F0">
        <w:rPr>
          <w:rFonts w:ascii="ITC Avant Garde" w:hAnsi="ITC Avant Garde" w:cs="Arial"/>
          <w:bCs/>
        </w:rPr>
        <w:t xml:space="preserve">de </w:t>
      </w:r>
      <w:r w:rsidR="00E1779C" w:rsidRPr="009C61F0">
        <w:rPr>
          <w:rFonts w:ascii="ITC Avant Garde" w:hAnsi="ITC Avant Garde" w:cs="Arial"/>
          <w:bCs/>
        </w:rPr>
        <w:t>20 (veinte) días hábiles</w:t>
      </w:r>
      <w:r w:rsidR="003C7EBB" w:rsidRPr="009C61F0">
        <w:rPr>
          <w:rFonts w:ascii="ITC Avant Garde" w:hAnsi="ITC Avant Garde" w:cs="Arial"/>
          <w:bCs/>
        </w:rPr>
        <w:t xml:space="preserve"> </w:t>
      </w:r>
      <w:r w:rsidR="00492876">
        <w:rPr>
          <w:rFonts w:ascii="ITC Avant Garde" w:hAnsi="ITC Avant Garde" w:cs="Arial"/>
          <w:bCs/>
        </w:rPr>
        <w:t xml:space="preserve">improrrogables </w:t>
      </w:r>
      <w:r w:rsidR="009E2BD2" w:rsidRPr="009C61F0">
        <w:rPr>
          <w:rFonts w:ascii="ITC Avant Garde" w:hAnsi="ITC Avant Garde" w:cs="Arial"/>
          <w:bCs/>
        </w:rPr>
        <w:t>contados a partir de su publicación en el portal de Internet del Instituto Federal de Te</w:t>
      </w:r>
      <w:r w:rsidR="009C61F0">
        <w:rPr>
          <w:rFonts w:ascii="ITC Avant Garde" w:hAnsi="ITC Avant Garde" w:cs="Arial"/>
          <w:bCs/>
        </w:rPr>
        <w:t xml:space="preserve">lecomunicaciones, </w:t>
      </w:r>
      <w:r w:rsidR="0047439A">
        <w:rPr>
          <w:rFonts w:ascii="ITC Avant Garde" w:hAnsi="ITC Avant Garde" w:cs="Arial"/>
          <w:bCs/>
        </w:rPr>
        <w:t xml:space="preserve">el </w:t>
      </w:r>
      <w:r w:rsidR="0068735D" w:rsidRPr="00DC7E36">
        <w:rPr>
          <w:rFonts w:ascii="ITC Avant Garde" w:hAnsi="ITC Avant Garde" w:cs="Arial"/>
          <w:bCs/>
        </w:rPr>
        <w:t>Modelo de Costos para determinar las tarifas de Acceso para la Desagregación del Bucle Local de Fibra Óptica del Agente Económico Preponderante en el sector de las telecomunicaciones</w:t>
      </w:r>
      <w:r w:rsidR="00DC7E36">
        <w:rPr>
          <w:rFonts w:ascii="ITC Avant Garde" w:hAnsi="ITC Avant Garde" w:cs="Arial"/>
          <w:bCs/>
        </w:rPr>
        <w:t>.</w:t>
      </w:r>
    </w:p>
    <w:p w14:paraId="32D74E7D" w14:textId="77777777" w:rsidR="009E2BD2" w:rsidRPr="002549BE" w:rsidRDefault="009C61F0" w:rsidP="008C150C">
      <w:pPr>
        <w:spacing w:after="0"/>
        <w:jc w:val="both"/>
        <w:rPr>
          <w:rFonts w:ascii="ITC Avant Garde" w:hAnsi="ITC Avant Garde" w:cs="Arial"/>
          <w:bCs/>
        </w:rPr>
      </w:pPr>
      <w:r w:rsidRPr="002549BE">
        <w:rPr>
          <w:rFonts w:ascii="ITC Avant Garde" w:hAnsi="ITC Avant Garde" w:cs="Arial"/>
          <w:bCs/>
        </w:rPr>
        <w:t xml:space="preserve"> </w:t>
      </w:r>
    </w:p>
    <w:p w14:paraId="32D74E7E" w14:textId="77777777" w:rsidR="009C61F0" w:rsidRPr="009C61F0" w:rsidRDefault="003C7EBB" w:rsidP="009C61F0">
      <w:pPr>
        <w:spacing w:after="0"/>
        <w:jc w:val="both"/>
        <w:rPr>
          <w:rFonts w:ascii="ITC Avant Garde" w:hAnsi="ITC Avant Garde" w:cs="Arial"/>
          <w:bCs/>
        </w:rPr>
      </w:pPr>
      <w:r w:rsidRPr="002549BE">
        <w:rPr>
          <w:rFonts w:ascii="ITC Avant Garde" w:hAnsi="ITC Avant Garde" w:cs="Arial"/>
          <w:b/>
          <w:bCs/>
        </w:rPr>
        <w:t>SEGUNDO.-</w:t>
      </w:r>
      <w:r w:rsidRPr="002549BE">
        <w:rPr>
          <w:rFonts w:ascii="ITC Avant Garde" w:hAnsi="ITC Avant Garde" w:cs="Arial"/>
          <w:bCs/>
        </w:rPr>
        <w:t xml:space="preserve"> </w:t>
      </w:r>
      <w:r w:rsidR="009C61F0" w:rsidRPr="009C61F0">
        <w:rPr>
          <w:rFonts w:ascii="ITC Avant Garde" w:hAnsi="ITC Avant Garde" w:cs="Arial"/>
          <w:bCs/>
        </w:rPr>
        <w:t>Se instruye a la Unidad de Política Regulatoria, a través de la Dirección General de Compartición de Infraestructura, a recibir y dar la atención que corresponda a las opiniones que sean vertidas en virtud de la consulta pública materia del presente Acuerdo.</w:t>
      </w:r>
    </w:p>
    <w:p w14:paraId="32D74E7F" w14:textId="77777777" w:rsidR="002D5578" w:rsidRPr="002549BE" w:rsidRDefault="002D5578" w:rsidP="008C150C">
      <w:pPr>
        <w:spacing w:after="0"/>
        <w:jc w:val="both"/>
        <w:rPr>
          <w:rFonts w:ascii="ITC Avant Garde" w:hAnsi="ITC Avant Garde" w:cs="Arial"/>
          <w:bCs/>
        </w:rPr>
      </w:pPr>
    </w:p>
    <w:p w14:paraId="32D74E80" w14:textId="77777777" w:rsidR="00864BEB" w:rsidRPr="002549BE" w:rsidRDefault="00C63F3B" w:rsidP="008C150C">
      <w:pPr>
        <w:spacing w:after="0"/>
        <w:jc w:val="both"/>
        <w:rPr>
          <w:rFonts w:ascii="ITC Avant Garde" w:hAnsi="ITC Avant Garde" w:cs="Arial"/>
          <w:bCs/>
        </w:rPr>
      </w:pPr>
      <w:r w:rsidRPr="002549BE">
        <w:rPr>
          <w:rFonts w:ascii="ITC Avant Garde" w:hAnsi="ITC Avant Garde" w:cs="Arial"/>
          <w:b/>
          <w:bCs/>
        </w:rPr>
        <w:t>TERCERO.-</w:t>
      </w:r>
      <w:r w:rsidRPr="002549BE">
        <w:rPr>
          <w:rFonts w:ascii="ITC Avant Garde" w:hAnsi="ITC Avant Garde" w:cs="Arial"/>
          <w:bCs/>
        </w:rPr>
        <w:t xml:space="preserve"> </w:t>
      </w:r>
      <w:r w:rsidR="0042271F" w:rsidRPr="002549BE">
        <w:rPr>
          <w:rFonts w:ascii="ITC Avant Garde" w:hAnsi="ITC Avant Garde" w:cs="Arial"/>
          <w:bCs/>
        </w:rPr>
        <w:t>Publíquese</w:t>
      </w:r>
      <w:r w:rsidR="003252F8" w:rsidRPr="002549BE">
        <w:rPr>
          <w:rFonts w:ascii="ITC Avant Garde" w:hAnsi="ITC Avant Garde" w:cs="Arial"/>
          <w:bCs/>
        </w:rPr>
        <w:t xml:space="preserve"> </w:t>
      </w:r>
      <w:r w:rsidR="0042271F" w:rsidRPr="002549BE">
        <w:rPr>
          <w:rFonts w:ascii="ITC Avant Garde" w:hAnsi="ITC Avant Garde" w:cs="Arial"/>
          <w:bCs/>
        </w:rPr>
        <w:t xml:space="preserve">en </w:t>
      </w:r>
      <w:r w:rsidR="005B5F22" w:rsidRPr="002549BE">
        <w:rPr>
          <w:rFonts w:ascii="ITC Avant Garde" w:hAnsi="ITC Avant Garde" w:cs="Arial"/>
          <w:bCs/>
        </w:rPr>
        <w:t>el portal</w:t>
      </w:r>
      <w:r w:rsidR="0042271F" w:rsidRPr="002549BE">
        <w:rPr>
          <w:rFonts w:ascii="ITC Avant Garde" w:hAnsi="ITC Avant Garde" w:cs="Arial"/>
          <w:bCs/>
        </w:rPr>
        <w:t xml:space="preserve"> de Internet del Instituto</w:t>
      </w:r>
      <w:r w:rsidR="00671F9E" w:rsidRPr="002549BE">
        <w:rPr>
          <w:rFonts w:ascii="ITC Avant Garde" w:hAnsi="ITC Avant Garde" w:cs="Arial"/>
          <w:bCs/>
        </w:rPr>
        <w:t xml:space="preserve"> Federal de Telecomunicaciones</w:t>
      </w:r>
      <w:r w:rsidR="0042271F" w:rsidRPr="002549BE">
        <w:rPr>
          <w:rFonts w:ascii="ITC Avant Garde" w:hAnsi="ITC Avant Garde" w:cs="Arial"/>
          <w:bCs/>
        </w:rPr>
        <w:t>.</w:t>
      </w:r>
    </w:p>
    <w:p w14:paraId="32D74E81" w14:textId="77777777" w:rsidR="00BB4ADA" w:rsidRPr="002549BE" w:rsidRDefault="00BB4ADA" w:rsidP="008C150C">
      <w:pPr>
        <w:spacing w:after="0"/>
        <w:jc w:val="both"/>
        <w:rPr>
          <w:rFonts w:ascii="ITC Avant Garde" w:hAnsi="ITC Avant Garde" w:cs="Arial"/>
          <w:bCs/>
        </w:rPr>
      </w:pPr>
    </w:p>
    <w:p w14:paraId="32D74E82" w14:textId="77777777" w:rsidR="00AE67C2" w:rsidRDefault="00AE67C2" w:rsidP="008C150C">
      <w:pPr>
        <w:spacing w:after="0"/>
        <w:jc w:val="both"/>
        <w:rPr>
          <w:rFonts w:ascii="ITC Avant Garde" w:hAnsi="ITC Avant Garde" w:cs="Arial"/>
          <w:bCs/>
        </w:rPr>
      </w:pPr>
    </w:p>
    <w:p w14:paraId="64E27388" w14:textId="77777777" w:rsidR="007A6BBE" w:rsidRDefault="007A6BBE" w:rsidP="008C150C">
      <w:pPr>
        <w:spacing w:after="0"/>
        <w:jc w:val="both"/>
        <w:rPr>
          <w:rFonts w:ascii="ITC Avant Garde" w:hAnsi="ITC Avant Garde" w:cs="Arial"/>
          <w:bCs/>
        </w:rPr>
      </w:pPr>
    </w:p>
    <w:p w14:paraId="32D74E83" w14:textId="77777777" w:rsidR="0042271F" w:rsidRPr="002549BE" w:rsidRDefault="0042271F" w:rsidP="007A6BBE">
      <w:pPr>
        <w:spacing w:after="0" w:line="240" w:lineRule="auto"/>
        <w:jc w:val="both"/>
        <w:rPr>
          <w:rFonts w:ascii="ITC Avant Garde" w:hAnsi="ITC Avant Garde" w:cs="Arial"/>
          <w:bCs/>
        </w:rPr>
      </w:pPr>
    </w:p>
    <w:p w14:paraId="32D74E84"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Gabriel Oswaldo Contreras Saldívar</w:t>
      </w:r>
    </w:p>
    <w:p w14:paraId="32D74E85" w14:textId="77777777" w:rsidR="009409AB" w:rsidRPr="002549BE" w:rsidRDefault="009409AB"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Comisionado Presidente</w:t>
      </w:r>
    </w:p>
    <w:p w14:paraId="32D74E86"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p w14:paraId="32D74E88" w14:textId="77777777" w:rsidR="003E69E9" w:rsidRPr="002549BE" w:rsidRDefault="003E69E9" w:rsidP="007A6BBE">
      <w:pPr>
        <w:adjustRightInd w:val="0"/>
        <w:spacing w:after="0" w:line="240" w:lineRule="auto"/>
        <w:rPr>
          <w:rFonts w:ascii="ITC Avant Garde" w:eastAsia="Times New Roman" w:hAnsi="ITC Avant Garde" w:cs="Arial"/>
          <w:b/>
          <w:bCs/>
          <w:color w:val="000000"/>
          <w:lang w:val="es-ES" w:eastAsia="es-ES"/>
        </w:rPr>
      </w:pPr>
    </w:p>
    <w:p w14:paraId="32D74E89"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tbl>
      <w:tblPr>
        <w:tblW w:w="9214" w:type="dxa"/>
        <w:tblInd w:w="279" w:type="dxa"/>
        <w:tblLayout w:type="fixed"/>
        <w:tblCellMar>
          <w:left w:w="70" w:type="dxa"/>
          <w:right w:w="70" w:type="dxa"/>
        </w:tblCellMar>
        <w:tblLook w:val="04A0" w:firstRow="1" w:lastRow="0" w:firstColumn="1" w:lastColumn="0" w:noHBand="0" w:noVBand="1"/>
      </w:tblPr>
      <w:tblGrid>
        <w:gridCol w:w="3544"/>
        <w:gridCol w:w="1564"/>
        <w:gridCol w:w="4106"/>
      </w:tblGrid>
      <w:tr w:rsidR="0042271F" w:rsidRPr="002549BE" w14:paraId="32D74E95" w14:textId="77777777" w:rsidTr="00F37E98">
        <w:trPr>
          <w:trHeight w:val="1346"/>
        </w:trPr>
        <w:tc>
          <w:tcPr>
            <w:tcW w:w="3544" w:type="dxa"/>
            <w:hideMark/>
          </w:tcPr>
          <w:p w14:paraId="32D74E8A"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Ernesto Estrada González</w:t>
            </w:r>
          </w:p>
          <w:p w14:paraId="32D74E8C" w14:textId="78A8422E" w:rsidR="0042271F"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Comisionado</w:t>
            </w:r>
          </w:p>
        </w:tc>
        <w:tc>
          <w:tcPr>
            <w:tcW w:w="1564" w:type="dxa"/>
          </w:tcPr>
          <w:p w14:paraId="32D74E8D"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32D74E8E"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Adriana Sofía Labardini Inzunza</w:t>
            </w:r>
          </w:p>
          <w:p w14:paraId="32D74E8F"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Comisionada</w:t>
            </w:r>
          </w:p>
          <w:p w14:paraId="32D74E90"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p w14:paraId="32D74E91"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p w14:paraId="32D74E94" w14:textId="77777777" w:rsidR="0042271F" w:rsidRPr="002549BE" w:rsidRDefault="0042271F" w:rsidP="007A6BBE">
            <w:pPr>
              <w:adjustRightInd w:val="0"/>
              <w:spacing w:after="0" w:line="240" w:lineRule="auto"/>
              <w:rPr>
                <w:rFonts w:ascii="ITC Avant Garde" w:eastAsia="Times New Roman" w:hAnsi="ITC Avant Garde" w:cs="Arial"/>
                <w:b/>
                <w:bCs/>
                <w:color w:val="000000"/>
                <w:lang w:val="es-ES" w:eastAsia="es-ES"/>
              </w:rPr>
            </w:pPr>
          </w:p>
        </w:tc>
      </w:tr>
      <w:tr w:rsidR="0042271F" w:rsidRPr="002549BE" w14:paraId="32D74EA1" w14:textId="77777777" w:rsidTr="00F37E98">
        <w:trPr>
          <w:trHeight w:val="1331"/>
        </w:trPr>
        <w:tc>
          <w:tcPr>
            <w:tcW w:w="3544" w:type="dxa"/>
          </w:tcPr>
          <w:p w14:paraId="32D74E96"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María Elena Estavillo Flores</w:t>
            </w:r>
          </w:p>
          <w:p w14:paraId="32D74E97"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Comisionada</w:t>
            </w:r>
          </w:p>
          <w:p w14:paraId="32D74E98"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p w14:paraId="32D74E9B" w14:textId="77777777" w:rsidR="0042271F" w:rsidRPr="002549BE" w:rsidRDefault="0042271F" w:rsidP="007A6BBE">
            <w:pPr>
              <w:adjustRightInd w:val="0"/>
              <w:spacing w:after="0" w:line="240" w:lineRule="auto"/>
              <w:rPr>
                <w:rFonts w:ascii="ITC Avant Garde" w:eastAsia="Times New Roman" w:hAnsi="ITC Avant Garde" w:cs="Arial"/>
                <w:b/>
                <w:bCs/>
                <w:color w:val="000000"/>
                <w:lang w:val="es-ES" w:eastAsia="es-ES"/>
              </w:rPr>
            </w:pPr>
          </w:p>
          <w:p w14:paraId="32D74E9C"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32D74E9D"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32D74E9E" w14:textId="77777777" w:rsidR="002364F8"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Mario Germán Fromow Rangel</w:t>
            </w:r>
          </w:p>
          <w:p w14:paraId="32D74E9F" w14:textId="77777777" w:rsidR="0042271F" w:rsidRPr="002549BE" w:rsidRDefault="002364F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Comisionado</w:t>
            </w:r>
            <w:r w:rsidRPr="002549BE" w:rsidDel="002364F8">
              <w:rPr>
                <w:rFonts w:ascii="ITC Avant Garde" w:eastAsia="Times New Roman" w:hAnsi="ITC Avant Garde" w:cs="Arial"/>
                <w:b/>
                <w:bCs/>
                <w:color w:val="000000"/>
                <w:lang w:val="es-ES" w:eastAsia="es-ES"/>
              </w:rPr>
              <w:t xml:space="preserve"> </w:t>
            </w:r>
          </w:p>
          <w:p w14:paraId="32D74EA0" w14:textId="77777777" w:rsidR="0042271F" w:rsidRPr="002549BE" w:rsidRDefault="0042271F" w:rsidP="007A6BBE">
            <w:pPr>
              <w:adjustRightInd w:val="0"/>
              <w:spacing w:after="0" w:line="240" w:lineRule="auto"/>
              <w:jc w:val="center"/>
              <w:rPr>
                <w:rFonts w:ascii="ITC Avant Garde" w:eastAsia="Times New Roman" w:hAnsi="ITC Avant Garde" w:cs="Arial"/>
                <w:b/>
                <w:bCs/>
                <w:color w:val="000000"/>
                <w:lang w:val="es-ES" w:eastAsia="es-ES"/>
              </w:rPr>
            </w:pPr>
          </w:p>
        </w:tc>
      </w:tr>
      <w:tr w:rsidR="00F37E98" w:rsidRPr="002549BE" w14:paraId="32D74EA4" w14:textId="77777777" w:rsidTr="00F37E98">
        <w:trPr>
          <w:trHeight w:val="547"/>
        </w:trPr>
        <w:tc>
          <w:tcPr>
            <w:tcW w:w="9214" w:type="dxa"/>
            <w:gridSpan w:val="3"/>
          </w:tcPr>
          <w:p w14:paraId="32D74EA2" w14:textId="77777777" w:rsidR="00F37E98" w:rsidRPr="002549BE" w:rsidRDefault="00F37E9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Adolfo Cuevas Teja</w:t>
            </w:r>
          </w:p>
          <w:p w14:paraId="32D74EA3" w14:textId="77777777" w:rsidR="00F37E98" w:rsidRPr="002549BE" w:rsidRDefault="00F37E98" w:rsidP="007A6BBE">
            <w:pPr>
              <w:adjustRightInd w:val="0"/>
              <w:spacing w:after="0" w:line="240" w:lineRule="auto"/>
              <w:jc w:val="center"/>
              <w:rPr>
                <w:rFonts w:ascii="ITC Avant Garde" w:eastAsia="Times New Roman" w:hAnsi="ITC Avant Garde" w:cs="Arial"/>
                <w:b/>
                <w:bCs/>
                <w:color w:val="000000"/>
                <w:lang w:val="es-ES" w:eastAsia="es-ES"/>
              </w:rPr>
            </w:pPr>
            <w:r w:rsidRPr="002549BE">
              <w:rPr>
                <w:rFonts w:ascii="ITC Avant Garde" w:eastAsia="Times New Roman" w:hAnsi="ITC Avant Garde" w:cs="Arial"/>
                <w:b/>
                <w:bCs/>
                <w:color w:val="000000"/>
                <w:lang w:val="es-ES" w:eastAsia="es-ES"/>
              </w:rPr>
              <w:t>Comisionado</w:t>
            </w:r>
          </w:p>
        </w:tc>
      </w:tr>
    </w:tbl>
    <w:p w14:paraId="32D74EA5" w14:textId="77777777" w:rsidR="00F74FCF" w:rsidRPr="002549BE" w:rsidRDefault="00F74FCF" w:rsidP="00F74FCF">
      <w:pPr>
        <w:pStyle w:val="Sinespaciado"/>
        <w:jc w:val="both"/>
        <w:rPr>
          <w:rFonts w:ascii="ITC Avant Garde" w:hAnsi="ITC Avant Garde"/>
        </w:rPr>
      </w:pPr>
    </w:p>
    <w:p w14:paraId="32D74EA6" w14:textId="77777777" w:rsidR="00687342" w:rsidRPr="007A6BBE" w:rsidRDefault="00687342" w:rsidP="007A6BBE">
      <w:pPr>
        <w:pStyle w:val="Sinespaciado"/>
        <w:jc w:val="both"/>
        <w:rPr>
          <w:rFonts w:ascii="ITC Avant Garde" w:hAnsi="ITC Avant Garde"/>
          <w:sz w:val="14"/>
          <w:szCs w:val="14"/>
        </w:rPr>
      </w:pPr>
    </w:p>
    <w:p w14:paraId="2C87BBF5" w14:textId="63865C38" w:rsidR="007A6BBE" w:rsidRPr="007A6BBE" w:rsidRDefault="007A6BBE" w:rsidP="007A6BBE">
      <w:pPr>
        <w:spacing w:after="0" w:line="240" w:lineRule="auto"/>
        <w:jc w:val="both"/>
        <w:rPr>
          <w:b/>
          <w:bCs/>
          <w:sz w:val="14"/>
          <w:szCs w:val="14"/>
        </w:rPr>
      </w:pPr>
      <w:bookmarkStart w:id="0" w:name="_GoBack"/>
      <w:bookmarkEnd w:id="0"/>
      <w:r w:rsidRPr="007A6BBE">
        <w:rPr>
          <w:rFonts w:ascii="ITC Avant Garde" w:hAnsi="ITC Avant Garde"/>
          <w:sz w:val="14"/>
          <w:szCs w:val="14"/>
        </w:rPr>
        <w:t>El presente Acuerdo fue aprobado por el Pleno del Instituto Federal de Telecomunicaciones en su XXX Sesión Ordinaria celebrada el 13 de septiembre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P/IFT/130916/476.</w:t>
      </w:r>
    </w:p>
    <w:p w14:paraId="32D74EA7" w14:textId="77777777" w:rsidR="00F74FCF" w:rsidRDefault="00F74FCF" w:rsidP="00F74FCF">
      <w:pPr>
        <w:pStyle w:val="Sinespaciado"/>
        <w:jc w:val="both"/>
        <w:rPr>
          <w:rFonts w:ascii="ITC Avant Garde" w:hAnsi="ITC Avant Garde" w:cs="Arial"/>
          <w:bCs/>
        </w:rPr>
      </w:pPr>
    </w:p>
    <w:sectPr w:rsidR="00F74FCF" w:rsidSect="003E69E9">
      <w:headerReference w:type="even" r:id="rId11"/>
      <w:footerReference w:type="default" r:id="rId12"/>
      <w:headerReference w:type="first" r:id="rId13"/>
      <w:pgSz w:w="12240" w:h="15840" w:code="1"/>
      <w:pgMar w:top="1985" w:right="1467" w:bottom="1418" w:left="1418" w:header="709" w:footer="9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776A1" w14:textId="77777777" w:rsidR="003A63CD" w:rsidRDefault="003A63CD" w:rsidP="009B28E6">
      <w:pPr>
        <w:spacing w:after="0" w:line="240" w:lineRule="auto"/>
      </w:pPr>
      <w:r>
        <w:separator/>
      </w:r>
    </w:p>
  </w:endnote>
  <w:endnote w:type="continuationSeparator" w:id="0">
    <w:p w14:paraId="6E0B4B2F" w14:textId="77777777" w:rsidR="003A63CD" w:rsidRDefault="003A63CD"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034582"/>
      <w:docPartObj>
        <w:docPartGallery w:val="Page Numbers (Bottom of Page)"/>
        <w:docPartUnique/>
      </w:docPartObj>
    </w:sdtPr>
    <w:sdtEndPr>
      <w:rPr>
        <w:rFonts w:ascii="ITC Avant Garde" w:hAnsi="ITC Avant Garde"/>
        <w:sz w:val="20"/>
        <w:szCs w:val="20"/>
      </w:rPr>
    </w:sdtEndPr>
    <w:sdtContent>
      <w:p w14:paraId="32D74EAD" w14:textId="77777777" w:rsidR="00F37E98" w:rsidRPr="00F37E98" w:rsidRDefault="00F37E98">
        <w:pPr>
          <w:pStyle w:val="Piedepgina"/>
          <w:jc w:val="right"/>
          <w:rPr>
            <w:rFonts w:ascii="ITC Avant Garde" w:hAnsi="ITC Avant Garde"/>
            <w:sz w:val="20"/>
            <w:szCs w:val="20"/>
          </w:rPr>
        </w:pPr>
        <w:r w:rsidRPr="00F37E98">
          <w:rPr>
            <w:rFonts w:ascii="ITC Avant Garde" w:hAnsi="ITC Avant Garde"/>
            <w:sz w:val="20"/>
            <w:szCs w:val="20"/>
          </w:rPr>
          <w:fldChar w:fldCharType="begin"/>
        </w:r>
        <w:r w:rsidRPr="00F37E98">
          <w:rPr>
            <w:rFonts w:ascii="ITC Avant Garde" w:hAnsi="ITC Avant Garde"/>
            <w:sz w:val="20"/>
            <w:szCs w:val="20"/>
          </w:rPr>
          <w:instrText>PAGE   \* MERGEFORMAT</w:instrText>
        </w:r>
        <w:r w:rsidRPr="00F37E98">
          <w:rPr>
            <w:rFonts w:ascii="ITC Avant Garde" w:hAnsi="ITC Avant Garde"/>
            <w:sz w:val="20"/>
            <w:szCs w:val="20"/>
          </w:rPr>
          <w:fldChar w:fldCharType="separate"/>
        </w:r>
        <w:r w:rsidR="007A6BBE" w:rsidRPr="007A6BBE">
          <w:rPr>
            <w:rFonts w:ascii="ITC Avant Garde" w:hAnsi="ITC Avant Garde"/>
            <w:noProof/>
            <w:sz w:val="20"/>
            <w:szCs w:val="20"/>
            <w:lang w:val="es-ES"/>
          </w:rPr>
          <w:t>7</w:t>
        </w:r>
        <w:r w:rsidRPr="00F37E98">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ADE21" w14:textId="77777777" w:rsidR="003A63CD" w:rsidRDefault="003A63CD" w:rsidP="009B28E6">
      <w:pPr>
        <w:spacing w:after="0" w:line="240" w:lineRule="auto"/>
      </w:pPr>
      <w:r>
        <w:separator/>
      </w:r>
    </w:p>
  </w:footnote>
  <w:footnote w:type="continuationSeparator" w:id="0">
    <w:p w14:paraId="4C132BA2" w14:textId="77777777" w:rsidR="003A63CD" w:rsidRDefault="003A63CD"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74EAC" w14:textId="77777777" w:rsidR="004632F8" w:rsidRDefault="007A6BBE">
    <w:pPr>
      <w:pStyle w:val="Encabezado"/>
    </w:pPr>
    <w:r>
      <w:rPr>
        <w:noProof/>
        <w:lang w:eastAsia="es-MX"/>
      </w:rPr>
      <w:pict w14:anchorId="32D74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74EAE" w14:textId="77777777" w:rsidR="004632F8" w:rsidRDefault="007A6BBE">
    <w:pPr>
      <w:pStyle w:val="Encabezado"/>
    </w:pPr>
    <w:r>
      <w:rPr>
        <w:noProof/>
        <w:lang w:eastAsia="es-MX"/>
      </w:rPr>
      <w:pict w14:anchorId="32D74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82A85"/>
    <w:multiLevelType w:val="hybridMultilevel"/>
    <w:tmpl w:val="DCD43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F55865"/>
    <w:multiLevelType w:val="hybridMultilevel"/>
    <w:tmpl w:val="765070C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2"/>
  </w:num>
  <w:num w:numId="4">
    <w:abstractNumId w:val="2"/>
  </w:num>
  <w:num w:numId="5">
    <w:abstractNumId w:val="5"/>
  </w:num>
  <w:num w:numId="6">
    <w:abstractNumId w:val="13"/>
  </w:num>
  <w:num w:numId="7">
    <w:abstractNumId w:val="4"/>
  </w:num>
  <w:num w:numId="8">
    <w:abstractNumId w:val="7"/>
  </w:num>
  <w:num w:numId="9">
    <w:abstractNumId w:val="6"/>
  </w:num>
  <w:num w:numId="10">
    <w:abstractNumId w:val="1"/>
  </w:num>
  <w:num w:numId="11">
    <w:abstractNumId w:val="11"/>
  </w:num>
  <w:num w:numId="12">
    <w:abstractNumId w:val="10"/>
  </w:num>
  <w:num w:numId="13">
    <w:abstractNumId w:val="8"/>
  </w:num>
  <w:num w:numId="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4A2F"/>
    <w:rsid w:val="00005335"/>
    <w:rsid w:val="00005AFB"/>
    <w:rsid w:val="000073BF"/>
    <w:rsid w:val="00010A22"/>
    <w:rsid w:val="00014BF9"/>
    <w:rsid w:val="000158D7"/>
    <w:rsid w:val="000162A3"/>
    <w:rsid w:val="000177E6"/>
    <w:rsid w:val="00023F9D"/>
    <w:rsid w:val="000278C3"/>
    <w:rsid w:val="00027A90"/>
    <w:rsid w:val="000304C3"/>
    <w:rsid w:val="000304FF"/>
    <w:rsid w:val="00030A73"/>
    <w:rsid w:val="000310FF"/>
    <w:rsid w:val="00032A87"/>
    <w:rsid w:val="00032E90"/>
    <w:rsid w:val="0003559D"/>
    <w:rsid w:val="00036970"/>
    <w:rsid w:val="00040406"/>
    <w:rsid w:val="000404B0"/>
    <w:rsid w:val="00040A27"/>
    <w:rsid w:val="00042593"/>
    <w:rsid w:val="00044E8D"/>
    <w:rsid w:val="000452E2"/>
    <w:rsid w:val="0004573A"/>
    <w:rsid w:val="00045DC7"/>
    <w:rsid w:val="000511FD"/>
    <w:rsid w:val="000537B3"/>
    <w:rsid w:val="00053F17"/>
    <w:rsid w:val="00053F1A"/>
    <w:rsid w:val="00054349"/>
    <w:rsid w:val="00054863"/>
    <w:rsid w:val="00055D99"/>
    <w:rsid w:val="00056483"/>
    <w:rsid w:val="000571B3"/>
    <w:rsid w:val="00057A6D"/>
    <w:rsid w:val="00060524"/>
    <w:rsid w:val="00060DAF"/>
    <w:rsid w:val="00060F37"/>
    <w:rsid w:val="00062FFC"/>
    <w:rsid w:val="00063C2E"/>
    <w:rsid w:val="0006502B"/>
    <w:rsid w:val="00065DDE"/>
    <w:rsid w:val="000665C1"/>
    <w:rsid w:val="00066945"/>
    <w:rsid w:val="00066D0C"/>
    <w:rsid w:val="00073067"/>
    <w:rsid w:val="000749EE"/>
    <w:rsid w:val="000758D2"/>
    <w:rsid w:val="00075FCD"/>
    <w:rsid w:val="00077486"/>
    <w:rsid w:val="00077880"/>
    <w:rsid w:val="00077E12"/>
    <w:rsid w:val="000810A2"/>
    <w:rsid w:val="0008186D"/>
    <w:rsid w:val="000826C8"/>
    <w:rsid w:val="00083B34"/>
    <w:rsid w:val="000845D2"/>
    <w:rsid w:val="00084B34"/>
    <w:rsid w:val="00087728"/>
    <w:rsid w:val="00087CE1"/>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523"/>
    <w:rsid w:val="000B3A09"/>
    <w:rsid w:val="000B4430"/>
    <w:rsid w:val="000B4BD3"/>
    <w:rsid w:val="000B55E8"/>
    <w:rsid w:val="000B7A79"/>
    <w:rsid w:val="000B7ADF"/>
    <w:rsid w:val="000C1D7A"/>
    <w:rsid w:val="000C2BA6"/>
    <w:rsid w:val="000C42C9"/>
    <w:rsid w:val="000C5720"/>
    <w:rsid w:val="000C58E0"/>
    <w:rsid w:val="000C77C5"/>
    <w:rsid w:val="000D0A36"/>
    <w:rsid w:val="000D100B"/>
    <w:rsid w:val="000D2394"/>
    <w:rsid w:val="000D29F0"/>
    <w:rsid w:val="000D326F"/>
    <w:rsid w:val="000E0BAA"/>
    <w:rsid w:val="000E0DF7"/>
    <w:rsid w:val="000E111D"/>
    <w:rsid w:val="000E202A"/>
    <w:rsid w:val="000E2375"/>
    <w:rsid w:val="000E3B3C"/>
    <w:rsid w:val="000E4D9D"/>
    <w:rsid w:val="000E4EB3"/>
    <w:rsid w:val="000E5667"/>
    <w:rsid w:val="000E574A"/>
    <w:rsid w:val="000E58B8"/>
    <w:rsid w:val="000E59C3"/>
    <w:rsid w:val="000E6FE0"/>
    <w:rsid w:val="000E7645"/>
    <w:rsid w:val="000E7EF3"/>
    <w:rsid w:val="000F19E9"/>
    <w:rsid w:val="000F27A4"/>
    <w:rsid w:val="000F2AA3"/>
    <w:rsid w:val="000F36C9"/>
    <w:rsid w:val="000F4085"/>
    <w:rsid w:val="000F4570"/>
    <w:rsid w:val="000F7E5E"/>
    <w:rsid w:val="00100714"/>
    <w:rsid w:val="0010184A"/>
    <w:rsid w:val="00101DC6"/>
    <w:rsid w:val="0010272C"/>
    <w:rsid w:val="00103F26"/>
    <w:rsid w:val="00104436"/>
    <w:rsid w:val="0010685C"/>
    <w:rsid w:val="001068F5"/>
    <w:rsid w:val="0011128D"/>
    <w:rsid w:val="0011148C"/>
    <w:rsid w:val="0011201D"/>
    <w:rsid w:val="0011580F"/>
    <w:rsid w:val="00116AE9"/>
    <w:rsid w:val="00120B6C"/>
    <w:rsid w:val="0012111B"/>
    <w:rsid w:val="00123B6A"/>
    <w:rsid w:val="00123E72"/>
    <w:rsid w:val="00124A18"/>
    <w:rsid w:val="001257ED"/>
    <w:rsid w:val="001259B9"/>
    <w:rsid w:val="00126F75"/>
    <w:rsid w:val="00130AB1"/>
    <w:rsid w:val="001313B0"/>
    <w:rsid w:val="00131804"/>
    <w:rsid w:val="00131C5A"/>
    <w:rsid w:val="001346BE"/>
    <w:rsid w:val="00134E32"/>
    <w:rsid w:val="00134E6B"/>
    <w:rsid w:val="001357B4"/>
    <w:rsid w:val="00135F84"/>
    <w:rsid w:val="0014124F"/>
    <w:rsid w:val="001413C9"/>
    <w:rsid w:val="00142211"/>
    <w:rsid w:val="00142644"/>
    <w:rsid w:val="00143480"/>
    <w:rsid w:val="001437BC"/>
    <w:rsid w:val="00143E83"/>
    <w:rsid w:val="00146691"/>
    <w:rsid w:val="00147CE8"/>
    <w:rsid w:val="00152778"/>
    <w:rsid w:val="00152D9C"/>
    <w:rsid w:val="0015364D"/>
    <w:rsid w:val="00153CD3"/>
    <w:rsid w:val="001552E6"/>
    <w:rsid w:val="0015565C"/>
    <w:rsid w:val="00156D64"/>
    <w:rsid w:val="001608DD"/>
    <w:rsid w:val="001613A7"/>
    <w:rsid w:val="00163615"/>
    <w:rsid w:val="001662DB"/>
    <w:rsid w:val="001668DD"/>
    <w:rsid w:val="00170BDD"/>
    <w:rsid w:val="001712EF"/>
    <w:rsid w:val="00172237"/>
    <w:rsid w:val="00172599"/>
    <w:rsid w:val="001732C4"/>
    <w:rsid w:val="0017395D"/>
    <w:rsid w:val="00174598"/>
    <w:rsid w:val="00176372"/>
    <w:rsid w:val="001808F9"/>
    <w:rsid w:val="001812B8"/>
    <w:rsid w:val="001816B7"/>
    <w:rsid w:val="00181859"/>
    <w:rsid w:val="00181867"/>
    <w:rsid w:val="00181BEC"/>
    <w:rsid w:val="00182CED"/>
    <w:rsid w:val="00183A02"/>
    <w:rsid w:val="0018556B"/>
    <w:rsid w:val="00186A9C"/>
    <w:rsid w:val="0018797E"/>
    <w:rsid w:val="00192CEF"/>
    <w:rsid w:val="00195B5A"/>
    <w:rsid w:val="00196DA3"/>
    <w:rsid w:val="001A1138"/>
    <w:rsid w:val="001A26BB"/>
    <w:rsid w:val="001A5E38"/>
    <w:rsid w:val="001A6546"/>
    <w:rsid w:val="001B137F"/>
    <w:rsid w:val="001B3139"/>
    <w:rsid w:val="001B75DB"/>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2EC5"/>
    <w:rsid w:val="001F2F80"/>
    <w:rsid w:val="001F30B6"/>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31BA1"/>
    <w:rsid w:val="002345B6"/>
    <w:rsid w:val="002356B2"/>
    <w:rsid w:val="002356EC"/>
    <w:rsid w:val="002364F8"/>
    <w:rsid w:val="00237179"/>
    <w:rsid w:val="00242243"/>
    <w:rsid w:val="00243E90"/>
    <w:rsid w:val="00244144"/>
    <w:rsid w:val="00244327"/>
    <w:rsid w:val="002447AE"/>
    <w:rsid w:val="002449A3"/>
    <w:rsid w:val="00244CDC"/>
    <w:rsid w:val="00245FEA"/>
    <w:rsid w:val="0024638B"/>
    <w:rsid w:val="00247157"/>
    <w:rsid w:val="00250AAE"/>
    <w:rsid w:val="00250CAE"/>
    <w:rsid w:val="00251567"/>
    <w:rsid w:val="002549BE"/>
    <w:rsid w:val="00254B2D"/>
    <w:rsid w:val="002563E4"/>
    <w:rsid w:val="00256B36"/>
    <w:rsid w:val="00257459"/>
    <w:rsid w:val="00257507"/>
    <w:rsid w:val="002606D2"/>
    <w:rsid w:val="00260CC2"/>
    <w:rsid w:val="00261B02"/>
    <w:rsid w:val="00261B5B"/>
    <w:rsid w:val="00264DA7"/>
    <w:rsid w:val="00265632"/>
    <w:rsid w:val="00266AF9"/>
    <w:rsid w:val="0027105F"/>
    <w:rsid w:val="00273A55"/>
    <w:rsid w:val="00274186"/>
    <w:rsid w:val="002750A8"/>
    <w:rsid w:val="0028039F"/>
    <w:rsid w:val="002809A3"/>
    <w:rsid w:val="00281276"/>
    <w:rsid w:val="00281330"/>
    <w:rsid w:val="002823AB"/>
    <w:rsid w:val="00282939"/>
    <w:rsid w:val="00283E0C"/>
    <w:rsid w:val="00284EB9"/>
    <w:rsid w:val="00284F1A"/>
    <w:rsid w:val="00286CCA"/>
    <w:rsid w:val="00286F3B"/>
    <w:rsid w:val="0029190A"/>
    <w:rsid w:val="002930BB"/>
    <w:rsid w:val="00293469"/>
    <w:rsid w:val="002938E3"/>
    <w:rsid w:val="002942E8"/>
    <w:rsid w:val="00295834"/>
    <w:rsid w:val="0029594B"/>
    <w:rsid w:val="00295A38"/>
    <w:rsid w:val="00296FBD"/>
    <w:rsid w:val="00297E54"/>
    <w:rsid w:val="002A0623"/>
    <w:rsid w:val="002A25C7"/>
    <w:rsid w:val="002A2D06"/>
    <w:rsid w:val="002A2E1E"/>
    <w:rsid w:val="002A3A61"/>
    <w:rsid w:val="002A4E7D"/>
    <w:rsid w:val="002A5971"/>
    <w:rsid w:val="002A6DFA"/>
    <w:rsid w:val="002A784E"/>
    <w:rsid w:val="002A78C8"/>
    <w:rsid w:val="002B0EAE"/>
    <w:rsid w:val="002B104F"/>
    <w:rsid w:val="002B1426"/>
    <w:rsid w:val="002B1E9C"/>
    <w:rsid w:val="002B22E8"/>
    <w:rsid w:val="002B2DC5"/>
    <w:rsid w:val="002B58C3"/>
    <w:rsid w:val="002B6C30"/>
    <w:rsid w:val="002B780D"/>
    <w:rsid w:val="002B7B6E"/>
    <w:rsid w:val="002C120A"/>
    <w:rsid w:val="002C3ABE"/>
    <w:rsid w:val="002C4529"/>
    <w:rsid w:val="002C4963"/>
    <w:rsid w:val="002C56D3"/>
    <w:rsid w:val="002C5B51"/>
    <w:rsid w:val="002C62C0"/>
    <w:rsid w:val="002C7500"/>
    <w:rsid w:val="002C7B6E"/>
    <w:rsid w:val="002D17D1"/>
    <w:rsid w:val="002D4223"/>
    <w:rsid w:val="002D430B"/>
    <w:rsid w:val="002D4E3D"/>
    <w:rsid w:val="002D5578"/>
    <w:rsid w:val="002D5A70"/>
    <w:rsid w:val="002D614B"/>
    <w:rsid w:val="002D7F5F"/>
    <w:rsid w:val="002E1321"/>
    <w:rsid w:val="002E2EE8"/>
    <w:rsid w:val="002E3282"/>
    <w:rsid w:val="002E4670"/>
    <w:rsid w:val="002E5689"/>
    <w:rsid w:val="002E628B"/>
    <w:rsid w:val="002E67BD"/>
    <w:rsid w:val="002E6F67"/>
    <w:rsid w:val="002F2081"/>
    <w:rsid w:val="002F3B5D"/>
    <w:rsid w:val="002F3C82"/>
    <w:rsid w:val="003008FD"/>
    <w:rsid w:val="003031EC"/>
    <w:rsid w:val="00303B9E"/>
    <w:rsid w:val="00304EB7"/>
    <w:rsid w:val="00311CA4"/>
    <w:rsid w:val="00314A26"/>
    <w:rsid w:val="003152B2"/>
    <w:rsid w:val="00315328"/>
    <w:rsid w:val="00315AE5"/>
    <w:rsid w:val="00315B54"/>
    <w:rsid w:val="0031613E"/>
    <w:rsid w:val="00316C4E"/>
    <w:rsid w:val="00317EFD"/>
    <w:rsid w:val="003209BB"/>
    <w:rsid w:val="00321910"/>
    <w:rsid w:val="00321BBA"/>
    <w:rsid w:val="00321E97"/>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6541"/>
    <w:rsid w:val="00347591"/>
    <w:rsid w:val="00350AE9"/>
    <w:rsid w:val="00352AA9"/>
    <w:rsid w:val="0035449A"/>
    <w:rsid w:val="00355768"/>
    <w:rsid w:val="00356466"/>
    <w:rsid w:val="003568BE"/>
    <w:rsid w:val="00364305"/>
    <w:rsid w:val="003648FB"/>
    <w:rsid w:val="00364994"/>
    <w:rsid w:val="0036536F"/>
    <w:rsid w:val="00367547"/>
    <w:rsid w:val="003675CF"/>
    <w:rsid w:val="0037179B"/>
    <w:rsid w:val="00372C01"/>
    <w:rsid w:val="00372FC7"/>
    <w:rsid w:val="00373244"/>
    <w:rsid w:val="003741F2"/>
    <w:rsid w:val="003748D4"/>
    <w:rsid w:val="00374AFE"/>
    <w:rsid w:val="0037522B"/>
    <w:rsid w:val="003763CE"/>
    <w:rsid w:val="00376D84"/>
    <w:rsid w:val="00377CD9"/>
    <w:rsid w:val="00381A64"/>
    <w:rsid w:val="003822BE"/>
    <w:rsid w:val="00382A04"/>
    <w:rsid w:val="0038397B"/>
    <w:rsid w:val="00383BC1"/>
    <w:rsid w:val="003872BE"/>
    <w:rsid w:val="0039150D"/>
    <w:rsid w:val="00391BFA"/>
    <w:rsid w:val="00392A28"/>
    <w:rsid w:val="003942BF"/>
    <w:rsid w:val="00394364"/>
    <w:rsid w:val="00394B08"/>
    <w:rsid w:val="003952DB"/>
    <w:rsid w:val="003958A3"/>
    <w:rsid w:val="003958E2"/>
    <w:rsid w:val="003A00B7"/>
    <w:rsid w:val="003A05B3"/>
    <w:rsid w:val="003A0801"/>
    <w:rsid w:val="003A0E7E"/>
    <w:rsid w:val="003A15D2"/>
    <w:rsid w:val="003A1D24"/>
    <w:rsid w:val="003A2218"/>
    <w:rsid w:val="003A2BE0"/>
    <w:rsid w:val="003A2D9C"/>
    <w:rsid w:val="003A63CD"/>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1E0"/>
    <w:rsid w:val="003C2DB3"/>
    <w:rsid w:val="003C3D80"/>
    <w:rsid w:val="003C6E3E"/>
    <w:rsid w:val="003C7B69"/>
    <w:rsid w:val="003C7EBB"/>
    <w:rsid w:val="003D2E8A"/>
    <w:rsid w:val="003D3E3D"/>
    <w:rsid w:val="003D4278"/>
    <w:rsid w:val="003D4BFB"/>
    <w:rsid w:val="003D605B"/>
    <w:rsid w:val="003D61AA"/>
    <w:rsid w:val="003D7D13"/>
    <w:rsid w:val="003E0879"/>
    <w:rsid w:val="003E1D12"/>
    <w:rsid w:val="003E2359"/>
    <w:rsid w:val="003E2405"/>
    <w:rsid w:val="003E266D"/>
    <w:rsid w:val="003E27AB"/>
    <w:rsid w:val="003E2CB6"/>
    <w:rsid w:val="003E355D"/>
    <w:rsid w:val="003E4868"/>
    <w:rsid w:val="003E4954"/>
    <w:rsid w:val="003E555B"/>
    <w:rsid w:val="003E576C"/>
    <w:rsid w:val="003E6033"/>
    <w:rsid w:val="003E62C5"/>
    <w:rsid w:val="003E69E9"/>
    <w:rsid w:val="003E6CC1"/>
    <w:rsid w:val="003E7A41"/>
    <w:rsid w:val="003F04AA"/>
    <w:rsid w:val="003F0959"/>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07F07"/>
    <w:rsid w:val="00410915"/>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26A6C"/>
    <w:rsid w:val="00427A3C"/>
    <w:rsid w:val="00431BB4"/>
    <w:rsid w:val="00431DFC"/>
    <w:rsid w:val="004320AF"/>
    <w:rsid w:val="00433E8B"/>
    <w:rsid w:val="00435200"/>
    <w:rsid w:val="00435D72"/>
    <w:rsid w:val="00436572"/>
    <w:rsid w:val="00437E42"/>
    <w:rsid w:val="004400EC"/>
    <w:rsid w:val="00440F82"/>
    <w:rsid w:val="00441229"/>
    <w:rsid w:val="00444F31"/>
    <w:rsid w:val="00446932"/>
    <w:rsid w:val="00450C54"/>
    <w:rsid w:val="004516E5"/>
    <w:rsid w:val="00451C31"/>
    <w:rsid w:val="00452A50"/>
    <w:rsid w:val="004539D8"/>
    <w:rsid w:val="0045520E"/>
    <w:rsid w:val="00457098"/>
    <w:rsid w:val="00460163"/>
    <w:rsid w:val="004607DF"/>
    <w:rsid w:val="004632F8"/>
    <w:rsid w:val="00464292"/>
    <w:rsid w:val="0046742C"/>
    <w:rsid w:val="00470A5F"/>
    <w:rsid w:val="00471E8C"/>
    <w:rsid w:val="0047439A"/>
    <w:rsid w:val="00474B08"/>
    <w:rsid w:val="004756EF"/>
    <w:rsid w:val="00476C05"/>
    <w:rsid w:val="00477837"/>
    <w:rsid w:val="00481737"/>
    <w:rsid w:val="0048230A"/>
    <w:rsid w:val="00482810"/>
    <w:rsid w:val="004828EF"/>
    <w:rsid w:val="004842B0"/>
    <w:rsid w:val="00487294"/>
    <w:rsid w:val="00487473"/>
    <w:rsid w:val="0049053E"/>
    <w:rsid w:val="00491CE2"/>
    <w:rsid w:val="00491F4B"/>
    <w:rsid w:val="00492876"/>
    <w:rsid w:val="00493256"/>
    <w:rsid w:val="00494863"/>
    <w:rsid w:val="00495AD1"/>
    <w:rsid w:val="004A0B95"/>
    <w:rsid w:val="004A263D"/>
    <w:rsid w:val="004A3087"/>
    <w:rsid w:val="004A357D"/>
    <w:rsid w:val="004A3C18"/>
    <w:rsid w:val="004A7D1C"/>
    <w:rsid w:val="004B1927"/>
    <w:rsid w:val="004B3892"/>
    <w:rsid w:val="004B3EEC"/>
    <w:rsid w:val="004B6078"/>
    <w:rsid w:val="004B62C3"/>
    <w:rsid w:val="004B6411"/>
    <w:rsid w:val="004B765F"/>
    <w:rsid w:val="004C00A2"/>
    <w:rsid w:val="004C1409"/>
    <w:rsid w:val="004C2675"/>
    <w:rsid w:val="004C3207"/>
    <w:rsid w:val="004C4833"/>
    <w:rsid w:val="004D0090"/>
    <w:rsid w:val="004D00A0"/>
    <w:rsid w:val="004D02FD"/>
    <w:rsid w:val="004D2287"/>
    <w:rsid w:val="004D2B4D"/>
    <w:rsid w:val="004D3DC7"/>
    <w:rsid w:val="004D60D0"/>
    <w:rsid w:val="004D7E80"/>
    <w:rsid w:val="004E071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37BC"/>
    <w:rsid w:val="005042E1"/>
    <w:rsid w:val="00504CDC"/>
    <w:rsid w:val="005053F2"/>
    <w:rsid w:val="005060A5"/>
    <w:rsid w:val="005063BD"/>
    <w:rsid w:val="005075F9"/>
    <w:rsid w:val="0051003D"/>
    <w:rsid w:val="00510B74"/>
    <w:rsid w:val="0051108D"/>
    <w:rsid w:val="0051200F"/>
    <w:rsid w:val="005128C7"/>
    <w:rsid w:val="0051324A"/>
    <w:rsid w:val="00513315"/>
    <w:rsid w:val="0051365D"/>
    <w:rsid w:val="00514724"/>
    <w:rsid w:val="00516282"/>
    <w:rsid w:val="005165AF"/>
    <w:rsid w:val="00516C75"/>
    <w:rsid w:val="00516DE2"/>
    <w:rsid w:val="005173FB"/>
    <w:rsid w:val="005203FA"/>
    <w:rsid w:val="00524DC8"/>
    <w:rsid w:val="00525DD4"/>
    <w:rsid w:val="00526E89"/>
    <w:rsid w:val="005300A3"/>
    <w:rsid w:val="005305BB"/>
    <w:rsid w:val="00530D19"/>
    <w:rsid w:val="005332A9"/>
    <w:rsid w:val="00534939"/>
    <w:rsid w:val="00537E19"/>
    <w:rsid w:val="005402A6"/>
    <w:rsid w:val="0054191D"/>
    <w:rsid w:val="0054232F"/>
    <w:rsid w:val="005425BF"/>
    <w:rsid w:val="00544289"/>
    <w:rsid w:val="005466A2"/>
    <w:rsid w:val="00547860"/>
    <w:rsid w:val="00550E3C"/>
    <w:rsid w:val="0055205F"/>
    <w:rsid w:val="00553652"/>
    <w:rsid w:val="0055446D"/>
    <w:rsid w:val="005553D2"/>
    <w:rsid w:val="005559CC"/>
    <w:rsid w:val="00556F18"/>
    <w:rsid w:val="00560D05"/>
    <w:rsid w:val="0056192B"/>
    <w:rsid w:val="005620B7"/>
    <w:rsid w:val="005622CF"/>
    <w:rsid w:val="00563F70"/>
    <w:rsid w:val="005650D3"/>
    <w:rsid w:val="00565668"/>
    <w:rsid w:val="0056591A"/>
    <w:rsid w:val="00571BAA"/>
    <w:rsid w:val="005735A7"/>
    <w:rsid w:val="00575F17"/>
    <w:rsid w:val="00575F83"/>
    <w:rsid w:val="0058038F"/>
    <w:rsid w:val="00581586"/>
    <w:rsid w:val="00585871"/>
    <w:rsid w:val="00585E83"/>
    <w:rsid w:val="00586432"/>
    <w:rsid w:val="00590C76"/>
    <w:rsid w:val="00593D0B"/>
    <w:rsid w:val="005A04C8"/>
    <w:rsid w:val="005A126B"/>
    <w:rsid w:val="005A168D"/>
    <w:rsid w:val="005A284C"/>
    <w:rsid w:val="005A2CFD"/>
    <w:rsid w:val="005A3CEC"/>
    <w:rsid w:val="005A3FDC"/>
    <w:rsid w:val="005A4D65"/>
    <w:rsid w:val="005A4F01"/>
    <w:rsid w:val="005A672A"/>
    <w:rsid w:val="005B227B"/>
    <w:rsid w:val="005B2432"/>
    <w:rsid w:val="005B289F"/>
    <w:rsid w:val="005B46B9"/>
    <w:rsid w:val="005B5DAD"/>
    <w:rsid w:val="005B5F22"/>
    <w:rsid w:val="005B6C7B"/>
    <w:rsid w:val="005B6CD7"/>
    <w:rsid w:val="005B7309"/>
    <w:rsid w:val="005B7587"/>
    <w:rsid w:val="005B7702"/>
    <w:rsid w:val="005C1ABF"/>
    <w:rsid w:val="005C2803"/>
    <w:rsid w:val="005C3B76"/>
    <w:rsid w:val="005C4F50"/>
    <w:rsid w:val="005C53AC"/>
    <w:rsid w:val="005C5B2D"/>
    <w:rsid w:val="005C76B2"/>
    <w:rsid w:val="005D09B9"/>
    <w:rsid w:val="005D175E"/>
    <w:rsid w:val="005D1B1D"/>
    <w:rsid w:val="005D3918"/>
    <w:rsid w:val="005D4C67"/>
    <w:rsid w:val="005D5CC2"/>
    <w:rsid w:val="005D62EB"/>
    <w:rsid w:val="005D6687"/>
    <w:rsid w:val="005D70F4"/>
    <w:rsid w:val="005D74A3"/>
    <w:rsid w:val="005E18D2"/>
    <w:rsid w:val="005E268D"/>
    <w:rsid w:val="005E2CCB"/>
    <w:rsid w:val="005E2E1E"/>
    <w:rsid w:val="005E334A"/>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43B2"/>
    <w:rsid w:val="00604489"/>
    <w:rsid w:val="006046DD"/>
    <w:rsid w:val="006060CD"/>
    <w:rsid w:val="00607256"/>
    <w:rsid w:val="0061334D"/>
    <w:rsid w:val="00614187"/>
    <w:rsid w:val="006147B4"/>
    <w:rsid w:val="00615791"/>
    <w:rsid w:val="0061633F"/>
    <w:rsid w:val="00620694"/>
    <w:rsid w:val="0062078B"/>
    <w:rsid w:val="00622033"/>
    <w:rsid w:val="0062595C"/>
    <w:rsid w:val="00625A03"/>
    <w:rsid w:val="0062621C"/>
    <w:rsid w:val="0062687A"/>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664"/>
    <w:rsid w:val="00650AC9"/>
    <w:rsid w:val="00650C06"/>
    <w:rsid w:val="00651B2E"/>
    <w:rsid w:val="006523AE"/>
    <w:rsid w:val="00654670"/>
    <w:rsid w:val="00655AA0"/>
    <w:rsid w:val="00656DBB"/>
    <w:rsid w:val="00660149"/>
    <w:rsid w:val="0066190D"/>
    <w:rsid w:val="00661D3A"/>
    <w:rsid w:val="00662A8F"/>
    <w:rsid w:val="0066354E"/>
    <w:rsid w:val="00664523"/>
    <w:rsid w:val="00664670"/>
    <w:rsid w:val="00665780"/>
    <w:rsid w:val="00670993"/>
    <w:rsid w:val="00671F9E"/>
    <w:rsid w:val="0067267B"/>
    <w:rsid w:val="00674244"/>
    <w:rsid w:val="00675ACB"/>
    <w:rsid w:val="006760A4"/>
    <w:rsid w:val="00676375"/>
    <w:rsid w:val="0068177B"/>
    <w:rsid w:val="0068396A"/>
    <w:rsid w:val="00684AFA"/>
    <w:rsid w:val="00685899"/>
    <w:rsid w:val="00687342"/>
    <w:rsid w:val="0068735D"/>
    <w:rsid w:val="006873FC"/>
    <w:rsid w:val="00687753"/>
    <w:rsid w:val="00687F6D"/>
    <w:rsid w:val="0069187E"/>
    <w:rsid w:val="0069418C"/>
    <w:rsid w:val="00694E04"/>
    <w:rsid w:val="00695464"/>
    <w:rsid w:val="006958A0"/>
    <w:rsid w:val="006964BF"/>
    <w:rsid w:val="006967AB"/>
    <w:rsid w:val="00697D91"/>
    <w:rsid w:val="006A1B6C"/>
    <w:rsid w:val="006A5098"/>
    <w:rsid w:val="006A5803"/>
    <w:rsid w:val="006A6BD0"/>
    <w:rsid w:val="006A7509"/>
    <w:rsid w:val="006A7743"/>
    <w:rsid w:val="006B1A1F"/>
    <w:rsid w:val="006B1D5E"/>
    <w:rsid w:val="006B5501"/>
    <w:rsid w:val="006B693E"/>
    <w:rsid w:val="006B7A58"/>
    <w:rsid w:val="006C49D9"/>
    <w:rsid w:val="006C4A27"/>
    <w:rsid w:val="006C4B61"/>
    <w:rsid w:val="006C5710"/>
    <w:rsid w:val="006C69F6"/>
    <w:rsid w:val="006D0462"/>
    <w:rsid w:val="006D0911"/>
    <w:rsid w:val="006D0BCA"/>
    <w:rsid w:val="006D0D91"/>
    <w:rsid w:val="006D1312"/>
    <w:rsid w:val="006D2833"/>
    <w:rsid w:val="006D3D8D"/>
    <w:rsid w:val="006D5F59"/>
    <w:rsid w:val="006D6F73"/>
    <w:rsid w:val="006D7ADE"/>
    <w:rsid w:val="006E17C4"/>
    <w:rsid w:val="006E19A4"/>
    <w:rsid w:val="006E4096"/>
    <w:rsid w:val="006E48AE"/>
    <w:rsid w:val="006E48D5"/>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4C48"/>
    <w:rsid w:val="00716160"/>
    <w:rsid w:val="007175F1"/>
    <w:rsid w:val="007208BB"/>
    <w:rsid w:val="00721EC3"/>
    <w:rsid w:val="0072333A"/>
    <w:rsid w:val="0072366D"/>
    <w:rsid w:val="0072394C"/>
    <w:rsid w:val="007244CA"/>
    <w:rsid w:val="00727ECD"/>
    <w:rsid w:val="00727F15"/>
    <w:rsid w:val="0073182E"/>
    <w:rsid w:val="0073215C"/>
    <w:rsid w:val="00732616"/>
    <w:rsid w:val="0073420F"/>
    <w:rsid w:val="00734791"/>
    <w:rsid w:val="00734C80"/>
    <w:rsid w:val="0073507C"/>
    <w:rsid w:val="0073570A"/>
    <w:rsid w:val="00735B37"/>
    <w:rsid w:val="00737DB4"/>
    <w:rsid w:val="00740394"/>
    <w:rsid w:val="00740EC5"/>
    <w:rsid w:val="00741337"/>
    <w:rsid w:val="00742AC6"/>
    <w:rsid w:val="0074321E"/>
    <w:rsid w:val="00743690"/>
    <w:rsid w:val="00743F93"/>
    <w:rsid w:val="0074510F"/>
    <w:rsid w:val="0074513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7E6"/>
    <w:rsid w:val="007668EB"/>
    <w:rsid w:val="007714CA"/>
    <w:rsid w:val="00771BBF"/>
    <w:rsid w:val="00771EDF"/>
    <w:rsid w:val="00771F1E"/>
    <w:rsid w:val="00772305"/>
    <w:rsid w:val="0077238B"/>
    <w:rsid w:val="00772433"/>
    <w:rsid w:val="007724E7"/>
    <w:rsid w:val="0077301F"/>
    <w:rsid w:val="00775397"/>
    <w:rsid w:val="00776189"/>
    <w:rsid w:val="00776A8C"/>
    <w:rsid w:val="007802E1"/>
    <w:rsid w:val="00780E5E"/>
    <w:rsid w:val="00781685"/>
    <w:rsid w:val="007823F7"/>
    <w:rsid w:val="007825FF"/>
    <w:rsid w:val="00782600"/>
    <w:rsid w:val="00782AB2"/>
    <w:rsid w:val="00783462"/>
    <w:rsid w:val="00783DB6"/>
    <w:rsid w:val="00786ADB"/>
    <w:rsid w:val="00787B20"/>
    <w:rsid w:val="00790010"/>
    <w:rsid w:val="0079478A"/>
    <w:rsid w:val="00794819"/>
    <w:rsid w:val="007960C9"/>
    <w:rsid w:val="00797681"/>
    <w:rsid w:val="007978B2"/>
    <w:rsid w:val="00797CB6"/>
    <w:rsid w:val="007A1426"/>
    <w:rsid w:val="007A1607"/>
    <w:rsid w:val="007A203D"/>
    <w:rsid w:val="007A3434"/>
    <w:rsid w:val="007A3DD3"/>
    <w:rsid w:val="007A493F"/>
    <w:rsid w:val="007A5556"/>
    <w:rsid w:val="007A6BBE"/>
    <w:rsid w:val="007A795A"/>
    <w:rsid w:val="007B1D0F"/>
    <w:rsid w:val="007B3F8C"/>
    <w:rsid w:val="007B4F22"/>
    <w:rsid w:val="007C02C2"/>
    <w:rsid w:val="007C3242"/>
    <w:rsid w:val="007C364E"/>
    <w:rsid w:val="007C5BFF"/>
    <w:rsid w:val="007C631B"/>
    <w:rsid w:val="007C6DAC"/>
    <w:rsid w:val="007C6F3D"/>
    <w:rsid w:val="007D05E1"/>
    <w:rsid w:val="007D12F9"/>
    <w:rsid w:val="007D1451"/>
    <w:rsid w:val="007D7580"/>
    <w:rsid w:val="007D7595"/>
    <w:rsid w:val="007D7B96"/>
    <w:rsid w:val="007D7F41"/>
    <w:rsid w:val="007E174F"/>
    <w:rsid w:val="007E2621"/>
    <w:rsid w:val="007E2718"/>
    <w:rsid w:val="007E362E"/>
    <w:rsid w:val="007E382C"/>
    <w:rsid w:val="007E41D8"/>
    <w:rsid w:val="007E57AD"/>
    <w:rsid w:val="007F0471"/>
    <w:rsid w:val="007F22B8"/>
    <w:rsid w:val="007F32DC"/>
    <w:rsid w:val="007F3468"/>
    <w:rsid w:val="007F4E61"/>
    <w:rsid w:val="007F5851"/>
    <w:rsid w:val="007F6B1D"/>
    <w:rsid w:val="0080174E"/>
    <w:rsid w:val="008018C6"/>
    <w:rsid w:val="00801E84"/>
    <w:rsid w:val="00802F2E"/>
    <w:rsid w:val="00805B97"/>
    <w:rsid w:val="00807B53"/>
    <w:rsid w:val="0081111A"/>
    <w:rsid w:val="00811656"/>
    <w:rsid w:val="008172D0"/>
    <w:rsid w:val="00821935"/>
    <w:rsid w:val="0082239B"/>
    <w:rsid w:val="00822A35"/>
    <w:rsid w:val="00823AEF"/>
    <w:rsid w:val="00824C11"/>
    <w:rsid w:val="008302FF"/>
    <w:rsid w:val="0083074C"/>
    <w:rsid w:val="00830A67"/>
    <w:rsid w:val="00830DC9"/>
    <w:rsid w:val="00831A25"/>
    <w:rsid w:val="00832725"/>
    <w:rsid w:val="008338B6"/>
    <w:rsid w:val="00835FB5"/>
    <w:rsid w:val="008366F9"/>
    <w:rsid w:val="00836AFC"/>
    <w:rsid w:val="00837E93"/>
    <w:rsid w:val="00844234"/>
    <w:rsid w:val="0084489D"/>
    <w:rsid w:val="008469CB"/>
    <w:rsid w:val="00847C89"/>
    <w:rsid w:val="008539E9"/>
    <w:rsid w:val="00853D33"/>
    <w:rsid w:val="00853F40"/>
    <w:rsid w:val="00855613"/>
    <w:rsid w:val="008577EC"/>
    <w:rsid w:val="00860FA9"/>
    <w:rsid w:val="00864BEB"/>
    <w:rsid w:val="00865667"/>
    <w:rsid w:val="0086718A"/>
    <w:rsid w:val="008751B6"/>
    <w:rsid w:val="00875E6F"/>
    <w:rsid w:val="00876201"/>
    <w:rsid w:val="0087709B"/>
    <w:rsid w:val="00883582"/>
    <w:rsid w:val="008836E7"/>
    <w:rsid w:val="00883C6A"/>
    <w:rsid w:val="00885A50"/>
    <w:rsid w:val="00886496"/>
    <w:rsid w:val="00886F18"/>
    <w:rsid w:val="00891745"/>
    <w:rsid w:val="00892758"/>
    <w:rsid w:val="00897296"/>
    <w:rsid w:val="00897322"/>
    <w:rsid w:val="00897581"/>
    <w:rsid w:val="00897D1F"/>
    <w:rsid w:val="00897DEC"/>
    <w:rsid w:val="008A328E"/>
    <w:rsid w:val="008A51C8"/>
    <w:rsid w:val="008A52E3"/>
    <w:rsid w:val="008A7F86"/>
    <w:rsid w:val="008B2A63"/>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699C"/>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5C0C"/>
    <w:rsid w:val="008F6D06"/>
    <w:rsid w:val="00900E05"/>
    <w:rsid w:val="00903582"/>
    <w:rsid w:val="0090371F"/>
    <w:rsid w:val="00903975"/>
    <w:rsid w:val="009055F4"/>
    <w:rsid w:val="009071CE"/>
    <w:rsid w:val="00914DCF"/>
    <w:rsid w:val="00916E8F"/>
    <w:rsid w:val="00917A24"/>
    <w:rsid w:val="00920D1C"/>
    <w:rsid w:val="0092276D"/>
    <w:rsid w:val="009236F1"/>
    <w:rsid w:val="00923A3C"/>
    <w:rsid w:val="00923B8F"/>
    <w:rsid w:val="009246F1"/>
    <w:rsid w:val="00930D54"/>
    <w:rsid w:val="009310FA"/>
    <w:rsid w:val="0093203E"/>
    <w:rsid w:val="009323BE"/>
    <w:rsid w:val="009331A4"/>
    <w:rsid w:val="00935032"/>
    <w:rsid w:val="00936EE9"/>
    <w:rsid w:val="00937D60"/>
    <w:rsid w:val="00940833"/>
    <w:rsid w:val="009409AB"/>
    <w:rsid w:val="00941A7C"/>
    <w:rsid w:val="009426F6"/>
    <w:rsid w:val="009432CD"/>
    <w:rsid w:val="00944EF0"/>
    <w:rsid w:val="00944F9A"/>
    <w:rsid w:val="0094740C"/>
    <w:rsid w:val="0095303A"/>
    <w:rsid w:val="009534AA"/>
    <w:rsid w:val="00953ADE"/>
    <w:rsid w:val="00956D7C"/>
    <w:rsid w:val="00957DB5"/>
    <w:rsid w:val="00960655"/>
    <w:rsid w:val="00961D17"/>
    <w:rsid w:val="0096499E"/>
    <w:rsid w:val="00964C2D"/>
    <w:rsid w:val="00965116"/>
    <w:rsid w:val="0096517A"/>
    <w:rsid w:val="00965984"/>
    <w:rsid w:val="00966206"/>
    <w:rsid w:val="009703FC"/>
    <w:rsid w:val="00970601"/>
    <w:rsid w:val="00971035"/>
    <w:rsid w:val="00971344"/>
    <w:rsid w:val="00973080"/>
    <w:rsid w:val="009736B9"/>
    <w:rsid w:val="009754F7"/>
    <w:rsid w:val="0097558F"/>
    <w:rsid w:val="00975713"/>
    <w:rsid w:val="009777BB"/>
    <w:rsid w:val="00977BE9"/>
    <w:rsid w:val="00980378"/>
    <w:rsid w:val="00982F87"/>
    <w:rsid w:val="00982FC5"/>
    <w:rsid w:val="00984187"/>
    <w:rsid w:val="00984A53"/>
    <w:rsid w:val="00985D49"/>
    <w:rsid w:val="009864DB"/>
    <w:rsid w:val="009866E2"/>
    <w:rsid w:val="00986A2F"/>
    <w:rsid w:val="00987268"/>
    <w:rsid w:val="009874B6"/>
    <w:rsid w:val="009878AF"/>
    <w:rsid w:val="0099055B"/>
    <w:rsid w:val="0099086F"/>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62C9"/>
    <w:rsid w:val="009B7BEE"/>
    <w:rsid w:val="009C049D"/>
    <w:rsid w:val="009C2A63"/>
    <w:rsid w:val="009C3CCF"/>
    <w:rsid w:val="009C5F92"/>
    <w:rsid w:val="009C61F0"/>
    <w:rsid w:val="009C6776"/>
    <w:rsid w:val="009C7850"/>
    <w:rsid w:val="009D068F"/>
    <w:rsid w:val="009D20C5"/>
    <w:rsid w:val="009D4FFC"/>
    <w:rsid w:val="009D50C3"/>
    <w:rsid w:val="009D5A7A"/>
    <w:rsid w:val="009D7C6A"/>
    <w:rsid w:val="009E2898"/>
    <w:rsid w:val="009E2BD2"/>
    <w:rsid w:val="009E30AA"/>
    <w:rsid w:val="009E73FD"/>
    <w:rsid w:val="009E7BC9"/>
    <w:rsid w:val="009F3F60"/>
    <w:rsid w:val="009F7177"/>
    <w:rsid w:val="009F7201"/>
    <w:rsid w:val="009F7324"/>
    <w:rsid w:val="009F7F1F"/>
    <w:rsid w:val="00A005F0"/>
    <w:rsid w:val="00A025FD"/>
    <w:rsid w:val="00A027F9"/>
    <w:rsid w:val="00A05273"/>
    <w:rsid w:val="00A059C8"/>
    <w:rsid w:val="00A06C1D"/>
    <w:rsid w:val="00A06CE1"/>
    <w:rsid w:val="00A1325F"/>
    <w:rsid w:val="00A145B0"/>
    <w:rsid w:val="00A14743"/>
    <w:rsid w:val="00A1516A"/>
    <w:rsid w:val="00A15AF0"/>
    <w:rsid w:val="00A16F61"/>
    <w:rsid w:val="00A17EF9"/>
    <w:rsid w:val="00A220DC"/>
    <w:rsid w:val="00A2223B"/>
    <w:rsid w:val="00A24A8C"/>
    <w:rsid w:val="00A25B20"/>
    <w:rsid w:val="00A270BB"/>
    <w:rsid w:val="00A2728E"/>
    <w:rsid w:val="00A27308"/>
    <w:rsid w:val="00A27377"/>
    <w:rsid w:val="00A3058C"/>
    <w:rsid w:val="00A319D3"/>
    <w:rsid w:val="00A31FA1"/>
    <w:rsid w:val="00A326B7"/>
    <w:rsid w:val="00A3295D"/>
    <w:rsid w:val="00A32DC7"/>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2549"/>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3477"/>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2FE1"/>
    <w:rsid w:val="00AA453A"/>
    <w:rsid w:val="00AA4BBC"/>
    <w:rsid w:val="00AA6620"/>
    <w:rsid w:val="00AA6921"/>
    <w:rsid w:val="00AA73E6"/>
    <w:rsid w:val="00AB038D"/>
    <w:rsid w:val="00AB5019"/>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4616"/>
    <w:rsid w:val="00AD65A3"/>
    <w:rsid w:val="00AD7FC9"/>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E4F"/>
    <w:rsid w:val="00B16F50"/>
    <w:rsid w:val="00B17A71"/>
    <w:rsid w:val="00B200B8"/>
    <w:rsid w:val="00B2074D"/>
    <w:rsid w:val="00B20E20"/>
    <w:rsid w:val="00B21450"/>
    <w:rsid w:val="00B21594"/>
    <w:rsid w:val="00B22072"/>
    <w:rsid w:val="00B2231D"/>
    <w:rsid w:val="00B260F0"/>
    <w:rsid w:val="00B27914"/>
    <w:rsid w:val="00B27988"/>
    <w:rsid w:val="00B32297"/>
    <w:rsid w:val="00B32598"/>
    <w:rsid w:val="00B32602"/>
    <w:rsid w:val="00B32638"/>
    <w:rsid w:val="00B32931"/>
    <w:rsid w:val="00B349E1"/>
    <w:rsid w:val="00B34DE3"/>
    <w:rsid w:val="00B3590C"/>
    <w:rsid w:val="00B4140E"/>
    <w:rsid w:val="00B41906"/>
    <w:rsid w:val="00B43340"/>
    <w:rsid w:val="00B43519"/>
    <w:rsid w:val="00B4392B"/>
    <w:rsid w:val="00B43C7E"/>
    <w:rsid w:val="00B44E06"/>
    <w:rsid w:val="00B4506E"/>
    <w:rsid w:val="00B478F9"/>
    <w:rsid w:val="00B47F38"/>
    <w:rsid w:val="00B5083F"/>
    <w:rsid w:val="00B526A0"/>
    <w:rsid w:val="00B5271E"/>
    <w:rsid w:val="00B538B8"/>
    <w:rsid w:val="00B54442"/>
    <w:rsid w:val="00B5466C"/>
    <w:rsid w:val="00B54BAF"/>
    <w:rsid w:val="00B55139"/>
    <w:rsid w:val="00B562EE"/>
    <w:rsid w:val="00B57173"/>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A2"/>
    <w:rsid w:val="00B76EA1"/>
    <w:rsid w:val="00B821BC"/>
    <w:rsid w:val="00B82861"/>
    <w:rsid w:val="00B83559"/>
    <w:rsid w:val="00B85282"/>
    <w:rsid w:val="00B85BE1"/>
    <w:rsid w:val="00B86477"/>
    <w:rsid w:val="00B87203"/>
    <w:rsid w:val="00B90361"/>
    <w:rsid w:val="00B90845"/>
    <w:rsid w:val="00B9184A"/>
    <w:rsid w:val="00B92A6A"/>
    <w:rsid w:val="00B9384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7B0"/>
    <w:rsid w:val="00BB7D0B"/>
    <w:rsid w:val="00BC2DC8"/>
    <w:rsid w:val="00BC5446"/>
    <w:rsid w:val="00BC726C"/>
    <w:rsid w:val="00BC7520"/>
    <w:rsid w:val="00BD3F4E"/>
    <w:rsid w:val="00BD44B0"/>
    <w:rsid w:val="00BD51DC"/>
    <w:rsid w:val="00BD54B1"/>
    <w:rsid w:val="00BD622D"/>
    <w:rsid w:val="00BD7F32"/>
    <w:rsid w:val="00BE2E80"/>
    <w:rsid w:val="00BE4F7B"/>
    <w:rsid w:val="00BE5701"/>
    <w:rsid w:val="00BE5C44"/>
    <w:rsid w:val="00BE6C19"/>
    <w:rsid w:val="00BE7053"/>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29D9"/>
    <w:rsid w:val="00C130F0"/>
    <w:rsid w:val="00C13A97"/>
    <w:rsid w:val="00C13DAD"/>
    <w:rsid w:val="00C15493"/>
    <w:rsid w:val="00C16441"/>
    <w:rsid w:val="00C167B9"/>
    <w:rsid w:val="00C16FF2"/>
    <w:rsid w:val="00C17265"/>
    <w:rsid w:val="00C178C2"/>
    <w:rsid w:val="00C200DE"/>
    <w:rsid w:val="00C20229"/>
    <w:rsid w:val="00C211E0"/>
    <w:rsid w:val="00C213F2"/>
    <w:rsid w:val="00C21F54"/>
    <w:rsid w:val="00C224CA"/>
    <w:rsid w:val="00C22AE4"/>
    <w:rsid w:val="00C24DE2"/>
    <w:rsid w:val="00C31845"/>
    <w:rsid w:val="00C31C81"/>
    <w:rsid w:val="00C32396"/>
    <w:rsid w:val="00C3270C"/>
    <w:rsid w:val="00C33D3B"/>
    <w:rsid w:val="00C3429B"/>
    <w:rsid w:val="00C34E6B"/>
    <w:rsid w:val="00C3607A"/>
    <w:rsid w:val="00C3787B"/>
    <w:rsid w:val="00C379E9"/>
    <w:rsid w:val="00C401A6"/>
    <w:rsid w:val="00C410B3"/>
    <w:rsid w:val="00C42689"/>
    <w:rsid w:val="00C4496F"/>
    <w:rsid w:val="00C459B5"/>
    <w:rsid w:val="00C45DA9"/>
    <w:rsid w:val="00C47E47"/>
    <w:rsid w:val="00C51A1C"/>
    <w:rsid w:val="00C52108"/>
    <w:rsid w:val="00C56CCB"/>
    <w:rsid w:val="00C60B94"/>
    <w:rsid w:val="00C60FF1"/>
    <w:rsid w:val="00C623FE"/>
    <w:rsid w:val="00C6384C"/>
    <w:rsid w:val="00C63CBE"/>
    <w:rsid w:val="00C63DA4"/>
    <w:rsid w:val="00C63F3B"/>
    <w:rsid w:val="00C6499D"/>
    <w:rsid w:val="00C663E3"/>
    <w:rsid w:val="00C70756"/>
    <w:rsid w:val="00C768B8"/>
    <w:rsid w:val="00C802F4"/>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8B8"/>
    <w:rsid w:val="00CC278D"/>
    <w:rsid w:val="00CC53D5"/>
    <w:rsid w:val="00CC6C46"/>
    <w:rsid w:val="00CC6E96"/>
    <w:rsid w:val="00CC718B"/>
    <w:rsid w:val="00CD0204"/>
    <w:rsid w:val="00CD1C98"/>
    <w:rsid w:val="00CD3FE7"/>
    <w:rsid w:val="00CD6B0E"/>
    <w:rsid w:val="00CD760F"/>
    <w:rsid w:val="00CD7729"/>
    <w:rsid w:val="00CE05E3"/>
    <w:rsid w:val="00CE1208"/>
    <w:rsid w:val="00CE41B7"/>
    <w:rsid w:val="00CE5FEE"/>
    <w:rsid w:val="00CE6146"/>
    <w:rsid w:val="00CE7282"/>
    <w:rsid w:val="00CE735C"/>
    <w:rsid w:val="00CF1E02"/>
    <w:rsid w:val="00CF2355"/>
    <w:rsid w:val="00CF6D8B"/>
    <w:rsid w:val="00CF7F4D"/>
    <w:rsid w:val="00D00851"/>
    <w:rsid w:val="00D03187"/>
    <w:rsid w:val="00D04595"/>
    <w:rsid w:val="00D05EE6"/>
    <w:rsid w:val="00D0770D"/>
    <w:rsid w:val="00D07EC4"/>
    <w:rsid w:val="00D10239"/>
    <w:rsid w:val="00D1093B"/>
    <w:rsid w:val="00D11B91"/>
    <w:rsid w:val="00D11C94"/>
    <w:rsid w:val="00D13DB0"/>
    <w:rsid w:val="00D140BD"/>
    <w:rsid w:val="00D164C0"/>
    <w:rsid w:val="00D17822"/>
    <w:rsid w:val="00D200B1"/>
    <w:rsid w:val="00D2028D"/>
    <w:rsid w:val="00D20C21"/>
    <w:rsid w:val="00D250C5"/>
    <w:rsid w:val="00D3014D"/>
    <w:rsid w:val="00D31BF9"/>
    <w:rsid w:val="00D325EE"/>
    <w:rsid w:val="00D344B9"/>
    <w:rsid w:val="00D3551D"/>
    <w:rsid w:val="00D356D1"/>
    <w:rsid w:val="00D3574C"/>
    <w:rsid w:val="00D35D96"/>
    <w:rsid w:val="00D362DA"/>
    <w:rsid w:val="00D37C4A"/>
    <w:rsid w:val="00D41779"/>
    <w:rsid w:val="00D418B0"/>
    <w:rsid w:val="00D41FB6"/>
    <w:rsid w:val="00D42435"/>
    <w:rsid w:val="00D45CD9"/>
    <w:rsid w:val="00D46420"/>
    <w:rsid w:val="00D474D2"/>
    <w:rsid w:val="00D475D5"/>
    <w:rsid w:val="00D50869"/>
    <w:rsid w:val="00D50BF0"/>
    <w:rsid w:val="00D5303F"/>
    <w:rsid w:val="00D53CD7"/>
    <w:rsid w:val="00D551A4"/>
    <w:rsid w:val="00D55E2A"/>
    <w:rsid w:val="00D55E91"/>
    <w:rsid w:val="00D56557"/>
    <w:rsid w:val="00D57636"/>
    <w:rsid w:val="00D579B4"/>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3DE"/>
    <w:rsid w:val="00D8374A"/>
    <w:rsid w:val="00D83750"/>
    <w:rsid w:val="00D8390F"/>
    <w:rsid w:val="00D8442A"/>
    <w:rsid w:val="00D84570"/>
    <w:rsid w:val="00D860F4"/>
    <w:rsid w:val="00D86F4F"/>
    <w:rsid w:val="00D87E4B"/>
    <w:rsid w:val="00D91219"/>
    <w:rsid w:val="00D94387"/>
    <w:rsid w:val="00D952C6"/>
    <w:rsid w:val="00D9653C"/>
    <w:rsid w:val="00D96FA3"/>
    <w:rsid w:val="00D970C6"/>
    <w:rsid w:val="00D97822"/>
    <w:rsid w:val="00D97A9A"/>
    <w:rsid w:val="00DA0A33"/>
    <w:rsid w:val="00DA1297"/>
    <w:rsid w:val="00DA13F1"/>
    <w:rsid w:val="00DA1A14"/>
    <w:rsid w:val="00DA2FEB"/>
    <w:rsid w:val="00DA4997"/>
    <w:rsid w:val="00DA7E40"/>
    <w:rsid w:val="00DA7FF7"/>
    <w:rsid w:val="00DB0AB5"/>
    <w:rsid w:val="00DB0DEC"/>
    <w:rsid w:val="00DB15C2"/>
    <w:rsid w:val="00DB4E99"/>
    <w:rsid w:val="00DB656A"/>
    <w:rsid w:val="00DB7104"/>
    <w:rsid w:val="00DB7B53"/>
    <w:rsid w:val="00DB7E1A"/>
    <w:rsid w:val="00DC1638"/>
    <w:rsid w:val="00DC32AA"/>
    <w:rsid w:val="00DC3BFE"/>
    <w:rsid w:val="00DC6B3C"/>
    <w:rsid w:val="00DC6FA0"/>
    <w:rsid w:val="00DC7A37"/>
    <w:rsid w:val="00DC7E36"/>
    <w:rsid w:val="00DD0A98"/>
    <w:rsid w:val="00DD461F"/>
    <w:rsid w:val="00DD4A2B"/>
    <w:rsid w:val="00DD4C85"/>
    <w:rsid w:val="00DD55E6"/>
    <w:rsid w:val="00DD5B64"/>
    <w:rsid w:val="00DD662A"/>
    <w:rsid w:val="00DD6967"/>
    <w:rsid w:val="00DE0863"/>
    <w:rsid w:val="00DE0A9F"/>
    <w:rsid w:val="00DE4DD4"/>
    <w:rsid w:val="00DE6185"/>
    <w:rsid w:val="00DE69E6"/>
    <w:rsid w:val="00DE789E"/>
    <w:rsid w:val="00DE7D2B"/>
    <w:rsid w:val="00DF06B4"/>
    <w:rsid w:val="00DF0ABD"/>
    <w:rsid w:val="00DF157F"/>
    <w:rsid w:val="00DF5690"/>
    <w:rsid w:val="00DF5750"/>
    <w:rsid w:val="00DF7B00"/>
    <w:rsid w:val="00E01605"/>
    <w:rsid w:val="00E01CD7"/>
    <w:rsid w:val="00E03F08"/>
    <w:rsid w:val="00E0454B"/>
    <w:rsid w:val="00E0486B"/>
    <w:rsid w:val="00E0617D"/>
    <w:rsid w:val="00E06E06"/>
    <w:rsid w:val="00E1056C"/>
    <w:rsid w:val="00E10CD9"/>
    <w:rsid w:val="00E11BF2"/>
    <w:rsid w:val="00E125B9"/>
    <w:rsid w:val="00E16021"/>
    <w:rsid w:val="00E17339"/>
    <w:rsid w:val="00E1779C"/>
    <w:rsid w:val="00E20797"/>
    <w:rsid w:val="00E20980"/>
    <w:rsid w:val="00E20BE8"/>
    <w:rsid w:val="00E20F00"/>
    <w:rsid w:val="00E21F74"/>
    <w:rsid w:val="00E22042"/>
    <w:rsid w:val="00E24860"/>
    <w:rsid w:val="00E24DB0"/>
    <w:rsid w:val="00E24F58"/>
    <w:rsid w:val="00E30165"/>
    <w:rsid w:val="00E303DB"/>
    <w:rsid w:val="00E31102"/>
    <w:rsid w:val="00E31A8E"/>
    <w:rsid w:val="00E31D47"/>
    <w:rsid w:val="00E34CB0"/>
    <w:rsid w:val="00E34CF0"/>
    <w:rsid w:val="00E36AB7"/>
    <w:rsid w:val="00E37781"/>
    <w:rsid w:val="00E37CA6"/>
    <w:rsid w:val="00E42B0E"/>
    <w:rsid w:val="00E42D0C"/>
    <w:rsid w:val="00E42D31"/>
    <w:rsid w:val="00E43AD8"/>
    <w:rsid w:val="00E4403D"/>
    <w:rsid w:val="00E46047"/>
    <w:rsid w:val="00E46BB6"/>
    <w:rsid w:val="00E51511"/>
    <w:rsid w:val="00E5157D"/>
    <w:rsid w:val="00E54817"/>
    <w:rsid w:val="00E548AF"/>
    <w:rsid w:val="00E54C2C"/>
    <w:rsid w:val="00E55A84"/>
    <w:rsid w:val="00E5774E"/>
    <w:rsid w:val="00E60BA7"/>
    <w:rsid w:val="00E61213"/>
    <w:rsid w:val="00E64835"/>
    <w:rsid w:val="00E65008"/>
    <w:rsid w:val="00E65D71"/>
    <w:rsid w:val="00E67FD3"/>
    <w:rsid w:val="00E72676"/>
    <w:rsid w:val="00E776AF"/>
    <w:rsid w:val="00E77B5F"/>
    <w:rsid w:val="00E80586"/>
    <w:rsid w:val="00E835D7"/>
    <w:rsid w:val="00E83B98"/>
    <w:rsid w:val="00E85D4C"/>
    <w:rsid w:val="00E85EF0"/>
    <w:rsid w:val="00E86374"/>
    <w:rsid w:val="00E868DA"/>
    <w:rsid w:val="00E86D4A"/>
    <w:rsid w:val="00E8741E"/>
    <w:rsid w:val="00E91972"/>
    <w:rsid w:val="00E924F4"/>
    <w:rsid w:val="00E925A6"/>
    <w:rsid w:val="00E9300B"/>
    <w:rsid w:val="00E93B89"/>
    <w:rsid w:val="00E94A9F"/>
    <w:rsid w:val="00E95891"/>
    <w:rsid w:val="00E95AF5"/>
    <w:rsid w:val="00E95EC0"/>
    <w:rsid w:val="00EA02A2"/>
    <w:rsid w:val="00EA0832"/>
    <w:rsid w:val="00EA0DCF"/>
    <w:rsid w:val="00EA30FF"/>
    <w:rsid w:val="00EA3622"/>
    <w:rsid w:val="00EA4306"/>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31EE"/>
    <w:rsid w:val="00EE346A"/>
    <w:rsid w:val="00EE3F65"/>
    <w:rsid w:val="00EE3FB0"/>
    <w:rsid w:val="00EE67FA"/>
    <w:rsid w:val="00EE68DB"/>
    <w:rsid w:val="00EF2C64"/>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4F13"/>
    <w:rsid w:val="00F171AD"/>
    <w:rsid w:val="00F17497"/>
    <w:rsid w:val="00F17F88"/>
    <w:rsid w:val="00F22745"/>
    <w:rsid w:val="00F22891"/>
    <w:rsid w:val="00F2319A"/>
    <w:rsid w:val="00F25096"/>
    <w:rsid w:val="00F25F2A"/>
    <w:rsid w:val="00F27993"/>
    <w:rsid w:val="00F340DA"/>
    <w:rsid w:val="00F35875"/>
    <w:rsid w:val="00F37260"/>
    <w:rsid w:val="00F37E98"/>
    <w:rsid w:val="00F401D9"/>
    <w:rsid w:val="00F40616"/>
    <w:rsid w:val="00F41873"/>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70921"/>
    <w:rsid w:val="00F70C6C"/>
    <w:rsid w:val="00F70F8D"/>
    <w:rsid w:val="00F73A4C"/>
    <w:rsid w:val="00F741CC"/>
    <w:rsid w:val="00F74FCF"/>
    <w:rsid w:val="00F75AD0"/>
    <w:rsid w:val="00F76550"/>
    <w:rsid w:val="00F76AB4"/>
    <w:rsid w:val="00F7774E"/>
    <w:rsid w:val="00F77D91"/>
    <w:rsid w:val="00F77E15"/>
    <w:rsid w:val="00F816EF"/>
    <w:rsid w:val="00F83686"/>
    <w:rsid w:val="00F83A04"/>
    <w:rsid w:val="00F840B9"/>
    <w:rsid w:val="00F841F0"/>
    <w:rsid w:val="00F86CBE"/>
    <w:rsid w:val="00F90E00"/>
    <w:rsid w:val="00F91213"/>
    <w:rsid w:val="00F919F7"/>
    <w:rsid w:val="00F91FFB"/>
    <w:rsid w:val="00F92584"/>
    <w:rsid w:val="00F9375B"/>
    <w:rsid w:val="00F942D1"/>
    <w:rsid w:val="00F95410"/>
    <w:rsid w:val="00F957D6"/>
    <w:rsid w:val="00F9710A"/>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B7F13"/>
    <w:rsid w:val="00FC27F3"/>
    <w:rsid w:val="00FC2F6B"/>
    <w:rsid w:val="00FC3650"/>
    <w:rsid w:val="00FC3A27"/>
    <w:rsid w:val="00FC3F6A"/>
    <w:rsid w:val="00FC4326"/>
    <w:rsid w:val="00FC4B0E"/>
    <w:rsid w:val="00FC533D"/>
    <w:rsid w:val="00FC7479"/>
    <w:rsid w:val="00FC755F"/>
    <w:rsid w:val="00FC7B35"/>
    <w:rsid w:val="00FD0103"/>
    <w:rsid w:val="00FD0E3D"/>
    <w:rsid w:val="00FD1B31"/>
    <w:rsid w:val="00FD3B42"/>
    <w:rsid w:val="00FD4212"/>
    <w:rsid w:val="00FD4522"/>
    <w:rsid w:val="00FD59E7"/>
    <w:rsid w:val="00FD73AF"/>
    <w:rsid w:val="00FE0339"/>
    <w:rsid w:val="00FE0AC2"/>
    <w:rsid w:val="00FE1A70"/>
    <w:rsid w:val="00FE1A94"/>
    <w:rsid w:val="00FE2B49"/>
    <w:rsid w:val="00FE3AAA"/>
    <w:rsid w:val="00FE4850"/>
    <w:rsid w:val="00FE4EDA"/>
    <w:rsid w:val="00FE5463"/>
    <w:rsid w:val="00FF144B"/>
    <w:rsid w:val="00FF2BD9"/>
    <w:rsid w:val="00FF2E84"/>
    <w:rsid w:val="00FF3E80"/>
    <w:rsid w:val="00FF4A35"/>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D74E3D"/>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Style 6,Footnote Reference Superscript"/>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uiPriority w:val="99"/>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Sinespaciado">
    <w:name w:val="No Spacing"/>
    <w:link w:val="SinespaciadoCar"/>
    <w:uiPriority w:val="1"/>
    <w:qFormat/>
    <w:rsid w:val="00F74FCF"/>
    <w:rPr>
      <w:sz w:val="22"/>
      <w:szCs w:val="22"/>
      <w:lang w:eastAsia="en-US"/>
    </w:rPr>
  </w:style>
  <w:style w:type="character" w:customStyle="1" w:styleId="SinespaciadoCar">
    <w:name w:val="Sin espaciado Car"/>
    <w:basedOn w:val="Fuentedeprrafopredeter"/>
    <w:link w:val="Sinespaciado"/>
    <w:uiPriority w:val="1"/>
    <w:rsid w:val="00F74FCF"/>
    <w:rPr>
      <w:sz w:val="22"/>
      <w:szCs w:val="22"/>
      <w:lang w:eastAsia="en-US"/>
    </w:rPr>
  </w:style>
  <w:style w:type="paragraph" w:customStyle="1" w:styleId="IFTnormal">
    <w:name w:val="IFT normal"/>
    <w:basedOn w:val="Normal"/>
    <w:link w:val="IFTnormalCar"/>
    <w:qFormat/>
    <w:rsid w:val="004B6078"/>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4B6078"/>
    <w:rPr>
      <w:rFonts w:ascii="ITC Avant Garde" w:hAnsi="ITC Avant Garde" w:cs="Arial"/>
      <w:color w:val="000000"/>
      <w:sz w:val="22"/>
      <w:szCs w:val="22"/>
      <w:lang w:val="es-ES_tradnl" w:eastAsia="es-ES"/>
    </w:rPr>
  </w:style>
  <w:style w:type="paragraph" w:styleId="Descripcin">
    <w:name w:val="caption"/>
    <w:basedOn w:val="Normal"/>
    <w:next w:val="Normal"/>
    <w:uiPriority w:val="35"/>
    <w:unhideWhenUsed/>
    <w:qFormat/>
    <w:rsid w:val="006A6BD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92862452">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2.xml><?xml version="1.0" encoding="utf-8"?>
<ds:datastoreItem xmlns:ds="http://schemas.openxmlformats.org/officeDocument/2006/customXml" ds:itemID="{85378F64-02CC-4C6B-B96C-DF39B8B9F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1798CC-F31A-4737-ADA4-14DA2D4CCA63}">
  <ds:schemaRefs>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D28DDA9-0EFC-4A4C-AA4D-257DA9C9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2607</Words>
  <Characters>14344</Characters>
  <Application>Microsoft Office Word</Application>
  <DocSecurity>4</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16918</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Arlene Ameneyro Tapia</cp:lastModifiedBy>
  <cp:revision>2</cp:revision>
  <cp:lastPrinted>2016-10-03T19:24:00Z</cp:lastPrinted>
  <dcterms:created xsi:type="dcterms:W3CDTF">2016-10-03T19:25:00Z</dcterms:created>
  <dcterms:modified xsi:type="dcterms:W3CDTF">2016-10-03T19:25:00Z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