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95F5C" w14:textId="1E17068C" w:rsidR="00E1374A" w:rsidRPr="00B05E06" w:rsidRDefault="006C765F" w:rsidP="006C765F">
      <w:pPr>
        <w:spacing w:after="0" w:line="276" w:lineRule="auto"/>
        <w:jc w:val="center"/>
        <w:rPr>
          <w:rFonts w:ascii="ITC Avant Garde" w:hAnsi="ITC Avant Garde"/>
        </w:rPr>
      </w:pPr>
      <w:r w:rsidRPr="006C765F">
        <w:rPr>
          <w:rFonts w:ascii="ITC Avant Garde" w:hAnsi="ITC Avant Garde"/>
          <w:b/>
        </w:rPr>
        <w:t>DOCUMENTO INFORMATIVO SOBRE EL TEMA EN CONSULTA PÚBLICA</w:t>
      </w:r>
    </w:p>
    <w:p w14:paraId="628BFB66" w14:textId="77777777" w:rsidR="00524A73" w:rsidRDefault="00524A73" w:rsidP="00CA573B">
      <w:pPr>
        <w:spacing w:after="0" w:line="276" w:lineRule="auto"/>
        <w:jc w:val="both"/>
        <w:rPr>
          <w:rFonts w:ascii="ITC Avant Garde" w:hAnsi="ITC Avant Garde"/>
          <w:b/>
        </w:rPr>
      </w:pPr>
    </w:p>
    <w:p w14:paraId="2F3873FD" w14:textId="5F89AAB9" w:rsidR="007C3164" w:rsidRDefault="007C3164" w:rsidP="007C3164">
      <w:pPr>
        <w:spacing w:after="0" w:line="276" w:lineRule="auto"/>
        <w:jc w:val="both"/>
        <w:rPr>
          <w:rFonts w:ascii="ITC Avant Garde" w:hAnsi="ITC Avant Garde"/>
        </w:rPr>
      </w:pPr>
      <w:r w:rsidRPr="001B6547">
        <w:rPr>
          <w:rFonts w:ascii="ITC Avant Garde" w:hAnsi="ITC Avant Garde"/>
        </w:rPr>
        <w:t>La regulación ex ante está concebida como un instrumento que en ausencia de con</w:t>
      </w:r>
      <w:r w:rsidRPr="00350B33">
        <w:rPr>
          <w:rFonts w:ascii="ITC Avant Garde" w:hAnsi="ITC Avant Garde"/>
        </w:rPr>
        <w:t>diciones de competencia</w:t>
      </w:r>
      <w:r w:rsidR="00C977B0">
        <w:rPr>
          <w:rFonts w:ascii="ITC Avant Garde" w:hAnsi="ITC Avant Garde"/>
        </w:rPr>
        <w:t>,</w:t>
      </w:r>
      <w:r w:rsidRPr="001B6547">
        <w:rPr>
          <w:rFonts w:ascii="ITC Avant Garde" w:hAnsi="ITC Avant Garde"/>
        </w:rPr>
        <w:t xml:space="preserve"> ayuda a propiciar un ambiente</w:t>
      </w:r>
      <w:r w:rsidR="00C977B0">
        <w:rPr>
          <w:rFonts w:ascii="ITC Avant Garde" w:hAnsi="ITC Avant Garde"/>
        </w:rPr>
        <w:t xml:space="preserve"> para</w:t>
      </w:r>
      <w:r>
        <w:rPr>
          <w:rFonts w:ascii="ITC Avant Garde" w:hAnsi="ITC Avant Garde"/>
        </w:rPr>
        <w:t xml:space="preserve"> el desarrollo de </w:t>
      </w:r>
      <w:r w:rsidR="00C977B0">
        <w:rPr>
          <w:rFonts w:ascii="ITC Avant Garde" w:hAnsi="ITC Avant Garde"/>
        </w:rPr>
        <w:t>distintos prestadores de se</w:t>
      </w:r>
      <w:bookmarkStart w:id="0" w:name="_GoBack"/>
      <w:bookmarkEnd w:id="0"/>
      <w:r w:rsidR="00C977B0">
        <w:rPr>
          <w:rFonts w:ascii="ITC Avant Garde" w:hAnsi="ITC Avant Garde"/>
        </w:rPr>
        <w:t>rvicios, y</w:t>
      </w:r>
      <w:r>
        <w:rPr>
          <w:rFonts w:ascii="ITC Avant Garde" w:hAnsi="ITC Avant Garde"/>
        </w:rPr>
        <w:t xml:space="preserve"> </w:t>
      </w:r>
      <w:r w:rsidRPr="001B6547">
        <w:rPr>
          <w:rFonts w:ascii="ITC Avant Garde" w:hAnsi="ITC Avant Garde"/>
        </w:rPr>
        <w:t>permite que la actividad regulada se aproxime a las condiciones que prevalecerían en un</w:t>
      </w:r>
      <w:r w:rsidRPr="00350B33">
        <w:rPr>
          <w:rFonts w:ascii="ITC Avant Garde" w:hAnsi="ITC Avant Garde"/>
        </w:rPr>
        <w:t xml:space="preserve"> entorno competitivo</w:t>
      </w:r>
      <w:r w:rsidRPr="001B6547">
        <w:rPr>
          <w:rFonts w:ascii="ITC Avant Garde" w:hAnsi="ITC Avant Garde"/>
        </w:rPr>
        <w:t xml:space="preserve">. </w:t>
      </w:r>
      <w:r w:rsidR="009631CB">
        <w:rPr>
          <w:rFonts w:ascii="ITC Avant Garde" w:hAnsi="ITC Avant Garde"/>
        </w:rPr>
        <w:t xml:space="preserve">Asimismo, </w:t>
      </w:r>
      <w:r w:rsidR="00C977B0" w:rsidRPr="00350B33">
        <w:rPr>
          <w:rFonts w:ascii="ITC Avant Garde" w:hAnsi="ITC Avant Garde"/>
        </w:rPr>
        <w:t>l</w:t>
      </w:r>
      <w:r w:rsidRPr="00350B33">
        <w:rPr>
          <w:rFonts w:ascii="ITC Avant Garde" w:hAnsi="ITC Avant Garde"/>
        </w:rPr>
        <w:t>a regulación</w:t>
      </w:r>
      <w:r w:rsidR="009631CB">
        <w:rPr>
          <w:rFonts w:ascii="ITC Avant Garde" w:hAnsi="ITC Avant Garde"/>
        </w:rPr>
        <w:t xml:space="preserve"> ex ante</w:t>
      </w:r>
      <w:r w:rsidRPr="00350B33">
        <w:rPr>
          <w:rFonts w:ascii="ITC Avant Garde" w:hAnsi="ITC Avant Garde"/>
        </w:rPr>
        <w:t xml:space="preserve"> asimétrica </w:t>
      </w:r>
      <w:r w:rsidRPr="001B6547">
        <w:rPr>
          <w:rFonts w:ascii="ITC Avant Garde" w:hAnsi="ITC Avant Garde"/>
        </w:rPr>
        <w:t xml:space="preserve">pretende </w:t>
      </w:r>
      <w:r>
        <w:rPr>
          <w:rFonts w:ascii="ITC Avant Garde" w:hAnsi="ITC Avant Garde"/>
        </w:rPr>
        <w:t>generar</w:t>
      </w:r>
      <w:r w:rsidRPr="001B6547">
        <w:rPr>
          <w:rFonts w:ascii="ITC Avant Garde" w:hAnsi="ITC Avant Garde"/>
        </w:rPr>
        <w:t xml:space="preserve"> </w:t>
      </w:r>
      <w:r w:rsidR="00140986">
        <w:rPr>
          <w:rFonts w:ascii="ITC Avant Garde" w:hAnsi="ITC Avant Garde"/>
        </w:rPr>
        <w:t xml:space="preserve">igualdad de </w:t>
      </w:r>
      <w:r w:rsidRPr="001B6547">
        <w:rPr>
          <w:rFonts w:ascii="ITC Avant Garde" w:hAnsi="ITC Avant Garde"/>
        </w:rPr>
        <w:t xml:space="preserve">condiciones </w:t>
      </w:r>
      <w:r>
        <w:rPr>
          <w:rFonts w:ascii="ITC Avant Garde" w:hAnsi="ITC Avant Garde"/>
        </w:rPr>
        <w:t>entre los agentes económicos que forman parte de los sectores de telecomunicaciones y radiodifusión</w:t>
      </w:r>
      <w:r w:rsidR="00C977B0">
        <w:rPr>
          <w:rFonts w:ascii="ITC Avant Garde" w:hAnsi="ITC Avant Garde"/>
        </w:rPr>
        <w:t>.</w:t>
      </w:r>
    </w:p>
    <w:p w14:paraId="23C6807C" w14:textId="77777777" w:rsidR="007441C7" w:rsidRDefault="007441C7" w:rsidP="007C3164">
      <w:pPr>
        <w:spacing w:after="0" w:line="276" w:lineRule="auto"/>
        <w:jc w:val="both"/>
        <w:rPr>
          <w:rFonts w:ascii="ITC Avant Garde" w:hAnsi="ITC Avant Garde"/>
        </w:rPr>
      </w:pPr>
    </w:p>
    <w:p w14:paraId="113BEB25" w14:textId="14022132" w:rsidR="0035731F" w:rsidRDefault="00B51097" w:rsidP="007441C7">
      <w:pPr>
        <w:spacing w:after="0" w:line="276" w:lineRule="auto"/>
        <w:jc w:val="both"/>
        <w:rPr>
          <w:rFonts w:ascii="ITC Avant Garde" w:hAnsi="ITC Avant Garde"/>
        </w:rPr>
      </w:pPr>
      <w:r>
        <w:rPr>
          <w:rFonts w:ascii="ITC Avant Garde" w:hAnsi="ITC Avant Garde"/>
        </w:rPr>
        <w:t>Un</w:t>
      </w:r>
      <w:r w:rsidRPr="007441C7">
        <w:rPr>
          <w:rFonts w:ascii="ITC Avant Garde" w:hAnsi="ITC Avant Garde"/>
        </w:rPr>
        <w:t xml:space="preserve"> </w:t>
      </w:r>
      <w:r w:rsidR="007441C7" w:rsidRPr="007441C7">
        <w:rPr>
          <w:rFonts w:ascii="ITC Avant Garde" w:hAnsi="ITC Avant Garde"/>
        </w:rPr>
        <w:t>objetivo del marco regulador es</w:t>
      </w:r>
      <w:r w:rsidR="00C977B0">
        <w:rPr>
          <w:rFonts w:ascii="ITC Avant Garde" w:hAnsi="ITC Avant Garde"/>
        </w:rPr>
        <w:t xml:space="preserve"> </w:t>
      </w:r>
      <w:r w:rsidR="0035731F">
        <w:rPr>
          <w:rFonts w:ascii="ITC Avant Garde" w:hAnsi="ITC Avant Garde"/>
        </w:rPr>
        <w:t>fortalecer</w:t>
      </w:r>
      <w:r w:rsidR="007441C7" w:rsidRPr="007441C7">
        <w:rPr>
          <w:rFonts w:ascii="ITC Avant Garde" w:hAnsi="ITC Avant Garde"/>
        </w:rPr>
        <w:t xml:space="preserve"> la reglamentación sectorial ex ante, </w:t>
      </w:r>
      <w:r w:rsidR="00C22F5C">
        <w:rPr>
          <w:rFonts w:ascii="ITC Avant Garde" w:hAnsi="ITC Avant Garde"/>
        </w:rPr>
        <w:t>a fin</w:t>
      </w:r>
      <w:r w:rsidR="0035731F">
        <w:rPr>
          <w:rFonts w:ascii="ITC Avant Garde" w:hAnsi="ITC Avant Garde"/>
        </w:rPr>
        <w:t xml:space="preserve"> de </w:t>
      </w:r>
      <w:r w:rsidR="003A6E6E">
        <w:rPr>
          <w:rFonts w:ascii="ITC Avant Garde" w:hAnsi="ITC Avant Garde"/>
        </w:rPr>
        <w:t>propiciar</w:t>
      </w:r>
      <w:r w:rsidR="007441C7" w:rsidRPr="007441C7">
        <w:rPr>
          <w:rFonts w:ascii="ITC Avant Garde" w:hAnsi="ITC Avant Garde"/>
        </w:rPr>
        <w:t xml:space="preserve"> l</w:t>
      </w:r>
      <w:r w:rsidR="00B95D7B">
        <w:rPr>
          <w:rFonts w:ascii="ITC Avant Garde" w:hAnsi="ITC Avant Garde"/>
        </w:rPr>
        <w:t>a</w:t>
      </w:r>
      <w:r w:rsidR="003A6E6E">
        <w:rPr>
          <w:rFonts w:ascii="ITC Avant Garde" w:hAnsi="ITC Avant Garde"/>
        </w:rPr>
        <w:t>s condiciones de</w:t>
      </w:r>
      <w:r w:rsidR="00B95D7B">
        <w:rPr>
          <w:rFonts w:ascii="ITC Avant Garde" w:hAnsi="ITC Avant Garde"/>
        </w:rPr>
        <w:t xml:space="preserve"> competencia en los</w:t>
      </w:r>
      <w:r w:rsidR="00FA2425">
        <w:rPr>
          <w:rFonts w:ascii="ITC Avant Garde" w:hAnsi="ITC Avant Garde"/>
        </w:rPr>
        <w:t xml:space="preserve"> </w:t>
      </w:r>
      <w:r w:rsidR="00B95D7B">
        <w:rPr>
          <w:rFonts w:ascii="ITC Avant Garde" w:hAnsi="ITC Avant Garde"/>
        </w:rPr>
        <w:t>mercados</w:t>
      </w:r>
      <w:r w:rsidR="007441C7" w:rsidRPr="007441C7">
        <w:rPr>
          <w:rFonts w:ascii="ITC Avant Garde" w:hAnsi="ITC Avant Garde"/>
        </w:rPr>
        <w:t>.</w:t>
      </w:r>
      <w:r w:rsidR="00F719C3">
        <w:rPr>
          <w:rFonts w:ascii="ITC Avant Garde" w:hAnsi="ITC Avant Garde"/>
        </w:rPr>
        <w:t xml:space="preserve"> Por ello, es necesario que</w:t>
      </w:r>
      <w:r w:rsidR="007441C7" w:rsidRPr="007441C7">
        <w:rPr>
          <w:rFonts w:ascii="ITC Avant Garde" w:hAnsi="ITC Avant Garde"/>
        </w:rPr>
        <w:t xml:space="preserve"> </w:t>
      </w:r>
      <w:r w:rsidR="00F719C3">
        <w:rPr>
          <w:rFonts w:ascii="ITC Avant Garde" w:hAnsi="ITC Avant Garde"/>
        </w:rPr>
        <w:t>al</w:t>
      </w:r>
      <w:r w:rsidR="0035731F">
        <w:rPr>
          <w:rFonts w:ascii="ITC Avant Garde" w:hAnsi="ITC Avant Garde"/>
        </w:rPr>
        <w:t xml:space="preserve"> efectuar el</w:t>
      </w:r>
      <w:r w:rsidR="007441C7">
        <w:rPr>
          <w:rFonts w:ascii="ITC Avant Garde" w:hAnsi="ITC Avant Garde"/>
        </w:rPr>
        <w:t xml:space="preserve"> análisis </w:t>
      </w:r>
      <w:r w:rsidR="0035731F">
        <w:rPr>
          <w:rFonts w:ascii="ITC Avant Garde" w:hAnsi="ITC Avant Garde"/>
        </w:rPr>
        <w:t xml:space="preserve">de la conducta de los </w:t>
      </w:r>
      <w:r w:rsidR="00B95D7B">
        <w:rPr>
          <w:rFonts w:ascii="ITC Avant Garde" w:hAnsi="ITC Avant Garde"/>
        </w:rPr>
        <w:t xml:space="preserve">Agentes Económicos Preponderantes (en lo sucesivo, </w:t>
      </w:r>
      <w:proofErr w:type="spellStart"/>
      <w:r w:rsidR="0035731F">
        <w:rPr>
          <w:rFonts w:ascii="ITC Avant Garde" w:hAnsi="ITC Avant Garde"/>
        </w:rPr>
        <w:t>AEPs</w:t>
      </w:r>
      <w:proofErr w:type="spellEnd"/>
      <w:r w:rsidR="00B95D7B">
        <w:rPr>
          <w:rFonts w:ascii="ITC Avant Garde" w:hAnsi="ITC Avant Garde"/>
        </w:rPr>
        <w:t>)</w:t>
      </w:r>
      <w:r w:rsidR="0035731F">
        <w:rPr>
          <w:rFonts w:ascii="ITC Avant Garde" w:hAnsi="ITC Avant Garde"/>
        </w:rPr>
        <w:t xml:space="preserve"> y de </w:t>
      </w:r>
      <w:r w:rsidR="00F719C3">
        <w:rPr>
          <w:rFonts w:ascii="ITC Avant Garde" w:hAnsi="ITC Avant Garde"/>
        </w:rPr>
        <w:t xml:space="preserve">la evolución de </w:t>
      </w:r>
      <w:r w:rsidR="0035731F">
        <w:rPr>
          <w:rFonts w:ascii="ITC Avant Garde" w:hAnsi="ITC Avant Garde"/>
        </w:rPr>
        <w:t>los sectores a los que pertenecen</w:t>
      </w:r>
      <w:r w:rsidR="00F719C3">
        <w:rPr>
          <w:rFonts w:ascii="ITC Avant Garde" w:hAnsi="ITC Avant Garde"/>
        </w:rPr>
        <w:t>,</w:t>
      </w:r>
      <w:r w:rsidR="0035731F">
        <w:rPr>
          <w:rFonts w:ascii="ITC Avant Garde" w:hAnsi="ITC Avant Garde"/>
        </w:rPr>
        <w:t xml:space="preserve"> </w:t>
      </w:r>
      <w:r w:rsidR="00F719C3">
        <w:rPr>
          <w:rFonts w:ascii="ITC Avant Garde" w:hAnsi="ITC Avant Garde"/>
        </w:rPr>
        <w:t xml:space="preserve">se </w:t>
      </w:r>
      <w:r w:rsidR="007441C7" w:rsidRPr="007441C7">
        <w:rPr>
          <w:rFonts w:ascii="ITC Avant Garde" w:hAnsi="ITC Avant Garde"/>
        </w:rPr>
        <w:t>ident</w:t>
      </w:r>
      <w:r w:rsidR="00F719C3">
        <w:rPr>
          <w:rFonts w:ascii="ITC Avant Garde" w:hAnsi="ITC Avant Garde"/>
        </w:rPr>
        <w:t xml:space="preserve">ifique la efectividad de la regulación en </w:t>
      </w:r>
      <w:r w:rsidR="002D04C1">
        <w:rPr>
          <w:rFonts w:ascii="ITC Avant Garde" w:hAnsi="ITC Avant Garde"/>
        </w:rPr>
        <w:t>términos</w:t>
      </w:r>
      <w:r w:rsidR="00F719C3">
        <w:rPr>
          <w:rFonts w:ascii="ITC Avant Garde" w:hAnsi="ITC Avant Garde"/>
        </w:rPr>
        <w:t xml:space="preserve"> de competencia, </w:t>
      </w:r>
      <w:r w:rsidR="006705B1">
        <w:rPr>
          <w:rFonts w:ascii="ITC Avant Garde" w:hAnsi="ITC Avant Garde"/>
        </w:rPr>
        <w:t>para así</w:t>
      </w:r>
      <w:r w:rsidR="00F719C3">
        <w:rPr>
          <w:rFonts w:ascii="ITC Avant Garde" w:hAnsi="ITC Avant Garde"/>
        </w:rPr>
        <w:t xml:space="preserve"> determinar la</w:t>
      </w:r>
      <w:r w:rsidR="0035731F">
        <w:rPr>
          <w:rFonts w:ascii="ITC Avant Garde" w:hAnsi="ITC Avant Garde"/>
        </w:rPr>
        <w:t xml:space="preserve"> vigencia</w:t>
      </w:r>
      <w:r w:rsidR="003A6E6E">
        <w:rPr>
          <w:rFonts w:ascii="ITC Avant Garde" w:hAnsi="ITC Avant Garde"/>
        </w:rPr>
        <w:t xml:space="preserve"> </w:t>
      </w:r>
      <w:r w:rsidR="0035731F">
        <w:rPr>
          <w:rFonts w:ascii="ITC Avant Garde" w:hAnsi="ITC Avant Garde"/>
        </w:rPr>
        <w:t xml:space="preserve"> </w:t>
      </w:r>
      <w:r w:rsidR="00F719C3">
        <w:rPr>
          <w:rFonts w:ascii="ITC Avant Garde" w:hAnsi="ITC Avant Garde"/>
        </w:rPr>
        <w:t>de la regulación ex ante a la que se encuentran sujetos.</w:t>
      </w:r>
      <w:r w:rsidR="007441C7" w:rsidRPr="007441C7">
        <w:rPr>
          <w:rFonts w:ascii="ITC Avant Garde" w:hAnsi="ITC Avant Garde"/>
        </w:rPr>
        <w:t xml:space="preserve"> </w:t>
      </w:r>
    </w:p>
    <w:p w14:paraId="42B8929A" w14:textId="77777777" w:rsidR="007441C7" w:rsidRDefault="007441C7" w:rsidP="007C3164">
      <w:pPr>
        <w:spacing w:after="0" w:line="276" w:lineRule="auto"/>
        <w:jc w:val="both"/>
        <w:rPr>
          <w:rFonts w:ascii="ITC Avant Garde" w:hAnsi="ITC Avant Garde"/>
        </w:rPr>
      </w:pPr>
    </w:p>
    <w:p w14:paraId="3DDD0592" w14:textId="55370E40" w:rsidR="007C3164" w:rsidRPr="001B6547" w:rsidRDefault="00F719C3" w:rsidP="007C3164">
      <w:pPr>
        <w:spacing w:after="0" w:line="276" w:lineRule="auto"/>
        <w:jc w:val="both"/>
        <w:rPr>
          <w:rFonts w:ascii="ITC Avant Garde" w:hAnsi="ITC Avant Garde"/>
        </w:rPr>
      </w:pPr>
      <w:r>
        <w:rPr>
          <w:rFonts w:ascii="ITC Avant Garde" w:hAnsi="ITC Avant Garde"/>
        </w:rPr>
        <w:t xml:space="preserve">Por lo cual, se </w:t>
      </w:r>
      <w:r w:rsidR="00225B6B">
        <w:rPr>
          <w:rFonts w:ascii="ITC Avant Garde" w:hAnsi="ITC Avant Garde"/>
        </w:rPr>
        <w:t>analizará la regulación asimétrica con base en</w:t>
      </w:r>
      <w:r>
        <w:rPr>
          <w:rFonts w:ascii="ITC Avant Garde" w:hAnsi="ITC Avant Garde"/>
        </w:rPr>
        <w:t xml:space="preserve"> criterios objetivos que permitan conocer el grado de cond</w:t>
      </w:r>
      <w:r w:rsidR="00B95D7B">
        <w:rPr>
          <w:rFonts w:ascii="ITC Avant Garde" w:hAnsi="ITC Avant Garde"/>
        </w:rPr>
        <w:t>iciones de competencia, entre lo</w:t>
      </w:r>
      <w:r>
        <w:rPr>
          <w:rFonts w:ascii="ITC Avant Garde" w:hAnsi="ITC Avant Garde"/>
        </w:rPr>
        <w:t xml:space="preserve">s que se encuentran la estructura </w:t>
      </w:r>
      <w:r w:rsidR="003A6E6E">
        <w:rPr>
          <w:rFonts w:ascii="ITC Avant Garde" w:hAnsi="ITC Avant Garde"/>
        </w:rPr>
        <w:t xml:space="preserve">de mercado </w:t>
      </w:r>
      <w:r>
        <w:rPr>
          <w:rFonts w:ascii="ITC Avant Garde" w:hAnsi="ITC Avant Garde"/>
        </w:rPr>
        <w:t>de</w:t>
      </w:r>
      <w:r w:rsidR="003A6E6E">
        <w:rPr>
          <w:rFonts w:ascii="ITC Avant Garde" w:hAnsi="ITC Avant Garde"/>
        </w:rPr>
        <w:t>ntro de</w:t>
      </w:r>
      <w:r>
        <w:rPr>
          <w:rFonts w:ascii="ITC Avant Garde" w:hAnsi="ITC Avant Garde"/>
        </w:rPr>
        <w:t xml:space="preserve"> los sectores, el comportamiento</w:t>
      </w:r>
      <w:r w:rsidR="007F1CBE">
        <w:rPr>
          <w:rFonts w:ascii="ITC Avant Garde" w:hAnsi="ITC Avant Garde"/>
        </w:rPr>
        <w:t xml:space="preserve"> de los agentes</w:t>
      </w:r>
      <w:r w:rsidR="003933D7">
        <w:rPr>
          <w:rFonts w:ascii="ITC Avant Garde" w:hAnsi="ITC Avant Garde"/>
        </w:rPr>
        <w:t xml:space="preserve"> económicos</w:t>
      </w:r>
      <w:r w:rsidR="003A6E6E">
        <w:rPr>
          <w:rFonts w:ascii="ITC Avant Garde" w:hAnsi="ITC Avant Garde"/>
        </w:rPr>
        <w:t xml:space="preserve">, la evolución </w:t>
      </w:r>
      <w:r>
        <w:rPr>
          <w:rFonts w:ascii="ITC Avant Garde" w:hAnsi="ITC Avant Garde"/>
        </w:rPr>
        <w:t xml:space="preserve"> y la dinámica en cada uno de los servicios que prestan los </w:t>
      </w:r>
      <w:proofErr w:type="spellStart"/>
      <w:r>
        <w:rPr>
          <w:rFonts w:ascii="ITC Avant Garde" w:hAnsi="ITC Avant Garde"/>
        </w:rPr>
        <w:t>AEPs</w:t>
      </w:r>
      <w:proofErr w:type="spellEnd"/>
      <w:r>
        <w:rPr>
          <w:rFonts w:ascii="ITC Avant Garde" w:hAnsi="ITC Avant Garde"/>
        </w:rPr>
        <w:t>, la fortaleza que han alcanzado sus competidores,</w:t>
      </w:r>
      <w:r w:rsidR="00B95D7B">
        <w:rPr>
          <w:rFonts w:ascii="ITC Avant Garde" w:hAnsi="ITC Avant Garde"/>
        </w:rPr>
        <w:t xml:space="preserve"> así como</w:t>
      </w:r>
      <w:r>
        <w:rPr>
          <w:rFonts w:ascii="ITC Avant Garde" w:hAnsi="ITC Avant Garde"/>
        </w:rPr>
        <w:t xml:space="preserve"> los beneficios a los usuarios finales.</w:t>
      </w:r>
      <w:r w:rsidR="00B95D7B">
        <w:rPr>
          <w:rFonts w:ascii="ITC Avant Garde" w:hAnsi="ITC Avant Garde"/>
        </w:rPr>
        <w:t xml:space="preserve"> </w:t>
      </w:r>
      <w:r>
        <w:rPr>
          <w:rFonts w:ascii="ITC Avant Garde" w:hAnsi="ITC Avant Garde"/>
        </w:rPr>
        <w:t xml:space="preserve">Lo anterior, constituye una </w:t>
      </w:r>
      <w:r w:rsidR="007C3164" w:rsidRPr="001B6547">
        <w:rPr>
          <w:rFonts w:ascii="ITC Avant Garde" w:hAnsi="ITC Avant Garde"/>
        </w:rPr>
        <w:t>oportunidad para</w:t>
      </w:r>
      <w:r w:rsidR="0050260C">
        <w:rPr>
          <w:rFonts w:ascii="ITC Avant Garde" w:hAnsi="ITC Avant Garde"/>
        </w:rPr>
        <w:t xml:space="preserve"> analizar</w:t>
      </w:r>
      <w:r w:rsidR="001B1ECA">
        <w:rPr>
          <w:rFonts w:ascii="ITC Avant Garde" w:hAnsi="ITC Avant Garde"/>
        </w:rPr>
        <w:t>, y</w:t>
      </w:r>
      <w:r w:rsidR="0050260C">
        <w:rPr>
          <w:rFonts w:ascii="ITC Avant Garde" w:hAnsi="ITC Avant Garde"/>
        </w:rPr>
        <w:t xml:space="preserve"> en su caso,</w:t>
      </w:r>
      <w:r w:rsidR="007C3164" w:rsidRPr="001B6547">
        <w:rPr>
          <w:rFonts w:ascii="ITC Avant Garde" w:hAnsi="ITC Avant Garde"/>
        </w:rPr>
        <w:t xml:space="preserve"> </w:t>
      </w:r>
      <w:r w:rsidR="00B95D7B">
        <w:rPr>
          <w:rFonts w:ascii="ITC Avant Garde" w:hAnsi="ITC Avant Garde"/>
        </w:rPr>
        <w:t xml:space="preserve">fortalecer la regulación asimétrica impuesta a los </w:t>
      </w:r>
      <w:proofErr w:type="spellStart"/>
      <w:r w:rsidR="00B95D7B">
        <w:rPr>
          <w:rFonts w:ascii="ITC Avant Garde" w:hAnsi="ITC Avant Garde"/>
        </w:rPr>
        <w:t>AEPs</w:t>
      </w:r>
      <w:proofErr w:type="spellEnd"/>
      <w:r w:rsidR="00B95D7B">
        <w:rPr>
          <w:rFonts w:ascii="ITC Avant Garde" w:hAnsi="ITC Avant Garde"/>
        </w:rPr>
        <w:t xml:space="preserve"> y con ello, acelerar</w:t>
      </w:r>
      <w:r>
        <w:rPr>
          <w:rFonts w:ascii="ITC Avant Garde" w:hAnsi="ITC Avant Garde"/>
        </w:rPr>
        <w:t xml:space="preserve"> </w:t>
      </w:r>
      <w:r w:rsidRPr="00350B33">
        <w:rPr>
          <w:rFonts w:ascii="ITC Avant Garde" w:hAnsi="ITC Avant Garde"/>
        </w:rPr>
        <w:t>el cambio estructural en</w:t>
      </w:r>
      <w:r w:rsidR="007C3164" w:rsidRPr="001B6547">
        <w:rPr>
          <w:rFonts w:ascii="ITC Avant Garde" w:hAnsi="ITC Avant Garde"/>
        </w:rPr>
        <w:t xml:space="preserve"> ambos sectores</w:t>
      </w:r>
      <w:r>
        <w:rPr>
          <w:rFonts w:ascii="ITC Avant Garde" w:hAnsi="ITC Avant Garde"/>
        </w:rPr>
        <w:t>,</w:t>
      </w:r>
      <w:r w:rsidR="007C3164" w:rsidRPr="001B6547">
        <w:rPr>
          <w:rFonts w:ascii="ITC Avant Garde" w:hAnsi="ITC Avant Garde"/>
        </w:rPr>
        <w:t xml:space="preserve"> de tal forma que se acorten los tiempos par</w:t>
      </w:r>
      <w:r w:rsidRPr="00350B33">
        <w:rPr>
          <w:rFonts w:ascii="ITC Avant Garde" w:hAnsi="ITC Avant Garde"/>
        </w:rPr>
        <w:t>a lograr la competencia</w:t>
      </w:r>
      <w:r w:rsidR="004F1006">
        <w:rPr>
          <w:rFonts w:ascii="ITC Avant Garde" w:hAnsi="ITC Avant Garde"/>
        </w:rPr>
        <w:t xml:space="preserve"> efectiva</w:t>
      </w:r>
      <w:r w:rsidR="007C3164" w:rsidRPr="001B6547">
        <w:rPr>
          <w:rFonts w:ascii="ITC Avant Garde" w:hAnsi="ITC Avant Garde"/>
        </w:rPr>
        <w:t xml:space="preserve"> en estas actividades.</w:t>
      </w:r>
    </w:p>
    <w:p w14:paraId="632B93E5" w14:textId="77777777" w:rsidR="007C3164" w:rsidRDefault="007C3164" w:rsidP="001B6547">
      <w:pPr>
        <w:spacing w:after="0" w:line="276" w:lineRule="auto"/>
        <w:jc w:val="both"/>
        <w:rPr>
          <w:rFonts w:ascii="ITC Avant Garde" w:hAnsi="ITC Avant Garde"/>
          <w:lang w:val="es-ES_tradnl"/>
        </w:rPr>
      </w:pPr>
    </w:p>
    <w:p w14:paraId="19D59A93" w14:textId="3C378D43" w:rsidR="00154757" w:rsidRPr="003B5884" w:rsidRDefault="00F82BBA" w:rsidP="001B6547">
      <w:pPr>
        <w:spacing w:after="0" w:line="276" w:lineRule="auto"/>
        <w:jc w:val="both"/>
        <w:rPr>
          <w:rFonts w:ascii="ITC Avant Garde" w:hAnsi="ITC Avant Garde"/>
          <w:lang w:val="es-ES_tradnl"/>
        </w:rPr>
      </w:pPr>
      <w:r>
        <w:rPr>
          <w:rFonts w:ascii="ITC Avant Garde" w:hAnsi="ITC Avant Garde"/>
          <w:lang w:val="es-ES_tradnl"/>
        </w:rPr>
        <w:t>E</w:t>
      </w:r>
      <w:r w:rsidR="00154757">
        <w:rPr>
          <w:rFonts w:ascii="ITC Avant Garde" w:hAnsi="ITC Avant Garde"/>
          <w:lang w:val="es-ES_tradnl"/>
        </w:rPr>
        <w:t xml:space="preserve">l Instituto </w:t>
      </w:r>
      <w:r w:rsidR="007E6CFF">
        <w:rPr>
          <w:rFonts w:ascii="ITC Avant Garde" w:hAnsi="ITC Avant Garde"/>
          <w:lang w:val="es-ES_tradnl"/>
        </w:rPr>
        <w:t xml:space="preserve">Federal de Telecomunicaciones (en lo sucesivo, el “Instituto”) </w:t>
      </w:r>
      <w:r w:rsidR="00154757">
        <w:rPr>
          <w:rFonts w:ascii="ITC Avant Garde" w:hAnsi="ITC Avant Garde"/>
          <w:lang w:val="es-ES_tradnl"/>
        </w:rPr>
        <w:t xml:space="preserve">llevará a cabo una consulta pública </w:t>
      </w:r>
      <w:r w:rsidR="004C1B87">
        <w:rPr>
          <w:rFonts w:ascii="ITC Avant Garde" w:hAnsi="ITC Avant Garde"/>
          <w:lang w:val="es-ES_tradnl"/>
        </w:rPr>
        <w:t>con la finalidad de recabar información, comentarios, opiniones, entre otros, de los integrantes de la industria, académicos, especialistas, público en general y demás interesados</w:t>
      </w:r>
      <w:r w:rsidR="00BF0278">
        <w:rPr>
          <w:rFonts w:ascii="ITC Avant Garde" w:hAnsi="ITC Avant Garde"/>
          <w:lang w:val="es-ES_tradnl"/>
        </w:rPr>
        <w:t>,</w:t>
      </w:r>
      <w:r w:rsidR="004C1B87">
        <w:rPr>
          <w:rFonts w:ascii="ITC Avant Garde" w:hAnsi="ITC Avant Garde"/>
          <w:lang w:val="es-ES_tradnl"/>
        </w:rPr>
        <w:t xml:space="preserve"> </w:t>
      </w:r>
      <w:r w:rsidR="00154757">
        <w:rPr>
          <w:rFonts w:ascii="ITC Avant Garde" w:hAnsi="ITC Avant Garde"/>
          <w:lang w:val="es-ES_tradnl"/>
        </w:rPr>
        <w:t xml:space="preserve">que </w:t>
      </w:r>
      <w:r w:rsidR="00154757" w:rsidRPr="003B5884">
        <w:rPr>
          <w:rFonts w:ascii="ITC Avant Garde" w:hAnsi="ITC Avant Garde"/>
          <w:lang w:val="es-ES_tradnl"/>
        </w:rPr>
        <w:t xml:space="preserve">permita </w:t>
      </w:r>
      <w:r w:rsidR="004C1B87">
        <w:rPr>
          <w:rFonts w:ascii="ITC Avant Garde" w:hAnsi="ITC Avant Garde"/>
          <w:lang w:val="es-ES_tradnl"/>
        </w:rPr>
        <w:t>obtener mayor informaci</w:t>
      </w:r>
      <w:r w:rsidR="00BF0278">
        <w:rPr>
          <w:rFonts w:ascii="ITC Avant Garde" w:hAnsi="ITC Avant Garde"/>
          <w:lang w:val="es-ES_tradnl"/>
        </w:rPr>
        <w:t>ón</w:t>
      </w:r>
      <w:r w:rsidR="004C1B87">
        <w:rPr>
          <w:rFonts w:ascii="ITC Avant Garde" w:hAnsi="ITC Avant Garde"/>
          <w:lang w:val="es-ES_tradnl"/>
        </w:rPr>
        <w:t xml:space="preserve"> que contribuya</w:t>
      </w:r>
      <w:r w:rsidR="002D04C1">
        <w:rPr>
          <w:rFonts w:ascii="ITC Avant Garde" w:hAnsi="ITC Avant Garde"/>
          <w:lang w:val="es-ES_tradnl"/>
        </w:rPr>
        <w:t xml:space="preserve"> al diagnóstico sobre la efectividad</w:t>
      </w:r>
      <w:r w:rsidR="004C1B87">
        <w:rPr>
          <w:rFonts w:ascii="ITC Avant Garde" w:hAnsi="ITC Avant Garde"/>
          <w:lang w:val="es-ES_tradnl"/>
        </w:rPr>
        <w:t xml:space="preserve"> de las medidas y las determinaciones sobre las posibles modificaciones, supresiones o adiciones de medidas asimétricas al AEP, </w:t>
      </w:r>
      <w:r>
        <w:rPr>
          <w:rFonts w:ascii="ITC Avant Garde" w:hAnsi="ITC Avant Garde"/>
          <w:lang w:val="es-ES_tradnl"/>
        </w:rPr>
        <w:t xml:space="preserve">en el marco </w:t>
      </w:r>
      <w:r w:rsidR="004C1B87">
        <w:rPr>
          <w:rFonts w:ascii="ITC Avant Garde" w:hAnsi="ITC Avant Garde"/>
          <w:lang w:val="es-ES_tradnl"/>
        </w:rPr>
        <w:t>de la Evaluación Bienal.</w:t>
      </w:r>
    </w:p>
    <w:p w14:paraId="3297BFD6" w14:textId="77777777" w:rsidR="00E63B4F" w:rsidRDefault="00E63B4F" w:rsidP="00350B33">
      <w:pPr>
        <w:spacing w:after="0" w:line="276" w:lineRule="auto"/>
        <w:jc w:val="both"/>
        <w:rPr>
          <w:rFonts w:ascii="ITC Avant Garde" w:hAnsi="ITC Avant Garde"/>
        </w:rPr>
      </w:pPr>
    </w:p>
    <w:p w14:paraId="02A744B2" w14:textId="5EE849BE" w:rsidR="00154757" w:rsidRPr="001B6547" w:rsidRDefault="00154757" w:rsidP="00350B33">
      <w:pPr>
        <w:spacing w:after="0" w:line="276" w:lineRule="auto"/>
        <w:jc w:val="both"/>
        <w:rPr>
          <w:rFonts w:ascii="ITC Avant Garde" w:hAnsi="ITC Avant Garde"/>
        </w:rPr>
      </w:pPr>
      <w:r w:rsidRPr="001B6547">
        <w:rPr>
          <w:rFonts w:ascii="ITC Avant Garde" w:hAnsi="ITC Avant Garde"/>
        </w:rPr>
        <w:t>El presente documento</w:t>
      </w:r>
      <w:r>
        <w:rPr>
          <w:rFonts w:ascii="ITC Avant Garde" w:hAnsi="ITC Avant Garde"/>
        </w:rPr>
        <w:t xml:space="preserve"> </w:t>
      </w:r>
      <w:r w:rsidR="00C977B0">
        <w:rPr>
          <w:rFonts w:ascii="ITC Avant Garde" w:hAnsi="ITC Avant Garde"/>
        </w:rPr>
        <w:t xml:space="preserve">permite contextualizar a los interesados sobre el proceso de </w:t>
      </w:r>
      <w:r w:rsidR="004A73F9">
        <w:rPr>
          <w:rFonts w:ascii="ITC Avant Garde" w:hAnsi="ITC Avant Garde"/>
        </w:rPr>
        <w:t>Evaluación B</w:t>
      </w:r>
      <w:r w:rsidR="00C977B0">
        <w:rPr>
          <w:rFonts w:ascii="ITC Avant Garde" w:hAnsi="ITC Avant Garde"/>
        </w:rPr>
        <w:t>ienal de</w:t>
      </w:r>
      <w:r w:rsidR="002D04C1">
        <w:rPr>
          <w:rFonts w:ascii="ITC Avant Garde" w:hAnsi="ITC Avant Garde"/>
        </w:rPr>
        <w:t xml:space="preserve"> la efectividad</w:t>
      </w:r>
      <w:r w:rsidR="00C93C44">
        <w:rPr>
          <w:rFonts w:ascii="ITC Avant Garde" w:hAnsi="ITC Avant Garde"/>
        </w:rPr>
        <w:t xml:space="preserve"> de</w:t>
      </w:r>
      <w:r w:rsidR="00C977B0">
        <w:rPr>
          <w:rFonts w:ascii="ITC Avant Garde" w:hAnsi="ITC Avant Garde"/>
        </w:rPr>
        <w:t xml:space="preserve"> las medidas de regulación asimétrica</w:t>
      </w:r>
      <w:r w:rsidR="002D04C1">
        <w:rPr>
          <w:rFonts w:ascii="ITC Avant Garde" w:hAnsi="ITC Avant Garde"/>
        </w:rPr>
        <w:t xml:space="preserve"> </w:t>
      </w:r>
      <w:r w:rsidR="00C977B0">
        <w:rPr>
          <w:rFonts w:ascii="ITC Avant Garde" w:hAnsi="ITC Avant Garde"/>
        </w:rPr>
        <w:t>aplicable</w:t>
      </w:r>
      <w:r w:rsidR="002E6FA0">
        <w:rPr>
          <w:rFonts w:ascii="ITC Avant Garde" w:hAnsi="ITC Avant Garde"/>
        </w:rPr>
        <w:t>s</w:t>
      </w:r>
      <w:r w:rsidR="00C977B0">
        <w:rPr>
          <w:rFonts w:ascii="ITC Avant Garde" w:hAnsi="ITC Avant Garde"/>
        </w:rPr>
        <w:t xml:space="preserve"> a los </w:t>
      </w:r>
      <w:proofErr w:type="spellStart"/>
      <w:r w:rsidR="00C977B0">
        <w:rPr>
          <w:rFonts w:ascii="ITC Avant Garde" w:hAnsi="ITC Avant Garde"/>
        </w:rPr>
        <w:t>AEPs</w:t>
      </w:r>
      <w:proofErr w:type="spellEnd"/>
      <w:r w:rsidR="00C977B0">
        <w:rPr>
          <w:rFonts w:ascii="ITC Avant Garde" w:hAnsi="ITC Avant Garde"/>
        </w:rPr>
        <w:t xml:space="preserve">, describiendo los principales </w:t>
      </w:r>
      <w:r w:rsidR="00C93C44">
        <w:rPr>
          <w:rFonts w:ascii="ITC Avant Garde" w:hAnsi="ITC Avant Garde"/>
        </w:rPr>
        <w:t xml:space="preserve">hechos relevantes </w:t>
      </w:r>
      <w:r>
        <w:rPr>
          <w:rFonts w:ascii="ITC Avant Garde" w:hAnsi="ITC Avant Garde"/>
        </w:rPr>
        <w:t>sobre la implementación de</w:t>
      </w:r>
      <w:r w:rsidR="00C977B0">
        <w:rPr>
          <w:rFonts w:ascii="ITC Avant Garde" w:hAnsi="ITC Avant Garde"/>
        </w:rPr>
        <w:t xml:space="preserve"> dichas medidas </w:t>
      </w:r>
      <w:r>
        <w:rPr>
          <w:rFonts w:ascii="ITC Avant Garde" w:hAnsi="ITC Avant Garde"/>
        </w:rPr>
        <w:t>en los sectores de telecomunicaciones y radiodifusión.</w:t>
      </w:r>
    </w:p>
    <w:p w14:paraId="66030CDF" w14:textId="77777777" w:rsidR="00154757" w:rsidRDefault="00154757" w:rsidP="001B6547">
      <w:pPr>
        <w:spacing w:after="0" w:line="276" w:lineRule="auto"/>
        <w:jc w:val="both"/>
        <w:rPr>
          <w:rFonts w:ascii="ITC Avant Garde" w:hAnsi="ITC Avant Garde"/>
          <w:b/>
        </w:rPr>
      </w:pPr>
    </w:p>
    <w:p w14:paraId="1E11A74D" w14:textId="77777777" w:rsidR="0079373B" w:rsidRDefault="0079373B" w:rsidP="001B6547">
      <w:pPr>
        <w:spacing w:after="0" w:line="276" w:lineRule="auto"/>
        <w:jc w:val="both"/>
      </w:pPr>
      <w:r w:rsidRPr="0079373B">
        <w:rPr>
          <w:rFonts w:ascii="ITC Avant Garde" w:eastAsia="Calibri" w:hAnsi="ITC Avant Garde" w:cs="Times New Roman"/>
        </w:rPr>
        <w:lastRenderedPageBreak/>
        <w:t>El 11 de junio de 2013, fue publicado en el Diario Oficial de la Federación (en lo sucesivo, el “DOF”) el “</w:t>
      </w:r>
      <w:r w:rsidRPr="0079373B">
        <w:rPr>
          <w:rFonts w:ascii="ITC Avant Garde" w:eastAsia="Calibri" w:hAnsi="ITC Avant Garde" w:cs="Times New Roman"/>
          <w:i/>
        </w:rPr>
        <w:t>Decreto por el que se reforman y adicionan diversas disposiciones de los artículos 6o., 7o., 27, 28, 73, 78, 94 y 105 de la Constitución Política de los Estados Unidos Mexicanos, en materia de telecomunicaciones</w:t>
      </w:r>
      <w:r w:rsidRPr="0079373B">
        <w:rPr>
          <w:rFonts w:ascii="ITC Avant Garde" w:eastAsia="Calibri" w:hAnsi="ITC Avant Garde" w:cs="Times New Roman"/>
        </w:rPr>
        <w:t>” (en lo sucesivo, el “Decreto de Reforma Constitucional”)</w:t>
      </w:r>
      <w:r w:rsidR="00877C96">
        <w:rPr>
          <w:rStyle w:val="Refdenotaalpie"/>
          <w:rFonts w:ascii="ITC Avant Garde" w:eastAsia="Calibri" w:hAnsi="ITC Avant Garde" w:cs="Times New Roman"/>
        </w:rPr>
        <w:footnoteReference w:id="2"/>
      </w:r>
      <w:r w:rsidRPr="0079373B">
        <w:rPr>
          <w:rFonts w:ascii="ITC Avant Garde" w:eastAsia="Calibri" w:hAnsi="ITC Avant Garde" w:cs="Times New Roman"/>
        </w:rPr>
        <w:t>, mediante el cual se creó al Instituto Federal de Telecomunicaciones, como un órgano autónomo con personalidad jurídica y patrimonio propio, en cuyo objeto se encuentran entre otras facultades, el desarrollo eficiente de la radiodifusión y las telecomunicaciones conforme a lo dispuesto en la propia Constitución Política de los Estados Unidos Mexicanos (en adelante, la “Constitución”)</w:t>
      </w:r>
      <w:r w:rsidR="00877C96">
        <w:rPr>
          <w:rStyle w:val="Refdenotaalpie"/>
          <w:rFonts w:ascii="ITC Avant Garde" w:eastAsia="Calibri" w:hAnsi="ITC Avant Garde" w:cs="Times New Roman"/>
        </w:rPr>
        <w:footnoteReference w:id="3"/>
      </w:r>
      <w:r w:rsidRPr="0079373B">
        <w:rPr>
          <w:rFonts w:ascii="ITC Avant Garde" w:eastAsia="Calibri" w:hAnsi="ITC Avant Garde" w:cs="Times New Roman"/>
        </w:rPr>
        <w:t xml:space="preserve">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r w:rsidR="00A55CAC">
        <w:rPr>
          <w:rFonts w:ascii="ITC Avant Garde" w:eastAsia="Calibri" w:hAnsi="ITC Avant Garde" w:cs="Times New Roman"/>
        </w:rPr>
        <w:t>.</w:t>
      </w:r>
    </w:p>
    <w:p w14:paraId="264BE8C0" w14:textId="77777777" w:rsidR="0079373B" w:rsidRDefault="0079373B" w:rsidP="001B6547">
      <w:pPr>
        <w:pStyle w:val="Sinespaciado"/>
        <w:spacing w:line="276" w:lineRule="auto"/>
      </w:pPr>
    </w:p>
    <w:p w14:paraId="492CD4EF" w14:textId="73436777" w:rsidR="0079373B" w:rsidRPr="0079373B" w:rsidRDefault="0079373B" w:rsidP="001B6547">
      <w:pPr>
        <w:spacing w:after="0" w:line="276" w:lineRule="auto"/>
        <w:jc w:val="both"/>
        <w:rPr>
          <w:rFonts w:ascii="ITC Avant Garde" w:eastAsia="Calibri" w:hAnsi="ITC Avant Garde" w:cs="Times New Roman"/>
        </w:rPr>
      </w:pPr>
      <w:r w:rsidRPr="0079373B">
        <w:rPr>
          <w:rFonts w:ascii="ITC Avant Garde" w:eastAsia="Calibri" w:hAnsi="ITC Avant Garde" w:cs="Times New Roman"/>
        </w:rPr>
        <w:t>El artículo Octavo Transitorio, fracción III del Decreto</w:t>
      </w:r>
      <w:r w:rsidR="004A73F9">
        <w:rPr>
          <w:rFonts w:ascii="ITC Avant Garde" w:eastAsia="Calibri" w:hAnsi="ITC Avant Garde" w:cs="Times New Roman"/>
        </w:rPr>
        <w:t xml:space="preserve"> de Reforma Constitucional</w:t>
      </w:r>
      <w:r w:rsidRPr="0079373B">
        <w:rPr>
          <w:rFonts w:ascii="ITC Avant Garde" w:eastAsia="Calibri" w:hAnsi="ITC Avant Garde" w:cs="Times New Roman"/>
        </w:rPr>
        <w:t xml:space="preserve">, confirió la atribución al Instituto para determinar la existencia de </w:t>
      </w:r>
      <w:proofErr w:type="spellStart"/>
      <w:r w:rsidR="00C93C44">
        <w:rPr>
          <w:rFonts w:ascii="ITC Avant Garde" w:eastAsia="Calibri" w:hAnsi="ITC Avant Garde" w:cs="Times New Roman"/>
        </w:rPr>
        <w:t>AEPs</w:t>
      </w:r>
      <w:proofErr w:type="spellEnd"/>
      <w:r w:rsidRPr="0079373B">
        <w:rPr>
          <w:rFonts w:ascii="ITC Avant Garde" w:eastAsia="Calibri" w:hAnsi="ITC Avant Garde" w:cs="Times New Roman"/>
        </w:rPr>
        <w:t xml:space="preserve"> en los sectores de radiodifusión y de telecomunicaciones, e imponer las medidas necesarias para evitar que se afecte la competencia y la libre concurrencia y, con ello, a los usuarios finales.</w:t>
      </w:r>
    </w:p>
    <w:p w14:paraId="57F19DBA" w14:textId="77777777" w:rsidR="0079373B" w:rsidRDefault="0079373B" w:rsidP="001B6547">
      <w:pPr>
        <w:pStyle w:val="Sinespaciado"/>
        <w:spacing w:line="276" w:lineRule="auto"/>
      </w:pPr>
    </w:p>
    <w:p w14:paraId="6B3CDEA8" w14:textId="77777777" w:rsidR="0079373B" w:rsidRPr="0079373B" w:rsidRDefault="0079373B" w:rsidP="001B6547">
      <w:pPr>
        <w:spacing w:after="0" w:line="276" w:lineRule="auto"/>
        <w:jc w:val="both"/>
        <w:rPr>
          <w:rFonts w:ascii="ITC Avant Garde" w:eastAsia="Calibri" w:hAnsi="ITC Avant Garde" w:cs="Times New Roman"/>
        </w:rPr>
      </w:pPr>
      <w:r w:rsidRPr="0079373B">
        <w:rPr>
          <w:rFonts w:ascii="ITC Avant Garde" w:eastAsia="Calibri" w:hAnsi="ITC Avant Garde" w:cs="Times New Roman"/>
        </w:rPr>
        <w:t xml:space="preserve">Con fecha 6 de marzo de 2014, el Pleno del Instituto en su V Sesión Extraordinaria, aprobó mediante acuerdo P/IFT/EXT/060314/76 la “Resolución mediante la cual determinó al grupo de interés económico del que forman parte América Móvil, S.A.B. de C.V., Teléfonos de México, S.A.B. de C.V., Teléfonos del Noroeste, S.A. de C.V., </w:t>
      </w:r>
      <w:proofErr w:type="spellStart"/>
      <w:r w:rsidRPr="0079373B">
        <w:rPr>
          <w:rFonts w:ascii="ITC Avant Garde" w:eastAsia="Calibri" w:hAnsi="ITC Avant Garde" w:cs="Times New Roman"/>
        </w:rPr>
        <w:t>Radiomóvil</w:t>
      </w:r>
      <w:proofErr w:type="spellEnd"/>
      <w:r w:rsidRPr="0079373B">
        <w:rPr>
          <w:rFonts w:ascii="ITC Avant Garde" w:eastAsia="Calibri" w:hAnsi="ITC Avant Garde" w:cs="Times New Roman"/>
        </w:rPr>
        <w:t xml:space="preserve"> </w:t>
      </w:r>
      <w:proofErr w:type="spellStart"/>
      <w:r w:rsidRPr="0079373B">
        <w:rPr>
          <w:rFonts w:ascii="ITC Avant Garde" w:eastAsia="Calibri" w:hAnsi="ITC Avant Garde" w:cs="Times New Roman"/>
        </w:rPr>
        <w:t>Dipsa</w:t>
      </w:r>
      <w:proofErr w:type="spellEnd"/>
      <w:r w:rsidRPr="0079373B">
        <w:rPr>
          <w:rFonts w:ascii="ITC Avant Garde" w:eastAsia="Calibri" w:hAnsi="ITC Avant Garde" w:cs="Times New Roman"/>
        </w:rPr>
        <w:t>, S.A.B. de C.V., Grupo Carso, S.A.B. de C.V., y Grupo Financiero Inbursa, S.A.B. de C.V., como agente económico preponderante en el sector de telecomunicaciones, y le impone las medidas necesarias para evitar que se afecte la competencia y la libre concurrencia” (sic) (en lo sucesivo, la “Resolución del AEP”)</w:t>
      </w:r>
      <w:r w:rsidR="00877C96">
        <w:rPr>
          <w:rStyle w:val="Refdenotaalpie"/>
          <w:rFonts w:ascii="ITC Avant Garde" w:eastAsia="Calibri" w:hAnsi="ITC Avant Garde" w:cs="Times New Roman"/>
        </w:rPr>
        <w:footnoteReference w:id="4"/>
      </w:r>
      <w:r w:rsidRPr="0079373B">
        <w:rPr>
          <w:rFonts w:ascii="ITC Avant Garde" w:eastAsia="Calibri" w:hAnsi="ITC Avant Garde" w:cs="Times New Roman"/>
        </w:rPr>
        <w:t>.</w:t>
      </w:r>
    </w:p>
    <w:p w14:paraId="1936B710" w14:textId="77777777" w:rsidR="0079373B" w:rsidRPr="001B6547" w:rsidRDefault="0079373B" w:rsidP="001B6547">
      <w:pPr>
        <w:pStyle w:val="Sinespaciado"/>
        <w:spacing w:line="276" w:lineRule="auto"/>
        <w:rPr>
          <w:rFonts w:ascii="ITC Avant Garde" w:eastAsia="Calibri" w:hAnsi="ITC Avant Garde" w:cs="Times New Roman"/>
        </w:rPr>
      </w:pPr>
    </w:p>
    <w:p w14:paraId="6319A72B" w14:textId="77777777" w:rsidR="00D930BE" w:rsidRPr="001B6547" w:rsidRDefault="00D930BE" w:rsidP="001B6547">
      <w:pPr>
        <w:pStyle w:val="Sinespaciado"/>
        <w:spacing w:line="276" w:lineRule="auto"/>
        <w:jc w:val="both"/>
        <w:rPr>
          <w:rFonts w:ascii="ITC Avant Garde" w:eastAsia="Calibri" w:hAnsi="ITC Avant Garde" w:cs="Times New Roman"/>
        </w:rPr>
      </w:pPr>
      <w:r w:rsidRPr="001B6547">
        <w:rPr>
          <w:rFonts w:ascii="ITC Avant Garde" w:eastAsia="Calibri" w:hAnsi="ITC Avant Garde" w:cs="Times New Roman"/>
        </w:rPr>
        <w:t>Dentro del Acuerdo P/IFT/EXT/060314/76</w:t>
      </w:r>
      <w:r>
        <w:rPr>
          <w:rFonts w:ascii="ITC Avant Garde" w:eastAsia="Calibri" w:hAnsi="ITC Avant Garde" w:cs="Times New Roman"/>
        </w:rPr>
        <w:t>,</w:t>
      </w:r>
      <w:r w:rsidRPr="001B6547">
        <w:rPr>
          <w:rFonts w:ascii="ITC Avant Garde" w:eastAsia="Calibri" w:hAnsi="ITC Avant Garde" w:cs="Times New Roman"/>
        </w:rPr>
        <w:t xml:space="preserve"> se emitieron Anexos que contienen las medidas impuestas a quien fue declarado como Agente Económico Preponderante en el sector telecomunicaciones. Los Anexos son los siguientes: </w:t>
      </w:r>
    </w:p>
    <w:p w14:paraId="6A2F0BF6" w14:textId="77777777" w:rsidR="004D2CF5" w:rsidRDefault="004D2CF5" w:rsidP="001B6547">
      <w:pPr>
        <w:pStyle w:val="Sinespaciado"/>
        <w:spacing w:line="276" w:lineRule="auto"/>
        <w:jc w:val="both"/>
        <w:rPr>
          <w:rFonts w:ascii="ITC Avant Garde" w:eastAsia="Calibri" w:hAnsi="ITC Avant Garde" w:cs="Times New Roman"/>
          <w:sz w:val="16"/>
        </w:rPr>
      </w:pPr>
    </w:p>
    <w:p w14:paraId="29EAD96D" w14:textId="77777777" w:rsidR="00D930BE" w:rsidRPr="001B6547" w:rsidRDefault="00D930BE" w:rsidP="001B6547">
      <w:pPr>
        <w:pStyle w:val="Sinespaciado"/>
        <w:spacing w:line="276" w:lineRule="auto"/>
        <w:ind w:left="708"/>
        <w:jc w:val="both"/>
        <w:rPr>
          <w:rFonts w:ascii="ITC Avant Garde" w:eastAsia="Calibri" w:hAnsi="ITC Avant Garde" w:cs="Times New Roman"/>
          <w:sz w:val="16"/>
        </w:rPr>
      </w:pPr>
      <w:r w:rsidRPr="001B6547">
        <w:rPr>
          <w:rFonts w:ascii="ITC Avant Garde" w:eastAsia="Calibri" w:hAnsi="ITC Avant Garde" w:cs="Times New Roman"/>
          <w:sz w:val="16"/>
        </w:rPr>
        <w:t xml:space="preserve">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w:t>
      </w:r>
    </w:p>
    <w:p w14:paraId="31A3E425" w14:textId="77777777" w:rsidR="004D2CF5" w:rsidRDefault="004D2CF5" w:rsidP="001B6547">
      <w:pPr>
        <w:pStyle w:val="Sinespaciado"/>
        <w:spacing w:line="276" w:lineRule="auto"/>
        <w:ind w:left="708"/>
        <w:jc w:val="both"/>
        <w:rPr>
          <w:rFonts w:ascii="ITC Avant Garde" w:eastAsia="Calibri" w:hAnsi="ITC Avant Garde" w:cs="Times New Roman"/>
          <w:sz w:val="16"/>
        </w:rPr>
      </w:pPr>
    </w:p>
    <w:p w14:paraId="77742619" w14:textId="77777777" w:rsidR="00D930BE" w:rsidRPr="001B6547" w:rsidRDefault="00D930BE" w:rsidP="001B6547">
      <w:pPr>
        <w:pStyle w:val="Sinespaciado"/>
        <w:spacing w:line="276" w:lineRule="auto"/>
        <w:ind w:left="708"/>
        <w:jc w:val="both"/>
        <w:rPr>
          <w:rFonts w:ascii="ITC Avant Garde" w:eastAsia="Calibri" w:hAnsi="ITC Avant Garde" w:cs="Times New Roman"/>
          <w:sz w:val="16"/>
        </w:rPr>
      </w:pPr>
      <w:r w:rsidRPr="001B6547">
        <w:rPr>
          <w:rFonts w:ascii="ITC Avant Garde" w:eastAsia="Calibri" w:hAnsi="ITC Avant Garde" w:cs="Times New Roman"/>
          <w:sz w:val="16"/>
        </w:rPr>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004D2CF5">
        <w:rPr>
          <w:rFonts w:ascii="ITC Avant Garde" w:eastAsia="Calibri" w:hAnsi="ITC Avant Garde" w:cs="Times New Roman"/>
          <w:sz w:val="16"/>
        </w:rPr>
        <w:t>.</w:t>
      </w:r>
    </w:p>
    <w:p w14:paraId="3DE671F0" w14:textId="77777777" w:rsidR="004D2CF5" w:rsidRDefault="004D2CF5" w:rsidP="001B6547">
      <w:pPr>
        <w:pStyle w:val="Sinespaciado"/>
        <w:spacing w:line="276" w:lineRule="auto"/>
        <w:ind w:left="708"/>
        <w:jc w:val="both"/>
        <w:rPr>
          <w:rFonts w:ascii="ITC Avant Garde" w:eastAsia="Calibri" w:hAnsi="ITC Avant Garde" w:cs="Times New Roman"/>
          <w:sz w:val="16"/>
        </w:rPr>
      </w:pPr>
    </w:p>
    <w:p w14:paraId="4CADCA8B" w14:textId="77777777" w:rsidR="00D930BE" w:rsidRPr="001B6547" w:rsidRDefault="00D930BE" w:rsidP="001B6547">
      <w:pPr>
        <w:pStyle w:val="Sinespaciado"/>
        <w:spacing w:line="276" w:lineRule="auto"/>
        <w:ind w:left="708"/>
        <w:jc w:val="both"/>
        <w:rPr>
          <w:rFonts w:ascii="ITC Avant Garde" w:eastAsia="Calibri" w:hAnsi="ITC Avant Garde" w:cs="Times New Roman"/>
          <w:sz w:val="16"/>
        </w:rPr>
      </w:pPr>
      <w:r w:rsidRPr="001B6547">
        <w:rPr>
          <w:rFonts w:ascii="ITC Avant Garde" w:eastAsia="Calibri" w:hAnsi="ITC Avant Garde" w:cs="Times New Roman"/>
          <w:sz w:val="16"/>
        </w:rPr>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p w14:paraId="424025D7" w14:textId="77777777" w:rsidR="004D2CF5" w:rsidRDefault="004D2CF5" w:rsidP="001B6547">
      <w:pPr>
        <w:pStyle w:val="Sinespaciado"/>
        <w:spacing w:line="276" w:lineRule="auto"/>
        <w:ind w:left="708"/>
        <w:jc w:val="both"/>
        <w:rPr>
          <w:rFonts w:ascii="ITC Avant Garde" w:eastAsia="Calibri" w:hAnsi="ITC Avant Garde" w:cs="Times New Roman"/>
          <w:sz w:val="16"/>
        </w:rPr>
      </w:pPr>
    </w:p>
    <w:p w14:paraId="31F87FCC" w14:textId="77777777" w:rsidR="00D930BE" w:rsidRDefault="00D930BE" w:rsidP="001B6547">
      <w:pPr>
        <w:pStyle w:val="Sinespaciado"/>
        <w:spacing w:line="276" w:lineRule="auto"/>
        <w:ind w:left="708"/>
        <w:jc w:val="both"/>
        <w:rPr>
          <w:rFonts w:ascii="ITC Avant Garde" w:eastAsia="Calibri" w:hAnsi="ITC Avant Garde" w:cs="Times New Roman"/>
          <w:sz w:val="16"/>
        </w:rPr>
      </w:pPr>
      <w:r w:rsidRPr="001B6547">
        <w:rPr>
          <w:rFonts w:ascii="ITC Avant Garde" w:eastAsia="Calibri" w:hAnsi="ITC Avant Garde" w:cs="Times New Roman"/>
          <w:sz w:val="16"/>
        </w:rPr>
        <w:t>Anexo 4. MEDIDAS EN MATERIA DE CONTENIDOS AUDIOVISUALES QUE SE ESTABLECERÁN AGENTE ECONÓMICO PREPONDERANTE EN TELECOMUNICACIONES</w:t>
      </w:r>
      <w:r w:rsidR="004D2CF5">
        <w:rPr>
          <w:rFonts w:ascii="ITC Avant Garde" w:eastAsia="Calibri" w:hAnsi="ITC Avant Garde" w:cs="Times New Roman"/>
          <w:sz w:val="16"/>
        </w:rPr>
        <w:t>.</w:t>
      </w:r>
    </w:p>
    <w:p w14:paraId="681F742D" w14:textId="77777777" w:rsidR="001D5A85" w:rsidRDefault="001D5A85" w:rsidP="001B6547">
      <w:pPr>
        <w:pStyle w:val="Sinespaciado"/>
        <w:spacing w:line="276" w:lineRule="auto"/>
        <w:ind w:left="708"/>
        <w:jc w:val="both"/>
        <w:rPr>
          <w:rFonts w:ascii="ITC Avant Garde" w:eastAsia="Calibri" w:hAnsi="ITC Avant Garde" w:cs="Times New Roman"/>
          <w:sz w:val="16"/>
        </w:rPr>
      </w:pPr>
    </w:p>
    <w:p w14:paraId="19B8D9F0" w14:textId="5E5FD130" w:rsidR="001D5A85" w:rsidRPr="001B6547" w:rsidRDefault="001D5A85" w:rsidP="001B6547">
      <w:pPr>
        <w:pStyle w:val="Sinespaciado"/>
        <w:spacing w:line="276" w:lineRule="auto"/>
        <w:ind w:left="708"/>
        <w:jc w:val="both"/>
        <w:rPr>
          <w:rFonts w:ascii="ITC Avant Garde" w:eastAsia="Calibri" w:hAnsi="ITC Avant Garde" w:cs="Times New Roman"/>
          <w:sz w:val="16"/>
        </w:rPr>
      </w:pPr>
      <w:r>
        <w:rPr>
          <w:rFonts w:ascii="ITC Avant Garde" w:eastAsia="Calibri" w:hAnsi="ITC Avant Garde" w:cs="Times New Roman"/>
          <w:sz w:val="16"/>
        </w:rPr>
        <w:t xml:space="preserve">Anexo 5. </w:t>
      </w:r>
      <w:r w:rsidRPr="001D5A85">
        <w:rPr>
          <w:rFonts w:ascii="ITC Avant Garde" w:eastAsia="Calibri" w:hAnsi="ITC Avant Garde" w:cs="Times New Roman"/>
          <w:sz w:val="16"/>
        </w:rPr>
        <w:t>CONVENIO MARCO DE INTERCONEXIÓN ENTRE LAS REDES DE [RAZÓN SOCIAL DEL INTEGRANTE DEL AGENTE ECONÓMICO PREPONDERANTE] CON LA RED PÚBLICA DE TELECOMUNICACIONES DE [RAZÓN SOCIAL DEL CONCESIONARIO].</w:t>
      </w:r>
    </w:p>
    <w:p w14:paraId="254B9505" w14:textId="45D1F528" w:rsidR="00CA573B" w:rsidRPr="00350B33" w:rsidRDefault="001D5A85" w:rsidP="00E422F4">
      <w:pPr>
        <w:tabs>
          <w:tab w:val="left" w:pos="1452"/>
        </w:tabs>
        <w:spacing w:after="0" w:line="276" w:lineRule="auto"/>
        <w:jc w:val="both"/>
        <w:rPr>
          <w:rFonts w:ascii="ITC Avant Garde" w:eastAsia="Calibri" w:hAnsi="ITC Avant Garde" w:cs="Times New Roman"/>
        </w:rPr>
      </w:pPr>
      <w:r>
        <w:rPr>
          <w:rFonts w:ascii="ITC Avant Garde" w:eastAsia="Calibri" w:hAnsi="ITC Avant Garde" w:cs="Times New Roman"/>
        </w:rPr>
        <w:tab/>
      </w:r>
    </w:p>
    <w:p w14:paraId="5FA0A779" w14:textId="77777777" w:rsidR="0079373B" w:rsidRPr="001B6547" w:rsidRDefault="00CA573B" w:rsidP="001B6547">
      <w:pPr>
        <w:pStyle w:val="Sinespaciado"/>
        <w:spacing w:line="276" w:lineRule="auto"/>
        <w:jc w:val="both"/>
        <w:rPr>
          <w:rFonts w:ascii="ITC Avant Garde" w:hAnsi="ITC Avant Garde"/>
        </w:rPr>
      </w:pPr>
      <w:r w:rsidRPr="001B6547">
        <w:rPr>
          <w:rFonts w:ascii="ITC Avant Garde" w:eastAsia="Calibri" w:hAnsi="ITC Avant Garde" w:cs="Times New Roman"/>
        </w:rPr>
        <w:t>Con fecha 6 de marzo</w:t>
      </w:r>
      <w:r w:rsidRPr="001B6547">
        <w:rPr>
          <w:rFonts w:ascii="ITC Avant Garde" w:hAnsi="ITC Avant Garde" w:cs="Segoe UI"/>
          <w:color w:val="1A1A1A"/>
        </w:rPr>
        <w:t xml:space="preserve"> de 2014, el Pleno en su V Sesión Extraordinaria, aprobó mediante acuerdo P/IFT/EXT/060314/77 la “Resolución mediante la cual el Pleno del Instituto Federal de Telecomunicaciones determina al grupo de interés económico del que forman parte Grupo Televisa S.A.B., Canales de Televisión Populares, S.A. de C.V., Radio Televisión, S.A. de C.V., </w:t>
      </w:r>
      <w:proofErr w:type="spellStart"/>
      <w:r w:rsidRPr="001B6547">
        <w:rPr>
          <w:rFonts w:ascii="ITC Avant Garde" w:hAnsi="ITC Avant Garde" w:cs="Segoe UI"/>
          <w:color w:val="1A1A1A"/>
        </w:rPr>
        <w:t>Radiotelevisora</w:t>
      </w:r>
      <w:proofErr w:type="spellEnd"/>
      <w:r w:rsidRPr="001B6547">
        <w:rPr>
          <w:rFonts w:ascii="ITC Avant Garde" w:hAnsi="ITC Avant Garde" w:cs="Segoe UI"/>
          <w:color w:val="1A1A1A"/>
        </w:rPr>
        <w:t xml:space="preserve"> de México Norte, S.A. de C.V., T.V. de los Mochis, S.A. de C.V., </w:t>
      </w:r>
      <w:proofErr w:type="spellStart"/>
      <w:r w:rsidRPr="001B6547">
        <w:rPr>
          <w:rFonts w:ascii="ITC Avant Garde" w:hAnsi="ITC Avant Garde" w:cs="Segoe UI"/>
          <w:color w:val="1A1A1A"/>
        </w:rPr>
        <w:t>Teleimagen</w:t>
      </w:r>
      <w:proofErr w:type="spellEnd"/>
      <w:r w:rsidRPr="001B6547">
        <w:rPr>
          <w:rFonts w:ascii="ITC Avant Garde" w:hAnsi="ITC Avant Garde" w:cs="Segoe UI"/>
          <w:color w:val="1A1A1A"/>
        </w:rPr>
        <w:t xml:space="preserve"> del Noroeste, S.A. de C.V., </w:t>
      </w:r>
      <w:proofErr w:type="spellStart"/>
      <w:r w:rsidRPr="001B6547">
        <w:rPr>
          <w:rFonts w:ascii="ITC Avant Garde" w:hAnsi="ITC Avant Garde" w:cs="Segoe UI"/>
          <w:color w:val="1A1A1A"/>
        </w:rPr>
        <w:t>Televimex</w:t>
      </w:r>
      <w:proofErr w:type="spellEnd"/>
      <w:r w:rsidRPr="001B6547">
        <w:rPr>
          <w:rFonts w:ascii="ITC Avant Garde" w:hAnsi="ITC Avant Garde" w:cs="Segoe UI"/>
          <w:color w:val="1A1A1A"/>
        </w:rPr>
        <w:t xml:space="preserve">, S.A. de C.V., Televisión de Puebla, S.A. de C.V., Televisora de Mexicali, S.A. de C.V., Televisora de Navojoa, S.A., Televisora de Occidente, S.A. de C.V., Televisora Peninsular, S.A. de C.V., Mario Enríquez </w:t>
      </w:r>
      <w:proofErr w:type="spellStart"/>
      <w:r w:rsidRPr="001B6547">
        <w:rPr>
          <w:rFonts w:ascii="ITC Avant Garde" w:hAnsi="ITC Avant Garde" w:cs="Segoe UI"/>
          <w:color w:val="1A1A1A"/>
        </w:rPr>
        <w:t>Mayans</w:t>
      </w:r>
      <w:proofErr w:type="spellEnd"/>
      <w:r w:rsidRPr="001B6547">
        <w:rPr>
          <w:rFonts w:ascii="ITC Avant Garde" w:hAnsi="ITC Avant Garde" w:cs="Segoe UI"/>
          <w:color w:val="1A1A1A"/>
        </w:rPr>
        <w:t xml:space="preserve"> Concha, Televisión La Paz, S.A., Televisión de la Frontera, S.A., Pedro Luis </w:t>
      </w:r>
      <w:proofErr w:type="spellStart"/>
      <w:r w:rsidRPr="001B6547">
        <w:rPr>
          <w:rFonts w:ascii="ITC Avant Garde" w:hAnsi="ITC Avant Garde" w:cs="Segoe UI"/>
          <w:color w:val="1A1A1A"/>
        </w:rPr>
        <w:t>Fitzmaurice</w:t>
      </w:r>
      <w:proofErr w:type="spellEnd"/>
      <w:r w:rsidRPr="001B6547">
        <w:rPr>
          <w:rFonts w:ascii="ITC Avant Garde" w:hAnsi="ITC Avant Garde" w:cs="Segoe UI"/>
          <w:color w:val="1A1A1A"/>
        </w:rPr>
        <w:t xml:space="preserve"> Meneses, </w:t>
      </w:r>
      <w:proofErr w:type="spellStart"/>
      <w:r w:rsidRPr="001B6547">
        <w:rPr>
          <w:rFonts w:ascii="ITC Avant Garde" w:hAnsi="ITC Avant Garde" w:cs="Segoe UI"/>
          <w:color w:val="1A1A1A"/>
        </w:rPr>
        <w:t>Telemisión</w:t>
      </w:r>
      <w:proofErr w:type="spellEnd"/>
      <w:r w:rsidRPr="001B6547">
        <w:rPr>
          <w:rFonts w:ascii="ITC Avant Garde" w:hAnsi="ITC Avant Garde" w:cs="Segoe UI"/>
          <w:color w:val="1A1A1A"/>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1B6547">
        <w:rPr>
          <w:rFonts w:ascii="ITC Avant Garde" w:hAnsi="ITC Avant Garde" w:cs="Segoe UI"/>
          <w:color w:val="1A1A1A"/>
        </w:rPr>
        <w:t>Loucille</w:t>
      </w:r>
      <w:proofErr w:type="spellEnd"/>
      <w:r w:rsidRPr="001B6547">
        <w:rPr>
          <w:rFonts w:ascii="ITC Avant Garde" w:hAnsi="ITC Avant Garde" w:cs="Segoe UI"/>
          <w:color w:val="1A1A1A"/>
        </w:rPr>
        <w:t>,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w:t>
      </w:r>
      <w:r w:rsidR="00877C96">
        <w:rPr>
          <w:rStyle w:val="Refdenotaalpie"/>
          <w:rFonts w:ascii="ITC Avant Garde" w:hAnsi="ITC Avant Garde" w:cs="Segoe UI"/>
          <w:color w:val="1A1A1A"/>
        </w:rPr>
        <w:footnoteReference w:id="5"/>
      </w:r>
      <w:r w:rsidRPr="001B6547">
        <w:rPr>
          <w:rFonts w:ascii="ITC Avant Garde" w:hAnsi="ITC Avant Garde" w:cs="Segoe UI"/>
          <w:color w:val="1A1A1A"/>
        </w:rPr>
        <w:t xml:space="preserve"> y le impone las medidas necesarias para evitar que se afecte la competencia y la libre concurrencia</w:t>
      </w:r>
      <w:r w:rsidR="00877C96">
        <w:rPr>
          <w:rFonts w:ascii="ITC Avant Garde" w:hAnsi="ITC Avant Garde" w:cs="Segoe UI"/>
          <w:color w:val="1A1A1A"/>
        </w:rPr>
        <w:t xml:space="preserve"> en el </w:t>
      </w:r>
      <w:r w:rsidR="00877C96" w:rsidRPr="00877C96">
        <w:rPr>
          <w:rFonts w:ascii="ITC Avant Garde" w:hAnsi="ITC Avant Garde" w:cs="Segoe UI"/>
          <w:color w:val="1A1A1A"/>
        </w:rPr>
        <w:t>Anexo 1 “MEDIDAS RELACIONADAS CON LA COMPARTICIÓN DE INFRAESTRUCTURA, CONTENIDOS, PUBLICIDAD E INFORMACIÓN QUE SON APLICABLES AL GIETV EN SU CARÁCTER DE AGENTE ECONÓMICO PREPONDERANTE EN EL SECTOR DE RADIODIFUSIÓN.</w:t>
      </w:r>
      <w:r w:rsidR="00877C96">
        <w:rPr>
          <w:rStyle w:val="Refdenotaalpie"/>
          <w:rFonts w:ascii="ITC Avant Garde" w:hAnsi="ITC Avant Garde" w:cs="Segoe UI"/>
          <w:color w:val="1A1A1A"/>
        </w:rPr>
        <w:footnoteReference w:id="6"/>
      </w:r>
      <w:r>
        <w:rPr>
          <w:rFonts w:ascii="ITC Avant Garde" w:hAnsi="ITC Avant Garde" w:cs="Segoe UI"/>
          <w:color w:val="1A1A1A"/>
        </w:rPr>
        <w:t>.</w:t>
      </w:r>
    </w:p>
    <w:p w14:paraId="3145B1D0" w14:textId="77777777" w:rsidR="00CA573B" w:rsidRPr="001B6547" w:rsidRDefault="00CA573B" w:rsidP="001B6547">
      <w:pPr>
        <w:pStyle w:val="Sinespaciado"/>
        <w:spacing w:line="276" w:lineRule="auto"/>
        <w:rPr>
          <w:rFonts w:ascii="ITC Avant Garde" w:hAnsi="ITC Avant Garde"/>
        </w:rPr>
      </w:pPr>
    </w:p>
    <w:p w14:paraId="59C33EC5" w14:textId="2AF811C8" w:rsidR="00524A73" w:rsidRDefault="0079373B" w:rsidP="001B6547">
      <w:pPr>
        <w:spacing w:after="0" w:line="276" w:lineRule="auto"/>
        <w:jc w:val="both"/>
        <w:rPr>
          <w:rFonts w:ascii="ITC Avant Garde" w:hAnsi="ITC Avant Garde"/>
        </w:rPr>
      </w:pPr>
      <w:r w:rsidRPr="001F71D2">
        <w:rPr>
          <w:rFonts w:ascii="ITC Avant Garde" w:hAnsi="ITC Avant Garde"/>
        </w:rPr>
        <w:lastRenderedPageBreak/>
        <w:t xml:space="preserve">En este sentido, </w:t>
      </w:r>
      <w:r w:rsidRPr="001F71D2">
        <w:rPr>
          <w:rFonts w:ascii="ITC Avant Garde" w:hAnsi="ITC Avant Garde"/>
          <w:lang w:val="es-ES_tradnl"/>
        </w:rPr>
        <w:t>se establecieron un conjunto de medidas asimétricas, con el fin de promover una libre y sana competencia entre los distintos prestadores de servicios de telecomunicaciones</w:t>
      </w:r>
      <w:r w:rsidR="00CA573B" w:rsidRPr="001F71D2">
        <w:rPr>
          <w:rFonts w:ascii="ITC Avant Garde" w:hAnsi="ITC Avant Garde"/>
          <w:lang w:val="es-ES_tradnl"/>
        </w:rPr>
        <w:t xml:space="preserve"> y radiodifusión</w:t>
      </w:r>
      <w:r w:rsidRPr="001F71D2">
        <w:rPr>
          <w:rFonts w:ascii="ITC Avant Garde" w:hAnsi="ITC Avant Garde"/>
          <w:lang w:val="es-ES_tradnl"/>
        </w:rPr>
        <w:t>.</w:t>
      </w:r>
      <w:r w:rsidRPr="00350B33">
        <w:rPr>
          <w:rFonts w:ascii="ITC Avant Garde" w:hAnsi="ITC Avant Garde"/>
          <w:lang w:val="es-ES_tradnl"/>
        </w:rPr>
        <w:t xml:space="preserve"> </w:t>
      </w:r>
    </w:p>
    <w:p w14:paraId="324BECF9" w14:textId="77777777" w:rsidR="00CA573B" w:rsidRDefault="00CA573B" w:rsidP="001B6547">
      <w:pPr>
        <w:spacing w:after="0" w:line="276" w:lineRule="auto"/>
        <w:jc w:val="both"/>
        <w:rPr>
          <w:rFonts w:ascii="ITC Avant Garde" w:hAnsi="ITC Avant Garde"/>
        </w:rPr>
      </w:pPr>
    </w:p>
    <w:p w14:paraId="25CEEB65" w14:textId="321F865B" w:rsidR="00840DEF" w:rsidRPr="00B05E06" w:rsidRDefault="007272D4" w:rsidP="001B6547">
      <w:pPr>
        <w:spacing w:after="0" w:line="276" w:lineRule="auto"/>
        <w:jc w:val="both"/>
        <w:rPr>
          <w:rFonts w:ascii="ITC Avant Garde" w:hAnsi="ITC Avant Garde"/>
        </w:rPr>
      </w:pPr>
      <w:r w:rsidRPr="00ED4F49">
        <w:rPr>
          <w:rFonts w:ascii="ITC Avant Garde" w:hAnsi="ITC Avant Garde"/>
        </w:rPr>
        <w:t xml:space="preserve">La regulación asimétrica establecida a los </w:t>
      </w:r>
      <w:proofErr w:type="spellStart"/>
      <w:r w:rsidR="001D5A85">
        <w:rPr>
          <w:rFonts w:ascii="ITC Avant Garde" w:hAnsi="ITC Avant Garde"/>
        </w:rPr>
        <w:t>AEP</w:t>
      </w:r>
      <w:r w:rsidRPr="00ED4F49">
        <w:rPr>
          <w:rFonts w:ascii="ITC Avant Garde" w:hAnsi="ITC Avant Garde"/>
        </w:rPr>
        <w:t>s</w:t>
      </w:r>
      <w:proofErr w:type="spellEnd"/>
      <w:r w:rsidRPr="00ED4F49">
        <w:rPr>
          <w:rFonts w:ascii="ITC Avant Garde" w:hAnsi="ITC Avant Garde"/>
        </w:rPr>
        <w:t xml:space="preserve"> en los sectores de telecomunicaciones y radiodifusión tiene </w:t>
      </w:r>
      <w:r w:rsidR="0079373B" w:rsidRPr="00ED4F49">
        <w:rPr>
          <w:rFonts w:ascii="ITC Avant Garde" w:hAnsi="ITC Avant Garde"/>
        </w:rPr>
        <w:t xml:space="preserve">como objetivo </w:t>
      </w:r>
      <w:r w:rsidR="00840DEF" w:rsidRPr="00ED4F49">
        <w:rPr>
          <w:rFonts w:ascii="ITC Avant Garde" w:hAnsi="ITC Avant Garde"/>
        </w:rPr>
        <w:t xml:space="preserve">evitar que el poder de mercado de </w:t>
      </w:r>
      <w:r w:rsidR="00B517B4">
        <w:rPr>
          <w:rFonts w:ascii="ITC Avant Garde" w:hAnsi="ITC Avant Garde"/>
        </w:rPr>
        <w:t>estos</w:t>
      </w:r>
      <w:r w:rsidR="00840DEF" w:rsidRPr="00ED4F49">
        <w:rPr>
          <w:rFonts w:ascii="ITC Avant Garde" w:hAnsi="ITC Avant Garde"/>
        </w:rPr>
        <w:t xml:space="preserve"> se materialice en conducta</w:t>
      </w:r>
      <w:r w:rsidR="00B517B4">
        <w:rPr>
          <w:rFonts w:ascii="ITC Avant Garde" w:hAnsi="ITC Avant Garde"/>
        </w:rPr>
        <w:t>s</w:t>
      </w:r>
      <w:r w:rsidR="00840DEF" w:rsidRPr="00ED4F49">
        <w:rPr>
          <w:rFonts w:ascii="ITC Avant Garde" w:hAnsi="ITC Avant Garde"/>
        </w:rPr>
        <w:t xml:space="preserve"> que genere</w:t>
      </w:r>
      <w:r w:rsidR="00B517B4">
        <w:rPr>
          <w:rFonts w:ascii="ITC Avant Garde" w:hAnsi="ITC Avant Garde"/>
        </w:rPr>
        <w:t>n</w:t>
      </w:r>
      <w:r w:rsidR="00840DEF" w:rsidRPr="00ED4F49">
        <w:rPr>
          <w:rFonts w:ascii="ITC Avant Garde" w:hAnsi="ITC Avant Garde"/>
        </w:rPr>
        <w:t xml:space="preserve"> efectos dañinos a la competencia y libre concurrencia</w:t>
      </w:r>
      <w:r w:rsidR="00B517B4">
        <w:rPr>
          <w:rFonts w:ascii="ITC Avant Garde" w:hAnsi="ITC Avant Garde"/>
        </w:rPr>
        <w:t>.</w:t>
      </w:r>
      <w:r w:rsidR="00840DEF" w:rsidRPr="00B05E06">
        <w:rPr>
          <w:rFonts w:ascii="ITC Avant Garde" w:hAnsi="ITC Avant Garde"/>
        </w:rPr>
        <w:t xml:space="preserve"> </w:t>
      </w:r>
      <w:r w:rsidR="00B517B4">
        <w:rPr>
          <w:rFonts w:ascii="ITC Avant Garde" w:hAnsi="ITC Avant Garde"/>
        </w:rPr>
        <w:t>P</w:t>
      </w:r>
      <w:r w:rsidR="00840DEF" w:rsidRPr="00B05E06">
        <w:rPr>
          <w:rFonts w:ascii="ITC Avant Garde" w:hAnsi="ITC Avant Garde"/>
        </w:rPr>
        <w:t xml:space="preserve">or </w:t>
      </w:r>
      <w:r w:rsidR="00B517B4">
        <w:rPr>
          <w:rFonts w:ascii="ITC Avant Garde" w:hAnsi="ITC Avant Garde"/>
        </w:rPr>
        <w:t>ello,</w:t>
      </w:r>
      <w:r w:rsidR="00840DEF" w:rsidRPr="00B05E06">
        <w:rPr>
          <w:rFonts w:ascii="ITC Avant Garde" w:hAnsi="ITC Avant Garde"/>
        </w:rPr>
        <w:t xml:space="preserve"> las medidas asimétricas buscan evitar que persistan ciertas condiciones</w:t>
      </w:r>
      <w:r w:rsidR="00B517B4">
        <w:rPr>
          <w:rFonts w:ascii="ITC Avant Garde" w:hAnsi="ITC Avant Garde"/>
        </w:rPr>
        <w:t xml:space="preserve"> o conductas</w:t>
      </w:r>
      <w:r w:rsidR="00840DEF" w:rsidRPr="00B05E06">
        <w:rPr>
          <w:rFonts w:ascii="ITC Avant Garde" w:hAnsi="ITC Avant Garde"/>
        </w:rPr>
        <w:t xml:space="preserve">, tales como barreras a la entrada, control de insumos esenciales, exclusividades, trato discriminatorio, negativa de trato, precios predatorios, subsidios cruzados, discriminación de precios, estrechamiento de márgenes, incremento artificial de costos, otorgamiento de descuentos o beneficios de forma selectiva, entre otras. </w:t>
      </w:r>
    </w:p>
    <w:p w14:paraId="0E293A7E" w14:textId="77777777" w:rsidR="00524A73" w:rsidRDefault="00524A73" w:rsidP="001B6547">
      <w:pPr>
        <w:spacing w:after="0" w:line="276" w:lineRule="auto"/>
        <w:jc w:val="both"/>
        <w:rPr>
          <w:rFonts w:ascii="ITC Avant Garde" w:hAnsi="ITC Avant Garde"/>
        </w:rPr>
      </w:pPr>
    </w:p>
    <w:p w14:paraId="5EB59B1C" w14:textId="7AA4D8FA" w:rsidR="00BA2FA6" w:rsidRPr="00B05E06" w:rsidRDefault="0079373B" w:rsidP="001B6547">
      <w:pPr>
        <w:spacing w:after="0" w:line="276" w:lineRule="auto"/>
        <w:jc w:val="both"/>
        <w:rPr>
          <w:rFonts w:ascii="ITC Avant Garde" w:hAnsi="ITC Avant Garde"/>
        </w:rPr>
      </w:pPr>
      <w:r w:rsidRPr="00ED4F49">
        <w:rPr>
          <w:rFonts w:ascii="ITC Avant Garde" w:hAnsi="ITC Avant Garde"/>
        </w:rPr>
        <w:t>L</w:t>
      </w:r>
      <w:r w:rsidR="00BA2FA6" w:rsidRPr="00ED4F49">
        <w:rPr>
          <w:rFonts w:ascii="ITC Avant Garde" w:hAnsi="ITC Avant Garde"/>
        </w:rPr>
        <w:t>a regulación de Preponderancia</w:t>
      </w:r>
      <w:r w:rsidR="007347A2" w:rsidRPr="00ED4F49">
        <w:rPr>
          <w:rFonts w:ascii="ITC Avant Garde" w:hAnsi="ITC Avant Garde"/>
        </w:rPr>
        <w:t xml:space="preserve"> en el sector de telecomunicaciones </w:t>
      </w:r>
      <w:r w:rsidR="0041310D">
        <w:rPr>
          <w:rFonts w:ascii="ITC Avant Garde" w:hAnsi="ITC Avant Garde"/>
        </w:rPr>
        <w:t xml:space="preserve">tiene como objetivo </w:t>
      </w:r>
      <w:r w:rsidR="00BA2FA6" w:rsidRPr="00ED4F49">
        <w:rPr>
          <w:rFonts w:ascii="ITC Avant Garde" w:hAnsi="ITC Avant Garde"/>
        </w:rPr>
        <w:t>facilita</w:t>
      </w:r>
      <w:r w:rsidR="0041310D">
        <w:rPr>
          <w:rFonts w:ascii="ITC Avant Garde" w:hAnsi="ITC Avant Garde"/>
        </w:rPr>
        <w:t>r</w:t>
      </w:r>
      <w:r w:rsidR="00BA2FA6" w:rsidRPr="00ED4F49">
        <w:rPr>
          <w:rFonts w:ascii="ITC Avant Garde" w:hAnsi="ITC Avant Garde"/>
        </w:rPr>
        <w:t xml:space="preserve"> la entrada de nuevos competidores</w:t>
      </w:r>
      <w:r w:rsidR="00B75EDE">
        <w:rPr>
          <w:rFonts w:ascii="ITC Avant Garde" w:hAnsi="ITC Avant Garde"/>
        </w:rPr>
        <w:t xml:space="preserve"> y la expansión de los existentes</w:t>
      </w:r>
      <w:r w:rsidR="00BA2FA6" w:rsidRPr="00ED4F49">
        <w:rPr>
          <w:rFonts w:ascii="ITC Avant Garde" w:hAnsi="ITC Avant Garde"/>
        </w:rPr>
        <w:t xml:space="preserve">, </w:t>
      </w:r>
      <w:r w:rsidR="004F1006">
        <w:rPr>
          <w:rFonts w:ascii="ITC Avant Garde" w:hAnsi="ITC Avant Garde"/>
        </w:rPr>
        <w:t>lo que permitir</w:t>
      </w:r>
      <w:r w:rsidR="00B75EDE">
        <w:rPr>
          <w:rFonts w:ascii="ITC Avant Garde" w:hAnsi="ITC Avant Garde"/>
        </w:rPr>
        <w:t>á</w:t>
      </w:r>
      <w:r w:rsidR="004F1006">
        <w:rPr>
          <w:rFonts w:ascii="ITC Avant Garde" w:hAnsi="ITC Avant Garde"/>
        </w:rPr>
        <w:t xml:space="preserve"> </w:t>
      </w:r>
      <w:r w:rsidR="00BA2FA6" w:rsidRPr="00ED4F49">
        <w:rPr>
          <w:rFonts w:ascii="ITC Avant Garde" w:hAnsi="ITC Avant Garde"/>
        </w:rPr>
        <w:t>fomenta</w:t>
      </w:r>
      <w:r w:rsidR="004F1006">
        <w:rPr>
          <w:rFonts w:ascii="ITC Avant Garde" w:hAnsi="ITC Avant Garde"/>
        </w:rPr>
        <w:t>r</w:t>
      </w:r>
      <w:r w:rsidR="00BA2FA6" w:rsidRPr="00ED4F49">
        <w:rPr>
          <w:rFonts w:ascii="ITC Avant Garde" w:hAnsi="ITC Avant Garde"/>
        </w:rPr>
        <w:t xml:space="preserve"> la diversidad e innovación de los servicios, aumenta</w:t>
      </w:r>
      <w:r w:rsidR="004F1006">
        <w:rPr>
          <w:rFonts w:ascii="ITC Avant Garde" w:hAnsi="ITC Avant Garde"/>
        </w:rPr>
        <w:t>r</w:t>
      </w:r>
      <w:r w:rsidR="00BA2FA6" w:rsidRPr="00ED4F49">
        <w:rPr>
          <w:rFonts w:ascii="ITC Avant Garde" w:hAnsi="ITC Avant Garde"/>
        </w:rPr>
        <w:t xml:space="preserve"> la calidad</w:t>
      </w:r>
      <w:r w:rsidR="004F1006">
        <w:rPr>
          <w:rFonts w:ascii="ITC Avant Garde" w:hAnsi="ITC Avant Garde"/>
        </w:rPr>
        <w:t xml:space="preserve"> de los </w:t>
      </w:r>
      <w:r w:rsidR="0041310D">
        <w:rPr>
          <w:rFonts w:ascii="ITC Avant Garde" w:hAnsi="ITC Avant Garde"/>
        </w:rPr>
        <w:t>mismos</w:t>
      </w:r>
      <w:r w:rsidR="00BA2FA6" w:rsidRPr="00ED4F49">
        <w:rPr>
          <w:rFonts w:ascii="ITC Avant Garde" w:hAnsi="ITC Avant Garde"/>
        </w:rPr>
        <w:t>, ampl</w:t>
      </w:r>
      <w:r w:rsidR="00B75EDE">
        <w:rPr>
          <w:rFonts w:ascii="ITC Avant Garde" w:hAnsi="ITC Avant Garde"/>
        </w:rPr>
        <w:t>i</w:t>
      </w:r>
      <w:r w:rsidR="00BA2FA6" w:rsidRPr="00ED4F49">
        <w:rPr>
          <w:rFonts w:ascii="ITC Avant Garde" w:hAnsi="ITC Avant Garde"/>
        </w:rPr>
        <w:t>a</w:t>
      </w:r>
      <w:r w:rsidR="004F1006">
        <w:rPr>
          <w:rFonts w:ascii="ITC Avant Garde" w:hAnsi="ITC Avant Garde"/>
        </w:rPr>
        <w:t>r</w:t>
      </w:r>
      <w:r w:rsidR="00BA2FA6" w:rsidRPr="00ED4F49">
        <w:rPr>
          <w:rFonts w:ascii="ITC Avant Garde" w:hAnsi="ITC Avant Garde"/>
        </w:rPr>
        <w:t xml:space="preserve"> la cobertura</w:t>
      </w:r>
      <w:r w:rsidR="007347A2" w:rsidRPr="00ED4F49">
        <w:rPr>
          <w:rFonts w:ascii="ITC Avant Garde" w:hAnsi="ITC Avant Garde"/>
        </w:rPr>
        <w:t>, garantiza</w:t>
      </w:r>
      <w:r w:rsidR="004F1006">
        <w:rPr>
          <w:rFonts w:ascii="ITC Avant Garde" w:hAnsi="ITC Avant Garde"/>
        </w:rPr>
        <w:t>r</w:t>
      </w:r>
      <w:r w:rsidR="007347A2" w:rsidRPr="00ED4F49">
        <w:rPr>
          <w:rFonts w:ascii="ITC Avant Garde" w:hAnsi="ITC Avant Garde"/>
        </w:rPr>
        <w:t xml:space="preserve"> la interconexión, incentiva</w:t>
      </w:r>
      <w:r w:rsidR="004F1006">
        <w:rPr>
          <w:rFonts w:ascii="ITC Avant Garde" w:hAnsi="ITC Avant Garde"/>
        </w:rPr>
        <w:t>r</w:t>
      </w:r>
      <w:r w:rsidR="007347A2" w:rsidRPr="00ED4F49">
        <w:rPr>
          <w:rFonts w:ascii="ITC Avant Garde" w:hAnsi="ITC Avant Garde"/>
        </w:rPr>
        <w:t xml:space="preserve"> la convergencia </w:t>
      </w:r>
      <w:r w:rsidR="00BA2FA6" w:rsidRPr="00ED4F49">
        <w:rPr>
          <w:rFonts w:ascii="ITC Avant Garde" w:hAnsi="ITC Avant Garde"/>
        </w:rPr>
        <w:t>y ase</w:t>
      </w:r>
      <w:r w:rsidRPr="00ED4F49">
        <w:rPr>
          <w:rFonts w:ascii="ITC Avant Garde" w:hAnsi="ITC Avant Garde"/>
        </w:rPr>
        <w:t>gura</w:t>
      </w:r>
      <w:r w:rsidR="004F1006">
        <w:rPr>
          <w:rFonts w:ascii="ITC Avant Garde" w:hAnsi="ITC Avant Garde"/>
        </w:rPr>
        <w:t>r</w:t>
      </w:r>
      <w:r w:rsidRPr="00ED4F49">
        <w:rPr>
          <w:rFonts w:ascii="ITC Avant Garde" w:hAnsi="ITC Avant Garde"/>
        </w:rPr>
        <w:t xml:space="preserve"> el libre acceso a la información</w:t>
      </w:r>
      <w:r w:rsidR="00B75EDE">
        <w:rPr>
          <w:rFonts w:ascii="ITC Avant Garde" w:hAnsi="ITC Avant Garde"/>
        </w:rPr>
        <w:t>, todo ello en beneficio de los usuarios</w:t>
      </w:r>
      <w:r w:rsidRPr="00ED4F49">
        <w:rPr>
          <w:rFonts w:ascii="ITC Avant Garde" w:hAnsi="ITC Avant Garde"/>
        </w:rPr>
        <w:t>.</w:t>
      </w:r>
    </w:p>
    <w:p w14:paraId="780C68DF" w14:textId="77777777" w:rsidR="00C8269D" w:rsidRDefault="00C8269D" w:rsidP="001B6547">
      <w:pPr>
        <w:spacing w:after="0" w:line="276" w:lineRule="auto"/>
        <w:jc w:val="both"/>
        <w:rPr>
          <w:rFonts w:ascii="ITC Avant Garde" w:hAnsi="ITC Avant Garde"/>
        </w:rPr>
      </w:pPr>
    </w:p>
    <w:p w14:paraId="0F201BD7" w14:textId="7AC625A6" w:rsidR="004F13B4" w:rsidRDefault="00C8269D" w:rsidP="001B6547">
      <w:pPr>
        <w:spacing w:after="0" w:line="276" w:lineRule="auto"/>
        <w:jc w:val="both"/>
        <w:rPr>
          <w:rFonts w:ascii="ITC Avant Garde" w:hAnsi="ITC Avant Garde"/>
          <w:lang w:val="es-ES_tradnl"/>
        </w:rPr>
      </w:pPr>
      <w:r>
        <w:rPr>
          <w:rFonts w:ascii="ITC Avant Garde" w:hAnsi="ITC Avant Garde"/>
        </w:rPr>
        <w:t>En este sentido</w:t>
      </w:r>
      <w:r w:rsidRPr="00C8269D">
        <w:rPr>
          <w:rFonts w:ascii="ITC Avant Garde" w:hAnsi="ITC Avant Garde"/>
        </w:rPr>
        <w:t xml:space="preserve">, </w:t>
      </w:r>
      <w:r>
        <w:rPr>
          <w:rFonts w:ascii="ITC Avant Garde" w:hAnsi="ITC Avant Garde"/>
        </w:rPr>
        <w:t>se debe</w:t>
      </w:r>
      <w:r w:rsidRPr="00C8269D">
        <w:rPr>
          <w:rFonts w:ascii="ITC Avant Garde" w:hAnsi="ITC Avant Garde"/>
        </w:rPr>
        <w:t xml:space="preserve"> garantizar la competencia efectiva</w:t>
      </w:r>
      <w:r w:rsidR="00360537">
        <w:rPr>
          <w:rFonts w:ascii="ITC Avant Garde" w:hAnsi="ITC Avant Garde"/>
        </w:rPr>
        <w:t xml:space="preserve"> </w:t>
      </w:r>
      <w:r w:rsidRPr="00C8269D">
        <w:rPr>
          <w:rFonts w:ascii="ITC Avant Garde" w:hAnsi="ITC Avant Garde"/>
        </w:rPr>
        <w:t xml:space="preserve">en el sector telecomunicaciones, por lo tanto se requiere de una regulación adecuada, precisa e imparcial que promueva y facilite el uso eficiente de las redes, fomente la entrada en el mercado de competidores eficientes, y permita la expansión de los existentes, </w:t>
      </w:r>
      <w:r w:rsidR="004F1006">
        <w:rPr>
          <w:rFonts w:ascii="ITC Avant Garde" w:hAnsi="ITC Avant Garde"/>
        </w:rPr>
        <w:t xml:space="preserve">que </w:t>
      </w:r>
      <w:r w:rsidRPr="00C8269D">
        <w:rPr>
          <w:rFonts w:ascii="ITC Avant Garde" w:hAnsi="ITC Avant Garde"/>
        </w:rPr>
        <w:t>incorpore</w:t>
      </w:r>
      <w:r w:rsidR="004F1006">
        <w:rPr>
          <w:rFonts w:ascii="ITC Avant Garde" w:hAnsi="ITC Avant Garde"/>
        </w:rPr>
        <w:t>n</w:t>
      </w:r>
      <w:r w:rsidRPr="00C8269D">
        <w:rPr>
          <w:rFonts w:ascii="ITC Avant Garde" w:hAnsi="ITC Avant Garde"/>
        </w:rPr>
        <w:t xml:space="preserve"> nuevas tecnologías y servicios, y promueva un entorno de sana competencia entre los operadores. </w:t>
      </w:r>
    </w:p>
    <w:p w14:paraId="5DD8BF13" w14:textId="77777777" w:rsidR="004F13B4" w:rsidRDefault="004F13B4" w:rsidP="001B6547">
      <w:pPr>
        <w:spacing w:after="0" w:line="276" w:lineRule="auto"/>
        <w:jc w:val="both"/>
        <w:rPr>
          <w:rFonts w:ascii="ITC Avant Garde" w:hAnsi="ITC Avant Garde"/>
          <w:lang w:val="es-ES_tradnl"/>
        </w:rPr>
      </w:pPr>
    </w:p>
    <w:p w14:paraId="5F27300A" w14:textId="77777777" w:rsidR="00642A18" w:rsidRPr="00C8269D" w:rsidRDefault="00642A18" w:rsidP="001B6547">
      <w:pPr>
        <w:spacing w:after="0" w:line="276" w:lineRule="auto"/>
        <w:jc w:val="both"/>
        <w:rPr>
          <w:rFonts w:ascii="ITC Avant Garde" w:hAnsi="ITC Avant Garde"/>
        </w:rPr>
      </w:pPr>
      <w:r w:rsidRPr="00B05E06">
        <w:rPr>
          <w:rFonts w:ascii="ITC Avant Garde" w:hAnsi="ITC Avant Garde"/>
          <w:lang w:val="es-ES_tradnl"/>
        </w:rPr>
        <w:t>Entre las principales medidas</w:t>
      </w:r>
      <w:r w:rsidR="004F13B4">
        <w:rPr>
          <w:rFonts w:ascii="ITC Avant Garde" w:hAnsi="ITC Avant Garde"/>
          <w:lang w:val="es-ES_tradnl"/>
        </w:rPr>
        <w:t xml:space="preserve"> en el sector telecomunicaciones,</w:t>
      </w:r>
      <w:r w:rsidRPr="00B05E06">
        <w:rPr>
          <w:rFonts w:ascii="ITC Avant Garde" w:hAnsi="ITC Avant Garde"/>
          <w:lang w:val="es-ES_tradnl"/>
        </w:rPr>
        <w:t xml:space="preserve"> se encuentran las </w:t>
      </w:r>
      <w:r w:rsidR="004F1006">
        <w:rPr>
          <w:rFonts w:ascii="ITC Avant Garde" w:hAnsi="ITC Avant Garde"/>
          <w:lang w:val="es-ES_tradnl"/>
        </w:rPr>
        <w:t xml:space="preserve">relacionadas con los </w:t>
      </w:r>
      <w:r w:rsidRPr="00B05E06">
        <w:rPr>
          <w:rFonts w:ascii="ITC Avant Garde" w:hAnsi="ITC Avant Garde"/>
          <w:lang w:val="es-ES_tradnl"/>
        </w:rPr>
        <w:t>siguientes</w:t>
      </w:r>
      <w:r w:rsidR="00E03C38">
        <w:rPr>
          <w:rFonts w:ascii="ITC Avant Garde" w:hAnsi="ITC Avant Garde"/>
          <w:lang w:val="es-ES_tradnl"/>
        </w:rPr>
        <w:t xml:space="preserve"> rubros</w:t>
      </w:r>
      <w:r w:rsidRPr="00B05E06">
        <w:rPr>
          <w:rFonts w:ascii="ITC Avant Garde" w:hAnsi="ITC Avant Garde"/>
          <w:lang w:val="es-ES_tradnl"/>
        </w:rPr>
        <w:t>:</w:t>
      </w:r>
    </w:p>
    <w:p w14:paraId="7D6ADE4C" w14:textId="77777777" w:rsidR="00642A18" w:rsidRPr="00B05E06" w:rsidRDefault="0079373B" w:rsidP="00350B33">
      <w:pPr>
        <w:pStyle w:val="Prrafodelista"/>
        <w:numPr>
          <w:ilvl w:val="0"/>
          <w:numId w:val="5"/>
        </w:numPr>
        <w:spacing w:after="0" w:line="276" w:lineRule="auto"/>
        <w:jc w:val="both"/>
        <w:rPr>
          <w:rFonts w:ascii="ITC Avant Garde" w:hAnsi="ITC Avant Garde"/>
          <w:lang w:val="es-ES_tradnl"/>
        </w:rPr>
      </w:pPr>
      <w:r>
        <w:rPr>
          <w:rFonts w:ascii="ITC Avant Garde" w:hAnsi="ITC Avant Garde"/>
          <w:lang w:val="es-ES_tradnl"/>
        </w:rPr>
        <w:t>I</w:t>
      </w:r>
      <w:r w:rsidR="00642A18" w:rsidRPr="00B05E06">
        <w:rPr>
          <w:rFonts w:ascii="ITC Avant Garde" w:hAnsi="ITC Avant Garde"/>
          <w:lang w:val="es-ES_tradnl"/>
        </w:rPr>
        <w:t>nterconexión</w:t>
      </w:r>
    </w:p>
    <w:p w14:paraId="07DF14AE" w14:textId="77777777" w:rsidR="00642A18" w:rsidRPr="00B05E06" w:rsidRDefault="00642A18" w:rsidP="001B6547">
      <w:pPr>
        <w:pStyle w:val="Prrafodelista"/>
        <w:numPr>
          <w:ilvl w:val="0"/>
          <w:numId w:val="5"/>
        </w:numPr>
        <w:spacing w:after="0" w:line="276" w:lineRule="auto"/>
        <w:jc w:val="both"/>
        <w:rPr>
          <w:rFonts w:ascii="ITC Avant Garde" w:hAnsi="ITC Avant Garde"/>
          <w:lang w:val="es-ES_tradnl"/>
        </w:rPr>
      </w:pPr>
      <w:r w:rsidRPr="00B05E06">
        <w:rPr>
          <w:rFonts w:ascii="ITC Avant Garde" w:hAnsi="ITC Avant Garde"/>
          <w:lang w:val="es-ES_tradnl"/>
        </w:rPr>
        <w:t>Compartición de infraestructura pasiva</w:t>
      </w:r>
    </w:p>
    <w:p w14:paraId="14290F7C" w14:textId="77777777" w:rsidR="00642A18" w:rsidRPr="00B05E06" w:rsidRDefault="00642A18" w:rsidP="001B6547">
      <w:pPr>
        <w:pStyle w:val="Prrafodelista"/>
        <w:numPr>
          <w:ilvl w:val="0"/>
          <w:numId w:val="5"/>
        </w:numPr>
        <w:spacing w:after="0" w:line="276" w:lineRule="auto"/>
        <w:jc w:val="both"/>
        <w:rPr>
          <w:rFonts w:ascii="ITC Avant Garde" w:hAnsi="ITC Avant Garde"/>
          <w:lang w:val="es-ES_tradnl"/>
        </w:rPr>
      </w:pPr>
      <w:r w:rsidRPr="00B05E06">
        <w:rPr>
          <w:rFonts w:ascii="ITC Avant Garde" w:hAnsi="ITC Avant Garde"/>
          <w:lang w:val="es-ES_tradnl"/>
        </w:rPr>
        <w:t>Desagregación de la red local</w:t>
      </w:r>
    </w:p>
    <w:p w14:paraId="0643CB56" w14:textId="77777777" w:rsidR="00642A18" w:rsidRPr="00B05E06" w:rsidRDefault="00642A18" w:rsidP="001B6547">
      <w:pPr>
        <w:pStyle w:val="Prrafodelista"/>
        <w:numPr>
          <w:ilvl w:val="0"/>
          <w:numId w:val="5"/>
        </w:numPr>
        <w:spacing w:after="0" w:line="276" w:lineRule="auto"/>
        <w:jc w:val="both"/>
        <w:rPr>
          <w:rFonts w:ascii="ITC Avant Garde" w:hAnsi="ITC Avant Garde"/>
          <w:lang w:val="es-ES_tradnl"/>
        </w:rPr>
      </w:pPr>
      <w:r w:rsidRPr="00B05E06">
        <w:rPr>
          <w:rFonts w:ascii="ITC Avant Garde" w:hAnsi="ITC Avant Garde"/>
          <w:lang w:val="es-ES_tradnl"/>
        </w:rPr>
        <w:t>Servicios mayoristas de arrendamiento de enlaces dedicados</w:t>
      </w:r>
    </w:p>
    <w:p w14:paraId="71DC5A10" w14:textId="77777777" w:rsidR="00642A18" w:rsidRPr="00B05E06" w:rsidRDefault="0079373B" w:rsidP="001B6547">
      <w:pPr>
        <w:pStyle w:val="Prrafodelista"/>
        <w:numPr>
          <w:ilvl w:val="0"/>
          <w:numId w:val="5"/>
        </w:numPr>
        <w:spacing w:after="0" w:line="276" w:lineRule="auto"/>
        <w:jc w:val="both"/>
        <w:rPr>
          <w:rFonts w:ascii="ITC Avant Garde" w:hAnsi="ITC Avant Garde"/>
          <w:lang w:val="es-ES_tradnl"/>
        </w:rPr>
      </w:pPr>
      <w:r>
        <w:rPr>
          <w:rFonts w:ascii="ITC Avant Garde" w:hAnsi="ITC Avant Garde"/>
          <w:lang w:val="es-ES_tradnl"/>
        </w:rPr>
        <w:t>Usuario Visitante</w:t>
      </w:r>
    </w:p>
    <w:p w14:paraId="2D77FE04" w14:textId="77777777" w:rsidR="0079373B" w:rsidRDefault="00642A18" w:rsidP="001B6547">
      <w:pPr>
        <w:pStyle w:val="Prrafodelista"/>
        <w:numPr>
          <w:ilvl w:val="0"/>
          <w:numId w:val="5"/>
        </w:numPr>
        <w:spacing w:after="0" w:line="276" w:lineRule="auto"/>
        <w:jc w:val="both"/>
        <w:rPr>
          <w:rFonts w:ascii="ITC Avant Garde" w:hAnsi="ITC Avant Garde"/>
          <w:lang w:val="es-ES_tradnl"/>
        </w:rPr>
      </w:pPr>
      <w:r w:rsidRPr="0079373B">
        <w:rPr>
          <w:rFonts w:ascii="ITC Avant Garde" w:hAnsi="ITC Avant Garde"/>
          <w:lang w:val="es-ES_tradnl"/>
        </w:rPr>
        <w:t xml:space="preserve">Regulación de acceso a </w:t>
      </w:r>
      <w:r w:rsidR="0079373B">
        <w:rPr>
          <w:rFonts w:ascii="ITC Avant Garde" w:hAnsi="ITC Avant Garde"/>
          <w:lang w:val="es-ES_tradnl"/>
        </w:rPr>
        <w:t>Operadores Móviles Vi</w:t>
      </w:r>
      <w:r w:rsidR="0079373B" w:rsidRPr="0079373B">
        <w:rPr>
          <w:rFonts w:ascii="ITC Avant Garde" w:hAnsi="ITC Avant Garde"/>
          <w:lang w:val="es-ES_tradnl"/>
        </w:rPr>
        <w:t>rtuales</w:t>
      </w:r>
    </w:p>
    <w:p w14:paraId="6F58B000" w14:textId="77777777" w:rsidR="00642A18" w:rsidRPr="0079373B" w:rsidRDefault="00C8269D" w:rsidP="001B6547">
      <w:pPr>
        <w:pStyle w:val="Prrafodelista"/>
        <w:numPr>
          <w:ilvl w:val="0"/>
          <w:numId w:val="5"/>
        </w:numPr>
        <w:spacing w:after="0" w:line="276" w:lineRule="auto"/>
        <w:jc w:val="both"/>
        <w:rPr>
          <w:rFonts w:ascii="ITC Avant Garde" w:hAnsi="ITC Avant Garde"/>
          <w:lang w:val="es-ES_tradnl"/>
        </w:rPr>
      </w:pPr>
      <w:r>
        <w:rPr>
          <w:rFonts w:ascii="ITC Avant Garde" w:hAnsi="ITC Avant Garde"/>
          <w:lang w:val="es-ES_tradnl"/>
        </w:rPr>
        <w:t>Relacionadas con el usuario</w:t>
      </w:r>
    </w:p>
    <w:p w14:paraId="3864D3F5" w14:textId="77777777" w:rsidR="00642A18" w:rsidRPr="00B05E06" w:rsidRDefault="00642A18" w:rsidP="001B6547">
      <w:pPr>
        <w:pStyle w:val="Prrafodelista"/>
        <w:numPr>
          <w:ilvl w:val="0"/>
          <w:numId w:val="5"/>
        </w:numPr>
        <w:spacing w:after="0" w:line="276" w:lineRule="auto"/>
        <w:jc w:val="both"/>
        <w:rPr>
          <w:rFonts w:ascii="ITC Avant Garde" w:hAnsi="ITC Avant Garde"/>
          <w:lang w:val="es-ES_tradnl"/>
        </w:rPr>
      </w:pPr>
      <w:r w:rsidRPr="00B05E06">
        <w:rPr>
          <w:rFonts w:ascii="ITC Avant Garde" w:hAnsi="ITC Avant Garde"/>
          <w:lang w:val="es-ES_tradnl"/>
        </w:rPr>
        <w:t>Desbloqueo de terminales</w:t>
      </w:r>
    </w:p>
    <w:p w14:paraId="0F241D79" w14:textId="77777777" w:rsidR="00642A18" w:rsidRPr="00B05E06" w:rsidRDefault="00642A18" w:rsidP="001B6547">
      <w:pPr>
        <w:pStyle w:val="Prrafodelista"/>
        <w:numPr>
          <w:ilvl w:val="0"/>
          <w:numId w:val="5"/>
        </w:numPr>
        <w:spacing w:after="0" w:line="276" w:lineRule="auto"/>
        <w:jc w:val="both"/>
        <w:rPr>
          <w:rFonts w:ascii="ITC Avant Garde" w:hAnsi="ITC Avant Garde"/>
          <w:lang w:val="es-ES_tradnl"/>
        </w:rPr>
      </w:pPr>
      <w:r w:rsidRPr="00B05E06">
        <w:rPr>
          <w:rFonts w:ascii="ITC Avant Garde" w:hAnsi="ITC Avant Garde"/>
          <w:lang w:val="es-ES_tradnl"/>
        </w:rPr>
        <w:t>Prohibición para adquirir en exclusiva contenidos relevantes</w:t>
      </w:r>
    </w:p>
    <w:p w14:paraId="778B58A9" w14:textId="1E9F557B" w:rsidR="00C8269D" w:rsidRDefault="00C8269D" w:rsidP="001B6547">
      <w:pPr>
        <w:pStyle w:val="Prrafodelista"/>
        <w:numPr>
          <w:ilvl w:val="0"/>
          <w:numId w:val="5"/>
        </w:numPr>
        <w:spacing w:after="0" w:line="276" w:lineRule="auto"/>
        <w:jc w:val="both"/>
        <w:rPr>
          <w:rFonts w:ascii="ITC Avant Garde" w:hAnsi="ITC Avant Garde"/>
          <w:lang w:val="es-ES_tradnl"/>
        </w:rPr>
      </w:pPr>
      <w:r>
        <w:rPr>
          <w:rFonts w:ascii="ITC Avant Garde" w:hAnsi="ITC Avant Garde"/>
          <w:lang w:val="es-ES_tradnl"/>
        </w:rPr>
        <w:t>P</w:t>
      </w:r>
      <w:r w:rsidR="00B75EDE">
        <w:rPr>
          <w:rFonts w:ascii="ITC Avant Garde" w:hAnsi="ITC Avant Garde"/>
          <w:lang w:val="es-ES_tradnl"/>
        </w:rPr>
        <w:t>ropiedad cruzada</w:t>
      </w:r>
      <w:r>
        <w:rPr>
          <w:rFonts w:ascii="ITC Avant Garde" w:hAnsi="ITC Avant Garde"/>
          <w:lang w:val="es-ES_tradnl"/>
        </w:rPr>
        <w:t xml:space="preserve"> entre </w:t>
      </w:r>
      <w:proofErr w:type="spellStart"/>
      <w:r>
        <w:rPr>
          <w:rFonts w:ascii="ITC Avant Garde" w:hAnsi="ITC Avant Garde"/>
          <w:lang w:val="es-ES_tradnl"/>
        </w:rPr>
        <w:t>AEPs</w:t>
      </w:r>
      <w:proofErr w:type="spellEnd"/>
      <w:r>
        <w:rPr>
          <w:rFonts w:ascii="ITC Avant Garde" w:hAnsi="ITC Avant Garde"/>
          <w:lang w:val="es-ES_tradnl"/>
        </w:rPr>
        <w:t>.</w:t>
      </w:r>
    </w:p>
    <w:p w14:paraId="37D543F4" w14:textId="77777777" w:rsidR="007B4B58" w:rsidRDefault="007B4B58" w:rsidP="001B6547">
      <w:pPr>
        <w:pStyle w:val="Prrafodelista"/>
        <w:numPr>
          <w:ilvl w:val="0"/>
          <w:numId w:val="5"/>
        </w:numPr>
        <w:spacing w:after="0" w:line="276" w:lineRule="auto"/>
        <w:jc w:val="both"/>
        <w:rPr>
          <w:rFonts w:ascii="ITC Avant Garde" w:hAnsi="ITC Avant Garde"/>
          <w:lang w:val="es-ES_tradnl"/>
        </w:rPr>
      </w:pPr>
      <w:r>
        <w:rPr>
          <w:rFonts w:ascii="ITC Avant Garde" w:hAnsi="ITC Avant Garde"/>
          <w:lang w:val="es-ES_tradnl"/>
        </w:rPr>
        <w:t>Contenidos audiovisuales relevantes.</w:t>
      </w:r>
    </w:p>
    <w:p w14:paraId="0B9CCB86" w14:textId="77777777" w:rsidR="00642A18" w:rsidRPr="00B05E06" w:rsidRDefault="00642A18" w:rsidP="001B6547">
      <w:pPr>
        <w:pStyle w:val="Prrafodelista"/>
        <w:numPr>
          <w:ilvl w:val="0"/>
          <w:numId w:val="5"/>
        </w:numPr>
        <w:spacing w:after="0" w:line="276" w:lineRule="auto"/>
        <w:jc w:val="both"/>
        <w:rPr>
          <w:rFonts w:ascii="ITC Avant Garde" w:hAnsi="ITC Avant Garde"/>
          <w:lang w:val="es-ES_tradnl"/>
        </w:rPr>
      </w:pPr>
      <w:r w:rsidRPr="00B05E06">
        <w:rPr>
          <w:rFonts w:ascii="ITC Avant Garde" w:hAnsi="ITC Avant Garde"/>
          <w:lang w:val="es-ES_tradnl"/>
        </w:rPr>
        <w:t>Obligaciones de información, separación contable y calidad de servicio</w:t>
      </w:r>
    </w:p>
    <w:p w14:paraId="19388C07" w14:textId="77777777" w:rsidR="00107FD1" w:rsidRDefault="00107FD1" w:rsidP="001B6547">
      <w:pPr>
        <w:pStyle w:val="Sinespaciado"/>
        <w:spacing w:line="276" w:lineRule="auto"/>
        <w:jc w:val="both"/>
        <w:rPr>
          <w:rFonts w:ascii="ITC Avant Garde" w:hAnsi="ITC Avant Garde"/>
        </w:rPr>
      </w:pPr>
    </w:p>
    <w:p w14:paraId="2960B2CC" w14:textId="77777777" w:rsidR="00642A18" w:rsidRDefault="00107FD1" w:rsidP="001B6547">
      <w:pPr>
        <w:pStyle w:val="Sinespaciado"/>
        <w:spacing w:line="276" w:lineRule="auto"/>
        <w:jc w:val="both"/>
        <w:rPr>
          <w:rFonts w:ascii="ITC Avant Garde" w:hAnsi="ITC Avant Garde"/>
        </w:rPr>
      </w:pPr>
      <w:r>
        <w:rPr>
          <w:rFonts w:ascii="ITC Avant Garde" w:hAnsi="ITC Avant Garde"/>
        </w:rPr>
        <w:t>En el sector de radiodifusión se establecieron medidas relativas a:</w:t>
      </w:r>
    </w:p>
    <w:p w14:paraId="7DB8162B" w14:textId="77777777" w:rsidR="00107FD1" w:rsidRPr="00107FD1" w:rsidRDefault="00107FD1" w:rsidP="001B6547">
      <w:pPr>
        <w:pStyle w:val="Sinespaciado"/>
        <w:numPr>
          <w:ilvl w:val="0"/>
          <w:numId w:val="11"/>
        </w:numPr>
        <w:spacing w:line="276" w:lineRule="auto"/>
        <w:jc w:val="both"/>
        <w:rPr>
          <w:rFonts w:ascii="ITC Avant Garde" w:hAnsi="ITC Avant Garde"/>
        </w:rPr>
      </w:pPr>
      <w:r w:rsidRPr="00107FD1">
        <w:rPr>
          <w:rFonts w:ascii="ITC Avant Garde" w:hAnsi="ITC Avant Garde"/>
        </w:rPr>
        <w:t xml:space="preserve">Compartición de Infraestructura </w:t>
      </w:r>
    </w:p>
    <w:p w14:paraId="1A377C90" w14:textId="619F130B" w:rsidR="00107FD1" w:rsidRPr="00107FD1" w:rsidRDefault="00107FD1" w:rsidP="001B6547">
      <w:pPr>
        <w:pStyle w:val="Sinespaciado"/>
        <w:numPr>
          <w:ilvl w:val="0"/>
          <w:numId w:val="11"/>
        </w:numPr>
        <w:spacing w:line="276" w:lineRule="auto"/>
        <w:jc w:val="both"/>
        <w:rPr>
          <w:rFonts w:ascii="ITC Avant Garde" w:hAnsi="ITC Avant Garde"/>
        </w:rPr>
      </w:pPr>
      <w:r w:rsidRPr="00107FD1">
        <w:rPr>
          <w:rFonts w:ascii="ITC Avant Garde" w:hAnsi="ITC Avant Garde"/>
        </w:rPr>
        <w:t>Contenidos</w:t>
      </w:r>
    </w:p>
    <w:p w14:paraId="5DB26D6A" w14:textId="2EAA7227" w:rsidR="00107FD1" w:rsidRPr="00107FD1" w:rsidRDefault="00107FD1" w:rsidP="001B6547">
      <w:pPr>
        <w:pStyle w:val="Sinespaciado"/>
        <w:numPr>
          <w:ilvl w:val="0"/>
          <w:numId w:val="11"/>
        </w:numPr>
        <w:spacing w:line="276" w:lineRule="auto"/>
        <w:jc w:val="both"/>
        <w:rPr>
          <w:rFonts w:ascii="ITC Avant Garde" w:hAnsi="ITC Avant Garde"/>
        </w:rPr>
      </w:pPr>
      <w:r w:rsidRPr="00107FD1">
        <w:rPr>
          <w:rFonts w:ascii="ITC Avant Garde" w:hAnsi="ITC Avant Garde"/>
        </w:rPr>
        <w:t>Clubes de Compra</w:t>
      </w:r>
    </w:p>
    <w:p w14:paraId="211C51D4" w14:textId="5BE9FDE2" w:rsidR="00107FD1" w:rsidRPr="00107FD1" w:rsidRDefault="00107FD1" w:rsidP="001B6547">
      <w:pPr>
        <w:pStyle w:val="Sinespaciado"/>
        <w:numPr>
          <w:ilvl w:val="0"/>
          <w:numId w:val="11"/>
        </w:numPr>
        <w:spacing w:line="276" w:lineRule="auto"/>
        <w:jc w:val="both"/>
        <w:rPr>
          <w:rFonts w:ascii="ITC Avant Garde" w:hAnsi="ITC Avant Garde"/>
        </w:rPr>
      </w:pPr>
      <w:r w:rsidRPr="00107FD1">
        <w:rPr>
          <w:rFonts w:ascii="ITC Avant Garde" w:hAnsi="ITC Avant Garde"/>
        </w:rPr>
        <w:t xml:space="preserve">Oferta de Canales </w:t>
      </w:r>
    </w:p>
    <w:p w14:paraId="567BEF15" w14:textId="07716622" w:rsidR="00107FD1" w:rsidRPr="00107FD1" w:rsidRDefault="00107FD1" w:rsidP="001B6547">
      <w:pPr>
        <w:pStyle w:val="Sinespaciado"/>
        <w:numPr>
          <w:ilvl w:val="0"/>
          <w:numId w:val="11"/>
        </w:numPr>
        <w:spacing w:line="276" w:lineRule="auto"/>
        <w:jc w:val="both"/>
        <w:rPr>
          <w:rFonts w:ascii="ITC Avant Garde" w:hAnsi="ITC Avant Garde"/>
        </w:rPr>
      </w:pPr>
      <w:r w:rsidRPr="00107FD1">
        <w:rPr>
          <w:rFonts w:ascii="ITC Avant Garde" w:hAnsi="ITC Avant Garde"/>
        </w:rPr>
        <w:t>Información</w:t>
      </w:r>
      <w:r w:rsidR="0015651D">
        <w:rPr>
          <w:rFonts w:ascii="ITC Avant Garde" w:hAnsi="ITC Avant Garde"/>
        </w:rPr>
        <w:t xml:space="preserve"> y no discriminación en publicidad</w:t>
      </w:r>
    </w:p>
    <w:p w14:paraId="07C0B4D0" w14:textId="3AE5A65A" w:rsidR="00107FD1" w:rsidRPr="00B05E06" w:rsidRDefault="00107FD1" w:rsidP="001B6547">
      <w:pPr>
        <w:pStyle w:val="Sinespaciado"/>
        <w:numPr>
          <w:ilvl w:val="0"/>
          <w:numId w:val="11"/>
        </w:numPr>
        <w:spacing w:line="276" w:lineRule="auto"/>
        <w:jc w:val="both"/>
        <w:rPr>
          <w:rFonts w:ascii="ITC Avant Garde" w:hAnsi="ITC Avant Garde"/>
        </w:rPr>
      </w:pPr>
      <w:r w:rsidRPr="00107FD1">
        <w:rPr>
          <w:rFonts w:ascii="ITC Avant Garde" w:hAnsi="ITC Avant Garde"/>
        </w:rPr>
        <w:t>P</w:t>
      </w:r>
      <w:r w:rsidR="00B75EDE">
        <w:rPr>
          <w:rFonts w:ascii="ITC Avant Garde" w:hAnsi="ITC Avant Garde"/>
        </w:rPr>
        <w:t>ropiedad cruzada</w:t>
      </w:r>
      <w:r w:rsidRPr="00107FD1">
        <w:rPr>
          <w:rFonts w:ascii="ITC Avant Garde" w:hAnsi="ITC Avant Garde"/>
        </w:rPr>
        <w:t xml:space="preserve"> entre </w:t>
      </w:r>
      <w:proofErr w:type="spellStart"/>
      <w:r w:rsidRPr="00107FD1">
        <w:rPr>
          <w:rFonts w:ascii="ITC Avant Garde" w:hAnsi="ITC Avant Garde"/>
        </w:rPr>
        <w:t>AEPs</w:t>
      </w:r>
      <w:proofErr w:type="spellEnd"/>
    </w:p>
    <w:p w14:paraId="06E54118" w14:textId="77777777" w:rsidR="00642A18" w:rsidRPr="00B05E06" w:rsidRDefault="00642A18" w:rsidP="001B6547">
      <w:pPr>
        <w:pStyle w:val="Sinespaciado"/>
        <w:spacing w:line="276" w:lineRule="auto"/>
        <w:ind w:left="708"/>
        <w:jc w:val="both"/>
        <w:rPr>
          <w:rFonts w:ascii="ITC Avant Garde" w:hAnsi="ITC Avant Garde"/>
        </w:rPr>
      </w:pPr>
    </w:p>
    <w:p w14:paraId="23FEEBAB" w14:textId="77777777" w:rsidR="00642A18" w:rsidRPr="00B05E06" w:rsidRDefault="00642A18" w:rsidP="001B6547">
      <w:pPr>
        <w:spacing w:after="0" w:line="276" w:lineRule="auto"/>
        <w:jc w:val="both"/>
        <w:rPr>
          <w:rFonts w:ascii="ITC Avant Garde" w:hAnsi="ITC Avant Garde"/>
          <w:b/>
        </w:rPr>
      </w:pPr>
    </w:p>
    <w:p w14:paraId="05A3D092" w14:textId="77777777" w:rsidR="00E30F3F" w:rsidRDefault="004D19C7" w:rsidP="001B6547">
      <w:pPr>
        <w:spacing w:after="0" w:line="276" w:lineRule="auto"/>
        <w:jc w:val="both"/>
        <w:rPr>
          <w:rFonts w:ascii="ITC Avant Garde" w:hAnsi="ITC Avant Garde"/>
          <w:b/>
        </w:rPr>
      </w:pPr>
      <w:r w:rsidRPr="00B05E06">
        <w:rPr>
          <w:rFonts w:ascii="ITC Avant Garde" w:hAnsi="ITC Avant Garde"/>
          <w:b/>
        </w:rPr>
        <w:t xml:space="preserve">SECTOR </w:t>
      </w:r>
      <w:r w:rsidR="00E30F3F" w:rsidRPr="00B05E06">
        <w:rPr>
          <w:rFonts w:ascii="ITC Avant Garde" w:hAnsi="ITC Avant Garde"/>
          <w:b/>
        </w:rPr>
        <w:t>TELECOMUNICACIONES</w:t>
      </w:r>
    </w:p>
    <w:p w14:paraId="78853585" w14:textId="77777777" w:rsidR="00B05E06" w:rsidRPr="00B05E06" w:rsidRDefault="00B05E06" w:rsidP="001B6547">
      <w:pPr>
        <w:spacing w:after="0" w:line="276" w:lineRule="auto"/>
        <w:jc w:val="both"/>
        <w:rPr>
          <w:rFonts w:ascii="ITC Avant Garde" w:hAnsi="ITC Avant Garde"/>
          <w:b/>
        </w:rPr>
      </w:pPr>
    </w:p>
    <w:p w14:paraId="29633045" w14:textId="77777777" w:rsidR="00E30F3F" w:rsidRPr="00B05E06" w:rsidRDefault="00734283" w:rsidP="001B6547">
      <w:pPr>
        <w:pStyle w:val="Prrafodelista"/>
        <w:numPr>
          <w:ilvl w:val="0"/>
          <w:numId w:val="1"/>
        </w:numPr>
        <w:spacing w:after="0" w:line="276" w:lineRule="auto"/>
        <w:jc w:val="both"/>
        <w:rPr>
          <w:rFonts w:ascii="ITC Avant Garde" w:hAnsi="ITC Avant Garde"/>
          <w:u w:val="single"/>
        </w:rPr>
      </w:pPr>
      <w:r w:rsidRPr="00B05E06">
        <w:rPr>
          <w:rFonts w:ascii="ITC Avant Garde" w:hAnsi="ITC Avant Garde"/>
          <w:u w:val="single"/>
        </w:rPr>
        <w:t>SERVICIOS MAYORISTAS</w:t>
      </w:r>
    </w:p>
    <w:p w14:paraId="5D3F91C5" w14:textId="77777777" w:rsidR="00734283" w:rsidRDefault="00734283" w:rsidP="001B6547">
      <w:pPr>
        <w:spacing w:after="0" w:line="276" w:lineRule="auto"/>
        <w:jc w:val="both"/>
        <w:rPr>
          <w:rFonts w:ascii="ITC Avant Garde" w:hAnsi="ITC Avant Garde"/>
        </w:rPr>
      </w:pPr>
    </w:p>
    <w:p w14:paraId="6AC81013" w14:textId="172B8C7C" w:rsidR="00A44BB4" w:rsidRPr="00A44BB4" w:rsidRDefault="00A44BB4" w:rsidP="001B6547">
      <w:pPr>
        <w:spacing w:after="0" w:line="276" w:lineRule="auto"/>
        <w:jc w:val="both"/>
        <w:rPr>
          <w:rFonts w:ascii="ITC Avant Garde" w:hAnsi="ITC Avant Garde"/>
        </w:rPr>
      </w:pPr>
      <w:r>
        <w:rPr>
          <w:rFonts w:ascii="ITC Avant Garde" w:hAnsi="ITC Avant Garde"/>
        </w:rPr>
        <w:t>E</w:t>
      </w:r>
      <w:r w:rsidRPr="00A44BB4">
        <w:rPr>
          <w:rFonts w:ascii="ITC Avant Garde" w:hAnsi="ITC Avant Garde"/>
        </w:rPr>
        <w:t xml:space="preserve">l sector de telecomunicaciones está caracterizado por la presencia de elevados costos hundidos, que son inherentes al despliegue de la infraestructura, entre los que destacan los costos de la obra civil como es el excavar los accesos, instalar y enterrar los ductos, y equipos de transmisión. Esta característica confiere a los costos hundidos un valor estratégico muy importante para el desarrollo de la competencia. </w:t>
      </w:r>
    </w:p>
    <w:p w14:paraId="181D9D1E" w14:textId="77777777" w:rsidR="00A44BB4" w:rsidRPr="00A44BB4" w:rsidRDefault="00A44BB4" w:rsidP="001B6547">
      <w:pPr>
        <w:spacing w:after="0" w:line="276" w:lineRule="auto"/>
        <w:jc w:val="both"/>
        <w:rPr>
          <w:rFonts w:ascii="ITC Avant Garde" w:hAnsi="ITC Avant Garde"/>
        </w:rPr>
      </w:pPr>
    </w:p>
    <w:p w14:paraId="4321573F" w14:textId="77777777" w:rsidR="00A44BB4" w:rsidRPr="00A44BB4" w:rsidRDefault="00A44BB4" w:rsidP="001B6547">
      <w:pPr>
        <w:spacing w:after="0" w:line="276" w:lineRule="auto"/>
        <w:jc w:val="both"/>
        <w:rPr>
          <w:rFonts w:ascii="ITC Avant Garde" w:hAnsi="ITC Avant Garde"/>
        </w:rPr>
      </w:pPr>
      <w:r w:rsidRPr="00A44BB4">
        <w:rPr>
          <w:rFonts w:ascii="ITC Avant Garde" w:hAnsi="ITC Avant Garde"/>
        </w:rPr>
        <w:t xml:space="preserve">En este mismo sentido, el sector de telecomunicaciones se caracteriza por unas importantes economías de escala, alcance y densidad que implican que los operadores entrantes afronten unos costos medios unitarios mayores que los operadores que cuentan con una escala de operación más grande, por lo tanto, la decisión de entrada de un nuevo competidor está en función de estos costos y de la rentabilidad que espere obtener la empresa por la inversión realizada. </w:t>
      </w:r>
    </w:p>
    <w:p w14:paraId="711CF36F" w14:textId="77777777" w:rsidR="00A44BB4" w:rsidRPr="00A44BB4" w:rsidRDefault="00A44BB4" w:rsidP="001B6547">
      <w:pPr>
        <w:spacing w:after="0" w:line="276" w:lineRule="auto"/>
        <w:jc w:val="both"/>
        <w:rPr>
          <w:rFonts w:ascii="ITC Avant Garde" w:hAnsi="ITC Avant Garde"/>
        </w:rPr>
      </w:pPr>
    </w:p>
    <w:p w14:paraId="7EB3EA92" w14:textId="7CB936F4" w:rsidR="00734283" w:rsidRPr="00A44BB4" w:rsidRDefault="00A44BB4" w:rsidP="001B6547">
      <w:pPr>
        <w:spacing w:after="0" w:line="276" w:lineRule="auto"/>
        <w:jc w:val="both"/>
        <w:rPr>
          <w:rFonts w:ascii="ITC Avant Garde" w:hAnsi="ITC Avant Garde"/>
        </w:rPr>
      </w:pPr>
      <w:r>
        <w:rPr>
          <w:rFonts w:ascii="ITC Avant Garde" w:hAnsi="ITC Avant Garde"/>
        </w:rPr>
        <w:t>En el sector de telecomunicaciones</w:t>
      </w:r>
      <w:r w:rsidR="0099093A">
        <w:rPr>
          <w:rFonts w:ascii="ITC Avant Garde" w:hAnsi="ITC Avant Garde"/>
        </w:rPr>
        <w:t>,</w:t>
      </w:r>
      <w:r>
        <w:rPr>
          <w:rFonts w:ascii="ITC Avant Garde" w:hAnsi="ITC Avant Garde"/>
        </w:rPr>
        <w:t xml:space="preserve"> los concesionarios que prestan servicios </w:t>
      </w:r>
      <w:r w:rsidR="00E03C38">
        <w:rPr>
          <w:rFonts w:ascii="ITC Avant Garde" w:hAnsi="ITC Avant Garde"/>
        </w:rPr>
        <w:t xml:space="preserve">regularmente </w:t>
      </w:r>
      <w:r>
        <w:rPr>
          <w:rFonts w:ascii="ITC Avant Garde" w:hAnsi="ITC Avant Garde"/>
        </w:rPr>
        <w:t>requieren complementar su infraestructura de telecomunicaciones arrendando a otro operador elementos de red o servicios mayoristas, que constituyen insumos de su</w:t>
      </w:r>
      <w:r w:rsidR="00734283" w:rsidRPr="00A44BB4">
        <w:rPr>
          <w:rFonts w:ascii="ITC Avant Garde" w:hAnsi="ITC Avant Garde"/>
        </w:rPr>
        <w:t xml:space="preserve"> cadena de valor</w:t>
      </w:r>
      <w:r>
        <w:rPr>
          <w:rFonts w:ascii="ITC Avant Garde" w:hAnsi="ITC Avant Garde"/>
        </w:rPr>
        <w:t xml:space="preserve"> para poder ofrecer servicios al usuario final. El costo y las condiciones de acceso a estos servicios mayoristas cobran gran relevancia al poder </w:t>
      </w:r>
      <w:r w:rsidR="00734283" w:rsidRPr="00A44BB4">
        <w:rPr>
          <w:rFonts w:ascii="ITC Avant Garde" w:hAnsi="ITC Avant Garde"/>
        </w:rPr>
        <w:t>afectar precio, calidad, cobertura y diversidad de los servicios de telecomunicaciones que los concesionarios minoristas ofrecen a los usuarios finales.</w:t>
      </w:r>
    </w:p>
    <w:p w14:paraId="573AEFFA" w14:textId="77777777" w:rsidR="00734283" w:rsidRPr="00B05E06" w:rsidRDefault="00734283" w:rsidP="001B6547">
      <w:pPr>
        <w:pStyle w:val="Prrafodelista"/>
        <w:spacing w:after="0" w:line="276" w:lineRule="auto"/>
        <w:ind w:left="360"/>
        <w:jc w:val="both"/>
        <w:rPr>
          <w:rFonts w:ascii="ITC Avant Garde" w:hAnsi="ITC Avant Garde"/>
        </w:rPr>
      </w:pPr>
    </w:p>
    <w:p w14:paraId="0B153D4A" w14:textId="77777777" w:rsidR="00840DEF" w:rsidRPr="00A44BB4" w:rsidRDefault="00734283" w:rsidP="001B6547">
      <w:pPr>
        <w:spacing w:after="0" w:line="276" w:lineRule="auto"/>
        <w:jc w:val="both"/>
        <w:rPr>
          <w:rFonts w:ascii="ITC Avant Garde" w:hAnsi="ITC Avant Garde"/>
        </w:rPr>
      </w:pPr>
      <w:r w:rsidRPr="00A44BB4">
        <w:rPr>
          <w:rFonts w:ascii="ITC Avant Garde" w:hAnsi="ITC Avant Garde"/>
        </w:rPr>
        <w:t xml:space="preserve">Las medidas de regulación asimétrica de Preponderancia </w:t>
      </w:r>
      <w:r w:rsidR="00FC2121" w:rsidRPr="00A44BB4">
        <w:rPr>
          <w:rFonts w:ascii="ITC Avant Garde" w:hAnsi="ITC Avant Garde"/>
        </w:rPr>
        <w:t>se establecieron para los principales servicios mayoristas del sector telecomunicaciones, entre los cuales se encuentran los servicios de interconexión, compartición de infraestructura</w:t>
      </w:r>
      <w:r w:rsidR="007800B7">
        <w:rPr>
          <w:rFonts w:ascii="ITC Avant Garde" w:hAnsi="ITC Avant Garde"/>
        </w:rPr>
        <w:t xml:space="preserve"> pasiva</w:t>
      </w:r>
      <w:r w:rsidR="00FC2121" w:rsidRPr="00A44BB4">
        <w:rPr>
          <w:rFonts w:ascii="ITC Avant Garde" w:hAnsi="ITC Avant Garde"/>
        </w:rPr>
        <w:t>, desagregación de la red local, enlaces dedicados, usuar</w:t>
      </w:r>
      <w:r w:rsidR="000F39CB">
        <w:rPr>
          <w:rFonts w:ascii="ITC Avant Garde" w:hAnsi="ITC Avant Garde"/>
        </w:rPr>
        <w:t>io visitante y</w:t>
      </w:r>
      <w:r w:rsidR="00FC2121" w:rsidRPr="00A44BB4">
        <w:rPr>
          <w:rFonts w:ascii="ITC Avant Garde" w:hAnsi="ITC Avant Garde"/>
        </w:rPr>
        <w:t xml:space="preserve"> operadores móviles virtuales.</w:t>
      </w:r>
    </w:p>
    <w:p w14:paraId="48DCEFD6" w14:textId="77777777" w:rsidR="00B05E06" w:rsidRPr="00B05E06" w:rsidRDefault="00B05E06" w:rsidP="001B6547">
      <w:pPr>
        <w:pStyle w:val="Prrafodelista"/>
        <w:spacing w:after="0" w:line="276" w:lineRule="auto"/>
        <w:ind w:left="360"/>
        <w:jc w:val="both"/>
        <w:rPr>
          <w:rFonts w:ascii="ITC Avant Garde" w:hAnsi="ITC Avant Garde"/>
        </w:rPr>
      </w:pPr>
    </w:p>
    <w:p w14:paraId="5EE9C82C" w14:textId="48CCE930" w:rsidR="000F39CB" w:rsidRDefault="00B05E06" w:rsidP="001B6547">
      <w:pPr>
        <w:spacing w:after="0" w:line="276" w:lineRule="auto"/>
        <w:jc w:val="both"/>
        <w:rPr>
          <w:rFonts w:ascii="ITC Avant Garde" w:hAnsi="ITC Avant Garde"/>
        </w:rPr>
      </w:pPr>
      <w:r w:rsidRPr="00A44BB4">
        <w:rPr>
          <w:rFonts w:ascii="ITC Avant Garde" w:hAnsi="ITC Avant Garde"/>
        </w:rPr>
        <w:t>La regulación de Preponderancia aplicable a los servicios mayoristas del sector telecomunicaciones</w:t>
      </w:r>
      <w:r w:rsidR="000F39CB">
        <w:rPr>
          <w:rFonts w:ascii="ITC Avant Garde" w:hAnsi="ITC Avant Garde"/>
        </w:rPr>
        <w:t xml:space="preserve"> obliga al AEP a suministrar los servicios mayoristas y eliminar cualquier problema de suministro de los mismos. Además, </w:t>
      </w:r>
      <w:r w:rsidR="0099093A">
        <w:rPr>
          <w:rFonts w:ascii="ITC Avant Garde" w:hAnsi="ITC Avant Garde"/>
        </w:rPr>
        <w:t>establece</w:t>
      </w:r>
      <w:r w:rsidR="000F39CB">
        <w:rPr>
          <w:rFonts w:ascii="ITC Avant Garde" w:hAnsi="ITC Avant Garde"/>
        </w:rPr>
        <w:t xml:space="preserve"> obligaciones </w:t>
      </w:r>
      <w:r w:rsidR="00B7269C">
        <w:rPr>
          <w:rFonts w:ascii="ITC Avant Garde" w:hAnsi="ITC Avant Garde"/>
        </w:rPr>
        <w:t>para</w:t>
      </w:r>
      <w:r w:rsidR="000F39CB">
        <w:rPr>
          <w:rFonts w:ascii="ITC Avant Garde" w:hAnsi="ITC Avant Garde"/>
        </w:rPr>
        <w:t xml:space="preserve"> garantiz</w:t>
      </w:r>
      <w:r w:rsidR="00B7269C">
        <w:rPr>
          <w:rFonts w:ascii="ITC Avant Garde" w:hAnsi="ITC Avant Garde"/>
        </w:rPr>
        <w:t>ar</w:t>
      </w:r>
      <w:r w:rsidR="000F39CB">
        <w:rPr>
          <w:rFonts w:ascii="ITC Avant Garde" w:hAnsi="ITC Avant Garde"/>
        </w:rPr>
        <w:t xml:space="preserve"> la no discriminación</w:t>
      </w:r>
      <w:r w:rsidR="006D242B">
        <w:rPr>
          <w:rFonts w:ascii="ITC Avant Garde" w:hAnsi="ITC Avant Garde"/>
        </w:rPr>
        <w:t>,</w:t>
      </w:r>
      <w:r w:rsidR="000F39CB">
        <w:rPr>
          <w:rFonts w:ascii="ITC Avant Garde" w:hAnsi="ITC Avant Garde"/>
        </w:rPr>
        <w:t xml:space="preserve"> en particular, que el operador aplique </w:t>
      </w:r>
      <w:r w:rsidR="00B7269C">
        <w:rPr>
          <w:rFonts w:ascii="ITC Avant Garde" w:hAnsi="ITC Avant Garde"/>
        </w:rPr>
        <w:t xml:space="preserve">las mismas </w:t>
      </w:r>
      <w:r w:rsidR="000F39CB">
        <w:rPr>
          <w:rFonts w:ascii="ITC Avant Garde" w:hAnsi="ITC Avant Garde"/>
        </w:rPr>
        <w:t xml:space="preserve">condiciones en circunstancias semejantes </w:t>
      </w:r>
      <w:r w:rsidR="00BC3A57">
        <w:rPr>
          <w:rFonts w:ascii="ITC Avant Garde" w:hAnsi="ITC Avant Garde"/>
        </w:rPr>
        <w:t xml:space="preserve">a </w:t>
      </w:r>
      <w:r w:rsidR="000F39CB">
        <w:rPr>
          <w:rFonts w:ascii="ITC Avant Garde" w:hAnsi="ITC Avant Garde"/>
        </w:rPr>
        <w:t>qu</w:t>
      </w:r>
      <w:r w:rsidR="00BC3A57">
        <w:rPr>
          <w:rFonts w:ascii="ITC Avant Garde" w:hAnsi="ITC Avant Garde"/>
        </w:rPr>
        <w:t>ienes</w:t>
      </w:r>
      <w:r w:rsidR="000F39CB">
        <w:rPr>
          <w:rFonts w:ascii="ITC Avant Garde" w:hAnsi="ITC Avant Garde"/>
        </w:rPr>
        <w:t xml:space="preserve"> presten los mismos servicios o </w:t>
      </w:r>
      <w:r w:rsidR="00B7269C">
        <w:rPr>
          <w:rFonts w:ascii="ITC Avant Garde" w:hAnsi="ITC Avant Garde"/>
        </w:rPr>
        <w:t>similares</w:t>
      </w:r>
      <w:r w:rsidR="000F39CB">
        <w:rPr>
          <w:rFonts w:ascii="ITC Avant Garde" w:hAnsi="ITC Avant Garde"/>
        </w:rPr>
        <w:t xml:space="preserve">, y que se proporcione a terceros </w:t>
      </w:r>
      <w:r w:rsidR="00B7269C">
        <w:rPr>
          <w:rFonts w:ascii="ITC Avant Garde" w:hAnsi="ITC Avant Garde"/>
        </w:rPr>
        <w:t xml:space="preserve">los </w:t>
      </w:r>
      <w:r w:rsidR="000F39CB">
        <w:rPr>
          <w:rFonts w:ascii="ITC Avant Garde" w:hAnsi="ITC Avant Garde"/>
        </w:rPr>
        <w:t xml:space="preserve">servicios </w:t>
      </w:r>
      <w:r w:rsidR="00B7269C">
        <w:rPr>
          <w:rFonts w:ascii="ITC Avant Garde" w:hAnsi="ITC Avant Garde"/>
        </w:rPr>
        <w:t>y la</w:t>
      </w:r>
      <w:r w:rsidR="000F39CB">
        <w:rPr>
          <w:rFonts w:ascii="ITC Avant Garde" w:hAnsi="ITC Avant Garde"/>
        </w:rPr>
        <w:t xml:space="preserve"> información que aplica para sí mismo</w:t>
      </w:r>
      <w:r w:rsidR="00B7269C">
        <w:rPr>
          <w:rFonts w:ascii="ITC Avant Garde" w:hAnsi="ITC Avant Garde"/>
        </w:rPr>
        <w:t xml:space="preserve"> y</w:t>
      </w:r>
      <w:r w:rsidR="000F39CB">
        <w:rPr>
          <w:rFonts w:ascii="ITC Avant Garde" w:hAnsi="ITC Avant Garde"/>
        </w:rPr>
        <w:t xml:space="preserve"> filiales. Asimismo, se establecieron obligaciones de </w:t>
      </w:r>
      <w:r w:rsidR="00B7269C">
        <w:rPr>
          <w:rFonts w:ascii="ITC Avant Garde" w:hAnsi="ITC Avant Garde"/>
        </w:rPr>
        <w:t xml:space="preserve">poner a disposición </w:t>
      </w:r>
      <w:r w:rsidR="000F39CB">
        <w:rPr>
          <w:rFonts w:ascii="ITC Avant Garde" w:hAnsi="ITC Avant Garde"/>
        </w:rPr>
        <w:t xml:space="preserve">información </w:t>
      </w:r>
      <w:r w:rsidR="00B7269C">
        <w:rPr>
          <w:rFonts w:ascii="ITC Avant Garde" w:hAnsi="ITC Avant Garde"/>
        </w:rPr>
        <w:t>a</w:t>
      </w:r>
      <w:r w:rsidR="000F39CB">
        <w:rPr>
          <w:rFonts w:ascii="ITC Avant Garde" w:hAnsi="ITC Avant Garde"/>
        </w:rPr>
        <w:t xml:space="preserve"> los concesionarios</w:t>
      </w:r>
      <w:r w:rsidR="00B7269C">
        <w:rPr>
          <w:rFonts w:ascii="ITC Avant Garde" w:hAnsi="ITC Avant Garde"/>
        </w:rPr>
        <w:t xml:space="preserve">, con la finalidad de </w:t>
      </w:r>
      <w:r w:rsidR="000F39CB">
        <w:rPr>
          <w:rFonts w:ascii="ITC Avant Garde" w:hAnsi="ITC Avant Garde"/>
        </w:rPr>
        <w:t>llevar a cabo la negociación entre los operadores y el AEP de una manera efectiva.</w:t>
      </w:r>
    </w:p>
    <w:p w14:paraId="49B11B3F" w14:textId="77777777" w:rsidR="000F39CB" w:rsidRDefault="000F39CB" w:rsidP="001B6547">
      <w:pPr>
        <w:spacing w:after="0" w:line="276" w:lineRule="auto"/>
        <w:jc w:val="both"/>
        <w:rPr>
          <w:rFonts w:ascii="ITC Avant Garde" w:hAnsi="ITC Avant Garde"/>
        </w:rPr>
      </w:pPr>
    </w:p>
    <w:p w14:paraId="2A6F22DE" w14:textId="77777777" w:rsidR="00B23D97" w:rsidRDefault="00B7269C" w:rsidP="001B6547">
      <w:pPr>
        <w:spacing w:after="0" w:line="276" w:lineRule="auto"/>
        <w:jc w:val="both"/>
        <w:rPr>
          <w:rFonts w:ascii="ITC Avant Garde" w:hAnsi="ITC Avant Garde"/>
        </w:rPr>
      </w:pPr>
      <w:r>
        <w:rPr>
          <w:rFonts w:ascii="ITC Avant Garde" w:hAnsi="ITC Avant Garde"/>
        </w:rPr>
        <w:t>Las ofertas de referencia son</w:t>
      </w:r>
      <w:r w:rsidR="00B23D97">
        <w:rPr>
          <w:rFonts w:ascii="ITC Avant Garde" w:hAnsi="ITC Avant Garde"/>
        </w:rPr>
        <w:t xml:space="preserve"> instrumentos regulatorios para permitir la eficiente prestación de los servicios mayoristas, que tienen como finalidad transparentar las condiciones de contratación, los procedimientos y todos aquellos elementos necesarios para asegurar un trato equitativo en la provisión de los servicios.</w:t>
      </w:r>
    </w:p>
    <w:p w14:paraId="04997678" w14:textId="77777777" w:rsidR="00B23D97" w:rsidRDefault="00B23D97" w:rsidP="001B6547">
      <w:pPr>
        <w:spacing w:after="0" w:line="276" w:lineRule="auto"/>
        <w:jc w:val="both"/>
        <w:rPr>
          <w:rFonts w:ascii="ITC Avant Garde" w:hAnsi="ITC Avant Garde"/>
        </w:rPr>
      </w:pPr>
    </w:p>
    <w:p w14:paraId="0E628894" w14:textId="77777777" w:rsidR="0011430F" w:rsidRDefault="00CC719D" w:rsidP="001B6547">
      <w:pPr>
        <w:spacing w:after="0" w:line="276" w:lineRule="auto"/>
        <w:jc w:val="both"/>
        <w:rPr>
          <w:rFonts w:ascii="ITC Avant Garde" w:hAnsi="ITC Avant Garde"/>
        </w:rPr>
      </w:pPr>
      <w:r w:rsidRPr="00CC719D">
        <w:rPr>
          <w:rFonts w:ascii="ITC Avant Garde" w:hAnsi="ITC Avant Garde"/>
        </w:rPr>
        <w:t xml:space="preserve">El 5 de noviembre de 2014, y en cumplimiento a lo previsto en las medidas impuestas por el Instituto al AEP en el sector de telecomunicaciones, el Pleno aprobó las </w:t>
      </w:r>
      <w:r w:rsidR="00B23D97">
        <w:rPr>
          <w:rFonts w:ascii="ITC Avant Garde" w:hAnsi="ITC Avant Garde"/>
        </w:rPr>
        <w:t xml:space="preserve">primeras </w:t>
      </w:r>
      <w:r w:rsidRPr="00CC719D">
        <w:rPr>
          <w:rFonts w:ascii="ITC Avant Garde" w:hAnsi="ITC Avant Garde"/>
        </w:rPr>
        <w:t>ofertas de referencia que contienen los términos y condiciones espec</w:t>
      </w:r>
      <w:r w:rsidR="00B23D97">
        <w:rPr>
          <w:rFonts w:ascii="ITC Avant Garde" w:hAnsi="ITC Avant Garde"/>
        </w:rPr>
        <w:t>íficos bajo los cuales el AEP deberá</w:t>
      </w:r>
      <w:r w:rsidRPr="00CC719D">
        <w:rPr>
          <w:rFonts w:ascii="ITC Avant Garde" w:hAnsi="ITC Avant Garde"/>
        </w:rPr>
        <w:t xml:space="preserve"> prestar servicios mayoristas de telecomunicaciones y permitir el acceso a su infraestructura por </w:t>
      </w:r>
      <w:r w:rsidR="00B23D97">
        <w:rPr>
          <w:rFonts w:ascii="ITC Avant Garde" w:hAnsi="ITC Avant Garde"/>
        </w:rPr>
        <w:t xml:space="preserve">parte de </w:t>
      </w:r>
      <w:r w:rsidRPr="00CC719D">
        <w:rPr>
          <w:rFonts w:ascii="ITC Avant Garde" w:hAnsi="ITC Avant Garde"/>
        </w:rPr>
        <w:t xml:space="preserve">otros concesionarios. Las Ofertas de Referencia son para los siguientes servicios: </w:t>
      </w:r>
    </w:p>
    <w:p w14:paraId="751E44F8" w14:textId="77777777" w:rsidR="001E0F49" w:rsidRDefault="001E0F49" w:rsidP="001B6547">
      <w:pPr>
        <w:spacing w:after="0" w:line="276" w:lineRule="auto"/>
        <w:jc w:val="both"/>
        <w:rPr>
          <w:rFonts w:ascii="ITC Avant Garde" w:hAnsi="ITC Avant Garde"/>
        </w:rPr>
      </w:pPr>
    </w:p>
    <w:p w14:paraId="2548C892" w14:textId="77777777" w:rsidR="0011430F" w:rsidRPr="001B6547" w:rsidRDefault="00CC719D" w:rsidP="001B6547">
      <w:pPr>
        <w:pStyle w:val="Prrafodelista"/>
        <w:numPr>
          <w:ilvl w:val="0"/>
          <w:numId w:val="22"/>
        </w:numPr>
        <w:spacing w:after="0" w:line="276" w:lineRule="auto"/>
        <w:jc w:val="both"/>
        <w:rPr>
          <w:rFonts w:ascii="ITC Avant Garde" w:hAnsi="ITC Avant Garde"/>
        </w:rPr>
      </w:pPr>
      <w:r w:rsidRPr="001B6547">
        <w:rPr>
          <w:rFonts w:ascii="ITC Avant Garde" w:hAnsi="ITC Avant Garde"/>
        </w:rPr>
        <w:t>Comercialización o reventa del servicio por parte de los Operadores Móviles Virtuales (</w:t>
      </w:r>
      <w:proofErr w:type="spellStart"/>
      <w:r w:rsidRPr="001B6547">
        <w:rPr>
          <w:rFonts w:ascii="ITC Avant Garde" w:hAnsi="ITC Avant Garde"/>
        </w:rPr>
        <w:t>OMVs</w:t>
      </w:r>
      <w:proofErr w:type="spellEnd"/>
      <w:r w:rsidRPr="001B6547">
        <w:rPr>
          <w:rFonts w:ascii="ITC Avant Garde" w:hAnsi="ITC Avant Garde"/>
        </w:rPr>
        <w:t xml:space="preserve">); </w:t>
      </w:r>
    </w:p>
    <w:p w14:paraId="744340DC" w14:textId="77777777" w:rsidR="001E0F49" w:rsidRDefault="00CC719D" w:rsidP="001B6547">
      <w:pPr>
        <w:pStyle w:val="Prrafodelista"/>
        <w:numPr>
          <w:ilvl w:val="0"/>
          <w:numId w:val="22"/>
        </w:numPr>
        <w:spacing w:after="0" w:line="276" w:lineRule="auto"/>
        <w:jc w:val="both"/>
        <w:rPr>
          <w:rFonts w:ascii="ITC Avant Garde" w:hAnsi="ITC Avant Garde"/>
        </w:rPr>
      </w:pPr>
      <w:r w:rsidRPr="001B6547">
        <w:rPr>
          <w:rFonts w:ascii="ITC Avant Garde" w:hAnsi="ITC Avant Garde"/>
        </w:rPr>
        <w:t xml:space="preserve">Acceso y Uso Compartido de Infraestructura Pasiva en redes móviles; </w:t>
      </w:r>
    </w:p>
    <w:p w14:paraId="531C1E20" w14:textId="77777777" w:rsidR="0011430F" w:rsidRPr="001B6547" w:rsidRDefault="00CC719D" w:rsidP="001B6547">
      <w:pPr>
        <w:pStyle w:val="Prrafodelista"/>
        <w:numPr>
          <w:ilvl w:val="0"/>
          <w:numId w:val="22"/>
        </w:numPr>
        <w:spacing w:after="0" w:line="276" w:lineRule="auto"/>
        <w:jc w:val="both"/>
        <w:rPr>
          <w:rFonts w:ascii="ITC Avant Garde" w:hAnsi="ITC Avant Garde"/>
        </w:rPr>
      </w:pPr>
      <w:r w:rsidRPr="001B6547">
        <w:rPr>
          <w:rFonts w:ascii="ITC Avant Garde" w:hAnsi="ITC Avant Garde"/>
        </w:rPr>
        <w:t>Servicio</w:t>
      </w:r>
      <w:r w:rsidRPr="00CC719D">
        <w:t xml:space="preserve"> </w:t>
      </w:r>
      <w:r w:rsidRPr="001B6547">
        <w:rPr>
          <w:rFonts w:ascii="ITC Avant Garde" w:hAnsi="ITC Avant Garde"/>
        </w:rPr>
        <w:t xml:space="preserve">Mayorista de Usuario Visitante; </w:t>
      </w:r>
    </w:p>
    <w:p w14:paraId="78BC822B" w14:textId="77777777" w:rsidR="0011430F" w:rsidRPr="001B6547" w:rsidRDefault="00CC719D" w:rsidP="001B6547">
      <w:pPr>
        <w:pStyle w:val="Prrafodelista"/>
        <w:numPr>
          <w:ilvl w:val="0"/>
          <w:numId w:val="22"/>
        </w:numPr>
        <w:spacing w:after="0" w:line="276" w:lineRule="auto"/>
        <w:jc w:val="both"/>
        <w:rPr>
          <w:rFonts w:ascii="ITC Avant Garde" w:hAnsi="ITC Avant Garde"/>
        </w:rPr>
      </w:pPr>
      <w:r w:rsidRPr="001B6547">
        <w:rPr>
          <w:rFonts w:ascii="ITC Avant Garde" w:hAnsi="ITC Avant Garde"/>
        </w:rPr>
        <w:t xml:space="preserve">Acceso y Uso Compartido de Infraestructura Pasiva en redes fijas; y </w:t>
      </w:r>
    </w:p>
    <w:p w14:paraId="72DAB5F0" w14:textId="77777777" w:rsidR="00CC719D" w:rsidRPr="001B6547" w:rsidRDefault="00CC719D" w:rsidP="001B6547">
      <w:pPr>
        <w:pStyle w:val="Prrafodelista"/>
        <w:numPr>
          <w:ilvl w:val="0"/>
          <w:numId w:val="22"/>
        </w:numPr>
        <w:spacing w:after="0" w:line="276" w:lineRule="auto"/>
        <w:jc w:val="both"/>
        <w:rPr>
          <w:rFonts w:ascii="ITC Avant Garde" w:hAnsi="ITC Avant Garde"/>
        </w:rPr>
      </w:pPr>
      <w:r w:rsidRPr="001B6547">
        <w:rPr>
          <w:rFonts w:ascii="ITC Avant Garde" w:hAnsi="ITC Avant Garde"/>
        </w:rPr>
        <w:t>Servicio Mayorista de Arrendamiento de Enlaces Dedicados.</w:t>
      </w:r>
    </w:p>
    <w:p w14:paraId="4B829E04" w14:textId="77777777" w:rsidR="00CC719D" w:rsidRDefault="00CC719D" w:rsidP="00350B33">
      <w:pPr>
        <w:spacing w:after="0" w:line="276" w:lineRule="auto"/>
        <w:jc w:val="both"/>
        <w:rPr>
          <w:rFonts w:ascii="ITC Avant Garde" w:hAnsi="ITC Avant Garde"/>
        </w:rPr>
      </w:pPr>
    </w:p>
    <w:p w14:paraId="6CF4D398" w14:textId="77777777" w:rsidR="00CC719D" w:rsidRPr="00BD1B41" w:rsidRDefault="00CC719D" w:rsidP="00350B33">
      <w:pPr>
        <w:spacing w:after="0" w:line="276" w:lineRule="auto"/>
        <w:jc w:val="both"/>
        <w:rPr>
          <w:rFonts w:ascii="ITC Avant Garde" w:hAnsi="ITC Avant Garde"/>
        </w:rPr>
      </w:pPr>
      <w:r w:rsidRPr="00CC719D">
        <w:rPr>
          <w:rFonts w:ascii="ITC Avant Garde" w:hAnsi="ITC Avant Garde"/>
        </w:rPr>
        <w:t>El AEP publicó las Oferta</w:t>
      </w:r>
      <w:r>
        <w:rPr>
          <w:rFonts w:ascii="ITC Avant Garde" w:hAnsi="ITC Avant Garde"/>
        </w:rPr>
        <w:t xml:space="preserve">s de Referencia en su página de </w:t>
      </w:r>
      <w:r w:rsidRPr="00CC719D">
        <w:rPr>
          <w:rFonts w:ascii="ITC Avant Garde" w:hAnsi="ITC Avant Garde"/>
        </w:rPr>
        <w:t>Internet, la</w:t>
      </w:r>
      <w:r>
        <w:rPr>
          <w:rFonts w:ascii="ITC Avant Garde" w:hAnsi="ITC Avant Garde"/>
        </w:rPr>
        <w:t>s cuales</w:t>
      </w:r>
      <w:r w:rsidR="00B23D97">
        <w:rPr>
          <w:rFonts w:ascii="ITC Avant Garde" w:hAnsi="ITC Avant Garde"/>
        </w:rPr>
        <w:t xml:space="preserve"> se encontraron</w:t>
      </w:r>
      <w:r>
        <w:rPr>
          <w:rFonts w:ascii="ITC Avant Garde" w:hAnsi="ITC Avant Garde"/>
        </w:rPr>
        <w:t xml:space="preserve"> vigentes </w:t>
      </w:r>
      <w:r w:rsidRPr="00CC719D">
        <w:rPr>
          <w:rFonts w:ascii="ITC Avant Garde" w:hAnsi="ITC Avant Garde"/>
        </w:rPr>
        <w:t>hasta el</w:t>
      </w:r>
      <w:r>
        <w:rPr>
          <w:rFonts w:ascii="ITC Avant Garde" w:hAnsi="ITC Avant Garde"/>
        </w:rPr>
        <w:t xml:space="preserve"> 31 de diciembre de 2015. Estas </w:t>
      </w:r>
      <w:r w:rsidR="00B23D97">
        <w:rPr>
          <w:rFonts w:ascii="ITC Avant Garde" w:hAnsi="ITC Avant Garde"/>
        </w:rPr>
        <w:t>o</w:t>
      </w:r>
      <w:r w:rsidRPr="00CC719D">
        <w:rPr>
          <w:rFonts w:ascii="ITC Avant Garde" w:hAnsi="ITC Avant Garde"/>
        </w:rPr>
        <w:t xml:space="preserve">fertas también fueron publicadas en la página del </w:t>
      </w:r>
      <w:r w:rsidR="00B23D97">
        <w:rPr>
          <w:rFonts w:ascii="ITC Avant Garde" w:hAnsi="ITC Avant Garde"/>
        </w:rPr>
        <w:t>Instituto</w:t>
      </w:r>
      <w:r>
        <w:rPr>
          <w:rFonts w:ascii="ITC Avant Garde" w:hAnsi="ITC Avant Garde"/>
        </w:rPr>
        <w:t xml:space="preserve"> el 21 de noviembre de 2014. </w:t>
      </w:r>
      <w:r w:rsidRPr="00BD1B41">
        <w:rPr>
          <w:rFonts w:ascii="ITC Avant Garde" w:hAnsi="ITC Avant Garde"/>
        </w:rPr>
        <w:cr/>
      </w:r>
    </w:p>
    <w:p w14:paraId="07666DC0" w14:textId="781AB418" w:rsidR="00BD1B41" w:rsidRPr="00BD1B41" w:rsidRDefault="00B23D97" w:rsidP="001B6547">
      <w:pPr>
        <w:spacing w:after="0" w:line="276" w:lineRule="auto"/>
        <w:jc w:val="both"/>
        <w:rPr>
          <w:rFonts w:ascii="ITC Avant Garde" w:hAnsi="ITC Avant Garde"/>
        </w:rPr>
      </w:pPr>
      <w:r>
        <w:rPr>
          <w:rFonts w:ascii="ITC Avant Garde" w:hAnsi="ITC Avant Garde"/>
        </w:rPr>
        <w:t>E</w:t>
      </w:r>
      <w:r w:rsidRPr="00BD1B41">
        <w:rPr>
          <w:rFonts w:ascii="ITC Avant Garde" w:hAnsi="ITC Avant Garde"/>
        </w:rPr>
        <w:t>l 24 de noviembre de 2015</w:t>
      </w:r>
      <w:r>
        <w:rPr>
          <w:rFonts w:ascii="ITC Avant Garde" w:hAnsi="ITC Avant Garde"/>
        </w:rPr>
        <w:t>,</w:t>
      </w:r>
      <w:r w:rsidR="00D64163">
        <w:rPr>
          <w:rFonts w:ascii="ITC Avant Garde" w:hAnsi="ITC Avant Garde"/>
        </w:rPr>
        <w:t xml:space="preserve"> después de un</w:t>
      </w:r>
      <w:r w:rsidR="00360537">
        <w:rPr>
          <w:rFonts w:ascii="ITC Avant Garde" w:hAnsi="ITC Avant Garde"/>
        </w:rPr>
        <w:t>a</w:t>
      </w:r>
      <w:r w:rsidR="00D64163">
        <w:rPr>
          <w:rFonts w:ascii="ITC Avant Garde" w:hAnsi="ITC Avant Garde"/>
        </w:rPr>
        <w:t xml:space="preserve"> consulta pública</w:t>
      </w:r>
      <w:r w:rsidR="00360537">
        <w:rPr>
          <w:rFonts w:ascii="ITC Avant Garde" w:hAnsi="ITC Avant Garde"/>
        </w:rPr>
        <w:t xml:space="preserve"> y del proceso ante el AEP del sector telecomunicaciones conforme a lo establecido en las propias medidas</w:t>
      </w:r>
      <w:r w:rsidR="00D64163">
        <w:rPr>
          <w:rFonts w:ascii="ITC Avant Garde" w:hAnsi="ITC Avant Garde"/>
        </w:rPr>
        <w:t>,</w:t>
      </w:r>
      <w:r>
        <w:rPr>
          <w:rFonts w:ascii="ITC Avant Garde" w:hAnsi="ITC Avant Garde"/>
        </w:rPr>
        <w:t xml:space="preserve"> e</w:t>
      </w:r>
      <w:r w:rsidR="00BD1B41" w:rsidRPr="00BD1B41">
        <w:rPr>
          <w:rFonts w:ascii="ITC Avant Garde" w:hAnsi="ITC Avant Garde"/>
        </w:rPr>
        <w:t xml:space="preserve">l Pleno </w:t>
      </w:r>
      <w:r w:rsidR="00360537">
        <w:rPr>
          <w:rFonts w:ascii="ITC Avant Garde" w:hAnsi="ITC Avant Garde"/>
        </w:rPr>
        <w:t xml:space="preserve">del Instituto modificó y </w:t>
      </w:r>
      <w:r>
        <w:rPr>
          <w:rFonts w:ascii="ITC Avant Garde" w:hAnsi="ITC Avant Garde"/>
        </w:rPr>
        <w:t xml:space="preserve">autorizó </w:t>
      </w:r>
      <w:r w:rsidR="00BD1B41" w:rsidRPr="00BD1B41">
        <w:rPr>
          <w:rFonts w:ascii="ITC Avant Garde" w:hAnsi="ITC Avant Garde"/>
        </w:rPr>
        <w:t>los</w:t>
      </w:r>
      <w:r>
        <w:rPr>
          <w:rFonts w:ascii="ITC Avant Garde" w:hAnsi="ITC Avant Garde"/>
        </w:rPr>
        <w:t xml:space="preserve"> nuevos</w:t>
      </w:r>
      <w:r w:rsidR="00BD1B41" w:rsidRPr="00BD1B41">
        <w:rPr>
          <w:rFonts w:ascii="ITC Avant Garde" w:hAnsi="ITC Avant Garde"/>
        </w:rPr>
        <w:t xml:space="preserve"> términos y condiciones de </w:t>
      </w:r>
      <w:r w:rsidRPr="00BD1B41">
        <w:rPr>
          <w:rFonts w:ascii="ITC Avant Garde" w:hAnsi="ITC Avant Garde"/>
        </w:rPr>
        <w:t>las ofertas de referencia</w:t>
      </w:r>
      <w:r w:rsidR="00BD1B41" w:rsidRPr="00BD1B41">
        <w:rPr>
          <w:rFonts w:ascii="ITC Avant Garde" w:hAnsi="ITC Avant Garde"/>
        </w:rPr>
        <w:t>.</w:t>
      </w:r>
      <w:r w:rsidR="00BD1B41">
        <w:rPr>
          <w:rFonts w:ascii="ITC Avant Garde" w:hAnsi="ITC Avant Garde"/>
        </w:rPr>
        <w:t xml:space="preserve"> En esta ocasión se revisaron </w:t>
      </w:r>
      <w:r w:rsidR="006D242B">
        <w:rPr>
          <w:rFonts w:ascii="ITC Avant Garde" w:hAnsi="ITC Avant Garde"/>
        </w:rPr>
        <w:t xml:space="preserve">también </w:t>
      </w:r>
      <w:r w:rsidR="00BD1B41" w:rsidRPr="00BD1B41">
        <w:rPr>
          <w:rFonts w:ascii="ITC Avant Garde" w:hAnsi="ITC Avant Garde"/>
        </w:rPr>
        <w:t>los Convenios Marco d</w:t>
      </w:r>
      <w:r>
        <w:rPr>
          <w:rFonts w:ascii="ITC Avant Garde" w:hAnsi="ITC Avant Garde"/>
        </w:rPr>
        <w:t>e Interconexión</w:t>
      </w:r>
      <w:r w:rsidR="00BD1B41" w:rsidRPr="00BD1B41">
        <w:rPr>
          <w:rFonts w:ascii="ITC Avant Garde" w:hAnsi="ITC Avant Garde"/>
        </w:rPr>
        <w:t xml:space="preserve">. El AEP publicó estas ofertas en sus respectivas páginas de </w:t>
      </w:r>
      <w:r w:rsidR="00BD1B41" w:rsidRPr="00BD1B41">
        <w:rPr>
          <w:rFonts w:ascii="ITC Avant Garde" w:hAnsi="ITC Avant Garde"/>
        </w:rPr>
        <w:lastRenderedPageBreak/>
        <w:t>Internet el 30 de noviembre de 2015, y dio aviso de su publicación en dos diarios de circulación nacional</w:t>
      </w:r>
      <w:r w:rsidR="00877C96">
        <w:rPr>
          <w:rStyle w:val="Refdenotaalpie"/>
          <w:rFonts w:ascii="ITC Avant Garde" w:hAnsi="ITC Avant Garde"/>
        </w:rPr>
        <w:footnoteReference w:id="7"/>
      </w:r>
      <w:r w:rsidR="00BD1B41" w:rsidRPr="00BD1B41">
        <w:rPr>
          <w:rFonts w:ascii="ITC Avant Garde" w:hAnsi="ITC Avant Garde"/>
        </w:rPr>
        <w:t>.</w:t>
      </w:r>
    </w:p>
    <w:p w14:paraId="7F8D1837" w14:textId="77777777" w:rsidR="00CC719D" w:rsidRDefault="00CC719D" w:rsidP="001B6547">
      <w:pPr>
        <w:spacing w:after="0" w:line="276" w:lineRule="auto"/>
        <w:jc w:val="both"/>
        <w:rPr>
          <w:rFonts w:ascii="ITC Avant Garde" w:hAnsi="ITC Avant Garde"/>
        </w:rPr>
      </w:pPr>
    </w:p>
    <w:p w14:paraId="62E70265" w14:textId="40CF08BB" w:rsidR="00A23738" w:rsidRDefault="00A23738" w:rsidP="001B6547">
      <w:pPr>
        <w:spacing w:after="0" w:line="276" w:lineRule="auto"/>
        <w:jc w:val="both"/>
        <w:rPr>
          <w:rFonts w:ascii="ITC Avant Garde" w:hAnsi="ITC Avant Garde"/>
        </w:rPr>
      </w:pPr>
      <w:r>
        <w:rPr>
          <w:rFonts w:ascii="ITC Avant Garde" w:hAnsi="ITC Avant Garde"/>
        </w:rPr>
        <w:t>Cabe mencionar que al primer trimestre de 2016 se han suscrito</w:t>
      </w:r>
      <w:r w:rsidR="006D242B">
        <w:rPr>
          <w:rFonts w:ascii="ITC Avant Garde" w:hAnsi="ITC Avant Garde"/>
        </w:rPr>
        <w:t xml:space="preserve"> los siguientes convenios</w:t>
      </w:r>
      <w:r w:rsidR="00360537">
        <w:rPr>
          <w:rFonts w:ascii="ITC Avant Garde" w:hAnsi="ITC Avant Garde"/>
        </w:rPr>
        <w:t xml:space="preserve"> con el AEP en el sector de telecomunicaciones</w:t>
      </w:r>
      <w:r>
        <w:rPr>
          <w:rFonts w:ascii="ITC Avant Garde" w:hAnsi="ITC Avant Garde"/>
        </w:rPr>
        <w:t>:</w:t>
      </w:r>
      <w:r w:rsidR="00154757">
        <w:rPr>
          <w:rStyle w:val="Refdenotaalpie"/>
          <w:rFonts w:ascii="ITC Avant Garde" w:hAnsi="ITC Avant Garde"/>
        </w:rPr>
        <w:footnoteReference w:id="8"/>
      </w:r>
      <w:r>
        <w:rPr>
          <w:rFonts w:ascii="ITC Avant Garde" w:hAnsi="ITC Avant Garde"/>
        </w:rPr>
        <w:t xml:space="preserve"> </w:t>
      </w:r>
    </w:p>
    <w:p w14:paraId="5353C5D1" w14:textId="77777777" w:rsidR="00A23738" w:rsidRDefault="00A23738" w:rsidP="001B6547">
      <w:pPr>
        <w:spacing w:after="0" w:line="276" w:lineRule="auto"/>
        <w:ind w:left="360"/>
        <w:jc w:val="both"/>
        <w:rPr>
          <w:rFonts w:ascii="ITC Avant Garde" w:hAnsi="ITC Avant Garde"/>
        </w:rPr>
      </w:pPr>
    </w:p>
    <w:p w14:paraId="4FD8B6B2" w14:textId="77777777" w:rsidR="00A23738" w:rsidRPr="00A23738" w:rsidRDefault="00A23738" w:rsidP="001B6547">
      <w:pPr>
        <w:pStyle w:val="Prrafodelista"/>
        <w:numPr>
          <w:ilvl w:val="0"/>
          <w:numId w:val="12"/>
        </w:numPr>
        <w:spacing w:after="0" w:line="276" w:lineRule="auto"/>
        <w:jc w:val="both"/>
        <w:rPr>
          <w:rFonts w:ascii="ITC Avant Garde" w:hAnsi="ITC Avant Garde"/>
        </w:rPr>
      </w:pPr>
      <w:r w:rsidRPr="00A23738">
        <w:rPr>
          <w:rFonts w:ascii="ITC Avant Garde" w:hAnsi="ITC Avant Garde"/>
        </w:rPr>
        <w:t>Compartición de infraestructura fija</w:t>
      </w:r>
    </w:p>
    <w:p w14:paraId="47E5A75A"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1.</w:t>
      </w:r>
      <w:r w:rsidRPr="00E31981">
        <w:rPr>
          <w:rFonts w:ascii="ITC Avant Garde" w:hAnsi="ITC Avant Garde"/>
        </w:rPr>
        <w:tab/>
      </w:r>
      <w:proofErr w:type="spellStart"/>
      <w:r w:rsidRPr="00E31981">
        <w:rPr>
          <w:rFonts w:ascii="ITC Avant Garde" w:hAnsi="ITC Avant Garde"/>
        </w:rPr>
        <w:t>Alestra</w:t>
      </w:r>
      <w:proofErr w:type="spellEnd"/>
      <w:r w:rsidRPr="00E31981">
        <w:rPr>
          <w:rFonts w:ascii="ITC Avant Garde" w:hAnsi="ITC Avant Garde"/>
        </w:rPr>
        <w:t>-Telmex</w:t>
      </w:r>
    </w:p>
    <w:p w14:paraId="5051F59F"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2.</w:t>
      </w:r>
      <w:r w:rsidRPr="00E31981">
        <w:rPr>
          <w:rFonts w:ascii="ITC Avant Garde" w:hAnsi="ITC Avant Garde"/>
        </w:rPr>
        <w:tab/>
      </w:r>
      <w:proofErr w:type="spellStart"/>
      <w:r w:rsidRPr="00E31981">
        <w:rPr>
          <w:rFonts w:ascii="ITC Avant Garde" w:hAnsi="ITC Avant Garde"/>
        </w:rPr>
        <w:t>Alestra-Telnor</w:t>
      </w:r>
      <w:proofErr w:type="spellEnd"/>
    </w:p>
    <w:p w14:paraId="7348AB00"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3.</w:t>
      </w:r>
      <w:r w:rsidRPr="00E31981">
        <w:rPr>
          <w:rFonts w:ascii="ITC Avant Garde" w:hAnsi="ITC Avant Garde"/>
        </w:rPr>
        <w:tab/>
      </w:r>
      <w:proofErr w:type="spellStart"/>
      <w:r w:rsidRPr="00E31981">
        <w:rPr>
          <w:rFonts w:ascii="ITC Avant Garde" w:hAnsi="ITC Avant Garde"/>
        </w:rPr>
        <w:t>Maxcom</w:t>
      </w:r>
      <w:proofErr w:type="spellEnd"/>
      <w:r w:rsidRPr="00E31981">
        <w:rPr>
          <w:rFonts w:ascii="ITC Avant Garde" w:hAnsi="ITC Avant Garde"/>
        </w:rPr>
        <w:t>-Telmex</w:t>
      </w:r>
    </w:p>
    <w:p w14:paraId="45D521D3"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4.</w:t>
      </w:r>
      <w:r w:rsidRPr="00E31981">
        <w:rPr>
          <w:rFonts w:ascii="ITC Avant Garde" w:hAnsi="ITC Avant Garde"/>
        </w:rPr>
        <w:tab/>
      </w:r>
      <w:proofErr w:type="spellStart"/>
      <w:r w:rsidRPr="00E31981">
        <w:rPr>
          <w:rFonts w:ascii="ITC Avant Garde" w:hAnsi="ITC Avant Garde"/>
        </w:rPr>
        <w:t>Maxcom-Telnor</w:t>
      </w:r>
      <w:proofErr w:type="spellEnd"/>
    </w:p>
    <w:p w14:paraId="1C7F7B30"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5.</w:t>
      </w:r>
      <w:r w:rsidRPr="00E31981">
        <w:rPr>
          <w:rFonts w:ascii="ITC Avant Garde" w:hAnsi="ITC Avant Garde"/>
        </w:rPr>
        <w:tab/>
        <w:t>Axtel-Telmex</w:t>
      </w:r>
    </w:p>
    <w:p w14:paraId="61A5AA9D"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6.</w:t>
      </w:r>
      <w:r w:rsidRPr="00E31981">
        <w:rPr>
          <w:rFonts w:ascii="ITC Avant Garde" w:hAnsi="ITC Avant Garde"/>
        </w:rPr>
        <w:tab/>
        <w:t>Axtel-</w:t>
      </w:r>
      <w:proofErr w:type="spellStart"/>
      <w:r w:rsidRPr="00E31981">
        <w:rPr>
          <w:rFonts w:ascii="ITC Avant Garde" w:hAnsi="ITC Avant Garde"/>
        </w:rPr>
        <w:t>Telnor</w:t>
      </w:r>
      <w:proofErr w:type="spellEnd"/>
    </w:p>
    <w:p w14:paraId="2B8F427F"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7.</w:t>
      </w:r>
      <w:r w:rsidRPr="00E31981">
        <w:rPr>
          <w:rFonts w:ascii="ITC Avant Garde" w:hAnsi="ITC Avant Garde"/>
        </w:rPr>
        <w:tab/>
        <w:t xml:space="preserve">Grupo </w:t>
      </w:r>
      <w:proofErr w:type="spellStart"/>
      <w:r w:rsidRPr="00E31981">
        <w:rPr>
          <w:rFonts w:ascii="ITC Avant Garde" w:hAnsi="ITC Avant Garde"/>
        </w:rPr>
        <w:t>Telecomuncaciones</w:t>
      </w:r>
      <w:proofErr w:type="spellEnd"/>
      <w:r w:rsidRPr="00E31981">
        <w:rPr>
          <w:rFonts w:ascii="ITC Avant Garde" w:hAnsi="ITC Avant Garde"/>
        </w:rPr>
        <w:t xml:space="preserve"> Mexicanas (GTM)-Telmex </w:t>
      </w:r>
    </w:p>
    <w:p w14:paraId="31F6C679"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8.</w:t>
      </w:r>
      <w:r w:rsidRPr="00E31981">
        <w:rPr>
          <w:rFonts w:ascii="ITC Avant Garde" w:hAnsi="ITC Avant Garde"/>
        </w:rPr>
        <w:tab/>
        <w:t>GTM-</w:t>
      </w:r>
      <w:proofErr w:type="spellStart"/>
      <w:r w:rsidRPr="00E31981">
        <w:rPr>
          <w:rFonts w:ascii="ITC Avant Garde" w:hAnsi="ITC Avant Garde"/>
        </w:rPr>
        <w:t>Telnor</w:t>
      </w:r>
      <w:proofErr w:type="spellEnd"/>
      <w:r w:rsidRPr="00E31981">
        <w:rPr>
          <w:rFonts w:ascii="ITC Avant Garde" w:hAnsi="ITC Avant Garde"/>
        </w:rPr>
        <w:t xml:space="preserve"> </w:t>
      </w:r>
    </w:p>
    <w:p w14:paraId="6328DC9B" w14:textId="77777777" w:rsidR="00A23738" w:rsidRDefault="00A23738" w:rsidP="001B6547">
      <w:pPr>
        <w:spacing w:after="0" w:line="276" w:lineRule="auto"/>
        <w:ind w:left="360"/>
        <w:jc w:val="both"/>
        <w:rPr>
          <w:rFonts w:ascii="ITC Avant Garde" w:hAnsi="ITC Avant Garde"/>
        </w:rPr>
      </w:pPr>
      <w:r w:rsidRPr="00E31981">
        <w:rPr>
          <w:rFonts w:ascii="ITC Avant Garde" w:hAnsi="ITC Avant Garde"/>
        </w:rPr>
        <w:t>9.</w:t>
      </w:r>
      <w:r w:rsidRPr="00E31981">
        <w:rPr>
          <w:rFonts w:ascii="ITC Avant Garde" w:hAnsi="ITC Avant Garde"/>
        </w:rPr>
        <w:tab/>
        <w:t>Mega Cable-Telmex-</w:t>
      </w:r>
      <w:proofErr w:type="spellStart"/>
      <w:r w:rsidRPr="00E31981">
        <w:rPr>
          <w:rFonts w:ascii="ITC Avant Garde" w:hAnsi="ITC Avant Garde"/>
        </w:rPr>
        <w:t>Telnor</w:t>
      </w:r>
      <w:proofErr w:type="spellEnd"/>
    </w:p>
    <w:p w14:paraId="31A41F8B" w14:textId="77777777" w:rsidR="00A23738" w:rsidRPr="00E31981" w:rsidRDefault="00A23738" w:rsidP="001B6547">
      <w:pPr>
        <w:spacing w:after="0" w:line="276" w:lineRule="auto"/>
        <w:ind w:left="360"/>
        <w:jc w:val="both"/>
        <w:rPr>
          <w:rFonts w:ascii="ITC Avant Garde" w:hAnsi="ITC Avant Garde"/>
        </w:rPr>
      </w:pPr>
    </w:p>
    <w:p w14:paraId="005AED4B" w14:textId="77777777" w:rsidR="00A23738" w:rsidRPr="00A23738" w:rsidRDefault="00A23738" w:rsidP="001B6547">
      <w:pPr>
        <w:pStyle w:val="Prrafodelista"/>
        <w:numPr>
          <w:ilvl w:val="0"/>
          <w:numId w:val="12"/>
        </w:numPr>
        <w:spacing w:after="0" w:line="276" w:lineRule="auto"/>
        <w:jc w:val="both"/>
        <w:rPr>
          <w:rFonts w:ascii="ITC Avant Garde" w:hAnsi="ITC Avant Garde"/>
        </w:rPr>
      </w:pPr>
      <w:r w:rsidRPr="00A23738">
        <w:rPr>
          <w:rFonts w:ascii="ITC Avant Garde" w:hAnsi="ITC Avant Garde"/>
        </w:rPr>
        <w:t>Compartición de infraestructura móvil</w:t>
      </w:r>
    </w:p>
    <w:p w14:paraId="3B4E08E6"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1.</w:t>
      </w:r>
      <w:r w:rsidRPr="00E31981">
        <w:rPr>
          <w:rFonts w:ascii="ITC Avant Garde" w:hAnsi="ITC Avant Garde"/>
        </w:rPr>
        <w:tab/>
        <w:t xml:space="preserve">Operadora de </w:t>
      </w:r>
      <w:proofErr w:type="spellStart"/>
      <w:r w:rsidRPr="00E31981">
        <w:rPr>
          <w:rFonts w:ascii="ITC Avant Garde" w:hAnsi="ITC Avant Garde"/>
        </w:rPr>
        <w:t>Sites</w:t>
      </w:r>
      <w:proofErr w:type="spellEnd"/>
      <w:r w:rsidRPr="00E31981">
        <w:rPr>
          <w:rFonts w:ascii="ITC Avant Garde" w:hAnsi="ITC Avant Garde"/>
        </w:rPr>
        <w:t xml:space="preserve"> Mexicanos  (</w:t>
      </w:r>
      <w:proofErr w:type="spellStart"/>
      <w:r w:rsidRPr="00E31981">
        <w:rPr>
          <w:rFonts w:ascii="ITC Avant Garde" w:hAnsi="ITC Avant Garde"/>
        </w:rPr>
        <w:t>Telesites</w:t>
      </w:r>
      <w:proofErr w:type="spellEnd"/>
      <w:r w:rsidRPr="00E31981">
        <w:rPr>
          <w:rFonts w:ascii="ITC Avant Garde" w:hAnsi="ITC Avant Garde"/>
        </w:rPr>
        <w:t>)-Telcel</w:t>
      </w:r>
    </w:p>
    <w:p w14:paraId="3BB8314E" w14:textId="77777777" w:rsidR="00A23738" w:rsidRPr="00E31981" w:rsidRDefault="00A23738" w:rsidP="001B6547">
      <w:pPr>
        <w:spacing w:after="0" w:line="276" w:lineRule="auto"/>
        <w:ind w:left="360"/>
        <w:jc w:val="both"/>
        <w:rPr>
          <w:rFonts w:ascii="ITC Avant Garde" w:hAnsi="ITC Avant Garde"/>
        </w:rPr>
      </w:pPr>
      <w:r w:rsidRPr="00E31981">
        <w:rPr>
          <w:rFonts w:ascii="ITC Avant Garde" w:hAnsi="ITC Avant Garde"/>
        </w:rPr>
        <w:t>2.</w:t>
      </w:r>
      <w:r w:rsidRPr="00E31981">
        <w:rPr>
          <w:rFonts w:ascii="ITC Avant Garde" w:hAnsi="ITC Avant Garde"/>
        </w:rPr>
        <w:tab/>
      </w:r>
      <w:proofErr w:type="spellStart"/>
      <w:r w:rsidRPr="00E31981">
        <w:rPr>
          <w:rFonts w:ascii="ITC Avant Garde" w:hAnsi="ITC Avant Garde"/>
        </w:rPr>
        <w:t>Telesites</w:t>
      </w:r>
      <w:proofErr w:type="spellEnd"/>
      <w:r w:rsidRPr="00E31981">
        <w:rPr>
          <w:rFonts w:ascii="ITC Avant Garde" w:hAnsi="ITC Avant Garde"/>
        </w:rPr>
        <w:t>-Iusacell</w:t>
      </w:r>
    </w:p>
    <w:p w14:paraId="244845B8" w14:textId="77777777" w:rsidR="00A23738" w:rsidRDefault="00A23738" w:rsidP="001B6547">
      <w:pPr>
        <w:spacing w:after="0" w:line="276" w:lineRule="auto"/>
        <w:ind w:left="360"/>
        <w:jc w:val="both"/>
        <w:rPr>
          <w:rFonts w:ascii="ITC Avant Garde" w:hAnsi="ITC Avant Garde"/>
        </w:rPr>
      </w:pPr>
      <w:r w:rsidRPr="00E31981">
        <w:rPr>
          <w:rFonts w:ascii="ITC Avant Garde" w:hAnsi="ITC Avant Garde"/>
        </w:rPr>
        <w:t>3.</w:t>
      </w:r>
      <w:r w:rsidRPr="00E31981">
        <w:rPr>
          <w:rFonts w:ascii="ITC Avant Garde" w:hAnsi="ITC Avant Garde"/>
        </w:rPr>
        <w:tab/>
        <w:t>Pegaso PCS-GTM-</w:t>
      </w:r>
      <w:proofErr w:type="spellStart"/>
      <w:r w:rsidRPr="00E31981">
        <w:rPr>
          <w:rFonts w:ascii="ITC Avant Garde" w:hAnsi="ITC Avant Garde"/>
        </w:rPr>
        <w:t>Telesites</w:t>
      </w:r>
      <w:proofErr w:type="spellEnd"/>
    </w:p>
    <w:p w14:paraId="4879D7AE" w14:textId="77777777" w:rsidR="00A23738" w:rsidRDefault="00A23738" w:rsidP="001B6547">
      <w:pPr>
        <w:spacing w:after="0" w:line="276" w:lineRule="auto"/>
        <w:jc w:val="both"/>
        <w:rPr>
          <w:rFonts w:ascii="ITC Avant Garde" w:hAnsi="ITC Avant Garde"/>
        </w:rPr>
      </w:pPr>
    </w:p>
    <w:p w14:paraId="0554183D" w14:textId="77777777" w:rsidR="00E15BFF" w:rsidRDefault="004016AB" w:rsidP="001B6547">
      <w:pPr>
        <w:pStyle w:val="Prrafodelista"/>
        <w:numPr>
          <w:ilvl w:val="0"/>
          <w:numId w:val="12"/>
        </w:numPr>
        <w:spacing w:after="0" w:line="276" w:lineRule="auto"/>
        <w:jc w:val="both"/>
        <w:rPr>
          <w:rFonts w:ascii="ITC Avant Garde" w:hAnsi="ITC Avant Garde"/>
        </w:rPr>
      </w:pPr>
      <w:r>
        <w:rPr>
          <w:rFonts w:ascii="ITC Avant Garde" w:hAnsi="ITC Avant Garde"/>
        </w:rPr>
        <w:t>Comercialización de servicios a operadores móviles virtuales</w:t>
      </w:r>
    </w:p>
    <w:p w14:paraId="06329077" w14:textId="77777777" w:rsidR="004016AB" w:rsidRPr="00E810BB" w:rsidRDefault="004016AB" w:rsidP="001B6547">
      <w:pPr>
        <w:spacing w:after="0" w:line="276" w:lineRule="auto"/>
        <w:ind w:left="360"/>
        <w:jc w:val="both"/>
        <w:rPr>
          <w:rFonts w:ascii="ITC Avant Garde" w:hAnsi="ITC Avant Garde"/>
          <w:lang w:val="en-US"/>
        </w:rPr>
      </w:pPr>
      <w:r w:rsidRPr="00E810BB">
        <w:rPr>
          <w:rFonts w:ascii="ITC Avant Garde" w:hAnsi="ITC Avant Garde"/>
          <w:lang w:val="en-US"/>
        </w:rPr>
        <w:t>1.</w:t>
      </w:r>
      <w:r w:rsidRPr="00E810BB">
        <w:rPr>
          <w:rFonts w:ascii="ITC Avant Garde" w:hAnsi="ITC Avant Garde"/>
          <w:lang w:val="en-US"/>
        </w:rPr>
        <w:tab/>
      </w:r>
      <w:proofErr w:type="spellStart"/>
      <w:r w:rsidRPr="00E810BB">
        <w:rPr>
          <w:rFonts w:ascii="ITC Avant Garde" w:hAnsi="ITC Avant Garde"/>
          <w:lang w:val="en-US"/>
        </w:rPr>
        <w:t>Telcel</w:t>
      </w:r>
      <w:proofErr w:type="spellEnd"/>
      <w:r w:rsidRPr="00E810BB">
        <w:rPr>
          <w:rFonts w:ascii="ITC Avant Garde" w:hAnsi="ITC Avant Garde"/>
          <w:lang w:val="en-US"/>
        </w:rPr>
        <w:t>-Ibo Cell</w:t>
      </w:r>
    </w:p>
    <w:p w14:paraId="5CDCD076" w14:textId="77777777" w:rsidR="004016AB" w:rsidRPr="00E810BB" w:rsidRDefault="004016AB" w:rsidP="001B6547">
      <w:pPr>
        <w:spacing w:after="0" w:line="276" w:lineRule="auto"/>
        <w:ind w:left="360"/>
        <w:jc w:val="both"/>
        <w:rPr>
          <w:rFonts w:ascii="ITC Avant Garde" w:hAnsi="ITC Avant Garde"/>
          <w:lang w:val="en-US"/>
        </w:rPr>
      </w:pPr>
      <w:r w:rsidRPr="00E810BB">
        <w:rPr>
          <w:rFonts w:ascii="ITC Avant Garde" w:hAnsi="ITC Avant Garde"/>
          <w:lang w:val="en-US"/>
        </w:rPr>
        <w:t>2.</w:t>
      </w:r>
      <w:r w:rsidRPr="00E810BB">
        <w:rPr>
          <w:rFonts w:ascii="ITC Avant Garde" w:hAnsi="ITC Avant Garde"/>
          <w:lang w:val="en-US"/>
        </w:rPr>
        <w:tab/>
      </w:r>
      <w:proofErr w:type="spellStart"/>
      <w:r w:rsidRPr="00E810BB">
        <w:rPr>
          <w:rFonts w:ascii="ITC Avant Garde" w:hAnsi="ITC Avant Garde"/>
          <w:lang w:val="en-US"/>
        </w:rPr>
        <w:t>Telcel</w:t>
      </w:r>
      <w:proofErr w:type="spellEnd"/>
      <w:r w:rsidRPr="00E810BB">
        <w:rPr>
          <w:rFonts w:ascii="ITC Avant Garde" w:hAnsi="ITC Avant Garde"/>
          <w:lang w:val="en-US"/>
        </w:rPr>
        <w:t>-Quickly Phone</w:t>
      </w:r>
    </w:p>
    <w:p w14:paraId="1E3637A7" w14:textId="77777777" w:rsidR="004016AB" w:rsidRPr="00E31981" w:rsidRDefault="004016AB" w:rsidP="001B6547">
      <w:pPr>
        <w:spacing w:after="0" w:line="276" w:lineRule="auto"/>
        <w:ind w:left="360"/>
        <w:jc w:val="both"/>
        <w:rPr>
          <w:rFonts w:ascii="ITC Avant Garde" w:hAnsi="ITC Avant Garde"/>
        </w:rPr>
      </w:pPr>
      <w:r>
        <w:rPr>
          <w:rFonts w:ascii="ITC Avant Garde" w:hAnsi="ITC Avant Garde"/>
        </w:rPr>
        <w:t>3.</w:t>
      </w:r>
      <w:r>
        <w:rPr>
          <w:rFonts w:ascii="ITC Avant Garde" w:hAnsi="ITC Avant Garde"/>
        </w:rPr>
        <w:tab/>
        <w:t>Telcel-</w:t>
      </w:r>
      <w:proofErr w:type="spellStart"/>
      <w:r>
        <w:rPr>
          <w:rFonts w:ascii="ITC Avant Garde" w:hAnsi="ITC Avant Garde"/>
        </w:rPr>
        <w:t>Maxcom</w:t>
      </w:r>
      <w:proofErr w:type="spellEnd"/>
    </w:p>
    <w:p w14:paraId="2101D404" w14:textId="77777777" w:rsidR="004016AB" w:rsidRDefault="004016AB" w:rsidP="001B6547">
      <w:pPr>
        <w:spacing w:after="0" w:line="276" w:lineRule="auto"/>
        <w:ind w:left="360"/>
        <w:jc w:val="both"/>
        <w:rPr>
          <w:rFonts w:ascii="ITC Avant Garde" w:hAnsi="ITC Avant Garde"/>
        </w:rPr>
      </w:pPr>
      <w:r w:rsidRPr="00E31981">
        <w:rPr>
          <w:rFonts w:ascii="ITC Avant Garde" w:hAnsi="ITC Avant Garde"/>
        </w:rPr>
        <w:t>4.</w:t>
      </w:r>
      <w:r w:rsidRPr="00E31981">
        <w:rPr>
          <w:rFonts w:ascii="ITC Avant Garde" w:hAnsi="ITC Avant Garde"/>
        </w:rPr>
        <w:tab/>
      </w:r>
      <w:r>
        <w:rPr>
          <w:rFonts w:ascii="ITC Avant Garde" w:hAnsi="ITC Avant Garde"/>
        </w:rPr>
        <w:t>Telcel-Telecomunicaciones 360</w:t>
      </w:r>
    </w:p>
    <w:p w14:paraId="5E2F68D4" w14:textId="77777777" w:rsidR="004016AB" w:rsidRPr="001B6547" w:rsidRDefault="004016AB" w:rsidP="001B6547">
      <w:pPr>
        <w:spacing w:after="0" w:line="276" w:lineRule="auto"/>
        <w:ind w:left="360"/>
        <w:jc w:val="both"/>
        <w:rPr>
          <w:rFonts w:ascii="ITC Avant Garde" w:hAnsi="ITC Avant Garde"/>
          <w:lang w:val="fr-FR"/>
        </w:rPr>
      </w:pPr>
      <w:r w:rsidRPr="001B6547">
        <w:rPr>
          <w:rFonts w:ascii="ITC Avant Garde" w:hAnsi="ITC Avant Garde"/>
          <w:lang w:val="fr-FR"/>
        </w:rPr>
        <w:t>5.</w:t>
      </w:r>
      <w:r w:rsidRPr="001B6547">
        <w:rPr>
          <w:rFonts w:ascii="ITC Avant Garde" w:hAnsi="ITC Avant Garde"/>
          <w:lang w:val="fr-FR"/>
        </w:rPr>
        <w:tab/>
      </w:r>
      <w:proofErr w:type="spellStart"/>
      <w:r w:rsidRPr="001B6547">
        <w:rPr>
          <w:rFonts w:ascii="ITC Avant Garde" w:hAnsi="ITC Avant Garde"/>
          <w:lang w:val="fr-FR"/>
        </w:rPr>
        <w:t>Telcel-Axtel</w:t>
      </w:r>
      <w:proofErr w:type="spellEnd"/>
    </w:p>
    <w:p w14:paraId="5BD582E0" w14:textId="77777777" w:rsidR="004016AB" w:rsidRPr="001B6547" w:rsidRDefault="004016AB" w:rsidP="001B6547">
      <w:pPr>
        <w:spacing w:after="0" w:line="276" w:lineRule="auto"/>
        <w:ind w:left="360"/>
        <w:jc w:val="both"/>
        <w:rPr>
          <w:rFonts w:ascii="ITC Avant Garde" w:hAnsi="ITC Avant Garde"/>
          <w:lang w:val="fr-FR"/>
        </w:rPr>
      </w:pPr>
      <w:r w:rsidRPr="001B6547">
        <w:rPr>
          <w:rFonts w:ascii="ITC Avant Garde" w:hAnsi="ITC Avant Garde"/>
          <w:lang w:val="fr-FR"/>
        </w:rPr>
        <w:t>6.</w:t>
      </w:r>
      <w:r w:rsidRPr="001B6547">
        <w:rPr>
          <w:rFonts w:ascii="ITC Avant Garde" w:hAnsi="ITC Avant Garde"/>
          <w:lang w:val="fr-FR"/>
        </w:rPr>
        <w:tab/>
      </w:r>
      <w:proofErr w:type="spellStart"/>
      <w:r w:rsidRPr="001B6547">
        <w:rPr>
          <w:rFonts w:ascii="ITC Avant Garde" w:hAnsi="ITC Avant Garde"/>
          <w:lang w:val="fr-FR"/>
        </w:rPr>
        <w:t>Telcel</w:t>
      </w:r>
      <w:proofErr w:type="spellEnd"/>
      <w:r w:rsidRPr="001B6547">
        <w:rPr>
          <w:rFonts w:ascii="ITC Avant Garde" w:hAnsi="ITC Avant Garde"/>
          <w:lang w:val="fr-FR"/>
        </w:rPr>
        <w:t>-INAECOM</w:t>
      </w:r>
    </w:p>
    <w:p w14:paraId="290AC0DD" w14:textId="77777777" w:rsidR="004016AB" w:rsidRPr="001B6547" w:rsidRDefault="004016AB" w:rsidP="001B6547">
      <w:pPr>
        <w:spacing w:after="0" w:line="276" w:lineRule="auto"/>
        <w:ind w:left="360"/>
        <w:jc w:val="both"/>
        <w:rPr>
          <w:rFonts w:ascii="ITC Avant Garde" w:hAnsi="ITC Avant Garde"/>
          <w:lang w:val="fr-FR"/>
        </w:rPr>
      </w:pPr>
      <w:r w:rsidRPr="001B6547">
        <w:rPr>
          <w:rFonts w:ascii="ITC Avant Garde" w:hAnsi="ITC Avant Garde"/>
          <w:lang w:val="fr-FR"/>
        </w:rPr>
        <w:t>7.</w:t>
      </w:r>
      <w:r w:rsidRPr="001B6547">
        <w:rPr>
          <w:rFonts w:ascii="ITC Avant Garde" w:hAnsi="ITC Avant Garde"/>
          <w:lang w:val="fr-FR"/>
        </w:rPr>
        <w:tab/>
      </w:r>
      <w:proofErr w:type="spellStart"/>
      <w:r w:rsidRPr="001B6547">
        <w:rPr>
          <w:rFonts w:ascii="ITC Avant Garde" w:hAnsi="ITC Avant Garde"/>
          <w:lang w:val="fr-FR"/>
        </w:rPr>
        <w:t>Telcel-Neus</w:t>
      </w:r>
      <w:proofErr w:type="spellEnd"/>
      <w:r w:rsidRPr="001B6547">
        <w:rPr>
          <w:rFonts w:ascii="ITC Avant Garde" w:hAnsi="ITC Avant Garde"/>
          <w:lang w:val="fr-FR"/>
        </w:rPr>
        <w:t xml:space="preserve"> Mobile</w:t>
      </w:r>
    </w:p>
    <w:p w14:paraId="1C95B0EF" w14:textId="77777777" w:rsidR="004016AB" w:rsidRPr="001B6547" w:rsidRDefault="004016AB" w:rsidP="001B6547">
      <w:pPr>
        <w:spacing w:after="0" w:line="276" w:lineRule="auto"/>
        <w:jc w:val="both"/>
        <w:rPr>
          <w:rFonts w:ascii="ITC Avant Garde" w:hAnsi="ITC Avant Garde"/>
          <w:lang w:val="fr-FR"/>
        </w:rPr>
      </w:pPr>
    </w:p>
    <w:p w14:paraId="35B181B7" w14:textId="77777777" w:rsidR="004016AB" w:rsidRPr="00E31981" w:rsidRDefault="004016AB" w:rsidP="001B6547">
      <w:pPr>
        <w:pStyle w:val="Prrafodelista"/>
        <w:numPr>
          <w:ilvl w:val="0"/>
          <w:numId w:val="12"/>
        </w:numPr>
        <w:spacing w:after="0" w:line="276" w:lineRule="auto"/>
        <w:jc w:val="both"/>
        <w:rPr>
          <w:rFonts w:ascii="ITC Avant Garde" w:hAnsi="ITC Avant Garde"/>
        </w:rPr>
      </w:pPr>
      <w:r>
        <w:rPr>
          <w:rFonts w:ascii="ITC Avant Garde" w:hAnsi="ITC Avant Garde"/>
        </w:rPr>
        <w:t xml:space="preserve">Enlaces </w:t>
      </w:r>
    </w:p>
    <w:p w14:paraId="75CA087E" w14:textId="77777777" w:rsidR="004016AB" w:rsidRPr="00E31981" w:rsidRDefault="004016AB" w:rsidP="001B6547">
      <w:pPr>
        <w:spacing w:after="0" w:line="276" w:lineRule="auto"/>
        <w:ind w:left="360"/>
        <w:jc w:val="both"/>
        <w:rPr>
          <w:rFonts w:ascii="ITC Avant Garde" w:hAnsi="ITC Avant Garde"/>
        </w:rPr>
      </w:pPr>
      <w:r>
        <w:rPr>
          <w:rFonts w:ascii="ITC Avant Garde" w:hAnsi="ITC Avant Garde"/>
        </w:rPr>
        <w:t>1.</w:t>
      </w:r>
      <w:r>
        <w:rPr>
          <w:rFonts w:ascii="ITC Avant Garde" w:hAnsi="ITC Avant Garde"/>
        </w:rPr>
        <w:tab/>
      </w:r>
      <w:proofErr w:type="spellStart"/>
      <w:r>
        <w:rPr>
          <w:rFonts w:ascii="ITC Avant Garde" w:hAnsi="ITC Avant Garde"/>
        </w:rPr>
        <w:t>Avantel</w:t>
      </w:r>
      <w:proofErr w:type="spellEnd"/>
      <w:r w:rsidRPr="00E31981">
        <w:rPr>
          <w:rFonts w:ascii="ITC Avant Garde" w:hAnsi="ITC Avant Garde"/>
        </w:rPr>
        <w:t>-Telmex</w:t>
      </w:r>
    </w:p>
    <w:p w14:paraId="62B4C0C2" w14:textId="77777777" w:rsidR="004016AB" w:rsidRPr="00E31981" w:rsidRDefault="004016AB" w:rsidP="001B6547">
      <w:pPr>
        <w:spacing w:after="0" w:line="276" w:lineRule="auto"/>
        <w:ind w:left="360"/>
        <w:jc w:val="both"/>
        <w:rPr>
          <w:rFonts w:ascii="ITC Avant Garde" w:hAnsi="ITC Avant Garde"/>
        </w:rPr>
      </w:pPr>
      <w:r>
        <w:rPr>
          <w:rFonts w:ascii="ITC Avant Garde" w:hAnsi="ITC Avant Garde"/>
        </w:rPr>
        <w:t>2.</w:t>
      </w:r>
      <w:r>
        <w:rPr>
          <w:rFonts w:ascii="ITC Avant Garde" w:hAnsi="ITC Avant Garde"/>
        </w:rPr>
        <w:tab/>
      </w:r>
      <w:proofErr w:type="spellStart"/>
      <w:r>
        <w:rPr>
          <w:rFonts w:ascii="ITC Avant Garde" w:hAnsi="ITC Avant Garde"/>
        </w:rPr>
        <w:t>Avantel</w:t>
      </w:r>
      <w:r w:rsidRPr="00E31981">
        <w:rPr>
          <w:rFonts w:ascii="ITC Avant Garde" w:hAnsi="ITC Avant Garde"/>
        </w:rPr>
        <w:t>-Telnor</w:t>
      </w:r>
      <w:proofErr w:type="spellEnd"/>
    </w:p>
    <w:p w14:paraId="4B53BD66" w14:textId="77777777" w:rsidR="004016AB" w:rsidRPr="00E31981" w:rsidRDefault="004016AB" w:rsidP="001B6547">
      <w:pPr>
        <w:spacing w:after="0" w:line="276" w:lineRule="auto"/>
        <w:ind w:left="360"/>
        <w:jc w:val="both"/>
        <w:rPr>
          <w:rFonts w:ascii="ITC Avant Garde" w:hAnsi="ITC Avant Garde"/>
        </w:rPr>
      </w:pPr>
      <w:r w:rsidRPr="00E31981">
        <w:rPr>
          <w:rFonts w:ascii="ITC Avant Garde" w:hAnsi="ITC Avant Garde"/>
        </w:rPr>
        <w:t>3.</w:t>
      </w:r>
      <w:r w:rsidRPr="00E31981">
        <w:rPr>
          <w:rFonts w:ascii="ITC Avant Garde" w:hAnsi="ITC Avant Garde"/>
        </w:rPr>
        <w:tab/>
      </w:r>
      <w:proofErr w:type="spellStart"/>
      <w:r w:rsidRPr="00E31981">
        <w:rPr>
          <w:rFonts w:ascii="ITC Avant Garde" w:hAnsi="ITC Avant Garde"/>
        </w:rPr>
        <w:t>Maxcom</w:t>
      </w:r>
      <w:proofErr w:type="spellEnd"/>
      <w:r w:rsidRPr="00E31981">
        <w:rPr>
          <w:rFonts w:ascii="ITC Avant Garde" w:hAnsi="ITC Avant Garde"/>
        </w:rPr>
        <w:t>-Telmex</w:t>
      </w:r>
    </w:p>
    <w:p w14:paraId="6695D39C" w14:textId="77777777" w:rsidR="004016AB" w:rsidRPr="00E31981" w:rsidRDefault="004016AB" w:rsidP="001B6547">
      <w:pPr>
        <w:spacing w:after="0" w:line="276" w:lineRule="auto"/>
        <w:ind w:left="360"/>
        <w:jc w:val="both"/>
        <w:rPr>
          <w:rFonts w:ascii="ITC Avant Garde" w:hAnsi="ITC Avant Garde"/>
        </w:rPr>
      </w:pPr>
      <w:r w:rsidRPr="00E31981">
        <w:rPr>
          <w:rFonts w:ascii="ITC Avant Garde" w:hAnsi="ITC Avant Garde"/>
        </w:rPr>
        <w:t>4.</w:t>
      </w:r>
      <w:r w:rsidRPr="00E31981">
        <w:rPr>
          <w:rFonts w:ascii="ITC Avant Garde" w:hAnsi="ITC Avant Garde"/>
        </w:rPr>
        <w:tab/>
      </w:r>
      <w:proofErr w:type="spellStart"/>
      <w:r w:rsidRPr="00E31981">
        <w:rPr>
          <w:rFonts w:ascii="ITC Avant Garde" w:hAnsi="ITC Avant Garde"/>
        </w:rPr>
        <w:t>Maxcom-Telnor</w:t>
      </w:r>
      <w:proofErr w:type="spellEnd"/>
    </w:p>
    <w:p w14:paraId="1CE3F48C" w14:textId="77777777" w:rsidR="004016AB" w:rsidRDefault="004016AB" w:rsidP="001B6547">
      <w:pPr>
        <w:spacing w:after="0" w:line="276" w:lineRule="auto"/>
        <w:ind w:left="360"/>
        <w:jc w:val="both"/>
        <w:rPr>
          <w:rFonts w:ascii="ITC Avant Garde" w:hAnsi="ITC Avant Garde"/>
        </w:rPr>
      </w:pPr>
      <w:r>
        <w:rPr>
          <w:rFonts w:ascii="ITC Avant Garde" w:hAnsi="ITC Avant Garde"/>
        </w:rPr>
        <w:t>5.</w:t>
      </w:r>
      <w:r>
        <w:rPr>
          <w:rFonts w:ascii="ITC Avant Garde" w:hAnsi="ITC Avant Garde"/>
        </w:rPr>
        <w:tab/>
        <w:t>Mega Cable-Telmex</w:t>
      </w:r>
    </w:p>
    <w:p w14:paraId="70294F69" w14:textId="77777777" w:rsidR="004016AB" w:rsidRDefault="004016AB" w:rsidP="001B6547">
      <w:pPr>
        <w:spacing w:after="0" w:line="276" w:lineRule="auto"/>
        <w:ind w:left="360"/>
        <w:jc w:val="both"/>
        <w:rPr>
          <w:rFonts w:ascii="ITC Avant Garde" w:hAnsi="ITC Avant Garde"/>
        </w:rPr>
      </w:pPr>
      <w:r>
        <w:rPr>
          <w:rFonts w:ascii="ITC Avant Garde" w:hAnsi="ITC Avant Garde"/>
        </w:rPr>
        <w:t xml:space="preserve">6. </w:t>
      </w:r>
      <w:r w:rsidR="007B209C">
        <w:rPr>
          <w:rFonts w:ascii="ITC Avant Garde" w:hAnsi="ITC Avant Garde"/>
        </w:rPr>
        <w:t xml:space="preserve">  </w:t>
      </w:r>
      <w:r>
        <w:rPr>
          <w:rFonts w:ascii="ITC Avant Garde" w:hAnsi="ITC Avant Garde"/>
        </w:rPr>
        <w:t>Mega Cable-</w:t>
      </w:r>
      <w:proofErr w:type="spellStart"/>
      <w:r>
        <w:rPr>
          <w:rFonts w:ascii="ITC Avant Garde" w:hAnsi="ITC Avant Garde"/>
        </w:rPr>
        <w:t>Telnor</w:t>
      </w:r>
      <w:proofErr w:type="spellEnd"/>
    </w:p>
    <w:p w14:paraId="7BD863F4" w14:textId="77777777" w:rsidR="00E15BFF" w:rsidRDefault="00E15BFF" w:rsidP="001B6547">
      <w:pPr>
        <w:spacing w:after="0" w:line="276" w:lineRule="auto"/>
        <w:jc w:val="both"/>
        <w:rPr>
          <w:rFonts w:ascii="ITC Avant Garde" w:hAnsi="ITC Avant Garde"/>
        </w:rPr>
      </w:pPr>
    </w:p>
    <w:p w14:paraId="377F8EBD" w14:textId="77777777" w:rsidR="00D930BE" w:rsidRPr="00350B33" w:rsidRDefault="00D930BE" w:rsidP="00D930BE">
      <w:pPr>
        <w:spacing w:after="0" w:line="276" w:lineRule="auto"/>
        <w:jc w:val="both"/>
        <w:rPr>
          <w:rFonts w:ascii="ITC Avant Garde" w:hAnsi="ITC Avant Garde"/>
        </w:rPr>
      </w:pPr>
      <w:r>
        <w:rPr>
          <w:rFonts w:ascii="ITC Avant Garde" w:hAnsi="ITC Avant Garde"/>
        </w:rPr>
        <w:t xml:space="preserve">En lo que respecta al servicio mayorista de interconexión, las medidas están orientadas a establecer una interconexión efectiva y expedita entre las redes de los concesionarios y la red del AEP, en este sentido el Instituto definió los puntos de interconexión a la red del AEP para intercambiar tráfico de cualquier origen o destino dentro del territorio nacional  para las tecnologías TDM (de sus siglas en inglés “Time </w:t>
      </w:r>
      <w:proofErr w:type="spellStart"/>
      <w:r>
        <w:rPr>
          <w:rFonts w:ascii="ITC Avant Garde" w:hAnsi="ITC Avant Garde"/>
        </w:rPr>
        <w:t>Division</w:t>
      </w:r>
      <w:proofErr w:type="spellEnd"/>
      <w:r>
        <w:rPr>
          <w:rFonts w:ascii="ITC Avant Garde" w:hAnsi="ITC Avant Garde"/>
        </w:rPr>
        <w:t xml:space="preserve"> </w:t>
      </w:r>
      <w:proofErr w:type="spellStart"/>
      <w:r>
        <w:rPr>
          <w:rFonts w:ascii="ITC Avant Garde" w:hAnsi="ITC Avant Garde"/>
        </w:rPr>
        <w:t>Multiplexing</w:t>
      </w:r>
      <w:proofErr w:type="spellEnd"/>
      <w:r>
        <w:rPr>
          <w:rFonts w:ascii="ITC Avant Garde" w:hAnsi="ITC Avant Garde"/>
        </w:rPr>
        <w:t xml:space="preserve">”) e IP (de sus siglas en inglés, “Internet </w:t>
      </w:r>
      <w:proofErr w:type="spellStart"/>
      <w:r>
        <w:rPr>
          <w:rFonts w:ascii="ITC Avant Garde" w:hAnsi="ITC Avant Garde"/>
        </w:rPr>
        <w:t>Protocol</w:t>
      </w:r>
      <w:proofErr w:type="spellEnd"/>
      <w:r>
        <w:rPr>
          <w:rFonts w:ascii="ITC Avant Garde" w:hAnsi="ITC Avant Garde"/>
        </w:rPr>
        <w:t>”)</w:t>
      </w:r>
      <w:r w:rsidR="004D2CF5">
        <w:rPr>
          <w:rStyle w:val="Refdenotaalpie"/>
          <w:rFonts w:ascii="ITC Avant Garde" w:hAnsi="ITC Avant Garde"/>
        </w:rPr>
        <w:footnoteReference w:id="9"/>
      </w:r>
      <w:r>
        <w:rPr>
          <w:rFonts w:ascii="ITC Avant Garde" w:hAnsi="ITC Avant Garde"/>
        </w:rPr>
        <w:t xml:space="preserve">, mismos que se encuentran distribuidos geográficamente y que permiten el eficiente intercambio de tráfico </w:t>
      </w:r>
      <w:r w:rsidRPr="00350B33">
        <w:rPr>
          <w:rFonts w:ascii="ITC Avant Garde" w:hAnsi="ITC Avant Garde"/>
        </w:rPr>
        <w:t>entre las redes interconectadas</w:t>
      </w:r>
      <w:r w:rsidRPr="001B6547">
        <w:rPr>
          <w:rFonts w:ascii="ITC Avant Garde" w:hAnsi="ITC Avant Garde"/>
        </w:rPr>
        <w:t>; asimismo se estableció un mecanismo para que los mismos se hagan del conocimiento del resto de los concesionarios</w:t>
      </w:r>
      <w:r w:rsidRPr="00350B33">
        <w:rPr>
          <w:rFonts w:ascii="ITC Avant Garde" w:hAnsi="ITC Avant Garde"/>
        </w:rPr>
        <w:t xml:space="preserve">. </w:t>
      </w:r>
    </w:p>
    <w:p w14:paraId="3393AF52" w14:textId="77777777" w:rsidR="00D930BE" w:rsidRPr="001B6547" w:rsidRDefault="00D930BE" w:rsidP="00D930BE">
      <w:pPr>
        <w:spacing w:after="0" w:line="276" w:lineRule="auto"/>
        <w:jc w:val="both"/>
        <w:rPr>
          <w:rFonts w:ascii="ITC Avant Garde" w:hAnsi="ITC Avant Garde"/>
        </w:rPr>
      </w:pPr>
    </w:p>
    <w:p w14:paraId="43B99B48" w14:textId="77777777" w:rsidR="00D930BE" w:rsidRPr="00350B33" w:rsidRDefault="00D930BE" w:rsidP="00D930BE">
      <w:pPr>
        <w:spacing w:after="0" w:line="276" w:lineRule="auto"/>
        <w:jc w:val="both"/>
        <w:rPr>
          <w:rFonts w:ascii="ITC Avant Garde" w:hAnsi="ITC Avant Garde"/>
        </w:rPr>
      </w:pPr>
      <w:r w:rsidRPr="001B6547">
        <w:rPr>
          <w:rFonts w:ascii="ITC Avant Garde" w:hAnsi="ITC Avant Garde"/>
        </w:rPr>
        <w:t>En el mismo sentido, el Instituto determinó que para la realización de la interconexión IP entre la red del AEP y la red de los concesionarios se utilizaría el protocolo de señalización SIP (de sus siglas en inglés, “</w:t>
      </w:r>
      <w:proofErr w:type="spellStart"/>
      <w:r w:rsidRPr="001B6547">
        <w:rPr>
          <w:rFonts w:ascii="ITC Avant Garde" w:hAnsi="ITC Avant Garde"/>
        </w:rPr>
        <w:t>Session</w:t>
      </w:r>
      <w:proofErr w:type="spellEnd"/>
      <w:r w:rsidRPr="001B6547">
        <w:rPr>
          <w:rFonts w:ascii="ITC Avant Garde" w:hAnsi="ITC Avant Garde"/>
        </w:rPr>
        <w:t xml:space="preserve"> </w:t>
      </w:r>
      <w:proofErr w:type="spellStart"/>
      <w:r w:rsidRPr="001B6547">
        <w:rPr>
          <w:rFonts w:ascii="ITC Avant Garde" w:hAnsi="ITC Avant Garde"/>
        </w:rPr>
        <w:t>Initiation</w:t>
      </w:r>
      <w:proofErr w:type="spellEnd"/>
      <w:r w:rsidRPr="001B6547">
        <w:rPr>
          <w:rFonts w:ascii="ITC Avant Garde" w:hAnsi="ITC Avant Garde"/>
        </w:rPr>
        <w:t xml:space="preserve"> </w:t>
      </w:r>
      <w:proofErr w:type="spellStart"/>
      <w:r w:rsidRPr="001B6547">
        <w:rPr>
          <w:rFonts w:ascii="ITC Avant Garde" w:hAnsi="ITC Avant Garde"/>
        </w:rPr>
        <w:t>Protocol</w:t>
      </w:r>
      <w:proofErr w:type="spellEnd"/>
      <w:r w:rsidRPr="001B6547">
        <w:rPr>
          <w:rFonts w:ascii="ITC Avant Garde" w:hAnsi="ITC Avant Garde"/>
        </w:rPr>
        <w:t xml:space="preserve">”) y definió los parámetros necesarios </w:t>
      </w:r>
      <w:r w:rsidRPr="00350B33">
        <w:rPr>
          <w:rFonts w:ascii="ITC Avant Garde" w:hAnsi="ITC Avant Garde"/>
        </w:rPr>
        <w:t>para la eficiente interconexión a través de dicho protocolo.</w:t>
      </w:r>
      <w:r w:rsidR="004D2CF5" w:rsidRPr="00350B33">
        <w:rPr>
          <w:rStyle w:val="Refdenotaalpie"/>
          <w:rFonts w:ascii="ITC Avant Garde" w:hAnsi="ITC Avant Garde"/>
        </w:rPr>
        <w:footnoteReference w:id="10"/>
      </w:r>
      <w:r w:rsidRPr="00350B33">
        <w:rPr>
          <w:rFonts w:ascii="ITC Avant Garde" w:hAnsi="ITC Avant Garde"/>
        </w:rPr>
        <w:t xml:space="preserve"> </w:t>
      </w:r>
    </w:p>
    <w:p w14:paraId="4286DF5D" w14:textId="77777777" w:rsidR="00D930BE" w:rsidRDefault="00D930BE" w:rsidP="00D930BE">
      <w:pPr>
        <w:spacing w:after="0" w:line="276" w:lineRule="auto"/>
        <w:jc w:val="both"/>
        <w:rPr>
          <w:rFonts w:ascii="ITC Avant Garde" w:hAnsi="ITC Avant Garde"/>
        </w:rPr>
      </w:pPr>
    </w:p>
    <w:p w14:paraId="4B33D431" w14:textId="77777777" w:rsidR="00D930BE" w:rsidRDefault="00B7269C" w:rsidP="00D930BE">
      <w:pPr>
        <w:spacing w:after="0" w:line="276" w:lineRule="auto"/>
        <w:jc w:val="both"/>
        <w:rPr>
          <w:rFonts w:ascii="ITC Avant Garde" w:hAnsi="ITC Avant Garde"/>
        </w:rPr>
      </w:pPr>
      <w:r>
        <w:rPr>
          <w:rFonts w:ascii="ITC Avant Garde" w:hAnsi="ITC Avant Garde"/>
        </w:rPr>
        <w:t>Asimismo, el Instituto</w:t>
      </w:r>
      <w:r w:rsidR="00D930BE">
        <w:rPr>
          <w:rFonts w:ascii="ITC Avant Garde" w:hAnsi="ITC Avant Garde"/>
        </w:rPr>
        <w:t xml:space="preserve"> aprobó el Convenio Marco de Interconexión</w:t>
      </w:r>
      <w:r w:rsidR="002A5658">
        <w:rPr>
          <w:rStyle w:val="Refdenotaalpie"/>
          <w:rFonts w:ascii="ITC Avant Garde" w:hAnsi="ITC Avant Garde"/>
        </w:rPr>
        <w:footnoteReference w:id="11"/>
      </w:r>
      <w:r w:rsidR="00D930BE">
        <w:rPr>
          <w:rFonts w:ascii="ITC Avant Garde" w:hAnsi="ITC Avant Garde"/>
        </w:rPr>
        <w:t>, en el cual se incluyen los términos y condiciones aplicables para la realización de la interconexión entre los concesionarios y el AEP, dicho Convenio establece los aspectos jurídicos, económicos y técnicos aplicables. De igual forma, en cumplimiento a lo establecido en las medidas en el Convenio Marco de Interconexión se señalan los parámetros de calidad del servicio de interconexión, capacidades de los enlaces de transmisión de interconexión y los plazos de entrega de los enlaces de interconexión, entre otros aspectos.</w:t>
      </w:r>
    </w:p>
    <w:p w14:paraId="1E603ABD" w14:textId="77777777" w:rsidR="00D930BE" w:rsidRDefault="00D930BE" w:rsidP="00D930BE">
      <w:pPr>
        <w:spacing w:after="0" w:line="276" w:lineRule="auto"/>
        <w:jc w:val="both"/>
        <w:rPr>
          <w:rFonts w:ascii="ITC Avant Garde" w:hAnsi="ITC Avant Garde"/>
        </w:rPr>
      </w:pPr>
    </w:p>
    <w:p w14:paraId="6CBA1D74" w14:textId="7E72298C" w:rsidR="00734283" w:rsidRPr="007B209C" w:rsidRDefault="00D930BE" w:rsidP="001B6547">
      <w:pPr>
        <w:spacing w:after="0" w:line="276" w:lineRule="auto"/>
        <w:jc w:val="both"/>
        <w:rPr>
          <w:rFonts w:ascii="ITC Avant Garde" w:hAnsi="ITC Avant Garde"/>
        </w:rPr>
      </w:pPr>
      <w:r w:rsidRPr="00350B33">
        <w:rPr>
          <w:rFonts w:ascii="ITC Avant Garde" w:hAnsi="ITC Avant Garde"/>
        </w:rPr>
        <w:t xml:space="preserve">Finalmente, por cuanto hace a las tarifas de interconexión </w:t>
      </w:r>
      <w:r w:rsidR="00B7269C" w:rsidRPr="00350B33">
        <w:rPr>
          <w:rFonts w:ascii="ITC Avant Garde" w:hAnsi="ITC Avant Garde"/>
        </w:rPr>
        <w:t>el Instituto</w:t>
      </w:r>
      <w:r w:rsidRPr="00350B33">
        <w:rPr>
          <w:rFonts w:ascii="ITC Avant Garde" w:hAnsi="ITC Avant Garde"/>
        </w:rPr>
        <w:t> </w:t>
      </w:r>
      <w:r w:rsidR="00A96F7B">
        <w:rPr>
          <w:rFonts w:ascii="ITC Avant Garde" w:hAnsi="ITC Avant Garde"/>
        </w:rPr>
        <w:t>determinó</w:t>
      </w:r>
      <w:r w:rsidRPr="00350B33">
        <w:rPr>
          <w:rFonts w:ascii="ITC Avant Garde" w:hAnsi="ITC Avant Garde"/>
        </w:rPr>
        <w:t xml:space="preserve"> las tarifas aplicables a los servicios de interconexión prestados por el AEP</w:t>
      </w:r>
      <w:r w:rsidR="00A96F7B">
        <w:rPr>
          <w:rStyle w:val="Refdenotaalpie"/>
          <w:rFonts w:ascii="ITC Avant Garde" w:hAnsi="ITC Avant Garde"/>
        </w:rPr>
        <w:footnoteReference w:id="12"/>
      </w:r>
      <w:r w:rsidRPr="00350B33">
        <w:rPr>
          <w:rFonts w:ascii="ITC Avant Garde" w:hAnsi="ITC Avant Garde"/>
        </w:rPr>
        <w:t xml:space="preserve"> de lo cual se observó una reducción de </w:t>
      </w:r>
      <w:r w:rsidR="000F4C0F">
        <w:rPr>
          <w:rFonts w:ascii="ITC Avant Garde" w:hAnsi="ITC Avant Garde"/>
        </w:rPr>
        <w:t>las mismas</w:t>
      </w:r>
      <w:r w:rsidRPr="00350B33">
        <w:rPr>
          <w:rFonts w:ascii="ITC Avant Garde" w:hAnsi="ITC Avant Garde"/>
        </w:rPr>
        <w:t xml:space="preserve"> </w:t>
      </w:r>
      <w:r w:rsidRPr="001B6547">
        <w:rPr>
          <w:rFonts w:ascii="ITC Avant Garde" w:hAnsi="ITC Avant Garde"/>
        </w:rPr>
        <w:t>al pasar de una tarifa de interconexión de terminación móvil de $0.3199</w:t>
      </w:r>
      <w:r w:rsidR="00723A58">
        <w:rPr>
          <w:rFonts w:ascii="ITC Avant Garde" w:hAnsi="ITC Avant Garde"/>
        </w:rPr>
        <w:t xml:space="preserve"> (del 1 de enero al 5 de abril de 2014)</w:t>
      </w:r>
      <w:r w:rsidR="001C6724">
        <w:rPr>
          <w:rFonts w:ascii="ITC Avant Garde" w:hAnsi="ITC Avant Garde"/>
        </w:rPr>
        <w:t xml:space="preserve"> </w:t>
      </w:r>
      <w:r w:rsidRPr="001B6547">
        <w:rPr>
          <w:rFonts w:ascii="ITC Avant Garde" w:hAnsi="ITC Avant Garde"/>
        </w:rPr>
        <w:t>a $0.2045</w:t>
      </w:r>
      <w:r w:rsidR="00723A58">
        <w:rPr>
          <w:rFonts w:ascii="ITC Avant Garde" w:hAnsi="ITC Avant Garde"/>
        </w:rPr>
        <w:t xml:space="preserve"> (del 6 de abril al 12 de agosto del mismo año)</w:t>
      </w:r>
      <w:r w:rsidRPr="001B6547">
        <w:rPr>
          <w:rFonts w:ascii="ITC Avant Garde" w:hAnsi="ITC Avant Garde"/>
        </w:rPr>
        <w:t>, y de una tarifa de interconexión de terminación fija de $0.02445 a $0.02015</w:t>
      </w:r>
      <w:r w:rsidR="00723A58">
        <w:rPr>
          <w:rFonts w:ascii="ITC Avant Garde" w:hAnsi="ITC Avant Garde"/>
        </w:rPr>
        <w:t xml:space="preserve"> en los mismos periodos</w:t>
      </w:r>
      <w:r w:rsidRPr="001B6547">
        <w:rPr>
          <w:rFonts w:ascii="ITC Avant Garde" w:hAnsi="ITC Avant Garde"/>
        </w:rPr>
        <w:t>.</w:t>
      </w:r>
      <w:r w:rsidR="00B7269C">
        <w:rPr>
          <w:rStyle w:val="Refdenotaalpie"/>
          <w:rFonts w:ascii="ITC Avant Garde" w:hAnsi="ITC Avant Garde"/>
        </w:rPr>
        <w:footnoteReference w:id="13"/>
      </w:r>
      <w:r w:rsidRPr="001B6547">
        <w:rPr>
          <w:rFonts w:ascii="ITC Avant Garde" w:hAnsi="ITC Avant Garde"/>
        </w:rPr>
        <w:t> </w:t>
      </w:r>
      <w:r w:rsidR="00436E85">
        <w:rPr>
          <w:rFonts w:ascii="ITC Avant Garde" w:hAnsi="ITC Avant Garde"/>
        </w:rPr>
        <w:t>Por su parte</w:t>
      </w:r>
      <w:r w:rsidRPr="001B6547">
        <w:rPr>
          <w:rFonts w:ascii="ITC Avant Garde" w:hAnsi="ITC Avant Garde"/>
        </w:rPr>
        <w:t xml:space="preserve">, el artículo 131 la Ley Federal de Telecomunicaciones y Radiodifusión establece que </w:t>
      </w:r>
      <w:r w:rsidRPr="001B6547">
        <w:rPr>
          <w:rFonts w:ascii="ITC Avant Garde" w:hAnsi="ITC Avant Garde"/>
        </w:rPr>
        <w:lastRenderedPageBreak/>
        <w:t>el AEP no cobrará a los otros concesionarios por el tráfico que termine en su red, a partir de la entrada en vigor de la ley.</w:t>
      </w:r>
      <w:r w:rsidR="000F4C0F">
        <w:rPr>
          <w:rFonts w:ascii="ITC Avant Garde" w:hAnsi="ITC Avant Garde"/>
        </w:rPr>
        <w:t xml:space="preserve"> Adicionalmente, se utilizará una metodología específica para estimar los costos de interconexión cuando haya desacuerdos entre las partes</w:t>
      </w:r>
      <w:r w:rsidR="000F4C0F">
        <w:rPr>
          <w:rStyle w:val="Refdenotaalpie"/>
          <w:rFonts w:ascii="ITC Avant Garde" w:hAnsi="ITC Avant Garde"/>
        </w:rPr>
        <w:footnoteReference w:id="14"/>
      </w:r>
      <w:r w:rsidR="000F4C0F">
        <w:rPr>
          <w:rFonts w:ascii="ITC Avant Garde" w:hAnsi="ITC Avant Garde"/>
        </w:rPr>
        <w:t>.</w:t>
      </w:r>
    </w:p>
    <w:p w14:paraId="3B08DF35" w14:textId="77777777" w:rsidR="004D2CF5" w:rsidRDefault="004D2CF5" w:rsidP="001B6547">
      <w:pPr>
        <w:spacing w:after="0" w:line="276" w:lineRule="auto"/>
        <w:jc w:val="both"/>
        <w:rPr>
          <w:rFonts w:ascii="ITC Avant Garde" w:hAnsi="ITC Avant Garde"/>
        </w:rPr>
      </w:pPr>
    </w:p>
    <w:p w14:paraId="5E67B5AA" w14:textId="6E72EF2A" w:rsidR="00913BE9" w:rsidRPr="00B05E06" w:rsidRDefault="00315AD0" w:rsidP="00350B33">
      <w:pPr>
        <w:spacing w:after="0" w:line="276" w:lineRule="auto"/>
        <w:jc w:val="both"/>
        <w:rPr>
          <w:rFonts w:ascii="ITC Avant Garde" w:hAnsi="ITC Avant Garde"/>
        </w:rPr>
      </w:pPr>
      <w:r w:rsidRPr="00B05E06">
        <w:rPr>
          <w:rFonts w:ascii="ITC Avant Garde" w:hAnsi="ITC Avant Garde"/>
        </w:rPr>
        <w:t>Con la regulación de Preponderancia</w:t>
      </w:r>
      <w:r w:rsidR="00787DB3">
        <w:rPr>
          <w:rFonts w:ascii="ITC Avant Garde" w:hAnsi="ITC Avant Garde"/>
        </w:rPr>
        <w:t xml:space="preserve"> en telecomunicaciones</w:t>
      </w:r>
      <w:r w:rsidRPr="00B05E06">
        <w:rPr>
          <w:rFonts w:ascii="ITC Avant Garde" w:hAnsi="ITC Avant Garde"/>
        </w:rPr>
        <w:t xml:space="preserve"> se </w:t>
      </w:r>
      <w:r w:rsidR="00107FD1">
        <w:rPr>
          <w:rFonts w:ascii="ITC Avant Garde" w:hAnsi="ITC Avant Garde"/>
        </w:rPr>
        <w:t xml:space="preserve">establecieron las condiciones para desagregar la red local del AEP. </w:t>
      </w:r>
      <w:r w:rsidR="00E07BF7" w:rsidRPr="00B05E06">
        <w:rPr>
          <w:rFonts w:ascii="ITC Avant Garde" w:hAnsi="ITC Avant Garde"/>
        </w:rPr>
        <w:t>Por ello las medidas asimétricas a</w:t>
      </w:r>
      <w:r w:rsidR="001E0F49">
        <w:rPr>
          <w:rFonts w:ascii="ITC Avant Garde" w:hAnsi="ITC Avant Garde"/>
        </w:rPr>
        <w:t>plicables al</w:t>
      </w:r>
      <w:r w:rsidR="00E07BF7" w:rsidRPr="00B05E06">
        <w:rPr>
          <w:rFonts w:ascii="ITC Avant Garde" w:hAnsi="ITC Avant Garde"/>
        </w:rPr>
        <w:t xml:space="preserve"> </w:t>
      </w:r>
      <w:r w:rsidR="007B209C">
        <w:rPr>
          <w:rFonts w:ascii="ITC Avant Garde" w:hAnsi="ITC Avant Garde"/>
        </w:rPr>
        <w:t>AEP</w:t>
      </w:r>
      <w:r w:rsidR="00E07BF7" w:rsidRPr="00B05E06">
        <w:rPr>
          <w:rFonts w:ascii="ITC Avant Garde" w:hAnsi="ITC Avant Garde"/>
        </w:rPr>
        <w:t xml:space="preserve"> </w:t>
      </w:r>
      <w:r w:rsidR="001E0F49">
        <w:rPr>
          <w:rFonts w:ascii="ITC Avant Garde" w:hAnsi="ITC Avant Garde"/>
        </w:rPr>
        <w:t>obligan</w:t>
      </w:r>
      <w:r w:rsidR="00E07BF7" w:rsidRPr="00B05E06">
        <w:rPr>
          <w:rFonts w:ascii="ITC Avant Garde" w:hAnsi="ITC Avant Garde"/>
        </w:rPr>
        <w:t xml:space="preserve"> a prestar los servicios de desagregación de la red l</w:t>
      </w:r>
      <w:r w:rsidR="00913BE9" w:rsidRPr="00B05E06">
        <w:rPr>
          <w:rFonts w:ascii="ITC Avant Garde" w:hAnsi="ITC Avant Garde"/>
        </w:rPr>
        <w:t xml:space="preserve">ocal, así como </w:t>
      </w:r>
      <w:r w:rsidR="004E1685">
        <w:rPr>
          <w:rFonts w:ascii="ITC Avant Garde" w:hAnsi="ITC Avant Garde"/>
        </w:rPr>
        <w:t xml:space="preserve">a </w:t>
      </w:r>
      <w:r w:rsidR="00E07BF7" w:rsidRPr="00B05E06">
        <w:rPr>
          <w:rFonts w:ascii="ITC Avant Garde" w:hAnsi="ITC Avant Garde"/>
        </w:rPr>
        <w:t>otorgar permisos, facilidades técnicas y elementos de red necesarios para la prestación de</w:t>
      </w:r>
      <w:r w:rsidR="00913BE9" w:rsidRPr="00B05E06">
        <w:rPr>
          <w:rFonts w:ascii="ITC Avant Garde" w:hAnsi="ITC Avant Garde"/>
        </w:rPr>
        <w:t xml:space="preserve"> los servicios de d</w:t>
      </w:r>
      <w:r w:rsidR="00E07BF7" w:rsidRPr="00B05E06">
        <w:rPr>
          <w:rFonts w:ascii="ITC Avant Garde" w:hAnsi="ITC Avant Garde"/>
        </w:rPr>
        <w:t>esagregación</w:t>
      </w:r>
      <w:r w:rsidR="00913BE9" w:rsidRPr="00B05E06">
        <w:rPr>
          <w:rFonts w:ascii="ITC Avant Garde" w:hAnsi="ITC Avant Garde"/>
        </w:rPr>
        <w:t xml:space="preserve"> de la red local</w:t>
      </w:r>
      <w:r w:rsidR="00CF3493">
        <w:rPr>
          <w:rFonts w:ascii="ITC Avant Garde" w:hAnsi="ITC Avant Garde"/>
        </w:rPr>
        <w:t xml:space="preserve">, incluyendo todos aquellos servicios auxiliares </w:t>
      </w:r>
      <w:r w:rsidR="001E0F49">
        <w:rPr>
          <w:rFonts w:ascii="ITC Avant Garde" w:hAnsi="ITC Avant Garde"/>
        </w:rPr>
        <w:t xml:space="preserve">que resultan </w:t>
      </w:r>
      <w:r w:rsidR="00CF3493">
        <w:rPr>
          <w:rFonts w:ascii="ITC Avant Garde" w:hAnsi="ITC Avant Garde"/>
        </w:rPr>
        <w:t>necesarios</w:t>
      </w:r>
      <w:r w:rsidR="001E0F49">
        <w:rPr>
          <w:rFonts w:ascii="ITC Avant Garde" w:hAnsi="ITC Avant Garde"/>
        </w:rPr>
        <w:t xml:space="preserve"> para la </w:t>
      </w:r>
      <w:r w:rsidR="00CF2977">
        <w:rPr>
          <w:rFonts w:ascii="ITC Avant Garde" w:hAnsi="ITC Avant Garde"/>
        </w:rPr>
        <w:t>desagregación</w:t>
      </w:r>
      <w:r w:rsidR="001E0F49">
        <w:rPr>
          <w:rFonts w:ascii="ITC Avant Garde" w:hAnsi="ITC Avant Garde"/>
        </w:rPr>
        <w:t>,</w:t>
      </w:r>
      <w:r w:rsidR="00CF3493">
        <w:rPr>
          <w:rFonts w:ascii="ITC Avant Garde" w:hAnsi="ITC Avant Garde"/>
        </w:rPr>
        <w:t xml:space="preserve"> como el</w:t>
      </w:r>
      <w:r w:rsidR="00E07BF7" w:rsidRPr="00B05E06">
        <w:rPr>
          <w:rFonts w:ascii="ITC Avant Garde" w:hAnsi="ITC Avant Garde"/>
        </w:rPr>
        <w:t xml:space="preserve"> servicio de </w:t>
      </w:r>
      <w:proofErr w:type="spellStart"/>
      <w:r w:rsidR="001E0F49">
        <w:rPr>
          <w:rFonts w:ascii="ITC Avant Garde" w:hAnsi="ITC Avant Garde"/>
        </w:rPr>
        <w:t>c</w:t>
      </w:r>
      <w:r w:rsidR="001E0F49" w:rsidRPr="00B05E06">
        <w:rPr>
          <w:rFonts w:ascii="ITC Avant Garde" w:hAnsi="ITC Avant Garde"/>
        </w:rPr>
        <w:t>oubicación</w:t>
      </w:r>
      <w:proofErr w:type="spellEnd"/>
      <w:r w:rsidR="00913BE9" w:rsidRPr="00B05E06">
        <w:rPr>
          <w:rFonts w:ascii="ITC Avant Garde" w:hAnsi="ITC Avant Garde"/>
        </w:rPr>
        <w:t xml:space="preserve">. </w:t>
      </w:r>
      <w:r w:rsidR="007B209C">
        <w:rPr>
          <w:rFonts w:ascii="ITC Avant Garde" w:hAnsi="ITC Avant Garde"/>
        </w:rPr>
        <w:t xml:space="preserve">También </w:t>
      </w:r>
      <w:r w:rsidR="00CF3493">
        <w:rPr>
          <w:rFonts w:ascii="ITC Avant Garde" w:hAnsi="ITC Avant Garde"/>
        </w:rPr>
        <w:t>está obligado</w:t>
      </w:r>
      <w:r w:rsidR="00913BE9" w:rsidRPr="00B05E06">
        <w:rPr>
          <w:rFonts w:ascii="ITC Avant Garde" w:hAnsi="ITC Avant Garde"/>
        </w:rPr>
        <w:t xml:space="preserve"> </w:t>
      </w:r>
      <w:r w:rsidR="00CF3493">
        <w:rPr>
          <w:rFonts w:ascii="ITC Avant Garde" w:hAnsi="ITC Avant Garde"/>
        </w:rPr>
        <w:t xml:space="preserve">a </w:t>
      </w:r>
      <w:r w:rsidR="00E07BF7" w:rsidRPr="00B05E06">
        <w:rPr>
          <w:rFonts w:ascii="ITC Avant Garde" w:hAnsi="ITC Avant Garde"/>
        </w:rPr>
        <w:t>proporcionar información suficiente</w:t>
      </w:r>
      <w:r w:rsidR="00913BE9" w:rsidRPr="00B05E06">
        <w:rPr>
          <w:rFonts w:ascii="ITC Avant Garde" w:hAnsi="ITC Avant Garde"/>
        </w:rPr>
        <w:t xml:space="preserve"> para </w:t>
      </w:r>
      <w:r w:rsidR="001E0F49">
        <w:rPr>
          <w:rFonts w:ascii="ITC Avant Garde" w:hAnsi="ITC Avant Garde"/>
        </w:rPr>
        <w:t xml:space="preserve">asegurar la efectiva </w:t>
      </w:r>
      <w:r w:rsidR="00913BE9" w:rsidRPr="00B05E06">
        <w:rPr>
          <w:rFonts w:ascii="ITC Avant Garde" w:hAnsi="ITC Avant Garde"/>
        </w:rPr>
        <w:t>prestación de los servicios de desagregación</w:t>
      </w:r>
      <w:r w:rsidR="001E0F49">
        <w:rPr>
          <w:rFonts w:ascii="ITC Avant Garde" w:hAnsi="ITC Avant Garde"/>
        </w:rPr>
        <w:t>.</w:t>
      </w:r>
      <w:r w:rsidR="00913BE9" w:rsidRPr="00B05E06">
        <w:rPr>
          <w:rFonts w:ascii="ITC Avant Garde" w:hAnsi="ITC Avant Garde"/>
        </w:rPr>
        <w:t xml:space="preserve"> </w:t>
      </w:r>
    </w:p>
    <w:p w14:paraId="4BB12A8D" w14:textId="77777777" w:rsidR="00107FD1" w:rsidRDefault="00107FD1" w:rsidP="001B6547">
      <w:pPr>
        <w:spacing w:after="0" w:line="276" w:lineRule="auto"/>
        <w:ind w:left="360"/>
        <w:jc w:val="both"/>
        <w:rPr>
          <w:rFonts w:ascii="ITC Avant Garde" w:hAnsi="ITC Avant Garde"/>
        </w:rPr>
      </w:pPr>
    </w:p>
    <w:p w14:paraId="66BA3D5C" w14:textId="77777777" w:rsidR="00E07BF7" w:rsidRPr="00B05E06" w:rsidRDefault="00913BE9" w:rsidP="001B6547">
      <w:pPr>
        <w:spacing w:after="0" w:line="276" w:lineRule="auto"/>
        <w:jc w:val="both"/>
        <w:rPr>
          <w:rFonts w:ascii="ITC Avant Garde" w:hAnsi="ITC Avant Garde"/>
        </w:rPr>
      </w:pPr>
      <w:r w:rsidRPr="00B05E06">
        <w:rPr>
          <w:rFonts w:ascii="ITC Avant Garde" w:hAnsi="ITC Avant Garde"/>
        </w:rPr>
        <w:t xml:space="preserve">Todos </w:t>
      </w:r>
      <w:r w:rsidR="00E07BF7" w:rsidRPr="00B05E06">
        <w:rPr>
          <w:rFonts w:ascii="ITC Avant Garde" w:hAnsi="ITC Avant Garde"/>
        </w:rPr>
        <w:t>los convenios de desagregación y su</w:t>
      </w:r>
      <w:r w:rsidRPr="00B05E06">
        <w:rPr>
          <w:rFonts w:ascii="ITC Avant Garde" w:hAnsi="ITC Avant Garde"/>
        </w:rPr>
        <w:t>s</w:t>
      </w:r>
      <w:r w:rsidR="00E07BF7" w:rsidRPr="00B05E06">
        <w:rPr>
          <w:rFonts w:ascii="ITC Avant Garde" w:hAnsi="ITC Avant Garde"/>
        </w:rPr>
        <w:t xml:space="preserve"> </w:t>
      </w:r>
      <w:r w:rsidRPr="00B05E06">
        <w:rPr>
          <w:rFonts w:ascii="ITC Avant Garde" w:hAnsi="ITC Avant Garde"/>
        </w:rPr>
        <w:t xml:space="preserve">respectivas </w:t>
      </w:r>
      <w:r w:rsidR="00E07BF7" w:rsidRPr="00B05E06">
        <w:rPr>
          <w:rFonts w:ascii="ITC Avant Garde" w:hAnsi="ITC Avant Garde"/>
        </w:rPr>
        <w:t>modif</w:t>
      </w:r>
      <w:r w:rsidRPr="00B05E06">
        <w:rPr>
          <w:rFonts w:ascii="ITC Avant Garde" w:hAnsi="ITC Avant Garde"/>
        </w:rPr>
        <w:t>icaciones,</w:t>
      </w:r>
      <w:r w:rsidR="00E07BF7" w:rsidRPr="00B05E06">
        <w:rPr>
          <w:rFonts w:ascii="ITC Avant Garde" w:hAnsi="ITC Avant Garde"/>
        </w:rPr>
        <w:t xml:space="preserve"> </w:t>
      </w:r>
      <w:r w:rsidRPr="00B05E06">
        <w:rPr>
          <w:rFonts w:ascii="ITC Avant Garde" w:hAnsi="ITC Avant Garde"/>
        </w:rPr>
        <w:t xml:space="preserve">deben ser registrados ante el Instituto. Adicionalmente, el AEP debe </w:t>
      </w:r>
      <w:r w:rsidR="00E07BF7" w:rsidRPr="00B05E06">
        <w:rPr>
          <w:rFonts w:ascii="ITC Avant Garde" w:hAnsi="ITC Avant Garde"/>
        </w:rPr>
        <w:t>dar mantenimiento a toda la infraestructura de la red local</w:t>
      </w:r>
      <w:r w:rsidRPr="00B05E06">
        <w:rPr>
          <w:rFonts w:ascii="ITC Avant Garde" w:hAnsi="ITC Avant Garde"/>
        </w:rPr>
        <w:t>,</w:t>
      </w:r>
      <w:r w:rsidR="00E07BF7" w:rsidRPr="00B05E06">
        <w:rPr>
          <w:rFonts w:ascii="ITC Avant Garde" w:hAnsi="ITC Avant Garde"/>
        </w:rPr>
        <w:t xml:space="preserve"> ofrecer los términos y condiciones estableci</w:t>
      </w:r>
      <w:r w:rsidRPr="00B05E06">
        <w:rPr>
          <w:rFonts w:ascii="ITC Avant Garde" w:hAnsi="ITC Avant Garde"/>
        </w:rPr>
        <w:t>dos en la oferta de referencia,</w:t>
      </w:r>
      <w:r w:rsidR="00E07BF7" w:rsidRPr="00B05E06">
        <w:rPr>
          <w:rFonts w:ascii="ITC Avant Garde" w:hAnsi="ITC Avant Garde"/>
        </w:rPr>
        <w:t xml:space="preserve"> </w:t>
      </w:r>
      <w:r w:rsidRPr="00B05E06">
        <w:rPr>
          <w:rFonts w:ascii="ITC Avant Garde" w:hAnsi="ITC Avant Garde"/>
        </w:rPr>
        <w:t>p</w:t>
      </w:r>
      <w:r w:rsidR="00E07BF7" w:rsidRPr="00B05E06">
        <w:rPr>
          <w:rFonts w:ascii="ITC Avant Garde" w:hAnsi="ITC Avant Garde"/>
        </w:rPr>
        <w:t>ermitir el uso compartido de la infraestructura necesaria para la prestación de</w:t>
      </w:r>
      <w:r w:rsidRPr="00B05E06">
        <w:rPr>
          <w:rFonts w:ascii="ITC Avant Garde" w:hAnsi="ITC Avant Garde"/>
        </w:rPr>
        <w:t xml:space="preserve"> los servicios de desagregación</w:t>
      </w:r>
      <w:r w:rsidR="00E07BF7" w:rsidRPr="00B05E06">
        <w:rPr>
          <w:rFonts w:ascii="ITC Avant Garde" w:hAnsi="ITC Avant Garde"/>
        </w:rPr>
        <w:t xml:space="preserve"> </w:t>
      </w:r>
      <w:r w:rsidRPr="00B05E06">
        <w:rPr>
          <w:rFonts w:ascii="ITC Avant Garde" w:hAnsi="ITC Avant Garde"/>
        </w:rPr>
        <w:t>cuando sea técnicamente viable,</w:t>
      </w:r>
      <w:r w:rsidR="00E07BF7" w:rsidRPr="00B05E06">
        <w:rPr>
          <w:rFonts w:ascii="ITC Avant Garde" w:hAnsi="ITC Avant Garde"/>
        </w:rPr>
        <w:t xml:space="preserve"> y solicitar al Instituto autorización sobre cualquier modificación de la red local que afecte la posibilidad de utilizar los servicios de desagregación.</w:t>
      </w:r>
    </w:p>
    <w:p w14:paraId="11D0DFF8" w14:textId="77777777" w:rsidR="00107FD1" w:rsidRDefault="00107FD1" w:rsidP="001B6547">
      <w:pPr>
        <w:spacing w:after="0" w:line="276" w:lineRule="auto"/>
        <w:jc w:val="both"/>
        <w:rPr>
          <w:rFonts w:ascii="ITC Avant Garde" w:hAnsi="ITC Avant Garde"/>
        </w:rPr>
      </w:pPr>
    </w:p>
    <w:p w14:paraId="152CF600" w14:textId="27D602D0" w:rsidR="00D0467E" w:rsidRDefault="00D0467E" w:rsidP="001B6547">
      <w:pPr>
        <w:spacing w:after="0" w:line="276" w:lineRule="auto"/>
        <w:jc w:val="both"/>
        <w:rPr>
          <w:rFonts w:ascii="ITC Avant Garde" w:hAnsi="ITC Avant Garde"/>
        </w:rPr>
      </w:pPr>
      <w:r>
        <w:rPr>
          <w:rFonts w:ascii="ITC Avant Garde" w:hAnsi="ITC Avant Garde"/>
        </w:rPr>
        <w:t xml:space="preserve">En las medidas de desagregación de la red local, se estableció que se iban a discutir los aspectos técnicos y económicos relacionados con la provisión de los servicios mayoristas de desagregación por parte del AEP, en el marco del </w:t>
      </w:r>
      <w:r w:rsidRPr="00D0467E">
        <w:rPr>
          <w:rFonts w:ascii="ITC Avant Garde" w:hAnsi="ITC Avant Garde"/>
        </w:rPr>
        <w:t>Comité Técnico de Desagregación</w:t>
      </w:r>
      <w:r w:rsidR="00197116">
        <w:rPr>
          <w:rFonts w:ascii="ITC Avant Garde" w:hAnsi="ITC Avant Garde"/>
        </w:rPr>
        <w:t xml:space="preserve"> que inició trabajos a partir de junio de 2014</w:t>
      </w:r>
      <w:r>
        <w:rPr>
          <w:rFonts w:ascii="ITC Avant Garde" w:hAnsi="ITC Avant Garde"/>
        </w:rPr>
        <w:t xml:space="preserve">. </w:t>
      </w:r>
      <w:r w:rsidR="001D25F1">
        <w:rPr>
          <w:rFonts w:ascii="ITC Avant Garde" w:hAnsi="ITC Avant Garde"/>
        </w:rPr>
        <w:t>Considerando las mejores prácticas, m</w:t>
      </w:r>
      <w:r w:rsidR="00197116">
        <w:rPr>
          <w:rFonts w:ascii="ITC Avant Garde" w:hAnsi="ITC Avant Garde"/>
        </w:rPr>
        <w:t>ás de la mitad de las condiciones para desagregar la red local del AEP fueron aprobadas por unanimidad al interior de</w:t>
      </w:r>
      <w:r w:rsidR="00787DB3">
        <w:rPr>
          <w:rFonts w:ascii="ITC Avant Garde" w:hAnsi="ITC Avant Garde"/>
        </w:rPr>
        <w:t xml:space="preserve"> dicho</w:t>
      </w:r>
      <w:r w:rsidR="00197116">
        <w:rPr>
          <w:rFonts w:ascii="ITC Avant Garde" w:hAnsi="ITC Avant Garde"/>
        </w:rPr>
        <w:t xml:space="preserve"> Comité.</w:t>
      </w:r>
    </w:p>
    <w:p w14:paraId="78E62DB8" w14:textId="77777777" w:rsidR="00D0467E" w:rsidRDefault="00D0467E" w:rsidP="001B6547">
      <w:pPr>
        <w:spacing w:after="0" w:line="276" w:lineRule="auto"/>
        <w:jc w:val="both"/>
        <w:rPr>
          <w:rFonts w:ascii="ITC Avant Garde" w:hAnsi="ITC Avant Garde"/>
        </w:rPr>
      </w:pPr>
    </w:p>
    <w:p w14:paraId="3174F63D" w14:textId="42323F73" w:rsidR="00D0467E" w:rsidRDefault="00D0467E" w:rsidP="001B6547">
      <w:pPr>
        <w:spacing w:after="0" w:line="276" w:lineRule="auto"/>
        <w:jc w:val="both"/>
        <w:rPr>
          <w:rFonts w:ascii="ITC Avant Garde" w:hAnsi="ITC Avant Garde"/>
        </w:rPr>
      </w:pPr>
      <w:r w:rsidRPr="00D0467E">
        <w:rPr>
          <w:rFonts w:ascii="ITC Avant Garde" w:hAnsi="ITC Avant Garde"/>
        </w:rPr>
        <w:t>El 26 de junio de 2015</w:t>
      </w:r>
      <w:r w:rsidR="00E06FEC">
        <w:rPr>
          <w:rFonts w:ascii="ITC Avant Garde" w:hAnsi="ITC Avant Garde"/>
        </w:rPr>
        <w:t>, previ</w:t>
      </w:r>
      <w:r w:rsidR="009735C7">
        <w:rPr>
          <w:rFonts w:ascii="ITC Avant Garde" w:hAnsi="ITC Avant Garde"/>
        </w:rPr>
        <w:t>a</w:t>
      </w:r>
      <w:r w:rsidR="00E06FEC">
        <w:rPr>
          <w:rFonts w:ascii="ITC Avant Garde" w:hAnsi="ITC Avant Garde"/>
        </w:rPr>
        <w:t xml:space="preserve"> consulta pública,</w:t>
      </w:r>
      <w:r w:rsidRPr="00D0467E">
        <w:rPr>
          <w:rFonts w:ascii="ITC Avant Garde" w:hAnsi="ITC Avant Garde"/>
        </w:rPr>
        <w:t xml:space="preserve"> el Pleno del Instituto aprobó por unanimidad la “Resolución mediante la cual el Pleno </w:t>
      </w:r>
      <w:r w:rsidR="009735C7">
        <w:rPr>
          <w:rFonts w:ascii="ITC Avant Garde" w:hAnsi="ITC Avant Garde"/>
        </w:rPr>
        <w:t>d</w:t>
      </w:r>
      <w:r w:rsidRPr="00D0467E">
        <w:rPr>
          <w:rFonts w:ascii="ITC Avant Garde" w:hAnsi="ITC Avant Garde"/>
        </w:rPr>
        <w:t>el Instituto Federal de Telecomunicaciones formaliza y resuelve en definitiva las condiciones mediante las cuales se realizará la desagregación efectiva de la red local del Agente Económico Preponderante”</w:t>
      </w:r>
      <w:r w:rsidR="00B17D6D">
        <w:rPr>
          <w:rStyle w:val="Refdenotaalpie"/>
          <w:rFonts w:ascii="ITC Avant Garde" w:hAnsi="ITC Avant Garde"/>
        </w:rPr>
        <w:footnoteReference w:id="15"/>
      </w:r>
      <w:r w:rsidRPr="00D0467E">
        <w:rPr>
          <w:rFonts w:ascii="ITC Avant Garde" w:hAnsi="ITC Avant Garde"/>
        </w:rPr>
        <w:t xml:space="preserve">. Las condiciones formalizadas y resueltas por el Pleno </w:t>
      </w:r>
      <w:r w:rsidRPr="00D0467E">
        <w:rPr>
          <w:rFonts w:ascii="ITC Avant Garde" w:hAnsi="ITC Avant Garde"/>
        </w:rPr>
        <w:lastRenderedPageBreak/>
        <w:t xml:space="preserve">del Instituto consideran aspectos sobre </w:t>
      </w:r>
      <w:r w:rsidR="009735C7">
        <w:rPr>
          <w:rFonts w:ascii="ITC Avant Garde" w:hAnsi="ITC Avant Garde"/>
        </w:rPr>
        <w:t xml:space="preserve">tarifas, </w:t>
      </w:r>
      <w:r w:rsidRPr="00D0467E">
        <w:rPr>
          <w:rFonts w:ascii="ITC Avant Garde" w:hAnsi="ITC Avant Garde"/>
        </w:rPr>
        <w:t xml:space="preserve">información, calidad, así como elementos técnicos y procedimientos aplicables a la prestación de </w:t>
      </w:r>
      <w:r w:rsidR="00CF3493">
        <w:rPr>
          <w:rFonts w:ascii="ITC Avant Garde" w:hAnsi="ITC Avant Garde"/>
        </w:rPr>
        <w:t xml:space="preserve">los </w:t>
      </w:r>
      <w:r w:rsidRPr="00D0467E">
        <w:rPr>
          <w:rFonts w:ascii="ITC Avant Garde" w:hAnsi="ITC Avant Garde"/>
        </w:rPr>
        <w:t xml:space="preserve">servicios </w:t>
      </w:r>
      <w:r w:rsidR="00CF3493">
        <w:rPr>
          <w:rFonts w:ascii="ITC Avant Garde" w:hAnsi="ITC Avant Garde"/>
        </w:rPr>
        <w:t xml:space="preserve">de desagregación </w:t>
      </w:r>
      <w:r w:rsidRPr="00D0467E">
        <w:rPr>
          <w:rFonts w:ascii="ITC Avant Garde" w:hAnsi="ITC Avant Garde"/>
        </w:rPr>
        <w:t>por parte del AEP.</w:t>
      </w:r>
    </w:p>
    <w:p w14:paraId="6F174884" w14:textId="77777777" w:rsidR="00D0467E" w:rsidRDefault="00D0467E" w:rsidP="001B6547">
      <w:pPr>
        <w:spacing w:after="0" w:line="276" w:lineRule="auto"/>
        <w:jc w:val="both"/>
        <w:rPr>
          <w:rFonts w:ascii="ITC Avant Garde" w:hAnsi="ITC Avant Garde"/>
        </w:rPr>
      </w:pPr>
    </w:p>
    <w:p w14:paraId="6B45DF4B" w14:textId="77777777" w:rsidR="00D0467E" w:rsidRDefault="00D0467E" w:rsidP="001B6547">
      <w:pPr>
        <w:spacing w:after="0" w:line="276" w:lineRule="auto"/>
        <w:jc w:val="both"/>
        <w:rPr>
          <w:rFonts w:ascii="ITC Avant Garde" w:hAnsi="ITC Avant Garde"/>
        </w:rPr>
      </w:pPr>
      <w:r w:rsidRPr="00D0467E">
        <w:rPr>
          <w:rFonts w:ascii="ITC Avant Garde" w:hAnsi="ITC Avant Garde"/>
        </w:rPr>
        <w:t xml:space="preserve">El 30 de junio de 2015 el AEP del sector </w:t>
      </w:r>
      <w:r w:rsidR="001E0F49">
        <w:rPr>
          <w:rFonts w:ascii="ITC Avant Garde" w:hAnsi="ITC Avant Garde"/>
        </w:rPr>
        <w:t>t</w:t>
      </w:r>
      <w:r w:rsidRPr="00D0467E">
        <w:rPr>
          <w:rFonts w:ascii="ITC Avant Garde" w:hAnsi="ITC Avant Garde"/>
        </w:rPr>
        <w:t>elecomunicaciones notificó al Instituto su propuesta de Oferta Pública de Referencia</w:t>
      </w:r>
      <w:r w:rsidR="00783283">
        <w:rPr>
          <w:rFonts w:ascii="ITC Avant Garde" w:hAnsi="ITC Avant Garde"/>
        </w:rPr>
        <w:t xml:space="preserve"> de Desagregación</w:t>
      </w:r>
      <w:r w:rsidRPr="00D0467E">
        <w:rPr>
          <w:rFonts w:ascii="ITC Avant Garde" w:hAnsi="ITC Avant Garde"/>
        </w:rPr>
        <w:t xml:space="preserve">. </w:t>
      </w:r>
    </w:p>
    <w:p w14:paraId="72943D73" w14:textId="77777777" w:rsidR="00D0467E" w:rsidRDefault="00D0467E" w:rsidP="001B6547">
      <w:pPr>
        <w:spacing w:after="0" w:line="276" w:lineRule="auto"/>
        <w:jc w:val="both"/>
        <w:rPr>
          <w:rFonts w:ascii="ITC Avant Garde" w:hAnsi="ITC Avant Garde"/>
        </w:rPr>
      </w:pPr>
    </w:p>
    <w:p w14:paraId="3C0652B3" w14:textId="25CA976E" w:rsidR="00A23738" w:rsidRDefault="003359A2" w:rsidP="001B6547">
      <w:pPr>
        <w:spacing w:after="0" w:line="276" w:lineRule="auto"/>
        <w:jc w:val="both"/>
        <w:rPr>
          <w:rFonts w:ascii="ITC Avant Garde" w:hAnsi="ITC Avant Garde"/>
        </w:rPr>
      </w:pPr>
      <w:r w:rsidRPr="003359A2">
        <w:rPr>
          <w:rFonts w:ascii="ITC Avant Garde" w:hAnsi="ITC Avant Garde"/>
        </w:rPr>
        <w:t xml:space="preserve">El 13 de octubre de 2015 el IFT requirió al AEP modificar diversos aspectos de su propuesta de Oferta de Referencia, </w:t>
      </w:r>
      <w:r w:rsidR="00CF3493">
        <w:rPr>
          <w:rFonts w:ascii="ITC Avant Garde" w:hAnsi="ITC Avant Garde"/>
        </w:rPr>
        <w:t xml:space="preserve">debido a que no se apegaron a las condiciones resueltas </w:t>
      </w:r>
      <w:r w:rsidRPr="003359A2">
        <w:rPr>
          <w:rFonts w:ascii="ITC Avant Garde" w:hAnsi="ITC Avant Garde"/>
        </w:rPr>
        <w:t>por el IFT en junio de 2015. El AEP presentó las nuevas propuestas el 10 de noviembre, éstas fueron evaluadas y modificadas para su apro</w:t>
      </w:r>
      <w:r w:rsidRPr="003359A2">
        <w:rPr>
          <w:rFonts w:ascii="ITC Avant Garde" w:hAnsi="ITC Avant Garde"/>
        </w:rPr>
        <w:softHyphen/>
        <w:t xml:space="preserve">bación por el Pleno del IFT el 9 de diciembre. El 30 de diciembre el AEP dio aviso en dos diarios de circulación nacional y publicó en las páginas de Internet de Telmex y </w:t>
      </w:r>
      <w:proofErr w:type="spellStart"/>
      <w:r w:rsidRPr="003359A2">
        <w:rPr>
          <w:rFonts w:ascii="ITC Avant Garde" w:hAnsi="ITC Avant Garde"/>
        </w:rPr>
        <w:t>Telnor</w:t>
      </w:r>
      <w:proofErr w:type="spellEnd"/>
      <w:r w:rsidRPr="003359A2">
        <w:rPr>
          <w:rFonts w:ascii="ITC Avant Garde" w:hAnsi="ITC Avant Garde"/>
        </w:rPr>
        <w:t xml:space="preserve"> la </w:t>
      </w:r>
      <w:r w:rsidR="001E0F49" w:rsidRPr="003359A2">
        <w:rPr>
          <w:rFonts w:ascii="ITC Avant Garde" w:hAnsi="ITC Avant Garde"/>
        </w:rPr>
        <w:t xml:space="preserve">oferta de referencia </w:t>
      </w:r>
      <w:r w:rsidRPr="003359A2">
        <w:rPr>
          <w:rFonts w:ascii="ITC Avant Garde" w:hAnsi="ITC Avant Garde"/>
        </w:rPr>
        <w:t>autorizada</w:t>
      </w:r>
      <w:r w:rsidR="002A5658">
        <w:rPr>
          <w:rStyle w:val="Refdenotaalpie"/>
          <w:rFonts w:ascii="ITC Avant Garde" w:hAnsi="ITC Avant Garde"/>
        </w:rPr>
        <w:footnoteReference w:id="16"/>
      </w:r>
      <w:r w:rsidR="00944B58">
        <w:rPr>
          <w:rFonts w:ascii="ITC Avant Garde" w:hAnsi="ITC Avant Garde"/>
        </w:rPr>
        <w:t xml:space="preserve">, misma que </w:t>
      </w:r>
      <w:r w:rsidR="00436E85">
        <w:rPr>
          <w:rFonts w:ascii="ITC Avant Garde" w:hAnsi="ITC Avant Garde"/>
        </w:rPr>
        <w:t xml:space="preserve">es </w:t>
      </w:r>
      <w:r w:rsidR="00944B58">
        <w:rPr>
          <w:rFonts w:ascii="ITC Avant Garde" w:hAnsi="ITC Avant Garde"/>
        </w:rPr>
        <w:t>aplicable a partir del 1 de enero de 2016</w:t>
      </w:r>
      <w:r w:rsidRPr="003359A2">
        <w:rPr>
          <w:rFonts w:ascii="ITC Avant Garde" w:hAnsi="ITC Avant Garde"/>
        </w:rPr>
        <w:t>.</w:t>
      </w:r>
    </w:p>
    <w:p w14:paraId="599F627C" w14:textId="77777777" w:rsidR="00A23738" w:rsidRDefault="00A23738" w:rsidP="001B6547">
      <w:pPr>
        <w:spacing w:after="0" w:line="276" w:lineRule="auto"/>
        <w:jc w:val="both"/>
        <w:rPr>
          <w:rFonts w:ascii="ITC Avant Garde" w:hAnsi="ITC Avant Garde"/>
        </w:rPr>
      </w:pPr>
    </w:p>
    <w:p w14:paraId="5292177F" w14:textId="77777777" w:rsidR="00A23738" w:rsidRPr="00B05E06" w:rsidRDefault="004605A0" w:rsidP="001B6547">
      <w:pPr>
        <w:pStyle w:val="Prrafodelista"/>
        <w:numPr>
          <w:ilvl w:val="0"/>
          <w:numId w:val="1"/>
        </w:numPr>
        <w:spacing w:after="0" w:line="276" w:lineRule="auto"/>
        <w:jc w:val="both"/>
        <w:rPr>
          <w:rFonts w:ascii="ITC Avant Garde" w:hAnsi="ITC Avant Garde"/>
          <w:u w:val="single"/>
        </w:rPr>
      </w:pPr>
      <w:r>
        <w:rPr>
          <w:rFonts w:ascii="ITC Avant Garde" w:hAnsi="ITC Avant Garde"/>
          <w:u w:val="single"/>
        </w:rPr>
        <w:t>SERVICIOS</w:t>
      </w:r>
      <w:r w:rsidR="00A23738">
        <w:rPr>
          <w:rFonts w:ascii="ITC Avant Garde" w:hAnsi="ITC Avant Garde"/>
          <w:u w:val="single"/>
        </w:rPr>
        <w:t xml:space="preserve"> MINORISTAS</w:t>
      </w:r>
    </w:p>
    <w:p w14:paraId="499C44EB" w14:textId="77777777" w:rsidR="00A23738" w:rsidRPr="003C235F" w:rsidRDefault="00A23738" w:rsidP="001B6547">
      <w:pPr>
        <w:spacing w:after="0" w:line="276" w:lineRule="auto"/>
        <w:jc w:val="both"/>
        <w:rPr>
          <w:rFonts w:ascii="ITC Avant Garde" w:hAnsi="ITC Avant Garde"/>
        </w:rPr>
      </w:pPr>
    </w:p>
    <w:p w14:paraId="0B0CC6CA" w14:textId="2C42D54E" w:rsidR="00A23738" w:rsidRDefault="0094453C" w:rsidP="001B6547">
      <w:pPr>
        <w:spacing w:after="0" w:line="276" w:lineRule="auto"/>
        <w:jc w:val="both"/>
        <w:rPr>
          <w:rFonts w:ascii="ITC Avant Garde" w:hAnsi="ITC Avant Garde"/>
        </w:rPr>
      </w:pPr>
      <w:r>
        <w:rPr>
          <w:rFonts w:ascii="ITC Avant Garde" w:hAnsi="ITC Avant Garde"/>
        </w:rPr>
        <w:t>Las medidas de regulación asimétrica también se establecieron para los servicios minoristas ofrecidos por el AEP</w:t>
      </w:r>
      <w:r w:rsidR="00783283">
        <w:rPr>
          <w:rFonts w:ascii="ITC Avant Garde" w:hAnsi="ITC Avant Garde"/>
        </w:rPr>
        <w:t xml:space="preserve"> en telecomunicaciones</w:t>
      </w:r>
      <w:r>
        <w:rPr>
          <w:rFonts w:ascii="ITC Avant Garde" w:hAnsi="ITC Avant Garde"/>
        </w:rPr>
        <w:t xml:space="preserve">, con la finalidad de prestar dichos servicios en condiciones de calidad, precio, cobertura y pluralidad. </w:t>
      </w:r>
      <w:r w:rsidR="00A23738">
        <w:rPr>
          <w:rFonts w:ascii="ITC Avant Garde" w:hAnsi="ITC Avant Garde"/>
        </w:rPr>
        <w:t>Ahora,</w:t>
      </w:r>
      <w:r>
        <w:rPr>
          <w:rFonts w:ascii="ITC Avant Garde" w:hAnsi="ITC Avant Garde"/>
        </w:rPr>
        <w:t xml:space="preserve"> l</w:t>
      </w:r>
      <w:r w:rsidR="00A23738">
        <w:rPr>
          <w:rFonts w:ascii="ITC Avant Garde" w:hAnsi="ITC Avant Garde"/>
        </w:rPr>
        <w:t>os usuarios de prepago del AEP tienen la ventaja de recibir un</w:t>
      </w:r>
      <w:r w:rsidR="00A23738" w:rsidRPr="004717FE">
        <w:rPr>
          <w:rFonts w:ascii="ITC Avant Garde" w:hAnsi="ITC Avant Garde"/>
        </w:rPr>
        <w:t xml:space="preserve"> Servicio de Mensaje Corto gratuito cada vez que realicen una recarga.</w:t>
      </w:r>
      <w:r>
        <w:rPr>
          <w:rFonts w:ascii="ITC Avant Garde" w:hAnsi="ITC Avant Garde"/>
        </w:rPr>
        <w:t xml:space="preserve"> Además e</w:t>
      </w:r>
      <w:r w:rsidR="00A23738">
        <w:rPr>
          <w:rFonts w:ascii="ITC Avant Garde" w:hAnsi="ITC Avant Garde"/>
        </w:rPr>
        <w:t>l AEP ya no puede condicionar</w:t>
      </w:r>
      <w:r w:rsidR="00A23738" w:rsidRPr="004717FE">
        <w:rPr>
          <w:rFonts w:ascii="ITC Avant Garde" w:hAnsi="ITC Avant Garde"/>
        </w:rPr>
        <w:t xml:space="preserve"> la contratación de servicios ni realizar cobros a sus </w:t>
      </w:r>
      <w:r w:rsidR="00CF2977">
        <w:rPr>
          <w:rFonts w:ascii="ITC Avant Garde" w:hAnsi="ITC Avant Garde"/>
        </w:rPr>
        <w:t>s</w:t>
      </w:r>
      <w:r w:rsidR="00A23738" w:rsidRPr="004717FE">
        <w:rPr>
          <w:rFonts w:ascii="ITC Avant Garde" w:hAnsi="ITC Avant Garde"/>
        </w:rPr>
        <w:t>uscriptores por servic</w:t>
      </w:r>
      <w:r w:rsidR="00A23738">
        <w:rPr>
          <w:rFonts w:ascii="ITC Avant Garde" w:hAnsi="ITC Avant Garde"/>
        </w:rPr>
        <w:t xml:space="preserve">ios distintos a los contratados, además debe poner a disposición </w:t>
      </w:r>
      <w:r w:rsidR="00A23738" w:rsidRPr="004717FE">
        <w:rPr>
          <w:rFonts w:ascii="ITC Avant Garde" w:hAnsi="ITC Avant Garde"/>
        </w:rPr>
        <w:t>de</w:t>
      </w:r>
      <w:r w:rsidR="00A23738">
        <w:rPr>
          <w:rFonts w:ascii="ITC Avant Garde" w:hAnsi="ITC Avant Garde"/>
        </w:rPr>
        <w:t xml:space="preserve"> sus suscriptores,</w:t>
      </w:r>
      <w:r w:rsidR="00A23738" w:rsidRPr="004717FE">
        <w:rPr>
          <w:rFonts w:ascii="ITC Avant Garde" w:hAnsi="ITC Avant Garde"/>
        </w:rPr>
        <w:t xml:space="preserve"> un número telefónico gratuito</w:t>
      </w:r>
      <w:r w:rsidR="00443321">
        <w:rPr>
          <w:rFonts w:ascii="ITC Avant Garde" w:hAnsi="ITC Avant Garde"/>
        </w:rPr>
        <w:t xml:space="preserve"> a efecto de que puedan </w:t>
      </w:r>
      <w:r w:rsidR="00443321" w:rsidRPr="00443321">
        <w:rPr>
          <w:rFonts w:ascii="ITC Avant Garde" w:hAnsi="ITC Avant Garde"/>
        </w:rPr>
        <w:t>realizar la cancelación de los servicios, reporte d</w:t>
      </w:r>
      <w:r w:rsidR="00443321">
        <w:rPr>
          <w:rFonts w:ascii="ITC Avant Garde" w:hAnsi="ITC Avant Garde"/>
        </w:rPr>
        <w:t xml:space="preserve">e fallas, cambios de domicilio, </w:t>
      </w:r>
      <w:r w:rsidR="00443321" w:rsidRPr="00443321">
        <w:rPr>
          <w:rFonts w:ascii="ITC Avant Garde" w:hAnsi="ITC Avant Garde"/>
        </w:rPr>
        <w:t>aclaraciones de saldo o de cualquier otro tipo, obt</w:t>
      </w:r>
      <w:r w:rsidR="00443321">
        <w:rPr>
          <w:rFonts w:ascii="ITC Avant Garde" w:hAnsi="ITC Avant Garde"/>
        </w:rPr>
        <w:t xml:space="preserve">ener los beneficios de planes o </w:t>
      </w:r>
      <w:r w:rsidR="00443321" w:rsidRPr="00443321">
        <w:rPr>
          <w:rFonts w:ascii="ITC Avant Garde" w:hAnsi="ITC Avant Garde"/>
        </w:rPr>
        <w:t>paquetes posteriores, y proporcionar servicios relacion</w:t>
      </w:r>
      <w:r w:rsidR="00443321">
        <w:rPr>
          <w:rFonts w:ascii="ITC Avant Garde" w:hAnsi="ITC Avant Garde"/>
        </w:rPr>
        <w:t xml:space="preserve">ados con la atención al cliente </w:t>
      </w:r>
      <w:r w:rsidR="00443321" w:rsidRPr="00443321">
        <w:rPr>
          <w:rFonts w:ascii="ITC Avant Garde" w:hAnsi="ITC Avant Garde"/>
        </w:rPr>
        <w:t>que sean necesarios para la eficiente</w:t>
      </w:r>
      <w:r w:rsidR="00443321">
        <w:rPr>
          <w:rFonts w:ascii="ITC Avant Garde" w:hAnsi="ITC Avant Garde"/>
        </w:rPr>
        <w:t xml:space="preserve"> prestación de los servicios de </w:t>
      </w:r>
      <w:r w:rsidR="00443321" w:rsidRPr="00443321">
        <w:rPr>
          <w:rFonts w:ascii="ITC Avant Garde" w:hAnsi="ITC Avant Garde"/>
        </w:rPr>
        <w:t>telecomunicaciones</w:t>
      </w:r>
      <w:r w:rsidR="00A23738">
        <w:rPr>
          <w:rFonts w:ascii="ITC Avant Garde" w:hAnsi="ITC Avant Garde"/>
        </w:rPr>
        <w:t>.</w:t>
      </w:r>
      <w:r w:rsidR="00A51632">
        <w:rPr>
          <w:rFonts w:ascii="ITC Avant Garde" w:hAnsi="ITC Avant Garde"/>
        </w:rPr>
        <w:t xml:space="preserve"> Asimismo, se establece el derecho de los usuarios a cancelar los contratos de los servicios con la misma facilidad y a través de los mismos medios con los que los contrataron.</w:t>
      </w:r>
    </w:p>
    <w:p w14:paraId="0432D794" w14:textId="77777777" w:rsidR="00A23738" w:rsidRDefault="00A23738" w:rsidP="001B6547">
      <w:pPr>
        <w:spacing w:after="0" w:line="276" w:lineRule="auto"/>
        <w:jc w:val="both"/>
        <w:rPr>
          <w:rFonts w:ascii="ITC Avant Garde" w:hAnsi="ITC Avant Garde"/>
        </w:rPr>
      </w:pPr>
    </w:p>
    <w:p w14:paraId="2D84F1FA" w14:textId="67566AE1" w:rsidR="00A23738" w:rsidRDefault="0094453C" w:rsidP="001B6547">
      <w:pPr>
        <w:spacing w:after="0" w:line="276" w:lineRule="auto"/>
        <w:jc w:val="both"/>
        <w:rPr>
          <w:rFonts w:ascii="ITC Avant Garde" w:hAnsi="ITC Avant Garde"/>
        </w:rPr>
      </w:pPr>
      <w:r>
        <w:rPr>
          <w:rFonts w:ascii="ITC Avant Garde" w:hAnsi="ITC Avant Garde"/>
        </w:rPr>
        <w:t xml:space="preserve">Gracias a las medidas, </w:t>
      </w:r>
      <w:r w:rsidR="00A23738">
        <w:rPr>
          <w:rFonts w:ascii="ITC Avant Garde" w:hAnsi="ITC Avant Garde"/>
        </w:rPr>
        <w:t xml:space="preserve">los suscriptores del AEP reciben </w:t>
      </w:r>
      <w:r w:rsidR="008056AE">
        <w:rPr>
          <w:rFonts w:ascii="ITC Avant Garde" w:hAnsi="ITC Avant Garde"/>
        </w:rPr>
        <w:t xml:space="preserve">cada mes </w:t>
      </w:r>
      <w:r w:rsidR="0010604F">
        <w:rPr>
          <w:rFonts w:ascii="ITC Avant Garde" w:hAnsi="ITC Avant Garde"/>
        </w:rPr>
        <w:t xml:space="preserve">su factura de </w:t>
      </w:r>
      <w:r w:rsidR="00A23738" w:rsidRPr="00DF5E4E">
        <w:rPr>
          <w:rFonts w:ascii="ITC Avant Garde" w:hAnsi="ITC Avant Garde"/>
        </w:rPr>
        <w:t>los servicios contratados</w:t>
      </w:r>
      <w:r w:rsidR="00A23738">
        <w:rPr>
          <w:rFonts w:ascii="ITC Avant Garde" w:hAnsi="ITC Avant Garde"/>
        </w:rPr>
        <w:t xml:space="preserve"> de forma desglosada, donde se aclaran los c</w:t>
      </w:r>
      <w:r>
        <w:rPr>
          <w:rFonts w:ascii="ITC Avant Garde" w:hAnsi="ITC Avant Garde"/>
        </w:rPr>
        <w:t>onceptos cobrados o facturados. Asimismo</w:t>
      </w:r>
      <w:r w:rsidR="00A23738">
        <w:rPr>
          <w:rFonts w:ascii="ITC Avant Garde" w:hAnsi="ITC Avant Garde"/>
        </w:rPr>
        <w:t>, todos los equipos comercializados por el AEP deben estar desbloqueados</w:t>
      </w:r>
      <w:r w:rsidR="001E0F49">
        <w:rPr>
          <w:rFonts w:ascii="ITC Avant Garde" w:hAnsi="ITC Avant Garde"/>
        </w:rPr>
        <w:t>, y no</w:t>
      </w:r>
      <w:r w:rsidR="00A23738">
        <w:rPr>
          <w:rFonts w:ascii="ITC Avant Garde" w:hAnsi="ITC Avant Garde"/>
        </w:rPr>
        <w:t xml:space="preserve"> puede bloquear las</w:t>
      </w:r>
      <w:r w:rsidR="00A23738" w:rsidRPr="00B05E06">
        <w:rPr>
          <w:rFonts w:ascii="ITC Avant Garde" w:hAnsi="ITC Avant Garde"/>
        </w:rPr>
        <w:t xml:space="preserve"> funcionalidades de los </w:t>
      </w:r>
      <w:r w:rsidR="00A23738" w:rsidRPr="00B05E06">
        <w:rPr>
          <w:rFonts w:ascii="ITC Avant Garde" w:hAnsi="ITC Avant Garde"/>
        </w:rPr>
        <w:lastRenderedPageBreak/>
        <w:t>equipos terminales.</w:t>
      </w:r>
      <w:r w:rsidR="00443321">
        <w:rPr>
          <w:rFonts w:ascii="ITC Avant Garde" w:hAnsi="ITC Avant Garde"/>
        </w:rPr>
        <w:t xml:space="preserve"> </w:t>
      </w:r>
      <w:r w:rsidR="00A87569">
        <w:rPr>
          <w:rFonts w:ascii="ITC Avant Garde" w:hAnsi="ITC Avant Garde"/>
        </w:rPr>
        <w:t>Además</w:t>
      </w:r>
      <w:r w:rsidR="00443321">
        <w:rPr>
          <w:rFonts w:ascii="ITC Avant Garde" w:hAnsi="ITC Avant Garde"/>
        </w:rPr>
        <w:t xml:space="preserve">, se eliminó el cargo de usuario visitante o </w:t>
      </w:r>
      <w:proofErr w:type="spellStart"/>
      <w:r w:rsidR="00443321">
        <w:rPr>
          <w:rFonts w:ascii="ITC Avant Garde" w:hAnsi="ITC Avant Garde"/>
        </w:rPr>
        <w:t>itinerancia</w:t>
      </w:r>
      <w:proofErr w:type="spellEnd"/>
      <w:r w:rsidR="00443321">
        <w:rPr>
          <w:rFonts w:ascii="ITC Avant Garde" w:hAnsi="ITC Avant Garde"/>
        </w:rPr>
        <w:t>, que se  cobraba a los usuarios del AEP</w:t>
      </w:r>
      <w:r w:rsidR="00D156CB">
        <w:rPr>
          <w:rFonts w:ascii="ITC Avant Garde" w:hAnsi="ITC Avant Garde"/>
        </w:rPr>
        <w:t xml:space="preserve"> dentro de su propia red</w:t>
      </w:r>
      <w:r w:rsidR="00443321">
        <w:rPr>
          <w:rFonts w:ascii="ITC Avant Garde" w:hAnsi="ITC Avant Garde"/>
        </w:rPr>
        <w:t>.</w:t>
      </w:r>
    </w:p>
    <w:p w14:paraId="6043D9E9" w14:textId="77777777" w:rsidR="00A23738" w:rsidRDefault="00A23738" w:rsidP="001B6547">
      <w:pPr>
        <w:spacing w:after="0" w:line="276" w:lineRule="auto"/>
        <w:jc w:val="both"/>
        <w:rPr>
          <w:rFonts w:ascii="ITC Avant Garde" w:hAnsi="ITC Avant Garde"/>
        </w:rPr>
      </w:pPr>
    </w:p>
    <w:p w14:paraId="260BB489" w14:textId="794F1E67" w:rsidR="00443321" w:rsidRDefault="00A23738" w:rsidP="001B6547">
      <w:pPr>
        <w:spacing w:after="0" w:line="276" w:lineRule="auto"/>
        <w:jc w:val="both"/>
        <w:rPr>
          <w:rFonts w:ascii="ITC Avant Garde" w:hAnsi="ITC Avant Garde"/>
        </w:rPr>
      </w:pPr>
      <w:r w:rsidRPr="003B37A4">
        <w:rPr>
          <w:rFonts w:ascii="ITC Avant Garde" w:hAnsi="ITC Avant Garde"/>
        </w:rPr>
        <w:t>Otras de las ventajas es que el AEP debe informar a sus suscriptores sobre las modificaciones a sus políticas</w:t>
      </w:r>
      <w:r w:rsidR="004E1685">
        <w:rPr>
          <w:rFonts w:ascii="ITC Avant Garde" w:hAnsi="ITC Avant Garde"/>
        </w:rPr>
        <w:t xml:space="preserve"> comerciales</w:t>
      </w:r>
      <w:r w:rsidRPr="003B37A4">
        <w:rPr>
          <w:rFonts w:ascii="ITC Avant Garde" w:hAnsi="ITC Avant Garde"/>
        </w:rPr>
        <w:t>.</w:t>
      </w:r>
      <w:r w:rsidR="0094453C">
        <w:rPr>
          <w:rFonts w:ascii="ITC Avant Garde" w:hAnsi="ITC Avant Garde"/>
        </w:rPr>
        <w:t xml:space="preserve"> Adicionalmente, e</w:t>
      </w:r>
      <w:r>
        <w:rPr>
          <w:rFonts w:ascii="ITC Avant Garde" w:hAnsi="ITC Avant Garde"/>
        </w:rPr>
        <w:t>l a</w:t>
      </w:r>
      <w:r w:rsidRPr="003B37A4">
        <w:rPr>
          <w:rFonts w:ascii="ITC Avant Garde" w:hAnsi="ITC Avant Garde"/>
        </w:rPr>
        <w:t>cceso a sus usuarios de Internet a cualquier contenido, aplicación o servicio</w:t>
      </w:r>
      <w:r w:rsidR="00D71ED4">
        <w:rPr>
          <w:rFonts w:ascii="ITC Avant Garde" w:hAnsi="ITC Avant Garde"/>
        </w:rPr>
        <w:t xml:space="preserve"> </w:t>
      </w:r>
      <w:r>
        <w:rPr>
          <w:rFonts w:ascii="ITC Avant Garde" w:hAnsi="ITC Avant Garde"/>
        </w:rPr>
        <w:t xml:space="preserve">debe </w:t>
      </w:r>
      <w:r w:rsidR="00D71ED4">
        <w:rPr>
          <w:rFonts w:ascii="ITC Avant Garde" w:hAnsi="ITC Avant Garde"/>
        </w:rPr>
        <w:t>estar garantizado</w:t>
      </w:r>
      <w:r w:rsidRPr="003B37A4">
        <w:rPr>
          <w:rFonts w:ascii="ITC Avant Garde" w:hAnsi="ITC Avant Garde"/>
        </w:rPr>
        <w:t>.</w:t>
      </w:r>
      <w:r w:rsidR="00443321">
        <w:rPr>
          <w:rFonts w:ascii="ITC Avant Garde" w:hAnsi="ITC Avant Garde"/>
        </w:rPr>
        <w:t xml:space="preserve"> </w:t>
      </w:r>
    </w:p>
    <w:p w14:paraId="2A19AD09" w14:textId="77777777" w:rsidR="00443321" w:rsidRDefault="00443321" w:rsidP="001B6547">
      <w:pPr>
        <w:spacing w:after="0" w:line="276" w:lineRule="auto"/>
        <w:jc w:val="both"/>
        <w:rPr>
          <w:rFonts w:ascii="ITC Avant Garde" w:hAnsi="ITC Avant Garde"/>
        </w:rPr>
      </w:pPr>
    </w:p>
    <w:p w14:paraId="360FEDC3" w14:textId="77777777" w:rsidR="00A23738" w:rsidRPr="0003693B" w:rsidRDefault="0094453C" w:rsidP="001B6547">
      <w:pPr>
        <w:spacing w:after="0" w:line="276" w:lineRule="auto"/>
        <w:jc w:val="both"/>
        <w:rPr>
          <w:rFonts w:ascii="ITC Avant Garde" w:hAnsi="ITC Avant Garde"/>
        </w:rPr>
      </w:pPr>
      <w:r w:rsidRPr="0003693B">
        <w:rPr>
          <w:rFonts w:ascii="ITC Avant Garde" w:hAnsi="ITC Avant Garde"/>
        </w:rPr>
        <w:t>Además, e</w:t>
      </w:r>
      <w:r w:rsidR="00A23738" w:rsidRPr="0003693B">
        <w:rPr>
          <w:rFonts w:ascii="ITC Avant Garde" w:hAnsi="ITC Avant Garde"/>
        </w:rPr>
        <w:t>l AEP debe aclarar las condiciones de contratación de servicios y cobros, informar del monto a pagar en caso de cancelación, desglosar los conceptos cobrados o facturados al suscriptor, ofertar los servicios de forma clara y concisa, no cobrar por el desglose de llamadas, establecer condiciones de calidad de los servicios en sus contratos y publicidad</w:t>
      </w:r>
      <w:r w:rsidR="008056AE">
        <w:rPr>
          <w:rFonts w:ascii="ITC Avant Garde" w:hAnsi="ITC Avant Garde"/>
        </w:rPr>
        <w:t>, e</w:t>
      </w:r>
      <w:r w:rsidR="00A23738" w:rsidRPr="0003693B">
        <w:rPr>
          <w:rFonts w:ascii="ITC Avant Garde" w:hAnsi="ITC Avant Garde"/>
        </w:rPr>
        <w:t xml:space="preserve">  informar sobre la velocidad promedio de trasferencia de datos.</w:t>
      </w:r>
    </w:p>
    <w:p w14:paraId="1C213439" w14:textId="77777777" w:rsidR="00E73F3A" w:rsidRDefault="00E73F3A" w:rsidP="001B6547">
      <w:pPr>
        <w:spacing w:after="0" w:line="276" w:lineRule="auto"/>
        <w:jc w:val="both"/>
        <w:rPr>
          <w:rFonts w:ascii="ITC Avant Garde" w:hAnsi="ITC Avant Garde"/>
        </w:rPr>
      </w:pPr>
    </w:p>
    <w:p w14:paraId="40DD3524" w14:textId="77777777" w:rsidR="00F312C9" w:rsidRPr="0003693B" w:rsidRDefault="00F312C9" w:rsidP="001B6547">
      <w:pPr>
        <w:spacing w:after="0" w:line="276" w:lineRule="auto"/>
        <w:jc w:val="both"/>
        <w:rPr>
          <w:rFonts w:ascii="ITC Avant Garde" w:hAnsi="ITC Avant Garde"/>
        </w:rPr>
      </w:pPr>
    </w:p>
    <w:p w14:paraId="014C7608" w14:textId="77777777" w:rsidR="00E73F3A" w:rsidRPr="0003693B" w:rsidRDefault="00E73F3A" w:rsidP="001B6547">
      <w:pPr>
        <w:spacing w:after="0" w:line="276" w:lineRule="auto"/>
        <w:jc w:val="both"/>
        <w:rPr>
          <w:rFonts w:ascii="ITC Avant Garde" w:hAnsi="ITC Avant Garde"/>
          <w:b/>
        </w:rPr>
      </w:pPr>
      <w:r w:rsidRPr="0003693B">
        <w:rPr>
          <w:rFonts w:ascii="ITC Avant Garde" w:hAnsi="ITC Avant Garde"/>
          <w:b/>
        </w:rPr>
        <w:t>SECTOR RADIODIFUSIÓN</w:t>
      </w:r>
    </w:p>
    <w:p w14:paraId="005BE1D3" w14:textId="77777777" w:rsidR="00992178" w:rsidRPr="00992178" w:rsidRDefault="00992178" w:rsidP="00E422F4">
      <w:pPr>
        <w:spacing w:after="0" w:line="276" w:lineRule="auto"/>
        <w:jc w:val="both"/>
        <w:rPr>
          <w:rFonts w:ascii="ITC Avant Garde" w:hAnsi="ITC Avant Garde" w:cs="Arial"/>
        </w:rPr>
      </w:pPr>
    </w:p>
    <w:p w14:paraId="5FF30409" w14:textId="6B4E43B6" w:rsidR="00992178" w:rsidRPr="00992178" w:rsidRDefault="00992178" w:rsidP="001B6547">
      <w:pPr>
        <w:spacing w:after="0" w:line="276" w:lineRule="auto"/>
        <w:ind w:left="57"/>
        <w:jc w:val="both"/>
        <w:rPr>
          <w:rFonts w:ascii="ITC Avant Garde" w:hAnsi="ITC Avant Garde" w:cs="Arial"/>
        </w:rPr>
      </w:pPr>
      <w:r w:rsidRPr="00992178">
        <w:rPr>
          <w:rFonts w:ascii="ITC Avant Garde" w:hAnsi="ITC Avant Garde" w:cs="Arial"/>
        </w:rPr>
        <w:t>El servicio de televisión radiodifundida involucra diversas actividades a lo largo de la cadena de valor, entre las cuales destacan la generación de</w:t>
      </w:r>
      <w:r w:rsidR="00ED3243">
        <w:rPr>
          <w:rFonts w:ascii="ITC Avant Garde" w:hAnsi="ITC Avant Garde" w:cs="Arial"/>
        </w:rPr>
        <w:t xml:space="preserve"> contenidos</w:t>
      </w:r>
      <w:r w:rsidRPr="00992178">
        <w:rPr>
          <w:rFonts w:ascii="ITC Avant Garde" w:hAnsi="ITC Avant Garde" w:cs="Arial"/>
        </w:rPr>
        <w:t xml:space="preserve">, la venta mayorista de programas, la administración y programación de canales, la transmisión, y la venta de publicidad, entre otras. </w:t>
      </w:r>
    </w:p>
    <w:p w14:paraId="37FAD868" w14:textId="77777777" w:rsidR="00992178" w:rsidRPr="00992178" w:rsidRDefault="00992178" w:rsidP="00350B33">
      <w:pPr>
        <w:spacing w:after="0" w:line="276" w:lineRule="auto"/>
        <w:jc w:val="both"/>
        <w:rPr>
          <w:rFonts w:ascii="ITC Avant Garde" w:hAnsi="ITC Avant Garde"/>
        </w:rPr>
      </w:pPr>
    </w:p>
    <w:p w14:paraId="2D4CD809" w14:textId="77777777" w:rsidR="00992178" w:rsidRPr="00992178" w:rsidRDefault="00992178" w:rsidP="001B6547">
      <w:pPr>
        <w:spacing w:after="0" w:line="276" w:lineRule="auto"/>
        <w:jc w:val="both"/>
        <w:rPr>
          <w:rFonts w:ascii="ITC Avant Garde" w:hAnsi="ITC Avant Garde" w:cs="Arial"/>
        </w:rPr>
      </w:pPr>
      <w:r w:rsidRPr="00992178">
        <w:rPr>
          <w:rFonts w:ascii="ITC Avant Garde" w:hAnsi="ITC Avant Garde" w:cs="Arial"/>
          <w:lang w:eastAsia="es-MX"/>
        </w:rPr>
        <w:t xml:space="preserve">Un elemento fundamental de la cadena de valor del negocio de la televisión radiodifundida es la infraestructura. Los operadores deben realizar inversiones significativas para la </w:t>
      </w:r>
      <w:r w:rsidRPr="00992178">
        <w:rPr>
          <w:rFonts w:ascii="ITC Avant Garde" w:hAnsi="ITC Avant Garde" w:cs="Arial"/>
        </w:rPr>
        <w:t>adquisición de los elementos necesarios que les permitan desplegar una red de televisión concesionada radiodifundida destinada a transmitir su señal.</w:t>
      </w:r>
    </w:p>
    <w:p w14:paraId="7808AB55" w14:textId="77777777" w:rsidR="00992178" w:rsidRPr="00992178" w:rsidRDefault="00992178" w:rsidP="001B6547">
      <w:pPr>
        <w:spacing w:after="0" w:line="276" w:lineRule="auto"/>
        <w:jc w:val="both"/>
        <w:rPr>
          <w:rFonts w:ascii="ITC Avant Garde" w:hAnsi="ITC Avant Garde" w:cs="Arial"/>
        </w:rPr>
      </w:pPr>
    </w:p>
    <w:p w14:paraId="2FEC1480" w14:textId="27854C6C" w:rsidR="00992178" w:rsidRPr="00992178" w:rsidRDefault="00992178" w:rsidP="001B6547">
      <w:pPr>
        <w:spacing w:after="0" w:line="276" w:lineRule="auto"/>
        <w:jc w:val="both"/>
        <w:rPr>
          <w:rFonts w:ascii="ITC Avant Garde" w:hAnsi="ITC Avant Garde" w:cs="Arial"/>
        </w:rPr>
      </w:pPr>
      <w:r w:rsidRPr="00992178">
        <w:rPr>
          <w:rFonts w:ascii="ITC Avant Garde" w:hAnsi="ITC Avant Garde" w:cs="Arial"/>
        </w:rPr>
        <w:t>En ese contexto, la infraestructura pasiva puede considerarse como un recurso no fácilmente replicable para la provisión del servicio de televisión radiodifundida a nivel nacional. Adicionalmente, resulta ineficiente desde el punto de vista económico que los competidores tengan que duplicar o triplicar la infraestructura pasiva existente.</w:t>
      </w:r>
    </w:p>
    <w:p w14:paraId="7B1B71B1" w14:textId="77777777" w:rsidR="006C6432" w:rsidRDefault="006C6432" w:rsidP="001B6547">
      <w:pPr>
        <w:spacing w:after="0" w:line="276" w:lineRule="auto"/>
        <w:jc w:val="both"/>
        <w:rPr>
          <w:rFonts w:ascii="ITC Avant Garde" w:hAnsi="ITC Avant Garde" w:cs="Arial"/>
        </w:rPr>
      </w:pPr>
    </w:p>
    <w:p w14:paraId="0EDB509D" w14:textId="77777777" w:rsidR="00992178" w:rsidRPr="00992178" w:rsidRDefault="001D61E9" w:rsidP="001B6547">
      <w:pPr>
        <w:spacing w:after="0" w:line="276" w:lineRule="auto"/>
        <w:jc w:val="both"/>
        <w:rPr>
          <w:rFonts w:ascii="ITC Avant Garde" w:hAnsi="ITC Avant Garde" w:cs="Arial"/>
        </w:rPr>
      </w:pPr>
      <w:r>
        <w:rPr>
          <w:rFonts w:ascii="ITC Avant Garde" w:hAnsi="ITC Avant Garde" w:cs="Arial"/>
        </w:rPr>
        <w:t>L</w:t>
      </w:r>
      <w:r w:rsidR="00992178" w:rsidRPr="00992178">
        <w:rPr>
          <w:rFonts w:ascii="ITC Avant Garde" w:hAnsi="ITC Avant Garde" w:cs="Arial"/>
        </w:rPr>
        <w:t xml:space="preserve">as medidas del </w:t>
      </w:r>
      <w:r>
        <w:rPr>
          <w:rFonts w:ascii="ITC Avant Garde" w:hAnsi="ITC Avant Garde" w:cs="Arial"/>
        </w:rPr>
        <w:t>AEP</w:t>
      </w:r>
      <w:r w:rsidR="00992178" w:rsidRPr="00992178">
        <w:rPr>
          <w:rFonts w:ascii="ITC Avant Garde" w:hAnsi="ITC Avant Garde" w:cs="Arial"/>
        </w:rPr>
        <w:t xml:space="preserve"> en materia de infraestructura pasiva tienen como objetivo:</w:t>
      </w:r>
    </w:p>
    <w:p w14:paraId="0EB04FE9" w14:textId="77777777" w:rsidR="00992178" w:rsidRPr="00992178" w:rsidRDefault="00992178" w:rsidP="001B6547">
      <w:pPr>
        <w:spacing w:after="0" w:line="276" w:lineRule="auto"/>
        <w:jc w:val="both"/>
        <w:rPr>
          <w:rFonts w:ascii="ITC Avant Garde" w:hAnsi="ITC Avant Garde" w:cs="Arial"/>
        </w:rPr>
      </w:pPr>
    </w:p>
    <w:p w14:paraId="1CF64BF4" w14:textId="77777777" w:rsidR="00992178" w:rsidRPr="00992178" w:rsidRDefault="00992178" w:rsidP="001B6547">
      <w:pPr>
        <w:pStyle w:val="Prrafodelista"/>
        <w:numPr>
          <w:ilvl w:val="0"/>
          <w:numId w:val="19"/>
        </w:numPr>
        <w:spacing w:after="0" w:line="276" w:lineRule="auto"/>
        <w:jc w:val="both"/>
        <w:rPr>
          <w:rFonts w:ascii="ITC Avant Garde" w:hAnsi="ITC Avant Garde" w:cs="Arial"/>
        </w:rPr>
      </w:pPr>
      <w:r w:rsidRPr="00992178">
        <w:rPr>
          <w:rFonts w:ascii="ITC Avant Garde" w:hAnsi="ITC Avant Garde" w:cs="Arial"/>
        </w:rPr>
        <w:t xml:space="preserve">Evitar que el </w:t>
      </w:r>
      <w:r w:rsidR="001D61E9">
        <w:rPr>
          <w:rFonts w:ascii="ITC Avant Garde" w:hAnsi="ITC Avant Garde" w:cs="Arial"/>
        </w:rPr>
        <w:t>AEP</w:t>
      </w:r>
      <w:r w:rsidRPr="00992178">
        <w:rPr>
          <w:rFonts w:ascii="ITC Avant Garde" w:hAnsi="ITC Avant Garde" w:cs="Arial"/>
        </w:rPr>
        <w:t xml:space="preserve"> niegue u obstaculice el acceso y aprovechamiento eficiente de la infraestructura pasiva que excede el mínimo requerido para su operación normal.</w:t>
      </w:r>
    </w:p>
    <w:p w14:paraId="2FCC8CDC" w14:textId="77777777" w:rsidR="00992178" w:rsidRPr="00992178" w:rsidRDefault="00992178" w:rsidP="001B6547">
      <w:pPr>
        <w:spacing w:after="0" w:line="276" w:lineRule="auto"/>
        <w:jc w:val="both"/>
        <w:rPr>
          <w:rFonts w:ascii="ITC Avant Garde" w:hAnsi="ITC Avant Garde" w:cs="Arial"/>
        </w:rPr>
      </w:pPr>
    </w:p>
    <w:p w14:paraId="554496C2" w14:textId="77777777" w:rsidR="00992178" w:rsidRPr="00992178" w:rsidRDefault="00992178" w:rsidP="001B6547">
      <w:pPr>
        <w:pStyle w:val="Prrafodelista"/>
        <w:numPr>
          <w:ilvl w:val="0"/>
          <w:numId w:val="19"/>
        </w:numPr>
        <w:spacing w:after="0" w:line="276" w:lineRule="auto"/>
        <w:jc w:val="both"/>
        <w:rPr>
          <w:rFonts w:ascii="ITC Avant Garde" w:hAnsi="ITC Avant Garde" w:cs="Arial"/>
        </w:rPr>
      </w:pPr>
      <w:r w:rsidRPr="00992178">
        <w:rPr>
          <w:rFonts w:ascii="ITC Avant Garde" w:hAnsi="ITC Avant Garde" w:cs="Arial"/>
        </w:rPr>
        <w:lastRenderedPageBreak/>
        <w:t>Evitar la ineficiencia económica y social que implica duplicar o triplicar la infraestructura pasiva para la transmisión de señales de televisión abierta.</w:t>
      </w:r>
    </w:p>
    <w:p w14:paraId="0F79CA2A" w14:textId="77777777" w:rsidR="00992178" w:rsidRPr="00992178" w:rsidRDefault="00992178" w:rsidP="001B6547">
      <w:pPr>
        <w:spacing w:after="0" w:line="276" w:lineRule="auto"/>
        <w:jc w:val="both"/>
        <w:rPr>
          <w:rFonts w:ascii="ITC Avant Garde" w:hAnsi="ITC Avant Garde" w:cs="Arial"/>
        </w:rPr>
      </w:pPr>
    </w:p>
    <w:p w14:paraId="4E4D599D" w14:textId="77777777" w:rsidR="00992178" w:rsidRDefault="001D61E9" w:rsidP="001B6547">
      <w:pPr>
        <w:pStyle w:val="Prrafodelista"/>
        <w:numPr>
          <w:ilvl w:val="0"/>
          <w:numId w:val="19"/>
        </w:numPr>
        <w:spacing w:after="0" w:line="276" w:lineRule="auto"/>
        <w:jc w:val="both"/>
        <w:rPr>
          <w:rFonts w:ascii="ITC Avant Garde" w:hAnsi="ITC Avant Garde" w:cs="Arial"/>
        </w:rPr>
      </w:pPr>
      <w:r w:rsidRPr="001D61E9">
        <w:rPr>
          <w:rFonts w:ascii="ITC Avant Garde" w:hAnsi="ITC Avant Garde" w:cs="Arial"/>
        </w:rPr>
        <w:t xml:space="preserve">Asegurar que se </w:t>
      </w:r>
      <w:r w:rsidR="00992178" w:rsidRPr="001D61E9">
        <w:rPr>
          <w:rFonts w:ascii="ITC Avant Garde" w:hAnsi="ITC Avant Garde" w:cs="Arial"/>
        </w:rPr>
        <w:t>ofrezca</w:t>
      </w:r>
      <w:r w:rsidRPr="001D61E9">
        <w:rPr>
          <w:rFonts w:ascii="ITC Avant Garde" w:hAnsi="ITC Avant Garde" w:cs="Arial"/>
        </w:rPr>
        <w:t>n</w:t>
      </w:r>
      <w:r w:rsidR="00992178" w:rsidRPr="001D61E9">
        <w:rPr>
          <w:rFonts w:ascii="ITC Avant Garde" w:hAnsi="ITC Avant Garde" w:cs="Arial"/>
        </w:rPr>
        <w:t xml:space="preserve"> los elementos de la infraestructura pasiva de forma desagregada. </w:t>
      </w:r>
    </w:p>
    <w:p w14:paraId="0873CA42" w14:textId="77777777" w:rsidR="00992178" w:rsidRPr="0003693B" w:rsidRDefault="00992178" w:rsidP="00350B33">
      <w:pPr>
        <w:spacing w:after="0" w:line="276" w:lineRule="auto"/>
        <w:jc w:val="both"/>
        <w:rPr>
          <w:rFonts w:ascii="ITC Avant Garde" w:hAnsi="ITC Avant Garde"/>
          <w:b/>
        </w:rPr>
      </w:pPr>
    </w:p>
    <w:p w14:paraId="5D2300DE" w14:textId="25903B18" w:rsidR="00F312C9" w:rsidRDefault="00992178" w:rsidP="001B6547">
      <w:pPr>
        <w:spacing w:after="0" w:line="276" w:lineRule="auto"/>
        <w:jc w:val="both"/>
        <w:rPr>
          <w:rFonts w:ascii="ITC Avant Garde" w:hAnsi="ITC Avant Garde"/>
        </w:rPr>
      </w:pPr>
      <w:r w:rsidRPr="0003693B">
        <w:rPr>
          <w:rFonts w:ascii="ITC Avant Garde" w:hAnsi="ITC Avant Garde"/>
        </w:rPr>
        <w:t>El 10 de diciembre de 2014, el Pleno del Instituto autorizó las modificaciones a los términos y condiciones de la Oferta Pública de Infraestructura (OPI) para el acceso y uso de infraestructura pasiva</w:t>
      </w:r>
      <w:r w:rsidR="002A5658">
        <w:rPr>
          <w:rStyle w:val="Refdenotaalpie"/>
          <w:rFonts w:ascii="ITC Avant Garde" w:hAnsi="ITC Avant Garde"/>
        </w:rPr>
        <w:footnoteReference w:id="17"/>
      </w:r>
      <w:r w:rsidRPr="0003693B">
        <w:rPr>
          <w:rFonts w:ascii="ITC Avant Garde" w:hAnsi="ITC Avant Garde"/>
        </w:rPr>
        <w:t>. Los puntos relevantes de la OPI del AEP en el sector radiodifusión, son:</w:t>
      </w:r>
    </w:p>
    <w:p w14:paraId="22E53C03" w14:textId="77777777" w:rsidR="00992178" w:rsidRDefault="00992178" w:rsidP="001B6547">
      <w:pPr>
        <w:spacing w:after="0" w:line="276" w:lineRule="auto"/>
        <w:jc w:val="both"/>
        <w:rPr>
          <w:rFonts w:ascii="ITC Avant Garde" w:hAnsi="ITC Avant Garde"/>
        </w:rPr>
      </w:pPr>
      <w:r w:rsidRPr="0003693B">
        <w:rPr>
          <w:rFonts w:ascii="ITC Avant Garde" w:hAnsi="ITC Avant Garde"/>
        </w:rPr>
        <w:t xml:space="preserve"> </w:t>
      </w:r>
    </w:p>
    <w:p w14:paraId="4F3C0021" w14:textId="2937C370" w:rsidR="00A83581" w:rsidRDefault="00A83581" w:rsidP="001B6547">
      <w:pPr>
        <w:pStyle w:val="Prrafodelista"/>
        <w:numPr>
          <w:ilvl w:val="0"/>
          <w:numId w:val="16"/>
        </w:numPr>
        <w:spacing w:after="0" w:line="276" w:lineRule="auto"/>
        <w:jc w:val="both"/>
        <w:rPr>
          <w:rFonts w:ascii="ITC Avant Garde" w:hAnsi="ITC Avant Garde"/>
        </w:rPr>
      </w:pPr>
      <w:r>
        <w:rPr>
          <w:rFonts w:ascii="ITC Avant Garde" w:hAnsi="ITC Avant Garde"/>
        </w:rPr>
        <w:t>La infraestructura pasiva estará disponible solo para concesionarios.</w:t>
      </w:r>
    </w:p>
    <w:p w14:paraId="4BDDBEF0" w14:textId="77777777" w:rsidR="00992178" w:rsidRPr="0003693B" w:rsidRDefault="00992178" w:rsidP="001B6547">
      <w:pPr>
        <w:pStyle w:val="Prrafodelista"/>
        <w:numPr>
          <w:ilvl w:val="0"/>
          <w:numId w:val="16"/>
        </w:numPr>
        <w:spacing w:after="0" w:line="276" w:lineRule="auto"/>
        <w:jc w:val="both"/>
        <w:rPr>
          <w:rFonts w:ascii="ITC Avant Garde" w:hAnsi="ITC Avant Garde"/>
        </w:rPr>
      </w:pPr>
      <w:r w:rsidRPr="0003693B">
        <w:rPr>
          <w:rFonts w:ascii="ITC Avant Garde" w:hAnsi="ITC Avant Garde"/>
        </w:rPr>
        <w:t xml:space="preserve">La infraestructura pasiva se proporcionará a los </w:t>
      </w:r>
      <w:r w:rsidR="001D61E9">
        <w:rPr>
          <w:rFonts w:ascii="ITC Avant Garde" w:hAnsi="ITC Avant Garde"/>
        </w:rPr>
        <w:t>concesionarios</w:t>
      </w:r>
      <w:r w:rsidRPr="0003693B">
        <w:rPr>
          <w:rFonts w:ascii="ITC Avant Garde" w:hAnsi="ITC Avant Garde"/>
        </w:rPr>
        <w:t xml:space="preserve"> sobre bases no discriminatorias y no exclusivas, considerando las condiciones ofrecidas a las propias operaciones del AEP. </w:t>
      </w:r>
    </w:p>
    <w:p w14:paraId="14F2EBEF" w14:textId="77777777" w:rsidR="00992178" w:rsidRPr="0003693B" w:rsidRDefault="00992178" w:rsidP="001B6547">
      <w:pPr>
        <w:pStyle w:val="Prrafodelista"/>
        <w:numPr>
          <w:ilvl w:val="0"/>
          <w:numId w:val="16"/>
        </w:numPr>
        <w:spacing w:after="0" w:line="276" w:lineRule="auto"/>
        <w:jc w:val="both"/>
        <w:rPr>
          <w:rFonts w:ascii="ITC Avant Garde" w:hAnsi="ITC Avant Garde"/>
        </w:rPr>
      </w:pPr>
      <w:r w:rsidRPr="0003693B">
        <w:rPr>
          <w:rFonts w:ascii="ITC Avant Garde" w:hAnsi="ITC Avant Garde"/>
        </w:rPr>
        <w:t xml:space="preserve">La prestación de los servicios de compartición de Infraestructura pasiva no está condicionada a comprar, adquirir, vender o proporcionar otro bien o servicio adicional o diferente de los servicios objeto de la </w:t>
      </w:r>
      <w:r w:rsidR="001D61E9">
        <w:rPr>
          <w:rFonts w:ascii="ITC Avant Garde" w:hAnsi="ITC Avant Garde"/>
        </w:rPr>
        <w:t>oferta</w:t>
      </w:r>
      <w:r w:rsidRPr="0003693B">
        <w:rPr>
          <w:rFonts w:ascii="ITC Avant Garde" w:hAnsi="ITC Avant Garde"/>
        </w:rPr>
        <w:t xml:space="preserve">, así como a no adquirir, vender, comercializar o proporcionar servicios proporcionados o comercializados por un tercero. </w:t>
      </w:r>
    </w:p>
    <w:p w14:paraId="4651F522" w14:textId="77777777" w:rsidR="00992178" w:rsidRPr="0003693B" w:rsidRDefault="00992178" w:rsidP="001B6547">
      <w:pPr>
        <w:pStyle w:val="Prrafodelista"/>
        <w:numPr>
          <w:ilvl w:val="0"/>
          <w:numId w:val="16"/>
        </w:numPr>
        <w:spacing w:after="0" w:line="276" w:lineRule="auto"/>
        <w:jc w:val="both"/>
        <w:rPr>
          <w:rFonts w:ascii="ITC Avant Garde" w:hAnsi="ITC Avant Garde"/>
        </w:rPr>
      </w:pPr>
      <w:r w:rsidRPr="0003693B">
        <w:rPr>
          <w:rFonts w:ascii="ITC Avant Garde" w:hAnsi="ITC Avant Garde"/>
        </w:rPr>
        <w:t xml:space="preserve">Las tarifas que </w:t>
      </w:r>
      <w:r w:rsidR="0010604F">
        <w:rPr>
          <w:rFonts w:ascii="ITC Avant Garde" w:hAnsi="ITC Avant Garde"/>
        </w:rPr>
        <w:t xml:space="preserve">se </w:t>
      </w:r>
      <w:r w:rsidRPr="0003693B">
        <w:rPr>
          <w:rFonts w:ascii="ITC Avant Garde" w:hAnsi="ITC Avant Garde"/>
        </w:rPr>
        <w:t xml:space="preserve">aplicarán a los servicios serán negociadas entre el AEP y </w:t>
      </w:r>
      <w:r w:rsidR="001D61E9">
        <w:rPr>
          <w:rFonts w:ascii="ITC Avant Garde" w:hAnsi="ITC Avant Garde"/>
        </w:rPr>
        <w:t>los concesionarios</w:t>
      </w:r>
      <w:r w:rsidRPr="0003693B">
        <w:rPr>
          <w:rFonts w:ascii="ITC Avant Garde" w:hAnsi="ITC Avant Garde"/>
        </w:rPr>
        <w:t xml:space="preserve">. En caso de desacuerdo el Instituto resolverá lo conducente. </w:t>
      </w:r>
    </w:p>
    <w:p w14:paraId="5135F3DD" w14:textId="77777777" w:rsidR="00992178" w:rsidRDefault="00992178" w:rsidP="001B6547">
      <w:pPr>
        <w:spacing w:after="0" w:line="276" w:lineRule="auto"/>
        <w:jc w:val="both"/>
        <w:rPr>
          <w:rFonts w:ascii="ITC Avant Garde" w:hAnsi="ITC Avant Garde" w:cs="Arial"/>
        </w:rPr>
      </w:pPr>
    </w:p>
    <w:p w14:paraId="4F9E1EE7" w14:textId="77F05C29" w:rsidR="008103EF" w:rsidRDefault="008103EF" w:rsidP="001B6547">
      <w:pPr>
        <w:spacing w:after="0" w:line="276" w:lineRule="auto"/>
        <w:jc w:val="both"/>
        <w:rPr>
          <w:rFonts w:ascii="ITC Avant Garde" w:hAnsi="ITC Avant Garde" w:cs="Arial"/>
        </w:rPr>
      </w:pPr>
      <w:r>
        <w:rPr>
          <w:rFonts w:ascii="ITC Avant Garde" w:hAnsi="ITC Avant Garde" w:cs="Arial"/>
        </w:rPr>
        <w:t>Cabe mencionar que a la fecha, no se tienen registrados en el Instituto convenios de compartición de infraestructura pasiva con el AEP en el sector de radiodifusión.</w:t>
      </w:r>
    </w:p>
    <w:p w14:paraId="3CD95075" w14:textId="77777777" w:rsidR="008103EF" w:rsidRPr="00992178" w:rsidRDefault="008103EF" w:rsidP="001B6547">
      <w:pPr>
        <w:spacing w:after="0" w:line="276" w:lineRule="auto"/>
        <w:jc w:val="both"/>
        <w:rPr>
          <w:rFonts w:ascii="ITC Avant Garde" w:hAnsi="ITC Avant Garde" w:cs="Arial"/>
        </w:rPr>
      </w:pPr>
    </w:p>
    <w:p w14:paraId="1DD94F50" w14:textId="77777777" w:rsidR="00992178" w:rsidRPr="00992178" w:rsidRDefault="001D61E9" w:rsidP="001B6547">
      <w:pPr>
        <w:spacing w:after="0" w:line="276" w:lineRule="auto"/>
        <w:ind w:left="57"/>
        <w:jc w:val="both"/>
        <w:rPr>
          <w:rFonts w:ascii="ITC Avant Garde" w:hAnsi="ITC Avant Garde" w:cs="Arial"/>
        </w:rPr>
      </w:pPr>
      <w:r>
        <w:rPr>
          <w:rFonts w:ascii="ITC Avant Garde" w:hAnsi="ITC Avant Garde" w:cs="Arial"/>
        </w:rPr>
        <w:t>L</w:t>
      </w:r>
      <w:r w:rsidR="00992178" w:rsidRPr="00992178">
        <w:rPr>
          <w:rFonts w:ascii="ITC Avant Garde" w:hAnsi="ITC Avant Garde" w:cs="Arial"/>
        </w:rPr>
        <w:t xml:space="preserve">as medidas </w:t>
      </w:r>
      <w:r>
        <w:rPr>
          <w:rFonts w:ascii="ITC Avant Garde" w:hAnsi="ITC Avant Garde" w:cs="Arial"/>
        </w:rPr>
        <w:t>relativas a los</w:t>
      </w:r>
      <w:r w:rsidR="00992178" w:rsidRPr="00992178">
        <w:rPr>
          <w:rFonts w:ascii="ITC Avant Garde" w:hAnsi="ITC Avant Garde" w:cs="Arial"/>
        </w:rPr>
        <w:t xml:space="preserve"> contenidos audiovisuales del </w:t>
      </w:r>
      <w:r>
        <w:rPr>
          <w:rFonts w:ascii="ITC Avant Garde" w:hAnsi="ITC Avant Garde" w:cs="Arial"/>
        </w:rPr>
        <w:t>AEP,</w:t>
      </w:r>
      <w:r w:rsidR="00992178" w:rsidRPr="00992178">
        <w:rPr>
          <w:rFonts w:ascii="ITC Avant Garde" w:hAnsi="ITC Avant Garde" w:cs="Arial"/>
        </w:rPr>
        <w:t xml:space="preserve"> en el servicio de televisión concesionada radiodifundida tienen como objetivo:</w:t>
      </w:r>
    </w:p>
    <w:p w14:paraId="34C4645D" w14:textId="77777777" w:rsidR="00992178" w:rsidRPr="00992178" w:rsidRDefault="00992178" w:rsidP="001B6547">
      <w:pPr>
        <w:spacing w:after="0" w:line="276" w:lineRule="auto"/>
        <w:ind w:left="57"/>
        <w:jc w:val="both"/>
        <w:rPr>
          <w:rFonts w:ascii="ITC Avant Garde" w:hAnsi="ITC Avant Garde" w:cs="Arial"/>
        </w:rPr>
      </w:pPr>
    </w:p>
    <w:p w14:paraId="6D4B1561" w14:textId="5B51709C" w:rsidR="00992178" w:rsidRPr="00992178" w:rsidRDefault="00992178" w:rsidP="001B6547">
      <w:pPr>
        <w:numPr>
          <w:ilvl w:val="0"/>
          <w:numId w:val="20"/>
        </w:numPr>
        <w:spacing w:after="0" w:line="276" w:lineRule="auto"/>
        <w:ind w:left="417"/>
        <w:jc w:val="both"/>
        <w:rPr>
          <w:rFonts w:ascii="ITC Avant Garde" w:hAnsi="ITC Avant Garde" w:cs="Arial"/>
        </w:rPr>
      </w:pPr>
      <w:r w:rsidRPr="00992178">
        <w:rPr>
          <w:rFonts w:ascii="ITC Avant Garde" w:hAnsi="ITC Avant Garde" w:cs="Arial"/>
        </w:rPr>
        <w:t>Impedir que éste adquiera de forma exclusiva contenidos audiovisuales de alta popularidad o realice cualquier otra conducta con efectos similares.</w:t>
      </w:r>
    </w:p>
    <w:p w14:paraId="74802305" w14:textId="77777777" w:rsidR="00992178" w:rsidRPr="00992178" w:rsidRDefault="00992178" w:rsidP="001B6547">
      <w:pPr>
        <w:spacing w:after="0" w:line="276" w:lineRule="auto"/>
        <w:jc w:val="both"/>
        <w:rPr>
          <w:rFonts w:ascii="ITC Avant Garde" w:hAnsi="ITC Avant Garde" w:cs="Arial"/>
        </w:rPr>
      </w:pPr>
    </w:p>
    <w:p w14:paraId="72CC6F86" w14:textId="77777777" w:rsidR="00992178" w:rsidRPr="00992178" w:rsidRDefault="00992178" w:rsidP="001B6547">
      <w:pPr>
        <w:numPr>
          <w:ilvl w:val="0"/>
          <w:numId w:val="20"/>
        </w:numPr>
        <w:spacing w:after="0" w:line="276" w:lineRule="auto"/>
        <w:ind w:left="417"/>
        <w:jc w:val="both"/>
        <w:rPr>
          <w:rFonts w:ascii="ITC Avant Garde" w:hAnsi="ITC Avant Garde" w:cs="Arial"/>
        </w:rPr>
      </w:pPr>
      <w:r w:rsidRPr="00992178">
        <w:rPr>
          <w:rFonts w:ascii="ITC Avant Garde" w:hAnsi="ITC Avant Garde" w:cs="Arial"/>
        </w:rPr>
        <w:lastRenderedPageBreak/>
        <w:t>Evitar que éste ofrezca canales de programación de forma discriminatoria a plataformas tecnológicas distintas a la de televisión concesionada radiodifundida.</w:t>
      </w:r>
    </w:p>
    <w:p w14:paraId="27DF597F" w14:textId="77777777" w:rsidR="00992178" w:rsidRPr="00992178" w:rsidRDefault="00992178" w:rsidP="001B6547">
      <w:pPr>
        <w:spacing w:after="0" w:line="276" w:lineRule="auto"/>
        <w:jc w:val="both"/>
        <w:rPr>
          <w:rFonts w:ascii="ITC Avant Garde" w:hAnsi="ITC Avant Garde" w:cs="Arial"/>
        </w:rPr>
      </w:pPr>
    </w:p>
    <w:p w14:paraId="3E7933AE" w14:textId="77777777" w:rsidR="00992178" w:rsidRPr="00992178" w:rsidRDefault="00992178" w:rsidP="001B6547">
      <w:pPr>
        <w:numPr>
          <w:ilvl w:val="0"/>
          <w:numId w:val="20"/>
        </w:numPr>
        <w:spacing w:after="0" w:line="276" w:lineRule="auto"/>
        <w:ind w:left="417"/>
        <w:jc w:val="both"/>
        <w:rPr>
          <w:rFonts w:ascii="ITC Avant Garde" w:hAnsi="ITC Avant Garde" w:cs="Arial"/>
        </w:rPr>
      </w:pPr>
      <w:r w:rsidRPr="00992178">
        <w:rPr>
          <w:rFonts w:ascii="ITC Avant Garde" w:hAnsi="ITC Avant Garde" w:cs="Arial"/>
        </w:rPr>
        <w:t>Evitar que los beneficios de participar en clubes de compra de contenidos audiovisuales sea utilizado con propósitos anticompetitivos.</w:t>
      </w:r>
    </w:p>
    <w:p w14:paraId="2335522C" w14:textId="77777777" w:rsidR="008103EF" w:rsidRPr="00992178" w:rsidRDefault="008103EF" w:rsidP="00350B33">
      <w:pPr>
        <w:spacing w:after="0" w:line="276" w:lineRule="auto"/>
        <w:jc w:val="both"/>
        <w:rPr>
          <w:rFonts w:ascii="ITC Avant Garde" w:hAnsi="ITC Avant Garde"/>
        </w:rPr>
      </w:pPr>
    </w:p>
    <w:p w14:paraId="530315F9" w14:textId="77777777" w:rsidR="001E4D24" w:rsidRDefault="001E4D24" w:rsidP="001B6547">
      <w:pPr>
        <w:spacing w:after="0" w:line="276" w:lineRule="auto"/>
        <w:jc w:val="both"/>
        <w:rPr>
          <w:rFonts w:ascii="ITC Avant Garde" w:hAnsi="ITC Avant Garde"/>
        </w:rPr>
      </w:pPr>
      <w:r w:rsidRPr="00992178">
        <w:rPr>
          <w:rFonts w:ascii="ITC Avant Garde" w:hAnsi="ITC Avant Garde"/>
        </w:rPr>
        <w:t>El</w:t>
      </w:r>
      <w:r w:rsidR="001D61E9">
        <w:rPr>
          <w:rFonts w:ascii="ITC Avant Garde" w:hAnsi="ITC Avant Garde"/>
        </w:rPr>
        <w:t xml:space="preserve"> 29 de mayo de 2014, el</w:t>
      </w:r>
      <w:r w:rsidRPr="00992178">
        <w:rPr>
          <w:rFonts w:ascii="ITC Avant Garde" w:hAnsi="ITC Avant Garde"/>
        </w:rPr>
        <w:t xml:space="preserve"> Instituto</w:t>
      </w:r>
      <w:r w:rsidRPr="001E4D24">
        <w:rPr>
          <w:rFonts w:ascii="ITC Avant Garde" w:hAnsi="ITC Avant Garde"/>
        </w:rPr>
        <w:t xml:space="preserve"> </w:t>
      </w:r>
      <w:r w:rsidR="001D61E9">
        <w:rPr>
          <w:rFonts w:ascii="ITC Avant Garde" w:hAnsi="ITC Avant Garde"/>
        </w:rPr>
        <w:t>identificó los</w:t>
      </w:r>
      <w:r w:rsidRPr="001E4D24">
        <w:rPr>
          <w:rFonts w:ascii="ITC Avant Garde" w:hAnsi="ITC Avant Garde"/>
        </w:rPr>
        <w:t xml:space="preserve"> Conte</w:t>
      </w:r>
      <w:r w:rsidR="001D61E9">
        <w:rPr>
          <w:rFonts w:ascii="ITC Avant Garde" w:hAnsi="ITC Avant Garde"/>
        </w:rPr>
        <w:t xml:space="preserve">nidos Audiovisuales Relevantes </w:t>
      </w:r>
      <w:r w:rsidRPr="001E4D24">
        <w:rPr>
          <w:rFonts w:ascii="ITC Avant Garde" w:hAnsi="ITC Avant Garde"/>
        </w:rPr>
        <w:t>por su carácter no replicable y su alto nivel esperado de audiencia regional o nacional, con base en los registros históricos de eventos similares</w:t>
      </w:r>
      <w:r w:rsidR="001D61E9">
        <w:rPr>
          <w:rFonts w:ascii="ITC Avant Garde" w:hAnsi="ITC Avant Garde"/>
        </w:rPr>
        <w:t>, y son los siguientes</w:t>
      </w:r>
      <w:r w:rsidRPr="001E4D24">
        <w:rPr>
          <w:rFonts w:ascii="ITC Avant Garde" w:hAnsi="ITC Avant Garde"/>
        </w:rPr>
        <w:t xml:space="preserve">: </w:t>
      </w:r>
    </w:p>
    <w:p w14:paraId="386ED590" w14:textId="77777777" w:rsidR="001E4D24" w:rsidRPr="001E4D24" w:rsidRDefault="00F312C9" w:rsidP="001B6547">
      <w:pPr>
        <w:pStyle w:val="Prrafodelista"/>
        <w:numPr>
          <w:ilvl w:val="0"/>
          <w:numId w:val="17"/>
        </w:numPr>
        <w:spacing w:after="0" w:line="276" w:lineRule="auto"/>
        <w:jc w:val="both"/>
        <w:rPr>
          <w:rFonts w:ascii="ITC Avant Garde" w:hAnsi="ITC Avant Garde"/>
        </w:rPr>
      </w:pPr>
      <w:r>
        <w:rPr>
          <w:rFonts w:ascii="ITC Avant Garde" w:hAnsi="ITC Avant Garde"/>
        </w:rPr>
        <w:t>P</w:t>
      </w:r>
      <w:r w:rsidR="001E4D24" w:rsidRPr="001E4D24">
        <w:rPr>
          <w:rFonts w:ascii="ITC Avant Garde" w:hAnsi="ITC Avant Garde"/>
        </w:rPr>
        <w:t xml:space="preserve">artidos de la selección mexicana de futbol (categoría varonil mayor). </w:t>
      </w:r>
    </w:p>
    <w:p w14:paraId="0F03C291" w14:textId="77777777" w:rsidR="001E4D24" w:rsidRPr="001E4D24" w:rsidRDefault="00F312C9" w:rsidP="001B6547">
      <w:pPr>
        <w:pStyle w:val="Prrafodelista"/>
        <w:numPr>
          <w:ilvl w:val="0"/>
          <w:numId w:val="17"/>
        </w:numPr>
        <w:spacing w:after="0" w:line="276" w:lineRule="auto"/>
        <w:jc w:val="both"/>
        <w:rPr>
          <w:rFonts w:ascii="ITC Avant Garde" w:hAnsi="ITC Avant Garde"/>
        </w:rPr>
      </w:pPr>
      <w:r>
        <w:rPr>
          <w:rFonts w:ascii="ITC Avant Garde" w:hAnsi="ITC Avant Garde"/>
        </w:rPr>
        <w:t>I</w:t>
      </w:r>
      <w:r w:rsidR="001E4D24" w:rsidRPr="001E4D24">
        <w:rPr>
          <w:rFonts w:ascii="ITC Avant Garde" w:hAnsi="ITC Avant Garde"/>
        </w:rPr>
        <w:t>nauguración y clausura de</w:t>
      </w:r>
      <w:r w:rsidR="001D61E9">
        <w:rPr>
          <w:rFonts w:ascii="ITC Avant Garde" w:hAnsi="ITC Avant Garde"/>
        </w:rPr>
        <w:t xml:space="preserve"> los Juegos Olímpicos de Verano.</w:t>
      </w:r>
    </w:p>
    <w:p w14:paraId="1E4BF292" w14:textId="77777777" w:rsidR="001E4D24" w:rsidRPr="001E4D24" w:rsidRDefault="00F312C9" w:rsidP="001B6547">
      <w:pPr>
        <w:pStyle w:val="Prrafodelista"/>
        <w:numPr>
          <w:ilvl w:val="0"/>
          <w:numId w:val="17"/>
        </w:numPr>
        <w:spacing w:after="0" w:line="276" w:lineRule="auto"/>
        <w:jc w:val="both"/>
        <w:rPr>
          <w:rFonts w:ascii="ITC Avant Garde" w:hAnsi="ITC Avant Garde"/>
        </w:rPr>
      </w:pPr>
      <w:r>
        <w:rPr>
          <w:rFonts w:ascii="ITC Avant Garde" w:hAnsi="ITC Avant Garde"/>
        </w:rPr>
        <w:t>Inauguración y clausura, así como</w:t>
      </w:r>
      <w:r w:rsidR="001E4D24" w:rsidRPr="001E4D24">
        <w:rPr>
          <w:rFonts w:ascii="ITC Avant Garde" w:hAnsi="ITC Avant Garde"/>
        </w:rPr>
        <w:t xml:space="preserve"> los partidos de inauguración, cuartos de final, semifinales y final de la Copa Mundial. </w:t>
      </w:r>
    </w:p>
    <w:p w14:paraId="62A57FDD" w14:textId="77777777" w:rsidR="001E4D24" w:rsidRPr="001E4D24" w:rsidRDefault="00F312C9" w:rsidP="001B6547">
      <w:pPr>
        <w:pStyle w:val="Prrafodelista"/>
        <w:numPr>
          <w:ilvl w:val="0"/>
          <w:numId w:val="17"/>
        </w:numPr>
        <w:spacing w:after="0" w:line="276" w:lineRule="auto"/>
        <w:jc w:val="both"/>
        <w:rPr>
          <w:rFonts w:ascii="ITC Avant Garde" w:hAnsi="ITC Avant Garde"/>
        </w:rPr>
      </w:pPr>
      <w:r>
        <w:rPr>
          <w:rFonts w:ascii="ITC Avant Garde" w:hAnsi="ITC Avant Garde"/>
        </w:rPr>
        <w:t>P</w:t>
      </w:r>
      <w:r w:rsidR="001E4D24" w:rsidRPr="001E4D24">
        <w:rPr>
          <w:rFonts w:ascii="ITC Avant Garde" w:hAnsi="ITC Avant Garde"/>
        </w:rPr>
        <w:t>artidos de la final del torneo de liga de primera división</w:t>
      </w:r>
      <w:r>
        <w:rPr>
          <w:rFonts w:ascii="ITC Avant Garde" w:hAnsi="ITC Avant Garde"/>
        </w:rPr>
        <w:t xml:space="preserve"> del futbol mexicano</w:t>
      </w:r>
      <w:r w:rsidR="001E4D24" w:rsidRPr="001E4D24">
        <w:rPr>
          <w:rFonts w:ascii="ITC Avant Garde" w:hAnsi="ITC Avant Garde"/>
        </w:rPr>
        <w:t>.</w:t>
      </w:r>
    </w:p>
    <w:p w14:paraId="02271D4D" w14:textId="77777777" w:rsidR="00992178" w:rsidRPr="00992178" w:rsidRDefault="00992178" w:rsidP="001B6547">
      <w:pPr>
        <w:spacing w:after="0" w:line="276" w:lineRule="auto"/>
        <w:jc w:val="both"/>
        <w:rPr>
          <w:rFonts w:ascii="ITC Avant Garde" w:hAnsi="ITC Avant Garde"/>
        </w:rPr>
      </w:pPr>
    </w:p>
    <w:p w14:paraId="319BC88C" w14:textId="77777777" w:rsidR="00AE0570" w:rsidRDefault="00AE0570" w:rsidP="001B6547">
      <w:pPr>
        <w:spacing w:after="0" w:line="276" w:lineRule="auto"/>
        <w:ind w:left="57"/>
        <w:jc w:val="both"/>
        <w:rPr>
          <w:rFonts w:ascii="ITC Avant Garde" w:hAnsi="ITC Avant Garde" w:cs="Arial"/>
        </w:rPr>
      </w:pPr>
      <w:r>
        <w:rPr>
          <w:rFonts w:ascii="ITC Avant Garde" w:hAnsi="ITC Avant Garde" w:cs="Arial"/>
        </w:rPr>
        <w:t>Dicha lista de contenidos audiovisuales podrá ser actualizada por el Instituto cada dos años.</w:t>
      </w:r>
    </w:p>
    <w:p w14:paraId="406977D5" w14:textId="77777777" w:rsidR="00AE0570" w:rsidRDefault="00AE0570" w:rsidP="001B6547">
      <w:pPr>
        <w:spacing w:after="0" w:line="276" w:lineRule="auto"/>
        <w:ind w:left="57"/>
        <w:jc w:val="both"/>
        <w:rPr>
          <w:rFonts w:ascii="ITC Avant Garde" w:hAnsi="ITC Avant Garde" w:cs="Arial"/>
        </w:rPr>
      </w:pPr>
    </w:p>
    <w:p w14:paraId="2926F01C" w14:textId="77777777" w:rsidR="00992178" w:rsidRPr="00992178" w:rsidRDefault="00F312C9" w:rsidP="001B6547">
      <w:pPr>
        <w:spacing w:after="0" w:line="276" w:lineRule="auto"/>
        <w:ind w:left="57"/>
        <w:jc w:val="both"/>
        <w:rPr>
          <w:rFonts w:ascii="ITC Avant Garde" w:hAnsi="ITC Avant Garde" w:cs="Arial"/>
        </w:rPr>
      </w:pPr>
      <w:r>
        <w:rPr>
          <w:rFonts w:ascii="ITC Avant Garde" w:hAnsi="ITC Avant Garde" w:cs="Arial"/>
        </w:rPr>
        <w:t>Las</w:t>
      </w:r>
      <w:r w:rsidR="00992178" w:rsidRPr="00992178">
        <w:rPr>
          <w:rFonts w:ascii="ITC Avant Garde" w:hAnsi="ITC Avant Garde" w:cs="Arial"/>
        </w:rPr>
        <w:t xml:space="preserve"> medidas </w:t>
      </w:r>
      <w:r>
        <w:rPr>
          <w:rFonts w:ascii="ITC Avant Garde" w:hAnsi="ITC Avant Garde" w:cs="Arial"/>
        </w:rPr>
        <w:t xml:space="preserve">relativas a la publicidad </w:t>
      </w:r>
      <w:r w:rsidR="00992178" w:rsidRPr="00992178">
        <w:rPr>
          <w:rFonts w:ascii="ITC Avant Garde" w:hAnsi="ITC Avant Garde" w:cs="Arial"/>
        </w:rPr>
        <w:t xml:space="preserve">incluyen la obligación </w:t>
      </w:r>
      <w:r>
        <w:rPr>
          <w:rFonts w:ascii="ITC Avant Garde" w:hAnsi="ITC Avant Garde" w:cs="Arial"/>
        </w:rPr>
        <w:t xml:space="preserve">del AEP </w:t>
      </w:r>
      <w:r w:rsidR="00992178" w:rsidRPr="00992178">
        <w:rPr>
          <w:rFonts w:ascii="ITC Avant Garde" w:hAnsi="ITC Avant Garde" w:cs="Arial"/>
        </w:rPr>
        <w:t>de vender sus espacios publicitarios</w:t>
      </w:r>
      <w:r w:rsidR="00443321">
        <w:rPr>
          <w:rFonts w:ascii="ITC Avant Garde" w:hAnsi="ITC Avant Garde" w:cs="Arial"/>
        </w:rPr>
        <w:t xml:space="preserve"> de manera no discriminatoria,</w:t>
      </w:r>
      <w:r w:rsidR="00992178" w:rsidRPr="00992178">
        <w:rPr>
          <w:rFonts w:ascii="ITC Avant Garde" w:hAnsi="ITC Avant Garde" w:cs="Arial"/>
        </w:rPr>
        <w:t xml:space="preserve"> la prohibición de realizar ventas condicionadas, prácticas discriminatorias o negativas de trato, y la obligación de, en caso de ofrecer paquetes de espacios publicitarios, también </w:t>
      </w:r>
      <w:r>
        <w:rPr>
          <w:rFonts w:ascii="ITC Avant Garde" w:hAnsi="ITC Avant Garde" w:cs="Arial"/>
        </w:rPr>
        <w:t>ofrecerlos de forma desagregada</w:t>
      </w:r>
      <w:r w:rsidR="00992178" w:rsidRPr="00992178">
        <w:rPr>
          <w:rFonts w:ascii="ITC Avant Garde" w:hAnsi="ITC Avant Garde" w:cs="Arial"/>
        </w:rPr>
        <w:t>.</w:t>
      </w:r>
      <w:r w:rsidR="00007FC5">
        <w:rPr>
          <w:rFonts w:ascii="ITC Avant Garde" w:hAnsi="ITC Avant Garde" w:cs="Arial"/>
        </w:rPr>
        <w:t xml:space="preserve"> En soporte a ello, el AEP deberá publicar en su sitio de internet y entregar al Instituto la información relativa a los diversos servicios de publicidad que ofrece.</w:t>
      </w:r>
      <w:r>
        <w:rPr>
          <w:rFonts w:ascii="ITC Avant Garde" w:hAnsi="ITC Avant Garde" w:cs="Arial"/>
        </w:rPr>
        <w:t xml:space="preserve"> </w:t>
      </w:r>
      <w:r w:rsidR="00992178" w:rsidRPr="00992178">
        <w:rPr>
          <w:rFonts w:ascii="ITC Avant Garde" w:hAnsi="ITC Avant Garde" w:cs="Arial"/>
        </w:rPr>
        <w:t xml:space="preserve">Estas medidas tienen el objetivo de: </w:t>
      </w:r>
    </w:p>
    <w:p w14:paraId="55D631D2" w14:textId="77777777" w:rsidR="00992178" w:rsidRPr="00992178" w:rsidRDefault="00992178" w:rsidP="001B6547">
      <w:pPr>
        <w:spacing w:after="0" w:line="276" w:lineRule="auto"/>
        <w:ind w:left="57"/>
        <w:jc w:val="both"/>
        <w:rPr>
          <w:rFonts w:ascii="ITC Avant Garde" w:hAnsi="ITC Avant Garde" w:cs="Arial"/>
        </w:rPr>
      </w:pPr>
    </w:p>
    <w:p w14:paraId="1542225A" w14:textId="77777777" w:rsidR="00992178" w:rsidRPr="00992178" w:rsidRDefault="00992178" w:rsidP="001B6547">
      <w:pPr>
        <w:pStyle w:val="Prrafodelista"/>
        <w:numPr>
          <w:ilvl w:val="0"/>
          <w:numId w:val="21"/>
        </w:numPr>
        <w:spacing w:after="0" w:line="276" w:lineRule="auto"/>
        <w:jc w:val="both"/>
        <w:rPr>
          <w:rFonts w:ascii="ITC Avant Garde" w:hAnsi="ITC Avant Garde" w:cs="Arial"/>
        </w:rPr>
      </w:pPr>
      <w:r w:rsidRPr="00992178">
        <w:rPr>
          <w:rFonts w:ascii="ITC Avant Garde" w:hAnsi="ITC Avant Garde" w:cs="Arial"/>
        </w:rPr>
        <w:t>Evitar restringir la entrada y crecimiento de competidores en los sectores de radiodifusión y telecomunicaciones.</w:t>
      </w:r>
    </w:p>
    <w:p w14:paraId="252CA11A" w14:textId="77777777" w:rsidR="00992178" w:rsidRPr="00992178" w:rsidRDefault="00992178" w:rsidP="001B6547">
      <w:pPr>
        <w:pStyle w:val="Prrafodelista"/>
        <w:spacing w:after="0" w:line="276" w:lineRule="auto"/>
        <w:ind w:left="417"/>
        <w:jc w:val="both"/>
        <w:rPr>
          <w:rFonts w:ascii="ITC Avant Garde" w:hAnsi="ITC Avant Garde" w:cs="Arial"/>
        </w:rPr>
      </w:pPr>
    </w:p>
    <w:p w14:paraId="6A6F969A" w14:textId="3B81CB1C" w:rsidR="000F2058" w:rsidRDefault="00992178" w:rsidP="005E1F7F">
      <w:pPr>
        <w:pStyle w:val="Prrafodelista"/>
        <w:numPr>
          <w:ilvl w:val="0"/>
          <w:numId w:val="21"/>
        </w:numPr>
        <w:spacing w:after="0" w:line="276" w:lineRule="auto"/>
        <w:jc w:val="both"/>
        <w:rPr>
          <w:rFonts w:ascii="ITC Avant Garde" w:hAnsi="ITC Avant Garde" w:cs="Arial"/>
        </w:rPr>
      </w:pPr>
      <w:r w:rsidRPr="00992178">
        <w:rPr>
          <w:rFonts w:ascii="ITC Avant Garde" w:hAnsi="ITC Avant Garde" w:cs="Arial"/>
        </w:rPr>
        <w:t xml:space="preserve">Evitar que </w:t>
      </w:r>
      <w:r w:rsidR="00A87569">
        <w:rPr>
          <w:rFonts w:ascii="ITC Avant Garde" w:hAnsi="ITC Avant Garde" w:cs="Arial"/>
        </w:rPr>
        <w:t>el AEP</w:t>
      </w:r>
      <w:r w:rsidR="00A87569" w:rsidRPr="00992178">
        <w:rPr>
          <w:rFonts w:ascii="ITC Avant Garde" w:hAnsi="ITC Avant Garde" w:cs="Arial"/>
        </w:rPr>
        <w:t xml:space="preserve"> </w:t>
      </w:r>
      <w:r w:rsidRPr="00992178">
        <w:rPr>
          <w:rFonts w:ascii="ITC Avant Garde" w:hAnsi="ITC Avant Garde" w:cs="Arial"/>
        </w:rPr>
        <w:t>ofrezca sus espacios publicitarios de forma condicionada o discriminatoria; o realice negativas de trato.</w:t>
      </w:r>
    </w:p>
    <w:p w14:paraId="55FB5A29" w14:textId="77777777" w:rsidR="000F2058" w:rsidRPr="00992178" w:rsidRDefault="000F2058" w:rsidP="00E422F4">
      <w:pPr>
        <w:pStyle w:val="Prrafodelista"/>
        <w:spacing w:after="0" w:line="276" w:lineRule="auto"/>
        <w:ind w:left="417"/>
        <w:jc w:val="both"/>
        <w:rPr>
          <w:rFonts w:ascii="ITC Avant Garde" w:hAnsi="ITC Avant Garde" w:cs="Arial"/>
        </w:rPr>
      </w:pPr>
    </w:p>
    <w:p w14:paraId="1D34291D" w14:textId="4EDB9225" w:rsidR="00962D3B" w:rsidRDefault="00992178" w:rsidP="000F2058">
      <w:pPr>
        <w:pStyle w:val="Prrafodelista"/>
        <w:numPr>
          <w:ilvl w:val="0"/>
          <w:numId w:val="21"/>
        </w:numPr>
        <w:spacing w:after="0" w:line="276" w:lineRule="auto"/>
        <w:jc w:val="both"/>
      </w:pPr>
      <w:r w:rsidRPr="00E422F4">
        <w:rPr>
          <w:rFonts w:ascii="ITC Avant Garde" w:hAnsi="ITC Avant Garde" w:cs="Arial"/>
        </w:rPr>
        <w:t xml:space="preserve">Evitar acuerdos entre </w:t>
      </w:r>
      <w:r w:rsidR="00ED3243" w:rsidRPr="00E422F4">
        <w:rPr>
          <w:rFonts w:ascii="ITC Avant Garde" w:hAnsi="ITC Avant Garde" w:cs="Arial"/>
        </w:rPr>
        <w:t xml:space="preserve"> el AEP</w:t>
      </w:r>
      <w:r w:rsidRPr="00E422F4">
        <w:rPr>
          <w:rFonts w:ascii="ITC Avant Garde" w:hAnsi="ITC Avant Garde" w:cs="Arial"/>
        </w:rPr>
        <w:t xml:space="preserve"> y otros agentes económicos que comercialicen publicidad, con la finalidad de ejercer presión contra terceros.</w:t>
      </w:r>
      <w:r w:rsidR="000F2058">
        <w:t xml:space="preserve"> </w:t>
      </w:r>
    </w:p>
    <w:p w14:paraId="3A6A49B6" w14:textId="77777777" w:rsidR="00E73F3A" w:rsidRDefault="00E73F3A" w:rsidP="00E422F4"/>
    <w:p w14:paraId="453795C9" w14:textId="007A081B" w:rsidR="00395A25" w:rsidRDefault="00962D3B" w:rsidP="00FA1A63">
      <w:pPr>
        <w:rPr>
          <w:rFonts w:ascii="ITC Avant Garde Std Bk" w:eastAsia="Times New Roman" w:hAnsi="ITC Avant Garde Std Bk" w:cs="Times New Roman"/>
          <w:b/>
          <w:color w:val="000000"/>
          <w:lang w:eastAsia="es-MX"/>
        </w:rPr>
      </w:pPr>
      <w:r w:rsidRPr="00E422F4">
        <w:rPr>
          <w:rFonts w:ascii="ITC Avant Garde Std Bk" w:eastAsia="Times New Roman" w:hAnsi="ITC Avant Garde Std Bk" w:cs="Times New Roman"/>
          <w:b/>
          <w:color w:val="000000"/>
          <w:lang w:eastAsia="es-MX"/>
        </w:rPr>
        <w:t>CONSULTA PÚBLICA</w:t>
      </w:r>
    </w:p>
    <w:p w14:paraId="64959D3E" w14:textId="77777777" w:rsidR="00395A25" w:rsidRPr="00E422F4" w:rsidRDefault="00395A25" w:rsidP="00E422F4">
      <w:pPr>
        <w:spacing w:after="0"/>
        <w:rPr>
          <w:rFonts w:ascii="ITC Avant Garde Std Bk" w:eastAsia="Times New Roman" w:hAnsi="ITC Avant Garde Std Bk" w:cs="Times New Roman"/>
          <w:b/>
          <w:color w:val="000000"/>
          <w:lang w:eastAsia="es-MX"/>
        </w:rPr>
      </w:pPr>
    </w:p>
    <w:p w14:paraId="7B17307F" w14:textId="68201E84" w:rsidR="00FA1A63" w:rsidRDefault="00FA1A63" w:rsidP="00FA1A63">
      <w:pPr>
        <w:spacing w:after="0" w:line="276" w:lineRule="auto"/>
        <w:jc w:val="both"/>
        <w:rPr>
          <w:rFonts w:ascii="ITC Avant Garde Std Bk" w:eastAsia="Times New Roman" w:hAnsi="ITC Avant Garde Std Bk" w:cs="Times New Roman"/>
          <w:color w:val="000000"/>
          <w:lang w:eastAsia="es-MX"/>
        </w:rPr>
      </w:pPr>
      <w:r>
        <w:rPr>
          <w:rFonts w:ascii="ITC Avant Garde Std Bk" w:eastAsia="Times New Roman" w:hAnsi="ITC Avant Garde Std Bk" w:cs="Times New Roman"/>
          <w:color w:val="000000"/>
          <w:lang w:eastAsia="es-MX"/>
        </w:rPr>
        <w:t>El Instituto lleva a cabo</w:t>
      </w:r>
      <w:r w:rsidRPr="00E16581">
        <w:rPr>
          <w:rFonts w:ascii="ITC Avant Garde Std Bk" w:eastAsia="Times New Roman" w:hAnsi="ITC Avant Garde Std Bk" w:cs="Times New Roman"/>
          <w:color w:val="000000"/>
          <w:lang w:eastAsia="es-MX"/>
        </w:rPr>
        <w:t xml:space="preserve"> un proceso d</w:t>
      </w:r>
      <w:r>
        <w:rPr>
          <w:rFonts w:ascii="ITC Avant Garde Std Bk" w:eastAsia="Times New Roman" w:hAnsi="ITC Avant Garde Std Bk" w:cs="Times New Roman"/>
          <w:color w:val="000000"/>
          <w:lang w:eastAsia="es-MX"/>
        </w:rPr>
        <w:t xml:space="preserve">e </w:t>
      </w:r>
      <w:r w:rsidRPr="00EF20F0">
        <w:rPr>
          <w:rFonts w:ascii="ITC Avant Garde Std Bk" w:eastAsia="Times New Roman" w:hAnsi="ITC Avant Garde Std Bk" w:cs="Times New Roman"/>
          <w:color w:val="000000"/>
          <w:lang w:eastAsia="es-MX"/>
        </w:rPr>
        <w:t>consulta pública con la finalidad de reca</w:t>
      </w:r>
      <w:r>
        <w:rPr>
          <w:rFonts w:ascii="ITC Avant Garde Std Bk" w:eastAsia="Times New Roman" w:hAnsi="ITC Avant Garde Std Bk" w:cs="Times New Roman"/>
          <w:color w:val="000000"/>
          <w:lang w:eastAsia="es-MX"/>
        </w:rPr>
        <w:t>bar comentarios, opiniones, estudios</w:t>
      </w:r>
      <w:r w:rsidRPr="00EF20F0">
        <w:rPr>
          <w:rFonts w:ascii="ITC Avant Garde Std Bk" w:eastAsia="Times New Roman" w:hAnsi="ITC Avant Garde Std Bk" w:cs="Times New Roman"/>
          <w:color w:val="000000"/>
          <w:lang w:eastAsia="es-MX"/>
        </w:rPr>
        <w:t xml:space="preserve"> </w:t>
      </w:r>
      <w:r>
        <w:rPr>
          <w:rFonts w:ascii="ITC Avant Garde Std Bk" w:eastAsia="Times New Roman" w:hAnsi="ITC Avant Garde Std Bk" w:cs="Times New Roman"/>
          <w:color w:val="000000"/>
          <w:lang w:eastAsia="es-MX"/>
        </w:rPr>
        <w:t xml:space="preserve">y cualquier otro documento </w:t>
      </w:r>
      <w:r w:rsidRPr="00EF20F0">
        <w:rPr>
          <w:rFonts w:ascii="ITC Avant Garde Std Bk" w:eastAsia="Times New Roman" w:hAnsi="ITC Avant Garde Std Bk" w:cs="Times New Roman"/>
          <w:color w:val="000000"/>
          <w:lang w:eastAsia="es-MX"/>
        </w:rPr>
        <w:t xml:space="preserve">de los integrantes de </w:t>
      </w:r>
      <w:r w:rsidRPr="00EF20F0">
        <w:rPr>
          <w:rFonts w:ascii="ITC Avant Garde Std Bk" w:eastAsia="Times New Roman" w:hAnsi="ITC Avant Garde Std Bk" w:cs="Times New Roman"/>
          <w:color w:val="000000"/>
          <w:lang w:eastAsia="es-MX"/>
        </w:rPr>
        <w:lastRenderedPageBreak/>
        <w:t>la indus</w:t>
      </w:r>
      <w:r>
        <w:rPr>
          <w:rFonts w:ascii="ITC Avant Garde Std Bk" w:eastAsia="Times New Roman" w:hAnsi="ITC Avant Garde Std Bk" w:cs="Times New Roman"/>
          <w:color w:val="000000"/>
          <w:lang w:eastAsia="es-MX"/>
        </w:rPr>
        <w:t>tria, académicos, especialistas y</w:t>
      </w:r>
      <w:r w:rsidRPr="00EF20F0">
        <w:rPr>
          <w:rFonts w:ascii="ITC Avant Garde Std Bk" w:eastAsia="Times New Roman" w:hAnsi="ITC Avant Garde Std Bk" w:cs="Times New Roman"/>
          <w:color w:val="000000"/>
          <w:lang w:eastAsia="es-MX"/>
        </w:rPr>
        <w:t xml:space="preserve"> público en general</w:t>
      </w:r>
      <w:r>
        <w:rPr>
          <w:rFonts w:ascii="ITC Avant Garde Std Bk" w:eastAsia="Times New Roman" w:hAnsi="ITC Avant Garde Std Bk" w:cs="Times New Roman"/>
          <w:color w:val="000000"/>
          <w:lang w:eastAsia="es-MX"/>
        </w:rPr>
        <w:t>, que permita</w:t>
      </w:r>
      <w:r w:rsidRPr="00EF20F0">
        <w:rPr>
          <w:rFonts w:ascii="ITC Avant Garde Std Bk" w:eastAsia="Times New Roman" w:hAnsi="ITC Avant Garde Std Bk" w:cs="Times New Roman"/>
          <w:color w:val="000000"/>
          <w:lang w:eastAsia="es-MX"/>
        </w:rPr>
        <w:t xml:space="preserve"> obtener mayor información</w:t>
      </w:r>
      <w:r>
        <w:rPr>
          <w:rFonts w:ascii="ITC Avant Garde Std Bk" w:eastAsia="Times New Roman" w:hAnsi="ITC Avant Garde Std Bk" w:cs="Times New Roman"/>
          <w:color w:val="000000"/>
          <w:lang w:eastAsia="es-MX"/>
        </w:rPr>
        <w:t>, para elaborar un diagnóstico</w:t>
      </w:r>
      <w:r w:rsidRPr="00EF20F0">
        <w:rPr>
          <w:rFonts w:ascii="ITC Avant Garde Std Bk" w:eastAsia="Times New Roman" w:hAnsi="ITC Avant Garde Std Bk" w:cs="Times New Roman"/>
          <w:color w:val="000000"/>
          <w:lang w:eastAsia="es-MX"/>
        </w:rPr>
        <w:t xml:space="preserve"> </w:t>
      </w:r>
      <w:r>
        <w:rPr>
          <w:rFonts w:ascii="ITC Avant Garde Std Bk" w:eastAsia="Times New Roman" w:hAnsi="ITC Avant Garde Std Bk" w:cs="Times New Roman"/>
          <w:color w:val="000000"/>
          <w:lang w:eastAsia="es-MX"/>
        </w:rPr>
        <w:t>que permita al Instituto contar con los elementos necesarios para, en su caso, modificar, suprimir o adicionar</w:t>
      </w:r>
      <w:r w:rsidRPr="00EF20F0">
        <w:rPr>
          <w:rFonts w:ascii="ITC Avant Garde Std Bk" w:eastAsia="Times New Roman" w:hAnsi="ITC Avant Garde Std Bk" w:cs="Times New Roman"/>
          <w:color w:val="000000"/>
          <w:lang w:eastAsia="es-MX"/>
        </w:rPr>
        <w:t xml:space="preserve"> medidas asimétricas a</w:t>
      </w:r>
      <w:r>
        <w:rPr>
          <w:rFonts w:ascii="ITC Avant Garde Std Bk" w:eastAsia="Times New Roman" w:hAnsi="ITC Avant Garde Std Bk" w:cs="Times New Roman"/>
          <w:color w:val="000000"/>
          <w:lang w:eastAsia="es-MX"/>
        </w:rPr>
        <w:t xml:space="preserve"> </w:t>
      </w:r>
      <w:r w:rsidRPr="00EF20F0">
        <w:rPr>
          <w:rFonts w:ascii="ITC Avant Garde Std Bk" w:eastAsia="Times New Roman" w:hAnsi="ITC Avant Garde Std Bk" w:cs="Times New Roman"/>
          <w:color w:val="000000"/>
          <w:lang w:eastAsia="es-MX"/>
        </w:rPr>
        <w:t>l</w:t>
      </w:r>
      <w:r>
        <w:rPr>
          <w:rFonts w:ascii="ITC Avant Garde Std Bk" w:eastAsia="Times New Roman" w:hAnsi="ITC Avant Garde Std Bk" w:cs="Times New Roman"/>
          <w:color w:val="000000"/>
          <w:lang w:eastAsia="es-MX"/>
        </w:rPr>
        <w:t>os</w:t>
      </w:r>
      <w:r w:rsidRPr="00EF20F0">
        <w:rPr>
          <w:rFonts w:ascii="ITC Avant Garde Std Bk" w:eastAsia="Times New Roman" w:hAnsi="ITC Avant Garde Std Bk" w:cs="Times New Roman"/>
          <w:color w:val="000000"/>
          <w:lang w:eastAsia="es-MX"/>
        </w:rPr>
        <w:t xml:space="preserve"> </w:t>
      </w:r>
      <w:proofErr w:type="spellStart"/>
      <w:r w:rsidR="00395A25">
        <w:rPr>
          <w:rFonts w:ascii="ITC Avant Garde Std Bk" w:eastAsia="Times New Roman" w:hAnsi="ITC Avant Garde Std Bk" w:cs="Times New Roman"/>
          <w:color w:val="000000"/>
          <w:lang w:eastAsia="es-MX"/>
        </w:rPr>
        <w:t>AEPs</w:t>
      </w:r>
      <w:proofErr w:type="spellEnd"/>
      <w:r w:rsidRPr="00EF20F0">
        <w:rPr>
          <w:rFonts w:ascii="ITC Avant Garde Std Bk" w:eastAsia="Times New Roman" w:hAnsi="ITC Avant Garde Std Bk" w:cs="Times New Roman"/>
          <w:color w:val="000000"/>
          <w:lang w:eastAsia="es-MX"/>
        </w:rPr>
        <w:t xml:space="preserve">, </w:t>
      </w:r>
      <w:r w:rsidR="00806BEA">
        <w:rPr>
          <w:rFonts w:ascii="ITC Avant Garde Std Bk" w:eastAsia="Times New Roman" w:hAnsi="ITC Avant Garde Std Bk" w:cs="Times New Roman"/>
          <w:color w:val="000000"/>
          <w:lang w:eastAsia="es-MX"/>
        </w:rPr>
        <w:t>en el marco</w:t>
      </w:r>
      <w:r w:rsidR="00806BEA" w:rsidRPr="00EF20F0">
        <w:rPr>
          <w:rFonts w:ascii="ITC Avant Garde Std Bk" w:eastAsia="Times New Roman" w:hAnsi="ITC Avant Garde Std Bk" w:cs="Times New Roman"/>
          <w:color w:val="000000"/>
          <w:lang w:eastAsia="es-MX"/>
        </w:rPr>
        <w:t xml:space="preserve"> </w:t>
      </w:r>
      <w:r w:rsidRPr="00EF20F0">
        <w:rPr>
          <w:rFonts w:ascii="ITC Avant Garde Std Bk" w:eastAsia="Times New Roman" w:hAnsi="ITC Avant Garde Std Bk" w:cs="Times New Roman"/>
          <w:color w:val="000000"/>
          <w:lang w:eastAsia="es-MX"/>
        </w:rPr>
        <w:t>de la Evaluación Bienal.</w:t>
      </w:r>
    </w:p>
    <w:p w14:paraId="43AC8035" w14:textId="77777777" w:rsidR="00FA1A63" w:rsidRPr="001E1F1D" w:rsidRDefault="00FA1A63" w:rsidP="00FA1A63">
      <w:pPr>
        <w:spacing w:after="0" w:line="276" w:lineRule="auto"/>
        <w:jc w:val="both"/>
        <w:rPr>
          <w:rFonts w:ascii="ITC Avant Garde Std Bk" w:eastAsia="Times New Roman" w:hAnsi="ITC Avant Garde Std Bk" w:cs="Times New Roman"/>
          <w:color w:val="000000"/>
          <w:lang w:eastAsia="es-MX"/>
        </w:rPr>
      </w:pPr>
    </w:p>
    <w:p w14:paraId="4BBF45B3" w14:textId="0FACC8E1" w:rsidR="00FA1A63" w:rsidRDefault="00FA1A63" w:rsidP="00FA1A63">
      <w:pPr>
        <w:spacing w:after="0" w:line="276" w:lineRule="auto"/>
        <w:jc w:val="both"/>
        <w:rPr>
          <w:rFonts w:ascii="ITC Avant Garde Std Bk" w:eastAsia="Times New Roman" w:hAnsi="ITC Avant Garde Std Bk" w:cs="Times New Roman"/>
          <w:color w:val="000000"/>
          <w:lang w:eastAsia="es-MX"/>
        </w:rPr>
      </w:pPr>
      <w:r>
        <w:rPr>
          <w:rFonts w:ascii="ITC Avant Garde Std Bk" w:eastAsia="Times New Roman" w:hAnsi="ITC Avant Garde Std Bk" w:cs="Times New Roman"/>
          <w:color w:val="000000"/>
          <w:lang w:eastAsia="es-MX"/>
        </w:rPr>
        <w:t>En este sentido, s</w:t>
      </w:r>
      <w:r w:rsidRPr="00603913">
        <w:rPr>
          <w:rFonts w:ascii="ITC Avant Garde Std Bk" w:eastAsia="Times New Roman" w:hAnsi="ITC Avant Garde Std Bk" w:cs="Times New Roman"/>
          <w:color w:val="000000"/>
          <w:lang w:eastAsia="es-MX"/>
        </w:rPr>
        <w:t xml:space="preserve">e </w:t>
      </w:r>
      <w:r>
        <w:rPr>
          <w:rFonts w:ascii="ITC Avant Garde Std Bk" w:eastAsia="Times New Roman" w:hAnsi="ITC Avant Garde Std Bk" w:cs="Times New Roman"/>
          <w:color w:val="000000"/>
          <w:lang w:eastAsia="es-MX"/>
        </w:rPr>
        <w:t>considera</w:t>
      </w:r>
      <w:r w:rsidRPr="00603913">
        <w:rPr>
          <w:rFonts w:ascii="ITC Avant Garde Std Bk" w:eastAsia="Times New Roman" w:hAnsi="ITC Avant Garde Std Bk" w:cs="Times New Roman"/>
          <w:color w:val="000000"/>
          <w:lang w:eastAsia="es-MX"/>
        </w:rPr>
        <w:t xml:space="preserve"> relevante que para </w:t>
      </w:r>
      <w:r>
        <w:rPr>
          <w:rFonts w:ascii="ITC Avant Garde Std Bk" w:eastAsia="Times New Roman" w:hAnsi="ITC Avant Garde Std Bk" w:cs="Times New Roman"/>
          <w:color w:val="000000"/>
          <w:lang w:eastAsia="es-MX"/>
        </w:rPr>
        <w:t xml:space="preserve">llevar a cabo la evaluación </w:t>
      </w:r>
      <w:r w:rsidR="00D1294A">
        <w:rPr>
          <w:rFonts w:ascii="ITC Avant Garde Std Bk" w:eastAsia="Times New Roman" w:hAnsi="ITC Avant Garde Std Bk" w:cs="Times New Roman"/>
          <w:color w:val="000000"/>
          <w:lang w:eastAsia="es-MX"/>
        </w:rPr>
        <w:t>de la efectividad</w:t>
      </w:r>
      <w:r w:rsidRPr="00603913">
        <w:rPr>
          <w:rFonts w:ascii="ITC Avant Garde Std Bk" w:eastAsia="Times New Roman" w:hAnsi="ITC Avant Garde Std Bk" w:cs="Times New Roman"/>
          <w:color w:val="000000"/>
          <w:lang w:eastAsia="es-MX"/>
        </w:rPr>
        <w:t xml:space="preserve"> de la regulación </w:t>
      </w:r>
      <w:r>
        <w:rPr>
          <w:rFonts w:ascii="ITC Avant Garde Std Bk" w:eastAsia="Times New Roman" w:hAnsi="ITC Avant Garde Std Bk" w:cs="Times New Roman"/>
          <w:color w:val="000000"/>
          <w:lang w:eastAsia="es-MX"/>
        </w:rPr>
        <w:t xml:space="preserve">asimétrica aplicable a los </w:t>
      </w:r>
      <w:proofErr w:type="spellStart"/>
      <w:r w:rsidR="00395A25">
        <w:rPr>
          <w:rFonts w:ascii="ITC Avant Garde Std Bk" w:eastAsia="Times New Roman" w:hAnsi="ITC Avant Garde Std Bk" w:cs="Times New Roman"/>
          <w:color w:val="000000"/>
          <w:lang w:eastAsia="es-MX"/>
        </w:rPr>
        <w:t>AEPs</w:t>
      </w:r>
      <w:proofErr w:type="spellEnd"/>
      <w:r w:rsidRPr="00603913">
        <w:rPr>
          <w:rFonts w:ascii="ITC Avant Garde Std Bk" w:eastAsia="Times New Roman" w:hAnsi="ITC Avant Garde Std Bk" w:cs="Times New Roman"/>
          <w:color w:val="000000"/>
          <w:lang w:eastAsia="es-MX"/>
        </w:rPr>
        <w:t>, la autoridad tenga conocimiento de las inquietudes</w:t>
      </w:r>
      <w:r>
        <w:rPr>
          <w:rFonts w:ascii="ITC Avant Garde Std Bk" w:eastAsia="Times New Roman" w:hAnsi="ITC Avant Garde Std Bk" w:cs="Times New Roman"/>
          <w:color w:val="000000"/>
          <w:lang w:eastAsia="es-MX"/>
        </w:rPr>
        <w:t>, problemática, utilidad y efectividad de las medidas frente a sus principales beneficiarios: concesionarios, autorizados y usuarios finales.</w:t>
      </w:r>
      <w:r w:rsidRPr="00603913">
        <w:rPr>
          <w:rFonts w:ascii="ITC Avant Garde Std Bk" w:eastAsia="Times New Roman" w:hAnsi="ITC Avant Garde Std Bk" w:cs="Times New Roman"/>
          <w:color w:val="000000"/>
          <w:lang w:eastAsia="es-MX"/>
        </w:rPr>
        <w:t xml:space="preserve"> </w:t>
      </w:r>
    </w:p>
    <w:p w14:paraId="03E1B2B5" w14:textId="77777777" w:rsidR="00FA1A63" w:rsidRDefault="00FA1A63" w:rsidP="00FA1A63">
      <w:pPr>
        <w:spacing w:after="0" w:line="276" w:lineRule="auto"/>
        <w:jc w:val="both"/>
        <w:rPr>
          <w:rFonts w:ascii="ITC Avant Garde Std Bk" w:eastAsia="Times New Roman" w:hAnsi="ITC Avant Garde Std Bk" w:cs="Times New Roman"/>
          <w:color w:val="000000"/>
          <w:lang w:eastAsia="es-MX"/>
        </w:rPr>
      </w:pPr>
    </w:p>
    <w:p w14:paraId="04917298" w14:textId="251D0997" w:rsidR="00FA1A63" w:rsidRDefault="00FA1A63" w:rsidP="00FA1A63">
      <w:pPr>
        <w:spacing w:after="0" w:line="276" w:lineRule="auto"/>
        <w:jc w:val="both"/>
        <w:rPr>
          <w:rFonts w:ascii="ITC Avant Garde Std Bk" w:eastAsia="Times New Roman" w:hAnsi="ITC Avant Garde Std Bk" w:cs="Times New Roman"/>
          <w:color w:val="000000"/>
          <w:lang w:eastAsia="es-MX"/>
        </w:rPr>
      </w:pPr>
      <w:r>
        <w:rPr>
          <w:rFonts w:ascii="ITC Avant Garde Std Bk" w:eastAsia="Times New Roman" w:hAnsi="ITC Avant Garde Std Bk" w:cs="Times New Roman"/>
          <w:color w:val="000000"/>
          <w:lang w:eastAsia="es-MX"/>
        </w:rPr>
        <w:t>El Instituto busca recabar comentarios, opiniones, estudios</w:t>
      </w:r>
      <w:r w:rsidRPr="00EF20F0">
        <w:rPr>
          <w:rFonts w:ascii="ITC Avant Garde Std Bk" w:eastAsia="Times New Roman" w:hAnsi="ITC Avant Garde Std Bk" w:cs="Times New Roman"/>
          <w:color w:val="000000"/>
          <w:lang w:eastAsia="es-MX"/>
        </w:rPr>
        <w:t xml:space="preserve"> </w:t>
      </w:r>
      <w:r>
        <w:rPr>
          <w:rFonts w:ascii="ITC Avant Garde Std Bk" w:eastAsia="Times New Roman" w:hAnsi="ITC Avant Garde Std Bk" w:cs="Times New Roman"/>
          <w:color w:val="000000"/>
          <w:lang w:eastAsia="es-MX"/>
        </w:rPr>
        <w:t>y cualquier otro documento que permita analizar tres aspectos:</w:t>
      </w:r>
    </w:p>
    <w:p w14:paraId="5AE5E478" w14:textId="77777777" w:rsidR="00FA1A63" w:rsidRDefault="00FA1A63" w:rsidP="00FA1A63">
      <w:pPr>
        <w:spacing w:after="0" w:line="276" w:lineRule="auto"/>
        <w:jc w:val="both"/>
        <w:rPr>
          <w:rFonts w:ascii="ITC Avant Garde Std Bk" w:eastAsia="Times New Roman" w:hAnsi="ITC Avant Garde Std Bk" w:cs="Times New Roman"/>
          <w:color w:val="000000"/>
          <w:lang w:eastAsia="es-MX"/>
        </w:rPr>
      </w:pPr>
    </w:p>
    <w:p w14:paraId="407AB2B9" w14:textId="77777777" w:rsidR="00FA1A63" w:rsidRPr="00AB5441" w:rsidRDefault="00FA1A63" w:rsidP="00FA1A63">
      <w:pPr>
        <w:pStyle w:val="Prrafodelista"/>
        <w:numPr>
          <w:ilvl w:val="0"/>
          <w:numId w:val="25"/>
        </w:numPr>
        <w:spacing w:after="0" w:line="276" w:lineRule="auto"/>
        <w:jc w:val="both"/>
        <w:rPr>
          <w:rFonts w:ascii="ITC Avant Garde Std Bk" w:eastAsia="Times New Roman" w:hAnsi="ITC Avant Garde Std Bk" w:cs="Times New Roman"/>
          <w:color w:val="000000"/>
          <w:lang w:eastAsia="es-MX"/>
        </w:rPr>
      </w:pPr>
      <w:r w:rsidRPr="00AB5441">
        <w:rPr>
          <w:rFonts w:ascii="ITC Avant Garde Std Bk" w:eastAsia="Times New Roman" w:hAnsi="ITC Avant Garde Std Bk" w:cs="Times New Roman"/>
          <w:color w:val="000000"/>
          <w:lang w:eastAsia="es-MX"/>
        </w:rPr>
        <w:t>Efectividad regulatoria de las medidas.</w:t>
      </w:r>
    </w:p>
    <w:p w14:paraId="3E2748F6" w14:textId="77777777" w:rsidR="00FA1A63" w:rsidRPr="00AB5441" w:rsidRDefault="00FA1A63" w:rsidP="00FA1A63">
      <w:pPr>
        <w:pStyle w:val="Prrafodelista"/>
        <w:numPr>
          <w:ilvl w:val="0"/>
          <w:numId w:val="25"/>
        </w:numPr>
        <w:spacing w:after="0" w:line="276" w:lineRule="auto"/>
        <w:jc w:val="both"/>
        <w:rPr>
          <w:rFonts w:ascii="ITC Avant Garde Std Bk" w:eastAsia="Times New Roman" w:hAnsi="ITC Avant Garde Std Bk" w:cs="Times New Roman"/>
          <w:color w:val="000000"/>
          <w:lang w:eastAsia="es-MX"/>
        </w:rPr>
      </w:pPr>
      <w:r>
        <w:rPr>
          <w:rFonts w:ascii="ITC Avant Garde Std Bk" w:eastAsia="Times New Roman" w:hAnsi="ITC Avant Garde Std Bk" w:cs="Times New Roman"/>
          <w:color w:val="000000"/>
          <w:lang w:eastAsia="es-MX"/>
        </w:rPr>
        <w:t>Efectos en términos de</w:t>
      </w:r>
      <w:r w:rsidRPr="00AB5441">
        <w:rPr>
          <w:rFonts w:ascii="ITC Avant Garde Std Bk" w:eastAsia="Times New Roman" w:hAnsi="ITC Avant Garde Std Bk" w:cs="Times New Roman"/>
          <w:color w:val="000000"/>
          <w:lang w:eastAsia="es-MX"/>
        </w:rPr>
        <w:t xml:space="preserve"> competencia.</w:t>
      </w:r>
    </w:p>
    <w:p w14:paraId="0426D279" w14:textId="77777777" w:rsidR="00FA1A63" w:rsidRDefault="00FA1A63" w:rsidP="00FA1A63">
      <w:pPr>
        <w:pStyle w:val="Prrafodelista"/>
        <w:numPr>
          <w:ilvl w:val="0"/>
          <w:numId w:val="25"/>
        </w:numPr>
        <w:spacing w:after="0" w:line="276" w:lineRule="auto"/>
        <w:jc w:val="both"/>
        <w:rPr>
          <w:rFonts w:ascii="ITC Avant Garde Std Bk" w:eastAsia="Times New Roman" w:hAnsi="ITC Avant Garde Std Bk" w:cs="Times New Roman"/>
          <w:color w:val="000000"/>
          <w:lang w:eastAsia="es-MX"/>
        </w:rPr>
      </w:pPr>
      <w:r w:rsidRPr="00AB5441">
        <w:rPr>
          <w:rFonts w:ascii="ITC Avant Garde Std Bk" w:eastAsia="Times New Roman" w:hAnsi="ITC Avant Garde Std Bk" w:cs="Times New Roman"/>
          <w:color w:val="000000"/>
          <w:lang w:eastAsia="es-MX"/>
        </w:rPr>
        <w:t>Modificación, supresión o adición de las medidas.</w:t>
      </w:r>
    </w:p>
    <w:p w14:paraId="60651BE9" w14:textId="77777777" w:rsidR="00FA1A63" w:rsidRPr="00596327" w:rsidRDefault="00FA1A63" w:rsidP="00FA1A63">
      <w:pPr>
        <w:pStyle w:val="Prrafodelista"/>
        <w:spacing w:after="0" w:line="276" w:lineRule="auto"/>
        <w:jc w:val="both"/>
        <w:rPr>
          <w:rFonts w:ascii="ITC Avant Garde Std Bk" w:eastAsia="Times New Roman" w:hAnsi="ITC Avant Garde Std Bk" w:cs="Times New Roman"/>
          <w:color w:val="000000"/>
          <w:lang w:eastAsia="es-MX"/>
        </w:rPr>
      </w:pPr>
    </w:p>
    <w:p w14:paraId="21EC9D14" w14:textId="4F35DB69" w:rsidR="00FA1A63" w:rsidRDefault="00FA1A63" w:rsidP="00E422F4">
      <w:pPr>
        <w:spacing w:after="0"/>
        <w:jc w:val="both"/>
        <w:rPr>
          <w:rFonts w:ascii="ITC Avant Garde" w:hAnsi="ITC Avant Garde"/>
        </w:rPr>
      </w:pPr>
      <w:r>
        <w:rPr>
          <w:rFonts w:ascii="ITC Avant Garde" w:hAnsi="ITC Avant Garde"/>
        </w:rPr>
        <w:t>Por lo anterior, e</w:t>
      </w:r>
      <w:r w:rsidR="00343F64">
        <w:rPr>
          <w:rFonts w:ascii="ITC Avant Garde" w:hAnsi="ITC Avant Garde"/>
        </w:rPr>
        <w:t>n los comentarios que se remitan</w:t>
      </w:r>
      <w:r>
        <w:rPr>
          <w:rFonts w:ascii="ITC Avant Garde" w:hAnsi="ITC Avant Garde"/>
        </w:rPr>
        <w:t>, se espera que se ofrezca respuesta a las siguientes preguntas:</w:t>
      </w:r>
    </w:p>
    <w:p w14:paraId="0D52BD2B" w14:textId="77777777" w:rsidR="00FA1A63" w:rsidRPr="00AB5441" w:rsidRDefault="00FA1A63" w:rsidP="00E422F4">
      <w:pPr>
        <w:spacing w:after="0"/>
        <w:jc w:val="both"/>
        <w:rPr>
          <w:rFonts w:ascii="ITC Avant Garde" w:hAnsi="ITC Avant Garde"/>
        </w:rPr>
      </w:pPr>
    </w:p>
    <w:p w14:paraId="586116FA" w14:textId="437FB477" w:rsidR="00FA1A63" w:rsidRDefault="00FA1A63" w:rsidP="00E422F4">
      <w:pPr>
        <w:pStyle w:val="Prrafodelista"/>
        <w:numPr>
          <w:ilvl w:val="0"/>
          <w:numId w:val="24"/>
        </w:numPr>
        <w:spacing w:after="0"/>
        <w:jc w:val="both"/>
        <w:rPr>
          <w:rFonts w:ascii="ITC Avant Garde" w:hAnsi="ITC Avant Garde"/>
        </w:rPr>
      </w:pPr>
      <w:r w:rsidRPr="00AB5441">
        <w:rPr>
          <w:rFonts w:ascii="ITC Avant Garde" w:hAnsi="ITC Avant Garde"/>
        </w:rPr>
        <w:t xml:space="preserve">¿Cuáles </w:t>
      </w:r>
      <w:r w:rsidR="00806BEA">
        <w:rPr>
          <w:rFonts w:ascii="ITC Avant Garde" w:hAnsi="ITC Avant Garde"/>
        </w:rPr>
        <w:t>fue la efectividad</w:t>
      </w:r>
      <w:r w:rsidRPr="00AB5441">
        <w:rPr>
          <w:rFonts w:ascii="ITC Avant Garde" w:hAnsi="ITC Avant Garde"/>
        </w:rPr>
        <w:t xml:space="preserve"> de las medidas de regulación asimétrica aplicables a los Agentes Económicos Preponderantes </w:t>
      </w:r>
      <w:r>
        <w:rPr>
          <w:rFonts w:ascii="ITC Avant Garde" w:hAnsi="ITC Avant Garde"/>
        </w:rPr>
        <w:t>en términos de</w:t>
      </w:r>
      <w:r w:rsidRPr="00AB5441">
        <w:rPr>
          <w:rFonts w:ascii="ITC Avant Garde" w:hAnsi="ITC Avant Garde"/>
        </w:rPr>
        <w:t xml:space="preserve"> competencia en el sector?</w:t>
      </w:r>
    </w:p>
    <w:p w14:paraId="41272514" w14:textId="77777777" w:rsidR="00806BEA" w:rsidRPr="00AB5441" w:rsidRDefault="00806BEA" w:rsidP="00806BEA">
      <w:pPr>
        <w:pStyle w:val="Prrafodelista"/>
        <w:numPr>
          <w:ilvl w:val="0"/>
          <w:numId w:val="24"/>
        </w:numPr>
        <w:spacing w:after="0"/>
        <w:jc w:val="both"/>
        <w:rPr>
          <w:rFonts w:ascii="ITC Avant Garde" w:hAnsi="ITC Avant Garde"/>
        </w:rPr>
      </w:pPr>
      <w:r w:rsidRPr="00AB5441">
        <w:rPr>
          <w:rFonts w:ascii="ITC Avant Garde" w:hAnsi="ITC Avant Garde"/>
        </w:rPr>
        <w:t>¿Cuál fue la efectividad</w:t>
      </w:r>
      <w:r>
        <w:rPr>
          <w:rFonts w:ascii="ITC Avant Garde" w:hAnsi="ITC Avant Garde"/>
        </w:rPr>
        <w:t xml:space="preserve"> regulatoria</w:t>
      </w:r>
      <w:r w:rsidRPr="00AB5441">
        <w:rPr>
          <w:rFonts w:ascii="ITC Avant Garde" w:hAnsi="ITC Avant Garde"/>
        </w:rPr>
        <w:t xml:space="preserve"> de las medidas de regulación asimétrica aplicables a los Agentes Económicos Preponderantes?</w:t>
      </w:r>
    </w:p>
    <w:p w14:paraId="1FBB4A2A" w14:textId="602F1DCA" w:rsidR="00FA1A63" w:rsidRPr="00AB5441" w:rsidRDefault="00FA1A63" w:rsidP="00E422F4">
      <w:pPr>
        <w:pStyle w:val="Prrafodelista"/>
        <w:numPr>
          <w:ilvl w:val="0"/>
          <w:numId w:val="24"/>
        </w:numPr>
        <w:spacing w:after="0"/>
        <w:jc w:val="both"/>
        <w:rPr>
          <w:rFonts w:ascii="ITC Avant Garde" w:hAnsi="ITC Avant Garde"/>
        </w:rPr>
      </w:pPr>
      <w:r w:rsidRPr="00AB5441">
        <w:rPr>
          <w:rFonts w:ascii="ITC Avant Garde" w:hAnsi="ITC Avant Garde"/>
        </w:rPr>
        <w:t xml:space="preserve">¿Cuáles han sido los beneficios </w:t>
      </w:r>
      <w:r>
        <w:rPr>
          <w:rFonts w:ascii="ITC Avant Garde" w:hAnsi="ITC Avant Garde"/>
        </w:rPr>
        <w:t xml:space="preserve">a los </w:t>
      </w:r>
      <w:r w:rsidRPr="00AB5441">
        <w:rPr>
          <w:rFonts w:ascii="ITC Avant Garde" w:hAnsi="ITC Avant Garde"/>
        </w:rPr>
        <w:t>concesionarios</w:t>
      </w:r>
      <w:r w:rsidR="00343F64">
        <w:rPr>
          <w:rFonts w:ascii="ITC Avant Garde" w:hAnsi="ITC Avant Garde"/>
        </w:rPr>
        <w:t>, autorizados</w:t>
      </w:r>
      <w:r w:rsidRPr="00AB5441">
        <w:rPr>
          <w:rFonts w:ascii="ITC Avant Garde" w:hAnsi="ITC Avant Garde"/>
        </w:rPr>
        <w:t xml:space="preserve"> y usuarios finales</w:t>
      </w:r>
      <w:r>
        <w:rPr>
          <w:rFonts w:ascii="ITC Avant Garde" w:hAnsi="ITC Avant Garde"/>
        </w:rPr>
        <w:t xml:space="preserve"> generados por el establecimiento de las medidas de </w:t>
      </w:r>
      <w:r w:rsidRPr="00AB5441">
        <w:rPr>
          <w:rFonts w:ascii="ITC Avant Garde" w:hAnsi="ITC Avant Garde"/>
        </w:rPr>
        <w:t>regulación asimétrica aplicables a los Agentes Económicos Preponderantes?</w:t>
      </w:r>
    </w:p>
    <w:p w14:paraId="6F1902D3" w14:textId="77777777" w:rsidR="00FA1A63" w:rsidRPr="00032D65" w:rsidRDefault="00FA1A63" w:rsidP="00E422F4">
      <w:pPr>
        <w:pStyle w:val="Prrafodelista"/>
        <w:numPr>
          <w:ilvl w:val="0"/>
          <w:numId w:val="24"/>
        </w:numPr>
        <w:spacing w:after="0"/>
        <w:jc w:val="both"/>
        <w:rPr>
          <w:rFonts w:ascii="ITC Avant Garde" w:hAnsi="ITC Avant Garde"/>
        </w:rPr>
      </w:pPr>
      <w:r w:rsidRPr="00AB5441">
        <w:rPr>
          <w:rFonts w:ascii="ITC Avant Garde" w:hAnsi="ITC Avant Garde"/>
        </w:rPr>
        <w:t>¿Cuáles medidas deberían modificarse, suprimirse o adicionarse y por qué?</w:t>
      </w:r>
    </w:p>
    <w:p w14:paraId="2D8E4320" w14:textId="77777777" w:rsidR="00FA1A63" w:rsidRDefault="00FA1A63" w:rsidP="00E422F4">
      <w:pPr>
        <w:pStyle w:val="Prrafodelista"/>
        <w:numPr>
          <w:ilvl w:val="0"/>
          <w:numId w:val="24"/>
        </w:numPr>
        <w:spacing w:after="0"/>
        <w:jc w:val="both"/>
        <w:rPr>
          <w:rFonts w:ascii="ITC Avant Garde" w:hAnsi="ITC Avant Garde"/>
        </w:rPr>
      </w:pPr>
      <w:r>
        <w:rPr>
          <w:rFonts w:ascii="ITC Avant Garde" w:hAnsi="ITC Avant Garde"/>
        </w:rPr>
        <w:t>¿Cuál ha sido la principal problemática que enfrentan los concesionarios para tener acceso a los servicios ofrecidos por el Agente Económico Preponderante?</w:t>
      </w:r>
    </w:p>
    <w:p w14:paraId="45B200CF" w14:textId="77777777" w:rsidR="00FA1A63" w:rsidRDefault="00FA1A63" w:rsidP="00E422F4">
      <w:pPr>
        <w:pStyle w:val="Prrafodelista"/>
        <w:numPr>
          <w:ilvl w:val="0"/>
          <w:numId w:val="24"/>
        </w:numPr>
        <w:spacing w:after="0"/>
        <w:jc w:val="both"/>
        <w:rPr>
          <w:rFonts w:ascii="ITC Avant Garde" w:hAnsi="ITC Avant Garde"/>
        </w:rPr>
      </w:pPr>
      <w:r w:rsidRPr="00AB5441">
        <w:rPr>
          <w:rFonts w:ascii="ITC Avant Garde" w:hAnsi="ITC Avant Garde"/>
        </w:rPr>
        <w:t>¿Cuál sería el periodo adecuado para la siguiente revisión</w:t>
      </w:r>
      <w:r>
        <w:rPr>
          <w:rFonts w:ascii="ITC Avant Garde" w:hAnsi="ITC Avant Garde"/>
        </w:rPr>
        <w:t xml:space="preserve"> de medidas de regulación asimétrica aplicables a los Agentes Económicos Preponderantes</w:t>
      </w:r>
      <w:r w:rsidRPr="00AB5441">
        <w:rPr>
          <w:rFonts w:ascii="ITC Avant Garde" w:hAnsi="ITC Avant Garde"/>
        </w:rPr>
        <w:t>?</w:t>
      </w:r>
    </w:p>
    <w:p w14:paraId="29434DB0" w14:textId="77777777" w:rsidR="00FA1A63" w:rsidRDefault="00FA1A63" w:rsidP="00E422F4">
      <w:pPr>
        <w:spacing w:after="0"/>
        <w:jc w:val="both"/>
        <w:rPr>
          <w:rFonts w:ascii="ITC Avant Garde" w:hAnsi="ITC Avant Garde"/>
        </w:rPr>
      </w:pPr>
    </w:p>
    <w:p w14:paraId="66646962" w14:textId="50CDB98D" w:rsidR="00962D3B" w:rsidRPr="006A7548" w:rsidRDefault="00343F64" w:rsidP="006A7548">
      <w:pPr>
        <w:spacing w:after="0"/>
        <w:jc w:val="both"/>
        <w:rPr>
          <w:rFonts w:ascii="ITC Avant Garde" w:hAnsi="ITC Avant Garde"/>
        </w:rPr>
      </w:pPr>
      <w:r>
        <w:rPr>
          <w:rFonts w:ascii="ITC Avant Garde" w:hAnsi="ITC Avant Garde"/>
        </w:rPr>
        <w:t>Las aportaciones que realicen los participantes deberán ajustarse a la mecánica de participación en las respectivas consultas públicas para telecomunicaciones y radiodifusión.</w:t>
      </w:r>
    </w:p>
    <w:sectPr w:rsidR="00962D3B" w:rsidRPr="006A754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6C82A" w14:textId="77777777" w:rsidR="00007413" w:rsidRDefault="00007413" w:rsidP="0083720F">
      <w:pPr>
        <w:spacing w:after="0" w:line="240" w:lineRule="auto"/>
      </w:pPr>
      <w:r>
        <w:separator/>
      </w:r>
    </w:p>
  </w:endnote>
  <w:endnote w:type="continuationSeparator" w:id="0">
    <w:p w14:paraId="3805E072" w14:textId="77777777" w:rsidR="00007413" w:rsidRDefault="00007413" w:rsidP="0083720F">
      <w:pPr>
        <w:spacing w:after="0" w:line="240" w:lineRule="auto"/>
      </w:pPr>
      <w:r>
        <w:continuationSeparator/>
      </w:r>
    </w:p>
  </w:endnote>
  <w:endnote w:type="continuationNotice" w:id="1">
    <w:p w14:paraId="583F6FDD" w14:textId="77777777" w:rsidR="00007413" w:rsidRDefault="00007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Titillium Up">
    <w:altName w:val="Titillium Up"/>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895372"/>
      <w:docPartObj>
        <w:docPartGallery w:val="Page Numbers (Bottom of Page)"/>
        <w:docPartUnique/>
      </w:docPartObj>
    </w:sdtPr>
    <w:sdtEndPr/>
    <w:sdtContent>
      <w:p w14:paraId="463D9152" w14:textId="77777777" w:rsidR="009552E4" w:rsidRDefault="009552E4">
        <w:pPr>
          <w:pStyle w:val="Piedepgina"/>
          <w:jc w:val="right"/>
        </w:pPr>
        <w:r>
          <w:fldChar w:fldCharType="begin"/>
        </w:r>
        <w:r>
          <w:instrText>PAGE   \* MERGEFORMAT</w:instrText>
        </w:r>
        <w:r>
          <w:fldChar w:fldCharType="separate"/>
        </w:r>
        <w:r w:rsidR="006C765F" w:rsidRPr="006C765F">
          <w:rPr>
            <w:noProof/>
            <w:lang w:val="es-ES"/>
          </w:rPr>
          <w:t>14</w:t>
        </w:r>
        <w:r>
          <w:fldChar w:fldCharType="end"/>
        </w:r>
      </w:p>
    </w:sdtContent>
  </w:sdt>
  <w:p w14:paraId="42FCBDF9" w14:textId="77777777" w:rsidR="009552E4" w:rsidRDefault="009552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4E721" w14:textId="77777777" w:rsidR="00007413" w:rsidRDefault="00007413" w:rsidP="0083720F">
      <w:pPr>
        <w:spacing w:after="0" w:line="240" w:lineRule="auto"/>
      </w:pPr>
      <w:r>
        <w:separator/>
      </w:r>
    </w:p>
  </w:footnote>
  <w:footnote w:type="continuationSeparator" w:id="0">
    <w:p w14:paraId="6D5F2DF6" w14:textId="77777777" w:rsidR="00007413" w:rsidRDefault="00007413" w:rsidP="0083720F">
      <w:pPr>
        <w:spacing w:after="0" w:line="240" w:lineRule="auto"/>
      </w:pPr>
      <w:r>
        <w:continuationSeparator/>
      </w:r>
    </w:p>
  </w:footnote>
  <w:footnote w:type="continuationNotice" w:id="1">
    <w:p w14:paraId="1691B85D" w14:textId="77777777" w:rsidR="00007413" w:rsidRDefault="00007413">
      <w:pPr>
        <w:spacing w:after="0" w:line="240" w:lineRule="auto"/>
      </w:pPr>
    </w:p>
  </w:footnote>
  <w:footnote w:id="2">
    <w:p w14:paraId="73941441" w14:textId="77777777" w:rsidR="009552E4" w:rsidRPr="00343446" w:rsidRDefault="009552E4">
      <w:pPr>
        <w:pStyle w:val="Textonotapie"/>
        <w:rPr>
          <w:rFonts w:ascii="ITC Avant Garde" w:hAnsi="ITC Avant Garde"/>
          <w:sz w:val="14"/>
          <w:szCs w:val="14"/>
        </w:rPr>
      </w:pPr>
      <w:r w:rsidRPr="00343446">
        <w:rPr>
          <w:rStyle w:val="Refdenotaalpie"/>
          <w:rFonts w:ascii="ITC Avant Garde" w:hAnsi="ITC Avant Garde"/>
          <w:sz w:val="14"/>
          <w:szCs w:val="14"/>
        </w:rPr>
        <w:footnoteRef/>
      </w:r>
      <w:r w:rsidRPr="00343446">
        <w:rPr>
          <w:rFonts w:ascii="ITC Avant Garde" w:hAnsi="ITC Avant Garde"/>
          <w:sz w:val="14"/>
          <w:szCs w:val="14"/>
        </w:rPr>
        <w:t>Disponible en: http://www.dof.gob.mx/nota_detalle.php?codigo=5301941&amp;fecha=11/06/2013</w:t>
      </w:r>
    </w:p>
  </w:footnote>
  <w:footnote w:id="3">
    <w:p w14:paraId="12D9EE43" w14:textId="77777777" w:rsidR="009552E4" w:rsidRPr="00343446" w:rsidRDefault="009552E4">
      <w:pPr>
        <w:pStyle w:val="Textonotapie"/>
        <w:rPr>
          <w:rFonts w:ascii="ITC Avant Garde" w:hAnsi="ITC Avant Garde"/>
          <w:sz w:val="14"/>
          <w:szCs w:val="14"/>
        </w:rPr>
      </w:pPr>
      <w:r w:rsidRPr="00343446">
        <w:rPr>
          <w:rStyle w:val="Refdenotaalpie"/>
          <w:rFonts w:ascii="ITC Avant Garde" w:hAnsi="ITC Avant Garde"/>
          <w:sz w:val="14"/>
          <w:szCs w:val="14"/>
        </w:rPr>
        <w:footnoteRef/>
      </w:r>
      <w:r w:rsidRPr="00343446">
        <w:rPr>
          <w:rFonts w:ascii="ITC Avant Garde" w:hAnsi="ITC Avant Garde"/>
          <w:sz w:val="14"/>
          <w:szCs w:val="14"/>
        </w:rPr>
        <w:t xml:space="preserve"> Disponible en: http://www.diputados.gob.mx/LeyesBiblio/pdf/1_29ene16.pdf</w:t>
      </w:r>
    </w:p>
  </w:footnote>
  <w:footnote w:id="4">
    <w:p w14:paraId="4D964280" w14:textId="77777777" w:rsidR="009552E4" w:rsidRPr="00343446" w:rsidRDefault="009552E4">
      <w:pPr>
        <w:pStyle w:val="Textonotapie"/>
        <w:rPr>
          <w:rFonts w:ascii="ITC Avant Garde" w:hAnsi="ITC Avant Garde"/>
          <w:sz w:val="14"/>
          <w:szCs w:val="14"/>
        </w:rPr>
      </w:pPr>
      <w:r w:rsidRPr="00343446">
        <w:rPr>
          <w:rStyle w:val="Refdenotaalpie"/>
          <w:rFonts w:ascii="ITC Avant Garde" w:hAnsi="ITC Avant Garde"/>
          <w:sz w:val="14"/>
          <w:szCs w:val="14"/>
        </w:rPr>
        <w:footnoteRef/>
      </w:r>
      <w:r w:rsidRPr="00343446">
        <w:rPr>
          <w:rFonts w:ascii="ITC Avant Garde" w:hAnsi="ITC Avant Garde"/>
          <w:sz w:val="14"/>
          <w:szCs w:val="14"/>
        </w:rPr>
        <w:t xml:space="preserve"> Versión pública disponible en: http://apps.ift.org.mx/publicdata/P_IFT_EXT_060314_76_Version_Publica_Hoja.pdf</w:t>
      </w:r>
    </w:p>
  </w:footnote>
  <w:footnote w:id="5">
    <w:p w14:paraId="18821141" w14:textId="77777777" w:rsidR="009552E4" w:rsidRPr="00B517B4" w:rsidRDefault="009552E4" w:rsidP="00877C96">
      <w:pPr>
        <w:pStyle w:val="Textonotapie"/>
        <w:rPr>
          <w:rFonts w:ascii="ITC Avant Garde" w:hAnsi="ITC Avant Garde"/>
          <w:sz w:val="14"/>
          <w:szCs w:val="14"/>
        </w:rPr>
      </w:pPr>
      <w:r w:rsidRPr="00B517B4">
        <w:rPr>
          <w:rStyle w:val="Refdenotaalpie"/>
          <w:rFonts w:ascii="ITC Avant Garde" w:hAnsi="ITC Avant Garde"/>
          <w:sz w:val="14"/>
          <w:szCs w:val="14"/>
        </w:rPr>
        <w:footnoteRef/>
      </w:r>
      <w:r w:rsidRPr="00B517B4">
        <w:rPr>
          <w:rFonts w:ascii="ITC Avant Garde" w:hAnsi="ITC Avant Garde"/>
          <w:sz w:val="14"/>
          <w:szCs w:val="14"/>
        </w:rPr>
        <w:t xml:space="preserve"> Versión pública disponible en: http://www.ift.org.mx/sites/default/files/p_ift_ext_060314_77.pdf</w:t>
      </w:r>
    </w:p>
  </w:footnote>
  <w:footnote w:id="6">
    <w:p w14:paraId="50DC9B8A" w14:textId="77777777" w:rsidR="009552E4" w:rsidRPr="007F620E" w:rsidRDefault="009552E4">
      <w:pPr>
        <w:pStyle w:val="Textonotapie"/>
        <w:rPr>
          <w:rFonts w:ascii="ITC Avant Garde" w:hAnsi="ITC Avant Garde"/>
          <w:sz w:val="14"/>
          <w:szCs w:val="14"/>
        </w:rPr>
      </w:pPr>
      <w:r w:rsidRPr="007F620E">
        <w:rPr>
          <w:rStyle w:val="Refdenotaalpie"/>
          <w:rFonts w:ascii="ITC Avant Garde" w:hAnsi="ITC Avant Garde"/>
          <w:sz w:val="14"/>
          <w:szCs w:val="14"/>
        </w:rPr>
        <w:footnoteRef/>
      </w:r>
      <w:r w:rsidRPr="007F620E">
        <w:rPr>
          <w:rFonts w:ascii="ITC Avant Garde" w:hAnsi="ITC Avant Garde"/>
          <w:sz w:val="14"/>
          <w:szCs w:val="14"/>
        </w:rPr>
        <w:t xml:space="preserve"> Versión pública disponible en: http://www.ift.org.mx/sites/default/files/anexo_1-resolucion_preponderancia_tv_1.pdf</w:t>
      </w:r>
    </w:p>
  </w:footnote>
  <w:footnote w:id="7">
    <w:p w14:paraId="3A47EE6D" w14:textId="77777777" w:rsidR="009552E4" w:rsidRPr="00E810BB" w:rsidRDefault="009552E4">
      <w:pPr>
        <w:pStyle w:val="Textonotapie"/>
        <w:rPr>
          <w:rFonts w:ascii="ITC Avant Garde" w:hAnsi="ITC Avant Garde"/>
          <w:sz w:val="14"/>
          <w:szCs w:val="14"/>
        </w:rPr>
      </w:pPr>
      <w:r w:rsidRPr="00E810BB">
        <w:rPr>
          <w:rStyle w:val="Refdenotaalpie"/>
          <w:rFonts w:ascii="ITC Avant Garde" w:hAnsi="ITC Avant Garde"/>
          <w:sz w:val="14"/>
          <w:szCs w:val="14"/>
        </w:rPr>
        <w:footnoteRef/>
      </w:r>
      <w:r w:rsidRPr="00E810BB">
        <w:rPr>
          <w:rFonts w:ascii="ITC Avant Garde" w:hAnsi="ITC Avant Garde"/>
          <w:sz w:val="14"/>
          <w:szCs w:val="14"/>
        </w:rPr>
        <w:t xml:space="preserve"> Las ofertas de referencia del AEP pueden consultarse en la página del Instituto: </w:t>
      </w:r>
      <w:hyperlink r:id="rId1" w:history="1">
        <w:r w:rsidRPr="00E810BB">
          <w:rPr>
            <w:rStyle w:val="Hipervnculo"/>
            <w:rFonts w:ascii="ITC Avant Garde" w:hAnsi="ITC Avant Garde"/>
            <w:sz w:val="14"/>
            <w:szCs w:val="14"/>
          </w:rPr>
          <w:t>http://www.ift.org.mx/politica-regulatoria/ofertas-de-referencia-2016-2017</w:t>
        </w:r>
      </w:hyperlink>
      <w:r>
        <w:rPr>
          <w:rFonts w:ascii="ITC Avant Garde" w:hAnsi="ITC Avant Garde"/>
          <w:sz w:val="14"/>
          <w:szCs w:val="14"/>
        </w:rPr>
        <w:t xml:space="preserve">. </w:t>
      </w:r>
      <w:r w:rsidRPr="00E810BB">
        <w:rPr>
          <w:rFonts w:ascii="ITC Avant Garde" w:hAnsi="ITC Avant Garde"/>
          <w:sz w:val="14"/>
          <w:szCs w:val="14"/>
        </w:rPr>
        <w:t xml:space="preserve">Así como en las páginas del AEP: </w:t>
      </w:r>
      <w:hyperlink r:id="rId2" w:history="1">
        <w:r w:rsidRPr="00E810BB">
          <w:rPr>
            <w:rStyle w:val="Hipervnculo"/>
            <w:rFonts w:ascii="ITC Avant Garde" w:hAnsi="ITC Avant Garde"/>
            <w:sz w:val="14"/>
            <w:szCs w:val="14"/>
          </w:rPr>
          <w:t>http://www.telcel.com/oferta-de-servicios-mayoristas</w:t>
        </w:r>
      </w:hyperlink>
      <w:r>
        <w:rPr>
          <w:rFonts w:ascii="ITC Avant Garde" w:hAnsi="ITC Avant Garde"/>
          <w:sz w:val="14"/>
          <w:szCs w:val="14"/>
        </w:rPr>
        <w:t xml:space="preserve">, </w:t>
      </w:r>
      <w:hyperlink r:id="rId3" w:history="1">
        <w:r w:rsidRPr="00900EAC">
          <w:rPr>
            <w:rStyle w:val="Hipervnculo"/>
            <w:rFonts w:ascii="ITC Avant Garde" w:hAnsi="ITC Avant Garde"/>
            <w:sz w:val="14"/>
            <w:szCs w:val="14"/>
          </w:rPr>
          <w:t>http://www.telmex.com/web/acerca-de-telmex/oferta-mayoristas</w:t>
        </w:r>
      </w:hyperlink>
      <w:r>
        <w:rPr>
          <w:rFonts w:ascii="ITC Avant Garde" w:hAnsi="ITC Avant Garde"/>
          <w:sz w:val="14"/>
          <w:szCs w:val="14"/>
        </w:rPr>
        <w:t xml:space="preserve">,, </w:t>
      </w:r>
      <w:hyperlink r:id="rId4" w:history="1">
        <w:r w:rsidRPr="00900EAC">
          <w:rPr>
            <w:rStyle w:val="Hipervnculo"/>
            <w:rFonts w:ascii="ITC Avant Garde" w:hAnsi="ITC Avant Garde"/>
            <w:sz w:val="14"/>
            <w:szCs w:val="14"/>
          </w:rPr>
          <w:t>https://www.telnor.com/oferta-de-servicios-mayoristas</w:t>
        </w:r>
      </w:hyperlink>
      <w:r>
        <w:rPr>
          <w:rFonts w:ascii="ITC Avant Garde" w:hAnsi="ITC Avant Garde"/>
          <w:sz w:val="14"/>
          <w:szCs w:val="14"/>
        </w:rPr>
        <w:t xml:space="preserve">  </w:t>
      </w:r>
    </w:p>
  </w:footnote>
  <w:footnote w:id="8">
    <w:p w14:paraId="749297A6" w14:textId="77777777" w:rsidR="009552E4" w:rsidRPr="00E810BB" w:rsidRDefault="009552E4">
      <w:pPr>
        <w:pStyle w:val="Textonotapie"/>
        <w:rPr>
          <w:rFonts w:ascii="ITC Avant Garde" w:hAnsi="ITC Avant Garde"/>
          <w:sz w:val="14"/>
          <w:szCs w:val="14"/>
        </w:rPr>
      </w:pPr>
      <w:r w:rsidRPr="002A5658">
        <w:rPr>
          <w:rStyle w:val="Refdenotaalpie"/>
          <w:rFonts w:ascii="ITC Avant Garde" w:hAnsi="ITC Avant Garde"/>
          <w:sz w:val="14"/>
          <w:szCs w:val="14"/>
        </w:rPr>
        <w:footnoteRef/>
      </w:r>
      <w:r w:rsidRPr="002A5658">
        <w:rPr>
          <w:rFonts w:ascii="ITC Avant Garde" w:hAnsi="ITC Avant Garde"/>
          <w:sz w:val="14"/>
          <w:szCs w:val="14"/>
        </w:rPr>
        <w:t xml:space="preserve"> Se puede consultar la información en http://www.ift.org.mx/recursos-de-informacion/registro-publico-de-concesiones</w:t>
      </w:r>
    </w:p>
  </w:footnote>
  <w:footnote w:id="9">
    <w:p w14:paraId="36D0A328" w14:textId="77777777" w:rsidR="009552E4" w:rsidRPr="0080043F" w:rsidRDefault="009552E4" w:rsidP="001B6547">
      <w:pPr>
        <w:pStyle w:val="Textonotapie"/>
        <w:jc w:val="both"/>
        <w:rPr>
          <w:rFonts w:ascii="ITC Avant Garde" w:hAnsi="ITC Avant Garde"/>
          <w:sz w:val="14"/>
          <w:szCs w:val="14"/>
        </w:rPr>
      </w:pPr>
      <w:r w:rsidRPr="0080043F">
        <w:rPr>
          <w:rStyle w:val="Refdenotaalpie"/>
          <w:rFonts w:ascii="ITC Avant Garde" w:hAnsi="ITC Avant Garde"/>
          <w:sz w:val="14"/>
          <w:szCs w:val="14"/>
        </w:rPr>
        <w:footnoteRef/>
      </w:r>
      <w:r w:rsidRPr="0080043F">
        <w:rPr>
          <w:rFonts w:ascii="ITC Avant Garde" w:hAnsi="ITC Avant Garde"/>
          <w:sz w:val="14"/>
          <w:szCs w:val="14"/>
        </w:rPr>
        <w:t xml:space="preserve"> </w:t>
      </w:r>
      <w:r w:rsidRPr="002A5658">
        <w:rPr>
          <w:rFonts w:ascii="ITC Avant Garde" w:hAnsi="ITC Avant Garde"/>
          <w:sz w:val="14"/>
          <w:szCs w:val="14"/>
        </w:rPr>
        <w:t xml:space="preserve">“Acuerdo mediante el cual el Pleno del Instituto Federal de Telecomunicaciones define los puntos de interconexión a la red pública de telecomunicaciones del Agente Económico Preponderante” (Acuerdo P/IFT/EXT/090215/43). Disponible en: </w:t>
      </w:r>
      <w:hyperlink r:id="rId5" w:history="1">
        <w:r w:rsidRPr="00900EAC">
          <w:rPr>
            <w:rStyle w:val="Hipervnculo"/>
            <w:rFonts w:ascii="ITC Avant Garde" w:hAnsi="ITC Avant Garde"/>
            <w:sz w:val="14"/>
            <w:szCs w:val="14"/>
          </w:rPr>
          <w:t>http://www.dof.gob.mx/nota_detalle.php?codigo=5382261&amp;fecha=17/02/2015</w:t>
        </w:r>
      </w:hyperlink>
      <w:r>
        <w:rPr>
          <w:rFonts w:ascii="ITC Avant Garde" w:hAnsi="ITC Avant Garde"/>
          <w:sz w:val="14"/>
          <w:szCs w:val="14"/>
        </w:rPr>
        <w:t xml:space="preserve"> </w:t>
      </w:r>
    </w:p>
  </w:footnote>
  <w:footnote w:id="10">
    <w:p w14:paraId="7D100613" w14:textId="77777777" w:rsidR="009552E4" w:rsidRPr="002A5658" w:rsidRDefault="009552E4" w:rsidP="001B6547">
      <w:pPr>
        <w:pStyle w:val="Textonotapie"/>
        <w:jc w:val="both"/>
        <w:rPr>
          <w:rFonts w:ascii="ITC Avant Garde" w:hAnsi="ITC Avant Garde"/>
          <w:sz w:val="14"/>
          <w:szCs w:val="14"/>
        </w:rPr>
      </w:pPr>
      <w:r w:rsidRPr="0080043F">
        <w:rPr>
          <w:rStyle w:val="Refdenotaalpie"/>
          <w:rFonts w:ascii="ITC Avant Garde" w:hAnsi="ITC Avant Garde"/>
          <w:sz w:val="14"/>
          <w:szCs w:val="14"/>
        </w:rPr>
        <w:footnoteRef/>
      </w:r>
      <w:r w:rsidRPr="0080043F">
        <w:rPr>
          <w:rFonts w:ascii="ITC Avant Garde" w:hAnsi="ITC Avant Garde"/>
          <w:sz w:val="14"/>
          <w:szCs w:val="14"/>
        </w:rPr>
        <w:t xml:space="preserve"> </w:t>
      </w:r>
      <w:r w:rsidRPr="002A5658">
        <w:rPr>
          <w:rFonts w:ascii="ITC Avant Garde" w:hAnsi="ITC Avant Garde"/>
          <w:sz w:val="14"/>
          <w:szCs w:val="14"/>
        </w:rPr>
        <w:t xml:space="preserve">“Acuerdo mediante el cual el Instituto Federal de Telecomunicaciones establece las condiciones técnicas mínimas para la interconexión entre concesionarios que operen redes públicas de telecomunicaciones” (Acuerdo P/IFT/EXT/191214/283). Disponible en: </w:t>
      </w:r>
      <w:hyperlink r:id="rId6" w:history="1">
        <w:r w:rsidRPr="00900EAC">
          <w:rPr>
            <w:rStyle w:val="Hipervnculo"/>
            <w:rFonts w:ascii="ITC Avant Garde" w:hAnsi="ITC Avant Garde"/>
            <w:sz w:val="14"/>
            <w:szCs w:val="14"/>
          </w:rPr>
          <w:t>http://dof.gob.mx/nota_detalle.php?codigo=5414402&amp;fecha=05/11/2015</w:t>
        </w:r>
      </w:hyperlink>
      <w:r>
        <w:rPr>
          <w:rFonts w:ascii="ITC Avant Garde" w:hAnsi="ITC Avant Garde"/>
          <w:sz w:val="14"/>
          <w:szCs w:val="14"/>
        </w:rPr>
        <w:t xml:space="preserve"> </w:t>
      </w:r>
    </w:p>
  </w:footnote>
  <w:footnote w:id="11">
    <w:p w14:paraId="6AC61138" w14:textId="77777777" w:rsidR="009552E4" w:rsidRPr="0080043F" w:rsidRDefault="009552E4">
      <w:pPr>
        <w:pStyle w:val="Textonotapie"/>
        <w:rPr>
          <w:rFonts w:ascii="ITC Avant Garde" w:hAnsi="ITC Avant Garde"/>
          <w:sz w:val="14"/>
          <w:szCs w:val="14"/>
        </w:rPr>
      </w:pPr>
      <w:r w:rsidRPr="0080043F">
        <w:rPr>
          <w:rStyle w:val="Refdenotaalpie"/>
          <w:rFonts w:ascii="ITC Avant Garde" w:hAnsi="ITC Avant Garde"/>
          <w:sz w:val="14"/>
          <w:szCs w:val="14"/>
        </w:rPr>
        <w:footnoteRef/>
      </w:r>
      <w:r w:rsidRPr="0080043F">
        <w:rPr>
          <w:rFonts w:ascii="ITC Avant Garde" w:hAnsi="ITC Avant Garde"/>
          <w:sz w:val="14"/>
          <w:szCs w:val="14"/>
        </w:rPr>
        <w:t xml:space="preserve"> Disponible en: </w:t>
      </w:r>
      <w:hyperlink r:id="rId7" w:history="1">
        <w:r w:rsidRPr="0080043F">
          <w:rPr>
            <w:rStyle w:val="Hipervnculo"/>
            <w:rFonts w:ascii="ITC Avant Garde" w:hAnsi="ITC Avant Garde"/>
            <w:sz w:val="14"/>
            <w:szCs w:val="14"/>
          </w:rPr>
          <w:t>http://www.ift.org.mx/politica-regulatoria/ofertas-de-referencia-2016-2017</w:t>
        </w:r>
      </w:hyperlink>
      <w:r>
        <w:rPr>
          <w:rFonts w:ascii="ITC Avant Garde" w:hAnsi="ITC Avant Garde"/>
          <w:sz w:val="14"/>
          <w:szCs w:val="14"/>
        </w:rPr>
        <w:t xml:space="preserve"> </w:t>
      </w:r>
    </w:p>
  </w:footnote>
  <w:footnote w:id="12">
    <w:p w14:paraId="4B8F772C" w14:textId="77777777" w:rsidR="009552E4" w:rsidRPr="002A5658" w:rsidRDefault="009552E4" w:rsidP="00A96F7B">
      <w:pPr>
        <w:pStyle w:val="Textonotapie"/>
        <w:jc w:val="both"/>
        <w:rPr>
          <w:rFonts w:ascii="ITC Avant Garde" w:hAnsi="ITC Avant Garde"/>
          <w:sz w:val="14"/>
          <w:szCs w:val="14"/>
        </w:rPr>
      </w:pPr>
      <w:r w:rsidRPr="002A5658">
        <w:rPr>
          <w:rFonts w:ascii="ITC Avant Garde" w:hAnsi="ITC Avant Garde"/>
          <w:sz w:val="14"/>
          <w:szCs w:val="14"/>
        </w:rPr>
        <w:footnoteRef/>
      </w:r>
      <w:r w:rsidRPr="002A5658">
        <w:rPr>
          <w:rFonts w:ascii="ITC Avant Garde" w:hAnsi="ITC Avant Garde"/>
          <w:sz w:val="14"/>
          <w:szCs w:val="14"/>
        </w:rPr>
        <w:t xml:space="preserve"> “Acuerdo mediante el cual el Pleno del Instituto Federal de Telecomunicaciones determina las tarifas asimétricas por los servicios de interconexión que cobrará el Agente Económico Preponderante” aprobado mediante acuerdo P /IFT /260314/17. Disponible en: </w:t>
      </w:r>
      <w:hyperlink r:id="rId8" w:history="1">
        <w:r w:rsidRPr="00900EAC">
          <w:rPr>
            <w:rStyle w:val="Hipervnculo"/>
            <w:rFonts w:ascii="ITC Avant Garde" w:hAnsi="ITC Avant Garde"/>
            <w:sz w:val="14"/>
            <w:szCs w:val="14"/>
          </w:rPr>
          <w:t>http://www.ift.org.mx/sites/default/files/p_ift_260314_17.pdf</w:t>
        </w:r>
      </w:hyperlink>
      <w:r>
        <w:rPr>
          <w:rFonts w:ascii="ITC Avant Garde" w:hAnsi="ITC Avant Garde"/>
          <w:sz w:val="14"/>
          <w:szCs w:val="14"/>
        </w:rPr>
        <w:t xml:space="preserve"> </w:t>
      </w:r>
    </w:p>
  </w:footnote>
  <w:footnote w:id="13">
    <w:p w14:paraId="59DBA721" w14:textId="77777777" w:rsidR="009552E4" w:rsidRPr="002A5658" w:rsidRDefault="009552E4" w:rsidP="001B6547">
      <w:pPr>
        <w:pStyle w:val="Textonotapie"/>
        <w:jc w:val="both"/>
        <w:rPr>
          <w:rFonts w:ascii="ITC Avant Garde" w:hAnsi="ITC Avant Garde"/>
          <w:sz w:val="14"/>
          <w:szCs w:val="14"/>
        </w:rPr>
      </w:pPr>
      <w:r w:rsidRPr="002A5658">
        <w:rPr>
          <w:rFonts w:ascii="ITC Avant Garde" w:hAnsi="ITC Avant Garde"/>
          <w:sz w:val="14"/>
          <w:szCs w:val="14"/>
        </w:rPr>
        <w:footnoteRef/>
      </w:r>
      <w:r w:rsidRPr="002A5658">
        <w:rPr>
          <w:rFonts w:ascii="ITC Avant Garde" w:hAnsi="ITC Avant Garde"/>
          <w:sz w:val="14"/>
          <w:szCs w:val="14"/>
        </w:rPr>
        <w:t xml:space="preserve"> Se refiere a la interconexión por minuto en el mismo nodo regional.</w:t>
      </w:r>
    </w:p>
  </w:footnote>
  <w:footnote w:id="14">
    <w:p w14:paraId="5AA77627" w14:textId="77777777" w:rsidR="000F4C0F" w:rsidRDefault="000F4C0F">
      <w:pPr>
        <w:pStyle w:val="Textonotapie"/>
      </w:pPr>
      <w:r>
        <w:rPr>
          <w:rStyle w:val="Refdenotaalpie"/>
        </w:rPr>
        <w:footnoteRef/>
      </w:r>
      <w:r>
        <w:t xml:space="preserve"> </w:t>
      </w:r>
      <w:r w:rsidRPr="000F4C0F">
        <w:rPr>
          <w:rFonts w:ascii="ITC Avant Garde" w:hAnsi="ITC Avant Garde"/>
          <w:sz w:val="14"/>
          <w:szCs w:val="14"/>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Pr>
          <w:rFonts w:ascii="ITC Avant Garde" w:hAnsi="ITC Avant Garde"/>
          <w:sz w:val="14"/>
          <w:szCs w:val="14"/>
        </w:rPr>
        <w:t xml:space="preserve">”. Disponible en: </w:t>
      </w:r>
      <w:hyperlink r:id="rId9" w:history="1">
        <w:r w:rsidRPr="00336F25">
          <w:rPr>
            <w:rStyle w:val="Hipervnculo"/>
            <w:rFonts w:ascii="ITC Avant Garde" w:hAnsi="ITC Avant Garde"/>
            <w:sz w:val="14"/>
            <w:szCs w:val="14"/>
          </w:rPr>
          <w:t>http://www.ift.org.mx/sites/default/files/contenidogeneral/politica-regulatoria/matift-tarifas-de-interconexion-2016.pdf</w:t>
        </w:r>
      </w:hyperlink>
      <w:r>
        <w:rPr>
          <w:rFonts w:ascii="ITC Avant Garde" w:hAnsi="ITC Avant Garde"/>
          <w:sz w:val="14"/>
          <w:szCs w:val="14"/>
          <w:u w:val="single"/>
        </w:rPr>
        <w:t xml:space="preserve"> </w:t>
      </w:r>
    </w:p>
  </w:footnote>
  <w:footnote w:id="15">
    <w:p w14:paraId="656C95D9" w14:textId="77777777" w:rsidR="009552E4" w:rsidRDefault="009552E4">
      <w:pPr>
        <w:pStyle w:val="Textonotapie"/>
      </w:pPr>
      <w:r>
        <w:rPr>
          <w:rStyle w:val="Refdenotaalpie"/>
        </w:rPr>
        <w:footnoteRef/>
      </w:r>
      <w:r>
        <w:t xml:space="preserve"> Disp</w:t>
      </w:r>
      <w:r w:rsidR="00723A58">
        <w:t>o</w:t>
      </w:r>
      <w:r>
        <w:t xml:space="preserve">nible en: </w:t>
      </w:r>
      <w:r w:rsidRPr="00B17D6D">
        <w:t>http://apps.ift.org.mx/publicdata/P_IFT_260615_162cAnexos.pdf</w:t>
      </w:r>
    </w:p>
  </w:footnote>
  <w:footnote w:id="16">
    <w:p w14:paraId="11BDA450" w14:textId="77777777" w:rsidR="009552E4" w:rsidRPr="00B17D6D" w:rsidRDefault="009552E4">
      <w:pPr>
        <w:pStyle w:val="Textonotapie"/>
        <w:rPr>
          <w:rFonts w:ascii="ITC Avant Garde" w:hAnsi="ITC Avant Garde"/>
          <w:sz w:val="14"/>
          <w:szCs w:val="14"/>
        </w:rPr>
      </w:pPr>
      <w:r w:rsidRPr="00B17D6D">
        <w:rPr>
          <w:rStyle w:val="Refdenotaalpie"/>
          <w:rFonts w:ascii="ITC Avant Garde" w:hAnsi="ITC Avant Garde"/>
          <w:sz w:val="14"/>
          <w:szCs w:val="14"/>
        </w:rPr>
        <w:footnoteRef/>
      </w:r>
      <w:r w:rsidRPr="00B17D6D">
        <w:rPr>
          <w:rFonts w:ascii="ITC Avant Garde" w:hAnsi="ITC Avant Garde"/>
          <w:sz w:val="14"/>
          <w:szCs w:val="14"/>
        </w:rPr>
        <w:t xml:space="preserve"> Las ofertas de referencia del AEP pueden consultarse en la página del Instituto: </w:t>
      </w:r>
      <w:hyperlink r:id="rId10" w:history="1">
        <w:r w:rsidRPr="00B17D6D">
          <w:rPr>
            <w:rStyle w:val="Hipervnculo"/>
            <w:rFonts w:ascii="ITC Avant Garde" w:hAnsi="ITC Avant Garde"/>
            <w:sz w:val="14"/>
            <w:szCs w:val="14"/>
          </w:rPr>
          <w:t>http://www.ift.org.mx/politica-regulatoria/ofertas-de-referencia-2016-2017</w:t>
        </w:r>
      </w:hyperlink>
      <w:r>
        <w:rPr>
          <w:rFonts w:ascii="ITC Avant Garde" w:hAnsi="ITC Avant Garde"/>
          <w:sz w:val="14"/>
          <w:szCs w:val="14"/>
        </w:rPr>
        <w:t xml:space="preserve">. </w:t>
      </w:r>
      <w:r w:rsidRPr="00B17D6D">
        <w:rPr>
          <w:rFonts w:ascii="ITC Avant Garde" w:hAnsi="ITC Avant Garde"/>
          <w:sz w:val="14"/>
          <w:szCs w:val="14"/>
        </w:rPr>
        <w:t xml:space="preserve">Así como en las páginas del AEP: </w:t>
      </w:r>
      <w:hyperlink r:id="rId11" w:history="1">
        <w:r w:rsidRPr="00B17D6D">
          <w:rPr>
            <w:rStyle w:val="Hipervnculo"/>
            <w:rFonts w:ascii="ITC Avant Garde" w:hAnsi="ITC Avant Garde"/>
            <w:sz w:val="14"/>
            <w:szCs w:val="14"/>
          </w:rPr>
          <w:t>http://www.telmex.com/web/acerca-de-telmex/oferta-mayoristas</w:t>
        </w:r>
      </w:hyperlink>
      <w:r w:rsidRPr="00B17D6D">
        <w:rPr>
          <w:rFonts w:ascii="ITC Avant Garde" w:hAnsi="ITC Avant Garde"/>
          <w:sz w:val="14"/>
          <w:szCs w:val="14"/>
        </w:rPr>
        <w:t xml:space="preserve">, y </w:t>
      </w:r>
      <w:hyperlink r:id="rId12" w:history="1">
        <w:r w:rsidRPr="00B17D6D">
          <w:rPr>
            <w:rStyle w:val="Hipervnculo"/>
            <w:rFonts w:ascii="ITC Avant Garde" w:hAnsi="ITC Avant Garde"/>
            <w:sz w:val="14"/>
            <w:szCs w:val="14"/>
          </w:rPr>
          <w:t>https://www.telnor.com/oferta-de-servicios-mayorista</w:t>
        </w:r>
        <w:r w:rsidRPr="00900EAC">
          <w:rPr>
            <w:rStyle w:val="Hipervnculo"/>
            <w:rFonts w:ascii="ITC Avant Garde" w:hAnsi="ITC Avant Garde"/>
            <w:sz w:val="14"/>
            <w:szCs w:val="14"/>
          </w:rPr>
          <w:t>s</w:t>
        </w:r>
      </w:hyperlink>
      <w:r>
        <w:rPr>
          <w:rFonts w:ascii="ITC Avant Garde" w:hAnsi="ITC Avant Garde"/>
          <w:sz w:val="14"/>
          <w:szCs w:val="14"/>
        </w:rPr>
        <w:t xml:space="preserve">  </w:t>
      </w:r>
    </w:p>
  </w:footnote>
  <w:footnote w:id="17">
    <w:p w14:paraId="6CB40B74" w14:textId="77777777" w:rsidR="009552E4" w:rsidRPr="009552E4" w:rsidRDefault="009552E4" w:rsidP="00B17D6D">
      <w:pPr>
        <w:pStyle w:val="Textonotapie"/>
        <w:jc w:val="both"/>
        <w:rPr>
          <w:rFonts w:ascii="ITC Avant Garde" w:hAnsi="ITC Avant Garde"/>
          <w:sz w:val="14"/>
          <w:szCs w:val="14"/>
        </w:rPr>
      </w:pPr>
      <w:r w:rsidRPr="00B17D6D">
        <w:rPr>
          <w:rStyle w:val="Refdenotaalpie"/>
          <w:rFonts w:ascii="ITC Avant Garde" w:hAnsi="ITC Avant Garde"/>
          <w:sz w:val="14"/>
          <w:szCs w:val="14"/>
        </w:rPr>
        <w:footnoteRef/>
      </w:r>
      <w:r w:rsidRPr="00B17D6D">
        <w:rPr>
          <w:rFonts w:ascii="ITC Avant Garde" w:hAnsi="ITC Avant Garde"/>
          <w:sz w:val="14"/>
          <w:szCs w:val="14"/>
        </w:rPr>
        <w:t xml:space="preserve"> </w:t>
      </w:r>
      <w:r>
        <w:rPr>
          <w:rFonts w:ascii="ITC Avant Garde" w:hAnsi="ITC Avant Garde"/>
          <w:sz w:val="14"/>
          <w:szCs w:val="14"/>
        </w:rPr>
        <w:t>“</w:t>
      </w:r>
      <w:r w:rsidRPr="007D7095">
        <w:rPr>
          <w:rFonts w:ascii="ITC Avant Garde" w:hAnsi="ITC Avant Garde"/>
          <w:sz w:val="14"/>
          <w:szCs w:val="14"/>
        </w:rPr>
        <w:t>RESOLUCIÓN MEDIANTE LA CUAL EL PLENO DEL INSTITUTO FEDERAL DE</w:t>
      </w:r>
      <w:r>
        <w:rPr>
          <w:rFonts w:ascii="ITC Avant Garde" w:hAnsi="ITC Avant Garde"/>
          <w:sz w:val="14"/>
          <w:szCs w:val="14"/>
        </w:rPr>
        <w:t xml:space="preserve"> </w:t>
      </w:r>
      <w:r w:rsidRPr="007D7095">
        <w:rPr>
          <w:rFonts w:ascii="ITC Avant Garde" w:hAnsi="ITC Avant Garde"/>
          <w:sz w:val="14"/>
          <w:szCs w:val="14"/>
        </w:rPr>
        <w:t>TELECOMUNICACIONES MODIFICA Y AUTORIZA LOS</w:t>
      </w:r>
      <w:r>
        <w:rPr>
          <w:rFonts w:ascii="ITC Avant Garde" w:hAnsi="ITC Avant Garde"/>
          <w:sz w:val="14"/>
          <w:szCs w:val="14"/>
        </w:rPr>
        <w:t xml:space="preserve"> </w:t>
      </w:r>
      <w:r w:rsidRPr="007D7095">
        <w:rPr>
          <w:rFonts w:ascii="ITC Avant Garde" w:hAnsi="ITC Avant Garde"/>
          <w:sz w:val="14"/>
          <w:szCs w:val="14"/>
        </w:rPr>
        <w:t>TÉRMIN</w:t>
      </w:r>
      <w:r>
        <w:rPr>
          <w:rFonts w:ascii="ITC Avant Garde" w:hAnsi="ITC Avant Garde"/>
          <w:sz w:val="14"/>
          <w:szCs w:val="14"/>
        </w:rPr>
        <w:t xml:space="preserve">OS Y CONDICIONES DE LA </w:t>
      </w:r>
      <w:r w:rsidRPr="007D7095">
        <w:rPr>
          <w:rFonts w:ascii="ITC Avant Garde" w:hAnsi="ITC Avant Garde"/>
          <w:sz w:val="14"/>
          <w:szCs w:val="14"/>
        </w:rPr>
        <w:t>OFERTA PÚBLICA DE INFRAESTRUCTURA PARA EL ACCESO Y USO DE INFRAESTRUCTUR</w:t>
      </w:r>
      <w:r>
        <w:rPr>
          <w:rFonts w:ascii="ITC Avant Garde" w:hAnsi="ITC Avant Garde"/>
          <w:sz w:val="14"/>
          <w:szCs w:val="14"/>
        </w:rPr>
        <w:t xml:space="preserve">A </w:t>
      </w:r>
      <w:r w:rsidRPr="007D7095">
        <w:rPr>
          <w:rFonts w:ascii="ITC Avant Garde" w:hAnsi="ITC Avant Garde"/>
          <w:sz w:val="14"/>
          <w:szCs w:val="14"/>
        </w:rPr>
        <w:t>PASIVA PRESENTADA POR EL GRUPO DE INTERÉS ECONÓMICO DEL QUE FORMAN PARTE</w:t>
      </w:r>
      <w:r>
        <w:rPr>
          <w:rFonts w:ascii="ITC Avant Garde" w:hAnsi="ITC Avant Garde"/>
          <w:sz w:val="14"/>
          <w:szCs w:val="14"/>
        </w:rPr>
        <w:t xml:space="preserve"> </w:t>
      </w:r>
      <w:r w:rsidRPr="007D7095">
        <w:rPr>
          <w:rFonts w:ascii="ITC Avant Garde" w:hAnsi="ITC Avant Garde"/>
          <w:sz w:val="14"/>
          <w:szCs w:val="14"/>
        </w:rPr>
        <w:t>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ENRÍQUEZ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w:t>
      </w:r>
      <w:r>
        <w:rPr>
          <w:rFonts w:ascii="ITC Avant Garde" w:hAnsi="ITC Avant Garde"/>
          <w:sz w:val="14"/>
          <w:szCs w:val="14"/>
        </w:rPr>
        <w:t xml:space="preserve">” </w:t>
      </w:r>
      <w:r w:rsidRPr="00B17D6D">
        <w:rPr>
          <w:rFonts w:ascii="ITC Avant Garde" w:hAnsi="ITC Avant Garde"/>
          <w:sz w:val="14"/>
          <w:szCs w:val="14"/>
        </w:rPr>
        <w:t xml:space="preserve">Disponible en: </w:t>
      </w:r>
      <w:hyperlink r:id="rId13" w:history="1">
        <w:r w:rsidRPr="00B17D6D">
          <w:rPr>
            <w:rStyle w:val="Hipervnculo"/>
            <w:rFonts w:ascii="ITC Avant Garde" w:hAnsi="ITC Avant Garde"/>
            <w:sz w:val="14"/>
            <w:szCs w:val="14"/>
          </w:rPr>
          <w:t>http://apps.ift.org.mx/publicdata/P_IFT_EXT_101214_272_c_Anexo.pdf</w:t>
        </w:r>
      </w:hyperlink>
      <w:r>
        <w:rPr>
          <w:rFonts w:ascii="ITC Avant Garde" w:hAnsi="ITC Avant Garde"/>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C4F"/>
    <w:multiLevelType w:val="hybridMultilevel"/>
    <w:tmpl w:val="586C833E"/>
    <w:lvl w:ilvl="0" w:tplc="EBBADF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C05673"/>
    <w:multiLevelType w:val="hybridMultilevel"/>
    <w:tmpl w:val="A7305F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DC540A"/>
    <w:multiLevelType w:val="hybridMultilevel"/>
    <w:tmpl w:val="873A51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B3BAA"/>
    <w:multiLevelType w:val="hybridMultilevel"/>
    <w:tmpl w:val="69F4317E"/>
    <w:lvl w:ilvl="0" w:tplc="080A0001">
      <w:start w:val="1"/>
      <w:numFmt w:val="bullet"/>
      <w:lvlText w:val=""/>
      <w:lvlJc w:val="left"/>
      <w:pPr>
        <w:ind w:left="1497" w:hanging="360"/>
      </w:pPr>
      <w:rPr>
        <w:rFonts w:ascii="Symbol" w:hAnsi="Symbol" w:hint="default"/>
      </w:rPr>
    </w:lvl>
    <w:lvl w:ilvl="1" w:tplc="080A0003" w:tentative="1">
      <w:start w:val="1"/>
      <w:numFmt w:val="bullet"/>
      <w:lvlText w:val="o"/>
      <w:lvlJc w:val="left"/>
      <w:pPr>
        <w:ind w:left="2217" w:hanging="360"/>
      </w:pPr>
      <w:rPr>
        <w:rFonts w:ascii="Courier New" w:hAnsi="Courier New" w:cs="Courier New" w:hint="default"/>
      </w:rPr>
    </w:lvl>
    <w:lvl w:ilvl="2" w:tplc="080A0005" w:tentative="1">
      <w:start w:val="1"/>
      <w:numFmt w:val="bullet"/>
      <w:lvlText w:val=""/>
      <w:lvlJc w:val="left"/>
      <w:pPr>
        <w:ind w:left="2937" w:hanging="360"/>
      </w:pPr>
      <w:rPr>
        <w:rFonts w:ascii="Wingdings" w:hAnsi="Wingdings" w:hint="default"/>
      </w:rPr>
    </w:lvl>
    <w:lvl w:ilvl="3" w:tplc="080A0001" w:tentative="1">
      <w:start w:val="1"/>
      <w:numFmt w:val="bullet"/>
      <w:lvlText w:val=""/>
      <w:lvlJc w:val="left"/>
      <w:pPr>
        <w:ind w:left="3657" w:hanging="360"/>
      </w:pPr>
      <w:rPr>
        <w:rFonts w:ascii="Symbol" w:hAnsi="Symbol" w:hint="default"/>
      </w:rPr>
    </w:lvl>
    <w:lvl w:ilvl="4" w:tplc="080A0003" w:tentative="1">
      <w:start w:val="1"/>
      <w:numFmt w:val="bullet"/>
      <w:lvlText w:val="o"/>
      <w:lvlJc w:val="left"/>
      <w:pPr>
        <w:ind w:left="4377" w:hanging="360"/>
      </w:pPr>
      <w:rPr>
        <w:rFonts w:ascii="Courier New" w:hAnsi="Courier New" w:cs="Courier New" w:hint="default"/>
      </w:rPr>
    </w:lvl>
    <w:lvl w:ilvl="5" w:tplc="080A0005" w:tentative="1">
      <w:start w:val="1"/>
      <w:numFmt w:val="bullet"/>
      <w:lvlText w:val=""/>
      <w:lvlJc w:val="left"/>
      <w:pPr>
        <w:ind w:left="5097" w:hanging="360"/>
      </w:pPr>
      <w:rPr>
        <w:rFonts w:ascii="Wingdings" w:hAnsi="Wingdings" w:hint="default"/>
      </w:rPr>
    </w:lvl>
    <w:lvl w:ilvl="6" w:tplc="080A0001" w:tentative="1">
      <w:start w:val="1"/>
      <w:numFmt w:val="bullet"/>
      <w:lvlText w:val=""/>
      <w:lvlJc w:val="left"/>
      <w:pPr>
        <w:ind w:left="5817" w:hanging="360"/>
      </w:pPr>
      <w:rPr>
        <w:rFonts w:ascii="Symbol" w:hAnsi="Symbol" w:hint="default"/>
      </w:rPr>
    </w:lvl>
    <w:lvl w:ilvl="7" w:tplc="080A0003" w:tentative="1">
      <w:start w:val="1"/>
      <w:numFmt w:val="bullet"/>
      <w:lvlText w:val="o"/>
      <w:lvlJc w:val="left"/>
      <w:pPr>
        <w:ind w:left="6537" w:hanging="360"/>
      </w:pPr>
      <w:rPr>
        <w:rFonts w:ascii="Courier New" w:hAnsi="Courier New" w:cs="Courier New" w:hint="default"/>
      </w:rPr>
    </w:lvl>
    <w:lvl w:ilvl="8" w:tplc="080A0005" w:tentative="1">
      <w:start w:val="1"/>
      <w:numFmt w:val="bullet"/>
      <w:lvlText w:val=""/>
      <w:lvlJc w:val="left"/>
      <w:pPr>
        <w:ind w:left="7257" w:hanging="360"/>
      </w:pPr>
      <w:rPr>
        <w:rFonts w:ascii="Wingdings" w:hAnsi="Wingdings" w:hint="default"/>
      </w:rPr>
    </w:lvl>
  </w:abstractNum>
  <w:abstractNum w:abstractNumId="4" w15:restartNumberingAfterBreak="0">
    <w:nsid w:val="103F754D"/>
    <w:multiLevelType w:val="hybridMultilevel"/>
    <w:tmpl w:val="ABCAC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B9D095A"/>
    <w:multiLevelType w:val="hybridMultilevel"/>
    <w:tmpl w:val="C50861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B7306"/>
    <w:multiLevelType w:val="hybridMultilevel"/>
    <w:tmpl w:val="AFA6DF6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F15F4"/>
    <w:multiLevelType w:val="hybridMultilevel"/>
    <w:tmpl w:val="E60851A2"/>
    <w:lvl w:ilvl="0" w:tplc="080A0001">
      <w:start w:val="1"/>
      <w:numFmt w:val="bullet"/>
      <w:lvlText w:val=""/>
      <w:lvlJc w:val="left"/>
      <w:pPr>
        <w:ind w:left="1440" w:hanging="360"/>
      </w:pPr>
      <w:rPr>
        <w:rFonts w:ascii="Symbol" w:hAnsi="Symbol" w:hint="default"/>
      </w:rPr>
    </w:lvl>
    <w:lvl w:ilvl="1" w:tplc="080A0005">
      <w:start w:val="1"/>
      <w:numFmt w:val="bullet"/>
      <w:lvlText w:val=""/>
      <w:lvlJc w:val="left"/>
      <w:pPr>
        <w:ind w:left="2160" w:hanging="360"/>
      </w:pPr>
      <w:rPr>
        <w:rFonts w:ascii="Wingdings" w:hAnsi="Wingding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A119F9"/>
    <w:multiLevelType w:val="hybridMultilevel"/>
    <w:tmpl w:val="4748039A"/>
    <w:lvl w:ilvl="0" w:tplc="EBBADFAE">
      <w:start w:val="4"/>
      <w:numFmt w:val="bullet"/>
      <w:lvlText w:val=""/>
      <w:lvlJc w:val="left"/>
      <w:pPr>
        <w:ind w:left="360" w:hanging="360"/>
      </w:pPr>
      <w:rPr>
        <w:rFonts w:ascii="Symbol" w:eastAsiaTheme="minorHAnsi" w:hAnsi="Symbol"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3BC27DF"/>
    <w:multiLevelType w:val="hybridMultilevel"/>
    <w:tmpl w:val="CF962D58"/>
    <w:lvl w:ilvl="0" w:tplc="733E8AD6">
      <w:start w:val="1"/>
      <w:numFmt w:val="decimal"/>
      <w:lvlText w:val="%1."/>
      <w:lvlJc w:val="left"/>
      <w:pPr>
        <w:ind w:left="720" w:hanging="360"/>
      </w:pPr>
      <w:rPr>
        <w:rFonts w:ascii="ITC Avant Garde" w:eastAsia="Calibri" w:hAnsi="ITC Avant Garde"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7B87916"/>
    <w:multiLevelType w:val="hybridMultilevel"/>
    <w:tmpl w:val="F998D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66D2484"/>
    <w:multiLevelType w:val="hybridMultilevel"/>
    <w:tmpl w:val="062651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17EFB"/>
    <w:multiLevelType w:val="hybridMultilevel"/>
    <w:tmpl w:val="C27EE8DC"/>
    <w:lvl w:ilvl="0" w:tplc="080A0001">
      <w:start w:val="1"/>
      <w:numFmt w:val="bullet"/>
      <w:lvlText w:val=""/>
      <w:lvlJc w:val="left"/>
      <w:pPr>
        <w:ind w:left="-132" w:hanging="360"/>
      </w:pPr>
      <w:rPr>
        <w:rFonts w:ascii="Symbol" w:hAnsi="Symbol" w:hint="default"/>
      </w:rPr>
    </w:lvl>
    <w:lvl w:ilvl="1" w:tplc="080A0003" w:tentative="1">
      <w:start w:val="1"/>
      <w:numFmt w:val="bullet"/>
      <w:lvlText w:val="o"/>
      <w:lvlJc w:val="left"/>
      <w:pPr>
        <w:ind w:left="588" w:hanging="360"/>
      </w:pPr>
      <w:rPr>
        <w:rFonts w:ascii="Courier New" w:hAnsi="Courier New" w:cs="Courier New" w:hint="default"/>
      </w:rPr>
    </w:lvl>
    <w:lvl w:ilvl="2" w:tplc="080A0005" w:tentative="1">
      <w:start w:val="1"/>
      <w:numFmt w:val="bullet"/>
      <w:lvlText w:val=""/>
      <w:lvlJc w:val="left"/>
      <w:pPr>
        <w:ind w:left="1308" w:hanging="360"/>
      </w:pPr>
      <w:rPr>
        <w:rFonts w:ascii="Wingdings" w:hAnsi="Wingdings" w:hint="default"/>
      </w:rPr>
    </w:lvl>
    <w:lvl w:ilvl="3" w:tplc="080A0001" w:tentative="1">
      <w:start w:val="1"/>
      <w:numFmt w:val="bullet"/>
      <w:lvlText w:val=""/>
      <w:lvlJc w:val="left"/>
      <w:pPr>
        <w:ind w:left="2028" w:hanging="360"/>
      </w:pPr>
      <w:rPr>
        <w:rFonts w:ascii="Symbol" w:hAnsi="Symbol" w:hint="default"/>
      </w:rPr>
    </w:lvl>
    <w:lvl w:ilvl="4" w:tplc="080A0003" w:tentative="1">
      <w:start w:val="1"/>
      <w:numFmt w:val="bullet"/>
      <w:lvlText w:val="o"/>
      <w:lvlJc w:val="left"/>
      <w:pPr>
        <w:ind w:left="2748" w:hanging="360"/>
      </w:pPr>
      <w:rPr>
        <w:rFonts w:ascii="Courier New" w:hAnsi="Courier New" w:cs="Courier New" w:hint="default"/>
      </w:rPr>
    </w:lvl>
    <w:lvl w:ilvl="5" w:tplc="080A0005" w:tentative="1">
      <w:start w:val="1"/>
      <w:numFmt w:val="bullet"/>
      <w:lvlText w:val=""/>
      <w:lvlJc w:val="left"/>
      <w:pPr>
        <w:ind w:left="3468" w:hanging="360"/>
      </w:pPr>
      <w:rPr>
        <w:rFonts w:ascii="Wingdings" w:hAnsi="Wingdings" w:hint="default"/>
      </w:rPr>
    </w:lvl>
    <w:lvl w:ilvl="6" w:tplc="080A0001" w:tentative="1">
      <w:start w:val="1"/>
      <w:numFmt w:val="bullet"/>
      <w:lvlText w:val=""/>
      <w:lvlJc w:val="left"/>
      <w:pPr>
        <w:ind w:left="4188" w:hanging="360"/>
      </w:pPr>
      <w:rPr>
        <w:rFonts w:ascii="Symbol" w:hAnsi="Symbol" w:hint="default"/>
      </w:rPr>
    </w:lvl>
    <w:lvl w:ilvl="7" w:tplc="080A0003" w:tentative="1">
      <w:start w:val="1"/>
      <w:numFmt w:val="bullet"/>
      <w:lvlText w:val="o"/>
      <w:lvlJc w:val="left"/>
      <w:pPr>
        <w:ind w:left="4908" w:hanging="360"/>
      </w:pPr>
      <w:rPr>
        <w:rFonts w:ascii="Courier New" w:hAnsi="Courier New" w:cs="Courier New" w:hint="default"/>
      </w:rPr>
    </w:lvl>
    <w:lvl w:ilvl="8" w:tplc="080A0005" w:tentative="1">
      <w:start w:val="1"/>
      <w:numFmt w:val="bullet"/>
      <w:lvlText w:val=""/>
      <w:lvlJc w:val="left"/>
      <w:pPr>
        <w:ind w:left="5628" w:hanging="360"/>
      </w:pPr>
      <w:rPr>
        <w:rFonts w:ascii="Wingdings" w:hAnsi="Wingdings" w:hint="default"/>
      </w:rPr>
    </w:lvl>
  </w:abstractNum>
  <w:abstractNum w:abstractNumId="13" w15:restartNumberingAfterBreak="0">
    <w:nsid w:val="3D0B1AB5"/>
    <w:multiLevelType w:val="hybridMultilevel"/>
    <w:tmpl w:val="6D14FA90"/>
    <w:lvl w:ilvl="0" w:tplc="080A0001">
      <w:start w:val="1"/>
      <w:numFmt w:val="bullet"/>
      <w:lvlText w:val=""/>
      <w:lvlJc w:val="left"/>
      <w:pPr>
        <w:ind w:left="417" w:hanging="360"/>
      </w:pPr>
      <w:rPr>
        <w:rFonts w:ascii="Symbol" w:hAnsi="Symbol" w:hint="default"/>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4" w15:restartNumberingAfterBreak="0">
    <w:nsid w:val="3DFB73D1"/>
    <w:multiLevelType w:val="hybridMultilevel"/>
    <w:tmpl w:val="9678FE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B15616"/>
    <w:multiLevelType w:val="hybridMultilevel"/>
    <w:tmpl w:val="B6623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1764E4"/>
    <w:multiLevelType w:val="hybridMultilevel"/>
    <w:tmpl w:val="597C795C"/>
    <w:lvl w:ilvl="0" w:tplc="080A0017">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8C327D5"/>
    <w:multiLevelType w:val="hybridMultilevel"/>
    <w:tmpl w:val="C24C8FF4"/>
    <w:lvl w:ilvl="0" w:tplc="080A0017">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B8B4E4E"/>
    <w:multiLevelType w:val="hybridMultilevel"/>
    <w:tmpl w:val="9C0845F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92268D"/>
    <w:multiLevelType w:val="hybridMultilevel"/>
    <w:tmpl w:val="58288F88"/>
    <w:lvl w:ilvl="0" w:tplc="EBBADF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01262A"/>
    <w:multiLevelType w:val="hybridMultilevel"/>
    <w:tmpl w:val="6FE668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2E11319"/>
    <w:multiLevelType w:val="hybridMultilevel"/>
    <w:tmpl w:val="B120AC8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CF83C53"/>
    <w:multiLevelType w:val="hybridMultilevel"/>
    <w:tmpl w:val="D9AE82DA"/>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992955"/>
    <w:multiLevelType w:val="hybridMultilevel"/>
    <w:tmpl w:val="9F46EE58"/>
    <w:lvl w:ilvl="0" w:tplc="EBBADFAE">
      <w:start w:val="4"/>
      <w:numFmt w:val="bullet"/>
      <w:lvlText w:val=""/>
      <w:lvlJc w:val="left"/>
      <w:pPr>
        <w:ind w:left="1068" w:hanging="360"/>
      </w:pPr>
      <w:rPr>
        <w:rFonts w:ascii="Symbol" w:eastAsiaTheme="minorHAnsi" w:hAnsi="Symbol"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0"/>
  </w:num>
  <w:num w:numId="2">
    <w:abstractNumId w:val="21"/>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0"/>
  </w:num>
  <w:num w:numId="7">
    <w:abstractNumId w:val="7"/>
  </w:num>
  <w:num w:numId="8">
    <w:abstractNumId w:val="9"/>
  </w:num>
  <w:num w:numId="9">
    <w:abstractNumId w:val="5"/>
  </w:num>
  <w:num w:numId="10">
    <w:abstractNumId w:val="0"/>
  </w:num>
  <w:num w:numId="11">
    <w:abstractNumId w:val="23"/>
  </w:num>
  <w:num w:numId="12">
    <w:abstractNumId w:val="16"/>
  </w:num>
  <w:num w:numId="13">
    <w:abstractNumId w:val="6"/>
  </w:num>
  <w:num w:numId="14">
    <w:abstractNumId w:val="17"/>
  </w:num>
  <w:num w:numId="15">
    <w:abstractNumId w:val="19"/>
  </w:num>
  <w:num w:numId="16">
    <w:abstractNumId w:val="8"/>
  </w:num>
  <w:num w:numId="17">
    <w:abstractNumId w:val="22"/>
  </w:num>
  <w:num w:numId="18">
    <w:abstractNumId w:val="11"/>
  </w:num>
  <w:num w:numId="19">
    <w:abstractNumId w:val="1"/>
  </w:num>
  <w:num w:numId="20">
    <w:abstractNumId w:val="3"/>
  </w:num>
  <w:num w:numId="21">
    <w:abstractNumId w:val="13"/>
  </w:num>
  <w:num w:numId="22">
    <w:abstractNumId w:val="18"/>
  </w:num>
  <w:num w:numId="23">
    <w:abstractNumId w:val="1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3F"/>
    <w:rsid w:val="00002798"/>
    <w:rsid w:val="00007413"/>
    <w:rsid w:val="00007FC5"/>
    <w:rsid w:val="00012825"/>
    <w:rsid w:val="00013E9C"/>
    <w:rsid w:val="0003693B"/>
    <w:rsid w:val="000605DE"/>
    <w:rsid w:val="00060F36"/>
    <w:rsid w:val="000A166A"/>
    <w:rsid w:val="000B285C"/>
    <w:rsid w:val="000B7395"/>
    <w:rsid w:val="000D2CD1"/>
    <w:rsid w:val="000F2058"/>
    <w:rsid w:val="000F39CB"/>
    <w:rsid w:val="000F4C0F"/>
    <w:rsid w:val="0010604F"/>
    <w:rsid w:val="00107FD1"/>
    <w:rsid w:val="0011430F"/>
    <w:rsid w:val="00136630"/>
    <w:rsid w:val="00137D19"/>
    <w:rsid w:val="00140986"/>
    <w:rsid w:val="00154757"/>
    <w:rsid w:val="0015651D"/>
    <w:rsid w:val="0016127F"/>
    <w:rsid w:val="00197116"/>
    <w:rsid w:val="001A221A"/>
    <w:rsid w:val="001A5F89"/>
    <w:rsid w:val="001B01DA"/>
    <w:rsid w:val="001B0B62"/>
    <w:rsid w:val="001B1ECA"/>
    <w:rsid w:val="001B6547"/>
    <w:rsid w:val="001B6A9D"/>
    <w:rsid w:val="001C6724"/>
    <w:rsid w:val="001D25F1"/>
    <w:rsid w:val="001D5A85"/>
    <w:rsid w:val="001D61E9"/>
    <w:rsid w:val="001E0F49"/>
    <w:rsid w:val="001E4D24"/>
    <w:rsid w:val="001F71D2"/>
    <w:rsid w:val="00225A21"/>
    <w:rsid w:val="00225B6B"/>
    <w:rsid w:val="0024701A"/>
    <w:rsid w:val="00253217"/>
    <w:rsid w:val="00265C9B"/>
    <w:rsid w:val="00290BF3"/>
    <w:rsid w:val="002A207C"/>
    <w:rsid w:val="002A30A6"/>
    <w:rsid w:val="002A5658"/>
    <w:rsid w:val="002A62CA"/>
    <w:rsid w:val="002B526D"/>
    <w:rsid w:val="002C5358"/>
    <w:rsid w:val="002D04C1"/>
    <w:rsid w:val="002D7283"/>
    <w:rsid w:val="002E4D05"/>
    <w:rsid w:val="002E6FA0"/>
    <w:rsid w:val="002F7C5D"/>
    <w:rsid w:val="00315AD0"/>
    <w:rsid w:val="00330BE3"/>
    <w:rsid w:val="003359A2"/>
    <w:rsid w:val="00340E86"/>
    <w:rsid w:val="00343446"/>
    <w:rsid w:val="00343F64"/>
    <w:rsid w:val="003509CC"/>
    <w:rsid w:val="00350B33"/>
    <w:rsid w:val="0035731F"/>
    <w:rsid w:val="00360537"/>
    <w:rsid w:val="00361B77"/>
    <w:rsid w:val="003933D7"/>
    <w:rsid w:val="00395A25"/>
    <w:rsid w:val="003A6E6E"/>
    <w:rsid w:val="003C6AB3"/>
    <w:rsid w:val="003D10B4"/>
    <w:rsid w:val="003D565B"/>
    <w:rsid w:val="003E3D11"/>
    <w:rsid w:val="003F6674"/>
    <w:rsid w:val="004016AB"/>
    <w:rsid w:val="0040211E"/>
    <w:rsid w:val="0041310D"/>
    <w:rsid w:val="00414F90"/>
    <w:rsid w:val="00436E85"/>
    <w:rsid w:val="00440506"/>
    <w:rsid w:val="00443321"/>
    <w:rsid w:val="004605A0"/>
    <w:rsid w:val="004617E7"/>
    <w:rsid w:val="00463F92"/>
    <w:rsid w:val="0046718E"/>
    <w:rsid w:val="00476B07"/>
    <w:rsid w:val="00491C08"/>
    <w:rsid w:val="004A73F9"/>
    <w:rsid w:val="004B06B8"/>
    <w:rsid w:val="004C1B87"/>
    <w:rsid w:val="004C64E3"/>
    <w:rsid w:val="004D19C7"/>
    <w:rsid w:val="004D2CF5"/>
    <w:rsid w:val="004D3B16"/>
    <w:rsid w:val="004E1685"/>
    <w:rsid w:val="004E7848"/>
    <w:rsid w:val="004F1006"/>
    <w:rsid w:val="004F13B4"/>
    <w:rsid w:val="004F45F4"/>
    <w:rsid w:val="0050260C"/>
    <w:rsid w:val="00524A73"/>
    <w:rsid w:val="00563EED"/>
    <w:rsid w:val="005642FF"/>
    <w:rsid w:val="005776CB"/>
    <w:rsid w:val="005A5FB4"/>
    <w:rsid w:val="005B5257"/>
    <w:rsid w:val="005C0AC4"/>
    <w:rsid w:val="005C23FB"/>
    <w:rsid w:val="005D3E42"/>
    <w:rsid w:val="005D429F"/>
    <w:rsid w:val="005E1F7F"/>
    <w:rsid w:val="005E20ED"/>
    <w:rsid w:val="005E4C4E"/>
    <w:rsid w:val="00632F93"/>
    <w:rsid w:val="00635342"/>
    <w:rsid w:val="00642A18"/>
    <w:rsid w:val="00653267"/>
    <w:rsid w:val="006632E8"/>
    <w:rsid w:val="00663737"/>
    <w:rsid w:val="00664309"/>
    <w:rsid w:val="006705B1"/>
    <w:rsid w:val="006813CE"/>
    <w:rsid w:val="00687958"/>
    <w:rsid w:val="006A7548"/>
    <w:rsid w:val="006C48C0"/>
    <w:rsid w:val="006C6432"/>
    <w:rsid w:val="006C765F"/>
    <w:rsid w:val="006D242B"/>
    <w:rsid w:val="006D27D1"/>
    <w:rsid w:val="006D29C6"/>
    <w:rsid w:val="006D75DD"/>
    <w:rsid w:val="006F377E"/>
    <w:rsid w:val="006F7282"/>
    <w:rsid w:val="006F76C9"/>
    <w:rsid w:val="007022EF"/>
    <w:rsid w:val="007039F1"/>
    <w:rsid w:val="0072007D"/>
    <w:rsid w:val="00723A58"/>
    <w:rsid w:val="007272D4"/>
    <w:rsid w:val="00734283"/>
    <w:rsid w:val="007347A2"/>
    <w:rsid w:val="007441C7"/>
    <w:rsid w:val="007505D4"/>
    <w:rsid w:val="00763C4D"/>
    <w:rsid w:val="00775906"/>
    <w:rsid w:val="007800B7"/>
    <w:rsid w:val="00783283"/>
    <w:rsid w:val="00787DB3"/>
    <w:rsid w:val="0079373B"/>
    <w:rsid w:val="007A2834"/>
    <w:rsid w:val="007A73A1"/>
    <w:rsid w:val="007B0250"/>
    <w:rsid w:val="007B209C"/>
    <w:rsid w:val="007B4B58"/>
    <w:rsid w:val="007C2D1E"/>
    <w:rsid w:val="007C3164"/>
    <w:rsid w:val="007D7095"/>
    <w:rsid w:val="007E49C4"/>
    <w:rsid w:val="007E6CFF"/>
    <w:rsid w:val="007F1CBE"/>
    <w:rsid w:val="007F620E"/>
    <w:rsid w:val="0080043F"/>
    <w:rsid w:val="008056AE"/>
    <w:rsid w:val="0080640C"/>
    <w:rsid w:val="00806BEA"/>
    <w:rsid w:val="008103EF"/>
    <w:rsid w:val="00816030"/>
    <w:rsid w:val="00826F1F"/>
    <w:rsid w:val="008319F4"/>
    <w:rsid w:val="00833D78"/>
    <w:rsid w:val="0083720F"/>
    <w:rsid w:val="00840DEF"/>
    <w:rsid w:val="00856CD3"/>
    <w:rsid w:val="00877C96"/>
    <w:rsid w:val="008801B0"/>
    <w:rsid w:val="00885C4C"/>
    <w:rsid w:val="00894C78"/>
    <w:rsid w:val="008A5A7D"/>
    <w:rsid w:val="008A6A1D"/>
    <w:rsid w:val="008A7D78"/>
    <w:rsid w:val="008B0E09"/>
    <w:rsid w:val="008B4A47"/>
    <w:rsid w:val="008C49E0"/>
    <w:rsid w:val="008C5B5E"/>
    <w:rsid w:val="008D4881"/>
    <w:rsid w:val="008E5E68"/>
    <w:rsid w:val="00911019"/>
    <w:rsid w:val="00913BE9"/>
    <w:rsid w:val="0092073E"/>
    <w:rsid w:val="00920CE0"/>
    <w:rsid w:val="00923701"/>
    <w:rsid w:val="00923A23"/>
    <w:rsid w:val="0094449B"/>
    <w:rsid w:val="0094453C"/>
    <w:rsid w:val="00944B58"/>
    <w:rsid w:val="009459D4"/>
    <w:rsid w:val="009552E4"/>
    <w:rsid w:val="00962D3B"/>
    <w:rsid w:val="009631CB"/>
    <w:rsid w:val="009735C7"/>
    <w:rsid w:val="009814C0"/>
    <w:rsid w:val="0099093A"/>
    <w:rsid w:val="00992178"/>
    <w:rsid w:val="009A1086"/>
    <w:rsid w:val="009C6E36"/>
    <w:rsid w:val="009D1F3C"/>
    <w:rsid w:val="009D66FA"/>
    <w:rsid w:val="00A020EE"/>
    <w:rsid w:val="00A23738"/>
    <w:rsid w:val="00A44BB4"/>
    <w:rsid w:val="00A51632"/>
    <w:rsid w:val="00A55CAC"/>
    <w:rsid w:val="00A74199"/>
    <w:rsid w:val="00A83581"/>
    <w:rsid w:val="00A87569"/>
    <w:rsid w:val="00A94926"/>
    <w:rsid w:val="00A96F7B"/>
    <w:rsid w:val="00A97631"/>
    <w:rsid w:val="00AB6370"/>
    <w:rsid w:val="00AC4F64"/>
    <w:rsid w:val="00AD560B"/>
    <w:rsid w:val="00AE0570"/>
    <w:rsid w:val="00AF139F"/>
    <w:rsid w:val="00B05E06"/>
    <w:rsid w:val="00B06C52"/>
    <w:rsid w:val="00B17D6D"/>
    <w:rsid w:val="00B23D97"/>
    <w:rsid w:val="00B2570B"/>
    <w:rsid w:val="00B51097"/>
    <w:rsid w:val="00B517B4"/>
    <w:rsid w:val="00B540F1"/>
    <w:rsid w:val="00B63D30"/>
    <w:rsid w:val="00B717FA"/>
    <w:rsid w:val="00B7269C"/>
    <w:rsid w:val="00B74AC1"/>
    <w:rsid w:val="00B75EDE"/>
    <w:rsid w:val="00B7634B"/>
    <w:rsid w:val="00B8762C"/>
    <w:rsid w:val="00B95A2A"/>
    <w:rsid w:val="00B95D7B"/>
    <w:rsid w:val="00BA2FA6"/>
    <w:rsid w:val="00BB3504"/>
    <w:rsid w:val="00BC3A57"/>
    <w:rsid w:val="00BC3F54"/>
    <w:rsid w:val="00BD1B41"/>
    <w:rsid w:val="00BF0278"/>
    <w:rsid w:val="00C02D1E"/>
    <w:rsid w:val="00C11F87"/>
    <w:rsid w:val="00C177FA"/>
    <w:rsid w:val="00C22F5C"/>
    <w:rsid w:val="00C33CB6"/>
    <w:rsid w:val="00C8269D"/>
    <w:rsid w:val="00C93C44"/>
    <w:rsid w:val="00C977B0"/>
    <w:rsid w:val="00CA46AC"/>
    <w:rsid w:val="00CA573B"/>
    <w:rsid w:val="00CC719D"/>
    <w:rsid w:val="00CC7BCF"/>
    <w:rsid w:val="00CD2367"/>
    <w:rsid w:val="00CF2977"/>
    <w:rsid w:val="00CF3493"/>
    <w:rsid w:val="00CF4575"/>
    <w:rsid w:val="00D0467E"/>
    <w:rsid w:val="00D1294A"/>
    <w:rsid w:val="00D12A64"/>
    <w:rsid w:val="00D156CB"/>
    <w:rsid w:val="00D15C26"/>
    <w:rsid w:val="00D441E2"/>
    <w:rsid w:val="00D64163"/>
    <w:rsid w:val="00D66596"/>
    <w:rsid w:val="00D71ED4"/>
    <w:rsid w:val="00D91EB8"/>
    <w:rsid w:val="00D930BE"/>
    <w:rsid w:val="00DC40F2"/>
    <w:rsid w:val="00DD42E0"/>
    <w:rsid w:val="00DD6F59"/>
    <w:rsid w:val="00DE09ED"/>
    <w:rsid w:val="00DE1F8E"/>
    <w:rsid w:val="00E03672"/>
    <w:rsid w:val="00E03C38"/>
    <w:rsid w:val="00E06FEC"/>
    <w:rsid w:val="00E07BF7"/>
    <w:rsid w:val="00E1374A"/>
    <w:rsid w:val="00E15BFF"/>
    <w:rsid w:val="00E2225B"/>
    <w:rsid w:val="00E30487"/>
    <w:rsid w:val="00E30F3F"/>
    <w:rsid w:val="00E31981"/>
    <w:rsid w:val="00E34633"/>
    <w:rsid w:val="00E4218C"/>
    <w:rsid w:val="00E422F4"/>
    <w:rsid w:val="00E535B0"/>
    <w:rsid w:val="00E63B4F"/>
    <w:rsid w:val="00E640EB"/>
    <w:rsid w:val="00E70A55"/>
    <w:rsid w:val="00E73F3A"/>
    <w:rsid w:val="00E75BDD"/>
    <w:rsid w:val="00E810BB"/>
    <w:rsid w:val="00EC45FD"/>
    <w:rsid w:val="00ED3243"/>
    <w:rsid w:val="00ED4F49"/>
    <w:rsid w:val="00EF19F3"/>
    <w:rsid w:val="00EF40D5"/>
    <w:rsid w:val="00F312C9"/>
    <w:rsid w:val="00F35AD6"/>
    <w:rsid w:val="00F5637F"/>
    <w:rsid w:val="00F719C3"/>
    <w:rsid w:val="00F778E3"/>
    <w:rsid w:val="00F82BBA"/>
    <w:rsid w:val="00F87705"/>
    <w:rsid w:val="00FA1A63"/>
    <w:rsid w:val="00FA2425"/>
    <w:rsid w:val="00FA7D28"/>
    <w:rsid w:val="00FC2121"/>
    <w:rsid w:val="00FE39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55A15"/>
  <w15:docId w15:val="{BB3826CD-C941-4129-A05B-2D75DAEF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D19C7"/>
    <w:pPr>
      <w:ind w:left="720"/>
      <w:contextualSpacing/>
    </w:pPr>
  </w:style>
  <w:style w:type="paragraph" w:styleId="Sinespaciado">
    <w:name w:val="No Spacing"/>
    <w:uiPriority w:val="1"/>
    <w:qFormat/>
    <w:rsid w:val="00642A18"/>
    <w:pPr>
      <w:spacing w:after="0" w:line="240" w:lineRule="auto"/>
    </w:pPr>
  </w:style>
  <w:style w:type="paragraph" w:styleId="Textonotapie">
    <w:name w:val="footnote text"/>
    <w:basedOn w:val="Normal"/>
    <w:link w:val="TextonotapieCar"/>
    <w:uiPriority w:val="99"/>
    <w:semiHidden/>
    <w:unhideWhenUsed/>
    <w:rsid w:val="008372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720F"/>
    <w:rPr>
      <w:sz w:val="20"/>
      <w:szCs w:val="20"/>
    </w:rPr>
  </w:style>
  <w:style w:type="character" w:styleId="Refdenotaalpie">
    <w:name w:val="footnote reference"/>
    <w:basedOn w:val="Fuentedeprrafopredeter"/>
    <w:uiPriority w:val="99"/>
    <w:semiHidden/>
    <w:unhideWhenUsed/>
    <w:rsid w:val="0083720F"/>
    <w:rPr>
      <w:vertAlign w:val="superscript"/>
    </w:rPr>
  </w:style>
  <w:style w:type="table" w:styleId="Tablaconcuadrcula">
    <w:name w:val="Table Grid"/>
    <w:basedOn w:val="Tablanormal"/>
    <w:uiPriority w:val="39"/>
    <w:rsid w:val="00401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3359A2"/>
    <w:rPr>
      <w:rFonts w:cs="Titillium Up"/>
      <w:color w:val="5374AE"/>
      <w:sz w:val="22"/>
      <w:szCs w:val="22"/>
      <w:u w:val="single"/>
    </w:rPr>
  </w:style>
  <w:style w:type="character" w:styleId="Refdecomentario">
    <w:name w:val="annotation reference"/>
    <w:basedOn w:val="Fuentedeprrafopredeter"/>
    <w:uiPriority w:val="99"/>
    <w:semiHidden/>
    <w:unhideWhenUsed/>
    <w:rsid w:val="006D242B"/>
    <w:rPr>
      <w:sz w:val="16"/>
      <w:szCs w:val="16"/>
    </w:rPr>
  </w:style>
  <w:style w:type="paragraph" w:styleId="Textocomentario">
    <w:name w:val="annotation text"/>
    <w:basedOn w:val="Normal"/>
    <w:link w:val="TextocomentarioCar"/>
    <w:uiPriority w:val="99"/>
    <w:semiHidden/>
    <w:unhideWhenUsed/>
    <w:rsid w:val="006D24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42B"/>
    <w:rPr>
      <w:sz w:val="20"/>
      <w:szCs w:val="20"/>
    </w:rPr>
  </w:style>
  <w:style w:type="paragraph" w:styleId="Asuntodelcomentario">
    <w:name w:val="annotation subject"/>
    <w:basedOn w:val="Textocomentario"/>
    <w:next w:val="Textocomentario"/>
    <w:link w:val="AsuntodelcomentarioCar"/>
    <w:uiPriority w:val="99"/>
    <w:semiHidden/>
    <w:unhideWhenUsed/>
    <w:rsid w:val="006D242B"/>
    <w:rPr>
      <w:b/>
      <w:bCs/>
    </w:rPr>
  </w:style>
  <w:style w:type="character" w:customStyle="1" w:styleId="AsuntodelcomentarioCar">
    <w:name w:val="Asunto del comentario Car"/>
    <w:basedOn w:val="TextocomentarioCar"/>
    <w:link w:val="Asuntodelcomentario"/>
    <w:uiPriority w:val="99"/>
    <w:semiHidden/>
    <w:rsid w:val="006D242B"/>
    <w:rPr>
      <w:b/>
      <w:bCs/>
      <w:sz w:val="20"/>
      <w:szCs w:val="20"/>
    </w:rPr>
  </w:style>
  <w:style w:type="paragraph" w:styleId="Textodeglobo">
    <w:name w:val="Balloon Text"/>
    <w:basedOn w:val="Normal"/>
    <w:link w:val="TextodegloboCar"/>
    <w:uiPriority w:val="99"/>
    <w:semiHidden/>
    <w:unhideWhenUsed/>
    <w:rsid w:val="006D24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42B"/>
    <w:rPr>
      <w:rFonts w:ascii="Segoe UI" w:hAnsi="Segoe UI" w:cs="Segoe UI"/>
      <w:sz w:val="18"/>
      <w:szCs w:val="18"/>
    </w:rPr>
  </w:style>
  <w:style w:type="paragraph" w:styleId="Encabezado">
    <w:name w:val="header"/>
    <w:basedOn w:val="Normal"/>
    <w:link w:val="EncabezadoCar"/>
    <w:uiPriority w:val="99"/>
    <w:unhideWhenUsed/>
    <w:rsid w:val="006D2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42B"/>
  </w:style>
  <w:style w:type="paragraph" w:styleId="Piedepgina">
    <w:name w:val="footer"/>
    <w:basedOn w:val="Normal"/>
    <w:link w:val="PiedepginaCar"/>
    <w:uiPriority w:val="99"/>
    <w:unhideWhenUsed/>
    <w:rsid w:val="006D2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42B"/>
  </w:style>
  <w:style w:type="character" w:customStyle="1" w:styleId="PrrafodelistaCar">
    <w:name w:val="Párrafo de lista Car"/>
    <w:link w:val="Prrafodelista"/>
    <w:uiPriority w:val="34"/>
    <w:locked/>
    <w:rsid w:val="007C2D1E"/>
  </w:style>
  <w:style w:type="paragraph" w:styleId="Revisin">
    <w:name w:val="Revision"/>
    <w:hidden/>
    <w:uiPriority w:val="99"/>
    <w:semiHidden/>
    <w:rsid w:val="00B8762C"/>
    <w:pPr>
      <w:spacing w:after="0" w:line="240" w:lineRule="auto"/>
    </w:pPr>
  </w:style>
  <w:style w:type="character" w:styleId="Hipervnculo">
    <w:name w:val="Hyperlink"/>
    <w:basedOn w:val="Fuentedeprrafopredeter"/>
    <w:uiPriority w:val="99"/>
    <w:unhideWhenUsed/>
    <w:rsid w:val="00877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34739">
      <w:bodyDiv w:val="1"/>
      <w:marLeft w:val="0"/>
      <w:marRight w:val="0"/>
      <w:marTop w:val="0"/>
      <w:marBottom w:val="0"/>
      <w:divBdr>
        <w:top w:val="none" w:sz="0" w:space="0" w:color="auto"/>
        <w:left w:val="none" w:sz="0" w:space="0" w:color="auto"/>
        <w:bottom w:val="none" w:sz="0" w:space="0" w:color="auto"/>
        <w:right w:val="none" w:sz="0" w:space="0" w:color="auto"/>
      </w:divBdr>
    </w:div>
    <w:div w:id="1723558219">
      <w:bodyDiv w:val="1"/>
      <w:marLeft w:val="0"/>
      <w:marRight w:val="0"/>
      <w:marTop w:val="0"/>
      <w:marBottom w:val="0"/>
      <w:divBdr>
        <w:top w:val="none" w:sz="0" w:space="0" w:color="auto"/>
        <w:left w:val="none" w:sz="0" w:space="0" w:color="auto"/>
        <w:bottom w:val="none" w:sz="0" w:space="0" w:color="auto"/>
        <w:right w:val="none" w:sz="0" w:space="0" w:color="auto"/>
      </w:divBdr>
    </w:div>
    <w:div w:id="1824195732">
      <w:bodyDiv w:val="1"/>
      <w:marLeft w:val="0"/>
      <w:marRight w:val="0"/>
      <w:marTop w:val="0"/>
      <w:marBottom w:val="0"/>
      <w:divBdr>
        <w:top w:val="none" w:sz="0" w:space="0" w:color="auto"/>
        <w:left w:val="none" w:sz="0" w:space="0" w:color="auto"/>
        <w:bottom w:val="none" w:sz="0" w:space="0" w:color="auto"/>
        <w:right w:val="none" w:sz="0" w:space="0" w:color="auto"/>
      </w:divBdr>
      <w:divsChild>
        <w:div w:id="433595557">
          <w:marLeft w:val="0"/>
          <w:marRight w:val="0"/>
          <w:marTop w:val="0"/>
          <w:marBottom w:val="0"/>
          <w:divBdr>
            <w:top w:val="none" w:sz="0" w:space="0" w:color="auto"/>
            <w:left w:val="none" w:sz="0" w:space="0" w:color="auto"/>
            <w:bottom w:val="none" w:sz="0" w:space="0" w:color="auto"/>
            <w:right w:val="none" w:sz="0" w:space="0" w:color="auto"/>
          </w:divBdr>
          <w:divsChild>
            <w:div w:id="1478763600">
              <w:marLeft w:val="0"/>
              <w:marRight w:val="0"/>
              <w:marTop w:val="0"/>
              <w:marBottom w:val="0"/>
              <w:divBdr>
                <w:top w:val="none" w:sz="0" w:space="0" w:color="auto"/>
                <w:left w:val="none" w:sz="0" w:space="0" w:color="auto"/>
                <w:bottom w:val="none" w:sz="0" w:space="0" w:color="auto"/>
                <w:right w:val="none" w:sz="0" w:space="0" w:color="auto"/>
              </w:divBdr>
              <w:divsChild>
                <w:div w:id="1343045056">
                  <w:marLeft w:val="0"/>
                  <w:marRight w:val="0"/>
                  <w:marTop w:val="0"/>
                  <w:marBottom w:val="0"/>
                  <w:divBdr>
                    <w:top w:val="none" w:sz="0" w:space="0" w:color="auto"/>
                    <w:left w:val="none" w:sz="0" w:space="0" w:color="auto"/>
                    <w:bottom w:val="none" w:sz="0" w:space="0" w:color="auto"/>
                    <w:right w:val="none" w:sz="0" w:space="0" w:color="auto"/>
                  </w:divBdr>
                </w:div>
                <w:div w:id="3432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p_ift_260314_17.pdf" TargetMode="External"/><Relationship Id="rId13" Type="http://schemas.openxmlformats.org/officeDocument/2006/relationships/hyperlink" Target="http://apps.ift.org.mx/publicdata/P_IFT_EXT_101214_272_c_Anexo.pdf" TargetMode="External"/><Relationship Id="rId3" Type="http://schemas.openxmlformats.org/officeDocument/2006/relationships/hyperlink" Target="http://www.telmex.com/web/acerca-de-telmex/oferta-mayoristas" TargetMode="External"/><Relationship Id="rId7" Type="http://schemas.openxmlformats.org/officeDocument/2006/relationships/hyperlink" Target="http://www.ift.org.mx/politica-regulatoria/ofertas-de-referencia-2016-2017" TargetMode="External"/><Relationship Id="rId12" Type="http://schemas.openxmlformats.org/officeDocument/2006/relationships/hyperlink" Target="https://www.telnor.com/oferta-de-servicios-mayoristas" TargetMode="External"/><Relationship Id="rId2" Type="http://schemas.openxmlformats.org/officeDocument/2006/relationships/hyperlink" Target="http://www.telcel.com/oferta-de-servicios-mayoristas" TargetMode="External"/><Relationship Id="rId1" Type="http://schemas.openxmlformats.org/officeDocument/2006/relationships/hyperlink" Target="http://www.ift.org.mx/politica-regulatoria/ofertas-de-referencia-2016-2017" TargetMode="External"/><Relationship Id="rId6" Type="http://schemas.openxmlformats.org/officeDocument/2006/relationships/hyperlink" Target="http://dof.gob.mx/nota_detalle.php?codigo=5414402&amp;fecha=05/11/2015" TargetMode="External"/><Relationship Id="rId11" Type="http://schemas.openxmlformats.org/officeDocument/2006/relationships/hyperlink" Target="http://www.telmex.com/web/acerca-de-telmex/oferta-mayoristas" TargetMode="External"/><Relationship Id="rId5" Type="http://schemas.openxmlformats.org/officeDocument/2006/relationships/hyperlink" Target="http://www.dof.gob.mx/nota_detalle.php?codigo=5382261&amp;fecha=17/02/2015" TargetMode="External"/><Relationship Id="rId10" Type="http://schemas.openxmlformats.org/officeDocument/2006/relationships/hyperlink" Target="http://www.ift.org.mx/politica-regulatoria/ofertas-de-referencia-2016-2017" TargetMode="External"/><Relationship Id="rId4" Type="http://schemas.openxmlformats.org/officeDocument/2006/relationships/hyperlink" Target="https://www.telnor.com/oferta-de-servicios-mayoristas" TargetMode="External"/><Relationship Id="rId9" Type="http://schemas.openxmlformats.org/officeDocument/2006/relationships/hyperlink" Target="http://www.ift.org.mx/sites/default/files/contenidogeneral/politica-regulatoria/matift-tarifas-de-interconexion-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F651-AF22-4F34-BD33-930A3FAB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4827</Words>
  <Characters>26550</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Salazar Altamirano</dc:creator>
  <cp:keywords/>
  <dc:description/>
  <cp:lastModifiedBy>Luis Fernando Rosas Yanez</cp:lastModifiedBy>
  <cp:revision>4</cp:revision>
  <dcterms:created xsi:type="dcterms:W3CDTF">2016-04-07T00:19:00Z</dcterms:created>
  <dcterms:modified xsi:type="dcterms:W3CDTF">2016-04-07T02:57:00Z</dcterms:modified>
</cp:coreProperties>
</file>