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9E165" w14:textId="31C69566" w:rsidR="00D306C9" w:rsidRPr="00231EBD" w:rsidRDefault="00D306C9" w:rsidP="00231EBD">
      <w:pPr>
        <w:pStyle w:val="Ttulo1"/>
        <w:jc w:val="center"/>
        <w:rPr>
          <w:rFonts w:ascii="ITC Avant Garde" w:hAnsi="ITC Avant Garde"/>
          <w:b/>
          <w:color w:val="000000" w:themeColor="text1"/>
          <w:sz w:val="22"/>
          <w:szCs w:val="22"/>
        </w:rPr>
      </w:pPr>
      <w:r w:rsidRPr="00231EBD">
        <w:rPr>
          <w:rFonts w:ascii="ITC Avant Garde" w:hAnsi="ITC Avant Garde"/>
          <w:b/>
          <w:color w:val="000000" w:themeColor="text1"/>
          <w:sz w:val="22"/>
          <w:szCs w:val="22"/>
        </w:rPr>
        <w:t xml:space="preserve">ANEXO </w:t>
      </w:r>
      <w:r w:rsidR="00EC2AA0" w:rsidRPr="00231EBD">
        <w:rPr>
          <w:rFonts w:ascii="ITC Avant Garde" w:hAnsi="ITC Avant Garde"/>
          <w:b/>
          <w:color w:val="000000" w:themeColor="text1"/>
          <w:sz w:val="22"/>
          <w:szCs w:val="22"/>
        </w:rPr>
        <w:t>“</w:t>
      </w:r>
      <w:r w:rsidRPr="00231EBD">
        <w:rPr>
          <w:rFonts w:ascii="ITC Avant Garde" w:hAnsi="ITC Avant Garde"/>
          <w:b/>
          <w:color w:val="000000" w:themeColor="text1"/>
          <w:sz w:val="22"/>
          <w:szCs w:val="22"/>
        </w:rPr>
        <w:t>II</w:t>
      </w:r>
      <w:r w:rsidR="00EC2AA0" w:rsidRPr="00231EBD">
        <w:rPr>
          <w:rFonts w:ascii="ITC Avant Garde" w:hAnsi="ITC Avant Garde"/>
          <w:b/>
          <w:color w:val="000000" w:themeColor="text1"/>
          <w:sz w:val="22"/>
          <w:szCs w:val="22"/>
        </w:rPr>
        <w:t>”</w:t>
      </w:r>
    </w:p>
    <w:p w14:paraId="2280812C" w14:textId="3BC16795" w:rsidR="00EC2AA0" w:rsidRPr="00A62461" w:rsidRDefault="00EC2AA0" w:rsidP="00EC2AA0">
      <w:pPr>
        <w:spacing w:after="120" w:line="480" w:lineRule="auto"/>
        <w:jc w:val="center"/>
        <w:rPr>
          <w:rFonts w:ascii="ITC Avant Garde" w:eastAsia="Calibri" w:hAnsi="ITC Avant Garde" w:cs="Arial"/>
          <w:b/>
          <w:u w:val="single"/>
        </w:rPr>
      </w:pPr>
      <w:r w:rsidRPr="00A62461">
        <w:rPr>
          <w:rFonts w:ascii="ITC Avant Garde" w:eastAsia="Calibri" w:hAnsi="ITC Avant Garde" w:cs="Arial"/>
          <w:b/>
          <w:u w:val="single"/>
        </w:rPr>
        <w:t>Red subterránea</w:t>
      </w:r>
    </w:p>
    <w:p w14:paraId="36B6E787" w14:textId="02E2D753" w:rsidR="00EC2AA0" w:rsidRDefault="00EC2AA0" w:rsidP="0033122C">
      <w:pPr>
        <w:pStyle w:val="IFTnormal"/>
        <w:rPr>
          <w:lang w:val="es-ES_tradnl" w:eastAsia="es-ES"/>
        </w:rPr>
      </w:pPr>
      <w:r w:rsidRPr="00265C93">
        <w:rPr>
          <w:lang w:val="es-ES_tradnl" w:eastAsia="es-ES"/>
        </w:rPr>
        <w:t xml:space="preserve">El presente documento </w:t>
      </w:r>
      <w:bookmarkStart w:id="0" w:name="_GoBack"/>
      <w:bookmarkEnd w:id="0"/>
      <w:r w:rsidRPr="00265C93">
        <w:rPr>
          <w:lang w:val="es-ES_tradnl" w:eastAsia="es-ES"/>
        </w:rPr>
        <w:t xml:space="preserve">constituye un </w:t>
      </w:r>
      <w:r w:rsidR="006C11E1">
        <w:rPr>
          <w:lang w:val="es-ES_tradnl" w:eastAsia="es-ES"/>
        </w:rPr>
        <w:t>a</w:t>
      </w:r>
      <w:r w:rsidR="006C11E1" w:rsidRPr="00265C93">
        <w:rPr>
          <w:lang w:val="es-ES_tradnl" w:eastAsia="es-ES"/>
        </w:rPr>
        <w:t xml:space="preserve">nexo </w:t>
      </w:r>
      <w:r w:rsidRPr="00265C93">
        <w:rPr>
          <w:lang w:val="es-ES_tradnl" w:eastAsia="es-ES"/>
        </w:rPr>
        <w:t xml:space="preserve">integrante de los </w:t>
      </w:r>
      <w:r w:rsidR="002A3A6B" w:rsidRPr="002A3A6B">
        <w:rPr>
          <w:lang w:val="es-ES_tradnl" w:eastAsia="es-ES"/>
        </w:rPr>
        <w:t>Lineamientos.</w:t>
      </w:r>
    </w:p>
    <w:p w14:paraId="72A9E955" w14:textId="66B74055" w:rsidR="00682C62" w:rsidRDefault="00682C62" w:rsidP="00682C62">
      <w:pPr>
        <w:pStyle w:val="IFTnormal"/>
      </w:pPr>
      <w:r w:rsidRPr="004805B8">
        <w:t xml:space="preserve">Los </w:t>
      </w:r>
      <w:r>
        <w:t>lineamientos</w:t>
      </w:r>
      <w:r w:rsidRPr="004805B8">
        <w:t xml:space="preserve"> técnicos establecidos en el pr</w:t>
      </w:r>
      <w:r>
        <w:t xml:space="preserve">esente anexo describen el uso </w:t>
      </w:r>
      <w:r w:rsidRPr="004805B8">
        <w:t xml:space="preserve">de la Infraestructura designada </w:t>
      </w:r>
      <w:r>
        <w:t>para la instalación de cableado</w:t>
      </w:r>
      <w:r w:rsidRPr="004805B8">
        <w:t xml:space="preserve"> </w:t>
      </w:r>
      <w:r w:rsidR="00B53B5F">
        <w:t>subterráneo</w:t>
      </w:r>
      <w:r w:rsidRPr="004805B8">
        <w:t xml:space="preserve"> de redes de telecomunicacione</w:t>
      </w:r>
      <w:r>
        <w:t>s.</w:t>
      </w:r>
    </w:p>
    <w:p w14:paraId="7B694DB3" w14:textId="4391FEEC" w:rsidR="00682C62" w:rsidRPr="004805B8" w:rsidRDefault="00682C62" w:rsidP="00682C62">
      <w:pPr>
        <w:pStyle w:val="IFTnormal"/>
      </w:pPr>
      <w:r w:rsidRPr="003F47E2">
        <w:t xml:space="preserve">Es responsabilidad de los </w:t>
      </w:r>
      <w:r w:rsidR="00FF061B">
        <w:t>Interesados en Despliegue</w:t>
      </w:r>
      <w:r w:rsidRPr="003F47E2">
        <w:t xml:space="preserve"> y Proveedores de Infraestructura seguir la normatividad descrita en la NOM-001-SEDE-2012 o aquella normativa que resulte aplicable.</w:t>
      </w:r>
    </w:p>
    <w:p w14:paraId="70F9E166" w14:textId="536B2AD9" w:rsidR="006E4F62" w:rsidRPr="00795C4E" w:rsidRDefault="00795C4E" w:rsidP="00795C4E">
      <w:pPr>
        <w:pStyle w:val="Prrafodelista"/>
        <w:numPr>
          <w:ilvl w:val="0"/>
          <w:numId w:val="5"/>
        </w:numPr>
        <w:rPr>
          <w:rFonts w:ascii="ITC Avant Garde" w:eastAsia="Calibri" w:hAnsi="ITC Avant Garde" w:cs="Arial"/>
          <w:color w:val="000000"/>
          <w:lang w:val="es-ES_tradnl" w:eastAsia="es-ES"/>
        </w:rPr>
      </w:pPr>
      <w:r>
        <w:rPr>
          <w:rFonts w:ascii="ITC Avant Garde" w:eastAsia="Calibri" w:hAnsi="ITC Avant Garde" w:cs="Arial"/>
          <w:color w:val="000000"/>
          <w:lang w:val="es-ES_tradnl" w:eastAsia="es-ES"/>
        </w:rPr>
        <w:t xml:space="preserve">Red </w:t>
      </w:r>
      <w:r w:rsidR="006C11E1">
        <w:rPr>
          <w:rFonts w:ascii="ITC Avant Garde" w:eastAsia="Calibri" w:hAnsi="ITC Avant Garde" w:cs="Arial"/>
          <w:color w:val="000000"/>
          <w:lang w:val="es-ES_tradnl" w:eastAsia="es-ES"/>
        </w:rPr>
        <w:t>Subterránea</w:t>
      </w:r>
    </w:p>
    <w:p w14:paraId="70F9E167" w14:textId="0789F090" w:rsidR="00496B67" w:rsidRPr="0033122C" w:rsidRDefault="00214C6A" w:rsidP="0033122C">
      <w:pPr>
        <w:pStyle w:val="IFTnormal"/>
      </w:pPr>
      <w:r w:rsidRPr="0033122C">
        <w:t>E</w:t>
      </w:r>
      <w:r w:rsidR="00CB656F" w:rsidRPr="0033122C">
        <w:t xml:space="preserve">l despliegue de Red </w:t>
      </w:r>
      <w:r w:rsidR="00412404" w:rsidRPr="0033122C">
        <w:t>S</w:t>
      </w:r>
      <w:r w:rsidR="00CB656F" w:rsidRPr="0033122C">
        <w:t>ubterránea consiste en enterrar el cableado</w:t>
      </w:r>
      <w:r w:rsidR="00DD4A50" w:rsidRPr="0033122C">
        <w:t xml:space="preserve"> </w:t>
      </w:r>
      <w:r w:rsidR="00CB656F" w:rsidRPr="0033122C">
        <w:t xml:space="preserve">guiándolo por medio de </w:t>
      </w:r>
      <w:r w:rsidR="00576F0E" w:rsidRPr="0033122C">
        <w:t>Ducto</w:t>
      </w:r>
      <w:r w:rsidR="001105F1" w:rsidRPr="0033122C">
        <w:t xml:space="preserve">s </w:t>
      </w:r>
      <w:r w:rsidR="004F1F0A" w:rsidRPr="0033122C">
        <w:t>para su protección</w:t>
      </w:r>
      <w:r w:rsidRPr="0033122C">
        <w:t>.</w:t>
      </w:r>
      <w:r w:rsidR="00023787" w:rsidRPr="0033122C">
        <w:t xml:space="preserve"> </w:t>
      </w:r>
      <w:r w:rsidRPr="0033122C">
        <w:t>Para lleva</w:t>
      </w:r>
      <w:r w:rsidR="00496B67" w:rsidRPr="0033122C">
        <w:t>r</w:t>
      </w:r>
      <w:r w:rsidR="00023787" w:rsidRPr="0033122C">
        <w:t xml:space="preserve"> a cabo dicho despliegue</w:t>
      </w:r>
      <w:r w:rsidR="00496B67" w:rsidRPr="0033122C">
        <w:t xml:space="preserve"> es necesario construir la canalización</w:t>
      </w:r>
      <w:r w:rsidR="00023787" w:rsidRPr="0033122C">
        <w:t>,</w:t>
      </w:r>
      <w:r w:rsidR="00496B67" w:rsidRPr="0033122C">
        <w:t xml:space="preserve"> que consiste</w:t>
      </w:r>
      <w:r w:rsidR="007E7CC3" w:rsidRPr="0033122C">
        <w:t xml:space="preserve"> en</w:t>
      </w:r>
      <w:r w:rsidRPr="0033122C">
        <w:t xml:space="preserve"> </w:t>
      </w:r>
      <w:r w:rsidR="00496B67" w:rsidRPr="0033122C">
        <w:t xml:space="preserve">realizar obras </w:t>
      </w:r>
      <w:r w:rsidR="001105F1" w:rsidRPr="0033122C">
        <w:t>subterránea</w:t>
      </w:r>
      <w:r w:rsidR="00CF5EBB" w:rsidRPr="0033122C">
        <w:t>s,</w:t>
      </w:r>
      <w:r w:rsidR="00496B67" w:rsidRPr="0033122C">
        <w:t xml:space="preserve"> como son zanjas o cepas, </w:t>
      </w:r>
      <w:r w:rsidR="007E7CC3" w:rsidRPr="0033122C">
        <w:t>pozos</w:t>
      </w:r>
      <w:r w:rsidR="00B25021" w:rsidRPr="0033122C">
        <w:t xml:space="preserve"> y el</w:t>
      </w:r>
      <w:r w:rsidR="00496B67" w:rsidRPr="0033122C">
        <w:t xml:space="preserve"> </w:t>
      </w:r>
      <w:r w:rsidR="001105F1" w:rsidRPr="0033122C">
        <w:t xml:space="preserve">tendido de </w:t>
      </w:r>
      <w:r w:rsidR="00576F0E" w:rsidRPr="0033122C">
        <w:t>Ducto</w:t>
      </w:r>
      <w:r w:rsidR="001105F1" w:rsidRPr="0033122C">
        <w:t>s</w:t>
      </w:r>
      <w:r w:rsidR="00795C4E" w:rsidRPr="0033122C">
        <w:t xml:space="preserve">, </w:t>
      </w:r>
      <w:r w:rsidR="00496B67" w:rsidRPr="0033122C">
        <w:t>entre otros.</w:t>
      </w:r>
    </w:p>
    <w:p w14:paraId="70F9E168" w14:textId="77777777" w:rsidR="00795C4E" w:rsidRDefault="00795C4E" w:rsidP="00795C4E">
      <w:pPr>
        <w:pStyle w:val="IFTnormal"/>
        <w:numPr>
          <w:ilvl w:val="1"/>
          <w:numId w:val="5"/>
        </w:numPr>
        <w:ind w:left="426"/>
      </w:pPr>
      <w:r>
        <w:t>Canalización</w:t>
      </w:r>
    </w:p>
    <w:p w14:paraId="3BF604E9" w14:textId="0B29E47A" w:rsidR="00490292" w:rsidRDefault="00490292" w:rsidP="00490292">
      <w:pPr>
        <w:pStyle w:val="IFTnormal"/>
      </w:pPr>
      <w:r>
        <w:t xml:space="preserve">La canalización consiste en realizar obras subterráneas que </w:t>
      </w:r>
      <w:r w:rsidR="00264056">
        <w:t>consiste</w:t>
      </w:r>
      <w:r>
        <w:t xml:space="preserve"> </w:t>
      </w:r>
      <w:r w:rsidR="00264056">
        <w:t>en</w:t>
      </w:r>
      <w:r>
        <w:t xml:space="preserve"> la excavación de zanja o sepa, pozos y registros, así como el tendido de </w:t>
      </w:r>
      <w:r w:rsidR="00576F0E">
        <w:t>Ducto</w:t>
      </w:r>
      <w:r>
        <w:t>s.</w:t>
      </w:r>
    </w:p>
    <w:p w14:paraId="66599867" w14:textId="7A338808" w:rsidR="0075506C" w:rsidRDefault="0075506C" w:rsidP="0075506C">
      <w:pPr>
        <w:pStyle w:val="Prrafodelista"/>
        <w:numPr>
          <w:ilvl w:val="2"/>
          <w:numId w:val="5"/>
        </w:numPr>
        <w:jc w:val="both"/>
        <w:rPr>
          <w:rFonts w:ascii="ITC Avant Garde" w:eastAsia="Calibri" w:hAnsi="ITC Avant Garde" w:cs="Arial"/>
          <w:color w:val="000000"/>
          <w:lang w:val="es-ES_tradnl" w:eastAsia="es-ES"/>
        </w:rPr>
      </w:pPr>
      <w:r w:rsidRPr="0075506C">
        <w:rPr>
          <w:rFonts w:ascii="ITC Avant Garde" w:eastAsia="Calibri" w:hAnsi="ITC Avant Garde" w:cs="Arial"/>
          <w:color w:val="000000"/>
          <w:lang w:val="es-ES_tradnl" w:eastAsia="es-ES"/>
        </w:rPr>
        <w:t>Construcción de la canalización</w:t>
      </w:r>
    </w:p>
    <w:p w14:paraId="70F9E16B" w14:textId="58F4726B" w:rsidR="004F1F0A" w:rsidRPr="0033122C" w:rsidRDefault="007E7CC3" w:rsidP="0033122C">
      <w:pPr>
        <w:pStyle w:val="IFTnormal"/>
      </w:pPr>
      <w:r w:rsidRPr="0033122C">
        <w:t xml:space="preserve">Para </w:t>
      </w:r>
      <w:r w:rsidR="0056766E" w:rsidRPr="0033122C">
        <w:t>llevar a cabo la</w:t>
      </w:r>
      <w:r w:rsidRPr="0033122C">
        <w:t xml:space="preserve"> </w:t>
      </w:r>
      <w:r w:rsidR="00CC46B5" w:rsidRPr="0033122C">
        <w:t xml:space="preserve">construcción de </w:t>
      </w:r>
      <w:r w:rsidR="000201D1" w:rsidRPr="0033122C">
        <w:t>una</w:t>
      </w:r>
      <w:r w:rsidR="00CC46B5" w:rsidRPr="0033122C">
        <w:t xml:space="preserve"> </w:t>
      </w:r>
      <w:r w:rsidRPr="0033122C">
        <w:t>canalización</w:t>
      </w:r>
      <w:r w:rsidR="00CC46B5" w:rsidRPr="0033122C">
        <w:t xml:space="preserve"> se consider</w:t>
      </w:r>
      <w:r w:rsidR="001D706E" w:rsidRPr="0033122C">
        <w:t>a</w:t>
      </w:r>
      <w:r w:rsidR="00CC46B5" w:rsidRPr="0033122C">
        <w:t xml:space="preserve"> </w:t>
      </w:r>
      <w:r w:rsidR="00C50561" w:rsidRPr="0033122C">
        <w:t>e</w:t>
      </w:r>
      <w:r w:rsidR="005D06A2">
        <w:t xml:space="preserve">n </w:t>
      </w:r>
      <w:r w:rsidR="003579A9">
        <w:t>la construcción de</w:t>
      </w:r>
      <w:r w:rsidR="00FF302D" w:rsidRPr="0033122C">
        <w:t xml:space="preserve"> </w:t>
      </w:r>
      <w:r w:rsidRPr="0033122C">
        <w:t>una cepa</w:t>
      </w:r>
      <w:r w:rsidR="003B1B96" w:rsidRPr="0033122C">
        <w:t xml:space="preserve"> o zanja,</w:t>
      </w:r>
      <w:r w:rsidRPr="0033122C">
        <w:t xml:space="preserve"> </w:t>
      </w:r>
      <w:r w:rsidR="00FF302D" w:rsidRPr="0033122C">
        <w:t xml:space="preserve">la cual </w:t>
      </w:r>
      <w:r w:rsidR="00C80E44" w:rsidRPr="0033122C">
        <w:t xml:space="preserve">consiste en la excavación </w:t>
      </w:r>
      <w:r w:rsidR="00FF302D" w:rsidRPr="0033122C">
        <w:t xml:space="preserve">a </w:t>
      </w:r>
      <w:r w:rsidR="001D706E" w:rsidRPr="0033122C">
        <w:t>profundidades variables, normalmente con un mínimo aproximado</w:t>
      </w:r>
      <w:r w:rsidR="00FF302D" w:rsidRPr="0033122C">
        <w:t xml:space="preserve"> de 0.4m en banqueta o 0.7m en arroyo con tráfico pesado y con un ancho </w:t>
      </w:r>
      <w:r w:rsidR="001D706E" w:rsidRPr="0033122C">
        <w:t xml:space="preserve">normal de </w:t>
      </w:r>
      <w:r w:rsidR="00CC46B5" w:rsidRPr="0033122C" w:rsidDel="001D706E">
        <w:t>hasta</w:t>
      </w:r>
      <w:r w:rsidRPr="0033122C">
        <w:t xml:space="preserve"> </w:t>
      </w:r>
      <w:r w:rsidR="002515EF" w:rsidRPr="0033122C">
        <w:t xml:space="preserve">0.3m en banqueta o </w:t>
      </w:r>
      <w:r w:rsidRPr="0033122C">
        <w:t xml:space="preserve">0.4m </w:t>
      </w:r>
      <w:r w:rsidR="00FF302D" w:rsidRPr="0033122C">
        <w:t>en arroyo</w:t>
      </w:r>
      <w:r w:rsidR="001D706E" w:rsidRPr="0033122C">
        <w:t>,</w:t>
      </w:r>
      <w:r w:rsidR="00CC46B5" w:rsidRPr="0033122C" w:rsidDel="001D706E">
        <w:t xml:space="preserve"> </w:t>
      </w:r>
      <w:r w:rsidR="00CC46B5" w:rsidRPr="0033122C">
        <w:t>dependiendo</w:t>
      </w:r>
      <w:r w:rsidR="001D706E" w:rsidRPr="0033122C">
        <w:t xml:space="preserve"> esta variabilidad</w:t>
      </w:r>
      <w:r w:rsidR="00CC46B5" w:rsidRPr="0033122C">
        <w:t xml:space="preserve"> de la cantidad de </w:t>
      </w:r>
      <w:r w:rsidR="00576F0E" w:rsidRPr="0033122C">
        <w:t>Ducto</w:t>
      </w:r>
      <w:r w:rsidR="00CC46B5" w:rsidRPr="0033122C">
        <w:t>s a instalar</w:t>
      </w:r>
      <w:r w:rsidRPr="0033122C">
        <w:t xml:space="preserve">. </w:t>
      </w:r>
      <w:r w:rsidR="00CC46B5" w:rsidRPr="0033122C">
        <w:t>L</w:t>
      </w:r>
      <w:r w:rsidR="00C80E44" w:rsidRPr="0033122C">
        <w:t>o anterior se lleva</w:t>
      </w:r>
      <w:r w:rsidRPr="0033122C">
        <w:t xml:space="preserve"> a cabo </w:t>
      </w:r>
      <w:r w:rsidR="00C50561" w:rsidRPr="0033122C">
        <w:t>normalmente</w:t>
      </w:r>
      <w:r w:rsidR="005278A1" w:rsidRPr="0033122C">
        <w:t xml:space="preserve"> </w:t>
      </w:r>
      <w:r w:rsidR="00CC46B5" w:rsidRPr="0033122C">
        <w:t xml:space="preserve">bajo el siguiente </w:t>
      </w:r>
      <w:r w:rsidRPr="0033122C">
        <w:t>procedimiento:</w:t>
      </w:r>
    </w:p>
    <w:p w14:paraId="70F9E16C" w14:textId="7CE4BEB6" w:rsidR="007E7CC3" w:rsidRDefault="007E7CC3" w:rsidP="007E7CC3">
      <w:pPr>
        <w:pStyle w:val="IFTnormal"/>
        <w:numPr>
          <w:ilvl w:val="0"/>
          <w:numId w:val="4"/>
        </w:numPr>
      </w:pPr>
      <w:r>
        <w:t xml:space="preserve">Corte con sierra </w:t>
      </w:r>
      <w:r w:rsidR="00C50561">
        <w:t>adecuada</w:t>
      </w:r>
      <w:r>
        <w:t xml:space="preserve"> para la demolición de los diferentes materiales (banqueta de cemento, mosaico, asfalto, concreto hidráulico, etc.)</w:t>
      </w:r>
      <w:r w:rsidR="00507ADD">
        <w:t>.</w:t>
      </w:r>
    </w:p>
    <w:p w14:paraId="349A6865" w14:textId="03EA3988" w:rsidR="00CF5EBB" w:rsidRDefault="00CF5EBB" w:rsidP="007E7CC3">
      <w:pPr>
        <w:pStyle w:val="IFTnormal"/>
        <w:numPr>
          <w:ilvl w:val="0"/>
          <w:numId w:val="4"/>
        </w:numPr>
      </w:pPr>
      <w:r>
        <w:t xml:space="preserve">Se excava </w:t>
      </w:r>
      <w:r w:rsidR="004A45CD">
        <w:t>a la</w:t>
      </w:r>
      <w:r>
        <w:t xml:space="preserve"> profundidad necesaria. El material excavado </w:t>
      </w:r>
      <w:r w:rsidR="00C50561">
        <w:t xml:space="preserve">se </w:t>
      </w:r>
      <w:r>
        <w:t>deposita en ambos lados de la zanja</w:t>
      </w:r>
      <w:r w:rsidR="004A45CD">
        <w:t xml:space="preserve"> para ser utilizados para relleno</w:t>
      </w:r>
      <w:r>
        <w:t>.</w:t>
      </w:r>
    </w:p>
    <w:p w14:paraId="70F9E16D" w14:textId="14047F42" w:rsidR="002005E1" w:rsidRPr="002D015A" w:rsidRDefault="00CF5EBB" w:rsidP="002515EF">
      <w:pPr>
        <w:pStyle w:val="IFTnormal"/>
        <w:numPr>
          <w:ilvl w:val="0"/>
          <w:numId w:val="4"/>
        </w:numPr>
      </w:pPr>
      <w:r>
        <w:t>Una vez realizada la zanja y e</w:t>
      </w:r>
      <w:r w:rsidR="00CC46B5">
        <w:t xml:space="preserve">n caso necesario </w:t>
      </w:r>
      <w:r>
        <w:t xml:space="preserve">se </w:t>
      </w:r>
      <w:r w:rsidR="00CC46B5" w:rsidRPr="002D015A">
        <w:t>c</w:t>
      </w:r>
      <w:r w:rsidR="007E7CC3" w:rsidRPr="002D015A">
        <w:t>oloca</w:t>
      </w:r>
      <w:r w:rsidR="007E7CC3">
        <w:t xml:space="preserve"> </w:t>
      </w:r>
      <w:r>
        <w:t xml:space="preserve">una </w:t>
      </w:r>
      <w:r w:rsidR="007E7CC3">
        <w:t xml:space="preserve">cama de arena de </w:t>
      </w:r>
      <w:r w:rsidR="007E7458" w:rsidRPr="002D015A">
        <w:t>aproximadamente</w:t>
      </w:r>
      <w:r w:rsidR="007E7CC3" w:rsidRPr="002D015A">
        <w:t xml:space="preserve"> </w:t>
      </w:r>
      <w:r w:rsidR="007E7CC3">
        <w:t xml:space="preserve">0.05m </w:t>
      </w:r>
      <w:r w:rsidR="003C1F5B">
        <w:t xml:space="preserve">al fondo de la zanja </w:t>
      </w:r>
      <w:r w:rsidR="007E7CC3">
        <w:t xml:space="preserve">en donde </w:t>
      </w:r>
      <w:r w:rsidR="007E7458" w:rsidRPr="002D015A">
        <w:t>se colocan</w:t>
      </w:r>
      <w:r w:rsidR="003C1F5B" w:rsidRPr="002D015A">
        <w:t xml:space="preserve"> los </w:t>
      </w:r>
      <w:r w:rsidR="00576F0E">
        <w:t>Ducto</w:t>
      </w:r>
      <w:r w:rsidR="007E7458" w:rsidRPr="002D015A">
        <w:t>s</w:t>
      </w:r>
      <w:r w:rsidR="00576F0E">
        <w:t>.</w:t>
      </w:r>
    </w:p>
    <w:p w14:paraId="70F9E16E" w14:textId="1C1CC692" w:rsidR="002005E1" w:rsidRDefault="002005E1" w:rsidP="002515EF">
      <w:pPr>
        <w:pStyle w:val="IFTnormal"/>
        <w:numPr>
          <w:ilvl w:val="0"/>
          <w:numId w:val="4"/>
        </w:numPr>
      </w:pPr>
      <w:r>
        <w:lastRenderedPageBreak/>
        <w:t>Cuando se colo</w:t>
      </w:r>
      <w:r w:rsidR="007E7458">
        <w:t>can</w:t>
      </w:r>
      <w:r>
        <w:t xml:space="preserve"> más de dos </w:t>
      </w:r>
      <w:r w:rsidR="00576F0E">
        <w:t>Ducto</w:t>
      </w:r>
      <w:r>
        <w:t xml:space="preserve">s sobre </w:t>
      </w:r>
      <w:r w:rsidR="00576F0E">
        <w:t>Ducto</w:t>
      </w:r>
      <w:r>
        <w:t>s inferiores,</w:t>
      </w:r>
      <w:r w:rsidR="007E7CC3">
        <w:t xml:space="preserve"> </w:t>
      </w:r>
      <w:r w:rsidR="007E7458">
        <w:t>es recomendable colocar</w:t>
      </w:r>
      <w:r w:rsidR="007E7CC3">
        <w:t xml:space="preserve"> </w:t>
      </w:r>
      <w:r w:rsidR="00CC46B5">
        <w:t>una cama</w:t>
      </w:r>
      <w:r w:rsidR="007E7CC3">
        <w:t xml:space="preserve"> de arena </w:t>
      </w:r>
      <w:r>
        <w:t xml:space="preserve">hasta enrasar sus lomos y se instalaran los siguiente </w:t>
      </w:r>
      <w:r w:rsidR="00576F0E">
        <w:t>Ducto</w:t>
      </w:r>
      <w:r>
        <w:t>s</w:t>
      </w:r>
      <w:r w:rsidR="007E7458">
        <w:t xml:space="preserve"> o instalar separadores de </w:t>
      </w:r>
      <w:r w:rsidR="00576F0E">
        <w:t>Ducto</w:t>
      </w:r>
      <w:r w:rsidR="007E7458">
        <w:t>s</w:t>
      </w:r>
      <w:r>
        <w:t>. El proceso se real</w:t>
      </w:r>
      <w:r w:rsidR="007E7458">
        <w:t>iza</w:t>
      </w:r>
      <w:r>
        <w:t xml:space="preserve"> cuantas camas de </w:t>
      </w:r>
      <w:r w:rsidR="00576F0E">
        <w:t>Ducto</w:t>
      </w:r>
      <w:r>
        <w:t>s se instalen.</w:t>
      </w:r>
    </w:p>
    <w:p w14:paraId="70F9E16F" w14:textId="52ED781A" w:rsidR="002515EF" w:rsidRDefault="002515EF" w:rsidP="002515EF">
      <w:pPr>
        <w:pStyle w:val="IFTnormal"/>
        <w:numPr>
          <w:ilvl w:val="0"/>
          <w:numId w:val="4"/>
        </w:numPr>
      </w:pPr>
      <w:r>
        <w:t xml:space="preserve">Colocación de cinta de señalización a </w:t>
      </w:r>
      <w:r w:rsidR="007E7458">
        <w:t xml:space="preserve">aproximadamente </w:t>
      </w:r>
      <w:r>
        <w:t xml:space="preserve">0.15m en banqueta o 0.20 en arroyo de los </w:t>
      </w:r>
      <w:r w:rsidR="00576F0E">
        <w:t>Ducto</w:t>
      </w:r>
      <w:r>
        <w:t>s colocados.</w:t>
      </w:r>
      <w:r w:rsidR="001A3235">
        <w:t xml:space="preserve"> Dicha cinta </w:t>
      </w:r>
      <w:r w:rsidR="007E7458">
        <w:t>suele</w:t>
      </w:r>
      <w:r w:rsidR="001A3235">
        <w:t xml:space="preserve"> contener </w:t>
      </w:r>
      <w:r w:rsidR="007E7458">
        <w:t>leyendas como</w:t>
      </w:r>
      <w:r w:rsidR="001A3235">
        <w:t xml:space="preserve"> la siguiente</w:t>
      </w:r>
      <w:r w:rsidR="007E7458">
        <w:t>:</w:t>
      </w:r>
      <w:r w:rsidR="001A3235">
        <w:t xml:space="preserve"> “LINEA DE FIBRA OPTICA. NO </w:t>
      </w:r>
      <w:r w:rsidR="006C11E1">
        <w:t>EXCAVAR</w:t>
      </w:r>
      <w:r w:rsidR="001A3235">
        <w:t xml:space="preserve">. </w:t>
      </w:r>
      <w:r w:rsidR="006C11E1">
        <w:t xml:space="preserve">COMUNÍQUESE </w:t>
      </w:r>
      <w:r w:rsidR="001A3235">
        <w:t xml:space="preserve">AL (número telefónica del </w:t>
      </w:r>
      <w:r w:rsidR="00FF061B">
        <w:t xml:space="preserve">Interesado en Despliegue </w:t>
      </w:r>
      <w:r w:rsidR="001A3235">
        <w:t>responsable)”</w:t>
      </w:r>
      <w:r w:rsidR="00BA4777">
        <w:t>.</w:t>
      </w:r>
    </w:p>
    <w:p w14:paraId="70F9E170" w14:textId="161650AE" w:rsidR="007E7CC3" w:rsidRDefault="00DC6C12" w:rsidP="007E7CC3">
      <w:pPr>
        <w:pStyle w:val="IFTnormal"/>
        <w:numPr>
          <w:ilvl w:val="0"/>
          <w:numId w:val="4"/>
        </w:numPr>
      </w:pPr>
      <w:r>
        <w:t>Se rellena</w:t>
      </w:r>
      <w:r w:rsidR="007E7CC3">
        <w:t xml:space="preserve"> con </w:t>
      </w:r>
      <w:r w:rsidR="003577A9">
        <w:t xml:space="preserve">el </w:t>
      </w:r>
      <w:r w:rsidR="007E7CC3">
        <w:t>pro</w:t>
      </w:r>
      <w:r w:rsidR="00576F0E">
        <w:t>ducto</w:t>
      </w:r>
      <w:r w:rsidR="007E7CC3">
        <w:t xml:space="preserve"> de excavación</w:t>
      </w:r>
      <w:r w:rsidR="003577A9">
        <w:t>,</w:t>
      </w:r>
      <w:r w:rsidR="007E7CC3">
        <w:t xml:space="preserve"> compactándose por capas y realizando las reposiciones en las mismas condiciones existentes al momento de la construcción.</w:t>
      </w:r>
    </w:p>
    <w:p w14:paraId="70F9E171" w14:textId="7379F5BC" w:rsidR="002515EF" w:rsidRDefault="00DC6C12" w:rsidP="007E7CC3">
      <w:pPr>
        <w:pStyle w:val="IFTnormal"/>
        <w:numPr>
          <w:ilvl w:val="0"/>
          <w:numId w:val="4"/>
        </w:numPr>
      </w:pPr>
      <w:r>
        <w:t>Se repone</w:t>
      </w:r>
      <w:r w:rsidR="002515EF">
        <w:t xml:space="preserve"> la banqueta de cemento, mosaico, asfalto, concreto hidráulico, etc</w:t>
      </w:r>
      <w:r w:rsidR="00A7139E">
        <w:t xml:space="preserve">. </w:t>
      </w:r>
      <w:r>
        <w:t>intentando dejar el espacio en</w:t>
      </w:r>
      <w:r w:rsidR="00A7139E">
        <w:t xml:space="preserve"> </w:t>
      </w:r>
      <w:r w:rsidR="00C80E44">
        <w:t xml:space="preserve">por lo menos </w:t>
      </w:r>
      <w:r w:rsidR="00A7139E">
        <w:t>en las mismas condiciones</w:t>
      </w:r>
      <w:r w:rsidR="00C80E44">
        <w:t xml:space="preserve"> y acabado</w:t>
      </w:r>
      <w:r w:rsidR="00A7139E">
        <w:t xml:space="preserve"> en que se encontraba previo a la construcción.</w:t>
      </w:r>
    </w:p>
    <w:p w14:paraId="70F9E172" w14:textId="3CC8E8F0" w:rsidR="002005E1" w:rsidRDefault="002005E1" w:rsidP="007E7CC3">
      <w:pPr>
        <w:pStyle w:val="IFTnormal"/>
        <w:numPr>
          <w:ilvl w:val="0"/>
          <w:numId w:val="4"/>
        </w:numPr>
      </w:pPr>
      <w:r>
        <w:t>Una vez concluidos los trabajos los materiales sobrantes de la excavación se deposit</w:t>
      </w:r>
      <w:r w:rsidR="00DC6C12">
        <w:t>an</w:t>
      </w:r>
      <w:r w:rsidR="003577A9">
        <w:t xml:space="preserve"> donde la autoridad local lo acredite.</w:t>
      </w:r>
      <w:r>
        <w:t xml:space="preserve"> </w:t>
      </w:r>
    </w:p>
    <w:p w14:paraId="68440168" w14:textId="04124066" w:rsidR="00BD6DED" w:rsidRDefault="004549BB" w:rsidP="00455262">
      <w:pPr>
        <w:pStyle w:val="IFTnormal"/>
        <w:jc w:val="center"/>
      </w:pPr>
      <w:r>
        <w:rPr>
          <w:noProof/>
          <w:lang w:eastAsia="es-MX"/>
        </w:rPr>
        <w:drawing>
          <wp:inline distT="0" distB="0" distL="0" distR="0" wp14:anchorId="4B3D4EAA" wp14:editId="515D9295">
            <wp:extent cx="4864100" cy="3438662"/>
            <wp:effectExtent l="0" t="0" r="0" b="9525"/>
            <wp:docPr id="13" name="Imagen 13" descr="Figura 1"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79129" cy="3449286"/>
                    </a:xfrm>
                    <a:prstGeom prst="rect">
                      <a:avLst/>
                    </a:prstGeom>
                  </pic:spPr>
                </pic:pic>
              </a:graphicData>
            </a:graphic>
          </wp:inline>
        </w:drawing>
      </w:r>
    </w:p>
    <w:p w14:paraId="70F9E175" w14:textId="13F6D9F6" w:rsidR="00455262" w:rsidRDefault="00455262" w:rsidP="00455262">
      <w:pPr>
        <w:pStyle w:val="IFTnormal"/>
        <w:jc w:val="center"/>
        <w:rPr>
          <w:sz w:val="18"/>
        </w:rPr>
      </w:pPr>
      <w:r w:rsidRPr="00455262">
        <w:rPr>
          <w:sz w:val="18"/>
        </w:rPr>
        <w:t xml:space="preserve">Figura 1. </w:t>
      </w:r>
      <w:r>
        <w:rPr>
          <w:sz w:val="18"/>
        </w:rPr>
        <w:t>Esquema de canalización.</w:t>
      </w:r>
    </w:p>
    <w:p w14:paraId="780790F5" w14:textId="77777777" w:rsidR="002B6182" w:rsidRPr="00455262" w:rsidRDefault="002B6182" w:rsidP="00455262">
      <w:pPr>
        <w:pStyle w:val="IFTnormal"/>
        <w:jc w:val="center"/>
        <w:rPr>
          <w:sz w:val="18"/>
        </w:rPr>
      </w:pPr>
    </w:p>
    <w:p w14:paraId="70F9E176" w14:textId="4E07E831" w:rsidR="00B42531" w:rsidRPr="000318CE" w:rsidRDefault="00B42531" w:rsidP="000318CE">
      <w:pPr>
        <w:pStyle w:val="Prrafodelista"/>
        <w:numPr>
          <w:ilvl w:val="2"/>
          <w:numId w:val="5"/>
        </w:numPr>
        <w:spacing w:after="0" w:line="240" w:lineRule="auto"/>
        <w:jc w:val="both"/>
        <w:rPr>
          <w:rFonts w:ascii="ITC Avant Garde" w:eastAsia="Calibri" w:hAnsi="ITC Avant Garde" w:cs="Arial"/>
          <w:color w:val="000000"/>
          <w:lang w:val="es-ES_tradnl" w:eastAsia="es-ES"/>
        </w:rPr>
      </w:pPr>
      <w:r w:rsidRPr="000318CE">
        <w:rPr>
          <w:rFonts w:ascii="ITC Avant Garde" w:eastAsia="Calibri" w:hAnsi="ITC Avant Garde" w:cs="Arial"/>
          <w:color w:val="000000"/>
          <w:lang w:val="es-ES_tradnl" w:eastAsia="es-ES"/>
        </w:rPr>
        <w:lastRenderedPageBreak/>
        <w:t>Técnica de canalización ur</w:t>
      </w:r>
      <w:r w:rsidR="000156BA" w:rsidRPr="000318CE">
        <w:rPr>
          <w:rFonts w:ascii="ITC Avant Garde" w:eastAsia="Calibri" w:hAnsi="ITC Avant Garde" w:cs="Arial"/>
          <w:color w:val="000000"/>
          <w:lang w:val="es-ES_tradnl" w:eastAsia="es-ES"/>
        </w:rPr>
        <w:t xml:space="preserve">bana por medio de </w:t>
      </w:r>
      <w:proofErr w:type="spellStart"/>
      <w:r w:rsidR="006C11E1">
        <w:rPr>
          <w:rFonts w:ascii="ITC Avant Garde" w:eastAsia="Calibri" w:hAnsi="ITC Avant Garde" w:cs="Arial"/>
          <w:color w:val="000000"/>
          <w:lang w:val="es-ES_tradnl" w:eastAsia="es-ES"/>
        </w:rPr>
        <w:t>m</w:t>
      </w:r>
      <w:r w:rsidR="006C11E1" w:rsidRPr="000318CE">
        <w:rPr>
          <w:rFonts w:ascii="ITC Avant Garde" w:eastAsia="Calibri" w:hAnsi="ITC Avant Garde" w:cs="Arial"/>
          <w:color w:val="000000"/>
          <w:lang w:val="es-ES_tradnl" w:eastAsia="es-ES"/>
        </w:rPr>
        <w:t>icrozanjas</w:t>
      </w:r>
      <w:proofErr w:type="spellEnd"/>
    </w:p>
    <w:p w14:paraId="70F9E177" w14:textId="77777777" w:rsidR="00B42531" w:rsidRPr="00B42531" w:rsidRDefault="00B42531" w:rsidP="00B42531">
      <w:pPr>
        <w:spacing w:after="0" w:line="240" w:lineRule="auto"/>
        <w:contextualSpacing/>
        <w:jc w:val="both"/>
        <w:rPr>
          <w:rFonts w:ascii="ITC Avant Garde" w:eastAsia="Calibri" w:hAnsi="ITC Avant Garde" w:cs="Arial"/>
          <w:color w:val="000000"/>
          <w:lang w:val="es-ES_tradnl" w:eastAsia="es-ES"/>
        </w:rPr>
      </w:pPr>
    </w:p>
    <w:p w14:paraId="70F9E178" w14:textId="34B2D929" w:rsidR="00B42531" w:rsidRPr="00B42531" w:rsidRDefault="00D44CE3" w:rsidP="0033122C">
      <w:pPr>
        <w:pStyle w:val="IFTnormal"/>
        <w:rPr>
          <w:lang w:val="es-ES_tradnl" w:eastAsia="es-ES"/>
        </w:rPr>
      </w:pPr>
      <w:r w:rsidRPr="00B42531">
        <w:rPr>
          <w:lang w:val="es-ES_tradnl" w:eastAsia="es-ES"/>
        </w:rPr>
        <w:t xml:space="preserve">La técnica de la </w:t>
      </w:r>
      <w:proofErr w:type="spellStart"/>
      <w:r w:rsidR="006C11E1">
        <w:rPr>
          <w:lang w:val="es-ES_tradnl" w:eastAsia="es-ES"/>
        </w:rPr>
        <w:t>m</w:t>
      </w:r>
      <w:r w:rsidR="006C11E1" w:rsidRPr="00B42531">
        <w:rPr>
          <w:lang w:val="es-ES_tradnl" w:eastAsia="es-ES"/>
        </w:rPr>
        <w:t>icro</w:t>
      </w:r>
      <w:r w:rsidRPr="00B42531">
        <w:rPr>
          <w:lang w:val="es-ES_tradnl" w:eastAsia="es-ES"/>
        </w:rPr>
        <w:t>zanja</w:t>
      </w:r>
      <w:proofErr w:type="spellEnd"/>
      <w:r w:rsidRPr="00B42531">
        <w:rPr>
          <w:lang w:val="es-ES_tradnl" w:eastAsia="es-ES"/>
        </w:rPr>
        <w:t xml:space="preserve"> está rec</w:t>
      </w:r>
      <w:r>
        <w:rPr>
          <w:lang w:val="es-ES_tradnl" w:eastAsia="es-ES"/>
        </w:rPr>
        <w:t xml:space="preserve">ogida en el estándar ITU-T L.49. </w:t>
      </w:r>
      <w:r w:rsidR="00B42531" w:rsidRPr="00B42531">
        <w:rPr>
          <w:lang w:val="es-ES_tradnl" w:eastAsia="es-ES"/>
        </w:rPr>
        <w:t xml:space="preserve">Consiste en la instalación de cables y </w:t>
      </w:r>
      <w:proofErr w:type="spellStart"/>
      <w:r w:rsidR="00B42531" w:rsidRPr="00B42531">
        <w:rPr>
          <w:lang w:val="es-ES_tradnl" w:eastAsia="es-ES"/>
        </w:rPr>
        <w:t>micro</w:t>
      </w:r>
      <w:r w:rsidR="00576F0E">
        <w:rPr>
          <w:lang w:val="es-ES_tradnl" w:eastAsia="es-ES"/>
        </w:rPr>
        <w:t>ducto</w:t>
      </w:r>
      <w:r w:rsidR="00B42531" w:rsidRPr="00B42531">
        <w:rPr>
          <w:lang w:val="es-ES_tradnl" w:eastAsia="es-ES"/>
        </w:rPr>
        <w:t>s</w:t>
      </w:r>
      <w:proofErr w:type="spellEnd"/>
      <w:r w:rsidR="00B42531" w:rsidRPr="00B42531">
        <w:rPr>
          <w:lang w:val="es-ES_tradnl" w:eastAsia="es-ES"/>
        </w:rPr>
        <w:t xml:space="preserve"> en el interior de cortes de pequeñas dimensiones realizados en asfalto u hormigón. Sus dimensiones aproximadas son de 15-20 mm de anchura y 8-20 cm de profundidad.</w:t>
      </w:r>
      <w:r w:rsidR="00F21F38" w:rsidRPr="00F21F38">
        <w:rPr>
          <w:lang w:val="es-ES_tradnl" w:eastAsia="es-ES"/>
        </w:rPr>
        <w:t xml:space="preserve"> </w:t>
      </w:r>
      <w:r w:rsidR="00F21F38" w:rsidRPr="00B42531">
        <w:rPr>
          <w:lang w:val="es-ES_tradnl" w:eastAsia="es-ES"/>
        </w:rPr>
        <w:t xml:space="preserve">Las </w:t>
      </w:r>
      <w:proofErr w:type="spellStart"/>
      <w:r w:rsidR="006C11E1">
        <w:rPr>
          <w:lang w:val="es-ES_tradnl" w:eastAsia="es-ES"/>
        </w:rPr>
        <w:t>m</w:t>
      </w:r>
      <w:r w:rsidR="006C11E1" w:rsidRPr="00B42531">
        <w:rPr>
          <w:lang w:val="es-ES_tradnl" w:eastAsia="es-ES"/>
        </w:rPr>
        <w:t>icro</w:t>
      </w:r>
      <w:r w:rsidR="00F21F38" w:rsidRPr="00B42531">
        <w:rPr>
          <w:lang w:val="es-ES_tradnl" w:eastAsia="es-ES"/>
        </w:rPr>
        <w:t>zanjas</w:t>
      </w:r>
      <w:proofErr w:type="spellEnd"/>
      <w:r w:rsidR="00F21F38" w:rsidRPr="00B42531">
        <w:rPr>
          <w:lang w:val="es-ES_tradnl" w:eastAsia="es-ES"/>
        </w:rPr>
        <w:t xml:space="preserve"> constituyen una novedosa técnica constructiva de redes ópticas en entornos urbanos.</w:t>
      </w:r>
    </w:p>
    <w:p w14:paraId="70F9E17A" w14:textId="4C41C87E" w:rsidR="00B42531" w:rsidRDefault="00B42531" w:rsidP="0033122C">
      <w:pPr>
        <w:pStyle w:val="IFTnormal"/>
        <w:rPr>
          <w:lang w:val="es-ES_tradnl" w:eastAsia="es-ES"/>
        </w:rPr>
      </w:pPr>
      <w:r w:rsidRPr="00B42531">
        <w:rPr>
          <w:lang w:val="es-ES_tradnl" w:eastAsia="es-ES"/>
        </w:rPr>
        <w:t xml:space="preserve">Por su metodología de construcción, las </w:t>
      </w:r>
      <w:proofErr w:type="spellStart"/>
      <w:r w:rsidRPr="00B42531">
        <w:rPr>
          <w:lang w:val="es-ES_tradnl" w:eastAsia="es-ES"/>
        </w:rPr>
        <w:t>microzanjas</w:t>
      </w:r>
      <w:proofErr w:type="spellEnd"/>
      <w:r w:rsidRPr="00B42531">
        <w:rPr>
          <w:lang w:val="es-ES_tradnl" w:eastAsia="es-ES"/>
        </w:rPr>
        <w:t xml:space="preserve"> son un excelente complemento de las canalizaciones tradicionales y puede realizarse con facilidad la transición de una a otra tipología constructiva. Sin embargo la capacidad de cables que permite esta técnica es reducida, por lo que se sugiere su uso en entornos urbanos con acceso limitado, con pocos usuarios o que requiera velocidad de despliegue alta para minimizar el i</w:t>
      </w:r>
      <w:r w:rsidR="00D44CE3">
        <w:rPr>
          <w:lang w:val="es-ES_tradnl" w:eastAsia="es-ES"/>
        </w:rPr>
        <w:t>mpacto sobre el entorno urbano.</w:t>
      </w:r>
    </w:p>
    <w:p w14:paraId="70F9E17B" w14:textId="77777777" w:rsidR="00846142" w:rsidRDefault="00846142" w:rsidP="00B42531">
      <w:pPr>
        <w:spacing w:after="0" w:line="240" w:lineRule="auto"/>
        <w:jc w:val="both"/>
        <w:rPr>
          <w:rFonts w:ascii="ITC Avant Garde" w:eastAsia="Calibri" w:hAnsi="ITC Avant Garde" w:cs="Arial"/>
          <w:color w:val="000000"/>
          <w:lang w:val="es-ES_tradnl" w:eastAsia="es-ES"/>
        </w:rPr>
      </w:pPr>
    </w:p>
    <w:p w14:paraId="0F4DAA31" w14:textId="611CE73A" w:rsidR="00A470DC" w:rsidRDefault="00A470DC" w:rsidP="00A470DC">
      <w:pPr>
        <w:spacing w:after="0" w:line="240" w:lineRule="auto"/>
        <w:jc w:val="center"/>
        <w:rPr>
          <w:rFonts w:ascii="ITC Avant Garde" w:eastAsia="Calibri" w:hAnsi="ITC Avant Garde" w:cs="Arial"/>
          <w:color w:val="000000"/>
          <w:lang w:val="es-ES_tradnl" w:eastAsia="es-ES"/>
        </w:rPr>
      </w:pPr>
      <w:r>
        <w:rPr>
          <w:noProof/>
          <w:lang w:eastAsia="es-MX"/>
        </w:rPr>
        <w:drawing>
          <wp:inline distT="0" distB="0" distL="0" distR="0" wp14:anchorId="2CDF76BC" wp14:editId="11D6D10D">
            <wp:extent cx="3304593" cy="2528514"/>
            <wp:effectExtent l="0" t="0" r="0" b="5715"/>
            <wp:docPr id="1" name="Imagen 1" descr="Figura 1" title="Figu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aturation sat="0"/>
                              </a14:imgEffect>
                            </a14:imgLayer>
                          </a14:imgProps>
                        </a:ext>
                      </a:extLst>
                    </a:blip>
                    <a:stretch>
                      <a:fillRect/>
                    </a:stretch>
                  </pic:blipFill>
                  <pic:spPr>
                    <a:xfrm>
                      <a:off x="0" y="0"/>
                      <a:ext cx="3312864" cy="2534842"/>
                    </a:xfrm>
                    <a:prstGeom prst="rect">
                      <a:avLst/>
                    </a:prstGeom>
                  </pic:spPr>
                </pic:pic>
              </a:graphicData>
            </a:graphic>
          </wp:inline>
        </w:drawing>
      </w:r>
    </w:p>
    <w:p w14:paraId="1690EF74" w14:textId="14C6F1BD" w:rsidR="00A470DC" w:rsidRPr="00A470DC" w:rsidRDefault="00A470DC" w:rsidP="00A470DC">
      <w:pPr>
        <w:spacing w:after="0" w:line="240" w:lineRule="auto"/>
        <w:jc w:val="center"/>
        <w:rPr>
          <w:rFonts w:ascii="ITC Avant Garde" w:eastAsia="Calibri" w:hAnsi="ITC Avant Garde" w:cs="Arial"/>
          <w:color w:val="000000"/>
          <w:sz w:val="18"/>
          <w:lang w:val="es-ES_tradnl" w:eastAsia="es-ES"/>
        </w:rPr>
      </w:pPr>
      <w:r w:rsidRPr="00A470DC">
        <w:rPr>
          <w:rFonts w:ascii="ITC Avant Garde" w:eastAsia="Calibri" w:hAnsi="ITC Avant Garde" w:cs="Arial"/>
          <w:color w:val="000000"/>
          <w:sz w:val="18"/>
          <w:lang w:val="es-ES_tradnl" w:eastAsia="es-ES"/>
        </w:rPr>
        <w:t>Figura 2. UIT L.49</w:t>
      </w:r>
      <w:r w:rsidR="00A4740B">
        <w:rPr>
          <w:rFonts w:ascii="ITC Avant Garde" w:eastAsia="Calibri" w:hAnsi="ITC Avant Garde" w:cs="Arial"/>
          <w:color w:val="000000"/>
          <w:sz w:val="18"/>
          <w:lang w:val="es-ES_tradnl" w:eastAsia="es-ES"/>
        </w:rPr>
        <w:t xml:space="preserve"> </w:t>
      </w:r>
      <w:r w:rsidR="00A4740B" w:rsidRPr="00A4740B">
        <w:rPr>
          <w:rFonts w:ascii="ITC Avant Garde" w:eastAsia="Calibri" w:hAnsi="ITC Avant Garde" w:cs="Arial"/>
          <w:color w:val="000000"/>
          <w:sz w:val="18"/>
          <w:lang w:val="es-ES_tradnl" w:eastAsia="es-ES"/>
        </w:rPr>
        <w:t xml:space="preserve">Técnica de instalación con </w:t>
      </w:r>
      <w:proofErr w:type="spellStart"/>
      <w:r w:rsidR="00A4740B" w:rsidRPr="00A4740B">
        <w:rPr>
          <w:rFonts w:ascii="ITC Avant Garde" w:eastAsia="Calibri" w:hAnsi="ITC Avant Garde" w:cs="Arial"/>
          <w:color w:val="000000"/>
          <w:sz w:val="18"/>
          <w:lang w:val="es-ES_tradnl" w:eastAsia="es-ES"/>
        </w:rPr>
        <w:t>microzanjas</w:t>
      </w:r>
      <w:proofErr w:type="spellEnd"/>
      <w:r w:rsidR="00A4740B">
        <w:rPr>
          <w:rFonts w:ascii="ITC Avant Garde" w:eastAsia="Calibri" w:hAnsi="ITC Avant Garde" w:cs="Arial"/>
          <w:color w:val="000000"/>
          <w:sz w:val="18"/>
          <w:lang w:val="es-ES_tradnl" w:eastAsia="es-ES"/>
        </w:rPr>
        <w:t>. E</w:t>
      </w:r>
      <w:r w:rsidRPr="00A470DC">
        <w:rPr>
          <w:rFonts w:ascii="ITC Avant Garde" w:eastAsia="Calibri" w:hAnsi="ITC Avant Garde" w:cs="Arial"/>
          <w:color w:val="000000"/>
          <w:sz w:val="18"/>
          <w:lang w:val="es-ES_tradnl" w:eastAsia="es-ES"/>
        </w:rPr>
        <w:t>jemplo de un cambio brusco en la dirección de</w:t>
      </w:r>
      <w:r>
        <w:rPr>
          <w:rFonts w:ascii="ITC Avant Garde" w:eastAsia="Calibri" w:hAnsi="ITC Avant Garde" w:cs="Arial"/>
          <w:color w:val="000000"/>
          <w:sz w:val="18"/>
          <w:lang w:val="es-ES_tradnl" w:eastAsia="es-ES"/>
        </w:rPr>
        <w:t xml:space="preserve"> </w:t>
      </w:r>
      <w:r w:rsidRPr="00A470DC">
        <w:rPr>
          <w:rFonts w:ascii="ITC Avant Garde" w:eastAsia="Calibri" w:hAnsi="ITC Avant Garde" w:cs="Arial"/>
          <w:color w:val="000000"/>
          <w:sz w:val="18"/>
          <w:lang w:val="es-ES_tradnl" w:eastAsia="es-ES"/>
        </w:rPr>
        <w:t>la ruta</w:t>
      </w:r>
      <w:r>
        <w:rPr>
          <w:rFonts w:ascii="ITC Avant Garde" w:eastAsia="Calibri" w:hAnsi="ITC Avant Garde" w:cs="Arial"/>
          <w:color w:val="000000"/>
          <w:sz w:val="18"/>
          <w:lang w:val="es-ES_tradnl" w:eastAsia="es-ES"/>
        </w:rPr>
        <w:t>.</w:t>
      </w:r>
    </w:p>
    <w:p w14:paraId="45EF37A9" w14:textId="77777777" w:rsidR="00A470DC" w:rsidRDefault="00A470DC" w:rsidP="00B42531">
      <w:pPr>
        <w:spacing w:after="0" w:line="240" w:lineRule="auto"/>
        <w:jc w:val="both"/>
        <w:rPr>
          <w:rFonts w:ascii="ITC Avant Garde" w:eastAsia="Calibri" w:hAnsi="ITC Avant Garde" w:cs="Arial"/>
          <w:color w:val="000000"/>
          <w:lang w:val="es-ES_tradnl" w:eastAsia="es-ES"/>
        </w:rPr>
      </w:pPr>
    </w:p>
    <w:p w14:paraId="57777A06" w14:textId="6E8E5DAB" w:rsidR="003B1B96" w:rsidRPr="00795C4E" w:rsidRDefault="00576F0E" w:rsidP="003B1B96">
      <w:pPr>
        <w:pStyle w:val="Prrafodelista"/>
        <w:numPr>
          <w:ilvl w:val="2"/>
          <w:numId w:val="5"/>
        </w:numPr>
        <w:jc w:val="both"/>
        <w:rPr>
          <w:rFonts w:ascii="ITC Avant Garde" w:eastAsia="Calibri" w:hAnsi="ITC Avant Garde" w:cs="Arial"/>
          <w:color w:val="000000"/>
          <w:lang w:val="es-ES_tradnl" w:eastAsia="es-ES"/>
        </w:rPr>
      </w:pPr>
      <w:r>
        <w:rPr>
          <w:rFonts w:ascii="ITC Avant Garde" w:eastAsia="Calibri" w:hAnsi="ITC Avant Garde" w:cs="Arial"/>
          <w:color w:val="000000"/>
          <w:lang w:val="es-ES_tradnl" w:eastAsia="es-ES"/>
        </w:rPr>
        <w:t>Ducto</w:t>
      </w:r>
      <w:r w:rsidR="003B1B96" w:rsidRPr="00795C4E">
        <w:rPr>
          <w:rFonts w:ascii="ITC Avant Garde" w:eastAsia="Calibri" w:hAnsi="ITC Avant Garde" w:cs="Arial"/>
          <w:color w:val="000000"/>
          <w:lang w:val="es-ES_tradnl" w:eastAsia="es-ES"/>
        </w:rPr>
        <w:t>s</w:t>
      </w:r>
    </w:p>
    <w:p w14:paraId="1D910CED" w14:textId="211A621F" w:rsidR="003B1B96" w:rsidRDefault="003B1B96" w:rsidP="0033122C">
      <w:pPr>
        <w:pStyle w:val="IFTnormal"/>
        <w:rPr>
          <w:lang w:val="es-ES_tradnl" w:eastAsia="es-ES"/>
        </w:rPr>
      </w:pPr>
      <w:r>
        <w:rPr>
          <w:lang w:val="es-ES_tradnl" w:eastAsia="es-ES"/>
        </w:rPr>
        <w:t xml:space="preserve">Dentro de la canalización el </w:t>
      </w:r>
      <w:r w:rsidR="00576F0E">
        <w:rPr>
          <w:lang w:val="es-ES_tradnl" w:eastAsia="es-ES"/>
        </w:rPr>
        <w:t>Ducto</w:t>
      </w:r>
      <w:r>
        <w:rPr>
          <w:lang w:val="es-ES_tradnl" w:eastAsia="es-ES"/>
        </w:rPr>
        <w:t xml:space="preserve"> es u</w:t>
      </w:r>
      <w:r w:rsidR="00782719">
        <w:rPr>
          <w:lang w:val="es-ES_tradnl" w:eastAsia="es-ES"/>
        </w:rPr>
        <w:t>no de los elementos principales,</w:t>
      </w:r>
      <w:r>
        <w:rPr>
          <w:lang w:val="es-ES_tradnl" w:eastAsia="es-ES"/>
        </w:rPr>
        <w:t xml:space="preserve"> </w:t>
      </w:r>
      <w:r w:rsidR="00782719">
        <w:rPr>
          <w:lang w:val="es-ES_tradnl" w:eastAsia="es-ES"/>
        </w:rPr>
        <w:t>este</w:t>
      </w:r>
      <w:r>
        <w:rPr>
          <w:lang w:val="es-ES_tradnl" w:eastAsia="es-ES"/>
        </w:rPr>
        <w:t xml:space="preserve"> consiste en una e</w:t>
      </w:r>
      <w:r w:rsidRPr="002708E6">
        <w:rPr>
          <w:lang w:val="es-ES_tradnl" w:eastAsia="es-ES"/>
        </w:rPr>
        <w:t xml:space="preserve">structura de canalización cerrada de un diámetro </w:t>
      </w:r>
      <w:r>
        <w:rPr>
          <w:lang w:val="es-ES_tradnl" w:eastAsia="es-ES"/>
        </w:rPr>
        <w:t xml:space="preserve">interno y externo específico y de longitud variable. Las dimensiones de </w:t>
      </w:r>
      <w:r w:rsidR="00782719">
        <w:rPr>
          <w:lang w:val="es-ES_tradnl" w:eastAsia="es-ES"/>
        </w:rPr>
        <w:t xml:space="preserve">diámetro de </w:t>
      </w:r>
      <w:r>
        <w:rPr>
          <w:lang w:val="es-ES_tradnl" w:eastAsia="es-ES"/>
        </w:rPr>
        <w:t xml:space="preserve">los </w:t>
      </w:r>
      <w:r w:rsidR="00576F0E">
        <w:rPr>
          <w:lang w:val="es-ES_tradnl" w:eastAsia="es-ES"/>
        </w:rPr>
        <w:t>Ducto</w:t>
      </w:r>
      <w:r>
        <w:rPr>
          <w:lang w:val="es-ES_tradnl" w:eastAsia="es-ES"/>
        </w:rPr>
        <w:t xml:space="preserve">s varían dependiendo de la cantidad de cableado que se pretenda alojar en él. </w:t>
      </w:r>
    </w:p>
    <w:p w14:paraId="60A9A448" w14:textId="77777777" w:rsidR="003B1B96" w:rsidRDefault="003B1B96" w:rsidP="003B1B96">
      <w:pPr>
        <w:jc w:val="center"/>
        <w:rPr>
          <w:rFonts w:ascii="ITC Avant Garde" w:eastAsia="Calibri" w:hAnsi="ITC Avant Garde" w:cs="Arial"/>
          <w:color w:val="000000"/>
          <w:lang w:val="es-ES_tradnl" w:eastAsia="es-ES"/>
        </w:rPr>
      </w:pPr>
      <w:r>
        <w:rPr>
          <w:rFonts w:ascii="ITC Avant Garde" w:eastAsia="Calibri" w:hAnsi="ITC Avant Garde" w:cs="Arial"/>
          <w:noProof/>
          <w:color w:val="000000"/>
          <w:lang w:eastAsia="es-MX"/>
        </w:rPr>
        <w:lastRenderedPageBreak/>
        <w:drawing>
          <wp:inline distT="0" distB="0" distL="0" distR="0" wp14:anchorId="14BAB01B" wp14:editId="5190862E">
            <wp:extent cx="1475557" cy="2186609"/>
            <wp:effectExtent l="0" t="0" r="0" b="0"/>
            <wp:docPr id="2" name="Imagen 2" descr="Figura 3" title="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7807" cy="2189943"/>
                    </a:xfrm>
                    <a:prstGeom prst="rect">
                      <a:avLst/>
                    </a:prstGeom>
                    <a:noFill/>
                  </pic:spPr>
                </pic:pic>
              </a:graphicData>
            </a:graphic>
          </wp:inline>
        </w:drawing>
      </w:r>
    </w:p>
    <w:p w14:paraId="6710433C" w14:textId="44F812A0" w:rsidR="003B1B96" w:rsidRPr="00A4406B" w:rsidRDefault="0053297E" w:rsidP="003B1B96">
      <w:pPr>
        <w:jc w:val="center"/>
        <w:rPr>
          <w:rFonts w:ascii="ITC Avant Garde" w:eastAsia="Calibri" w:hAnsi="ITC Avant Garde" w:cs="Arial"/>
          <w:color w:val="000000"/>
          <w:sz w:val="18"/>
          <w:lang w:val="es-ES_tradnl" w:eastAsia="es-ES"/>
        </w:rPr>
      </w:pPr>
      <w:r>
        <w:rPr>
          <w:rFonts w:ascii="ITC Avant Garde" w:eastAsia="Calibri" w:hAnsi="ITC Avant Garde" w:cs="Arial"/>
          <w:color w:val="000000"/>
          <w:sz w:val="18"/>
          <w:lang w:val="es-ES_tradnl" w:eastAsia="es-ES"/>
        </w:rPr>
        <w:t>Figura 3</w:t>
      </w:r>
      <w:r w:rsidR="003B1B96" w:rsidRPr="00A4406B">
        <w:rPr>
          <w:rFonts w:ascii="ITC Avant Garde" w:eastAsia="Calibri" w:hAnsi="ITC Avant Garde" w:cs="Arial"/>
          <w:color w:val="000000"/>
          <w:sz w:val="18"/>
          <w:lang w:val="es-ES_tradnl" w:eastAsia="es-ES"/>
        </w:rPr>
        <w:t>. Diámetro interno y externo</w:t>
      </w:r>
    </w:p>
    <w:p w14:paraId="70F9E17C" w14:textId="04427ED5" w:rsidR="00B42531" w:rsidRDefault="00782719" w:rsidP="0033122C">
      <w:pPr>
        <w:pStyle w:val="IFTnormal"/>
        <w:rPr>
          <w:lang w:val="es-ES_tradnl" w:eastAsia="es-ES"/>
        </w:rPr>
      </w:pPr>
      <w:r>
        <w:rPr>
          <w:lang w:val="es-ES_tradnl" w:eastAsia="es-ES"/>
        </w:rPr>
        <w:t xml:space="preserve">Si bien los </w:t>
      </w:r>
      <w:r w:rsidR="00576F0E">
        <w:rPr>
          <w:lang w:val="es-ES_tradnl" w:eastAsia="es-ES"/>
        </w:rPr>
        <w:t>Ducto</w:t>
      </w:r>
      <w:r>
        <w:rPr>
          <w:lang w:val="es-ES_tradnl" w:eastAsia="es-ES"/>
        </w:rPr>
        <w:t>s son dimensionados dependiendo del cableado a alojar</w:t>
      </w:r>
      <w:r w:rsidR="003B1B96">
        <w:rPr>
          <w:lang w:val="es-ES_tradnl" w:eastAsia="es-ES"/>
        </w:rPr>
        <w:t xml:space="preserve"> también </w:t>
      </w:r>
      <w:r>
        <w:rPr>
          <w:lang w:val="es-ES_tradnl" w:eastAsia="es-ES"/>
        </w:rPr>
        <w:t xml:space="preserve">es necesario considerar </w:t>
      </w:r>
      <w:r w:rsidR="004875D5">
        <w:rPr>
          <w:lang w:val="es-ES_tradnl" w:eastAsia="es-ES"/>
        </w:rPr>
        <w:t xml:space="preserve">durante </w:t>
      </w:r>
      <w:r>
        <w:rPr>
          <w:lang w:val="es-ES_tradnl" w:eastAsia="es-ES"/>
        </w:rPr>
        <w:t xml:space="preserve">su instalación </w:t>
      </w:r>
      <w:r w:rsidR="007A0015">
        <w:rPr>
          <w:lang w:val="es-ES_tradnl" w:eastAsia="es-ES"/>
        </w:rPr>
        <w:t>área</w:t>
      </w:r>
      <w:r>
        <w:rPr>
          <w:lang w:val="es-ES_tradnl" w:eastAsia="es-ES"/>
        </w:rPr>
        <w:t xml:space="preserve"> o </w:t>
      </w:r>
      <w:r w:rsidR="00576F0E">
        <w:rPr>
          <w:lang w:val="es-ES_tradnl" w:eastAsia="es-ES"/>
        </w:rPr>
        <w:t>Ducto</w:t>
      </w:r>
      <w:r>
        <w:rPr>
          <w:lang w:val="es-ES_tradnl" w:eastAsia="es-ES"/>
        </w:rPr>
        <w:t>s para mantenimiento o reparación de falla.</w:t>
      </w:r>
    </w:p>
    <w:p w14:paraId="2BA35BDD" w14:textId="77777777" w:rsidR="00622ED5" w:rsidRPr="00795C4E" w:rsidRDefault="00622ED5" w:rsidP="00622ED5">
      <w:pPr>
        <w:pStyle w:val="Prrafodelista"/>
        <w:numPr>
          <w:ilvl w:val="2"/>
          <w:numId w:val="5"/>
        </w:numPr>
        <w:spacing w:after="0" w:line="240" w:lineRule="auto"/>
        <w:jc w:val="both"/>
        <w:rPr>
          <w:rFonts w:ascii="ITC Avant Garde" w:eastAsia="Calibri" w:hAnsi="ITC Avant Garde" w:cs="Arial"/>
          <w:color w:val="000000"/>
          <w:lang w:val="es-ES_tradnl" w:eastAsia="es-ES"/>
        </w:rPr>
      </w:pPr>
      <w:r w:rsidRPr="00795C4E">
        <w:rPr>
          <w:rFonts w:ascii="ITC Avant Garde" w:eastAsia="Calibri" w:hAnsi="ITC Avant Garde" w:cs="Arial"/>
          <w:color w:val="000000"/>
          <w:lang w:val="es-ES_tradnl" w:eastAsia="es-ES"/>
        </w:rPr>
        <w:t>Pozos</w:t>
      </w:r>
    </w:p>
    <w:p w14:paraId="0CA7CF19" w14:textId="77777777" w:rsidR="00622ED5" w:rsidRPr="006907C2" w:rsidRDefault="00622ED5" w:rsidP="006907C2">
      <w:pPr>
        <w:pStyle w:val="IFTnormal"/>
      </w:pPr>
      <w:r w:rsidRPr="006907C2">
        <w:t>Son elementos colocados en la obra subterránea destinados a permitir la instalación, terminación, distribución y tendido de cables, así como alojar y proteger los empalmes y el cableado, también permiten el mantenimiento de la red. Generalmente los pozos pueden ser prefabricados o hechos en el sitio donde se requerirá.</w:t>
      </w:r>
    </w:p>
    <w:p w14:paraId="1CC0ADCD" w14:textId="77777777" w:rsidR="00622ED5" w:rsidRDefault="00622ED5" w:rsidP="00622ED5">
      <w:pPr>
        <w:pStyle w:val="IFTnormal"/>
        <w:rPr>
          <w:lang w:val="es-ES_tradnl" w:eastAsia="es-ES"/>
        </w:rPr>
      </w:pPr>
      <w:r>
        <w:rPr>
          <w:lang w:val="es-ES_tradnl" w:eastAsia="es-ES"/>
        </w:rPr>
        <w:t>Tanto para la construcción de pozos como para los prefabricados se debe considerar por lo menos que dicho elemento cuente con las dimensiones determinadas por la cantidad de Ductos a instalar y por la cantidad de cables a alojar previstos a largo plazo. También se debe considerar las dimensiones para las maniobras de trabajo de instalación y mantenimiento. Es necesario que la colocación de los pozos a lo largo de la canalización sea de forma estratégica para la terminación, empalme, maniobras de trabajo o mantenimiento de los cables.</w:t>
      </w:r>
    </w:p>
    <w:p w14:paraId="26D86266" w14:textId="77777777" w:rsidR="00622ED5" w:rsidRDefault="00622ED5" w:rsidP="00622ED5">
      <w:pPr>
        <w:pStyle w:val="IFTnormal"/>
        <w:rPr>
          <w:lang w:val="es-ES_tradnl" w:eastAsia="es-ES"/>
        </w:rPr>
      </w:pPr>
      <w:r>
        <w:rPr>
          <w:lang w:val="es-ES_tradnl" w:eastAsia="es-ES"/>
        </w:rPr>
        <w:t>Otro aspecto que se debe considerar es la ubicación del pozo. Este debe ofrecer todas las garantías de durabilidad y seguridad de operación.</w:t>
      </w:r>
    </w:p>
    <w:p w14:paraId="56439D20" w14:textId="77777777" w:rsidR="00622ED5" w:rsidRDefault="00622ED5" w:rsidP="00622ED5">
      <w:pPr>
        <w:pStyle w:val="IFTnormal"/>
        <w:rPr>
          <w:lang w:val="es-ES_tradnl" w:eastAsia="es-ES"/>
        </w:rPr>
      </w:pPr>
      <w:r>
        <w:rPr>
          <w:lang w:val="es-ES_tradnl" w:eastAsia="es-ES"/>
        </w:rPr>
        <w:t>Dentro de los pozos podemos listar de forma enunciativa más no limitativa y a modo de ejemplo, los siguientes:</w:t>
      </w:r>
    </w:p>
    <w:p w14:paraId="7AEFA5B2" w14:textId="77777777" w:rsidR="00622ED5" w:rsidRDefault="00622ED5" w:rsidP="00622ED5">
      <w:pPr>
        <w:spacing w:after="0" w:line="240" w:lineRule="auto"/>
        <w:jc w:val="both"/>
        <w:rPr>
          <w:rFonts w:ascii="ITC Avant Garde" w:eastAsia="Calibri" w:hAnsi="ITC Avant Garde" w:cs="Arial"/>
          <w:color w:val="000000"/>
          <w:lang w:val="es-ES_tradnl" w:eastAsia="es-ES"/>
        </w:rPr>
      </w:pPr>
    </w:p>
    <w:p w14:paraId="56B48C08" w14:textId="29197933" w:rsidR="00622ED5" w:rsidRDefault="00622ED5" w:rsidP="00771D2C">
      <w:pPr>
        <w:pStyle w:val="IFTnormal"/>
        <w:numPr>
          <w:ilvl w:val="0"/>
          <w:numId w:val="21"/>
        </w:numPr>
        <w:rPr>
          <w:lang w:val="es-ES_tradnl" w:eastAsia="es-ES"/>
        </w:rPr>
      </w:pPr>
      <w:r>
        <w:rPr>
          <w:lang w:val="es-ES_tradnl" w:eastAsia="es-ES"/>
        </w:rPr>
        <w:t xml:space="preserve">Pozo para </w:t>
      </w:r>
      <w:r w:rsidRPr="00F94FC4">
        <w:rPr>
          <w:lang w:val="es-ES_tradnl" w:eastAsia="es-ES"/>
        </w:rPr>
        <w:t xml:space="preserve">caja de empalme/registro de </w:t>
      </w:r>
      <w:r w:rsidR="009A7499">
        <w:rPr>
          <w:lang w:val="es-ES_tradnl" w:eastAsia="es-ES"/>
        </w:rPr>
        <w:t xml:space="preserve">dimensiones </w:t>
      </w:r>
      <w:r w:rsidRPr="00F94FC4">
        <w:rPr>
          <w:lang w:val="es-ES_tradnl" w:eastAsia="es-ES"/>
        </w:rPr>
        <w:t>0.90 x 0.60 x 0.70 metros</w:t>
      </w:r>
      <w:r>
        <w:rPr>
          <w:lang w:val="es-ES_tradnl" w:eastAsia="es-ES"/>
        </w:rPr>
        <w:t xml:space="preserve">. </w:t>
      </w:r>
      <w:r w:rsidRPr="00F94FC4">
        <w:rPr>
          <w:lang w:val="es-ES_tradnl" w:eastAsia="es-ES"/>
        </w:rPr>
        <w:t xml:space="preserve"> </w:t>
      </w:r>
    </w:p>
    <w:p w14:paraId="676CFE2C" w14:textId="12BEE555" w:rsidR="00622ED5" w:rsidRDefault="00622ED5" w:rsidP="00771D2C">
      <w:pPr>
        <w:pStyle w:val="IFTnormal"/>
        <w:numPr>
          <w:ilvl w:val="0"/>
          <w:numId w:val="21"/>
        </w:numPr>
        <w:rPr>
          <w:lang w:val="es-ES_tradnl" w:eastAsia="es-ES"/>
        </w:rPr>
      </w:pPr>
      <w:r w:rsidRPr="002511A3">
        <w:rPr>
          <w:lang w:val="es-ES_tradnl" w:eastAsia="es-ES"/>
        </w:rPr>
        <w:t xml:space="preserve">El </w:t>
      </w:r>
      <w:r>
        <w:rPr>
          <w:lang w:val="es-ES_tradnl" w:eastAsia="es-ES"/>
        </w:rPr>
        <w:t>pozo</w:t>
      </w:r>
      <w:r w:rsidRPr="002511A3">
        <w:rPr>
          <w:lang w:val="es-ES_tradnl" w:eastAsia="es-ES"/>
        </w:rPr>
        <w:t xml:space="preserve"> de </w:t>
      </w:r>
      <w:r>
        <w:rPr>
          <w:lang w:val="es-ES_tradnl" w:eastAsia="es-ES"/>
        </w:rPr>
        <w:t>a</w:t>
      </w:r>
      <w:r w:rsidRPr="002511A3">
        <w:rPr>
          <w:lang w:val="es-ES_tradnl" w:eastAsia="es-ES"/>
        </w:rPr>
        <w:t xml:space="preserve">cceso o </w:t>
      </w:r>
      <w:r>
        <w:rPr>
          <w:lang w:val="es-ES_tradnl" w:eastAsia="es-ES"/>
        </w:rPr>
        <w:t>“</w:t>
      </w:r>
      <w:proofErr w:type="spellStart"/>
      <w:r>
        <w:rPr>
          <w:lang w:val="es-ES_tradnl" w:eastAsia="es-ES"/>
        </w:rPr>
        <w:t>m</w:t>
      </w:r>
      <w:r w:rsidRPr="002511A3">
        <w:rPr>
          <w:lang w:val="es-ES_tradnl" w:eastAsia="es-ES"/>
        </w:rPr>
        <w:t>anhole</w:t>
      </w:r>
      <w:proofErr w:type="spellEnd"/>
      <w:r w:rsidRPr="002511A3">
        <w:rPr>
          <w:lang w:val="es-ES_tradnl" w:eastAsia="es-ES"/>
        </w:rPr>
        <w:t xml:space="preserve">” </w:t>
      </w:r>
      <w:r w:rsidR="009A7499">
        <w:rPr>
          <w:lang w:val="es-ES_tradnl" w:eastAsia="es-ES"/>
        </w:rPr>
        <w:t>de dimensiones</w:t>
      </w:r>
      <w:r w:rsidRPr="002511A3">
        <w:rPr>
          <w:lang w:val="es-ES_tradnl" w:eastAsia="es-ES"/>
        </w:rPr>
        <w:t xml:space="preserve"> 1.20 x 1.20 x 1.20 metros.</w:t>
      </w:r>
    </w:p>
    <w:p w14:paraId="5B5FD412" w14:textId="261E3FDC" w:rsidR="00622ED5" w:rsidRDefault="00622ED5" w:rsidP="00771D2C">
      <w:pPr>
        <w:pStyle w:val="IFTnormal"/>
        <w:numPr>
          <w:ilvl w:val="0"/>
          <w:numId w:val="21"/>
        </w:numPr>
        <w:rPr>
          <w:lang w:val="es-ES_tradnl" w:eastAsia="es-ES"/>
        </w:rPr>
      </w:pPr>
      <w:r>
        <w:rPr>
          <w:lang w:val="es-ES_tradnl" w:eastAsia="es-ES"/>
        </w:rPr>
        <w:lastRenderedPageBreak/>
        <w:t xml:space="preserve">Pozos de mayores dimensiones o </w:t>
      </w:r>
      <w:r w:rsidRPr="00F94FC4">
        <w:rPr>
          <w:lang w:val="es-ES_tradnl" w:eastAsia="es-ES"/>
        </w:rPr>
        <w:t>“</w:t>
      </w:r>
      <w:r w:rsidR="006C11E1">
        <w:rPr>
          <w:lang w:val="es-ES_tradnl" w:eastAsia="es-ES"/>
        </w:rPr>
        <w:t>bú</w:t>
      </w:r>
      <w:r w:rsidR="006C11E1" w:rsidRPr="00F94FC4">
        <w:rPr>
          <w:lang w:val="es-ES_tradnl" w:eastAsia="es-ES"/>
        </w:rPr>
        <w:t>nker</w:t>
      </w:r>
      <w:r w:rsidRPr="00F94FC4">
        <w:rPr>
          <w:lang w:val="es-ES_tradnl" w:eastAsia="es-ES"/>
        </w:rPr>
        <w:t>”</w:t>
      </w:r>
      <w:r>
        <w:rPr>
          <w:lang w:val="es-ES_tradnl" w:eastAsia="es-ES"/>
        </w:rPr>
        <w:t xml:space="preserve">, </w:t>
      </w:r>
      <w:r w:rsidR="009A7499">
        <w:rPr>
          <w:lang w:val="es-ES_tradnl" w:eastAsia="es-ES"/>
        </w:rPr>
        <w:t>de dimensiones</w:t>
      </w:r>
      <w:r>
        <w:rPr>
          <w:lang w:val="es-ES_tradnl" w:eastAsia="es-ES"/>
        </w:rPr>
        <w:t xml:space="preserve"> 1.80 x 1.80 x 1.80 metros</w:t>
      </w:r>
      <w:r w:rsidRPr="00F94FC4">
        <w:rPr>
          <w:lang w:val="es-ES_tradnl" w:eastAsia="es-ES"/>
        </w:rPr>
        <w:t xml:space="preserve">. </w:t>
      </w:r>
      <w:r>
        <w:rPr>
          <w:lang w:val="es-ES_tradnl" w:eastAsia="es-ES"/>
        </w:rPr>
        <w:t>Construido</w:t>
      </w:r>
      <w:r w:rsidRPr="00F94FC4">
        <w:rPr>
          <w:lang w:val="es-ES_tradnl" w:eastAsia="es-ES"/>
        </w:rPr>
        <w:t xml:space="preserve"> en s</w:t>
      </w:r>
      <w:r>
        <w:rPr>
          <w:lang w:val="es-ES_tradnl" w:eastAsia="es-ES"/>
        </w:rPr>
        <w:t>itio con armado de varilla</w:t>
      </w:r>
      <w:r w:rsidRPr="00F94FC4">
        <w:rPr>
          <w:lang w:val="es-ES_tradnl" w:eastAsia="es-ES"/>
        </w:rPr>
        <w:t xml:space="preserve"> y colada de concreto</w:t>
      </w:r>
      <w:r>
        <w:rPr>
          <w:lang w:val="es-ES_tradnl" w:eastAsia="es-ES"/>
        </w:rPr>
        <w:t>.</w:t>
      </w:r>
    </w:p>
    <w:p w14:paraId="06579A92" w14:textId="77777777" w:rsidR="00622ED5" w:rsidRDefault="00622ED5" w:rsidP="00771D2C">
      <w:pPr>
        <w:pStyle w:val="IFTnormal"/>
        <w:numPr>
          <w:ilvl w:val="0"/>
          <w:numId w:val="21"/>
        </w:numPr>
        <w:rPr>
          <w:lang w:val="es-ES_tradnl" w:eastAsia="es-ES"/>
        </w:rPr>
      </w:pPr>
      <w:r>
        <w:rPr>
          <w:lang w:val="es-ES_tradnl" w:eastAsia="es-ES"/>
        </w:rPr>
        <w:t>Entre otros prefabricados.</w:t>
      </w:r>
    </w:p>
    <w:p w14:paraId="69D19952" w14:textId="77777777" w:rsidR="00622ED5" w:rsidRDefault="00622ED5" w:rsidP="00622ED5">
      <w:pPr>
        <w:jc w:val="both"/>
        <w:rPr>
          <w:rFonts w:ascii="ITC Avant Garde" w:eastAsia="Calibri" w:hAnsi="ITC Avant Garde" w:cs="Arial"/>
          <w:color w:val="000000"/>
          <w:lang w:val="es-ES_tradnl" w:eastAsia="es-ES"/>
        </w:rPr>
      </w:pPr>
    </w:p>
    <w:p w14:paraId="28F3C72A" w14:textId="77777777" w:rsidR="00622ED5" w:rsidRDefault="00622ED5" w:rsidP="00622ED5">
      <w:pPr>
        <w:jc w:val="both"/>
        <w:rPr>
          <w:rFonts w:ascii="ITC Avant Garde" w:eastAsia="Calibri" w:hAnsi="ITC Avant Garde" w:cs="Arial"/>
          <w:color w:val="000000"/>
          <w:lang w:val="es-ES_tradnl" w:eastAsia="es-ES"/>
        </w:rPr>
      </w:pPr>
    </w:p>
    <w:p w14:paraId="2B2C7113" w14:textId="77777777" w:rsidR="00622ED5" w:rsidRDefault="00622ED5" w:rsidP="00622ED5">
      <w:pPr>
        <w:jc w:val="center"/>
        <w:rPr>
          <w:rFonts w:ascii="ITC Avant Garde" w:eastAsia="Calibri" w:hAnsi="ITC Avant Garde" w:cs="Arial"/>
          <w:color w:val="000000"/>
          <w:lang w:val="es-ES_tradnl" w:eastAsia="es-ES"/>
        </w:rPr>
      </w:pPr>
      <w:r>
        <w:rPr>
          <w:rFonts w:ascii="ITC Avant Garde" w:eastAsia="Calibri" w:hAnsi="ITC Avant Garde" w:cs="Arial"/>
          <w:noProof/>
          <w:color w:val="000000"/>
          <w:lang w:eastAsia="es-MX"/>
        </w:rPr>
        <w:drawing>
          <wp:inline distT="0" distB="0" distL="0" distR="0" wp14:anchorId="43B56615" wp14:editId="5636AE29">
            <wp:extent cx="2902226" cy="2290804"/>
            <wp:effectExtent l="0" t="0" r="0" b="0"/>
            <wp:docPr id="16" name="Imagen 16" descr="Figura 7" title="Figu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6300" cy="2309806"/>
                    </a:xfrm>
                    <a:prstGeom prst="rect">
                      <a:avLst/>
                    </a:prstGeom>
                    <a:noFill/>
                  </pic:spPr>
                </pic:pic>
              </a:graphicData>
            </a:graphic>
          </wp:inline>
        </w:drawing>
      </w:r>
    </w:p>
    <w:p w14:paraId="62FA9F12" w14:textId="77777777" w:rsidR="00622ED5" w:rsidRPr="003617E8" w:rsidRDefault="00622ED5" w:rsidP="00622ED5">
      <w:pPr>
        <w:jc w:val="center"/>
        <w:rPr>
          <w:rFonts w:ascii="ITC Avant Garde" w:eastAsia="Calibri" w:hAnsi="ITC Avant Garde" w:cs="Arial"/>
          <w:color w:val="000000"/>
          <w:sz w:val="18"/>
          <w:lang w:val="es-ES_tradnl" w:eastAsia="es-ES"/>
        </w:rPr>
      </w:pPr>
      <w:r w:rsidRPr="003617E8">
        <w:rPr>
          <w:rFonts w:ascii="ITC Avant Garde" w:eastAsia="Calibri" w:hAnsi="ITC Avant Garde" w:cs="Arial"/>
          <w:color w:val="000000"/>
          <w:sz w:val="18"/>
          <w:lang w:val="es-ES_tradnl" w:eastAsia="es-ES"/>
        </w:rPr>
        <w:t xml:space="preserve">Figura </w:t>
      </w:r>
      <w:r>
        <w:rPr>
          <w:rFonts w:ascii="ITC Avant Garde" w:eastAsia="Calibri" w:hAnsi="ITC Avant Garde" w:cs="Arial"/>
          <w:color w:val="000000"/>
          <w:sz w:val="18"/>
          <w:lang w:val="es-ES_tradnl" w:eastAsia="es-ES"/>
        </w:rPr>
        <w:t>7</w:t>
      </w:r>
      <w:r w:rsidRPr="003617E8">
        <w:rPr>
          <w:rFonts w:ascii="ITC Avant Garde" w:eastAsia="Calibri" w:hAnsi="ITC Avant Garde" w:cs="Arial"/>
          <w:color w:val="000000"/>
          <w:sz w:val="18"/>
          <w:lang w:val="es-ES_tradnl" w:eastAsia="es-ES"/>
        </w:rPr>
        <w:t>. Caja de empalme/registro</w:t>
      </w:r>
    </w:p>
    <w:p w14:paraId="0D1FBE9B" w14:textId="77777777" w:rsidR="00622ED5" w:rsidRDefault="00622ED5" w:rsidP="00622ED5">
      <w:pPr>
        <w:pStyle w:val="Prrafodelista"/>
        <w:ind w:left="1224"/>
        <w:jc w:val="both"/>
        <w:rPr>
          <w:rFonts w:ascii="ITC Avant Garde" w:eastAsia="Calibri" w:hAnsi="ITC Avant Garde" w:cs="Arial"/>
          <w:color w:val="000000"/>
          <w:highlight w:val="red"/>
          <w:lang w:val="es-ES_tradnl" w:eastAsia="es-ES"/>
        </w:rPr>
      </w:pPr>
    </w:p>
    <w:p w14:paraId="1B3D487A" w14:textId="77777777" w:rsidR="00782719" w:rsidRPr="00A62461" w:rsidRDefault="00782719" w:rsidP="00D01FEB">
      <w:pPr>
        <w:pStyle w:val="Prrafodelista"/>
        <w:numPr>
          <w:ilvl w:val="0"/>
          <w:numId w:val="5"/>
        </w:numPr>
        <w:jc w:val="both"/>
        <w:rPr>
          <w:rFonts w:ascii="ITC Avant Garde" w:eastAsia="Calibri" w:hAnsi="ITC Avant Garde" w:cs="Arial"/>
          <w:color w:val="000000"/>
          <w:lang w:val="es-ES_tradnl" w:eastAsia="es-ES"/>
        </w:rPr>
      </w:pPr>
      <w:r w:rsidRPr="00A62461">
        <w:rPr>
          <w:rFonts w:ascii="ITC Avant Garde" w:eastAsia="Calibri" w:hAnsi="ITC Avant Garde" w:cs="Arial"/>
          <w:color w:val="000000"/>
          <w:lang w:val="es-ES_tradnl" w:eastAsia="es-ES"/>
        </w:rPr>
        <w:t>Espacio de mantenimiento</w:t>
      </w:r>
    </w:p>
    <w:p w14:paraId="69C00616" w14:textId="77ACBB23" w:rsidR="00782719" w:rsidRPr="00D85602" w:rsidRDefault="00782719" w:rsidP="0033122C">
      <w:pPr>
        <w:pStyle w:val="IFTnormal"/>
        <w:rPr>
          <w:lang w:val="es-ES_tradnl" w:eastAsia="es-ES"/>
        </w:rPr>
      </w:pPr>
      <w:r>
        <w:rPr>
          <w:lang w:val="es-ES_tradnl" w:eastAsia="es-ES"/>
        </w:rPr>
        <w:t xml:space="preserve">Dentro de las canalizaciones es necesario considerar y reservar espacios adicionales en </w:t>
      </w:r>
      <w:r w:rsidR="00576F0E">
        <w:rPr>
          <w:lang w:val="es-ES_tradnl" w:eastAsia="es-ES"/>
        </w:rPr>
        <w:t>Ducto</w:t>
      </w:r>
      <w:r>
        <w:rPr>
          <w:lang w:val="es-ES_tradnl" w:eastAsia="es-ES"/>
        </w:rPr>
        <w:t xml:space="preserve">s para mantenimiento o reparación de fallas. El espacio de mantenimiento en </w:t>
      </w:r>
      <w:r w:rsidR="00576F0E">
        <w:rPr>
          <w:lang w:val="es-ES_tradnl" w:eastAsia="es-ES"/>
        </w:rPr>
        <w:t>Ducto</w:t>
      </w:r>
      <w:r>
        <w:rPr>
          <w:lang w:val="es-ES_tradnl" w:eastAsia="es-ES"/>
        </w:rPr>
        <w:t xml:space="preserve">s consiste en dejar libre de cables cierta capacidad de los </w:t>
      </w:r>
      <w:r w:rsidR="00576F0E">
        <w:rPr>
          <w:lang w:val="es-ES_tradnl" w:eastAsia="es-ES"/>
        </w:rPr>
        <w:t>Ducto</w:t>
      </w:r>
      <w:r>
        <w:rPr>
          <w:lang w:val="es-ES_tradnl" w:eastAsia="es-ES"/>
        </w:rPr>
        <w:t>s a instalar</w:t>
      </w:r>
      <w:r w:rsidR="000501F8">
        <w:rPr>
          <w:lang w:val="es-ES_tradnl" w:eastAsia="es-ES"/>
        </w:rPr>
        <w:t xml:space="preserve"> con el fin de poder utilizar di</w:t>
      </w:r>
      <w:r>
        <w:rPr>
          <w:lang w:val="es-ES_tradnl" w:eastAsia="es-ES"/>
        </w:rPr>
        <w:t>cho espacio cuando sea necesario efectuar algún mantenimiento o reparación.</w:t>
      </w:r>
    </w:p>
    <w:p w14:paraId="06B6728E" w14:textId="273F674B" w:rsidR="00782719" w:rsidRDefault="00782719" w:rsidP="0033122C">
      <w:pPr>
        <w:pStyle w:val="IFTnormal"/>
        <w:rPr>
          <w:lang w:val="es-ES_tradnl" w:eastAsia="es-ES"/>
        </w:rPr>
      </w:pPr>
      <w:r>
        <w:rPr>
          <w:lang w:val="es-ES_tradnl" w:eastAsia="es-ES"/>
        </w:rPr>
        <w:t>Por lo anterior en la construcción de canalización se deberá considerar al menos los siguientes aspectos</w:t>
      </w:r>
      <w:r w:rsidR="000501F8">
        <w:rPr>
          <w:lang w:val="es-ES_tradnl" w:eastAsia="es-ES"/>
        </w:rPr>
        <w:t xml:space="preserve"> para reservar espacio en </w:t>
      </w:r>
      <w:r w:rsidR="00576F0E">
        <w:rPr>
          <w:lang w:val="es-ES_tradnl" w:eastAsia="es-ES"/>
        </w:rPr>
        <w:t>Ducto</w:t>
      </w:r>
      <w:r w:rsidR="000501F8">
        <w:rPr>
          <w:lang w:val="es-ES_tradnl" w:eastAsia="es-ES"/>
        </w:rPr>
        <w:t xml:space="preserve"> para mantenimiento</w:t>
      </w:r>
      <w:r>
        <w:rPr>
          <w:lang w:val="es-ES_tradnl" w:eastAsia="es-ES"/>
        </w:rPr>
        <w:t>:</w:t>
      </w:r>
    </w:p>
    <w:p w14:paraId="20556F08" w14:textId="583EC5A3" w:rsidR="00782719" w:rsidRPr="0033122C" w:rsidRDefault="002F5769" w:rsidP="0033122C">
      <w:pPr>
        <w:pStyle w:val="IFTnormal"/>
        <w:numPr>
          <w:ilvl w:val="0"/>
          <w:numId w:val="17"/>
        </w:numPr>
        <w:rPr>
          <w:rStyle w:val="IFTnormalCar"/>
        </w:rPr>
      </w:pPr>
      <w:r w:rsidRPr="00EA2BEB">
        <w:rPr>
          <w:rFonts w:cs="Arial"/>
          <w:noProof/>
          <w:color w:val="000000"/>
          <w:sz w:val="16"/>
          <w:lang w:eastAsia="es-MX"/>
        </w:rPr>
        <w:lastRenderedPageBreak/>
        <w:drawing>
          <wp:anchor distT="0" distB="0" distL="114300" distR="114300" simplePos="0" relativeHeight="251658241" behindDoc="1" locked="0" layoutInCell="1" allowOverlap="1" wp14:anchorId="64B248F5" wp14:editId="6CBC509D">
            <wp:simplePos x="0" y="0"/>
            <wp:positionH relativeFrom="column">
              <wp:posOffset>1606550</wp:posOffset>
            </wp:positionH>
            <wp:positionV relativeFrom="paragraph">
              <wp:posOffset>445770</wp:posOffset>
            </wp:positionV>
            <wp:extent cx="2059305" cy="1816735"/>
            <wp:effectExtent l="0" t="0" r="0" b="0"/>
            <wp:wrapTopAndBottom/>
            <wp:docPr id="3" name="Imagen 3" descr="Figura 4" titl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9305" cy="1816735"/>
                    </a:xfrm>
                    <a:prstGeom prst="rect">
                      <a:avLst/>
                    </a:prstGeom>
                    <a:noFill/>
                  </pic:spPr>
                </pic:pic>
              </a:graphicData>
            </a:graphic>
            <wp14:sizeRelH relativeFrom="margin">
              <wp14:pctWidth>0</wp14:pctWidth>
            </wp14:sizeRelH>
            <wp14:sizeRelV relativeFrom="margin">
              <wp14:pctHeight>0</wp14:pctHeight>
            </wp14:sizeRelV>
          </wp:anchor>
        </w:drawing>
      </w:r>
      <w:r w:rsidR="00782719" w:rsidRPr="007F351C">
        <w:rPr>
          <w:rFonts w:cs="Arial"/>
          <w:color w:val="000000"/>
          <w:lang w:val="es-ES_tradnl" w:eastAsia="es-ES"/>
        </w:rPr>
        <w:t>En</w:t>
      </w:r>
      <w:r w:rsidR="00782719" w:rsidRPr="0033122C">
        <w:rPr>
          <w:rStyle w:val="IFTnormalCar"/>
        </w:rPr>
        <w:t xml:space="preserve"> caso de instalarse 1 (uno) o 2 (dos) </w:t>
      </w:r>
      <w:r w:rsidR="00576F0E" w:rsidRPr="0033122C">
        <w:rPr>
          <w:rStyle w:val="IFTnormalCar"/>
        </w:rPr>
        <w:t>Ducto</w:t>
      </w:r>
      <w:r w:rsidR="00782719" w:rsidRPr="0033122C">
        <w:rPr>
          <w:rStyle w:val="IFTnormalCar"/>
        </w:rPr>
        <w:t xml:space="preserve">s para alojar cables, deberá considerarse un </w:t>
      </w:r>
      <w:proofErr w:type="spellStart"/>
      <w:r w:rsidR="006C11E1" w:rsidRPr="0033122C">
        <w:rPr>
          <w:rStyle w:val="IFTnormalCar"/>
        </w:rPr>
        <w:t>sub</w:t>
      </w:r>
      <w:r w:rsidR="006C11E1">
        <w:rPr>
          <w:rStyle w:val="IFTnormalCar"/>
        </w:rPr>
        <w:t>d</w:t>
      </w:r>
      <w:r w:rsidR="006C11E1" w:rsidRPr="0033122C">
        <w:rPr>
          <w:rStyle w:val="IFTnormalCar"/>
        </w:rPr>
        <w:t>ucto</w:t>
      </w:r>
      <w:proofErr w:type="spellEnd"/>
      <w:r w:rsidR="006C11E1" w:rsidRPr="0033122C">
        <w:rPr>
          <w:rStyle w:val="IFTnormalCar"/>
        </w:rPr>
        <w:t xml:space="preserve"> </w:t>
      </w:r>
      <w:r w:rsidR="00782719" w:rsidRPr="0033122C">
        <w:rPr>
          <w:rStyle w:val="IFTnormalCar"/>
        </w:rPr>
        <w:t>para mantenimiento.</w:t>
      </w:r>
    </w:p>
    <w:p w14:paraId="1599AC32" w14:textId="135D57DF" w:rsidR="002F5769" w:rsidRPr="002F5769" w:rsidRDefault="002F5769" w:rsidP="002F5769">
      <w:pPr>
        <w:pStyle w:val="Prrafodelista"/>
        <w:spacing w:after="0" w:line="240" w:lineRule="auto"/>
        <w:jc w:val="center"/>
        <w:rPr>
          <w:rFonts w:ascii="ITC Avant Garde" w:eastAsia="Calibri" w:hAnsi="ITC Avant Garde" w:cs="Arial"/>
          <w:color w:val="000000"/>
          <w:sz w:val="18"/>
          <w:lang w:val="es-ES_tradnl" w:eastAsia="es-ES"/>
        </w:rPr>
      </w:pPr>
      <w:r w:rsidRPr="002F5769">
        <w:rPr>
          <w:rFonts w:ascii="ITC Avant Garde" w:eastAsia="Calibri" w:hAnsi="ITC Avant Garde" w:cs="Arial"/>
          <w:color w:val="000000"/>
          <w:sz w:val="18"/>
          <w:lang w:val="es-ES_tradnl" w:eastAsia="es-ES"/>
        </w:rPr>
        <w:t xml:space="preserve">Figura </w:t>
      </w:r>
      <w:r w:rsidR="0053297E">
        <w:rPr>
          <w:rFonts w:ascii="ITC Avant Garde" w:eastAsia="Calibri" w:hAnsi="ITC Avant Garde" w:cs="Arial"/>
          <w:color w:val="000000"/>
          <w:sz w:val="18"/>
          <w:lang w:val="es-ES_tradnl" w:eastAsia="es-ES"/>
        </w:rPr>
        <w:t>4</w:t>
      </w:r>
      <w:r w:rsidRPr="002F5769">
        <w:rPr>
          <w:rFonts w:ascii="ITC Avant Garde" w:eastAsia="Calibri" w:hAnsi="ITC Avant Garde" w:cs="Arial"/>
          <w:color w:val="000000"/>
          <w:sz w:val="18"/>
          <w:lang w:val="es-ES_tradnl" w:eastAsia="es-ES"/>
        </w:rPr>
        <w:t xml:space="preserve">. 1 a 2 </w:t>
      </w:r>
      <w:r w:rsidR="00576F0E">
        <w:rPr>
          <w:rFonts w:ascii="ITC Avant Garde" w:eastAsia="Calibri" w:hAnsi="ITC Avant Garde" w:cs="Arial"/>
          <w:color w:val="000000"/>
          <w:sz w:val="18"/>
          <w:lang w:val="es-ES_tradnl" w:eastAsia="es-ES"/>
        </w:rPr>
        <w:t>Ducto</w:t>
      </w:r>
      <w:r w:rsidRPr="002F5769">
        <w:rPr>
          <w:rFonts w:ascii="ITC Avant Garde" w:eastAsia="Calibri" w:hAnsi="ITC Avant Garde" w:cs="Arial"/>
          <w:color w:val="000000"/>
          <w:sz w:val="18"/>
          <w:lang w:val="es-ES_tradnl" w:eastAsia="es-ES"/>
        </w:rPr>
        <w:t xml:space="preserve">s, instalación de </w:t>
      </w:r>
      <w:proofErr w:type="spellStart"/>
      <w:r w:rsidRPr="002F5769">
        <w:rPr>
          <w:rFonts w:ascii="ITC Avant Garde" w:eastAsia="Calibri" w:hAnsi="ITC Avant Garde" w:cs="Arial"/>
          <w:color w:val="000000"/>
          <w:sz w:val="18"/>
          <w:lang w:val="es-ES_tradnl" w:eastAsia="es-ES"/>
        </w:rPr>
        <w:t>sub</w:t>
      </w:r>
      <w:r w:rsidR="006C11E1">
        <w:rPr>
          <w:rFonts w:ascii="ITC Avant Garde" w:eastAsia="Calibri" w:hAnsi="ITC Avant Garde" w:cs="Arial"/>
          <w:color w:val="000000"/>
          <w:sz w:val="18"/>
          <w:lang w:val="es-ES_tradnl" w:eastAsia="es-ES"/>
        </w:rPr>
        <w:t>d</w:t>
      </w:r>
      <w:r w:rsidR="00576F0E">
        <w:rPr>
          <w:rFonts w:ascii="ITC Avant Garde" w:eastAsia="Calibri" w:hAnsi="ITC Avant Garde" w:cs="Arial"/>
          <w:color w:val="000000"/>
          <w:sz w:val="18"/>
          <w:lang w:val="es-ES_tradnl" w:eastAsia="es-ES"/>
        </w:rPr>
        <w:t>ucto</w:t>
      </w:r>
      <w:proofErr w:type="spellEnd"/>
      <w:r w:rsidRPr="002F5769">
        <w:rPr>
          <w:rFonts w:ascii="ITC Avant Garde" w:eastAsia="Calibri" w:hAnsi="ITC Avant Garde" w:cs="Arial"/>
          <w:color w:val="000000"/>
          <w:sz w:val="18"/>
          <w:lang w:val="es-ES_tradnl" w:eastAsia="es-ES"/>
        </w:rPr>
        <w:t xml:space="preserve"> para mantenimiento.</w:t>
      </w:r>
    </w:p>
    <w:p w14:paraId="697426A1" w14:textId="77777777" w:rsidR="002F5769" w:rsidRDefault="002F5769" w:rsidP="002F5769">
      <w:pPr>
        <w:pStyle w:val="Prrafodelista"/>
        <w:spacing w:before="240"/>
        <w:jc w:val="both"/>
        <w:rPr>
          <w:rFonts w:ascii="ITC Avant Garde" w:eastAsia="Calibri" w:hAnsi="ITC Avant Garde" w:cs="Arial"/>
          <w:color w:val="000000"/>
          <w:lang w:val="es-ES_tradnl" w:eastAsia="es-ES"/>
        </w:rPr>
      </w:pPr>
    </w:p>
    <w:p w14:paraId="0891374A" w14:textId="4269CE41" w:rsidR="00782719" w:rsidRDefault="002F5769" w:rsidP="0033122C">
      <w:pPr>
        <w:pStyle w:val="IFTnormal"/>
        <w:numPr>
          <w:ilvl w:val="0"/>
          <w:numId w:val="17"/>
        </w:numPr>
        <w:rPr>
          <w:lang w:val="es-ES_tradnl" w:eastAsia="es-ES"/>
        </w:rPr>
      </w:pPr>
      <w:r>
        <w:rPr>
          <w:noProof/>
          <w:lang w:eastAsia="es-MX"/>
        </w:rPr>
        <w:drawing>
          <wp:anchor distT="0" distB="0" distL="114300" distR="114300" simplePos="0" relativeHeight="251658240" behindDoc="0" locked="0" layoutInCell="1" allowOverlap="1" wp14:anchorId="7DA6197C" wp14:editId="1C7FE3E3">
            <wp:simplePos x="0" y="0"/>
            <wp:positionH relativeFrom="column">
              <wp:posOffset>1447800</wp:posOffset>
            </wp:positionH>
            <wp:positionV relativeFrom="paragraph">
              <wp:posOffset>605790</wp:posOffset>
            </wp:positionV>
            <wp:extent cx="3022600" cy="1772920"/>
            <wp:effectExtent l="0" t="0" r="0" b="0"/>
            <wp:wrapTopAndBottom/>
            <wp:docPr id="4" name="Imagen 4" descr="Figura 5" title="Figu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0" cy="1772920"/>
                    </a:xfrm>
                    <a:prstGeom prst="rect">
                      <a:avLst/>
                    </a:prstGeom>
                    <a:noFill/>
                  </pic:spPr>
                </pic:pic>
              </a:graphicData>
            </a:graphic>
            <wp14:sizeRelH relativeFrom="margin">
              <wp14:pctWidth>0</wp14:pctWidth>
            </wp14:sizeRelH>
            <wp14:sizeRelV relativeFrom="margin">
              <wp14:pctHeight>0</wp14:pctHeight>
            </wp14:sizeRelV>
          </wp:anchor>
        </w:drawing>
      </w:r>
      <w:r w:rsidR="00782719">
        <w:rPr>
          <w:lang w:val="es-ES_tradnl" w:eastAsia="es-ES"/>
        </w:rPr>
        <w:t xml:space="preserve">En caso de instalarse de 3 (tres) a 7 (siete) </w:t>
      </w:r>
      <w:r w:rsidR="00576F0E">
        <w:rPr>
          <w:lang w:val="es-ES_tradnl" w:eastAsia="es-ES"/>
        </w:rPr>
        <w:t>Ducto</w:t>
      </w:r>
      <w:r w:rsidR="00782719">
        <w:rPr>
          <w:lang w:val="es-ES_tradnl" w:eastAsia="es-ES"/>
        </w:rPr>
        <w:t xml:space="preserve">s, se instalará un </w:t>
      </w:r>
      <w:proofErr w:type="spellStart"/>
      <w:r w:rsidR="00782719">
        <w:rPr>
          <w:lang w:val="es-ES_tradnl" w:eastAsia="es-ES"/>
        </w:rPr>
        <w:t>sub</w:t>
      </w:r>
      <w:r w:rsidR="00576F0E">
        <w:rPr>
          <w:lang w:val="es-ES_tradnl" w:eastAsia="es-ES"/>
        </w:rPr>
        <w:t>ducto</w:t>
      </w:r>
      <w:proofErr w:type="spellEnd"/>
      <w:r w:rsidR="00782719">
        <w:rPr>
          <w:lang w:val="es-ES_tradnl" w:eastAsia="es-ES"/>
        </w:rPr>
        <w:t xml:space="preserve"> en algún </w:t>
      </w:r>
      <w:r w:rsidR="00576F0E">
        <w:rPr>
          <w:lang w:val="es-ES_tradnl" w:eastAsia="es-ES"/>
        </w:rPr>
        <w:t>Ducto</w:t>
      </w:r>
      <w:r w:rsidR="00782719">
        <w:rPr>
          <w:lang w:val="es-ES_tradnl" w:eastAsia="es-ES"/>
        </w:rPr>
        <w:t xml:space="preserve">. Si no es posible dicha instalación, se reservará un </w:t>
      </w:r>
      <w:r w:rsidR="00576F0E">
        <w:rPr>
          <w:lang w:val="es-ES_tradnl" w:eastAsia="es-ES"/>
        </w:rPr>
        <w:t>Ducto</w:t>
      </w:r>
      <w:r w:rsidR="00782719">
        <w:rPr>
          <w:lang w:val="es-ES_tradnl" w:eastAsia="es-ES"/>
        </w:rPr>
        <w:t xml:space="preserve"> completo para mantenimiento.</w:t>
      </w:r>
    </w:p>
    <w:p w14:paraId="7D2FA7B3" w14:textId="4198D4EF" w:rsidR="002F5769" w:rsidRPr="002F5769" w:rsidRDefault="002F5769" w:rsidP="002F5769">
      <w:pPr>
        <w:pStyle w:val="Prrafodelista"/>
        <w:spacing w:after="0" w:line="240" w:lineRule="auto"/>
        <w:jc w:val="center"/>
        <w:rPr>
          <w:rFonts w:ascii="ITC Avant Garde" w:eastAsia="Calibri" w:hAnsi="ITC Avant Garde" w:cs="Arial"/>
          <w:color w:val="000000"/>
          <w:sz w:val="18"/>
          <w:lang w:val="es-ES_tradnl" w:eastAsia="es-ES"/>
        </w:rPr>
      </w:pPr>
      <w:r w:rsidRPr="002F5769">
        <w:rPr>
          <w:rFonts w:ascii="ITC Avant Garde" w:eastAsia="Calibri" w:hAnsi="ITC Avant Garde" w:cs="Arial"/>
          <w:color w:val="000000"/>
          <w:sz w:val="18"/>
          <w:lang w:val="es-ES_tradnl" w:eastAsia="es-ES"/>
        </w:rPr>
        <w:t xml:space="preserve">Figura </w:t>
      </w:r>
      <w:r w:rsidR="0053297E">
        <w:rPr>
          <w:rFonts w:ascii="ITC Avant Garde" w:eastAsia="Calibri" w:hAnsi="ITC Avant Garde" w:cs="Arial"/>
          <w:color w:val="000000"/>
          <w:sz w:val="18"/>
          <w:lang w:val="es-ES_tradnl" w:eastAsia="es-ES"/>
        </w:rPr>
        <w:t>5</w:t>
      </w:r>
      <w:r w:rsidRPr="002F5769">
        <w:rPr>
          <w:rFonts w:ascii="ITC Avant Garde" w:eastAsia="Calibri" w:hAnsi="ITC Avant Garde" w:cs="Arial"/>
          <w:color w:val="000000"/>
          <w:sz w:val="18"/>
          <w:lang w:val="es-ES_tradnl" w:eastAsia="es-ES"/>
        </w:rPr>
        <w:t xml:space="preserve">. 3 a 7 </w:t>
      </w:r>
      <w:r w:rsidR="00576F0E">
        <w:rPr>
          <w:rFonts w:ascii="ITC Avant Garde" w:eastAsia="Calibri" w:hAnsi="ITC Avant Garde" w:cs="Arial"/>
          <w:color w:val="000000"/>
          <w:sz w:val="18"/>
          <w:lang w:val="es-ES_tradnl" w:eastAsia="es-ES"/>
        </w:rPr>
        <w:t>Ducto</w:t>
      </w:r>
      <w:r w:rsidRPr="002F5769">
        <w:rPr>
          <w:rFonts w:ascii="ITC Avant Garde" w:eastAsia="Calibri" w:hAnsi="ITC Avant Garde" w:cs="Arial"/>
          <w:color w:val="000000"/>
          <w:sz w:val="18"/>
          <w:lang w:val="es-ES_tradnl" w:eastAsia="es-ES"/>
        </w:rPr>
        <w:t xml:space="preserve">s, instalación de </w:t>
      </w:r>
      <w:r w:rsidR="00576F0E">
        <w:rPr>
          <w:rFonts w:ascii="ITC Avant Garde" w:eastAsia="Calibri" w:hAnsi="ITC Avant Garde" w:cs="Arial"/>
          <w:color w:val="000000"/>
          <w:sz w:val="18"/>
          <w:lang w:val="es-ES_tradnl" w:eastAsia="es-ES"/>
        </w:rPr>
        <w:t>Ducto</w:t>
      </w:r>
      <w:r w:rsidRPr="002F5769">
        <w:rPr>
          <w:rFonts w:ascii="ITC Avant Garde" w:eastAsia="Calibri" w:hAnsi="ITC Avant Garde" w:cs="Arial"/>
          <w:color w:val="000000"/>
          <w:sz w:val="18"/>
          <w:lang w:val="es-ES_tradnl" w:eastAsia="es-ES"/>
        </w:rPr>
        <w:t xml:space="preserve"> o </w:t>
      </w:r>
      <w:proofErr w:type="spellStart"/>
      <w:r w:rsidR="006C11E1" w:rsidRPr="002F5769">
        <w:rPr>
          <w:rFonts w:ascii="ITC Avant Garde" w:eastAsia="Calibri" w:hAnsi="ITC Avant Garde" w:cs="Arial"/>
          <w:color w:val="000000"/>
          <w:sz w:val="18"/>
          <w:lang w:val="es-ES_tradnl" w:eastAsia="es-ES"/>
        </w:rPr>
        <w:t>sub</w:t>
      </w:r>
      <w:r w:rsidR="006C11E1">
        <w:rPr>
          <w:rFonts w:ascii="ITC Avant Garde" w:eastAsia="Calibri" w:hAnsi="ITC Avant Garde" w:cs="Arial"/>
          <w:color w:val="000000"/>
          <w:sz w:val="18"/>
          <w:lang w:val="es-ES_tradnl" w:eastAsia="es-ES"/>
        </w:rPr>
        <w:t>ducto</w:t>
      </w:r>
      <w:proofErr w:type="spellEnd"/>
      <w:r w:rsidR="006C11E1" w:rsidRPr="002F5769">
        <w:rPr>
          <w:rFonts w:ascii="ITC Avant Garde" w:eastAsia="Calibri" w:hAnsi="ITC Avant Garde" w:cs="Arial"/>
          <w:color w:val="000000"/>
          <w:sz w:val="18"/>
          <w:lang w:val="es-ES_tradnl" w:eastAsia="es-ES"/>
        </w:rPr>
        <w:t xml:space="preserve"> </w:t>
      </w:r>
      <w:r w:rsidRPr="002F5769">
        <w:rPr>
          <w:rFonts w:ascii="ITC Avant Garde" w:eastAsia="Calibri" w:hAnsi="ITC Avant Garde" w:cs="Arial"/>
          <w:color w:val="000000"/>
          <w:sz w:val="18"/>
          <w:lang w:val="es-ES_tradnl" w:eastAsia="es-ES"/>
        </w:rPr>
        <w:t>para mantenimiento.</w:t>
      </w:r>
    </w:p>
    <w:p w14:paraId="0FBE9714" w14:textId="77777777" w:rsidR="002F5769" w:rsidRPr="002F5769" w:rsidRDefault="002F5769" w:rsidP="002F5769">
      <w:pPr>
        <w:spacing w:before="240"/>
        <w:jc w:val="both"/>
        <w:rPr>
          <w:rFonts w:ascii="ITC Avant Garde" w:eastAsia="Calibri" w:hAnsi="ITC Avant Garde" w:cs="Arial"/>
          <w:color w:val="000000"/>
          <w:lang w:val="es-ES_tradnl" w:eastAsia="es-ES"/>
        </w:rPr>
      </w:pPr>
    </w:p>
    <w:p w14:paraId="4602B9E5" w14:textId="2405A575" w:rsidR="00782719" w:rsidRDefault="002F5769" w:rsidP="0033122C">
      <w:pPr>
        <w:pStyle w:val="IFTnormal"/>
        <w:numPr>
          <w:ilvl w:val="0"/>
          <w:numId w:val="17"/>
        </w:numPr>
        <w:rPr>
          <w:lang w:val="es-ES_tradnl" w:eastAsia="es-ES"/>
        </w:rPr>
      </w:pPr>
      <w:r>
        <w:rPr>
          <w:noProof/>
          <w:lang w:eastAsia="es-MX"/>
        </w:rPr>
        <w:drawing>
          <wp:anchor distT="0" distB="0" distL="114300" distR="114300" simplePos="0" relativeHeight="251658242" behindDoc="0" locked="0" layoutInCell="1" allowOverlap="1" wp14:anchorId="6599EAEF" wp14:editId="57598FBC">
            <wp:simplePos x="0" y="0"/>
            <wp:positionH relativeFrom="column">
              <wp:posOffset>1630680</wp:posOffset>
            </wp:positionH>
            <wp:positionV relativeFrom="paragraph">
              <wp:posOffset>476250</wp:posOffset>
            </wp:positionV>
            <wp:extent cx="2774950" cy="2047240"/>
            <wp:effectExtent l="0" t="0" r="0" b="0"/>
            <wp:wrapTopAndBottom/>
            <wp:docPr id="6" name="Imagen 6" descr="Figura 6" title="Figu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4950" cy="2047240"/>
                    </a:xfrm>
                    <a:prstGeom prst="rect">
                      <a:avLst/>
                    </a:prstGeom>
                    <a:noFill/>
                  </pic:spPr>
                </pic:pic>
              </a:graphicData>
            </a:graphic>
            <wp14:sizeRelH relativeFrom="margin">
              <wp14:pctWidth>0</wp14:pctWidth>
            </wp14:sizeRelH>
            <wp14:sizeRelV relativeFrom="margin">
              <wp14:pctHeight>0</wp14:pctHeight>
            </wp14:sizeRelV>
          </wp:anchor>
        </w:drawing>
      </w:r>
      <w:r w:rsidR="00782719">
        <w:rPr>
          <w:lang w:val="es-ES_tradnl" w:eastAsia="es-ES"/>
        </w:rPr>
        <w:t xml:space="preserve">En caso de haber más de 8 </w:t>
      </w:r>
      <w:r w:rsidR="00576F0E">
        <w:rPr>
          <w:lang w:val="es-ES_tradnl" w:eastAsia="es-ES"/>
        </w:rPr>
        <w:t>Ducto</w:t>
      </w:r>
      <w:r w:rsidR="00782719">
        <w:rPr>
          <w:lang w:val="es-ES_tradnl" w:eastAsia="es-ES"/>
        </w:rPr>
        <w:t xml:space="preserve">s en la sección, se reservará 1 (uno) </w:t>
      </w:r>
      <w:r w:rsidR="00576F0E">
        <w:rPr>
          <w:lang w:val="es-ES_tradnl" w:eastAsia="es-ES"/>
        </w:rPr>
        <w:t>Ducto</w:t>
      </w:r>
      <w:r w:rsidR="00782719">
        <w:rPr>
          <w:lang w:val="es-ES_tradnl" w:eastAsia="es-ES"/>
        </w:rPr>
        <w:t xml:space="preserve"> completo para mantenimiento.</w:t>
      </w:r>
    </w:p>
    <w:p w14:paraId="70665C1D" w14:textId="4FFD6056" w:rsidR="00EA2BEB" w:rsidRPr="00EA2BEB" w:rsidRDefault="00EA2BEB" w:rsidP="00EA2BEB">
      <w:pPr>
        <w:spacing w:after="0" w:line="240" w:lineRule="auto"/>
        <w:jc w:val="center"/>
        <w:rPr>
          <w:rFonts w:ascii="ITC Avant Garde" w:eastAsia="Calibri" w:hAnsi="ITC Avant Garde" w:cs="Arial"/>
          <w:color w:val="000000"/>
          <w:sz w:val="18"/>
          <w:lang w:val="es-ES_tradnl" w:eastAsia="es-ES"/>
        </w:rPr>
      </w:pPr>
      <w:r>
        <w:rPr>
          <w:rFonts w:ascii="ITC Avant Garde" w:eastAsia="Calibri" w:hAnsi="ITC Avant Garde" w:cs="Arial"/>
          <w:color w:val="000000"/>
          <w:sz w:val="18"/>
          <w:lang w:val="es-ES_tradnl" w:eastAsia="es-ES"/>
        </w:rPr>
        <w:lastRenderedPageBreak/>
        <w:t xml:space="preserve">Figura </w:t>
      </w:r>
      <w:r w:rsidR="0053297E">
        <w:rPr>
          <w:rFonts w:ascii="ITC Avant Garde" w:eastAsia="Calibri" w:hAnsi="ITC Avant Garde" w:cs="Arial"/>
          <w:color w:val="000000"/>
          <w:sz w:val="18"/>
          <w:lang w:val="es-ES_tradnl" w:eastAsia="es-ES"/>
        </w:rPr>
        <w:t>6</w:t>
      </w:r>
      <w:r>
        <w:rPr>
          <w:rFonts w:ascii="ITC Avant Garde" w:eastAsia="Calibri" w:hAnsi="ITC Avant Garde" w:cs="Arial"/>
          <w:color w:val="000000"/>
          <w:sz w:val="18"/>
          <w:lang w:val="es-ES_tradnl" w:eastAsia="es-ES"/>
        </w:rPr>
        <w:t>. Más de 8</w:t>
      </w:r>
      <w:r w:rsidRPr="00EA2BEB">
        <w:rPr>
          <w:rFonts w:ascii="ITC Avant Garde" w:eastAsia="Calibri" w:hAnsi="ITC Avant Garde" w:cs="Arial"/>
          <w:color w:val="000000"/>
          <w:sz w:val="18"/>
          <w:lang w:val="es-ES_tradnl" w:eastAsia="es-ES"/>
        </w:rPr>
        <w:t xml:space="preserve"> </w:t>
      </w:r>
      <w:r w:rsidR="00576F0E">
        <w:rPr>
          <w:rFonts w:ascii="ITC Avant Garde" w:eastAsia="Calibri" w:hAnsi="ITC Avant Garde" w:cs="Arial"/>
          <w:color w:val="000000"/>
          <w:sz w:val="18"/>
          <w:lang w:val="es-ES_tradnl" w:eastAsia="es-ES"/>
        </w:rPr>
        <w:t>Ducto</w:t>
      </w:r>
      <w:r w:rsidRPr="00EA2BEB">
        <w:rPr>
          <w:rFonts w:ascii="ITC Avant Garde" w:eastAsia="Calibri" w:hAnsi="ITC Avant Garde" w:cs="Arial"/>
          <w:color w:val="000000"/>
          <w:sz w:val="18"/>
          <w:lang w:val="es-ES_tradnl" w:eastAsia="es-ES"/>
        </w:rPr>
        <w:t xml:space="preserve">s, instalación de </w:t>
      </w:r>
      <w:r w:rsidR="00576F0E">
        <w:rPr>
          <w:rFonts w:ascii="ITC Avant Garde" w:eastAsia="Calibri" w:hAnsi="ITC Avant Garde" w:cs="Arial"/>
          <w:color w:val="000000"/>
          <w:sz w:val="18"/>
          <w:lang w:val="es-ES_tradnl" w:eastAsia="es-ES"/>
        </w:rPr>
        <w:t>Ducto</w:t>
      </w:r>
      <w:r w:rsidR="00792770">
        <w:rPr>
          <w:rFonts w:ascii="ITC Avant Garde" w:eastAsia="Calibri" w:hAnsi="ITC Avant Garde" w:cs="Arial"/>
          <w:color w:val="000000"/>
          <w:sz w:val="18"/>
          <w:lang w:val="es-ES_tradnl" w:eastAsia="es-ES"/>
        </w:rPr>
        <w:t xml:space="preserve"> para mantenimiento</w:t>
      </w:r>
      <w:r>
        <w:rPr>
          <w:rFonts w:ascii="ITC Avant Garde" w:eastAsia="Calibri" w:hAnsi="ITC Avant Garde" w:cs="Arial"/>
          <w:color w:val="000000"/>
          <w:sz w:val="18"/>
          <w:lang w:val="es-ES_tradnl" w:eastAsia="es-ES"/>
        </w:rPr>
        <w:t>.</w:t>
      </w:r>
    </w:p>
    <w:p w14:paraId="05968B78" w14:textId="16E40E83" w:rsidR="00EA2BEB" w:rsidRDefault="00EA2BEB" w:rsidP="00EA2BEB">
      <w:pPr>
        <w:spacing w:after="0" w:line="240" w:lineRule="auto"/>
        <w:jc w:val="center"/>
        <w:rPr>
          <w:rFonts w:ascii="ITC Avant Garde" w:eastAsia="Calibri" w:hAnsi="ITC Avant Garde" w:cs="Arial"/>
          <w:color w:val="000000"/>
          <w:lang w:val="es-ES_tradnl" w:eastAsia="es-ES"/>
        </w:rPr>
      </w:pPr>
    </w:p>
    <w:p w14:paraId="67F82BFA" w14:textId="524EE80F" w:rsidR="003564BA" w:rsidRPr="00B42531" w:rsidRDefault="003564BA" w:rsidP="003B1B96">
      <w:pPr>
        <w:spacing w:after="0" w:line="240" w:lineRule="auto"/>
        <w:ind w:left="567"/>
        <w:jc w:val="both"/>
        <w:rPr>
          <w:rFonts w:ascii="ITC Avant Garde" w:eastAsia="Calibri" w:hAnsi="ITC Avant Garde" w:cs="Arial"/>
          <w:color w:val="000000"/>
          <w:lang w:val="es-ES_tradnl" w:eastAsia="es-ES"/>
        </w:rPr>
      </w:pPr>
    </w:p>
    <w:p w14:paraId="2593AD9E" w14:textId="7752DAA3" w:rsidR="00D23FCF" w:rsidRDefault="009513AC" w:rsidP="00D23FCF">
      <w:pPr>
        <w:jc w:val="both"/>
        <w:rPr>
          <w:rFonts w:ascii="ITC Avant Garde" w:eastAsia="Calibri" w:hAnsi="ITC Avant Garde" w:cs="Calibri"/>
          <w:bCs/>
          <w:lang w:val="es-ES_tradnl" w:eastAsia="es-ES"/>
        </w:rPr>
      </w:pPr>
      <w:bookmarkStart w:id="1" w:name="x-Microductos:"/>
      <w:bookmarkEnd w:id="1"/>
      <w:r w:rsidRPr="009513AC">
        <w:rPr>
          <w:rFonts w:ascii="ITC Avant Garde" w:eastAsia="Calibri" w:hAnsi="ITC Avant Garde" w:cs="Calibri"/>
          <w:bCs/>
          <w:lang w:val="es-ES_tradnl" w:eastAsia="es-ES"/>
        </w:rPr>
        <w:t>El caso en que se comparta Infraestructura</w:t>
      </w:r>
      <w:r w:rsidR="006C11E1">
        <w:rPr>
          <w:rFonts w:ascii="ITC Avant Garde" w:eastAsia="Calibri" w:hAnsi="ITC Avant Garde" w:cs="Calibri"/>
          <w:bCs/>
          <w:lang w:val="es-ES_tradnl" w:eastAsia="es-ES"/>
        </w:rPr>
        <w:t>,</w:t>
      </w:r>
      <w:r w:rsidRPr="009513AC">
        <w:rPr>
          <w:rFonts w:ascii="ITC Avant Garde" w:eastAsia="Calibri" w:hAnsi="ITC Avant Garde" w:cs="Calibri"/>
          <w:bCs/>
          <w:lang w:val="es-ES_tradnl" w:eastAsia="es-ES"/>
        </w:rPr>
        <w:t xml:space="preserve"> los ductos o espacios destinados a mantenimiento también </w:t>
      </w:r>
      <w:proofErr w:type="gramStart"/>
      <w:r w:rsidRPr="009513AC">
        <w:rPr>
          <w:rFonts w:ascii="ITC Avant Garde" w:eastAsia="Calibri" w:hAnsi="ITC Avant Garde" w:cs="Calibri"/>
          <w:bCs/>
          <w:lang w:val="es-ES_tradnl" w:eastAsia="es-ES"/>
        </w:rPr>
        <w:t>deberá</w:t>
      </w:r>
      <w:r>
        <w:rPr>
          <w:rFonts w:ascii="ITC Avant Garde" w:eastAsia="Calibri" w:hAnsi="ITC Avant Garde" w:cs="Calibri"/>
          <w:bCs/>
          <w:lang w:val="es-ES_tradnl" w:eastAsia="es-ES"/>
        </w:rPr>
        <w:t>n</w:t>
      </w:r>
      <w:proofErr w:type="gramEnd"/>
      <w:r w:rsidRPr="009513AC">
        <w:rPr>
          <w:rFonts w:ascii="ITC Avant Garde" w:eastAsia="Calibri" w:hAnsi="ITC Avant Garde" w:cs="Calibri"/>
          <w:bCs/>
          <w:lang w:val="es-ES_tradnl" w:eastAsia="es-ES"/>
        </w:rPr>
        <w:t xml:space="preserve"> ser compartido</w:t>
      </w:r>
      <w:r>
        <w:rPr>
          <w:rFonts w:ascii="ITC Avant Garde" w:eastAsia="Calibri" w:hAnsi="ITC Avant Garde" w:cs="Calibri"/>
          <w:bCs/>
          <w:lang w:val="es-ES_tradnl" w:eastAsia="es-ES"/>
        </w:rPr>
        <w:t>s</w:t>
      </w:r>
      <w:r w:rsidRPr="009513AC">
        <w:rPr>
          <w:rFonts w:ascii="ITC Avant Garde" w:eastAsia="Calibri" w:hAnsi="ITC Avant Garde" w:cs="Calibri"/>
          <w:bCs/>
          <w:lang w:val="es-ES_tradnl" w:eastAsia="es-ES"/>
        </w:rPr>
        <w:t>.</w:t>
      </w:r>
    </w:p>
    <w:p w14:paraId="34D08929" w14:textId="77777777" w:rsidR="009513AC" w:rsidRPr="009513AC" w:rsidRDefault="009513AC" w:rsidP="00D23FCF">
      <w:pPr>
        <w:jc w:val="both"/>
        <w:rPr>
          <w:rFonts w:ascii="ITC Avant Garde" w:eastAsia="Calibri" w:hAnsi="ITC Avant Garde" w:cs="Calibri"/>
          <w:bCs/>
          <w:lang w:val="es-ES_tradnl" w:eastAsia="es-ES"/>
        </w:rPr>
      </w:pPr>
    </w:p>
    <w:p w14:paraId="2834511E" w14:textId="78945FB3" w:rsidR="008E637E" w:rsidRDefault="008E637E" w:rsidP="00D01FEB">
      <w:pPr>
        <w:pStyle w:val="Prrafodelista"/>
        <w:numPr>
          <w:ilvl w:val="0"/>
          <w:numId w:val="5"/>
        </w:numPr>
        <w:jc w:val="both"/>
        <w:rPr>
          <w:rFonts w:ascii="ITC Avant Garde" w:eastAsia="Calibri" w:hAnsi="ITC Avant Garde" w:cs="Arial"/>
          <w:color w:val="000000"/>
          <w:lang w:val="es-ES_tradnl" w:eastAsia="es-ES"/>
        </w:rPr>
      </w:pPr>
      <w:r w:rsidRPr="001E0412">
        <w:rPr>
          <w:rFonts w:ascii="ITC Avant Garde" w:eastAsia="Calibri" w:hAnsi="ITC Avant Garde" w:cs="Arial"/>
          <w:color w:val="000000"/>
          <w:lang w:val="es-ES_tradnl" w:eastAsia="es-ES"/>
        </w:rPr>
        <w:t>Capacidad susceptible de utilización</w:t>
      </w:r>
    </w:p>
    <w:p w14:paraId="54186F0E" w14:textId="52F8FA76" w:rsidR="00BF29AD" w:rsidRPr="00BF29AD" w:rsidRDefault="00BF29AD" w:rsidP="00BF29AD">
      <w:pPr>
        <w:pStyle w:val="IFTnormal"/>
        <w:rPr>
          <w:lang w:val="es-ES_tradnl" w:eastAsia="es-ES"/>
        </w:rPr>
      </w:pPr>
      <w:r>
        <w:rPr>
          <w:lang w:val="es-ES_tradnl" w:eastAsia="es-ES"/>
        </w:rPr>
        <w:t xml:space="preserve">Para la construcción de canalizaciones para la instalación de Red Subterránea </w:t>
      </w:r>
      <w:r w:rsidRPr="00BF29AD">
        <w:rPr>
          <w:lang w:val="es-ES_tradnl" w:eastAsia="es-ES"/>
        </w:rPr>
        <w:t xml:space="preserve">se deberá tener en cuenta todo lo aplicable descrito en la NOM-001-SEDE-2012. </w:t>
      </w:r>
    </w:p>
    <w:p w14:paraId="314D7769" w14:textId="5E81F8CD" w:rsidR="00D01FEB" w:rsidRDefault="00BF29AD" w:rsidP="00D01FEB">
      <w:pPr>
        <w:pStyle w:val="IFTnormal"/>
      </w:pPr>
      <w:r w:rsidRPr="00BF29AD">
        <w:rPr>
          <w:lang w:val="es-ES_tradnl" w:eastAsia="es-ES"/>
        </w:rPr>
        <w:t>T</w:t>
      </w:r>
      <w:r>
        <w:rPr>
          <w:lang w:val="es-ES_tradnl" w:eastAsia="es-ES"/>
        </w:rPr>
        <w:t>odo</w:t>
      </w:r>
      <w:r w:rsidRPr="00BF29AD">
        <w:rPr>
          <w:lang w:val="es-ES_tradnl" w:eastAsia="es-ES"/>
        </w:rPr>
        <w:t xml:space="preserve"> </w:t>
      </w:r>
      <w:r w:rsidR="006C11E1">
        <w:rPr>
          <w:lang w:val="es-ES_tradnl" w:eastAsia="es-ES"/>
        </w:rPr>
        <w:t>Ducto</w:t>
      </w:r>
      <w:r>
        <w:rPr>
          <w:lang w:val="es-ES_tradnl" w:eastAsia="es-ES"/>
        </w:rPr>
        <w:t>, pozo</w:t>
      </w:r>
      <w:r w:rsidRPr="00BF29AD">
        <w:rPr>
          <w:lang w:val="es-ES_tradnl" w:eastAsia="es-ES"/>
        </w:rPr>
        <w:t xml:space="preserve"> </w:t>
      </w:r>
      <w:r>
        <w:rPr>
          <w:lang w:val="es-ES_tradnl" w:eastAsia="es-ES"/>
        </w:rPr>
        <w:t>y demás elementos neces</w:t>
      </w:r>
      <w:r w:rsidR="005A15B5">
        <w:rPr>
          <w:lang w:val="es-ES_tradnl" w:eastAsia="es-ES"/>
        </w:rPr>
        <w:t>arios para el uso eficiente de R</w:t>
      </w:r>
      <w:r>
        <w:rPr>
          <w:lang w:val="es-ES_tradnl" w:eastAsia="es-ES"/>
        </w:rPr>
        <w:t xml:space="preserve">ed </w:t>
      </w:r>
      <w:r w:rsidR="005A15B5">
        <w:rPr>
          <w:lang w:val="es-ES_tradnl" w:eastAsia="es-ES"/>
        </w:rPr>
        <w:t>S</w:t>
      </w:r>
      <w:r>
        <w:rPr>
          <w:lang w:val="es-ES_tradnl" w:eastAsia="es-ES"/>
        </w:rPr>
        <w:t>ubterránea s</w:t>
      </w:r>
      <w:r w:rsidRPr="00BF29AD">
        <w:rPr>
          <w:lang w:val="es-ES_tradnl" w:eastAsia="es-ES"/>
        </w:rPr>
        <w:t xml:space="preserve">on susceptible de utilización por uno o más operadores </w:t>
      </w:r>
      <w:r w:rsidR="00D01FEB">
        <w:rPr>
          <w:lang w:val="es-ES_tradnl" w:eastAsia="es-ES"/>
        </w:rPr>
        <w:t xml:space="preserve">siempre que exista capacidad </w:t>
      </w:r>
      <w:r w:rsidR="00D01FEB">
        <w:t xml:space="preserve">y de no existir podría, siempre que sea técnicamente factible, llegar a un acuerdo para su adecuación. </w:t>
      </w:r>
    </w:p>
    <w:p w14:paraId="04046384" w14:textId="6B842930" w:rsidR="005A15B5" w:rsidRDefault="005A15B5" w:rsidP="005A15B5">
      <w:pPr>
        <w:pStyle w:val="IFTnormal"/>
        <w:rPr>
          <w:lang w:val="es-ES_tradnl" w:eastAsia="es-ES"/>
        </w:rPr>
      </w:pPr>
      <w:r>
        <w:rPr>
          <w:lang w:val="es-ES_tradnl" w:eastAsia="es-ES"/>
        </w:rPr>
        <w:t>P</w:t>
      </w:r>
      <w:r w:rsidRPr="005A15B5">
        <w:rPr>
          <w:lang w:val="es-ES_tradnl" w:eastAsia="es-ES"/>
        </w:rPr>
        <w:t xml:space="preserve">ara que un </w:t>
      </w:r>
      <w:r w:rsidR="006C11E1">
        <w:rPr>
          <w:lang w:val="es-ES_tradnl" w:eastAsia="es-ES"/>
        </w:rPr>
        <w:t>Ducto</w:t>
      </w:r>
      <w:r w:rsidRPr="005A15B5">
        <w:rPr>
          <w:lang w:val="es-ES_tradnl" w:eastAsia="es-ES"/>
        </w:rPr>
        <w:t xml:space="preserve"> sea </w:t>
      </w:r>
      <w:r w:rsidR="000B2E1F">
        <w:rPr>
          <w:lang w:val="es-ES_tradnl" w:eastAsia="es-ES"/>
        </w:rPr>
        <w:t>utilizable</w:t>
      </w:r>
      <w:r w:rsidRPr="005A15B5">
        <w:rPr>
          <w:lang w:val="es-ES_tradnl" w:eastAsia="es-ES"/>
        </w:rPr>
        <w:t xml:space="preserve"> debe contar con </w:t>
      </w:r>
      <w:r w:rsidR="000B2E1F">
        <w:rPr>
          <w:lang w:val="es-ES_tradnl" w:eastAsia="es-ES"/>
        </w:rPr>
        <w:t>capacidad susceptible de</w:t>
      </w:r>
      <w:r w:rsidRPr="005A15B5">
        <w:rPr>
          <w:lang w:val="es-ES_tradnl" w:eastAsia="es-ES"/>
        </w:rPr>
        <w:t xml:space="preserve"> </w:t>
      </w:r>
      <w:r w:rsidR="000B2E1F">
        <w:rPr>
          <w:lang w:val="es-ES_tradnl" w:eastAsia="es-ES"/>
        </w:rPr>
        <w:t>utilización</w:t>
      </w:r>
      <w:r>
        <w:rPr>
          <w:lang w:val="es-ES_tradnl" w:eastAsia="es-ES"/>
        </w:rPr>
        <w:t xml:space="preserve"> que permita la colocación o</w:t>
      </w:r>
      <w:r w:rsidRPr="005A15B5">
        <w:rPr>
          <w:lang w:val="es-ES_tradnl" w:eastAsia="es-ES"/>
        </w:rPr>
        <w:t xml:space="preserve"> instalación de </w:t>
      </w:r>
      <w:r>
        <w:rPr>
          <w:lang w:val="es-ES_tradnl" w:eastAsia="es-ES"/>
        </w:rPr>
        <w:t>cableado</w:t>
      </w:r>
      <w:r w:rsidR="007170FC">
        <w:rPr>
          <w:lang w:val="es-ES_tradnl" w:eastAsia="es-ES"/>
        </w:rPr>
        <w:t xml:space="preserve">, también </w:t>
      </w:r>
      <w:r w:rsidR="000B2E1F">
        <w:rPr>
          <w:lang w:val="es-ES_tradnl" w:eastAsia="es-ES"/>
        </w:rPr>
        <w:t xml:space="preserve">debe </w:t>
      </w:r>
      <w:r w:rsidR="007170FC">
        <w:rPr>
          <w:lang w:val="es-ES_tradnl" w:eastAsia="es-ES"/>
        </w:rPr>
        <w:t xml:space="preserve">existir espacio utilizable </w:t>
      </w:r>
      <w:r w:rsidR="000B2E1F">
        <w:rPr>
          <w:lang w:val="es-ES_tradnl" w:eastAsia="es-ES"/>
        </w:rPr>
        <w:t>para el</w:t>
      </w:r>
      <w:r w:rsidRPr="005A15B5">
        <w:rPr>
          <w:lang w:val="es-ES_tradnl" w:eastAsia="es-ES"/>
        </w:rPr>
        <w:t xml:space="preserve"> correcto funcionamiento de la infraestructura que servirá </w:t>
      </w:r>
      <w:r w:rsidR="000B2E1F">
        <w:rPr>
          <w:lang w:val="es-ES_tradnl" w:eastAsia="es-ES"/>
        </w:rPr>
        <w:t xml:space="preserve">para </w:t>
      </w:r>
      <w:r w:rsidRPr="005A15B5">
        <w:rPr>
          <w:lang w:val="es-ES_tradnl" w:eastAsia="es-ES"/>
        </w:rPr>
        <w:t>la prestación de servicios</w:t>
      </w:r>
      <w:r w:rsidR="00F53FCE">
        <w:rPr>
          <w:lang w:val="es-ES_tradnl" w:eastAsia="es-ES"/>
        </w:rPr>
        <w:t xml:space="preserve"> (pozos, registros, </w:t>
      </w:r>
      <w:proofErr w:type="spellStart"/>
      <w:r w:rsidR="00F53FCE">
        <w:rPr>
          <w:lang w:val="es-ES_tradnl" w:eastAsia="es-ES"/>
        </w:rPr>
        <w:t>etc</w:t>
      </w:r>
      <w:proofErr w:type="spellEnd"/>
      <w:r w:rsidR="00F53FCE">
        <w:rPr>
          <w:lang w:val="es-ES_tradnl" w:eastAsia="es-ES"/>
        </w:rPr>
        <w:t>)</w:t>
      </w:r>
      <w:r w:rsidRPr="005A15B5">
        <w:rPr>
          <w:lang w:val="es-ES_tradnl" w:eastAsia="es-ES"/>
        </w:rPr>
        <w:t>.</w:t>
      </w:r>
    </w:p>
    <w:p w14:paraId="2C236420" w14:textId="44813A6F" w:rsidR="002606BF" w:rsidRDefault="002606BF" w:rsidP="002606BF">
      <w:pPr>
        <w:pStyle w:val="IFTnormal"/>
        <w:numPr>
          <w:ilvl w:val="1"/>
          <w:numId w:val="5"/>
        </w:numPr>
        <w:rPr>
          <w:lang w:val="es-ES_tradnl" w:eastAsia="es-ES"/>
        </w:rPr>
      </w:pPr>
      <w:r>
        <w:rPr>
          <w:lang w:val="es-ES_tradnl" w:eastAsia="es-ES"/>
        </w:rPr>
        <w:t>Espacio utilizable en Ductos</w:t>
      </w:r>
    </w:p>
    <w:p w14:paraId="42BAD5DA" w14:textId="46C1D3D6" w:rsidR="00D14F32" w:rsidRDefault="00DA3AC9" w:rsidP="00DA3AC9">
      <w:pPr>
        <w:pStyle w:val="IFTnormal"/>
        <w:rPr>
          <w:lang w:val="es-ES_tradnl" w:eastAsia="es-ES"/>
        </w:rPr>
      </w:pPr>
      <w:r>
        <w:rPr>
          <w:lang w:val="es-ES_tradnl" w:eastAsia="es-ES"/>
        </w:rPr>
        <w:t>Para la</w:t>
      </w:r>
      <w:r w:rsidRPr="00A50688">
        <w:rPr>
          <w:lang w:val="es-ES_tradnl" w:eastAsia="es-ES"/>
        </w:rPr>
        <w:t xml:space="preserve"> </w:t>
      </w:r>
      <w:r w:rsidR="009F5E28">
        <w:rPr>
          <w:lang w:val="es-ES_tradnl" w:eastAsia="es-ES"/>
        </w:rPr>
        <w:t xml:space="preserve">utilización </w:t>
      </w:r>
      <w:r w:rsidR="009F5E28" w:rsidRPr="008E637E">
        <w:rPr>
          <w:lang w:val="es-ES_tradnl" w:eastAsia="es-ES"/>
        </w:rPr>
        <w:t>por uno o más operadores</w:t>
      </w:r>
      <w:r w:rsidR="009F5E28">
        <w:rPr>
          <w:lang w:val="es-ES_tradnl" w:eastAsia="es-ES"/>
        </w:rPr>
        <w:t xml:space="preserve"> </w:t>
      </w:r>
      <w:r w:rsidRPr="00A50688">
        <w:rPr>
          <w:lang w:val="es-ES_tradnl" w:eastAsia="es-ES"/>
        </w:rPr>
        <w:t xml:space="preserve">de </w:t>
      </w:r>
      <w:r>
        <w:rPr>
          <w:lang w:val="es-ES_tradnl" w:eastAsia="es-ES"/>
        </w:rPr>
        <w:t>Ducto</w:t>
      </w:r>
      <w:r w:rsidRPr="00A50688">
        <w:rPr>
          <w:lang w:val="es-ES_tradnl" w:eastAsia="es-ES"/>
        </w:rPr>
        <w:t>s</w:t>
      </w:r>
      <w:r>
        <w:rPr>
          <w:lang w:val="es-ES_tradnl" w:eastAsia="es-ES"/>
        </w:rPr>
        <w:t xml:space="preserve"> o espacio en Ductos que se encuentren</w:t>
      </w:r>
      <w:r w:rsidRPr="00A50688">
        <w:rPr>
          <w:lang w:val="es-ES_tradnl" w:eastAsia="es-ES"/>
        </w:rPr>
        <w:t xml:space="preserve"> </w:t>
      </w:r>
      <w:r>
        <w:rPr>
          <w:lang w:val="es-ES_tradnl" w:eastAsia="es-ES"/>
        </w:rPr>
        <w:t xml:space="preserve">ya instalados o en operación, se debe permitir </w:t>
      </w:r>
      <w:r w:rsidR="009F5E28">
        <w:rPr>
          <w:lang w:val="es-ES_tradnl" w:eastAsia="es-ES"/>
        </w:rPr>
        <w:t>el uso</w:t>
      </w:r>
      <w:r>
        <w:rPr>
          <w:lang w:val="es-ES_tradnl" w:eastAsia="es-ES"/>
        </w:rPr>
        <w:t xml:space="preserve"> de dicho elemento, siempre y cuando exista </w:t>
      </w:r>
      <w:r w:rsidR="000B2E1F">
        <w:rPr>
          <w:lang w:val="es-ES_tradnl" w:eastAsia="es-ES"/>
        </w:rPr>
        <w:t>capacidad susceptible de</w:t>
      </w:r>
      <w:r w:rsidR="000B2E1F" w:rsidRPr="005A15B5">
        <w:rPr>
          <w:lang w:val="es-ES_tradnl" w:eastAsia="es-ES"/>
        </w:rPr>
        <w:t xml:space="preserve"> </w:t>
      </w:r>
      <w:r w:rsidR="000B2E1F">
        <w:rPr>
          <w:lang w:val="es-ES_tradnl" w:eastAsia="es-ES"/>
        </w:rPr>
        <w:t>utilización</w:t>
      </w:r>
      <w:r>
        <w:rPr>
          <w:lang w:val="es-ES_tradnl" w:eastAsia="es-ES"/>
        </w:rPr>
        <w:t xml:space="preserve">. </w:t>
      </w:r>
    </w:p>
    <w:p w14:paraId="1AAA256E" w14:textId="773C027B" w:rsidR="00D14F32" w:rsidRDefault="00D14F32" w:rsidP="00D14F32">
      <w:pPr>
        <w:pStyle w:val="IFTnormal"/>
        <w:rPr>
          <w:lang w:val="es-ES_tradnl" w:eastAsia="es-ES"/>
        </w:rPr>
      </w:pPr>
      <w:r>
        <w:rPr>
          <w:lang w:val="es-ES_tradnl" w:eastAsia="es-ES"/>
        </w:rPr>
        <w:t xml:space="preserve">Para el uso eficiente de los Ductos es necesario determinar </w:t>
      </w:r>
      <w:r w:rsidR="000B2E1F">
        <w:rPr>
          <w:lang w:val="es-ES_tradnl" w:eastAsia="es-ES"/>
        </w:rPr>
        <w:t>la capacidad susceptible de</w:t>
      </w:r>
      <w:r w:rsidR="000B2E1F" w:rsidRPr="005A15B5">
        <w:rPr>
          <w:lang w:val="es-ES_tradnl" w:eastAsia="es-ES"/>
        </w:rPr>
        <w:t xml:space="preserve"> </w:t>
      </w:r>
      <w:r w:rsidR="000B2E1F">
        <w:rPr>
          <w:lang w:val="es-ES_tradnl" w:eastAsia="es-ES"/>
        </w:rPr>
        <w:t xml:space="preserve">utilización </w:t>
      </w:r>
      <w:r>
        <w:rPr>
          <w:lang w:val="es-ES_tradnl" w:eastAsia="es-ES"/>
        </w:rPr>
        <w:t>en estos, es por ello que se hace necesario determinar el espacio que se puede utilizar dependiendo de su capacidad y los cables o Ductos a instalar.</w:t>
      </w:r>
    </w:p>
    <w:p w14:paraId="0C6AA8FB" w14:textId="77777777" w:rsidR="00D14F32" w:rsidRDefault="00D14F32" w:rsidP="00D14F32">
      <w:pPr>
        <w:pStyle w:val="IFTnormal"/>
        <w:rPr>
          <w:lang w:val="es-ES_tradnl" w:eastAsia="es-ES"/>
        </w:rPr>
      </w:pPr>
      <w:r>
        <w:rPr>
          <w:lang w:val="es-ES_tradnl" w:eastAsia="es-ES"/>
        </w:rPr>
        <w:t>L</w:t>
      </w:r>
      <w:r w:rsidRPr="00360332">
        <w:rPr>
          <w:lang w:val="es-ES_tradnl" w:eastAsia="es-ES"/>
        </w:rPr>
        <w:t>a</w:t>
      </w:r>
      <w:r>
        <w:rPr>
          <w:lang w:val="es-ES_tradnl" w:eastAsia="es-ES"/>
        </w:rPr>
        <w:t>s</w:t>
      </w:r>
      <w:r w:rsidRPr="00360332">
        <w:rPr>
          <w:lang w:val="es-ES_tradnl" w:eastAsia="es-ES"/>
        </w:rPr>
        <w:t xml:space="preserve"> fórmula</w:t>
      </w:r>
      <w:r>
        <w:rPr>
          <w:lang w:val="es-ES_tradnl" w:eastAsia="es-ES"/>
        </w:rPr>
        <w:t>s</w:t>
      </w:r>
      <w:r w:rsidRPr="00360332">
        <w:rPr>
          <w:lang w:val="es-ES_tradnl" w:eastAsia="es-ES"/>
        </w:rPr>
        <w:t xml:space="preserve"> descrita</w:t>
      </w:r>
      <w:r>
        <w:rPr>
          <w:lang w:val="es-ES_tradnl" w:eastAsia="es-ES"/>
        </w:rPr>
        <w:t>s</w:t>
      </w:r>
      <w:r w:rsidRPr="00360332">
        <w:rPr>
          <w:lang w:val="es-ES_tradnl" w:eastAsia="es-ES"/>
        </w:rPr>
        <w:t xml:space="preserve"> a continuación </w:t>
      </w:r>
      <w:r>
        <w:rPr>
          <w:lang w:val="es-ES_tradnl" w:eastAsia="es-ES"/>
        </w:rPr>
        <w:t>calculan</w:t>
      </w:r>
      <w:r w:rsidRPr="00360332">
        <w:rPr>
          <w:lang w:val="es-ES_tradnl" w:eastAsia="es-ES"/>
        </w:rPr>
        <w:t xml:space="preserve"> la capacidad</w:t>
      </w:r>
      <w:r>
        <w:rPr>
          <w:lang w:val="es-ES_tradnl" w:eastAsia="es-ES"/>
        </w:rPr>
        <w:t xml:space="preserve"> de espacio utilizable total de un Ducto.</w:t>
      </w:r>
    </w:p>
    <w:p w14:paraId="72E16B9D" w14:textId="77777777" w:rsidR="00D14F32" w:rsidRDefault="00D14F32" w:rsidP="00D14F32">
      <w:pPr>
        <w:spacing w:after="0" w:line="240" w:lineRule="auto"/>
        <w:jc w:val="both"/>
        <w:rPr>
          <w:rFonts w:ascii="ITC Avant Garde" w:eastAsia="Calibri" w:hAnsi="ITC Avant Garde" w:cs="Arial"/>
          <w:color w:val="000000"/>
          <w:lang w:val="es-ES_tradnl" w:eastAsia="es-ES"/>
        </w:rPr>
      </w:pPr>
    </w:p>
    <w:p w14:paraId="4CEA5C59" w14:textId="77777777" w:rsidR="00D14F32" w:rsidRDefault="00D14F32" w:rsidP="00D14F32">
      <w:pPr>
        <w:pStyle w:val="IFTnormal"/>
        <w:rPr>
          <w:lang w:val="es-ES_tradnl" w:eastAsia="es-ES"/>
        </w:rPr>
      </w:pPr>
      <w:r>
        <w:rPr>
          <w:lang w:val="es-ES_tradnl" w:eastAsia="es-ES"/>
        </w:rPr>
        <w:t>El área interna total de un Ducto principal queda determinada por</w:t>
      </w:r>
    </w:p>
    <w:p w14:paraId="51D4F1EB" w14:textId="22304646" w:rsidR="00D14F32" w:rsidRPr="00522C84" w:rsidRDefault="00D14F32" w:rsidP="00D14F32">
      <w:pPr>
        <w:spacing w:before="200" w:line="240" w:lineRule="auto"/>
        <w:contextualSpacing/>
        <w:jc w:val="both"/>
        <w:rPr>
          <w:rFonts w:ascii="ITC Avant Garde" w:eastAsia="Calibri" w:hAnsi="ITC Avant Garde" w:cs="Arial"/>
          <w:color w:val="000000"/>
          <w:lang w:val="es-ES_tradnl" w:eastAsia="es-ES"/>
        </w:rPr>
      </w:pPr>
    </w:p>
    <w:p w14:paraId="715194FE" w14:textId="77777777" w:rsidR="00D14F32" w:rsidRPr="00D14F32" w:rsidRDefault="00D14F32" w:rsidP="00D14F32">
      <w:pPr>
        <w:spacing w:before="200" w:line="240" w:lineRule="auto"/>
        <w:ind w:left="567"/>
        <w:contextualSpacing/>
        <w:jc w:val="both"/>
        <w:rPr>
          <w:rFonts w:ascii="ITC Avant Garde" w:eastAsia="Calibri" w:hAnsi="ITC Avant Garde" w:cs="Arial"/>
          <w:color w:val="000000"/>
          <w:lang w:val="es-ES_tradnl" w:eastAsia="es-ES"/>
        </w:rPr>
      </w:pPr>
      <m:oMathPara>
        <m:oMath>
          <m:r>
            <w:rPr>
              <w:rFonts w:ascii="Cambria Math" w:eastAsia="Calibri" w:hAnsi="Cambria Math" w:cs="Arial"/>
              <w:color w:val="000000"/>
              <w:lang w:val="es-ES_tradnl" w:eastAsia="es-ES"/>
            </w:rPr>
            <m:t>Área interna total=π</m:t>
          </m:r>
          <m:sSup>
            <m:sSupPr>
              <m:ctrlPr>
                <w:rPr>
                  <w:rFonts w:ascii="Cambria Math" w:eastAsia="Calibri" w:hAnsi="Cambria Math" w:cs="Arial"/>
                  <w:color w:val="000000"/>
                  <w:lang w:val="es-ES_tradnl" w:eastAsia="es-ES"/>
                </w:rPr>
              </m:ctrlPr>
            </m:sSupPr>
            <m:e>
              <m:r>
                <w:rPr>
                  <w:rFonts w:ascii="Cambria Math" w:eastAsia="Calibri" w:hAnsi="Cambria Math" w:cs="Arial"/>
                  <w:color w:val="000000"/>
                  <w:lang w:val="es-ES_tradnl" w:eastAsia="es-ES"/>
                </w:rPr>
                <m:t>r</m:t>
              </m:r>
            </m:e>
            <m:sup>
              <m:r>
                <w:rPr>
                  <w:rFonts w:ascii="Cambria Math" w:eastAsia="Calibri" w:hAnsi="Cambria Math" w:cs="Arial"/>
                  <w:color w:val="000000"/>
                  <w:lang w:val="es-ES_tradnl" w:eastAsia="es-ES"/>
                </w:rPr>
                <m:t>2</m:t>
              </m:r>
            </m:sup>
          </m:sSup>
          <m:r>
            <w:rPr>
              <w:rFonts w:ascii="Cambria Math" w:eastAsia="Calibri" w:hAnsi="Cambria Math" w:cs="Arial"/>
              <w:color w:val="000000"/>
              <w:lang w:val="es-ES_tradnl" w:eastAsia="es-ES"/>
            </w:rPr>
            <m:t>=AIT</m:t>
          </m:r>
        </m:oMath>
      </m:oMathPara>
    </w:p>
    <w:p w14:paraId="52559D21" w14:textId="77777777" w:rsidR="00D14F32" w:rsidRDefault="00D14F32" w:rsidP="00D14F32">
      <w:pPr>
        <w:spacing w:before="200" w:line="240" w:lineRule="auto"/>
        <w:ind w:left="567"/>
        <w:contextualSpacing/>
        <w:jc w:val="both"/>
        <w:rPr>
          <w:rFonts w:ascii="ITC Avant Garde" w:eastAsia="Calibri" w:hAnsi="ITC Avant Garde" w:cs="Arial"/>
          <w:color w:val="000000"/>
          <w:lang w:val="es-ES_tradnl" w:eastAsia="es-ES"/>
        </w:rPr>
      </w:pPr>
    </w:p>
    <w:p w14:paraId="488258F6" w14:textId="0FEE452F" w:rsidR="00D14F32" w:rsidRPr="009425EE" w:rsidRDefault="009425EE" w:rsidP="00D14F32">
      <w:pPr>
        <w:spacing w:before="200" w:line="240" w:lineRule="auto"/>
        <w:ind w:left="567"/>
        <w:contextualSpacing/>
        <w:jc w:val="both"/>
        <w:rPr>
          <w:rFonts w:ascii="ITC Avant Garde" w:eastAsia="Calibri" w:hAnsi="ITC Avant Garde" w:cs="Arial"/>
          <w:i/>
          <w:color w:val="000000"/>
          <w:lang w:val="es-ES_tradnl" w:eastAsia="es-ES"/>
        </w:rPr>
      </w:pPr>
      <m:oMathPara>
        <m:oMath>
          <m:r>
            <w:rPr>
              <w:rFonts w:ascii="Cambria Math" w:eastAsia="Calibri" w:hAnsi="Cambria Math" w:cs="Arial"/>
              <w:color w:val="000000"/>
              <w:lang w:val="es-ES_tradnl" w:eastAsia="es-ES"/>
            </w:rPr>
            <m:t>con r=</m:t>
          </m:r>
          <m:f>
            <m:fPr>
              <m:ctrlPr>
                <w:rPr>
                  <w:rFonts w:ascii="Cambria Math" w:eastAsia="Calibri" w:hAnsi="Cambria Math" w:cs="Arial"/>
                  <w:i/>
                  <w:color w:val="000000"/>
                  <w:lang w:val="es-ES_tradnl" w:eastAsia="es-ES"/>
                </w:rPr>
              </m:ctrlPr>
            </m:fPr>
            <m:num>
              <m:r>
                <w:rPr>
                  <w:rFonts w:ascii="Cambria Math" w:eastAsia="Calibri" w:hAnsi="Cambria Math" w:cs="Arial"/>
                  <w:color w:val="000000"/>
                  <w:lang w:val="es-ES_tradnl" w:eastAsia="es-ES"/>
                </w:rPr>
                <m:t>Di</m:t>
              </m:r>
            </m:num>
            <m:den>
              <m:r>
                <w:rPr>
                  <w:rFonts w:ascii="Cambria Math" w:eastAsia="Calibri" w:hAnsi="Cambria Math" w:cs="Arial"/>
                  <w:color w:val="000000"/>
                  <w:lang w:val="es-ES_tradnl" w:eastAsia="es-ES"/>
                </w:rPr>
                <m:t>2</m:t>
              </m:r>
            </m:den>
          </m:f>
        </m:oMath>
      </m:oMathPara>
    </w:p>
    <w:p w14:paraId="61CDBF32" w14:textId="77777777" w:rsidR="00D14F32" w:rsidRDefault="00D14F32" w:rsidP="00D14F32">
      <w:pPr>
        <w:spacing w:before="200" w:line="240" w:lineRule="auto"/>
        <w:ind w:left="567"/>
        <w:contextualSpacing/>
        <w:jc w:val="both"/>
        <w:rPr>
          <w:rFonts w:ascii="ITC Avant Garde" w:eastAsia="Calibri" w:hAnsi="ITC Avant Garde" w:cs="Arial"/>
          <w:color w:val="000000"/>
          <w:sz w:val="20"/>
          <w:lang w:val="es-ES_tradnl" w:eastAsia="es-ES"/>
        </w:rPr>
      </w:pPr>
    </w:p>
    <w:p w14:paraId="2D2CC2CC" w14:textId="1C677864" w:rsidR="00D14F32" w:rsidRPr="0021019D" w:rsidRDefault="00D14F32" w:rsidP="00D14F32">
      <w:pPr>
        <w:pStyle w:val="IFTnormal"/>
        <w:rPr>
          <w:lang w:val="es-ES_tradnl" w:eastAsia="es-ES"/>
        </w:rPr>
      </w:pPr>
      <w:r w:rsidRPr="0021019D">
        <w:rPr>
          <w:lang w:val="es-ES_tradnl" w:eastAsia="es-ES"/>
        </w:rPr>
        <w:t xml:space="preserve">Donde </w:t>
      </w:r>
      <w:r>
        <w:rPr>
          <w:lang w:val="es-ES_tradnl" w:eastAsia="es-ES"/>
        </w:rPr>
        <w:t>Di indica el diámetro interno del Ducto principal</w:t>
      </w:r>
    </w:p>
    <w:p w14:paraId="2939D996" w14:textId="77777777" w:rsidR="00D14F32" w:rsidRDefault="00D14F32" w:rsidP="00D14F32">
      <w:pPr>
        <w:spacing w:before="200" w:line="240" w:lineRule="auto"/>
        <w:ind w:left="567"/>
        <w:contextualSpacing/>
        <w:jc w:val="both"/>
        <w:rPr>
          <w:rFonts w:ascii="ITC Avant Garde" w:eastAsia="Calibri" w:hAnsi="ITC Avant Garde" w:cs="Arial"/>
          <w:color w:val="000000"/>
          <w:lang w:val="es-ES_tradnl" w:eastAsia="es-ES"/>
        </w:rPr>
      </w:pPr>
    </w:p>
    <w:p w14:paraId="2B5D224A" w14:textId="77777777" w:rsidR="00D14F32" w:rsidRDefault="00D14F32" w:rsidP="00D14F32">
      <w:pPr>
        <w:spacing w:before="200" w:line="240" w:lineRule="auto"/>
        <w:ind w:left="567"/>
        <w:contextualSpacing/>
        <w:jc w:val="both"/>
        <w:rPr>
          <w:rFonts w:ascii="ITC Avant Garde" w:eastAsia="Calibri" w:hAnsi="ITC Avant Garde" w:cs="Arial"/>
          <w:color w:val="000000"/>
          <w:lang w:val="es-ES_tradnl" w:eastAsia="es-ES"/>
        </w:rPr>
      </w:pPr>
    </w:p>
    <w:p w14:paraId="2EF93FB5" w14:textId="77777777" w:rsidR="00D14F32" w:rsidRDefault="00D14F32" w:rsidP="00D14F32">
      <w:pPr>
        <w:spacing w:before="200" w:line="240" w:lineRule="auto"/>
        <w:ind w:left="567"/>
        <w:contextualSpacing/>
        <w:jc w:val="both"/>
        <w:rPr>
          <w:rFonts w:ascii="ITC Avant Garde" w:eastAsia="Calibri" w:hAnsi="ITC Avant Garde" w:cs="Arial"/>
          <w:color w:val="000000"/>
          <w:lang w:val="es-ES_tradnl" w:eastAsia="es-ES"/>
        </w:rPr>
      </w:pPr>
    </w:p>
    <w:p w14:paraId="2B0DDFE4" w14:textId="77777777" w:rsidR="00D14F32" w:rsidRDefault="00D14F32" w:rsidP="00D14F32">
      <w:pPr>
        <w:spacing w:before="200" w:line="240" w:lineRule="auto"/>
        <w:ind w:left="567"/>
        <w:contextualSpacing/>
        <w:jc w:val="center"/>
        <w:rPr>
          <w:rFonts w:ascii="ITC Avant Garde" w:eastAsia="Calibri" w:hAnsi="ITC Avant Garde" w:cs="Arial"/>
          <w:color w:val="000000"/>
          <w:lang w:val="es-ES_tradnl" w:eastAsia="es-ES"/>
        </w:rPr>
      </w:pPr>
      <w:r>
        <w:rPr>
          <w:rFonts w:ascii="ITC Avant Garde" w:eastAsia="Calibri" w:hAnsi="ITC Avant Garde" w:cs="Arial"/>
          <w:noProof/>
          <w:color w:val="000000"/>
          <w:lang w:eastAsia="es-MX"/>
        </w:rPr>
        <w:drawing>
          <wp:inline distT="0" distB="0" distL="0" distR="0" wp14:anchorId="3730BEA5" wp14:editId="4F42B3C4">
            <wp:extent cx="1530350" cy="1950720"/>
            <wp:effectExtent l="0" t="0" r="0" b="0"/>
            <wp:docPr id="21" name="Imagen 21" descr="Figura Ducto Diametro interno" title="Figura Ducto Diametro 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0350" cy="1950720"/>
                    </a:xfrm>
                    <a:prstGeom prst="rect">
                      <a:avLst/>
                    </a:prstGeom>
                    <a:noFill/>
                  </pic:spPr>
                </pic:pic>
              </a:graphicData>
            </a:graphic>
          </wp:inline>
        </w:drawing>
      </w:r>
    </w:p>
    <w:p w14:paraId="4E52FF33" w14:textId="77777777" w:rsidR="00D14F32" w:rsidRDefault="00D14F32" w:rsidP="00D14F32">
      <w:pPr>
        <w:spacing w:after="0" w:line="240" w:lineRule="auto"/>
        <w:jc w:val="both"/>
        <w:rPr>
          <w:rFonts w:ascii="ITC Avant Garde" w:eastAsia="Calibri" w:hAnsi="ITC Avant Garde" w:cs="Arial"/>
          <w:color w:val="000000"/>
          <w:lang w:val="es-ES_tradnl" w:eastAsia="es-ES"/>
        </w:rPr>
      </w:pPr>
    </w:p>
    <w:p w14:paraId="61152B68" w14:textId="77777777" w:rsidR="00D14F32" w:rsidRDefault="00D14F32" w:rsidP="00D14F32">
      <w:pPr>
        <w:spacing w:after="0" w:line="240" w:lineRule="auto"/>
        <w:jc w:val="both"/>
        <w:rPr>
          <w:rFonts w:ascii="ITC Avant Garde" w:eastAsia="Calibri" w:hAnsi="ITC Avant Garde" w:cs="Arial"/>
          <w:color w:val="000000"/>
          <w:lang w:val="es-ES_tradnl" w:eastAsia="es-ES"/>
        </w:rPr>
      </w:pPr>
    </w:p>
    <w:p w14:paraId="042F137F" w14:textId="77777777" w:rsidR="00D14F32" w:rsidRDefault="00D14F32" w:rsidP="00D14F32">
      <w:pPr>
        <w:pStyle w:val="IFTnormal"/>
        <w:rPr>
          <w:lang w:val="es-ES_tradnl" w:eastAsia="es-ES"/>
        </w:rPr>
      </w:pPr>
      <w:r>
        <w:rPr>
          <w:lang w:val="es-ES_tradnl" w:eastAsia="es-ES"/>
        </w:rPr>
        <w:t>La Sección Útil de un ducto quedará determinada por el tamaño de su diámetro interno, según lo establecido en la siguiente tabla</w:t>
      </w:r>
    </w:p>
    <w:p w14:paraId="1D0B9308" w14:textId="77777777" w:rsidR="00D14F32" w:rsidRDefault="00D14F32" w:rsidP="00D14F32">
      <w:pPr>
        <w:spacing w:after="0" w:line="240" w:lineRule="auto"/>
        <w:jc w:val="both"/>
        <w:rPr>
          <w:rFonts w:ascii="ITC Avant Garde" w:eastAsia="Calibri" w:hAnsi="ITC Avant Garde" w:cs="Arial"/>
          <w:color w:val="000000"/>
          <w:lang w:val="es-ES_tradnl" w:eastAsia="es-ES"/>
        </w:rPr>
      </w:pPr>
    </w:p>
    <w:p w14:paraId="60144D9B" w14:textId="77777777" w:rsidR="00D14F32" w:rsidRDefault="00D14F32" w:rsidP="00D14F32">
      <w:pPr>
        <w:spacing w:after="0" w:line="240" w:lineRule="auto"/>
        <w:jc w:val="both"/>
        <w:rPr>
          <w:rFonts w:ascii="ITC Avant Garde" w:eastAsia="Calibri" w:hAnsi="ITC Avant Garde" w:cs="Arial"/>
          <w:color w:val="000000"/>
          <w:lang w:val="es-ES_tradnl" w:eastAsia="es-ES"/>
        </w:rPr>
      </w:pPr>
    </w:p>
    <w:tbl>
      <w:tblPr>
        <w:tblStyle w:val="Tablaconcuadrcula"/>
        <w:tblW w:w="0" w:type="auto"/>
        <w:jc w:val="center"/>
        <w:tblLook w:val="04A0" w:firstRow="1" w:lastRow="0" w:firstColumn="1" w:lastColumn="0" w:noHBand="0" w:noVBand="1"/>
        <w:tblCaption w:val="Tabla de Seccion util de ducto"/>
        <w:tblDescription w:val="Tabla de Seccion util de ducto"/>
      </w:tblPr>
      <w:tblGrid>
        <w:gridCol w:w="1440"/>
        <w:gridCol w:w="1218"/>
        <w:gridCol w:w="1236"/>
        <w:gridCol w:w="1244"/>
        <w:gridCol w:w="1232"/>
      </w:tblGrid>
      <w:tr w:rsidR="00D14F32" w:rsidRPr="008C5140" w14:paraId="49DC3705" w14:textId="77777777" w:rsidTr="00231EBD">
        <w:trPr>
          <w:trHeight w:val="759"/>
          <w:tblHeader/>
          <w:jc w:val="center"/>
        </w:trPr>
        <w:tc>
          <w:tcPr>
            <w:tcW w:w="1440" w:type="dxa"/>
            <w:shd w:val="clear" w:color="auto" w:fill="DBDBDB" w:themeFill="accent3" w:themeFillTint="66"/>
            <w:vAlign w:val="center"/>
          </w:tcPr>
          <w:p w14:paraId="05F219E4" w14:textId="77777777" w:rsidR="00D14F32" w:rsidRPr="00AC30C6" w:rsidRDefault="00D14F32" w:rsidP="00DB14A8">
            <w:pPr>
              <w:jc w:val="both"/>
              <w:rPr>
                <w:rFonts w:ascii="ITC Avant Garde" w:eastAsia="Calibri" w:hAnsi="ITC Avant Garde" w:cs="Arial"/>
                <w:b/>
                <w:color w:val="000000"/>
                <w:sz w:val="18"/>
                <w:szCs w:val="18"/>
                <w:lang w:val="es-ES_tradnl" w:eastAsia="es-ES"/>
              </w:rPr>
            </w:pPr>
            <w:r>
              <w:rPr>
                <w:rFonts w:ascii="ITC Avant Garde" w:eastAsia="Calibri" w:hAnsi="ITC Avant Garde" w:cs="Arial"/>
                <w:b/>
                <w:color w:val="000000"/>
                <w:sz w:val="18"/>
                <w:szCs w:val="18"/>
                <w:lang w:val="es-ES_tradnl" w:eastAsia="es-ES"/>
              </w:rPr>
              <w:t>Diámetro interno de D</w:t>
            </w:r>
            <w:r w:rsidRPr="00AC30C6">
              <w:rPr>
                <w:rFonts w:ascii="ITC Avant Garde" w:eastAsia="Calibri" w:hAnsi="ITC Avant Garde" w:cs="Arial"/>
                <w:b/>
                <w:color w:val="000000"/>
                <w:sz w:val="18"/>
                <w:szCs w:val="18"/>
                <w:lang w:val="es-ES_tradnl" w:eastAsia="es-ES"/>
              </w:rPr>
              <w:t>ucto en mm</w:t>
            </w:r>
          </w:p>
        </w:tc>
        <w:tc>
          <w:tcPr>
            <w:tcW w:w="1218" w:type="dxa"/>
            <w:shd w:val="clear" w:color="auto" w:fill="auto"/>
            <w:vAlign w:val="center"/>
          </w:tcPr>
          <w:p w14:paraId="33D7E67E" w14:textId="77777777" w:rsidR="00D14F32" w:rsidRPr="00AC30C6" w:rsidRDefault="00D14F32" w:rsidP="00DB14A8">
            <w:pPr>
              <w:jc w:val="both"/>
              <w:rPr>
                <w:rFonts w:ascii="ITC Avant Garde" w:eastAsia="Calibri" w:hAnsi="ITC Avant Garde" w:cs="Arial"/>
                <w:b/>
                <w:color w:val="000000"/>
                <w:sz w:val="18"/>
                <w:szCs w:val="18"/>
                <w:lang w:val="es-ES_tradnl" w:eastAsia="es-ES"/>
              </w:rPr>
            </w:pPr>
            <w:r>
              <w:rPr>
                <w:rFonts w:ascii="ITC Avant Garde" w:eastAsia="Calibri" w:hAnsi="ITC Avant Garde" w:cs="Arial"/>
                <w:b/>
                <w:color w:val="000000"/>
                <w:sz w:val="18"/>
                <w:szCs w:val="18"/>
                <w:lang w:val="es-ES_tradnl" w:eastAsia="es-ES"/>
              </w:rPr>
              <w:t>hasta 45.9</w:t>
            </w:r>
            <w:r w:rsidRPr="00AC30C6">
              <w:rPr>
                <w:rFonts w:ascii="ITC Avant Garde" w:eastAsia="Calibri" w:hAnsi="ITC Avant Garde" w:cs="Arial"/>
                <w:b/>
                <w:color w:val="000000"/>
                <w:sz w:val="18"/>
                <w:szCs w:val="18"/>
                <w:lang w:val="es-ES_tradnl" w:eastAsia="es-ES"/>
              </w:rPr>
              <w:t xml:space="preserve"> mm</w:t>
            </w:r>
          </w:p>
        </w:tc>
        <w:tc>
          <w:tcPr>
            <w:tcW w:w="1236" w:type="dxa"/>
            <w:shd w:val="clear" w:color="auto" w:fill="auto"/>
            <w:vAlign w:val="center"/>
          </w:tcPr>
          <w:p w14:paraId="7CB23F1E" w14:textId="77777777" w:rsidR="00D14F32" w:rsidRPr="00AC30C6" w:rsidRDefault="00D14F32" w:rsidP="00DB14A8">
            <w:pPr>
              <w:jc w:val="both"/>
              <w:rPr>
                <w:rFonts w:ascii="ITC Avant Garde" w:eastAsia="Calibri" w:hAnsi="ITC Avant Garde" w:cs="Arial"/>
                <w:b/>
                <w:color w:val="000000"/>
                <w:sz w:val="18"/>
                <w:szCs w:val="18"/>
                <w:lang w:val="es-ES_tradnl" w:eastAsia="es-ES"/>
              </w:rPr>
            </w:pPr>
            <w:r w:rsidRPr="00AC30C6">
              <w:rPr>
                <w:rFonts w:ascii="ITC Avant Garde" w:eastAsia="Calibri" w:hAnsi="ITC Avant Garde" w:cs="Arial"/>
                <w:b/>
                <w:color w:val="000000"/>
                <w:sz w:val="18"/>
                <w:szCs w:val="18"/>
                <w:lang w:val="es-ES_tradnl" w:eastAsia="es-ES"/>
              </w:rPr>
              <w:t xml:space="preserve">De </w:t>
            </w:r>
            <w:r>
              <w:rPr>
                <w:rFonts w:ascii="ITC Avant Garde" w:eastAsia="Calibri" w:hAnsi="ITC Avant Garde" w:cs="Arial"/>
                <w:b/>
                <w:color w:val="000000"/>
                <w:sz w:val="18"/>
                <w:szCs w:val="18"/>
                <w:lang w:val="es-ES_tradnl" w:eastAsia="es-ES"/>
              </w:rPr>
              <w:t>45</w:t>
            </w:r>
            <w:r w:rsidRPr="00AC30C6">
              <w:rPr>
                <w:rFonts w:ascii="ITC Avant Garde" w:eastAsia="Calibri" w:hAnsi="ITC Avant Garde" w:cs="Arial"/>
                <w:b/>
                <w:color w:val="000000"/>
                <w:sz w:val="18"/>
                <w:szCs w:val="18"/>
                <w:lang w:val="es-ES_tradnl" w:eastAsia="es-ES"/>
              </w:rPr>
              <w:t xml:space="preserve"> a 59.9 mm</w:t>
            </w:r>
          </w:p>
        </w:tc>
        <w:tc>
          <w:tcPr>
            <w:tcW w:w="1244" w:type="dxa"/>
            <w:shd w:val="clear" w:color="auto" w:fill="auto"/>
            <w:vAlign w:val="center"/>
          </w:tcPr>
          <w:p w14:paraId="5D2C6FD0" w14:textId="77777777" w:rsidR="00D14F32" w:rsidRPr="00AC30C6" w:rsidRDefault="00D14F32" w:rsidP="00DB14A8">
            <w:pPr>
              <w:jc w:val="both"/>
              <w:rPr>
                <w:rFonts w:ascii="ITC Avant Garde" w:eastAsia="Calibri" w:hAnsi="ITC Avant Garde" w:cs="Arial"/>
                <w:b/>
                <w:color w:val="000000"/>
                <w:sz w:val="18"/>
                <w:szCs w:val="18"/>
                <w:lang w:val="es-ES_tradnl" w:eastAsia="es-ES"/>
              </w:rPr>
            </w:pPr>
            <w:r w:rsidRPr="00AC30C6">
              <w:rPr>
                <w:rFonts w:ascii="ITC Avant Garde" w:eastAsia="Calibri" w:hAnsi="ITC Avant Garde" w:cs="Arial"/>
                <w:b/>
                <w:color w:val="000000"/>
                <w:sz w:val="18"/>
                <w:szCs w:val="18"/>
                <w:lang w:val="es-ES_tradnl" w:eastAsia="es-ES"/>
              </w:rPr>
              <w:t>De 60 a 90 mm</w:t>
            </w:r>
          </w:p>
        </w:tc>
        <w:tc>
          <w:tcPr>
            <w:tcW w:w="1232" w:type="dxa"/>
            <w:shd w:val="clear" w:color="auto" w:fill="auto"/>
            <w:vAlign w:val="center"/>
          </w:tcPr>
          <w:p w14:paraId="0CCA599B" w14:textId="77777777" w:rsidR="00D14F32" w:rsidRPr="00AC30C6" w:rsidRDefault="00D14F32" w:rsidP="00DB14A8">
            <w:pPr>
              <w:jc w:val="both"/>
              <w:rPr>
                <w:rFonts w:ascii="ITC Avant Garde" w:eastAsia="Calibri" w:hAnsi="ITC Avant Garde" w:cs="Arial"/>
                <w:b/>
                <w:color w:val="000000"/>
                <w:sz w:val="18"/>
                <w:szCs w:val="18"/>
                <w:lang w:val="es-ES_tradnl" w:eastAsia="es-ES"/>
              </w:rPr>
            </w:pPr>
            <w:r w:rsidRPr="00AC30C6">
              <w:rPr>
                <w:rFonts w:ascii="ITC Avant Garde" w:eastAsia="Calibri" w:hAnsi="ITC Avant Garde" w:cs="Arial"/>
                <w:b/>
                <w:color w:val="000000"/>
                <w:sz w:val="18"/>
                <w:szCs w:val="18"/>
                <w:lang w:val="es-ES_tradnl" w:eastAsia="es-ES"/>
              </w:rPr>
              <w:t>Mayor a 90 mm</w:t>
            </w:r>
          </w:p>
        </w:tc>
      </w:tr>
      <w:tr w:rsidR="00D14F32" w14:paraId="3B4C05A0" w14:textId="77777777" w:rsidTr="00DB14A8">
        <w:trPr>
          <w:trHeight w:val="1065"/>
          <w:jc w:val="center"/>
        </w:trPr>
        <w:tc>
          <w:tcPr>
            <w:tcW w:w="1440" w:type="dxa"/>
            <w:shd w:val="clear" w:color="auto" w:fill="DBDBDB" w:themeFill="accent3" w:themeFillTint="66"/>
            <w:vAlign w:val="center"/>
          </w:tcPr>
          <w:p w14:paraId="20379EFF" w14:textId="77777777" w:rsidR="00D14F32" w:rsidRPr="00AC30C6" w:rsidRDefault="00D14F32" w:rsidP="00DB14A8">
            <w:pPr>
              <w:jc w:val="center"/>
              <w:rPr>
                <w:rFonts w:ascii="ITC Avant Garde" w:eastAsia="Calibri" w:hAnsi="ITC Avant Garde" w:cs="Arial"/>
                <w:b/>
                <w:color w:val="000000"/>
                <w:sz w:val="18"/>
                <w:szCs w:val="18"/>
                <w:lang w:val="es-ES_tradnl" w:eastAsia="es-ES"/>
              </w:rPr>
            </w:pPr>
            <w:r>
              <w:rPr>
                <w:rFonts w:ascii="ITC Avant Garde" w:eastAsia="Calibri" w:hAnsi="ITC Avant Garde" w:cs="Arial"/>
                <w:b/>
                <w:color w:val="000000"/>
                <w:sz w:val="18"/>
                <w:szCs w:val="18"/>
                <w:lang w:val="es-ES_tradnl" w:eastAsia="es-ES"/>
              </w:rPr>
              <w:t>Porcentaje de Sección Útil</w:t>
            </w:r>
          </w:p>
        </w:tc>
        <w:tc>
          <w:tcPr>
            <w:tcW w:w="1218" w:type="dxa"/>
            <w:vAlign w:val="center"/>
          </w:tcPr>
          <w:p w14:paraId="10DB70DC" w14:textId="77777777" w:rsidR="00D14F32" w:rsidRPr="00AC30C6" w:rsidRDefault="00D14F32" w:rsidP="00DB14A8">
            <w:pPr>
              <w:jc w:val="center"/>
              <w:rPr>
                <w:rFonts w:ascii="ITC Avant Garde" w:eastAsia="Calibri" w:hAnsi="ITC Avant Garde" w:cs="Arial"/>
                <w:color w:val="000000"/>
                <w:sz w:val="18"/>
                <w:szCs w:val="18"/>
                <w:lang w:val="es-ES_tradnl" w:eastAsia="es-ES"/>
              </w:rPr>
            </w:pPr>
            <w:r>
              <w:rPr>
                <w:rFonts w:ascii="ITC Avant Garde" w:eastAsia="Calibri" w:hAnsi="ITC Avant Garde" w:cs="Arial"/>
                <w:color w:val="000000"/>
                <w:sz w:val="18"/>
                <w:szCs w:val="18"/>
                <w:lang w:val="es-ES_tradnl" w:eastAsia="es-ES"/>
              </w:rPr>
              <w:t>45%</w:t>
            </w:r>
          </w:p>
        </w:tc>
        <w:tc>
          <w:tcPr>
            <w:tcW w:w="1236" w:type="dxa"/>
            <w:vAlign w:val="center"/>
          </w:tcPr>
          <w:p w14:paraId="4D8561B1" w14:textId="77777777" w:rsidR="00D14F32" w:rsidRPr="00AC30C6" w:rsidRDefault="00D14F32" w:rsidP="00DB14A8">
            <w:pPr>
              <w:jc w:val="center"/>
              <w:rPr>
                <w:rFonts w:ascii="ITC Avant Garde" w:eastAsia="Calibri" w:hAnsi="ITC Avant Garde" w:cs="Arial"/>
                <w:color w:val="000000"/>
                <w:sz w:val="18"/>
                <w:szCs w:val="18"/>
                <w:lang w:val="es-ES_tradnl" w:eastAsia="es-ES"/>
              </w:rPr>
            </w:pPr>
            <w:r>
              <w:rPr>
                <w:rFonts w:ascii="ITC Avant Garde" w:eastAsia="Calibri" w:hAnsi="ITC Avant Garde" w:cs="Arial"/>
                <w:color w:val="000000"/>
                <w:sz w:val="18"/>
                <w:szCs w:val="18"/>
                <w:lang w:val="es-ES_tradnl" w:eastAsia="es-ES"/>
              </w:rPr>
              <w:t>50%</w:t>
            </w:r>
          </w:p>
        </w:tc>
        <w:tc>
          <w:tcPr>
            <w:tcW w:w="1244" w:type="dxa"/>
            <w:vAlign w:val="center"/>
          </w:tcPr>
          <w:p w14:paraId="11019EDE" w14:textId="77777777" w:rsidR="00D14F32" w:rsidRPr="00AC30C6" w:rsidRDefault="00D14F32" w:rsidP="00DB14A8">
            <w:pPr>
              <w:jc w:val="center"/>
              <w:rPr>
                <w:rFonts w:ascii="ITC Avant Garde" w:eastAsia="Calibri" w:hAnsi="ITC Avant Garde" w:cs="Arial"/>
                <w:color w:val="000000"/>
                <w:sz w:val="18"/>
                <w:szCs w:val="18"/>
                <w:lang w:val="es-ES_tradnl" w:eastAsia="es-ES"/>
              </w:rPr>
            </w:pPr>
            <w:r>
              <w:rPr>
                <w:rFonts w:ascii="ITC Avant Garde" w:eastAsia="Calibri" w:hAnsi="ITC Avant Garde" w:cs="Arial"/>
                <w:color w:val="000000"/>
                <w:sz w:val="18"/>
                <w:szCs w:val="18"/>
                <w:lang w:val="es-ES_tradnl" w:eastAsia="es-ES"/>
              </w:rPr>
              <w:t>60%</w:t>
            </w:r>
          </w:p>
        </w:tc>
        <w:tc>
          <w:tcPr>
            <w:tcW w:w="1232" w:type="dxa"/>
            <w:vAlign w:val="center"/>
          </w:tcPr>
          <w:p w14:paraId="06385CC8" w14:textId="77777777" w:rsidR="00D14F32" w:rsidRPr="00AC30C6" w:rsidRDefault="00D14F32" w:rsidP="00DB14A8">
            <w:pPr>
              <w:jc w:val="center"/>
              <w:rPr>
                <w:rFonts w:ascii="ITC Avant Garde" w:eastAsia="Calibri" w:hAnsi="ITC Avant Garde" w:cs="Arial"/>
                <w:color w:val="000000"/>
                <w:sz w:val="18"/>
                <w:szCs w:val="18"/>
                <w:lang w:val="es-ES_tradnl" w:eastAsia="es-ES"/>
              </w:rPr>
            </w:pPr>
            <w:r>
              <w:rPr>
                <w:rFonts w:ascii="ITC Avant Garde" w:eastAsia="Calibri" w:hAnsi="ITC Avant Garde" w:cs="Arial"/>
                <w:color w:val="000000"/>
                <w:sz w:val="18"/>
                <w:szCs w:val="18"/>
                <w:lang w:val="es-ES_tradnl" w:eastAsia="es-ES"/>
              </w:rPr>
              <w:t>70%</w:t>
            </w:r>
          </w:p>
        </w:tc>
      </w:tr>
    </w:tbl>
    <w:p w14:paraId="6E80A1F7" w14:textId="77777777" w:rsidR="00D14F32" w:rsidRPr="008F491F" w:rsidRDefault="00D14F32" w:rsidP="00D14F32">
      <w:pPr>
        <w:jc w:val="center"/>
        <w:rPr>
          <w:rFonts w:ascii="ITC Avant Garde" w:eastAsia="Calibri" w:hAnsi="ITC Avant Garde" w:cs="Arial"/>
          <w:color w:val="000000"/>
          <w:sz w:val="20"/>
          <w:lang w:val="es-ES_tradnl" w:eastAsia="es-ES"/>
        </w:rPr>
      </w:pPr>
    </w:p>
    <w:p w14:paraId="57D26E93" w14:textId="1CA591BB" w:rsidR="00D14F32" w:rsidRDefault="00D14F32" w:rsidP="00D14F32">
      <w:pPr>
        <w:pStyle w:val="IFTnormal"/>
        <w:rPr>
          <w:lang w:val="es-ES_tradnl" w:eastAsia="es-ES"/>
        </w:rPr>
      </w:pPr>
      <w:r>
        <w:rPr>
          <w:lang w:val="es-ES_tradnl" w:eastAsia="es-ES"/>
        </w:rPr>
        <w:t xml:space="preserve">El área de utilización efectiva de un Ducto principal, o </w:t>
      </w:r>
      <w:r w:rsidR="007A0015">
        <w:rPr>
          <w:lang w:val="es-ES_tradnl" w:eastAsia="es-ES"/>
        </w:rPr>
        <w:t>área ocupada</w:t>
      </w:r>
      <w:r>
        <w:rPr>
          <w:lang w:val="es-ES_tradnl" w:eastAsia="es-ES"/>
        </w:rPr>
        <w:t>, que contiene (n) cables y subductos queda determinada por la siguiente formula:</w:t>
      </w:r>
    </w:p>
    <w:p w14:paraId="3EE8E255" w14:textId="77777777" w:rsidR="00D14F32" w:rsidRDefault="00D14F32" w:rsidP="00D14F32">
      <w:pPr>
        <w:spacing w:before="200" w:line="240" w:lineRule="auto"/>
        <w:contextualSpacing/>
        <w:jc w:val="both"/>
        <w:rPr>
          <w:rFonts w:ascii="ITC Avant Garde" w:eastAsia="Calibri" w:hAnsi="ITC Avant Garde" w:cs="Arial"/>
          <w:color w:val="000000"/>
          <w:lang w:val="es-ES_tradnl" w:eastAsia="es-ES"/>
        </w:rPr>
      </w:pPr>
    </w:p>
    <w:p w14:paraId="073FA40F" w14:textId="268EBAF2" w:rsidR="00D14F32" w:rsidRDefault="007A0015" w:rsidP="00D14F32">
      <w:pPr>
        <w:spacing w:before="200" w:line="240" w:lineRule="auto"/>
        <w:contextualSpacing/>
        <w:jc w:val="both"/>
        <w:rPr>
          <w:rFonts w:ascii="ITC Avant Garde" w:eastAsia="Calibri" w:hAnsi="ITC Avant Garde" w:cs="Arial"/>
          <w:color w:val="000000"/>
          <w:lang w:val="es-ES_tradnl" w:eastAsia="es-ES"/>
        </w:rPr>
      </w:pPr>
      <m:oMathPara>
        <m:oMath>
          <m:r>
            <w:rPr>
              <w:rFonts w:ascii="Cambria Math" w:eastAsia="Calibri" w:hAnsi="Cambria Math" w:cs="Arial"/>
              <w:color w:val="000000"/>
              <w:lang w:val="es-ES_tradnl" w:eastAsia="es-ES"/>
            </w:rPr>
            <m:t>Área Ocupada=π</m:t>
          </m:r>
          <m:sSup>
            <m:sSupPr>
              <m:ctrlPr>
                <w:rPr>
                  <w:rFonts w:ascii="Cambria Math" w:eastAsia="Calibri" w:hAnsi="Cambria Math" w:cs="Arial"/>
                  <w:i/>
                  <w:color w:val="000000"/>
                  <w:lang w:val="es-ES_tradnl" w:eastAsia="es-ES"/>
                </w:rPr>
              </m:ctrlPr>
            </m:sSupPr>
            <m:e>
              <m:d>
                <m:dPr>
                  <m:begChr m:val="["/>
                  <m:endChr m:val="]"/>
                  <m:ctrlPr>
                    <w:rPr>
                      <w:rFonts w:ascii="Cambria Math" w:eastAsia="Calibri" w:hAnsi="Cambria Math" w:cs="Arial"/>
                      <w:i/>
                      <w:color w:val="000000"/>
                      <w:lang w:val="es-ES_tradnl" w:eastAsia="es-ES"/>
                    </w:rPr>
                  </m:ctrlPr>
                </m:dPr>
                <m:e>
                  <m:f>
                    <m:fPr>
                      <m:ctrlPr>
                        <w:rPr>
                          <w:rFonts w:ascii="Cambria Math" w:eastAsia="Calibri" w:hAnsi="Cambria Math" w:cs="Arial"/>
                          <w:i/>
                          <w:color w:val="000000"/>
                          <w:lang w:val="es-ES_tradnl" w:eastAsia="es-ES"/>
                        </w:rPr>
                      </m:ctrlPr>
                    </m:fPr>
                    <m:num>
                      <m:sSup>
                        <m:sSupPr>
                          <m:ctrlPr>
                            <w:rPr>
                              <w:rFonts w:ascii="Cambria Math" w:eastAsia="Calibri" w:hAnsi="Cambria Math" w:cs="Arial"/>
                              <w:i/>
                              <w:color w:val="000000"/>
                              <w:lang w:val="es-ES_tradnl" w:eastAsia="es-ES"/>
                            </w:rPr>
                          </m:ctrlPr>
                        </m:sSupPr>
                        <m:e>
                          <m:d>
                            <m:dPr>
                              <m:ctrlPr>
                                <w:rPr>
                                  <w:rFonts w:ascii="Cambria Math" w:eastAsia="Calibri" w:hAnsi="Cambria Math" w:cs="Arial"/>
                                  <w:i/>
                                  <w:color w:val="000000"/>
                                  <w:lang w:val="es-ES_tradnl" w:eastAsia="es-ES"/>
                                </w:rPr>
                              </m:ctrlPr>
                            </m:dPr>
                            <m:e>
                              <m:nary>
                                <m:naryPr>
                                  <m:chr m:val="∑"/>
                                  <m:limLoc m:val="undOvr"/>
                                  <m:ctrlPr>
                                    <w:rPr>
                                      <w:rFonts w:ascii="Cambria Math" w:eastAsia="Calibri" w:hAnsi="Cambria Math" w:cs="Arial"/>
                                      <w:i/>
                                      <w:color w:val="000000"/>
                                      <w:lang w:val="es-ES_tradnl" w:eastAsia="es-ES"/>
                                    </w:rPr>
                                  </m:ctrlPr>
                                </m:naryPr>
                                <m:sub>
                                  <m:r>
                                    <w:rPr>
                                      <w:rFonts w:ascii="Cambria Math" w:eastAsia="Calibri" w:hAnsi="Cambria Math" w:cs="Arial"/>
                                      <w:color w:val="000000"/>
                                      <w:lang w:val="es-ES_tradnl" w:eastAsia="es-ES"/>
                                    </w:rPr>
                                    <m:t>1</m:t>
                                  </m:r>
                                </m:sub>
                                <m:sup>
                                  <m:r>
                                    <w:rPr>
                                      <w:rFonts w:ascii="Cambria Math" w:eastAsia="Calibri" w:hAnsi="Cambria Math" w:cs="Arial"/>
                                      <w:color w:val="000000"/>
                                      <w:lang w:val="es-ES_tradnl" w:eastAsia="es-ES"/>
                                    </w:rPr>
                                    <m:t>n</m:t>
                                  </m:r>
                                </m:sup>
                                <m:e>
                                  <m:sSubSup>
                                    <m:sSubSupPr>
                                      <m:ctrlPr>
                                        <w:rPr>
                                          <w:rFonts w:ascii="Cambria Math" w:eastAsia="Calibri" w:hAnsi="Cambria Math" w:cs="Arial"/>
                                          <w:i/>
                                          <w:color w:val="000000"/>
                                          <w:lang w:val="es-ES_tradnl" w:eastAsia="es-ES"/>
                                        </w:rPr>
                                      </m:ctrlPr>
                                    </m:sSubSupPr>
                                    <m:e>
                                      <m:r>
                                        <w:rPr>
                                          <w:rFonts w:ascii="Cambria Math" w:eastAsia="Calibri" w:hAnsi="Cambria Math" w:cs="Arial"/>
                                          <w:color w:val="000000"/>
                                          <w:lang w:val="es-ES_tradnl" w:eastAsia="es-ES"/>
                                        </w:rPr>
                                        <m:t>d</m:t>
                                      </m:r>
                                    </m:e>
                                    <m:sub>
                                      <m:r>
                                        <w:rPr>
                                          <w:rFonts w:ascii="Cambria Math" w:eastAsia="Calibri" w:hAnsi="Cambria Math" w:cs="Arial"/>
                                          <w:color w:val="000000"/>
                                          <w:lang w:val="es-ES_tradnl" w:eastAsia="es-ES"/>
                                        </w:rPr>
                                        <m:t>i</m:t>
                                      </m:r>
                                    </m:sub>
                                    <m:sup>
                                      <m:r>
                                        <w:rPr>
                                          <w:rFonts w:ascii="Cambria Math" w:eastAsia="Calibri" w:hAnsi="Cambria Math" w:cs="Arial"/>
                                          <w:color w:val="000000"/>
                                          <w:lang w:val="es-ES_tradnl" w:eastAsia="es-ES"/>
                                        </w:rPr>
                                        <m:t>2</m:t>
                                      </m:r>
                                    </m:sup>
                                  </m:sSubSup>
                                </m:e>
                              </m:nary>
                            </m:e>
                          </m:d>
                        </m:e>
                        <m:sup>
                          <m:r>
                            <w:rPr>
                              <w:rFonts w:ascii="Cambria Math" w:eastAsia="Calibri" w:hAnsi="Cambria Math" w:cs="Arial"/>
                              <w:color w:val="000000"/>
                              <w:lang w:val="es-ES_tradnl" w:eastAsia="es-ES"/>
                            </w:rPr>
                            <m:t>1/2</m:t>
                          </m:r>
                        </m:sup>
                      </m:sSup>
                    </m:num>
                    <m:den>
                      <m:r>
                        <w:rPr>
                          <w:rFonts w:ascii="Cambria Math" w:eastAsia="Calibri" w:hAnsi="Cambria Math" w:cs="Arial"/>
                          <w:color w:val="000000"/>
                          <w:lang w:val="es-ES_tradnl" w:eastAsia="es-ES"/>
                        </w:rPr>
                        <m:t>2</m:t>
                      </m:r>
                    </m:den>
                  </m:f>
                </m:e>
              </m:d>
            </m:e>
            <m:sup>
              <m:r>
                <w:rPr>
                  <w:rFonts w:ascii="Cambria Math" w:eastAsia="Calibri" w:hAnsi="Cambria Math" w:cs="Arial"/>
                  <w:color w:val="000000"/>
                  <w:lang w:val="es-ES_tradnl" w:eastAsia="es-ES"/>
                </w:rPr>
                <m:t>2</m:t>
              </m:r>
            </m:sup>
          </m:sSup>
          <m:r>
            <w:rPr>
              <w:rFonts w:ascii="Cambria Math" w:eastAsia="Calibri" w:hAnsi="Cambria Math" w:cs="Arial"/>
              <w:color w:val="000000"/>
              <w:lang w:val="es-ES_tradnl" w:eastAsia="es-ES"/>
            </w:rPr>
            <m:t>=AO</m:t>
          </m:r>
        </m:oMath>
      </m:oMathPara>
    </w:p>
    <w:p w14:paraId="2F858A5F" w14:textId="77777777" w:rsidR="00D14F32" w:rsidRDefault="00D14F32" w:rsidP="00D14F32">
      <w:pPr>
        <w:spacing w:before="200" w:line="240" w:lineRule="auto"/>
        <w:contextualSpacing/>
        <w:jc w:val="both"/>
        <w:rPr>
          <w:rFonts w:ascii="ITC Avant Garde" w:eastAsia="Calibri" w:hAnsi="ITC Avant Garde" w:cs="Arial"/>
          <w:color w:val="000000"/>
          <w:lang w:val="es-ES_tradnl" w:eastAsia="es-ES"/>
        </w:rPr>
      </w:pPr>
    </w:p>
    <w:p w14:paraId="311A3DD2" w14:textId="77777777" w:rsidR="00D14F32" w:rsidRDefault="00D14F32" w:rsidP="00D14F32">
      <w:pPr>
        <w:spacing w:before="200" w:line="240" w:lineRule="auto"/>
        <w:contextualSpacing/>
        <w:jc w:val="both"/>
        <w:rPr>
          <w:rFonts w:ascii="ITC Avant Garde" w:eastAsia="Calibri" w:hAnsi="ITC Avant Garde" w:cs="Arial"/>
          <w:color w:val="000000"/>
          <w:lang w:val="es-ES_tradnl" w:eastAsia="es-ES"/>
        </w:rPr>
      </w:pPr>
      <w:r>
        <w:rPr>
          <w:rFonts w:ascii="ITC Avant Garde" w:eastAsia="Calibri" w:hAnsi="ITC Avant Garde" w:cs="Arial"/>
          <w:color w:val="000000"/>
          <w:lang w:val="es-ES_tradnl" w:eastAsia="es-ES"/>
        </w:rPr>
        <w:t>Donde:</w:t>
      </w:r>
    </w:p>
    <w:p w14:paraId="56C27CED" w14:textId="77777777" w:rsidR="00D14F32" w:rsidRDefault="00D14F32" w:rsidP="00D14F32">
      <w:pPr>
        <w:spacing w:before="200" w:line="240" w:lineRule="auto"/>
        <w:contextualSpacing/>
        <w:jc w:val="both"/>
        <w:rPr>
          <w:rFonts w:ascii="ITC Avant Garde" w:eastAsia="Calibri" w:hAnsi="ITC Avant Garde" w:cs="Arial"/>
          <w:color w:val="000000"/>
          <w:lang w:val="es-ES_tradnl" w:eastAsia="es-ES"/>
        </w:rPr>
      </w:pPr>
    </w:p>
    <w:p w14:paraId="7E3F6F8E" w14:textId="690312A9" w:rsidR="009425EE" w:rsidRPr="009425EE" w:rsidRDefault="00921E0E" w:rsidP="009425EE">
      <w:pPr>
        <w:pStyle w:val="IFTnormal"/>
        <w:rPr>
          <w:lang w:val="es-ES_tradnl" w:eastAsia="es-ES"/>
        </w:rPr>
      </w:pPr>
      <m:oMath>
        <m:sSub>
          <m:sSubPr>
            <m:ctrlPr>
              <w:rPr>
                <w:rFonts w:ascii="Cambria Math" w:hAnsi="Cambria Math"/>
                <w:i/>
                <w:lang w:val="es-ES_tradnl" w:eastAsia="es-ES"/>
              </w:rPr>
            </m:ctrlPr>
          </m:sSubPr>
          <m:e>
            <m:r>
              <w:rPr>
                <w:rFonts w:ascii="Cambria Math" w:hAnsi="Cambria Math"/>
                <w:lang w:val="es-ES_tradnl" w:eastAsia="es-ES"/>
              </w:rPr>
              <m:t>d</m:t>
            </m:r>
          </m:e>
          <m:sub>
            <m:r>
              <w:rPr>
                <w:rFonts w:ascii="Cambria Math" w:hAnsi="Cambria Math"/>
                <w:lang w:val="es-ES_tradnl" w:eastAsia="es-ES"/>
              </w:rPr>
              <m:t>i</m:t>
            </m:r>
          </m:sub>
        </m:sSub>
      </m:oMath>
      <w:r w:rsidR="00D14F32">
        <w:rPr>
          <w:lang w:val="es-ES_tradnl" w:eastAsia="es-ES"/>
        </w:rPr>
        <w:t>: es el diámetro de cada uno de los cables o subdu</w:t>
      </w:r>
      <w:r w:rsidR="006C11E1">
        <w:rPr>
          <w:lang w:val="es-ES_tradnl" w:eastAsia="es-ES"/>
        </w:rPr>
        <w:t>c</w:t>
      </w:r>
      <w:r w:rsidR="00D14F32">
        <w:rPr>
          <w:lang w:val="es-ES_tradnl" w:eastAsia="es-ES"/>
        </w:rPr>
        <w:t>tos instalados en el Ducto principal.</w:t>
      </w:r>
    </w:p>
    <w:p w14:paraId="4F85F02F" w14:textId="48A40F88" w:rsidR="00D14F32" w:rsidRDefault="00D14F32" w:rsidP="00D14F32">
      <w:pPr>
        <w:pStyle w:val="IFTnormal"/>
        <w:rPr>
          <w:lang w:val="es-ES_tradnl" w:eastAsia="es-ES"/>
        </w:rPr>
      </w:pPr>
      <w:r>
        <w:rPr>
          <w:lang w:val="es-ES_tradnl" w:eastAsia="es-ES"/>
        </w:rPr>
        <w:t xml:space="preserve">Por lo que el porcentaje de </w:t>
      </w:r>
      <w:r w:rsidR="007A0015">
        <w:rPr>
          <w:lang w:val="es-ES_tradnl" w:eastAsia="es-ES"/>
        </w:rPr>
        <w:t>área ocupada</w:t>
      </w:r>
      <w:r>
        <w:rPr>
          <w:lang w:val="es-ES_tradnl" w:eastAsia="es-ES"/>
        </w:rPr>
        <w:t xml:space="preserve"> con respecto al área interna total </w:t>
      </w:r>
      <m:oMath>
        <m:d>
          <m:dPr>
            <m:ctrlPr>
              <w:rPr>
                <w:rFonts w:ascii="Cambria Math" w:hAnsi="Cambria Math"/>
                <w:i/>
                <w:lang w:val="es-ES_tradnl" w:eastAsia="es-ES"/>
              </w:rPr>
            </m:ctrlPr>
          </m:dPr>
          <m:e>
            <m:f>
              <m:fPr>
                <m:ctrlPr>
                  <w:rPr>
                    <w:rFonts w:ascii="Cambria Math" w:hAnsi="Cambria Math"/>
                    <w:i/>
                    <w:lang w:val="es-ES_tradnl" w:eastAsia="es-ES"/>
                  </w:rPr>
                </m:ctrlPr>
              </m:fPr>
              <m:num>
                <m:r>
                  <w:rPr>
                    <w:rFonts w:ascii="Cambria Math" w:hAnsi="Cambria Math"/>
                    <w:lang w:val="es-ES_tradnl" w:eastAsia="es-ES"/>
                  </w:rPr>
                  <m:t>AO</m:t>
                </m:r>
              </m:num>
              <m:den>
                <m:r>
                  <w:rPr>
                    <w:rFonts w:ascii="Cambria Math" w:hAnsi="Cambria Math"/>
                    <w:lang w:val="es-ES_tradnl" w:eastAsia="es-ES"/>
                  </w:rPr>
                  <m:t>AIT</m:t>
                </m:r>
              </m:den>
            </m:f>
          </m:e>
        </m:d>
        <m:r>
          <w:rPr>
            <w:rFonts w:ascii="Cambria Math" w:hAnsi="Cambria Math"/>
            <w:lang w:val="es-ES_tradnl" w:eastAsia="es-ES"/>
          </w:rPr>
          <m:t xml:space="preserve"> </m:t>
        </m:r>
      </m:oMath>
      <w:r>
        <w:rPr>
          <w:lang w:val="es-ES_tradnl" w:eastAsia="es-ES"/>
        </w:rPr>
        <w:t>no deberá exceder el porcentaje de la Sección Útil.</w:t>
      </w:r>
    </w:p>
    <w:p w14:paraId="605C2C5D" w14:textId="77777777" w:rsidR="00D14F32" w:rsidRDefault="00D14F32" w:rsidP="00D14F32">
      <w:pPr>
        <w:pStyle w:val="IFTnormal"/>
        <w:rPr>
          <w:lang w:val="es-ES_tradnl" w:eastAsia="es-ES"/>
        </w:rPr>
      </w:pPr>
      <w:r>
        <w:rPr>
          <w:lang w:val="es-ES_tradnl" w:eastAsia="es-ES"/>
        </w:rPr>
        <w:lastRenderedPageBreak/>
        <w:t xml:space="preserve">Cuando </w:t>
      </w:r>
      <m:oMath>
        <m:d>
          <m:dPr>
            <m:ctrlPr>
              <w:rPr>
                <w:rFonts w:ascii="Cambria Math" w:hAnsi="Cambria Math"/>
                <w:i/>
                <w:lang w:val="es-ES_tradnl" w:eastAsia="es-ES"/>
              </w:rPr>
            </m:ctrlPr>
          </m:dPr>
          <m:e>
            <m:f>
              <m:fPr>
                <m:ctrlPr>
                  <w:rPr>
                    <w:rFonts w:ascii="Cambria Math" w:hAnsi="Cambria Math"/>
                    <w:i/>
                    <w:lang w:val="es-ES_tradnl" w:eastAsia="es-ES"/>
                  </w:rPr>
                </m:ctrlPr>
              </m:fPr>
              <m:num>
                <m:r>
                  <w:rPr>
                    <w:rFonts w:ascii="Cambria Math" w:hAnsi="Cambria Math"/>
                    <w:lang w:val="es-ES_tradnl" w:eastAsia="es-ES"/>
                  </w:rPr>
                  <m:t>EO</m:t>
                </m:r>
              </m:num>
              <m:den>
                <m:r>
                  <w:rPr>
                    <w:rFonts w:ascii="Cambria Math" w:hAnsi="Cambria Math"/>
                    <w:lang w:val="es-ES_tradnl" w:eastAsia="es-ES"/>
                  </w:rPr>
                  <m:t>AIT</m:t>
                </m:r>
              </m:den>
            </m:f>
          </m:e>
        </m:d>
        <m:r>
          <w:rPr>
            <w:rFonts w:ascii="Cambria Math" w:hAnsi="Cambria Math"/>
            <w:lang w:val="es-ES_tradnl" w:eastAsia="es-ES"/>
          </w:rPr>
          <m:t xml:space="preserve">&lt;Sección Útil </m:t>
        </m:r>
      </m:oMath>
      <w:r>
        <w:rPr>
          <w:lang w:val="es-ES_tradnl" w:eastAsia="es-ES"/>
        </w:rPr>
        <w:t xml:space="preserve"> existe capacidad susceptible de utilización en el Ducto.</w:t>
      </w:r>
    </w:p>
    <w:p w14:paraId="4B1EDE33" w14:textId="77777777" w:rsidR="00D14F32" w:rsidRDefault="00D14F32" w:rsidP="00D14F32">
      <w:pPr>
        <w:pStyle w:val="IFTnormal"/>
        <w:rPr>
          <w:lang w:val="es-ES_tradnl" w:eastAsia="es-ES"/>
        </w:rPr>
      </w:pPr>
      <w:r>
        <w:rPr>
          <w:lang w:val="es-ES_tradnl" w:eastAsia="es-ES"/>
        </w:rPr>
        <w:t>Cuando se quieran instalar nuevos cables o subductos en un Ducto principal se deberá calcular el área que utilizarán los (m) cables y/o subductos entrantes, conforme a la fórmula:</w:t>
      </w:r>
    </w:p>
    <w:p w14:paraId="7A3F3260" w14:textId="77777777" w:rsidR="00D14F32" w:rsidRDefault="00D14F32" w:rsidP="00D14F32">
      <w:pPr>
        <w:spacing w:before="200" w:line="240" w:lineRule="auto"/>
        <w:contextualSpacing/>
        <w:jc w:val="both"/>
        <w:rPr>
          <w:rFonts w:ascii="ITC Avant Garde" w:eastAsia="Calibri" w:hAnsi="ITC Avant Garde" w:cs="Arial"/>
          <w:color w:val="000000"/>
          <w:lang w:val="es-ES_tradnl" w:eastAsia="es-ES"/>
        </w:rPr>
      </w:pPr>
      <m:oMathPara>
        <m:oMath>
          <m:r>
            <w:rPr>
              <w:rFonts w:ascii="Cambria Math" w:eastAsia="Calibri" w:hAnsi="Cambria Math" w:cs="Arial"/>
              <w:color w:val="000000"/>
              <w:lang w:val="es-ES_tradnl" w:eastAsia="es-ES"/>
            </w:rPr>
            <m:t>Espacio demandado por entrante=π</m:t>
          </m:r>
          <m:sSup>
            <m:sSupPr>
              <m:ctrlPr>
                <w:rPr>
                  <w:rFonts w:ascii="Cambria Math" w:eastAsia="Calibri" w:hAnsi="Cambria Math" w:cs="Arial"/>
                  <w:i/>
                  <w:color w:val="000000"/>
                  <w:lang w:val="es-ES_tradnl" w:eastAsia="es-ES"/>
                </w:rPr>
              </m:ctrlPr>
            </m:sSupPr>
            <m:e>
              <m:d>
                <m:dPr>
                  <m:begChr m:val="["/>
                  <m:endChr m:val="]"/>
                  <m:ctrlPr>
                    <w:rPr>
                      <w:rFonts w:ascii="Cambria Math" w:eastAsia="Calibri" w:hAnsi="Cambria Math" w:cs="Arial"/>
                      <w:i/>
                      <w:color w:val="000000"/>
                      <w:lang w:val="es-ES_tradnl" w:eastAsia="es-ES"/>
                    </w:rPr>
                  </m:ctrlPr>
                </m:dPr>
                <m:e>
                  <m:f>
                    <m:fPr>
                      <m:ctrlPr>
                        <w:rPr>
                          <w:rFonts w:ascii="Cambria Math" w:eastAsia="Calibri" w:hAnsi="Cambria Math" w:cs="Arial"/>
                          <w:i/>
                          <w:color w:val="000000"/>
                          <w:lang w:val="es-ES_tradnl" w:eastAsia="es-ES"/>
                        </w:rPr>
                      </m:ctrlPr>
                    </m:fPr>
                    <m:num>
                      <m:sSup>
                        <m:sSupPr>
                          <m:ctrlPr>
                            <w:rPr>
                              <w:rFonts w:ascii="Cambria Math" w:eastAsia="Calibri" w:hAnsi="Cambria Math" w:cs="Arial"/>
                              <w:i/>
                              <w:color w:val="000000"/>
                              <w:lang w:val="es-ES_tradnl" w:eastAsia="es-ES"/>
                            </w:rPr>
                          </m:ctrlPr>
                        </m:sSupPr>
                        <m:e>
                          <m:d>
                            <m:dPr>
                              <m:ctrlPr>
                                <w:rPr>
                                  <w:rFonts w:ascii="Cambria Math" w:eastAsia="Calibri" w:hAnsi="Cambria Math" w:cs="Arial"/>
                                  <w:i/>
                                  <w:color w:val="000000"/>
                                  <w:lang w:val="es-ES_tradnl" w:eastAsia="es-ES"/>
                                </w:rPr>
                              </m:ctrlPr>
                            </m:dPr>
                            <m:e>
                              <m:nary>
                                <m:naryPr>
                                  <m:chr m:val="∑"/>
                                  <m:limLoc m:val="undOvr"/>
                                  <m:ctrlPr>
                                    <w:rPr>
                                      <w:rFonts w:ascii="Cambria Math" w:eastAsia="Calibri" w:hAnsi="Cambria Math" w:cs="Arial"/>
                                      <w:i/>
                                      <w:color w:val="000000"/>
                                      <w:lang w:val="es-ES_tradnl" w:eastAsia="es-ES"/>
                                    </w:rPr>
                                  </m:ctrlPr>
                                </m:naryPr>
                                <m:sub>
                                  <m:r>
                                    <w:rPr>
                                      <w:rFonts w:ascii="Cambria Math" w:eastAsia="Calibri" w:hAnsi="Cambria Math" w:cs="Arial"/>
                                      <w:color w:val="000000"/>
                                      <w:lang w:val="es-ES_tradnl" w:eastAsia="es-ES"/>
                                    </w:rPr>
                                    <m:t>1</m:t>
                                  </m:r>
                                </m:sub>
                                <m:sup>
                                  <m:r>
                                    <w:rPr>
                                      <w:rFonts w:ascii="Cambria Math" w:eastAsia="Calibri" w:hAnsi="Cambria Math" w:cs="Arial"/>
                                      <w:color w:val="000000"/>
                                      <w:lang w:val="es-ES_tradnl" w:eastAsia="es-ES"/>
                                    </w:rPr>
                                    <m:t>m</m:t>
                                  </m:r>
                                </m:sup>
                                <m:e>
                                  <m:sSubSup>
                                    <m:sSubSupPr>
                                      <m:ctrlPr>
                                        <w:rPr>
                                          <w:rFonts w:ascii="Cambria Math" w:eastAsia="Calibri" w:hAnsi="Cambria Math" w:cs="Arial"/>
                                          <w:i/>
                                          <w:color w:val="000000"/>
                                          <w:lang w:val="es-ES_tradnl" w:eastAsia="es-ES"/>
                                        </w:rPr>
                                      </m:ctrlPr>
                                    </m:sSubSupPr>
                                    <m:e>
                                      <m:r>
                                        <w:rPr>
                                          <w:rFonts w:ascii="Cambria Math" w:eastAsia="Calibri" w:hAnsi="Cambria Math" w:cs="Arial"/>
                                          <w:color w:val="000000"/>
                                          <w:lang w:val="es-ES_tradnl" w:eastAsia="es-ES"/>
                                        </w:rPr>
                                        <m:t>d</m:t>
                                      </m:r>
                                    </m:e>
                                    <m:sub>
                                      <m:r>
                                        <w:rPr>
                                          <w:rFonts w:ascii="Cambria Math" w:eastAsia="Calibri" w:hAnsi="Cambria Math" w:cs="Arial"/>
                                          <w:color w:val="000000"/>
                                          <w:lang w:val="es-ES_tradnl" w:eastAsia="es-ES"/>
                                        </w:rPr>
                                        <m:t>j</m:t>
                                      </m:r>
                                    </m:sub>
                                    <m:sup>
                                      <m:r>
                                        <w:rPr>
                                          <w:rFonts w:ascii="Cambria Math" w:eastAsia="Calibri" w:hAnsi="Cambria Math" w:cs="Arial"/>
                                          <w:color w:val="000000"/>
                                          <w:lang w:val="es-ES_tradnl" w:eastAsia="es-ES"/>
                                        </w:rPr>
                                        <m:t>2</m:t>
                                      </m:r>
                                    </m:sup>
                                  </m:sSubSup>
                                </m:e>
                              </m:nary>
                            </m:e>
                          </m:d>
                        </m:e>
                        <m:sup>
                          <m:r>
                            <w:rPr>
                              <w:rFonts w:ascii="Cambria Math" w:eastAsia="Calibri" w:hAnsi="Cambria Math" w:cs="Arial"/>
                              <w:color w:val="000000"/>
                              <w:lang w:val="es-ES_tradnl" w:eastAsia="es-ES"/>
                            </w:rPr>
                            <m:t>1/2</m:t>
                          </m:r>
                        </m:sup>
                      </m:sSup>
                    </m:num>
                    <m:den>
                      <m:r>
                        <w:rPr>
                          <w:rFonts w:ascii="Cambria Math" w:eastAsia="Calibri" w:hAnsi="Cambria Math" w:cs="Arial"/>
                          <w:color w:val="000000"/>
                          <w:lang w:val="es-ES_tradnl" w:eastAsia="es-ES"/>
                        </w:rPr>
                        <m:t>2</m:t>
                      </m:r>
                    </m:den>
                  </m:f>
                </m:e>
              </m:d>
            </m:e>
            <m:sup>
              <m:r>
                <w:rPr>
                  <w:rFonts w:ascii="Cambria Math" w:eastAsia="Calibri" w:hAnsi="Cambria Math" w:cs="Arial"/>
                  <w:color w:val="000000"/>
                  <w:lang w:val="es-ES_tradnl" w:eastAsia="es-ES"/>
                </w:rPr>
                <m:t>2</m:t>
              </m:r>
            </m:sup>
          </m:sSup>
          <m:r>
            <w:rPr>
              <w:rFonts w:ascii="Cambria Math" w:eastAsia="Calibri" w:hAnsi="Cambria Math" w:cs="Arial"/>
              <w:color w:val="000000"/>
              <w:lang w:val="es-ES_tradnl" w:eastAsia="es-ES"/>
            </w:rPr>
            <m:t>=EE</m:t>
          </m:r>
        </m:oMath>
      </m:oMathPara>
    </w:p>
    <w:p w14:paraId="657C83A2" w14:textId="77777777" w:rsidR="00D14F32" w:rsidRDefault="00D14F32" w:rsidP="00D14F32">
      <w:pPr>
        <w:spacing w:before="200" w:line="240" w:lineRule="auto"/>
        <w:contextualSpacing/>
        <w:jc w:val="both"/>
        <w:rPr>
          <w:rFonts w:ascii="ITC Avant Garde" w:eastAsia="Calibri" w:hAnsi="ITC Avant Garde" w:cs="Arial"/>
          <w:color w:val="000000"/>
          <w:lang w:val="es-ES_tradnl" w:eastAsia="es-ES"/>
        </w:rPr>
      </w:pPr>
    </w:p>
    <w:p w14:paraId="74D2DA4E" w14:textId="77777777" w:rsidR="00D14F32" w:rsidRDefault="00D14F32" w:rsidP="00D14F32">
      <w:pPr>
        <w:spacing w:before="200" w:line="240" w:lineRule="auto"/>
        <w:contextualSpacing/>
        <w:jc w:val="both"/>
        <w:rPr>
          <w:rFonts w:ascii="ITC Avant Garde" w:eastAsia="Calibri" w:hAnsi="ITC Avant Garde" w:cs="Arial"/>
          <w:color w:val="000000"/>
          <w:lang w:val="es-ES_tradnl" w:eastAsia="es-ES"/>
        </w:rPr>
      </w:pPr>
      <w:r>
        <w:rPr>
          <w:rFonts w:ascii="ITC Avant Garde" w:eastAsia="Calibri" w:hAnsi="ITC Avant Garde" w:cs="Arial"/>
          <w:color w:val="000000"/>
          <w:lang w:val="es-ES_tradnl" w:eastAsia="es-ES"/>
        </w:rPr>
        <w:t>Donde:</w:t>
      </w:r>
    </w:p>
    <w:p w14:paraId="580DD739" w14:textId="77777777" w:rsidR="00D14F32" w:rsidRDefault="00D14F32" w:rsidP="00D14F32">
      <w:pPr>
        <w:spacing w:before="200" w:line="240" w:lineRule="auto"/>
        <w:contextualSpacing/>
        <w:jc w:val="both"/>
        <w:rPr>
          <w:rFonts w:ascii="ITC Avant Garde" w:eastAsia="Calibri" w:hAnsi="ITC Avant Garde" w:cs="Arial"/>
          <w:color w:val="000000"/>
          <w:lang w:val="es-ES_tradnl" w:eastAsia="es-ES"/>
        </w:rPr>
      </w:pPr>
    </w:p>
    <w:p w14:paraId="26068D56" w14:textId="0608562C" w:rsidR="00D14F32" w:rsidRDefault="00921E0E" w:rsidP="00D14F32">
      <w:pPr>
        <w:pStyle w:val="IFTnormal"/>
        <w:rPr>
          <w:lang w:val="es-ES_tradnl" w:eastAsia="es-ES"/>
        </w:rPr>
      </w:pPr>
      <m:oMath>
        <m:sSub>
          <m:sSubPr>
            <m:ctrlPr>
              <w:rPr>
                <w:rFonts w:ascii="Cambria Math" w:hAnsi="Cambria Math"/>
                <w:i/>
                <w:lang w:val="es-ES_tradnl" w:eastAsia="es-ES"/>
              </w:rPr>
            </m:ctrlPr>
          </m:sSubPr>
          <m:e>
            <m:r>
              <w:rPr>
                <w:rFonts w:ascii="Cambria Math" w:hAnsi="Cambria Math"/>
                <w:lang w:val="es-ES_tradnl" w:eastAsia="es-ES"/>
              </w:rPr>
              <m:t>d</m:t>
            </m:r>
          </m:e>
          <m:sub>
            <m:r>
              <w:rPr>
                <w:rFonts w:ascii="Cambria Math" w:hAnsi="Cambria Math"/>
                <w:lang w:val="es-ES_tradnl" w:eastAsia="es-ES"/>
              </w:rPr>
              <m:t>j</m:t>
            </m:r>
          </m:sub>
        </m:sSub>
      </m:oMath>
      <w:r w:rsidR="00D14F32">
        <w:rPr>
          <w:lang w:val="es-ES_tradnl" w:eastAsia="es-ES"/>
        </w:rPr>
        <w:t>: es el diámetro de cada uno de los cables o subdu</w:t>
      </w:r>
      <w:r w:rsidR="007A0015">
        <w:rPr>
          <w:lang w:val="es-ES_tradnl" w:eastAsia="es-ES"/>
        </w:rPr>
        <w:t>c</w:t>
      </w:r>
      <w:r w:rsidR="00D14F32">
        <w:rPr>
          <w:lang w:val="es-ES_tradnl" w:eastAsia="es-ES"/>
        </w:rPr>
        <w:t>tos que se quieren instalar en el Ducto principal.</w:t>
      </w:r>
    </w:p>
    <w:p w14:paraId="6468D7BC" w14:textId="77777777" w:rsidR="00D14F32" w:rsidRDefault="00D14F32" w:rsidP="00D14F32">
      <w:pPr>
        <w:pStyle w:val="IFTnormal"/>
        <w:rPr>
          <w:lang w:val="es-ES_tradnl" w:eastAsia="es-ES"/>
        </w:rPr>
      </w:pPr>
      <w:r>
        <w:rPr>
          <w:lang w:val="es-ES_tradnl" w:eastAsia="es-ES"/>
        </w:rPr>
        <w:t xml:space="preserve">Por lo que Cuando </w:t>
      </w:r>
      <m:oMath>
        <m:d>
          <m:dPr>
            <m:ctrlPr>
              <w:rPr>
                <w:rFonts w:ascii="Cambria Math" w:hAnsi="Cambria Math"/>
                <w:i/>
                <w:lang w:val="es-ES_tradnl" w:eastAsia="es-ES"/>
              </w:rPr>
            </m:ctrlPr>
          </m:dPr>
          <m:e>
            <m:f>
              <m:fPr>
                <m:ctrlPr>
                  <w:rPr>
                    <w:rFonts w:ascii="Cambria Math" w:hAnsi="Cambria Math"/>
                    <w:i/>
                    <w:lang w:val="es-ES_tradnl" w:eastAsia="es-ES"/>
                  </w:rPr>
                </m:ctrlPr>
              </m:fPr>
              <m:num>
                <m:r>
                  <w:rPr>
                    <w:rFonts w:ascii="Cambria Math" w:hAnsi="Cambria Math"/>
                    <w:lang w:val="es-ES_tradnl" w:eastAsia="es-ES"/>
                  </w:rPr>
                  <m:t>EO</m:t>
                </m:r>
              </m:num>
              <m:den>
                <m:r>
                  <w:rPr>
                    <w:rFonts w:ascii="Cambria Math" w:hAnsi="Cambria Math"/>
                    <w:lang w:val="es-ES_tradnl" w:eastAsia="es-ES"/>
                  </w:rPr>
                  <m:t>AIT</m:t>
                </m:r>
              </m:den>
            </m:f>
          </m:e>
        </m:d>
        <m:r>
          <w:rPr>
            <w:rFonts w:ascii="Cambria Math" w:hAnsi="Cambria Math"/>
            <w:lang w:val="es-ES_tradnl" w:eastAsia="es-ES"/>
          </w:rPr>
          <m:t>+</m:t>
        </m:r>
        <m:d>
          <m:dPr>
            <m:ctrlPr>
              <w:rPr>
                <w:rFonts w:ascii="Cambria Math" w:hAnsi="Cambria Math"/>
                <w:i/>
                <w:lang w:val="es-ES_tradnl" w:eastAsia="es-ES"/>
              </w:rPr>
            </m:ctrlPr>
          </m:dPr>
          <m:e>
            <m:f>
              <m:fPr>
                <m:ctrlPr>
                  <w:rPr>
                    <w:rFonts w:ascii="Cambria Math" w:hAnsi="Cambria Math"/>
                    <w:i/>
                    <w:lang w:val="es-ES_tradnl" w:eastAsia="es-ES"/>
                  </w:rPr>
                </m:ctrlPr>
              </m:fPr>
              <m:num>
                <m:r>
                  <w:rPr>
                    <w:rFonts w:ascii="Cambria Math" w:hAnsi="Cambria Math"/>
                    <w:lang w:val="es-ES_tradnl" w:eastAsia="es-ES"/>
                  </w:rPr>
                  <m:t>EE</m:t>
                </m:r>
              </m:num>
              <m:den>
                <m:r>
                  <w:rPr>
                    <w:rFonts w:ascii="Cambria Math" w:hAnsi="Cambria Math"/>
                    <w:lang w:val="es-ES_tradnl" w:eastAsia="es-ES"/>
                  </w:rPr>
                  <m:t>AIT</m:t>
                </m:r>
              </m:den>
            </m:f>
          </m:e>
        </m:d>
        <m:r>
          <w:rPr>
            <w:rFonts w:ascii="Cambria Math" w:hAnsi="Cambria Math"/>
            <w:lang w:val="es-ES_tradnl" w:eastAsia="es-ES"/>
          </w:rPr>
          <m:t xml:space="preserve">&lt;Sección Útil </m:t>
        </m:r>
      </m:oMath>
      <w:r>
        <w:rPr>
          <w:lang w:val="es-ES_tradnl" w:eastAsia="es-ES"/>
        </w:rPr>
        <w:t xml:space="preserve"> es factible la Instalación de los nuevos cables y/o subductos.</w:t>
      </w:r>
    </w:p>
    <w:p w14:paraId="252929AE" w14:textId="40427831" w:rsidR="00D14F32" w:rsidRPr="0010103B" w:rsidRDefault="00D14F32" w:rsidP="00D14F32">
      <w:pPr>
        <w:pStyle w:val="IFTnormal"/>
        <w:rPr>
          <w:lang w:val="es-ES_tradnl" w:eastAsia="es-ES"/>
        </w:rPr>
      </w:pPr>
      <w:r>
        <w:rPr>
          <w:lang w:val="es-ES_tradnl" w:eastAsia="es-ES"/>
        </w:rPr>
        <w:t xml:space="preserve">Y </w:t>
      </w:r>
      <w:r w:rsidR="00BA7C8D">
        <w:rPr>
          <w:lang w:val="es-ES_tradnl" w:eastAsia="es-ES"/>
        </w:rPr>
        <w:t>cuando</w:t>
      </w:r>
      <w:r>
        <w:rPr>
          <w:lang w:val="es-ES_tradnl" w:eastAsia="es-ES"/>
        </w:rPr>
        <w:t xml:space="preserve"> </w:t>
      </w:r>
      <m:oMath>
        <m:d>
          <m:dPr>
            <m:ctrlPr>
              <w:rPr>
                <w:rFonts w:ascii="Cambria Math" w:hAnsi="Cambria Math"/>
                <w:i/>
                <w:lang w:val="es-ES_tradnl" w:eastAsia="es-ES"/>
              </w:rPr>
            </m:ctrlPr>
          </m:dPr>
          <m:e>
            <m:f>
              <m:fPr>
                <m:ctrlPr>
                  <w:rPr>
                    <w:rFonts w:ascii="Cambria Math" w:hAnsi="Cambria Math"/>
                    <w:i/>
                    <w:lang w:val="es-ES_tradnl" w:eastAsia="es-ES"/>
                  </w:rPr>
                </m:ctrlPr>
              </m:fPr>
              <m:num>
                <m:r>
                  <w:rPr>
                    <w:rFonts w:ascii="Cambria Math" w:hAnsi="Cambria Math"/>
                    <w:lang w:val="es-ES_tradnl" w:eastAsia="es-ES"/>
                  </w:rPr>
                  <m:t>EO</m:t>
                </m:r>
              </m:num>
              <m:den>
                <m:r>
                  <w:rPr>
                    <w:rFonts w:ascii="Cambria Math" w:hAnsi="Cambria Math"/>
                    <w:lang w:val="es-ES_tradnl" w:eastAsia="es-ES"/>
                  </w:rPr>
                  <m:t>AIT</m:t>
                </m:r>
              </m:den>
            </m:f>
          </m:e>
        </m:d>
        <m:r>
          <w:rPr>
            <w:rFonts w:ascii="Cambria Math" w:hAnsi="Cambria Math"/>
            <w:lang w:val="es-ES_tradnl" w:eastAsia="es-ES"/>
          </w:rPr>
          <m:t>+</m:t>
        </m:r>
        <m:d>
          <m:dPr>
            <m:ctrlPr>
              <w:rPr>
                <w:rFonts w:ascii="Cambria Math" w:hAnsi="Cambria Math"/>
                <w:i/>
                <w:lang w:val="es-ES_tradnl" w:eastAsia="es-ES"/>
              </w:rPr>
            </m:ctrlPr>
          </m:dPr>
          <m:e>
            <m:f>
              <m:fPr>
                <m:ctrlPr>
                  <w:rPr>
                    <w:rFonts w:ascii="Cambria Math" w:hAnsi="Cambria Math"/>
                    <w:i/>
                    <w:lang w:val="es-ES_tradnl" w:eastAsia="es-ES"/>
                  </w:rPr>
                </m:ctrlPr>
              </m:fPr>
              <m:num>
                <m:r>
                  <w:rPr>
                    <w:rFonts w:ascii="Cambria Math" w:hAnsi="Cambria Math"/>
                    <w:lang w:val="es-ES_tradnl" w:eastAsia="es-ES"/>
                  </w:rPr>
                  <m:t>EE</m:t>
                </m:r>
              </m:num>
              <m:den>
                <m:r>
                  <w:rPr>
                    <w:rFonts w:ascii="Cambria Math" w:hAnsi="Cambria Math"/>
                    <w:lang w:val="es-ES_tradnl" w:eastAsia="es-ES"/>
                  </w:rPr>
                  <m:t>AIT</m:t>
                </m:r>
              </m:den>
            </m:f>
          </m:e>
        </m:d>
        <m:r>
          <w:rPr>
            <w:rFonts w:ascii="Cambria Math" w:hAnsi="Cambria Math"/>
            <w:lang w:val="es-ES_tradnl" w:eastAsia="es-ES"/>
          </w:rPr>
          <m:t xml:space="preserve">&gt;Sección Útil </m:t>
        </m:r>
      </m:oMath>
      <w:r>
        <w:rPr>
          <w:lang w:val="es-ES_tradnl" w:eastAsia="es-ES"/>
        </w:rPr>
        <w:t xml:space="preserve"> no hay capacidad suficiente para la instalación de los nuevos cables y/o subductos.</w:t>
      </w:r>
    </w:p>
    <w:p w14:paraId="1C162283" w14:textId="452DC11E" w:rsidR="00DA3AC9" w:rsidRDefault="00DA3AC9" w:rsidP="00DA3AC9">
      <w:pPr>
        <w:pStyle w:val="IFTnormal"/>
        <w:rPr>
          <w:lang w:val="es-ES_tradnl" w:eastAsia="es-ES"/>
        </w:rPr>
      </w:pPr>
      <w:r>
        <w:rPr>
          <w:lang w:val="es-ES_tradnl" w:eastAsia="es-ES"/>
        </w:rPr>
        <w:t xml:space="preserve">En caso </w:t>
      </w:r>
      <w:r w:rsidRPr="008772DE">
        <w:rPr>
          <w:lang w:val="es-ES_tradnl" w:eastAsia="es-ES"/>
        </w:rPr>
        <w:t xml:space="preserve">de que los elementos no cuenten con </w:t>
      </w:r>
      <w:r w:rsidR="009425EE">
        <w:rPr>
          <w:lang w:val="es-ES_tradnl" w:eastAsia="es-ES"/>
        </w:rPr>
        <w:t>capacidad susceptible de utilización</w:t>
      </w:r>
      <w:r w:rsidR="009425EE" w:rsidRPr="008772DE">
        <w:rPr>
          <w:lang w:val="es-ES_tradnl" w:eastAsia="es-ES"/>
        </w:rPr>
        <w:t xml:space="preserve"> </w:t>
      </w:r>
      <w:r w:rsidRPr="008772DE">
        <w:rPr>
          <w:lang w:val="es-ES_tradnl" w:eastAsia="es-ES"/>
        </w:rPr>
        <w:t>para la colocación de infraestructura del Solicitante de Acceso</w:t>
      </w:r>
      <w:r w:rsidR="00BA7C8D">
        <w:rPr>
          <w:lang w:val="es-ES_tradnl" w:eastAsia="es-ES"/>
        </w:rPr>
        <w:t>,</w:t>
      </w:r>
      <w:r>
        <w:rPr>
          <w:lang w:val="es-ES_tradnl" w:eastAsia="es-ES"/>
        </w:rPr>
        <w:t xml:space="preserve"> se podrán realizar adecuaciones a dicha infraestructura. Dentro de las adecuaciones se </w:t>
      </w:r>
      <w:r w:rsidRPr="004E0EA0">
        <w:rPr>
          <w:lang w:val="es-ES_tradnl" w:eastAsia="es-ES"/>
        </w:rPr>
        <w:t xml:space="preserve">deberá considerar la recuperación de espacios como una vía </w:t>
      </w:r>
      <w:r>
        <w:rPr>
          <w:lang w:val="es-ES_tradnl" w:eastAsia="es-ES"/>
        </w:rPr>
        <w:t>para</w:t>
      </w:r>
      <w:r w:rsidRPr="004E0EA0">
        <w:rPr>
          <w:lang w:val="es-ES_tradnl" w:eastAsia="es-ES"/>
        </w:rPr>
        <w:t xml:space="preserve"> incrementar </w:t>
      </w:r>
      <w:r w:rsidR="000F196B">
        <w:rPr>
          <w:lang w:val="es-ES_tradnl" w:eastAsia="es-ES"/>
        </w:rPr>
        <w:t>el espacio utilizable</w:t>
      </w:r>
      <w:r w:rsidRPr="004E0EA0">
        <w:rPr>
          <w:lang w:val="es-ES_tradnl" w:eastAsia="es-ES"/>
        </w:rPr>
        <w:t xml:space="preserve"> de los elementos de infraestructura existentes.</w:t>
      </w:r>
      <w:r>
        <w:rPr>
          <w:lang w:val="es-ES_tradnl" w:eastAsia="es-ES"/>
        </w:rPr>
        <w:t xml:space="preserve"> </w:t>
      </w:r>
    </w:p>
    <w:p w14:paraId="1836C10D" w14:textId="3260E675" w:rsidR="00DA3AC9" w:rsidRDefault="00DA3AC9" w:rsidP="00DA3AC9">
      <w:pPr>
        <w:pStyle w:val="IFTnormal"/>
        <w:rPr>
          <w:lang w:val="es-ES_tradnl" w:eastAsia="es-ES"/>
        </w:rPr>
      </w:pPr>
      <w:r>
        <w:rPr>
          <w:lang w:val="es-ES_tradnl" w:eastAsia="es-ES"/>
        </w:rPr>
        <w:t xml:space="preserve">Por lo anterior </w:t>
      </w:r>
      <w:r w:rsidRPr="00A50688">
        <w:rPr>
          <w:lang w:val="es-ES_tradnl" w:eastAsia="es-ES"/>
        </w:rPr>
        <w:t>se pueden considerar soluciones como el uso de sub</w:t>
      </w:r>
      <w:r w:rsidR="00E13AA8">
        <w:rPr>
          <w:lang w:val="es-ES_tradnl" w:eastAsia="es-ES"/>
        </w:rPr>
        <w:t>d</w:t>
      </w:r>
      <w:r>
        <w:rPr>
          <w:lang w:val="es-ES_tradnl" w:eastAsia="es-ES"/>
        </w:rPr>
        <w:t>uctos dentro de un Ducto principal. Esta técnica consiste en introducir dentro del Ducto principal Duc</w:t>
      </w:r>
      <w:r w:rsidR="00E13AA8">
        <w:rPr>
          <w:lang w:val="es-ES_tradnl" w:eastAsia="es-ES"/>
        </w:rPr>
        <w:t>tos de menores dimensiones (subd</w:t>
      </w:r>
      <w:r>
        <w:rPr>
          <w:lang w:val="es-ES_tradnl" w:eastAsia="es-ES"/>
        </w:rPr>
        <w:t>uctos) con el objetivo de poder distinguir o separar el cableado de diferentes servicios o conces</w:t>
      </w:r>
      <w:r w:rsidR="00E13AA8">
        <w:rPr>
          <w:lang w:val="es-ES_tradnl" w:eastAsia="es-ES"/>
        </w:rPr>
        <w:t>ionarios, así como destinar subd</w:t>
      </w:r>
      <w:r>
        <w:rPr>
          <w:lang w:val="es-ES_tradnl" w:eastAsia="es-ES"/>
        </w:rPr>
        <w:t>uctos para mantenimiento.</w:t>
      </w:r>
    </w:p>
    <w:p w14:paraId="0798D1D0" w14:textId="77777777" w:rsidR="00DA3AC9" w:rsidRDefault="00DA3AC9" w:rsidP="00DA3AC9">
      <w:pPr>
        <w:jc w:val="both"/>
        <w:rPr>
          <w:rFonts w:ascii="ITC Avant Garde" w:eastAsia="Calibri" w:hAnsi="ITC Avant Garde" w:cs="Arial"/>
          <w:color w:val="000000"/>
          <w:lang w:val="es-ES_tradnl" w:eastAsia="es-ES"/>
        </w:rPr>
      </w:pPr>
    </w:p>
    <w:p w14:paraId="0CB5D3FC" w14:textId="77777777" w:rsidR="00DA3AC9" w:rsidRDefault="00DA3AC9" w:rsidP="00DA3AC9">
      <w:pPr>
        <w:jc w:val="both"/>
        <w:rPr>
          <w:rFonts w:ascii="ITC Avant Garde" w:eastAsia="Calibri" w:hAnsi="ITC Avant Garde" w:cs="Arial"/>
          <w:color w:val="000000"/>
          <w:lang w:val="es-ES_tradnl" w:eastAsia="es-ES"/>
        </w:rPr>
      </w:pPr>
    </w:p>
    <w:p w14:paraId="36921F99" w14:textId="77777777" w:rsidR="00DA3AC9" w:rsidRDefault="00DA3AC9" w:rsidP="00DA3AC9">
      <w:pPr>
        <w:jc w:val="both"/>
        <w:rPr>
          <w:rFonts w:ascii="ITC Avant Garde" w:eastAsia="Calibri" w:hAnsi="ITC Avant Garde" w:cs="Arial"/>
          <w:color w:val="000000"/>
          <w:lang w:val="es-ES_tradnl" w:eastAsia="es-ES"/>
        </w:rPr>
      </w:pPr>
      <w:r>
        <w:rPr>
          <w:rFonts w:ascii="ITC Avant Garde" w:eastAsia="Calibri" w:hAnsi="ITC Avant Garde" w:cs="Arial"/>
          <w:noProof/>
          <w:color w:val="000000"/>
          <w:lang w:eastAsia="es-MX"/>
        </w:rPr>
        <w:lastRenderedPageBreak/>
        <w:drawing>
          <wp:inline distT="0" distB="0" distL="0" distR="0" wp14:anchorId="191F91AC" wp14:editId="6E6AF286">
            <wp:extent cx="5773420" cy="2145665"/>
            <wp:effectExtent l="0" t="0" r="0" b="6985"/>
            <wp:docPr id="19" name="Imagen 19" descr="Figura 8" title="Figu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3420" cy="2145665"/>
                    </a:xfrm>
                    <a:prstGeom prst="rect">
                      <a:avLst/>
                    </a:prstGeom>
                    <a:noFill/>
                  </pic:spPr>
                </pic:pic>
              </a:graphicData>
            </a:graphic>
          </wp:inline>
        </w:drawing>
      </w:r>
    </w:p>
    <w:p w14:paraId="1ED2FB23" w14:textId="77777777" w:rsidR="00DA3AC9" w:rsidRPr="00AD66EE" w:rsidRDefault="00DA3AC9" w:rsidP="00DA3AC9">
      <w:pPr>
        <w:jc w:val="center"/>
        <w:rPr>
          <w:rFonts w:ascii="ITC Avant Garde" w:eastAsia="Calibri" w:hAnsi="ITC Avant Garde" w:cs="Arial"/>
          <w:color w:val="000000"/>
          <w:sz w:val="18"/>
          <w:lang w:val="es-ES_tradnl" w:eastAsia="es-ES"/>
        </w:rPr>
      </w:pPr>
      <w:r w:rsidRPr="00AD66EE">
        <w:rPr>
          <w:rFonts w:ascii="ITC Avant Garde" w:eastAsia="Calibri" w:hAnsi="ITC Avant Garde" w:cs="Arial"/>
          <w:color w:val="000000"/>
          <w:sz w:val="18"/>
          <w:lang w:val="es-ES_tradnl" w:eastAsia="es-ES"/>
        </w:rPr>
        <w:t xml:space="preserve">Figura </w:t>
      </w:r>
      <w:r>
        <w:rPr>
          <w:rFonts w:ascii="ITC Avant Garde" w:eastAsia="Calibri" w:hAnsi="ITC Avant Garde" w:cs="Arial"/>
          <w:color w:val="000000"/>
          <w:sz w:val="18"/>
          <w:lang w:val="es-ES_tradnl" w:eastAsia="es-ES"/>
        </w:rPr>
        <w:t>8</w:t>
      </w:r>
      <w:r w:rsidRPr="00AD66EE">
        <w:rPr>
          <w:rFonts w:ascii="ITC Avant Garde" w:eastAsia="Calibri" w:hAnsi="ITC Avant Garde" w:cs="Arial"/>
          <w:color w:val="000000"/>
          <w:sz w:val="18"/>
          <w:lang w:val="es-ES_tradnl" w:eastAsia="es-ES"/>
        </w:rPr>
        <w:t>. Ejemplos de sub</w:t>
      </w:r>
      <w:r>
        <w:rPr>
          <w:rFonts w:ascii="ITC Avant Garde" w:eastAsia="Calibri" w:hAnsi="ITC Avant Garde" w:cs="Arial"/>
          <w:color w:val="000000"/>
          <w:sz w:val="18"/>
          <w:lang w:val="es-ES_tradnl" w:eastAsia="es-ES"/>
        </w:rPr>
        <w:t>ducto</w:t>
      </w:r>
      <w:r w:rsidRPr="00AD66EE">
        <w:rPr>
          <w:rFonts w:ascii="ITC Avant Garde" w:eastAsia="Calibri" w:hAnsi="ITC Avant Garde" w:cs="Arial"/>
          <w:color w:val="000000"/>
          <w:sz w:val="18"/>
          <w:lang w:val="es-ES_tradnl" w:eastAsia="es-ES"/>
        </w:rPr>
        <w:t xml:space="preserve">s en </w:t>
      </w:r>
      <w:r>
        <w:rPr>
          <w:rFonts w:ascii="ITC Avant Garde" w:eastAsia="Calibri" w:hAnsi="ITC Avant Garde" w:cs="Arial"/>
          <w:color w:val="000000"/>
          <w:sz w:val="18"/>
          <w:lang w:val="es-ES_tradnl" w:eastAsia="es-ES"/>
        </w:rPr>
        <w:t>Ducto</w:t>
      </w:r>
      <w:r w:rsidRPr="00AD66EE">
        <w:rPr>
          <w:rFonts w:ascii="ITC Avant Garde" w:eastAsia="Calibri" w:hAnsi="ITC Avant Garde" w:cs="Arial"/>
          <w:color w:val="000000"/>
          <w:sz w:val="18"/>
          <w:lang w:val="es-ES_tradnl" w:eastAsia="es-ES"/>
        </w:rPr>
        <w:t xml:space="preserve"> principal con cables existentes</w:t>
      </w:r>
    </w:p>
    <w:p w14:paraId="1EF93D4B" w14:textId="30F5136C" w:rsidR="00DA3AC9" w:rsidRDefault="00DA3AC9" w:rsidP="00DA3AC9">
      <w:pPr>
        <w:pStyle w:val="IFTnormal"/>
        <w:rPr>
          <w:lang w:val="es-ES_tradnl" w:eastAsia="es-ES"/>
        </w:rPr>
      </w:pPr>
      <w:r>
        <w:rPr>
          <w:lang w:val="es-ES_tradnl" w:eastAsia="es-ES"/>
        </w:rPr>
        <w:t xml:space="preserve">Otra técnica que puede ser considerada para </w:t>
      </w:r>
      <w:r w:rsidR="000F196B">
        <w:rPr>
          <w:lang w:val="es-ES_tradnl" w:eastAsia="es-ES"/>
        </w:rPr>
        <w:t>un</w:t>
      </w:r>
      <w:r>
        <w:rPr>
          <w:lang w:val="es-ES_tradnl" w:eastAsia="es-ES"/>
        </w:rPr>
        <w:t xml:space="preserve"> uso eficiente de los Ductos es la utilización de malla flexible de tela para separar los cables y distinguir los diferentes servicios o concesionarios. Dicha técnica optimiza el aprovechamiento de espacio en Ductos y reduce la saturación.</w:t>
      </w:r>
    </w:p>
    <w:p w14:paraId="5AB115F9" w14:textId="77777777" w:rsidR="00DA3AC9" w:rsidRPr="00A50688" w:rsidRDefault="00DA3AC9" w:rsidP="00DA3AC9">
      <w:pPr>
        <w:jc w:val="both"/>
        <w:rPr>
          <w:rFonts w:ascii="ITC Avant Garde" w:eastAsia="Calibri" w:hAnsi="ITC Avant Garde" w:cs="Arial"/>
          <w:color w:val="000000"/>
          <w:lang w:val="es-ES_tradnl" w:eastAsia="es-ES"/>
        </w:rPr>
      </w:pPr>
    </w:p>
    <w:p w14:paraId="56A4E658" w14:textId="77777777" w:rsidR="00DA3AC9" w:rsidRDefault="00DA3AC9" w:rsidP="00DA3AC9">
      <w:pPr>
        <w:jc w:val="center"/>
        <w:rPr>
          <w:noProof/>
          <w:lang w:eastAsia="es-MX"/>
        </w:rPr>
      </w:pPr>
    </w:p>
    <w:p w14:paraId="0F25A599" w14:textId="77777777" w:rsidR="00DA3AC9" w:rsidRDefault="00DA3AC9" w:rsidP="00DA3AC9">
      <w:pPr>
        <w:jc w:val="center"/>
      </w:pPr>
      <w:r>
        <w:rPr>
          <w:noProof/>
          <w:lang w:eastAsia="es-MX"/>
        </w:rPr>
        <w:drawing>
          <wp:inline distT="0" distB="0" distL="0" distR="0" wp14:anchorId="6775A054" wp14:editId="64A8F9A4">
            <wp:extent cx="3286125" cy="2097405"/>
            <wp:effectExtent l="0" t="0" r="0" b="0"/>
            <wp:docPr id="20" name="Imagen 20" descr="Figura 9" title="Figu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86125" cy="2097405"/>
                    </a:xfrm>
                    <a:prstGeom prst="rect">
                      <a:avLst/>
                    </a:prstGeom>
                    <a:noFill/>
                  </pic:spPr>
                </pic:pic>
              </a:graphicData>
            </a:graphic>
          </wp:inline>
        </w:drawing>
      </w:r>
    </w:p>
    <w:p w14:paraId="324E9A14" w14:textId="77777777" w:rsidR="00DA3AC9" w:rsidRPr="009308FE" w:rsidRDefault="00DA3AC9" w:rsidP="00DA3AC9">
      <w:pPr>
        <w:jc w:val="center"/>
        <w:rPr>
          <w:rFonts w:ascii="ITC Avant Garde" w:eastAsia="Calibri" w:hAnsi="ITC Avant Garde" w:cs="Arial"/>
          <w:color w:val="000000"/>
          <w:sz w:val="18"/>
          <w:lang w:val="es-ES_tradnl" w:eastAsia="es-ES"/>
        </w:rPr>
      </w:pPr>
      <w:r w:rsidRPr="009308FE">
        <w:rPr>
          <w:rFonts w:ascii="ITC Avant Garde" w:eastAsia="Calibri" w:hAnsi="ITC Avant Garde" w:cs="Arial"/>
          <w:color w:val="000000"/>
          <w:sz w:val="18"/>
          <w:lang w:val="es-ES_tradnl" w:eastAsia="es-ES"/>
        </w:rPr>
        <w:t xml:space="preserve">Figura </w:t>
      </w:r>
      <w:r>
        <w:rPr>
          <w:rFonts w:ascii="ITC Avant Garde" w:eastAsia="Calibri" w:hAnsi="ITC Avant Garde" w:cs="Arial"/>
          <w:color w:val="000000"/>
          <w:sz w:val="18"/>
          <w:lang w:val="es-ES_tradnl" w:eastAsia="es-ES"/>
        </w:rPr>
        <w:t>9</w:t>
      </w:r>
      <w:r w:rsidRPr="009308FE">
        <w:rPr>
          <w:rFonts w:ascii="ITC Avant Garde" w:eastAsia="Calibri" w:hAnsi="ITC Avant Garde" w:cs="Arial"/>
          <w:color w:val="000000"/>
          <w:sz w:val="18"/>
          <w:lang w:val="es-ES_tradnl" w:eastAsia="es-ES"/>
        </w:rPr>
        <w:t>. Uso de malla flexible</w:t>
      </w:r>
    </w:p>
    <w:p w14:paraId="0C79AD49" w14:textId="77777777" w:rsidR="00DA3AC9" w:rsidRDefault="00DA3AC9" w:rsidP="00DA3AC9">
      <w:pPr>
        <w:spacing w:after="0" w:line="240" w:lineRule="auto"/>
        <w:jc w:val="both"/>
        <w:rPr>
          <w:rFonts w:ascii="ITC Avant Garde" w:eastAsia="Calibri" w:hAnsi="ITC Avant Garde" w:cs="Arial"/>
          <w:color w:val="000000"/>
          <w:lang w:val="es-ES_tradnl" w:eastAsia="es-ES"/>
        </w:rPr>
      </w:pPr>
      <w:r>
        <w:rPr>
          <w:rFonts w:ascii="ITC Avant Garde" w:eastAsia="Calibri" w:hAnsi="ITC Avant Garde" w:cs="Arial"/>
          <w:color w:val="000000"/>
          <w:lang w:val="es-ES_tradnl" w:eastAsia="es-ES"/>
        </w:rPr>
        <w:tab/>
      </w:r>
    </w:p>
    <w:p w14:paraId="32F98FF4" w14:textId="2C56B3E2" w:rsidR="00DA3AC9" w:rsidRDefault="00DA3AC9" w:rsidP="00DA3AC9">
      <w:pPr>
        <w:pStyle w:val="IFTnormal"/>
        <w:rPr>
          <w:lang w:val="es-ES_tradnl" w:eastAsia="es-ES"/>
        </w:rPr>
      </w:pPr>
      <w:r>
        <w:rPr>
          <w:lang w:val="es-ES_tradnl" w:eastAsia="es-ES"/>
        </w:rPr>
        <w:t>L</w:t>
      </w:r>
      <w:r w:rsidRPr="002C1C27">
        <w:rPr>
          <w:lang w:val="es-ES_tradnl" w:eastAsia="es-ES"/>
        </w:rPr>
        <w:t xml:space="preserve">as técnicas antes mencionadas son </w:t>
      </w:r>
      <w:r w:rsidR="00BA7C8D">
        <w:rPr>
          <w:lang w:val="es-ES_tradnl" w:eastAsia="es-ES"/>
        </w:rPr>
        <w:t>ilustrativas</w:t>
      </w:r>
      <w:r w:rsidRPr="002C1C27">
        <w:rPr>
          <w:lang w:val="es-ES_tradnl" w:eastAsia="es-ES"/>
        </w:rPr>
        <w:t xml:space="preserve"> más no </w:t>
      </w:r>
      <w:r w:rsidR="00BA7C8D">
        <w:rPr>
          <w:lang w:val="es-ES_tradnl" w:eastAsia="es-ES"/>
        </w:rPr>
        <w:t>restringen la aplicación de otras</w:t>
      </w:r>
      <w:r w:rsidR="00BA7C8D" w:rsidRPr="002C1C27">
        <w:rPr>
          <w:lang w:val="es-ES_tradnl" w:eastAsia="es-ES"/>
        </w:rPr>
        <w:t xml:space="preserve"> </w:t>
      </w:r>
      <w:r w:rsidR="00BA7C8D">
        <w:rPr>
          <w:lang w:val="es-ES_tradnl" w:eastAsia="es-ES"/>
        </w:rPr>
        <w:t>por lo que siempre se</w:t>
      </w:r>
      <w:r w:rsidRPr="002C1C27">
        <w:rPr>
          <w:lang w:val="es-ES_tradnl" w:eastAsia="es-ES"/>
        </w:rPr>
        <w:t xml:space="preserve"> deberán de contemplar </w:t>
      </w:r>
      <w:r>
        <w:rPr>
          <w:lang w:val="es-ES_tradnl" w:eastAsia="es-ES"/>
        </w:rPr>
        <w:t>las mejores técnicas aplicables</w:t>
      </w:r>
      <w:r w:rsidRPr="002C1C27">
        <w:rPr>
          <w:lang w:val="es-ES_tradnl" w:eastAsia="es-ES"/>
        </w:rPr>
        <w:t>.</w:t>
      </w:r>
    </w:p>
    <w:p w14:paraId="12B0661B" w14:textId="659A7A45" w:rsidR="00E33501" w:rsidRPr="00E33501" w:rsidRDefault="00E33501" w:rsidP="002E44B8">
      <w:pPr>
        <w:pStyle w:val="Prrafodelista"/>
        <w:numPr>
          <w:ilvl w:val="0"/>
          <w:numId w:val="5"/>
        </w:numPr>
        <w:jc w:val="both"/>
        <w:rPr>
          <w:rFonts w:ascii="ITC Avant Garde" w:eastAsia="Calibri" w:hAnsi="ITC Avant Garde" w:cs="Arial"/>
          <w:color w:val="000000"/>
          <w:lang w:val="es-ES_tradnl" w:eastAsia="es-ES"/>
        </w:rPr>
      </w:pPr>
      <w:r w:rsidRPr="00E33501">
        <w:rPr>
          <w:rFonts w:ascii="ITC Avant Garde" w:eastAsia="Calibri" w:hAnsi="ITC Avant Garde" w:cs="Arial"/>
          <w:color w:val="000000"/>
          <w:lang w:val="es-ES_tradnl" w:eastAsia="es-ES"/>
        </w:rPr>
        <w:t xml:space="preserve">Capacidad </w:t>
      </w:r>
      <w:r w:rsidR="007A708F">
        <w:rPr>
          <w:rFonts w:ascii="ITC Avant Garde" w:eastAsia="Calibri" w:hAnsi="ITC Avant Garde" w:cs="Arial"/>
          <w:color w:val="000000"/>
          <w:lang w:val="es-ES_tradnl" w:eastAsia="es-ES"/>
        </w:rPr>
        <w:t>Adicionada</w:t>
      </w:r>
      <w:r w:rsidRPr="00E33501">
        <w:rPr>
          <w:rFonts w:ascii="ITC Avant Garde" w:eastAsia="Calibri" w:hAnsi="ITC Avant Garde" w:cs="Arial"/>
          <w:color w:val="000000"/>
          <w:lang w:val="es-ES_tradnl" w:eastAsia="es-ES"/>
        </w:rPr>
        <w:t xml:space="preserve"> de la Red Subterránea</w:t>
      </w:r>
    </w:p>
    <w:p w14:paraId="71FCFAE6" w14:textId="3C5D894F" w:rsidR="00A42FB3" w:rsidRPr="0033122C" w:rsidRDefault="007A708F" w:rsidP="0033122C">
      <w:pPr>
        <w:pStyle w:val="IFTnormal"/>
      </w:pPr>
      <w:r w:rsidRPr="00925B6B">
        <w:t xml:space="preserve">Cuando los Interesados en Despliegue deban construir Capacidad Adicionada en </w:t>
      </w:r>
      <w:r w:rsidR="00CE6B30">
        <w:t>la Red Subterránea</w:t>
      </w:r>
      <w:r w:rsidRPr="00925B6B">
        <w:t>, según lo estipulado en los presentes lineamientos</w:t>
      </w:r>
      <w:r w:rsidR="00CE6B30">
        <w:t>,</w:t>
      </w:r>
      <w:r w:rsidR="00E13AA8">
        <w:t xml:space="preserve"> deberá considerar p</w:t>
      </w:r>
      <w:r w:rsidR="00A42FB3" w:rsidRPr="0033122C">
        <w:t xml:space="preserve">ara </w:t>
      </w:r>
      <w:r w:rsidR="00FC1DB4" w:rsidRPr="0033122C">
        <w:t xml:space="preserve">la </w:t>
      </w:r>
      <w:r w:rsidR="00A42FB3" w:rsidRPr="0033122C">
        <w:t xml:space="preserve">implementación de </w:t>
      </w:r>
      <w:r w:rsidR="00576F0E" w:rsidRPr="0033122C">
        <w:t>Ducto</w:t>
      </w:r>
      <w:r w:rsidR="00A42FB3" w:rsidRPr="0033122C">
        <w:t xml:space="preserve">s </w:t>
      </w:r>
      <w:r w:rsidR="00FC1DB4" w:rsidRPr="0033122C">
        <w:t>destinados a la</w:t>
      </w:r>
      <w:r w:rsidR="00A42FB3" w:rsidRPr="0033122C">
        <w:t xml:space="preserve"> Capacidad de </w:t>
      </w:r>
      <w:r w:rsidR="00CE6B30">
        <w:t>Adicionada</w:t>
      </w:r>
      <w:r w:rsidR="00A42FB3" w:rsidRPr="0033122C">
        <w:t xml:space="preserve"> en Red Subterránea lo siguiente:</w:t>
      </w:r>
    </w:p>
    <w:tbl>
      <w:tblPr>
        <w:tblStyle w:val="Tablaconcuadrcula"/>
        <w:tblW w:w="0" w:type="auto"/>
        <w:tblLook w:val="04A0" w:firstRow="1" w:lastRow="0" w:firstColumn="1" w:lastColumn="0" w:noHBand="0" w:noVBand="1"/>
        <w:tblCaption w:val="Tabla de Capacidad adicionada a la red subterranea"/>
        <w:tblDescription w:val="Tabla de Capacidad adicionada a la red subterranea"/>
      </w:tblPr>
      <w:tblGrid>
        <w:gridCol w:w="5807"/>
        <w:gridCol w:w="3021"/>
      </w:tblGrid>
      <w:tr w:rsidR="000F7ECD" w14:paraId="5C48F05D" w14:textId="77777777" w:rsidTr="00231EBD">
        <w:trPr>
          <w:tblHeader/>
        </w:trPr>
        <w:tc>
          <w:tcPr>
            <w:tcW w:w="5807" w:type="dxa"/>
            <w:vAlign w:val="center"/>
          </w:tcPr>
          <w:p w14:paraId="26A459DD" w14:textId="3D5A7DBB" w:rsidR="000F7ECD" w:rsidRDefault="000F7ECD" w:rsidP="007A0015">
            <w:pPr>
              <w:pStyle w:val="IFTnormal"/>
            </w:pPr>
            <w:r>
              <w:lastRenderedPageBreak/>
              <w:t xml:space="preserve">En el caso donde se instalarán de 1 (uno) a 5 (cinco) </w:t>
            </w:r>
            <w:r w:rsidR="00576F0E">
              <w:t>Ducto</w:t>
            </w:r>
            <w:r>
              <w:t>s para alojar cableado, se instalará 1 (un)</w:t>
            </w:r>
            <w:r w:rsidRPr="00A46B35">
              <w:t xml:space="preserve"> </w:t>
            </w:r>
            <w:r w:rsidR="00576F0E">
              <w:t>Ducto</w:t>
            </w:r>
            <w:r w:rsidRPr="00A46B35">
              <w:t xml:space="preserve"> </w:t>
            </w:r>
            <w:r>
              <w:t xml:space="preserve">adicional </w:t>
            </w:r>
            <w:r w:rsidRPr="00A46B35">
              <w:t xml:space="preserve">con diámetro interno de 34 mm +/- 1.0mm </w:t>
            </w:r>
            <w:r w:rsidR="00876DD0">
              <w:t>o</w:t>
            </w:r>
            <w:r>
              <w:t xml:space="preserve"> s</w:t>
            </w:r>
            <w:r w:rsidRPr="00A46B35">
              <w:t xml:space="preserve">e reservará el </w:t>
            </w:r>
            <w:r w:rsidR="007A0015">
              <w:t>área</w:t>
            </w:r>
            <w:r w:rsidRPr="00A46B35">
              <w:t xml:space="preserve"> equ</w:t>
            </w:r>
            <w:r>
              <w:t>ivalente a la Sección útil de 1 (un</w:t>
            </w:r>
            <w:r w:rsidRPr="00A46B35">
              <w:t xml:space="preserve">) </w:t>
            </w:r>
            <w:r w:rsidR="00576F0E">
              <w:t>Ducto</w:t>
            </w:r>
            <w:r w:rsidRPr="00A46B35">
              <w:t xml:space="preserve"> con diámetro interno </w:t>
            </w:r>
            <w:r>
              <w:t xml:space="preserve">de 34 mm +/- 1.0mm dentro en 1 (un) </w:t>
            </w:r>
            <w:r w:rsidRPr="00A46B35">
              <w:t xml:space="preserve">de los </w:t>
            </w:r>
            <w:r w:rsidR="00576F0E">
              <w:t>Ducto</w:t>
            </w:r>
            <w:r>
              <w:t>s considerando su Sección útil.</w:t>
            </w:r>
          </w:p>
        </w:tc>
        <w:tc>
          <w:tcPr>
            <w:tcW w:w="3021" w:type="dxa"/>
            <w:vAlign w:val="center"/>
          </w:tcPr>
          <w:p w14:paraId="5946A064" w14:textId="77777777" w:rsidR="000F7ECD" w:rsidRDefault="000F7ECD" w:rsidP="00637B9D">
            <w:pPr>
              <w:pStyle w:val="IFTnormal"/>
              <w:jc w:val="center"/>
            </w:pPr>
            <w:r>
              <w:rPr>
                <w:noProof/>
                <w:lang w:eastAsia="es-MX"/>
              </w:rPr>
              <w:drawing>
                <wp:inline distT="0" distB="0" distL="0" distR="0" wp14:anchorId="15849F5E" wp14:editId="2C4945A8">
                  <wp:extent cx="1720611" cy="946205"/>
                  <wp:effectExtent l="0" t="0" r="0" b="0"/>
                  <wp:docPr id="7" name="Imagen 7" descr="Figura" title="Fig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62892" cy="969456"/>
                          </a:xfrm>
                          <a:prstGeom prst="rect">
                            <a:avLst/>
                          </a:prstGeom>
                          <a:noFill/>
                        </pic:spPr>
                      </pic:pic>
                    </a:graphicData>
                  </a:graphic>
                </wp:inline>
              </w:drawing>
            </w:r>
          </w:p>
          <w:p w14:paraId="05840202" w14:textId="1A7893EE" w:rsidR="000F7ECD" w:rsidRDefault="00876DD0" w:rsidP="000F7ECD">
            <w:pPr>
              <w:pStyle w:val="IFTnormal"/>
              <w:jc w:val="left"/>
            </w:pPr>
            <w:r>
              <w:t>o</w:t>
            </w:r>
          </w:p>
          <w:p w14:paraId="0A182B7C" w14:textId="0CB3DFA5" w:rsidR="000F7ECD" w:rsidRDefault="000F7ECD" w:rsidP="00637B9D">
            <w:pPr>
              <w:pStyle w:val="IFTnormal"/>
              <w:jc w:val="center"/>
            </w:pPr>
            <w:r>
              <w:rPr>
                <w:noProof/>
                <w:lang w:eastAsia="es-MX"/>
              </w:rPr>
              <w:drawing>
                <wp:inline distT="0" distB="0" distL="0" distR="0" wp14:anchorId="4CA5BA1B" wp14:editId="70ABED9C">
                  <wp:extent cx="1395253" cy="882595"/>
                  <wp:effectExtent l="0" t="0" r="0" b="0"/>
                  <wp:docPr id="8" name="Imagen 8" descr="Figura" title="Fig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3054" cy="893855"/>
                          </a:xfrm>
                          <a:prstGeom prst="rect">
                            <a:avLst/>
                          </a:prstGeom>
                          <a:noFill/>
                        </pic:spPr>
                      </pic:pic>
                    </a:graphicData>
                  </a:graphic>
                </wp:inline>
              </w:drawing>
            </w:r>
          </w:p>
        </w:tc>
      </w:tr>
      <w:tr w:rsidR="000F7ECD" w14:paraId="39196938" w14:textId="77777777" w:rsidTr="00DA3CA5">
        <w:trPr>
          <w:trHeight w:val="4052"/>
        </w:trPr>
        <w:tc>
          <w:tcPr>
            <w:tcW w:w="5807" w:type="dxa"/>
            <w:vAlign w:val="center"/>
          </w:tcPr>
          <w:p w14:paraId="753A0217" w14:textId="491652B8" w:rsidR="000F7ECD" w:rsidRDefault="00DA3CA5" w:rsidP="007A0015">
            <w:pPr>
              <w:pStyle w:val="IFTnormal"/>
            </w:pPr>
            <w:r>
              <w:t xml:space="preserve">En el caso donde se instalarán de 6 (seis) a 10 (diez) </w:t>
            </w:r>
            <w:r w:rsidR="00576F0E">
              <w:t>Ducto</w:t>
            </w:r>
            <w:r>
              <w:t>s para alojar cables, s</w:t>
            </w:r>
            <w:r w:rsidRPr="00A46B35">
              <w:t>e instalará</w:t>
            </w:r>
            <w:r>
              <w:t>n</w:t>
            </w:r>
            <w:r w:rsidRPr="00A46B35">
              <w:t xml:space="preserve"> </w:t>
            </w:r>
            <w:r>
              <w:t>2 (dos)</w:t>
            </w:r>
            <w:r w:rsidRPr="00A46B35">
              <w:t xml:space="preserve"> </w:t>
            </w:r>
            <w:r w:rsidR="00576F0E">
              <w:t>Ducto</w:t>
            </w:r>
            <w:r>
              <w:t>s</w:t>
            </w:r>
            <w:r w:rsidRPr="00A46B35">
              <w:t xml:space="preserve"> </w:t>
            </w:r>
            <w:r>
              <w:t xml:space="preserve">adicionales </w:t>
            </w:r>
            <w:r w:rsidRPr="00A46B35">
              <w:t xml:space="preserve">con diámetro interno de 34 mm +/- 1.0mm </w:t>
            </w:r>
            <w:r>
              <w:t>o se</w:t>
            </w:r>
            <w:r w:rsidRPr="00A46B35">
              <w:t xml:space="preserve"> reservará el </w:t>
            </w:r>
            <w:r w:rsidR="007A0015">
              <w:t>área</w:t>
            </w:r>
            <w:r w:rsidRPr="00A46B35">
              <w:t xml:space="preserve"> equivalente a la Sección útil de </w:t>
            </w:r>
            <w:r>
              <w:t>2 (</w:t>
            </w:r>
            <w:r w:rsidRPr="00A46B35">
              <w:t>dos</w:t>
            </w:r>
            <w:r>
              <w:t>)</w:t>
            </w:r>
            <w:r w:rsidRPr="00A46B35">
              <w:t xml:space="preserve"> </w:t>
            </w:r>
            <w:r w:rsidR="00576F0E">
              <w:t>Ducto</w:t>
            </w:r>
            <w:r w:rsidRPr="00A46B35">
              <w:t xml:space="preserve">s con diámetro interno de 34 mm +/- 1.0mm dentro de los </w:t>
            </w:r>
            <w:r w:rsidR="00576F0E">
              <w:t>Ducto</w:t>
            </w:r>
            <w:r w:rsidRPr="00A46B35">
              <w:t>s instalados</w:t>
            </w:r>
            <w:r>
              <w:t xml:space="preserve"> para alojar cables</w:t>
            </w:r>
            <w:r w:rsidRPr="00A46B35">
              <w:t>, considerando que la secci</w:t>
            </w:r>
            <w:r>
              <w:t xml:space="preserve">ón útil no sea distribuida en más de 2 (dos) </w:t>
            </w:r>
            <w:r w:rsidR="00576F0E">
              <w:t>Ducto</w:t>
            </w:r>
            <w:r>
              <w:t>s y si se distribuye ninguna sección distribuida podrá ser menor a</w:t>
            </w:r>
            <w:r w:rsidRPr="00A46B35">
              <w:t xml:space="preserve"> la Sección útil de</w:t>
            </w:r>
            <w:r>
              <w:t xml:space="preserve"> 1</w:t>
            </w:r>
            <w:r w:rsidRPr="00A46B35">
              <w:t xml:space="preserve"> </w:t>
            </w:r>
            <w:r>
              <w:t>(</w:t>
            </w:r>
            <w:r w:rsidRPr="00A46B35">
              <w:t>un</w:t>
            </w:r>
            <w:r>
              <w:t>)</w:t>
            </w:r>
            <w:r w:rsidRPr="00A46B35">
              <w:t xml:space="preserve"> </w:t>
            </w:r>
            <w:r w:rsidR="00576F0E">
              <w:t>Ducto</w:t>
            </w:r>
            <w:r w:rsidRPr="00A46B35">
              <w:t xml:space="preserve"> con diámetro interno de 34 mm +/- 1.0mm</w:t>
            </w:r>
            <w:r>
              <w:t>.</w:t>
            </w:r>
          </w:p>
        </w:tc>
        <w:tc>
          <w:tcPr>
            <w:tcW w:w="3021" w:type="dxa"/>
            <w:vAlign w:val="center"/>
          </w:tcPr>
          <w:p w14:paraId="453D2FC4" w14:textId="77777777" w:rsidR="007D4D3B" w:rsidRDefault="007D4D3B" w:rsidP="00E13A65">
            <w:pPr>
              <w:pStyle w:val="IFTnormal"/>
              <w:jc w:val="center"/>
            </w:pPr>
            <w:r>
              <w:rPr>
                <w:noProof/>
                <w:lang w:eastAsia="es-MX"/>
              </w:rPr>
              <w:drawing>
                <wp:inline distT="0" distB="0" distL="0" distR="0" wp14:anchorId="379A334F" wp14:editId="145C4668">
                  <wp:extent cx="1442571" cy="1001864"/>
                  <wp:effectExtent l="0" t="0" r="5715" b="8255"/>
                  <wp:docPr id="9" name="Imagen 9" descr="Figura" title="Fig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54080" cy="1009857"/>
                          </a:xfrm>
                          <a:prstGeom prst="rect">
                            <a:avLst/>
                          </a:prstGeom>
                          <a:noFill/>
                        </pic:spPr>
                      </pic:pic>
                    </a:graphicData>
                  </a:graphic>
                </wp:inline>
              </w:drawing>
            </w:r>
          </w:p>
          <w:p w14:paraId="599A9C84" w14:textId="35EA122A" w:rsidR="007D4D3B" w:rsidRDefault="007D4D3B" w:rsidP="00A42FB3">
            <w:pPr>
              <w:pStyle w:val="IFTnormal"/>
            </w:pPr>
            <w:r>
              <w:t>o</w:t>
            </w:r>
          </w:p>
          <w:p w14:paraId="4D6F122F" w14:textId="08F783D7" w:rsidR="000F7ECD" w:rsidRDefault="007D4D3B" w:rsidP="00E13A65">
            <w:pPr>
              <w:pStyle w:val="IFTnormal"/>
              <w:jc w:val="center"/>
            </w:pPr>
            <w:r>
              <w:rPr>
                <w:noProof/>
                <w:lang w:eastAsia="es-MX"/>
              </w:rPr>
              <w:drawing>
                <wp:inline distT="0" distB="0" distL="0" distR="0" wp14:anchorId="270AC0F8" wp14:editId="7CD2D677">
                  <wp:extent cx="1357259" cy="1049572"/>
                  <wp:effectExtent l="0" t="0" r="0" b="0"/>
                  <wp:docPr id="10" name="Imagen 10" descr="Figura" title="Fig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68469" cy="1058241"/>
                          </a:xfrm>
                          <a:prstGeom prst="rect">
                            <a:avLst/>
                          </a:prstGeom>
                          <a:noFill/>
                        </pic:spPr>
                      </pic:pic>
                    </a:graphicData>
                  </a:graphic>
                </wp:inline>
              </w:drawing>
            </w:r>
          </w:p>
        </w:tc>
      </w:tr>
      <w:tr w:rsidR="000F7ECD" w14:paraId="3A8966C3" w14:textId="77777777" w:rsidTr="007E6C6E">
        <w:trPr>
          <w:trHeight w:val="4197"/>
        </w:trPr>
        <w:tc>
          <w:tcPr>
            <w:tcW w:w="5807" w:type="dxa"/>
            <w:vAlign w:val="center"/>
          </w:tcPr>
          <w:p w14:paraId="1EE66283" w14:textId="05AF1513" w:rsidR="000F7ECD" w:rsidRDefault="007E6C6E" w:rsidP="007A0015">
            <w:pPr>
              <w:pStyle w:val="IFTnormal"/>
            </w:pPr>
            <w:r>
              <w:t xml:space="preserve">En el caso donde se instalarán de 11 (once) a 20 (veinte) </w:t>
            </w:r>
            <w:r w:rsidR="00576F0E">
              <w:t>Ducto</w:t>
            </w:r>
            <w:r>
              <w:t>s para alojar cables, s</w:t>
            </w:r>
            <w:r w:rsidRPr="00A46B35">
              <w:t>e instalará</w:t>
            </w:r>
            <w:r>
              <w:t>n</w:t>
            </w:r>
            <w:r w:rsidRPr="00A46B35">
              <w:t xml:space="preserve"> </w:t>
            </w:r>
            <w:r>
              <w:t xml:space="preserve">3 (tres) </w:t>
            </w:r>
            <w:r w:rsidR="00576F0E">
              <w:t>Ducto</w:t>
            </w:r>
            <w:r>
              <w:t>s adicionales</w:t>
            </w:r>
            <w:r w:rsidRPr="00A46B35">
              <w:t xml:space="preserve"> con diámetro interno de 34 mm +/- 1.0mm </w:t>
            </w:r>
            <w:r>
              <w:t>o se</w:t>
            </w:r>
            <w:r w:rsidRPr="00A46B35">
              <w:t xml:space="preserve"> reservará el </w:t>
            </w:r>
            <w:r w:rsidR="007A0015">
              <w:t>área</w:t>
            </w:r>
            <w:r w:rsidRPr="00A46B35">
              <w:t xml:space="preserve"> equivalente a la Sección útil de </w:t>
            </w:r>
            <w:r>
              <w:t xml:space="preserve">3 (tres) </w:t>
            </w:r>
            <w:r w:rsidR="00576F0E">
              <w:t>Ducto</w:t>
            </w:r>
            <w:r w:rsidRPr="00A46B35">
              <w:t xml:space="preserve">s con diámetro interno de 34 mm +/- 1.0mm dentro de los </w:t>
            </w:r>
            <w:r w:rsidR="00576F0E">
              <w:t>Ducto</w:t>
            </w:r>
            <w:r w:rsidRPr="00A46B35">
              <w:t>s instalados, considerando que la secci</w:t>
            </w:r>
            <w:r>
              <w:t>ón útil no sea distribuida en má</w:t>
            </w:r>
            <w:r w:rsidRPr="00A46B35">
              <w:t xml:space="preserve">s de </w:t>
            </w:r>
            <w:r>
              <w:t xml:space="preserve">3 (tres) </w:t>
            </w:r>
            <w:r w:rsidR="00576F0E">
              <w:t>Ducto</w:t>
            </w:r>
            <w:r>
              <w:t>s y si se distribuye ninguna sección distribuida podrá ser menor a</w:t>
            </w:r>
            <w:r w:rsidRPr="00A46B35">
              <w:t xml:space="preserve"> la Sección útil de </w:t>
            </w:r>
            <w:r>
              <w:t>1 (</w:t>
            </w:r>
            <w:r w:rsidRPr="00A46B35">
              <w:t>un</w:t>
            </w:r>
            <w:r>
              <w:t>)</w:t>
            </w:r>
            <w:r w:rsidRPr="00A46B35">
              <w:t xml:space="preserve"> </w:t>
            </w:r>
            <w:r w:rsidR="00576F0E">
              <w:t>Ducto</w:t>
            </w:r>
            <w:r w:rsidRPr="00A46B35">
              <w:t xml:space="preserve"> con diámetro interno de 34 mm +/- 1.0mm</w:t>
            </w:r>
            <w:r>
              <w:t>.</w:t>
            </w:r>
          </w:p>
        </w:tc>
        <w:tc>
          <w:tcPr>
            <w:tcW w:w="3021" w:type="dxa"/>
          </w:tcPr>
          <w:p w14:paraId="2769F87A" w14:textId="77777777" w:rsidR="007E6C6E" w:rsidRDefault="007E6C6E" w:rsidP="00AE2D04">
            <w:pPr>
              <w:pStyle w:val="IFTnormal"/>
              <w:jc w:val="center"/>
            </w:pPr>
            <w:r>
              <w:rPr>
                <w:noProof/>
                <w:lang w:eastAsia="es-MX"/>
              </w:rPr>
              <w:drawing>
                <wp:inline distT="0" distB="0" distL="0" distR="0" wp14:anchorId="54781A10" wp14:editId="5B7146C3">
                  <wp:extent cx="1407381" cy="1797117"/>
                  <wp:effectExtent l="0" t="0" r="0" b="0"/>
                  <wp:docPr id="11" name="Imagen 11" descr="Figura" title="Fig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9995" cy="1825993"/>
                          </a:xfrm>
                          <a:prstGeom prst="rect">
                            <a:avLst/>
                          </a:prstGeom>
                          <a:noFill/>
                        </pic:spPr>
                      </pic:pic>
                    </a:graphicData>
                  </a:graphic>
                </wp:inline>
              </w:drawing>
            </w:r>
          </w:p>
          <w:p w14:paraId="494CF8FE" w14:textId="491C93FB" w:rsidR="007E6C6E" w:rsidRDefault="007E6C6E" w:rsidP="00A42FB3">
            <w:pPr>
              <w:pStyle w:val="IFTnormal"/>
            </w:pPr>
            <w:r>
              <w:t>o</w:t>
            </w:r>
          </w:p>
          <w:p w14:paraId="075DF4EA" w14:textId="1620A7B8" w:rsidR="000F7ECD" w:rsidRDefault="007E6C6E" w:rsidP="00AE2D04">
            <w:pPr>
              <w:pStyle w:val="IFTnormal"/>
              <w:jc w:val="center"/>
            </w:pPr>
            <w:r>
              <w:rPr>
                <w:noProof/>
                <w:lang w:eastAsia="es-MX"/>
              </w:rPr>
              <w:lastRenderedPageBreak/>
              <w:drawing>
                <wp:inline distT="0" distB="0" distL="0" distR="0" wp14:anchorId="68D9B2A2" wp14:editId="631D5251">
                  <wp:extent cx="1431235" cy="1542495"/>
                  <wp:effectExtent l="0" t="0" r="0" b="0"/>
                  <wp:docPr id="12" name="Imagen 12" descr="Figura" title="Fig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4875" cy="1589527"/>
                          </a:xfrm>
                          <a:prstGeom prst="rect">
                            <a:avLst/>
                          </a:prstGeom>
                          <a:noFill/>
                        </pic:spPr>
                      </pic:pic>
                    </a:graphicData>
                  </a:graphic>
                </wp:inline>
              </w:drawing>
            </w:r>
          </w:p>
        </w:tc>
      </w:tr>
      <w:tr w:rsidR="000F7ECD" w14:paraId="76D5F15B" w14:textId="77777777" w:rsidTr="00FF1DB6">
        <w:tc>
          <w:tcPr>
            <w:tcW w:w="5807" w:type="dxa"/>
            <w:vAlign w:val="center"/>
          </w:tcPr>
          <w:p w14:paraId="443811B1" w14:textId="23DAA465" w:rsidR="000F7ECD" w:rsidRDefault="00632CC9" w:rsidP="007A0015">
            <w:pPr>
              <w:pStyle w:val="IFTnormal"/>
            </w:pPr>
            <w:r w:rsidRPr="00632CC9">
              <w:lastRenderedPageBreak/>
              <w:t xml:space="preserve">En el caso donde se instalarán más de 20 (veinte) </w:t>
            </w:r>
            <w:r w:rsidR="00576F0E">
              <w:t>Ducto</w:t>
            </w:r>
            <w:r w:rsidRPr="00632CC9">
              <w:t xml:space="preserve">s, se instalarán 4 (cuatro) </w:t>
            </w:r>
            <w:r w:rsidR="00576F0E">
              <w:t>Ducto</w:t>
            </w:r>
            <w:r w:rsidRPr="00632CC9">
              <w:t xml:space="preserve">s con diámetro interno de 34 mm +/- 1.0mm o se reservará el </w:t>
            </w:r>
            <w:r w:rsidR="007A0015">
              <w:t>área</w:t>
            </w:r>
            <w:r w:rsidRPr="00632CC9">
              <w:t xml:space="preserve"> equivalente a la Sección útil de 4 (cuatro) </w:t>
            </w:r>
            <w:r w:rsidR="00576F0E">
              <w:t>Ducto</w:t>
            </w:r>
            <w:r w:rsidRPr="00632CC9">
              <w:t xml:space="preserve">s con diámetro interno de 34 mm +/- 1.0mm dentro de los </w:t>
            </w:r>
            <w:r w:rsidR="00576F0E">
              <w:t>Ducto</w:t>
            </w:r>
            <w:r w:rsidRPr="00632CC9">
              <w:t xml:space="preserve">s instalados, considerando que la sección útil no sea distribuida en más de 4 (cuatro) </w:t>
            </w:r>
            <w:r w:rsidR="00576F0E">
              <w:t>Ducto</w:t>
            </w:r>
            <w:r w:rsidRPr="00632CC9">
              <w:t xml:space="preserve">s y si se distribuye ninguna sección distribuida podrá ser menor a la Sección útil de 1 (un) </w:t>
            </w:r>
            <w:r w:rsidR="00576F0E">
              <w:t>Ducto</w:t>
            </w:r>
            <w:r w:rsidRPr="00632CC9">
              <w:t xml:space="preserve"> con diám</w:t>
            </w:r>
            <w:r>
              <w:t>etro interno de 34 mm +/- 1.0mm.</w:t>
            </w:r>
          </w:p>
        </w:tc>
        <w:tc>
          <w:tcPr>
            <w:tcW w:w="3021" w:type="dxa"/>
          </w:tcPr>
          <w:p w14:paraId="528DFDA3" w14:textId="393FB53D" w:rsidR="003A32FC" w:rsidRDefault="00AE2D04" w:rsidP="00AE2D04">
            <w:pPr>
              <w:pStyle w:val="IFTnormal"/>
              <w:jc w:val="center"/>
            </w:pPr>
            <w:r>
              <w:rPr>
                <w:noProof/>
                <w:lang w:eastAsia="es-MX"/>
              </w:rPr>
              <w:drawing>
                <wp:inline distT="0" distB="0" distL="0" distR="0" wp14:anchorId="733BF301" wp14:editId="4E342E48">
                  <wp:extent cx="1439839" cy="2074456"/>
                  <wp:effectExtent l="0" t="0" r="0" b="0"/>
                  <wp:docPr id="5" name="Imagen 5" descr="Figura" title="Fig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68802" cy="2116185"/>
                          </a:xfrm>
                          <a:prstGeom prst="rect">
                            <a:avLst/>
                          </a:prstGeom>
                          <a:noFill/>
                        </pic:spPr>
                      </pic:pic>
                    </a:graphicData>
                  </a:graphic>
                </wp:inline>
              </w:drawing>
            </w:r>
          </w:p>
          <w:p w14:paraId="18449B1F" w14:textId="77777777" w:rsidR="003A32FC" w:rsidRDefault="003A32FC" w:rsidP="00A42FB3">
            <w:pPr>
              <w:pStyle w:val="IFTnormal"/>
            </w:pPr>
            <w:r>
              <w:t xml:space="preserve">o </w:t>
            </w:r>
          </w:p>
          <w:p w14:paraId="360B9EC0" w14:textId="5C18B781" w:rsidR="000F7ECD" w:rsidRDefault="00AE2D04" w:rsidP="00AE2D04">
            <w:pPr>
              <w:pStyle w:val="IFTnormal"/>
              <w:jc w:val="center"/>
            </w:pPr>
            <w:r>
              <w:rPr>
                <w:noProof/>
                <w:lang w:eastAsia="es-MX"/>
              </w:rPr>
              <w:lastRenderedPageBreak/>
              <w:drawing>
                <wp:inline distT="0" distB="0" distL="0" distR="0" wp14:anchorId="415FABAE" wp14:editId="326DEE61">
                  <wp:extent cx="1460311" cy="1713231"/>
                  <wp:effectExtent l="0" t="0" r="6985" b="0"/>
                  <wp:docPr id="15" name="Imagen 15" descr="Figura" title="Fig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3212" cy="1740098"/>
                          </a:xfrm>
                          <a:prstGeom prst="rect">
                            <a:avLst/>
                          </a:prstGeom>
                          <a:noFill/>
                        </pic:spPr>
                      </pic:pic>
                    </a:graphicData>
                  </a:graphic>
                </wp:inline>
              </w:drawing>
            </w:r>
          </w:p>
        </w:tc>
      </w:tr>
    </w:tbl>
    <w:p w14:paraId="58FEAF28" w14:textId="1AFFA51E" w:rsidR="00E33501" w:rsidRPr="00D23FCF" w:rsidRDefault="00E33501" w:rsidP="00D23FCF">
      <w:pPr>
        <w:pStyle w:val="Prrafodelista"/>
        <w:ind w:left="1224"/>
        <w:jc w:val="both"/>
        <w:rPr>
          <w:rFonts w:ascii="ITC Avant Garde" w:eastAsia="Calibri" w:hAnsi="ITC Avant Garde" w:cs="Arial"/>
          <w:color w:val="000000"/>
          <w:lang w:val="es-ES_tradnl" w:eastAsia="es-ES"/>
        </w:rPr>
      </w:pPr>
    </w:p>
    <w:p w14:paraId="70F9E194" w14:textId="4853AED2" w:rsidR="00440C7B" w:rsidRDefault="009B34D6" w:rsidP="0033122C">
      <w:pPr>
        <w:pStyle w:val="IFTnormal"/>
        <w:rPr>
          <w:lang w:val="es-ES_tradnl" w:eastAsia="es-ES"/>
        </w:rPr>
      </w:pPr>
      <w:r>
        <w:rPr>
          <w:lang w:val="es-ES_tradnl" w:eastAsia="es-ES"/>
        </w:rPr>
        <w:t xml:space="preserve">El acomodo </w:t>
      </w:r>
      <w:r w:rsidR="00C823A9">
        <w:rPr>
          <w:lang w:val="es-ES_tradnl" w:eastAsia="es-ES"/>
        </w:rPr>
        <w:t xml:space="preserve">u ordenamiento </w:t>
      </w:r>
      <w:r>
        <w:rPr>
          <w:lang w:val="es-ES_tradnl" w:eastAsia="es-ES"/>
        </w:rPr>
        <w:t xml:space="preserve">de los </w:t>
      </w:r>
      <w:r w:rsidR="00576F0E">
        <w:rPr>
          <w:lang w:val="es-ES_tradnl" w:eastAsia="es-ES"/>
        </w:rPr>
        <w:t>Ducto</w:t>
      </w:r>
      <w:r>
        <w:rPr>
          <w:lang w:val="es-ES_tradnl" w:eastAsia="es-ES"/>
        </w:rPr>
        <w:t xml:space="preserve">s </w:t>
      </w:r>
      <w:r w:rsidR="00C823A9">
        <w:rPr>
          <w:lang w:val="es-ES_tradnl" w:eastAsia="es-ES"/>
        </w:rPr>
        <w:t xml:space="preserve">dentro de la zanja </w:t>
      </w:r>
      <w:r w:rsidR="00BA7C8D">
        <w:rPr>
          <w:lang w:val="es-ES_tradnl" w:eastAsia="es-ES"/>
        </w:rPr>
        <w:t>deberá considerar</w:t>
      </w:r>
      <w:r>
        <w:rPr>
          <w:lang w:val="es-ES_tradnl" w:eastAsia="es-ES"/>
        </w:rPr>
        <w:t xml:space="preserve"> el mejor aprovechamiento de espacio en zanja.</w:t>
      </w:r>
    </w:p>
    <w:p w14:paraId="70F9E1C9" w14:textId="77777777" w:rsidR="00611DFD" w:rsidRPr="00611DFD" w:rsidRDefault="00611DFD" w:rsidP="002E44B8">
      <w:pPr>
        <w:pStyle w:val="IFTnormal"/>
        <w:numPr>
          <w:ilvl w:val="0"/>
          <w:numId w:val="5"/>
        </w:numPr>
        <w:rPr>
          <w:b/>
        </w:rPr>
      </w:pPr>
      <w:r w:rsidRPr="00611DFD">
        <w:rPr>
          <w:b/>
        </w:rPr>
        <w:t xml:space="preserve">Generales </w:t>
      </w:r>
    </w:p>
    <w:p w14:paraId="70F9E1CA" w14:textId="77777777" w:rsidR="00611DFD" w:rsidRPr="0033122C" w:rsidRDefault="00611DFD" w:rsidP="0033122C">
      <w:pPr>
        <w:pStyle w:val="IFTnormal"/>
        <w:numPr>
          <w:ilvl w:val="0"/>
          <w:numId w:val="20"/>
        </w:numPr>
      </w:pPr>
      <w:r w:rsidRPr="0033122C">
        <w:t>En ningún caso podrán ubicarse en la Red Subterránea cables eléctricos, equipo activo o elementos de alimentación eléctrica que pongan en riesgo al personal técnico.</w:t>
      </w:r>
    </w:p>
    <w:p w14:paraId="70F9E1CB" w14:textId="4BCB848D" w:rsidR="00611DFD" w:rsidRPr="0033122C" w:rsidRDefault="00611DFD" w:rsidP="0033122C">
      <w:pPr>
        <w:pStyle w:val="IFTnormal"/>
        <w:numPr>
          <w:ilvl w:val="0"/>
          <w:numId w:val="3"/>
        </w:numPr>
      </w:pPr>
      <w:r w:rsidRPr="0033122C">
        <w:t xml:space="preserve">Los </w:t>
      </w:r>
      <w:r w:rsidR="00576F0E" w:rsidRPr="0033122C">
        <w:t>Ducto</w:t>
      </w:r>
      <w:r w:rsidRPr="0033122C">
        <w:t>s o sub</w:t>
      </w:r>
      <w:r w:rsidR="00576F0E" w:rsidRPr="0033122C">
        <w:t>ducto</w:t>
      </w:r>
      <w:r w:rsidRPr="0033122C">
        <w:t>s de mantenimiento no será</w:t>
      </w:r>
      <w:r w:rsidR="008D36ED" w:rsidRPr="0033122C">
        <w:t>n objeto de uso de instalación de cables o subductos a menos que sea para uso de mantenimiento o emergencias.</w:t>
      </w:r>
    </w:p>
    <w:p w14:paraId="70F9E1D2" w14:textId="6B6971C1" w:rsidR="00611DFD" w:rsidRPr="0033122C" w:rsidRDefault="00611DFD" w:rsidP="0033122C">
      <w:pPr>
        <w:pStyle w:val="IFTnormal"/>
        <w:numPr>
          <w:ilvl w:val="0"/>
          <w:numId w:val="3"/>
        </w:numPr>
      </w:pPr>
      <w:r w:rsidRPr="0033122C">
        <w:t xml:space="preserve">Los cables de los </w:t>
      </w:r>
      <w:r w:rsidR="00FF061B">
        <w:t>Interesados en Despliegue</w:t>
      </w:r>
      <w:r w:rsidRPr="0033122C">
        <w:t xml:space="preserve"> y Proveedores de Infraestructura que hayan requerido la compartición de infraestructura de Red </w:t>
      </w:r>
      <w:r w:rsidR="00BA7C8D" w:rsidRPr="0033122C">
        <w:t>Subterránea</w:t>
      </w:r>
      <w:r w:rsidRPr="0033122C">
        <w:t xml:space="preserve"> serán los responsables de </w:t>
      </w:r>
      <w:r w:rsidR="00BA7C8D">
        <w:t>é</w:t>
      </w:r>
      <w:r w:rsidR="00BA7C8D" w:rsidRPr="0033122C">
        <w:t>sta</w:t>
      </w:r>
      <w:r w:rsidRPr="0033122C">
        <w:t>.</w:t>
      </w:r>
    </w:p>
    <w:p w14:paraId="70F9E1D3" w14:textId="41E4FAD6" w:rsidR="00611DFD" w:rsidRPr="0033122C" w:rsidRDefault="00611DFD" w:rsidP="0033122C">
      <w:pPr>
        <w:pStyle w:val="IFTnormal"/>
        <w:numPr>
          <w:ilvl w:val="0"/>
          <w:numId w:val="3"/>
        </w:numPr>
      </w:pPr>
      <w:r w:rsidRPr="0033122C">
        <w:t xml:space="preserve">Los cables de los </w:t>
      </w:r>
      <w:r w:rsidR="00FF061B">
        <w:t>Interesados en Despliegue</w:t>
      </w:r>
      <w:r w:rsidRPr="0033122C">
        <w:t xml:space="preserve"> y Proveedores de Infraestructura deberán estar plenamente identificados dentro de los pozos. La </w:t>
      </w:r>
      <w:r w:rsidRPr="0033122C">
        <w:lastRenderedPageBreak/>
        <w:t>identificación debe</w:t>
      </w:r>
      <w:r w:rsidR="00CF6361">
        <w:t>rá contener el nombre de la empresa y número telefónico el cual deberá</w:t>
      </w:r>
      <w:r w:rsidRPr="0033122C">
        <w:t xml:space="preserve"> ser clara, duradera y legible a simple vista</w:t>
      </w:r>
      <w:r w:rsidR="00CF6361">
        <w:t>.</w:t>
      </w:r>
    </w:p>
    <w:p w14:paraId="70F9E1D4" w14:textId="77777777" w:rsidR="00611DFD" w:rsidRPr="002C1C27" w:rsidRDefault="00611DFD" w:rsidP="006E4F62">
      <w:pPr>
        <w:jc w:val="both"/>
        <w:rPr>
          <w:rFonts w:ascii="ITC Avant Garde" w:eastAsia="Calibri" w:hAnsi="ITC Avant Garde" w:cs="Arial"/>
          <w:color w:val="000000"/>
          <w:lang w:val="es-ES_tradnl" w:eastAsia="es-ES"/>
        </w:rPr>
      </w:pPr>
    </w:p>
    <w:sectPr w:rsidR="00611DFD" w:rsidRPr="002C1C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F3D92"/>
    <w:multiLevelType w:val="hybridMultilevel"/>
    <w:tmpl w:val="B6FC5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8E674E"/>
    <w:multiLevelType w:val="hybridMultilevel"/>
    <w:tmpl w:val="EBA26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776700"/>
    <w:multiLevelType w:val="hybridMultilevel"/>
    <w:tmpl w:val="9004572C"/>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2091038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4C783E"/>
    <w:multiLevelType w:val="hybridMultilevel"/>
    <w:tmpl w:val="673E55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4F5CE0"/>
    <w:multiLevelType w:val="hybridMultilevel"/>
    <w:tmpl w:val="E43EC8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AB4D5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4F299C"/>
    <w:multiLevelType w:val="hybridMultilevel"/>
    <w:tmpl w:val="111EF69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496C7896"/>
    <w:multiLevelType w:val="hybridMultilevel"/>
    <w:tmpl w:val="CD3021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E002E0"/>
    <w:multiLevelType w:val="hybridMultilevel"/>
    <w:tmpl w:val="E71CA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EB0F69"/>
    <w:multiLevelType w:val="hybridMultilevel"/>
    <w:tmpl w:val="9FEE00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610F1C"/>
    <w:multiLevelType w:val="hybridMultilevel"/>
    <w:tmpl w:val="96E40FA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2D6CFF"/>
    <w:multiLevelType w:val="hybridMultilevel"/>
    <w:tmpl w:val="9AEE1380"/>
    <w:lvl w:ilvl="0" w:tplc="7EEE188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514E734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807235"/>
    <w:multiLevelType w:val="hybridMultilevel"/>
    <w:tmpl w:val="477E0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EC728A"/>
    <w:multiLevelType w:val="hybridMultilevel"/>
    <w:tmpl w:val="ADCE37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F84E5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197AB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AD59F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AD5504"/>
    <w:multiLevelType w:val="hybridMultilevel"/>
    <w:tmpl w:val="76761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9051B0"/>
    <w:multiLevelType w:val="hybridMultilevel"/>
    <w:tmpl w:val="BC5E112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B7E017B"/>
    <w:multiLevelType w:val="hybridMultilevel"/>
    <w:tmpl w:val="E4984DD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15:restartNumberingAfterBreak="0">
    <w:nsid w:val="770418BC"/>
    <w:multiLevelType w:val="hybridMultilevel"/>
    <w:tmpl w:val="1A3E3E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B4F5CA5"/>
    <w:multiLevelType w:val="hybridMultilevel"/>
    <w:tmpl w:val="AE822902"/>
    <w:lvl w:ilvl="0" w:tplc="7DDC0450">
      <w:start w:val="1"/>
      <w:numFmt w:val="decimal"/>
      <w:lvlText w:val="%1)"/>
      <w:lvlJc w:val="left"/>
      <w:pPr>
        <w:ind w:left="426" w:hanging="360"/>
      </w:pPr>
      <w:rPr>
        <w:rFonts w:hint="default"/>
        <w:b w:val="0"/>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num w:numId="1">
    <w:abstractNumId w:val="23"/>
  </w:num>
  <w:num w:numId="2">
    <w:abstractNumId w:val="12"/>
  </w:num>
  <w:num w:numId="3">
    <w:abstractNumId w:val="10"/>
  </w:num>
  <w:num w:numId="4">
    <w:abstractNumId w:val="15"/>
  </w:num>
  <w:num w:numId="5">
    <w:abstractNumId w:val="3"/>
  </w:num>
  <w:num w:numId="6">
    <w:abstractNumId w:val="17"/>
  </w:num>
  <w:num w:numId="7">
    <w:abstractNumId w:val="14"/>
  </w:num>
  <w:num w:numId="8">
    <w:abstractNumId w:val="18"/>
  </w:num>
  <w:num w:numId="9">
    <w:abstractNumId w:val="7"/>
  </w:num>
  <w:num w:numId="10">
    <w:abstractNumId w:val="21"/>
  </w:num>
  <w:num w:numId="11">
    <w:abstractNumId w:val="13"/>
  </w:num>
  <w:num w:numId="12">
    <w:abstractNumId w:val="11"/>
  </w:num>
  <w:num w:numId="13">
    <w:abstractNumId w:val="4"/>
  </w:num>
  <w:num w:numId="14">
    <w:abstractNumId w:val="2"/>
  </w:num>
  <w:num w:numId="15">
    <w:abstractNumId w:val="16"/>
  </w:num>
  <w:num w:numId="16">
    <w:abstractNumId w:val="1"/>
  </w:num>
  <w:num w:numId="17">
    <w:abstractNumId w:val="5"/>
  </w:num>
  <w:num w:numId="18">
    <w:abstractNumId w:val="8"/>
  </w:num>
  <w:num w:numId="19">
    <w:abstractNumId w:val="0"/>
  </w:num>
  <w:num w:numId="20">
    <w:abstractNumId w:val="19"/>
  </w:num>
  <w:num w:numId="21">
    <w:abstractNumId w:val="9"/>
  </w:num>
  <w:num w:numId="22">
    <w:abstractNumId w:val="22"/>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62"/>
    <w:rsid w:val="000063DF"/>
    <w:rsid w:val="000156BA"/>
    <w:rsid w:val="00015E1C"/>
    <w:rsid w:val="000201D1"/>
    <w:rsid w:val="00023787"/>
    <w:rsid w:val="00023AE5"/>
    <w:rsid w:val="00024C97"/>
    <w:rsid w:val="000274BC"/>
    <w:rsid w:val="000318CE"/>
    <w:rsid w:val="00033249"/>
    <w:rsid w:val="000501F8"/>
    <w:rsid w:val="00055E26"/>
    <w:rsid w:val="0006292C"/>
    <w:rsid w:val="00081F0A"/>
    <w:rsid w:val="0009073B"/>
    <w:rsid w:val="000961C3"/>
    <w:rsid w:val="000A60FD"/>
    <w:rsid w:val="000B0783"/>
    <w:rsid w:val="000B2E1F"/>
    <w:rsid w:val="000B551E"/>
    <w:rsid w:val="000C33A8"/>
    <w:rsid w:val="000C63C7"/>
    <w:rsid w:val="000F196B"/>
    <w:rsid w:val="000F254D"/>
    <w:rsid w:val="000F4776"/>
    <w:rsid w:val="000F7ECD"/>
    <w:rsid w:val="0010103B"/>
    <w:rsid w:val="001047B6"/>
    <w:rsid w:val="001105F1"/>
    <w:rsid w:val="001155AD"/>
    <w:rsid w:val="00154D6E"/>
    <w:rsid w:val="00165A08"/>
    <w:rsid w:val="0018478C"/>
    <w:rsid w:val="00187D76"/>
    <w:rsid w:val="0019024D"/>
    <w:rsid w:val="001A3235"/>
    <w:rsid w:val="001C0606"/>
    <w:rsid w:val="001C08E1"/>
    <w:rsid w:val="001D706E"/>
    <w:rsid w:val="001E0535"/>
    <w:rsid w:val="001F302F"/>
    <w:rsid w:val="001F3431"/>
    <w:rsid w:val="001F6327"/>
    <w:rsid w:val="001F768F"/>
    <w:rsid w:val="002005E1"/>
    <w:rsid w:val="00206903"/>
    <w:rsid w:val="00206CD8"/>
    <w:rsid w:val="0021019D"/>
    <w:rsid w:val="00214C6A"/>
    <w:rsid w:val="00216FA1"/>
    <w:rsid w:val="00217FE2"/>
    <w:rsid w:val="00231385"/>
    <w:rsid w:val="0023140A"/>
    <w:rsid w:val="00231EBD"/>
    <w:rsid w:val="00233496"/>
    <w:rsid w:val="00234E1F"/>
    <w:rsid w:val="0024470F"/>
    <w:rsid w:val="002511A3"/>
    <w:rsid w:val="002515EF"/>
    <w:rsid w:val="00255D37"/>
    <w:rsid w:val="002606BF"/>
    <w:rsid w:val="00260BF7"/>
    <w:rsid w:val="00264056"/>
    <w:rsid w:val="0027077E"/>
    <w:rsid w:val="002708E6"/>
    <w:rsid w:val="00272AEF"/>
    <w:rsid w:val="002858DF"/>
    <w:rsid w:val="00292B4B"/>
    <w:rsid w:val="00293E18"/>
    <w:rsid w:val="002959D5"/>
    <w:rsid w:val="002A3262"/>
    <w:rsid w:val="002A3416"/>
    <w:rsid w:val="002A3A6B"/>
    <w:rsid w:val="002B417F"/>
    <w:rsid w:val="002B6182"/>
    <w:rsid w:val="002C1C27"/>
    <w:rsid w:val="002D015A"/>
    <w:rsid w:val="002E05E9"/>
    <w:rsid w:val="002E0F8D"/>
    <w:rsid w:val="002E150C"/>
    <w:rsid w:val="002E44B8"/>
    <w:rsid w:val="002E64B1"/>
    <w:rsid w:val="002E7EA7"/>
    <w:rsid w:val="002F5769"/>
    <w:rsid w:val="003076B0"/>
    <w:rsid w:val="00311BF6"/>
    <w:rsid w:val="00315531"/>
    <w:rsid w:val="003247BE"/>
    <w:rsid w:val="0033122C"/>
    <w:rsid w:val="003344D1"/>
    <w:rsid w:val="003413EC"/>
    <w:rsid w:val="0035494F"/>
    <w:rsid w:val="003564BA"/>
    <w:rsid w:val="003577A9"/>
    <w:rsid w:val="003579A9"/>
    <w:rsid w:val="00360332"/>
    <w:rsid w:val="003617E8"/>
    <w:rsid w:val="00371142"/>
    <w:rsid w:val="00387277"/>
    <w:rsid w:val="0039630F"/>
    <w:rsid w:val="003A02C0"/>
    <w:rsid w:val="003A32FC"/>
    <w:rsid w:val="003B1B96"/>
    <w:rsid w:val="003B2520"/>
    <w:rsid w:val="003B300D"/>
    <w:rsid w:val="003B60D8"/>
    <w:rsid w:val="003C1F5B"/>
    <w:rsid w:val="003D375B"/>
    <w:rsid w:val="003E5E2C"/>
    <w:rsid w:val="003F7245"/>
    <w:rsid w:val="003F74E8"/>
    <w:rsid w:val="00412404"/>
    <w:rsid w:val="004164DB"/>
    <w:rsid w:val="00435DF6"/>
    <w:rsid w:val="00436007"/>
    <w:rsid w:val="004378AB"/>
    <w:rsid w:val="00440C7B"/>
    <w:rsid w:val="004512F0"/>
    <w:rsid w:val="004549BB"/>
    <w:rsid w:val="00454D9B"/>
    <w:rsid w:val="00455262"/>
    <w:rsid w:val="004700D2"/>
    <w:rsid w:val="00473807"/>
    <w:rsid w:val="004837FA"/>
    <w:rsid w:val="004875D5"/>
    <w:rsid w:val="00490292"/>
    <w:rsid w:val="0049186D"/>
    <w:rsid w:val="00494913"/>
    <w:rsid w:val="00494CAC"/>
    <w:rsid w:val="00496B67"/>
    <w:rsid w:val="004A45CD"/>
    <w:rsid w:val="004A749B"/>
    <w:rsid w:val="004C3489"/>
    <w:rsid w:val="004E0348"/>
    <w:rsid w:val="004E0EA0"/>
    <w:rsid w:val="004E3CEA"/>
    <w:rsid w:val="004E6F6F"/>
    <w:rsid w:val="004F0722"/>
    <w:rsid w:val="004F1F0A"/>
    <w:rsid w:val="0050175C"/>
    <w:rsid w:val="00504142"/>
    <w:rsid w:val="00507ADD"/>
    <w:rsid w:val="00520977"/>
    <w:rsid w:val="00522C84"/>
    <w:rsid w:val="005278A1"/>
    <w:rsid w:val="0053297E"/>
    <w:rsid w:val="00542468"/>
    <w:rsid w:val="0054699E"/>
    <w:rsid w:val="00547761"/>
    <w:rsid w:val="0055151D"/>
    <w:rsid w:val="00552716"/>
    <w:rsid w:val="00556DAC"/>
    <w:rsid w:val="0056766E"/>
    <w:rsid w:val="005738DB"/>
    <w:rsid w:val="00576F0E"/>
    <w:rsid w:val="00580728"/>
    <w:rsid w:val="00580FDC"/>
    <w:rsid w:val="005826D6"/>
    <w:rsid w:val="0059216B"/>
    <w:rsid w:val="005A15B5"/>
    <w:rsid w:val="005A222C"/>
    <w:rsid w:val="005B1B1B"/>
    <w:rsid w:val="005B25E4"/>
    <w:rsid w:val="005C48DD"/>
    <w:rsid w:val="005C7521"/>
    <w:rsid w:val="005D06A2"/>
    <w:rsid w:val="005E03F6"/>
    <w:rsid w:val="005F6031"/>
    <w:rsid w:val="00606120"/>
    <w:rsid w:val="006073EA"/>
    <w:rsid w:val="00611DFD"/>
    <w:rsid w:val="00612898"/>
    <w:rsid w:val="00613C95"/>
    <w:rsid w:val="00614CD5"/>
    <w:rsid w:val="0061619F"/>
    <w:rsid w:val="00622ED5"/>
    <w:rsid w:val="00632CC9"/>
    <w:rsid w:val="00637B9D"/>
    <w:rsid w:val="006442F8"/>
    <w:rsid w:val="00681F0F"/>
    <w:rsid w:val="00682825"/>
    <w:rsid w:val="00682C62"/>
    <w:rsid w:val="006907C2"/>
    <w:rsid w:val="00690D41"/>
    <w:rsid w:val="006A4A98"/>
    <w:rsid w:val="006C11E1"/>
    <w:rsid w:val="006C2B80"/>
    <w:rsid w:val="006C4BF8"/>
    <w:rsid w:val="006E4F62"/>
    <w:rsid w:val="006F0EE1"/>
    <w:rsid w:val="006F32C8"/>
    <w:rsid w:val="006F44A0"/>
    <w:rsid w:val="00700B6D"/>
    <w:rsid w:val="007170FC"/>
    <w:rsid w:val="0073202F"/>
    <w:rsid w:val="0073713A"/>
    <w:rsid w:val="007446E5"/>
    <w:rsid w:val="00746105"/>
    <w:rsid w:val="0075506C"/>
    <w:rsid w:val="007678B9"/>
    <w:rsid w:val="00771C24"/>
    <w:rsid w:val="00771D2C"/>
    <w:rsid w:val="00782719"/>
    <w:rsid w:val="0078679B"/>
    <w:rsid w:val="00792770"/>
    <w:rsid w:val="00795C4E"/>
    <w:rsid w:val="007A0015"/>
    <w:rsid w:val="007A708F"/>
    <w:rsid w:val="007B6F4E"/>
    <w:rsid w:val="007D462E"/>
    <w:rsid w:val="007D4D3B"/>
    <w:rsid w:val="007D5C0E"/>
    <w:rsid w:val="007E1B93"/>
    <w:rsid w:val="007E5730"/>
    <w:rsid w:val="007E6C6E"/>
    <w:rsid w:val="007E7458"/>
    <w:rsid w:val="007E7CC3"/>
    <w:rsid w:val="007F351C"/>
    <w:rsid w:val="00802744"/>
    <w:rsid w:val="008234EE"/>
    <w:rsid w:val="008339A3"/>
    <w:rsid w:val="00846142"/>
    <w:rsid w:val="00876DD0"/>
    <w:rsid w:val="008772DE"/>
    <w:rsid w:val="008B6C32"/>
    <w:rsid w:val="008C5140"/>
    <w:rsid w:val="008C77F6"/>
    <w:rsid w:val="008D2402"/>
    <w:rsid w:val="008D36ED"/>
    <w:rsid w:val="008D46EA"/>
    <w:rsid w:val="008E637E"/>
    <w:rsid w:val="008F491F"/>
    <w:rsid w:val="008F5A53"/>
    <w:rsid w:val="00905E5A"/>
    <w:rsid w:val="009108D0"/>
    <w:rsid w:val="0091424F"/>
    <w:rsid w:val="009152A5"/>
    <w:rsid w:val="00916B9C"/>
    <w:rsid w:val="00921E0E"/>
    <w:rsid w:val="00924020"/>
    <w:rsid w:val="009308FE"/>
    <w:rsid w:val="00931611"/>
    <w:rsid w:val="0093445D"/>
    <w:rsid w:val="009347E2"/>
    <w:rsid w:val="009425EE"/>
    <w:rsid w:val="009513AC"/>
    <w:rsid w:val="00952D24"/>
    <w:rsid w:val="00956C51"/>
    <w:rsid w:val="00962940"/>
    <w:rsid w:val="009A7499"/>
    <w:rsid w:val="009B34D6"/>
    <w:rsid w:val="009C1925"/>
    <w:rsid w:val="009C1DFE"/>
    <w:rsid w:val="009C24A9"/>
    <w:rsid w:val="009C6E0E"/>
    <w:rsid w:val="009D698C"/>
    <w:rsid w:val="009D7142"/>
    <w:rsid w:val="009E3C95"/>
    <w:rsid w:val="009E63D0"/>
    <w:rsid w:val="009F5E28"/>
    <w:rsid w:val="00A0532D"/>
    <w:rsid w:val="00A21415"/>
    <w:rsid w:val="00A31E3E"/>
    <w:rsid w:val="00A37F40"/>
    <w:rsid w:val="00A42A47"/>
    <w:rsid w:val="00A42FB3"/>
    <w:rsid w:val="00A4406B"/>
    <w:rsid w:val="00A470DC"/>
    <w:rsid w:val="00A4740B"/>
    <w:rsid w:val="00A50688"/>
    <w:rsid w:val="00A60B77"/>
    <w:rsid w:val="00A62461"/>
    <w:rsid w:val="00A64C85"/>
    <w:rsid w:val="00A700B9"/>
    <w:rsid w:val="00A7139E"/>
    <w:rsid w:val="00A71936"/>
    <w:rsid w:val="00A73F5B"/>
    <w:rsid w:val="00A74AB7"/>
    <w:rsid w:val="00A7541E"/>
    <w:rsid w:val="00A771EA"/>
    <w:rsid w:val="00A85E1F"/>
    <w:rsid w:val="00AA16C0"/>
    <w:rsid w:val="00AA53F0"/>
    <w:rsid w:val="00AB1DAC"/>
    <w:rsid w:val="00AB4277"/>
    <w:rsid w:val="00AB5EEF"/>
    <w:rsid w:val="00AC30C6"/>
    <w:rsid w:val="00AD076E"/>
    <w:rsid w:val="00AD1EC4"/>
    <w:rsid w:val="00AD2AB2"/>
    <w:rsid w:val="00AD66EE"/>
    <w:rsid w:val="00AE2D04"/>
    <w:rsid w:val="00AE34C8"/>
    <w:rsid w:val="00B17EC7"/>
    <w:rsid w:val="00B25021"/>
    <w:rsid w:val="00B30416"/>
    <w:rsid w:val="00B42531"/>
    <w:rsid w:val="00B43B2D"/>
    <w:rsid w:val="00B47565"/>
    <w:rsid w:val="00B50AC0"/>
    <w:rsid w:val="00B53B5F"/>
    <w:rsid w:val="00B94AD0"/>
    <w:rsid w:val="00BA4777"/>
    <w:rsid w:val="00BA7C8D"/>
    <w:rsid w:val="00BB0EDA"/>
    <w:rsid w:val="00BC1E01"/>
    <w:rsid w:val="00BD01AC"/>
    <w:rsid w:val="00BD6DED"/>
    <w:rsid w:val="00BE45E6"/>
    <w:rsid w:val="00BE55CB"/>
    <w:rsid w:val="00BE67CE"/>
    <w:rsid w:val="00BF29AD"/>
    <w:rsid w:val="00BF585E"/>
    <w:rsid w:val="00BF6A48"/>
    <w:rsid w:val="00C06E81"/>
    <w:rsid w:val="00C1176F"/>
    <w:rsid w:val="00C45ECD"/>
    <w:rsid w:val="00C50561"/>
    <w:rsid w:val="00C51C6F"/>
    <w:rsid w:val="00C64A6E"/>
    <w:rsid w:val="00C80E44"/>
    <w:rsid w:val="00C8171A"/>
    <w:rsid w:val="00C823A9"/>
    <w:rsid w:val="00C8591F"/>
    <w:rsid w:val="00C977EF"/>
    <w:rsid w:val="00CA7F97"/>
    <w:rsid w:val="00CB2C9B"/>
    <w:rsid w:val="00CB650C"/>
    <w:rsid w:val="00CB656F"/>
    <w:rsid w:val="00CB7A22"/>
    <w:rsid w:val="00CC0E19"/>
    <w:rsid w:val="00CC46B5"/>
    <w:rsid w:val="00CC5D4A"/>
    <w:rsid w:val="00CE6B30"/>
    <w:rsid w:val="00CF3464"/>
    <w:rsid w:val="00CF5EBB"/>
    <w:rsid w:val="00CF6361"/>
    <w:rsid w:val="00D0189A"/>
    <w:rsid w:val="00D01FEB"/>
    <w:rsid w:val="00D05EB9"/>
    <w:rsid w:val="00D07792"/>
    <w:rsid w:val="00D1069E"/>
    <w:rsid w:val="00D13E50"/>
    <w:rsid w:val="00D14F32"/>
    <w:rsid w:val="00D23FCF"/>
    <w:rsid w:val="00D25AFF"/>
    <w:rsid w:val="00D27820"/>
    <w:rsid w:val="00D306C9"/>
    <w:rsid w:val="00D367E4"/>
    <w:rsid w:val="00D37F9E"/>
    <w:rsid w:val="00D44CE3"/>
    <w:rsid w:val="00D4541E"/>
    <w:rsid w:val="00D47C49"/>
    <w:rsid w:val="00D57295"/>
    <w:rsid w:val="00D63841"/>
    <w:rsid w:val="00D642EC"/>
    <w:rsid w:val="00D66FA3"/>
    <w:rsid w:val="00D73819"/>
    <w:rsid w:val="00D84A1E"/>
    <w:rsid w:val="00D85602"/>
    <w:rsid w:val="00D92EC1"/>
    <w:rsid w:val="00D93C70"/>
    <w:rsid w:val="00D94510"/>
    <w:rsid w:val="00D97882"/>
    <w:rsid w:val="00DA3AC9"/>
    <w:rsid w:val="00DA3CA5"/>
    <w:rsid w:val="00DB14A8"/>
    <w:rsid w:val="00DB2241"/>
    <w:rsid w:val="00DC6C12"/>
    <w:rsid w:val="00DD4A50"/>
    <w:rsid w:val="00DF6B67"/>
    <w:rsid w:val="00E003D9"/>
    <w:rsid w:val="00E033D5"/>
    <w:rsid w:val="00E04F18"/>
    <w:rsid w:val="00E13A65"/>
    <w:rsid w:val="00E13AA8"/>
    <w:rsid w:val="00E21CA4"/>
    <w:rsid w:val="00E33501"/>
    <w:rsid w:val="00E6034A"/>
    <w:rsid w:val="00E71445"/>
    <w:rsid w:val="00E905E6"/>
    <w:rsid w:val="00E91692"/>
    <w:rsid w:val="00EA2BEB"/>
    <w:rsid w:val="00EB18D0"/>
    <w:rsid w:val="00EB27B0"/>
    <w:rsid w:val="00EB549E"/>
    <w:rsid w:val="00EC0D67"/>
    <w:rsid w:val="00EC2887"/>
    <w:rsid w:val="00EC2AA0"/>
    <w:rsid w:val="00ED281E"/>
    <w:rsid w:val="00ED537B"/>
    <w:rsid w:val="00EE4E62"/>
    <w:rsid w:val="00EE7AEC"/>
    <w:rsid w:val="00EF5C76"/>
    <w:rsid w:val="00F00323"/>
    <w:rsid w:val="00F04223"/>
    <w:rsid w:val="00F04AF2"/>
    <w:rsid w:val="00F13206"/>
    <w:rsid w:val="00F21F38"/>
    <w:rsid w:val="00F22112"/>
    <w:rsid w:val="00F245B9"/>
    <w:rsid w:val="00F30473"/>
    <w:rsid w:val="00F304B7"/>
    <w:rsid w:val="00F31A30"/>
    <w:rsid w:val="00F34A01"/>
    <w:rsid w:val="00F5217F"/>
    <w:rsid w:val="00F525A4"/>
    <w:rsid w:val="00F53FCE"/>
    <w:rsid w:val="00F7680B"/>
    <w:rsid w:val="00F77AC4"/>
    <w:rsid w:val="00F81A8D"/>
    <w:rsid w:val="00F84133"/>
    <w:rsid w:val="00F92CF8"/>
    <w:rsid w:val="00F94FC4"/>
    <w:rsid w:val="00F96D6A"/>
    <w:rsid w:val="00FB1351"/>
    <w:rsid w:val="00FB31E2"/>
    <w:rsid w:val="00FB5A87"/>
    <w:rsid w:val="00FB714E"/>
    <w:rsid w:val="00FC1392"/>
    <w:rsid w:val="00FC13EB"/>
    <w:rsid w:val="00FC18EA"/>
    <w:rsid w:val="00FC1DB4"/>
    <w:rsid w:val="00FD28C8"/>
    <w:rsid w:val="00FE21C2"/>
    <w:rsid w:val="00FE7123"/>
    <w:rsid w:val="00FF061B"/>
    <w:rsid w:val="00FF1DB6"/>
    <w:rsid w:val="00FF30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E165"/>
  <w15:chartTrackingRefBased/>
  <w15:docId w15:val="{4805AC79-D7B2-4B85-830E-C5658296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31E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71142"/>
    <w:rPr>
      <w:color w:val="808080"/>
    </w:rPr>
  </w:style>
  <w:style w:type="table" w:styleId="Tablaconcuadrcula">
    <w:name w:val="Table Grid"/>
    <w:basedOn w:val="Tablanormal"/>
    <w:uiPriority w:val="39"/>
    <w:rsid w:val="00360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FTnormal">
    <w:name w:val="IFT normal"/>
    <w:basedOn w:val="Normal"/>
    <w:link w:val="IFTnormalCar"/>
    <w:qFormat/>
    <w:rsid w:val="00CB656F"/>
    <w:pPr>
      <w:spacing w:after="200" w:line="276" w:lineRule="auto"/>
      <w:jc w:val="both"/>
    </w:pPr>
    <w:rPr>
      <w:rFonts w:ascii="ITC Avant Garde" w:eastAsia="Calibri" w:hAnsi="ITC Avant Garde" w:cs="Calibri"/>
      <w:bCs/>
    </w:rPr>
  </w:style>
  <w:style w:type="character" w:customStyle="1" w:styleId="IFTnormalCar">
    <w:name w:val="IFT normal Car"/>
    <w:basedOn w:val="Fuentedeprrafopredeter"/>
    <w:link w:val="IFTnormal"/>
    <w:qFormat/>
    <w:rsid w:val="00CB656F"/>
    <w:rPr>
      <w:rFonts w:ascii="ITC Avant Garde" w:eastAsia="Calibri" w:hAnsi="ITC Avant Garde" w:cs="Calibri"/>
      <w:bCs/>
    </w:rPr>
  </w:style>
  <w:style w:type="character" w:customStyle="1" w:styleId="apple-converted-space">
    <w:name w:val="apple-converted-space"/>
    <w:basedOn w:val="Fuentedeprrafopredeter"/>
    <w:rsid w:val="003076B0"/>
  </w:style>
  <w:style w:type="paragraph" w:styleId="Prrafodelista">
    <w:name w:val="List Paragraph"/>
    <w:aliases w:val="prueba1"/>
    <w:basedOn w:val="Normal"/>
    <w:link w:val="PrrafodelistaCar"/>
    <w:uiPriority w:val="34"/>
    <w:qFormat/>
    <w:rsid w:val="00795C4E"/>
    <w:pPr>
      <w:ind w:left="720"/>
      <w:contextualSpacing/>
    </w:pPr>
  </w:style>
  <w:style w:type="character" w:styleId="Refdecomentario">
    <w:name w:val="annotation reference"/>
    <w:basedOn w:val="Fuentedeprrafopredeter"/>
    <w:uiPriority w:val="99"/>
    <w:semiHidden/>
    <w:unhideWhenUsed/>
    <w:rsid w:val="006F44A0"/>
    <w:rPr>
      <w:sz w:val="16"/>
      <w:szCs w:val="16"/>
    </w:rPr>
  </w:style>
  <w:style w:type="paragraph" w:styleId="Textocomentario">
    <w:name w:val="annotation text"/>
    <w:basedOn w:val="Normal"/>
    <w:link w:val="TextocomentarioCar"/>
    <w:uiPriority w:val="99"/>
    <w:semiHidden/>
    <w:unhideWhenUsed/>
    <w:rsid w:val="006F44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44A0"/>
    <w:rPr>
      <w:sz w:val="20"/>
      <w:szCs w:val="20"/>
    </w:rPr>
  </w:style>
  <w:style w:type="paragraph" w:styleId="Asuntodelcomentario">
    <w:name w:val="annotation subject"/>
    <w:basedOn w:val="Textocomentario"/>
    <w:next w:val="Textocomentario"/>
    <w:link w:val="AsuntodelcomentarioCar"/>
    <w:uiPriority w:val="99"/>
    <w:semiHidden/>
    <w:unhideWhenUsed/>
    <w:rsid w:val="006F44A0"/>
    <w:rPr>
      <w:b/>
      <w:bCs/>
    </w:rPr>
  </w:style>
  <w:style w:type="character" w:customStyle="1" w:styleId="AsuntodelcomentarioCar">
    <w:name w:val="Asunto del comentario Car"/>
    <w:basedOn w:val="TextocomentarioCar"/>
    <w:link w:val="Asuntodelcomentario"/>
    <w:uiPriority w:val="99"/>
    <w:semiHidden/>
    <w:rsid w:val="006F44A0"/>
    <w:rPr>
      <w:b/>
      <w:bCs/>
      <w:sz w:val="20"/>
      <w:szCs w:val="20"/>
    </w:rPr>
  </w:style>
  <w:style w:type="paragraph" w:styleId="Textodeglobo">
    <w:name w:val="Balloon Text"/>
    <w:basedOn w:val="Normal"/>
    <w:link w:val="TextodegloboCar"/>
    <w:uiPriority w:val="99"/>
    <w:semiHidden/>
    <w:unhideWhenUsed/>
    <w:rsid w:val="006F44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44A0"/>
    <w:rPr>
      <w:rFonts w:ascii="Segoe UI" w:hAnsi="Segoe UI" w:cs="Segoe UI"/>
      <w:sz w:val="18"/>
      <w:szCs w:val="18"/>
    </w:rPr>
  </w:style>
  <w:style w:type="character" w:customStyle="1" w:styleId="PrrafodelistaCar">
    <w:name w:val="Párrafo de lista Car"/>
    <w:aliases w:val="prueba1 Car"/>
    <w:link w:val="Prrafodelista"/>
    <w:uiPriority w:val="34"/>
    <w:qFormat/>
    <w:rsid w:val="00F77AC4"/>
  </w:style>
  <w:style w:type="paragraph" w:customStyle="1" w:styleId="Default">
    <w:name w:val="Default"/>
    <w:rsid w:val="00315531"/>
    <w:pPr>
      <w:autoSpaceDE w:val="0"/>
      <w:autoSpaceDN w:val="0"/>
      <w:adjustRightInd w:val="0"/>
      <w:spacing w:after="0" w:line="240" w:lineRule="auto"/>
    </w:pPr>
    <w:rPr>
      <w:rFonts w:ascii="Verdana" w:hAnsi="Verdana" w:cs="Verdana"/>
      <w:color w:val="000000"/>
      <w:sz w:val="24"/>
      <w:szCs w:val="24"/>
    </w:rPr>
  </w:style>
  <w:style w:type="paragraph" w:styleId="Revisin">
    <w:name w:val="Revision"/>
    <w:hidden/>
    <w:uiPriority w:val="99"/>
    <w:semiHidden/>
    <w:rsid w:val="00746105"/>
    <w:pPr>
      <w:spacing w:after="0" w:line="240" w:lineRule="auto"/>
    </w:pPr>
  </w:style>
  <w:style w:type="character" w:customStyle="1" w:styleId="Ttulo1Car">
    <w:name w:val="Título 1 Car"/>
    <w:basedOn w:val="Fuentedeprrafopredeter"/>
    <w:link w:val="Ttulo1"/>
    <w:uiPriority w:val="9"/>
    <w:rsid w:val="00231EB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07/relationships/hdphoto" Target="media/hdphoto1.wdp"/><Relationship Id="rId24" Type="http://schemas.openxmlformats.org/officeDocument/2006/relationships/image" Target="media/image15.png"/><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4dbda22cbb82be97b437f19ff561d34f">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62E70-89EE-4B1F-BA2D-9AC90B731F45}">
  <ds:schemaRefs>
    <ds:schemaRef ds:uri="http://schemas.microsoft.com/sharepoint/v3/contenttype/forms"/>
  </ds:schemaRefs>
</ds:datastoreItem>
</file>

<file path=customXml/itemProps2.xml><?xml version="1.0" encoding="utf-8"?>
<ds:datastoreItem xmlns:ds="http://schemas.openxmlformats.org/officeDocument/2006/customXml" ds:itemID="{71B887E5-D168-4B6D-BE68-D4B0828A8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A84317-921B-4FF0-B27C-2DBD344F86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F43B7F-F69B-447E-A95B-79731FAD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2285</Words>
  <Characters>12569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Rodriguez Chavarria</dc:creator>
  <cp:keywords/>
  <dc:description/>
  <cp:lastModifiedBy>Cesar Zamora Martinez</cp:lastModifiedBy>
  <cp:revision>2</cp:revision>
  <dcterms:created xsi:type="dcterms:W3CDTF">2016-10-05T18:29:00Z</dcterms:created>
  <dcterms:modified xsi:type="dcterms:W3CDTF">2016-10-05T18:29:00Z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