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867BC" w14:textId="77777777" w:rsidR="007E036D" w:rsidRDefault="007E036D" w:rsidP="007E036D">
      <w:pPr>
        <w:pStyle w:val="Contentsheading"/>
        <w:rPr>
          <w:rFonts w:ascii="ITC Avant Garde" w:hAnsi="ITC Avant Garde" w:cs="Arial"/>
        </w:rPr>
      </w:pPr>
    </w:p>
    <w:p w14:paraId="4A906C0A" w14:textId="77777777" w:rsidR="007E036D" w:rsidRPr="001521C3" w:rsidRDefault="007E036D" w:rsidP="007E036D">
      <w:pPr>
        <w:pStyle w:val="Contentsheading"/>
        <w:rPr>
          <w:rFonts w:ascii="ITC Avant Garde" w:hAnsi="ITC Avant Garde" w:cs="Arial"/>
          <w:szCs w:val="40"/>
        </w:rPr>
      </w:pPr>
      <w:r w:rsidRPr="001521C3">
        <w:rPr>
          <w:rFonts w:ascii="ITC Avant Garde" w:hAnsi="ITC Avant Garde" w:cs="Arial"/>
          <w:szCs w:val="40"/>
        </w:rPr>
        <w:t>INSTITUTO FEDERAL DE TELECOMUNICACIONES</w:t>
      </w:r>
    </w:p>
    <w:p w14:paraId="218DA62F" w14:textId="77777777" w:rsidR="007E036D" w:rsidRPr="007E036D" w:rsidRDefault="007E036D" w:rsidP="007E036D">
      <w:pPr>
        <w:pStyle w:val="Contentsheading"/>
        <w:rPr>
          <w:rFonts w:ascii="ITC Avant Garde" w:hAnsi="ITC Avant Garde" w:cs="Arial"/>
        </w:rPr>
      </w:pPr>
    </w:p>
    <w:p w14:paraId="522D17CA" w14:textId="6BA61813" w:rsidR="00912247" w:rsidRDefault="007E036D" w:rsidP="000D1139">
      <w:pPr>
        <w:pStyle w:val="Contentsheading"/>
        <w:spacing w:after="0"/>
        <w:rPr>
          <w:rFonts w:ascii="ITC Avant Garde" w:hAnsi="ITC Avant Garde" w:cs="Arial"/>
        </w:rPr>
      </w:pPr>
      <w:r w:rsidRPr="007E036D">
        <w:rPr>
          <w:rFonts w:ascii="ITC Avant Garde" w:hAnsi="ITC Avant Garde" w:cs="Arial"/>
        </w:rPr>
        <w:t xml:space="preserve">Consulta pública de los Modelos de Costos de </w:t>
      </w:r>
      <w:r w:rsidR="000D1139">
        <w:rPr>
          <w:rFonts w:ascii="ITC Avant Garde" w:hAnsi="ITC Avant Garde" w:cs="Arial"/>
        </w:rPr>
        <w:t xml:space="preserve">los </w:t>
      </w:r>
      <w:r w:rsidRPr="007E036D">
        <w:rPr>
          <w:rFonts w:ascii="ITC Avant Garde" w:hAnsi="ITC Avant Garde" w:cs="Arial"/>
        </w:rPr>
        <w:t>servicios de interconexión fijos y móviles</w:t>
      </w:r>
      <w:r w:rsidR="000D1139">
        <w:rPr>
          <w:rFonts w:ascii="ITC Avant Garde" w:hAnsi="ITC Avant Garde" w:cs="Arial"/>
        </w:rPr>
        <w:t xml:space="preserve"> aplicables al periodo 2018-2020</w:t>
      </w:r>
    </w:p>
    <w:p w14:paraId="5DF679BA" w14:textId="77777777" w:rsidR="00912247" w:rsidRDefault="00912247">
      <w:pPr>
        <w:spacing w:after="0" w:line="240" w:lineRule="auto"/>
        <w:rPr>
          <w:rFonts w:ascii="ITC Avant Garde" w:hAnsi="ITC Avant Garde" w:cs="Arial"/>
          <w:sz w:val="40"/>
          <w:lang w:val="es-ES"/>
        </w:rPr>
      </w:pPr>
      <w:r>
        <w:rPr>
          <w:rFonts w:ascii="ITC Avant Garde" w:hAnsi="ITC Avant Garde" w:cs="Arial"/>
        </w:rPr>
        <w:br w:type="page"/>
      </w:r>
    </w:p>
    <w:p w14:paraId="0AD56E98" w14:textId="77777777" w:rsidR="007E036D" w:rsidRDefault="007E036D" w:rsidP="007E036D">
      <w:pPr>
        <w:pStyle w:val="Contentsheading"/>
        <w:rPr>
          <w:rFonts w:ascii="ITC Avant Garde" w:hAnsi="ITC Avant Garde" w:cs="Arial"/>
        </w:rPr>
      </w:pPr>
    </w:p>
    <w:p w14:paraId="39007052" w14:textId="77777777" w:rsidR="002816EE" w:rsidRPr="00FD41B9" w:rsidRDefault="002816EE" w:rsidP="007E036D">
      <w:pPr>
        <w:pStyle w:val="Contentsheading"/>
        <w:rPr>
          <w:rFonts w:ascii="ITC Avant Garde" w:hAnsi="ITC Avant Garde" w:cs="Arial"/>
        </w:rPr>
      </w:pPr>
      <w:r w:rsidRPr="00FD41B9">
        <w:rPr>
          <w:rFonts w:ascii="ITC Avant Garde" w:hAnsi="ITC Avant Garde" w:cs="Arial"/>
        </w:rPr>
        <w:t>Índice de contenidos</w:t>
      </w:r>
    </w:p>
    <w:p w14:paraId="60E1CEFB" w14:textId="77777777" w:rsidR="002816EE" w:rsidRPr="00FD41B9" w:rsidRDefault="002816EE" w:rsidP="007E036D">
      <w:pPr>
        <w:pStyle w:val="TDC1"/>
        <w:rPr>
          <w:rFonts w:ascii="ITC Avant Garde" w:eastAsiaTheme="minorEastAsia" w:hAnsi="ITC Avant Garde" w:cstheme="minorBidi"/>
          <w:b w:val="0"/>
          <w:noProof/>
          <w:lang w:eastAsia="es-ES"/>
        </w:rPr>
      </w:pPr>
      <w:r w:rsidRPr="00FD41B9">
        <w:rPr>
          <w:rFonts w:ascii="ITC Avant Garde" w:hAnsi="ITC Avant Garde" w:cs="Arial"/>
        </w:rPr>
        <w:fldChar w:fldCharType="begin"/>
      </w:r>
      <w:r w:rsidRPr="00FD41B9">
        <w:rPr>
          <w:rFonts w:ascii="ITC Avant Garde" w:hAnsi="ITC Avant Garde" w:cs="Arial"/>
        </w:rPr>
        <w:instrText xml:space="preserve"> TOC \t "Heading 1,1, Heading 2,2" </w:instrText>
      </w:r>
      <w:r w:rsidRPr="00FD41B9">
        <w:rPr>
          <w:rFonts w:ascii="ITC Avant Garde" w:hAnsi="ITC Avant Garde" w:cs="Arial"/>
        </w:rPr>
        <w:fldChar w:fldCharType="separate"/>
      </w:r>
      <w:r w:rsidRPr="00FD41B9">
        <w:rPr>
          <w:rFonts w:ascii="ITC Avant Garde" w:hAnsi="ITC Avant Garde" w:cs="Arial"/>
          <w:noProof/>
        </w:rPr>
        <w:t>1</w:t>
      </w:r>
      <w:r w:rsidRPr="00FD41B9">
        <w:rPr>
          <w:rFonts w:ascii="ITC Avant Garde" w:eastAsiaTheme="minorEastAsia" w:hAnsi="ITC Avant Garde" w:cstheme="minorBidi"/>
          <w:b w:val="0"/>
          <w:noProof/>
          <w:lang w:eastAsia="es-ES"/>
        </w:rPr>
        <w:tab/>
      </w:r>
      <w:r w:rsidRPr="00FD41B9">
        <w:rPr>
          <w:rFonts w:ascii="ITC Avant Garde" w:hAnsi="ITC Avant Garde" w:cs="Arial"/>
          <w:noProof/>
        </w:rPr>
        <w:t>Introducción</w:t>
      </w:r>
      <w:r w:rsidRPr="00FD41B9">
        <w:rPr>
          <w:rFonts w:ascii="ITC Avant Garde" w:hAnsi="ITC Avant Garde"/>
          <w:noProof/>
        </w:rPr>
        <w:tab/>
      </w:r>
      <w:r w:rsidRPr="00FD41B9">
        <w:rPr>
          <w:rFonts w:ascii="ITC Avant Garde" w:hAnsi="ITC Avant Garde"/>
          <w:noProof/>
        </w:rPr>
        <w:fldChar w:fldCharType="begin"/>
      </w:r>
      <w:r w:rsidRPr="00FD41B9">
        <w:rPr>
          <w:rFonts w:ascii="ITC Avant Garde" w:hAnsi="ITC Avant Garde"/>
          <w:noProof/>
        </w:rPr>
        <w:instrText xml:space="preserve"> PAGEREF _Toc323285054 \h </w:instrText>
      </w:r>
      <w:r w:rsidRPr="00FD41B9">
        <w:rPr>
          <w:rFonts w:ascii="ITC Avant Garde" w:hAnsi="ITC Avant Garde"/>
          <w:noProof/>
        </w:rPr>
      </w:r>
      <w:r w:rsidRPr="00FD41B9">
        <w:rPr>
          <w:rFonts w:ascii="ITC Avant Garde" w:hAnsi="ITC Avant Garde"/>
          <w:noProof/>
        </w:rPr>
        <w:fldChar w:fldCharType="separate"/>
      </w:r>
      <w:r w:rsidR="00114683">
        <w:rPr>
          <w:rFonts w:ascii="ITC Avant Garde" w:hAnsi="ITC Avant Garde"/>
          <w:noProof/>
        </w:rPr>
        <w:t>3</w:t>
      </w:r>
      <w:r w:rsidRPr="00FD41B9">
        <w:rPr>
          <w:rFonts w:ascii="ITC Avant Garde" w:hAnsi="ITC Avant Garde"/>
          <w:noProof/>
        </w:rPr>
        <w:fldChar w:fldCharType="end"/>
      </w:r>
    </w:p>
    <w:p w14:paraId="51CE612D" w14:textId="77777777" w:rsidR="002816EE" w:rsidRPr="00FD41B9" w:rsidRDefault="002816EE" w:rsidP="007E036D">
      <w:pPr>
        <w:pStyle w:val="TDC1"/>
        <w:rPr>
          <w:rFonts w:ascii="ITC Avant Garde" w:eastAsiaTheme="minorEastAsia" w:hAnsi="ITC Avant Garde" w:cstheme="minorBidi"/>
          <w:b w:val="0"/>
          <w:noProof/>
          <w:lang w:eastAsia="es-ES"/>
        </w:rPr>
      </w:pPr>
      <w:r w:rsidRPr="00FD41B9">
        <w:rPr>
          <w:rFonts w:ascii="ITC Avant Garde" w:hAnsi="ITC Avant Garde" w:cs="Arial"/>
          <w:noProof/>
        </w:rPr>
        <w:t>2</w:t>
      </w:r>
      <w:r w:rsidRPr="00FD41B9">
        <w:rPr>
          <w:rFonts w:ascii="ITC Avant Garde" w:eastAsiaTheme="minorEastAsia" w:hAnsi="ITC Avant Garde" w:cstheme="minorBidi"/>
          <w:b w:val="0"/>
          <w:noProof/>
          <w:lang w:eastAsia="es-ES"/>
        </w:rPr>
        <w:tab/>
      </w:r>
      <w:r w:rsidRPr="00FD41B9">
        <w:rPr>
          <w:rFonts w:ascii="ITC Avant Garde" w:hAnsi="ITC Avant Garde" w:cs="Arial"/>
          <w:noProof/>
        </w:rPr>
        <w:t>Objetivo de la consulta pública</w:t>
      </w:r>
      <w:r w:rsidRPr="00FD41B9">
        <w:rPr>
          <w:rFonts w:ascii="ITC Avant Garde" w:hAnsi="ITC Avant Garde"/>
          <w:noProof/>
        </w:rPr>
        <w:tab/>
      </w:r>
      <w:r w:rsidRPr="00FD41B9">
        <w:rPr>
          <w:rFonts w:ascii="ITC Avant Garde" w:hAnsi="ITC Avant Garde"/>
          <w:noProof/>
        </w:rPr>
        <w:fldChar w:fldCharType="begin"/>
      </w:r>
      <w:r w:rsidRPr="00FD41B9">
        <w:rPr>
          <w:rFonts w:ascii="ITC Avant Garde" w:hAnsi="ITC Avant Garde"/>
          <w:noProof/>
        </w:rPr>
        <w:instrText xml:space="preserve"> PAGEREF _Toc323285055 \h </w:instrText>
      </w:r>
      <w:r w:rsidRPr="00FD41B9">
        <w:rPr>
          <w:rFonts w:ascii="ITC Avant Garde" w:hAnsi="ITC Avant Garde"/>
          <w:noProof/>
        </w:rPr>
      </w:r>
      <w:r w:rsidRPr="00FD41B9">
        <w:rPr>
          <w:rFonts w:ascii="ITC Avant Garde" w:hAnsi="ITC Avant Garde"/>
          <w:noProof/>
        </w:rPr>
        <w:fldChar w:fldCharType="separate"/>
      </w:r>
      <w:r w:rsidR="00114683">
        <w:rPr>
          <w:rFonts w:ascii="ITC Avant Garde" w:hAnsi="ITC Avant Garde"/>
          <w:noProof/>
        </w:rPr>
        <w:t>6</w:t>
      </w:r>
      <w:r w:rsidRPr="00FD41B9">
        <w:rPr>
          <w:rFonts w:ascii="ITC Avant Garde" w:hAnsi="ITC Avant Garde"/>
          <w:noProof/>
        </w:rPr>
        <w:fldChar w:fldCharType="end"/>
      </w:r>
    </w:p>
    <w:p w14:paraId="7572EE0F" w14:textId="77777777" w:rsidR="002816EE" w:rsidRPr="00FD41B9" w:rsidRDefault="002816EE" w:rsidP="007E036D">
      <w:pPr>
        <w:pStyle w:val="TDC1"/>
        <w:rPr>
          <w:rFonts w:ascii="ITC Avant Garde" w:eastAsiaTheme="minorEastAsia" w:hAnsi="ITC Avant Garde" w:cstheme="minorBidi"/>
          <w:b w:val="0"/>
          <w:noProof/>
          <w:lang w:eastAsia="es-ES"/>
        </w:rPr>
      </w:pPr>
      <w:r w:rsidRPr="00FD41B9">
        <w:rPr>
          <w:rFonts w:ascii="ITC Avant Garde" w:hAnsi="ITC Avant Garde" w:cs="Arial"/>
          <w:noProof/>
        </w:rPr>
        <w:t>3</w:t>
      </w:r>
      <w:r w:rsidRPr="00FD41B9">
        <w:rPr>
          <w:rFonts w:ascii="ITC Avant Garde" w:eastAsiaTheme="minorEastAsia" w:hAnsi="ITC Avant Garde" w:cstheme="minorBidi"/>
          <w:b w:val="0"/>
          <w:noProof/>
          <w:lang w:eastAsia="es-ES"/>
        </w:rPr>
        <w:tab/>
      </w:r>
      <w:r w:rsidRPr="00FD41B9">
        <w:rPr>
          <w:rFonts w:ascii="ITC Avant Garde" w:hAnsi="ITC Avant Garde" w:cs="Arial"/>
          <w:noProof/>
        </w:rPr>
        <w:t>Cuestiones sometidas a Consulta</w:t>
      </w:r>
      <w:r w:rsidRPr="00FD41B9">
        <w:rPr>
          <w:rFonts w:ascii="ITC Avant Garde" w:hAnsi="ITC Avant Garde"/>
          <w:noProof/>
        </w:rPr>
        <w:tab/>
      </w:r>
      <w:r w:rsidRPr="00FD41B9">
        <w:rPr>
          <w:rFonts w:ascii="ITC Avant Garde" w:hAnsi="ITC Avant Garde"/>
          <w:noProof/>
        </w:rPr>
        <w:fldChar w:fldCharType="begin"/>
      </w:r>
      <w:r w:rsidRPr="00FD41B9">
        <w:rPr>
          <w:rFonts w:ascii="ITC Avant Garde" w:hAnsi="ITC Avant Garde"/>
          <w:noProof/>
        </w:rPr>
        <w:instrText xml:space="preserve"> PAGEREF _Toc323285056 \h </w:instrText>
      </w:r>
      <w:r w:rsidRPr="00FD41B9">
        <w:rPr>
          <w:rFonts w:ascii="ITC Avant Garde" w:hAnsi="ITC Avant Garde"/>
          <w:noProof/>
        </w:rPr>
      </w:r>
      <w:r w:rsidRPr="00FD41B9">
        <w:rPr>
          <w:rFonts w:ascii="ITC Avant Garde" w:hAnsi="ITC Avant Garde"/>
          <w:noProof/>
        </w:rPr>
        <w:fldChar w:fldCharType="separate"/>
      </w:r>
      <w:r w:rsidR="00114683">
        <w:rPr>
          <w:rFonts w:ascii="ITC Avant Garde" w:hAnsi="ITC Avant Garde"/>
          <w:noProof/>
        </w:rPr>
        <w:t>8</w:t>
      </w:r>
      <w:r w:rsidRPr="00FD41B9">
        <w:rPr>
          <w:rFonts w:ascii="ITC Avant Garde" w:hAnsi="ITC Avant Garde"/>
          <w:noProof/>
        </w:rPr>
        <w:fldChar w:fldCharType="end"/>
      </w:r>
    </w:p>
    <w:p w14:paraId="5523B92C" w14:textId="77777777" w:rsidR="002816EE" w:rsidRPr="00FD41B9" w:rsidRDefault="002816EE" w:rsidP="007E036D">
      <w:pPr>
        <w:pStyle w:val="TDC2"/>
        <w:rPr>
          <w:rFonts w:ascii="ITC Avant Garde" w:eastAsiaTheme="minorEastAsia" w:hAnsi="ITC Avant Garde" w:cstheme="minorBidi"/>
          <w:lang w:eastAsia="es-ES"/>
        </w:rPr>
      </w:pPr>
      <w:r w:rsidRPr="00FD41B9">
        <w:rPr>
          <w:rFonts w:ascii="ITC Avant Garde" w:hAnsi="ITC Avant Garde" w:cs="Arial"/>
        </w:rPr>
        <w:t>3.1</w:t>
      </w:r>
      <w:r w:rsidRPr="00FD41B9">
        <w:rPr>
          <w:rFonts w:ascii="ITC Avant Garde" w:eastAsiaTheme="minorEastAsia" w:hAnsi="ITC Avant Garde" w:cstheme="minorBidi"/>
          <w:lang w:eastAsia="es-ES"/>
        </w:rPr>
        <w:tab/>
      </w:r>
      <w:r w:rsidRPr="00FD41B9">
        <w:rPr>
          <w:rFonts w:ascii="ITC Avant Garde" w:hAnsi="ITC Avant Garde" w:cs="Arial"/>
        </w:rPr>
        <w:t>Principios generales del modelo</w:t>
      </w:r>
      <w:r w:rsidRPr="00FD41B9">
        <w:rPr>
          <w:rFonts w:ascii="ITC Avant Garde" w:hAnsi="ITC Avant Garde"/>
        </w:rPr>
        <w:tab/>
      </w:r>
      <w:r w:rsidRPr="00FD41B9">
        <w:rPr>
          <w:rFonts w:ascii="ITC Avant Garde" w:hAnsi="ITC Avant Garde"/>
        </w:rPr>
        <w:fldChar w:fldCharType="begin"/>
      </w:r>
      <w:r w:rsidRPr="00FD41B9">
        <w:rPr>
          <w:rFonts w:ascii="ITC Avant Garde" w:hAnsi="ITC Avant Garde"/>
        </w:rPr>
        <w:instrText xml:space="preserve"> PAGEREF _Toc323285057 \h </w:instrText>
      </w:r>
      <w:r w:rsidRPr="00FD41B9">
        <w:rPr>
          <w:rFonts w:ascii="ITC Avant Garde" w:hAnsi="ITC Avant Garde"/>
        </w:rPr>
      </w:r>
      <w:r w:rsidRPr="00FD41B9">
        <w:rPr>
          <w:rFonts w:ascii="ITC Avant Garde" w:hAnsi="ITC Avant Garde"/>
        </w:rPr>
        <w:fldChar w:fldCharType="separate"/>
      </w:r>
      <w:r w:rsidR="00114683">
        <w:rPr>
          <w:rFonts w:ascii="ITC Avant Garde" w:hAnsi="ITC Avant Garde"/>
        </w:rPr>
        <w:t>10</w:t>
      </w:r>
      <w:r w:rsidRPr="00FD41B9">
        <w:rPr>
          <w:rFonts w:ascii="ITC Avant Garde" w:hAnsi="ITC Avant Garde"/>
        </w:rPr>
        <w:fldChar w:fldCharType="end"/>
      </w:r>
    </w:p>
    <w:p w14:paraId="5683B369" w14:textId="77777777" w:rsidR="002816EE" w:rsidRPr="00FD41B9" w:rsidRDefault="002816EE" w:rsidP="007E036D">
      <w:pPr>
        <w:pStyle w:val="TDC2"/>
        <w:rPr>
          <w:rFonts w:ascii="ITC Avant Garde" w:eastAsiaTheme="minorEastAsia" w:hAnsi="ITC Avant Garde" w:cstheme="minorBidi"/>
          <w:lang w:eastAsia="es-ES"/>
        </w:rPr>
      </w:pPr>
      <w:r w:rsidRPr="00FD41B9">
        <w:rPr>
          <w:rFonts w:ascii="ITC Avant Garde" w:hAnsi="ITC Avant Garde" w:cs="Arial"/>
        </w:rPr>
        <w:t>3.2</w:t>
      </w:r>
      <w:r w:rsidRPr="00FD41B9">
        <w:rPr>
          <w:rFonts w:ascii="ITC Avant Garde" w:eastAsiaTheme="minorEastAsia" w:hAnsi="ITC Avant Garde" w:cstheme="minorBidi"/>
          <w:lang w:eastAsia="es-ES"/>
        </w:rPr>
        <w:tab/>
      </w:r>
      <w:r w:rsidRPr="00FD41B9">
        <w:rPr>
          <w:rFonts w:ascii="ITC Avant Garde" w:hAnsi="ITC Avant Garde" w:cs="Arial"/>
        </w:rPr>
        <w:t>Aspectos del operador</w:t>
      </w:r>
      <w:r w:rsidRPr="00FD41B9">
        <w:rPr>
          <w:rFonts w:ascii="ITC Avant Garde" w:hAnsi="ITC Avant Garde"/>
        </w:rPr>
        <w:tab/>
      </w:r>
      <w:r w:rsidRPr="00FD41B9">
        <w:rPr>
          <w:rFonts w:ascii="ITC Avant Garde" w:hAnsi="ITC Avant Garde"/>
        </w:rPr>
        <w:fldChar w:fldCharType="begin"/>
      </w:r>
      <w:r w:rsidRPr="00FD41B9">
        <w:rPr>
          <w:rFonts w:ascii="ITC Avant Garde" w:hAnsi="ITC Avant Garde"/>
        </w:rPr>
        <w:instrText xml:space="preserve"> PAGEREF _Toc323285058 \h </w:instrText>
      </w:r>
      <w:r w:rsidRPr="00FD41B9">
        <w:rPr>
          <w:rFonts w:ascii="ITC Avant Garde" w:hAnsi="ITC Avant Garde"/>
        </w:rPr>
      </w:r>
      <w:r w:rsidRPr="00FD41B9">
        <w:rPr>
          <w:rFonts w:ascii="ITC Avant Garde" w:hAnsi="ITC Avant Garde"/>
        </w:rPr>
        <w:fldChar w:fldCharType="separate"/>
      </w:r>
      <w:r w:rsidR="00114683">
        <w:rPr>
          <w:rFonts w:ascii="ITC Avant Garde" w:hAnsi="ITC Avant Garde"/>
        </w:rPr>
        <w:t>10</w:t>
      </w:r>
      <w:r w:rsidRPr="00FD41B9">
        <w:rPr>
          <w:rFonts w:ascii="ITC Avant Garde" w:hAnsi="ITC Avant Garde"/>
        </w:rPr>
        <w:fldChar w:fldCharType="end"/>
      </w:r>
    </w:p>
    <w:p w14:paraId="1586A89A" w14:textId="77777777" w:rsidR="002816EE" w:rsidRPr="00FD41B9" w:rsidRDefault="002816EE" w:rsidP="007E036D">
      <w:pPr>
        <w:pStyle w:val="TDC2"/>
        <w:rPr>
          <w:rFonts w:ascii="ITC Avant Garde" w:eastAsiaTheme="minorEastAsia" w:hAnsi="ITC Avant Garde" w:cstheme="minorBidi"/>
          <w:lang w:eastAsia="es-ES"/>
        </w:rPr>
      </w:pPr>
      <w:r w:rsidRPr="00FD41B9">
        <w:rPr>
          <w:rFonts w:ascii="ITC Avant Garde" w:hAnsi="ITC Avant Garde" w:cs="Arial"/>
        </w:rPr>
        <w:t>3.3</w:t>
      </w:r>
      <w:r w:rsidRPr="00FD41B9">
        <w:rPr>
          <w:rFonts w:ascii="ITC Avant Garde" w:eastAsiaTheme="minorEastAsia" w:hAnsi="ITC Avant Garde" w:cstheme="minorBidi"/>
          <w:lang w:eastAsia="es-ES"/>
        </w:rPr>
        <w:tab/>
      </w:r>
      <w:r w:rsidRPr="00FD41B9">
        <w:rPr>
          <w:rFonts w:ascii="ITC Avant Garde" w:hAnsi="ITC Avant Garde" w:cs="Arial"/>
        </w:rPr>
        <w:t>Aspectos relacionados con la tecnología</w:t>
      </w:r>
      <w:r w:rsidRPr="00FD41B9">
        <w:rPr>
          <w:rFonts w:ascii="ITC Avant Garde" w:hAnsi="ITC Avant Garde"/>
        </w:rPr>
        <w:tab/>
      </w:r>
      <w:r w:rsidRPr="00FD41B9">
        <w:rPr>
          <w:rFonts w:ascii="ITC Avant Garde" w:hAnsi="ITC Avant Garde"/>
        </w:rPr>
        <w:fldChar w:fldCharType="begin"/>
      </w:r>
      <w:r w:rsidRPr="00FD41B9">
        <w:rPr>
          <w:rFonts w:ascii="ITC Avant Garde" w:hAnsi="ITC Avant Garde"/>
        </w:rPr>
        <w:instrText xml:space="preserve"> PAGEREF _Toc323285059 \h </w:instrText>
      </w:r>
      <w:r w:rsidRPr="00FD41B9">
        <w:rPr>
          <w:rFonts w:ascii="ITC Avant Garde" w:hAnsi="ITC Avant Garde"/>
        </w:rPr>
      </w:r>
      <w:r w:rsidRPr="00FD41B9">
        <w:rPr>
          <w:rFonts w:ascii="ITC Avant Garde" w:hAnsi="ITC Avant Garde"/>
        </w:rPr>
        <w:fldChar w:fldCharType="separate"/>
      </w:r>
      <w:r w:rsidR="00114683">
        <w:rPr>
          <w:rFonts w:ascii="ITC Avant Garde" w:hAnsi="ITC Avant Garde"/>
        </w:rPr>
        <w:t>13</w:t>
      </w:r>
      <w:r w:rsidRPr="00FD41B9">
        <w:rPr>
          <w:rFonts w:ascii="ITC Avant Garde" w:hAnsi="ITC Avant Garde"/>
        </w:rPr>
        <w:fldChar w:fldCharType="end"/>
      </w:r>
    </w:p>
    <w:p w14:paraId="69FECD2C" w14:textId="77777777" w:rsidR="002816EE" w:rsidRPr="00FD41B9" w:rsidRDefault="002816EE" w:rsidP="007E036D">
      <w:pPr>
        <w:pStyle w:val="TDC2"/>
        <w:rPr>
          <w:rFonts w:ascii="ITC Avant Garde" w:eastAsiaTheme="minorEastAsia" w:hAnsi="ITC Avant Garde" w:cstheme="minorBidi"/>
          <w:lang w:eastAsia="es-ES"/>
        </w:rPr>
      </w:pPr>
      <w:r w:rsidRPr="00FD41B9">
        <w:rPr>
          <w:rFonts w:ascii="ITC Avant Garde" w:hAnsi="ITC Avant Garde" w:cs="Arial"/>
        </w:rPr>
        <w:t>3.4</w:t>
      </w:r>
      <w:r w:rsidRPr="00FD41B9">
        <w:rPr>
          <w:rFonts w:ascii="ITC Avant Garde" w:eastAsiaTheme="minorEastAsia" w:hAnsi="ITC Avant Garde" w:cstheme="minorBidi"/>
          <w:lang w:eastAsia="es-ES"/>
        </w:rPr>
        <w:tab/>
      </w:r>
      <w:r w:rsidRPr="00FD41B9">
        <w:rPr>
          <w:rFonts w:ascii="ITC Avant Garde" w:hAnsi="ITC Avant Garde" w:cs="Arial"/>
        </w:rPr>
        <w:t>Aspectos relacionados con los servicios</w:t>
      </w:r>
      <w:r w:rsidRPr="00FD41B9">
        <w:rPr>
          <w:rFonts w:ascii="ITC Avant Garde" w:hAnsi="ITC Avant Garde"/>
        </w:rPr>
        <w:tab/>
      </w:r>
      <w:r w:rsidRPr="00FD41B9">
        <w:rPr>
          <w:rFonts w:ascii="ITC Avant Garde" w:hAnsi="ITC Avant Garde"/>
        </w:rPr>
        <w:fldChar w:fldCharType="begin"/>
      </w:r>
      <w:r w:rsidRPr="00FD41B9">
        <w:rPr>
          <w:rFonts w:ascii="ITC Avant Garde" w:hAnsi="ITC Avant Garde"/>
        </w:rPr>
        <w:instrText xml:space="preserve"> PAGEREF _Toc323285060 \h </w:instrText>
      </w:r>
      <w:r w:rsidRPr="00FD41B9">
        <w:rPr>
          <w:rFonts w:ascii="ITC Avant Garde" w:hAnsi="ITC Avant Garde"/>
        </w:rPr>
      </w:r>
      <w:r w:rsidRPr="00FD41B9">
        <w:rPr>
          <w:rFonts w:ascii="ITC Avant Garde" w:hAnsi="ITC Avant Garde"/>
        </w:rPr>
        <w:fldChar w:fldCharType="separate"/>
      </w:r>
      <w:r w:rsidR="00114683">
        <w:rPr>
          <w:rFonts w:ascii="ITC Avant Garde" w:hAnsi="ITC Avant Garde"/>
        </w:rPr>
        <w:t>26</w:t>
      </w:r>
      <w:r w:rsidRPr="00FD41B9">
        <w:rPr>
          <w:rFonts w:ascii="ITC Avant Garde" w:hAnsi="ITC Avant Garde"/>
        </w:rPr>
        <w:fldChar w:fldCharType="end"/>
      </w:r>
    </w:p>
    <w:p w14:paraId="6F11F7C9" w14:textId="77777777" w:rsidR="002816EE" w:rsidRPr="00FD41B9" w:rsidRDefault="002816EE" w:rsidP="007E036D">
      <w:pPr>
        <w:pStyle w:val="TDC2"/>
        <w:rPr>
          <w:rFonts w:ascii="ITC Avant Garde" w:eastAsiaTheme="minorEastAsia" w:hAnsi="ITC Avant Garde" w:cstheme="minorBidi"/>
          <w:lang w:eastAsia="es-ES"/>
        </w:rPr>
      </w:pPr>
      <w:r w:rsidRPr="00FD41B9">
        <w:rPr>
          <w:rFonts w:ascii="ITC Avant Garde" w:hAnsi="ITC Avant Garde" w:cs="Arial"/>
          <w:spacing w:val="-4"/>
        </w:rPr>
        <w:t>3.5</w:t>
      </w:r>
      <w:r w:rsidRPr="00FD41B9">
        <w:rPr>
          <w:rFonts w:ascii="ITC Avant Garde" w:eastAsiaTheme="minorEastAsia" w:hAnsi="ITC Avant Garde" w:cstheme="minorBidi"/>
          <w:lang w:eastAsia="es-ES"/>
        </w:rPr>
        <w:tab/>
      </w:r>
      <w:r w:rsidRPr="00FD41B9">
        <w:rPr>
          <w:rFonts w:ascii="ITC Avant Garde" w:hAnsi="ITC Avant Garde" w:cs="Arial"/>
        </w:rPr>
        <w:t>Aspectos</w:t>
      </w:r>
      <w:r w:rsidRPr="00FD41B9">
        <w:rPr>
          <w:rFonts w:ascii="ITC Avant Garde" w:hAnsi="ITC Avant Garde" w:cs="Arial"/>
          <w:spacing w:val="-4"/>
        </w:rPr>
        <w:t xml:space="preserve"> relacionados con la implementación de los modelos</w:t>
      </w:r>
      <w:r w:rsidRPr="00FD41B9">
        <w:rPr>
          <w:rFonts w:ascii="ITC Avant Garde" w:hAnsi="ITC Avant Garde"/>
        </w:rPr>
        <w:tab/>
      </w:r>
      <w:r w:rsidRPr="00FD41B9">
        <w:rPr>
          <w:rFonts w:ascii="ITC Avant Garde" w:hAnsi="ITC Avant Garde"/>
        </w:rPr>
        <w:fldChar w:fldCharType="begin"/>
      </w:r>
      <w:r w:rsidRPr="00FD41B9">
        <w:rPr>
          <w:rFonts w:ascii="ITC Avant Garde" w:hAnsi="ITC Avant Garde"/>
        </w:rPr>
        <w:instrText xml:space="preserve"> PAGEREF _Toc323285061 \h </w:instrText>
      </w:r>
      <w:r w:rsidRPr="00FD41B9">
        <w:rPr>
          <w:rFonts w:ascii="ITC Avant Garde" w:hAnsi="ITC Avant Garde"/>
        </w:rPr>
      </w:r>
      <w:r w:rsidRPr="00FD41B9">
        <w:rPr>
          <w:rFonts w:ascii="ITC Avant Garde" w:hAnsi="ITC Avant Garde"/>
        </w:rPr>
        <w:fldChar w:fldCharType="separate"/>
      </w:r>
      <w:r w:rsidR="00114683">
        <w:rPr>
          <w:rFonts w:ascii="ITC Avant Garde" w:hAnsi="ITC Avant Garde"/>
        </w:rPr>
        <w:t>30</w:t>
      </w:r>
      <w:r w:rsidRPr="00FD41B9">
        <w:rPr>
          <w:rFonts w:ascii="ITC Avant Garde" w:hAnsi="ITC Avant Garde"/>
        </w:rPr>
        <w:fldChar w:fldCharType="end"/>
      </w:r>
    </w:p>
    <w:p w14:paraId="1F5BBBF4" w14:textId="77777777" w:rsidR="002816EE" w:rsidRPr="00FD41B9" w:rsidRDefault="002816EE" w:rsidP="007E036D">
      <w:pPr>
        <w:pStyle w:val="TDC1"/>
        <w:tabs>
          <w:tab w:val="left" w:pos="960"/>
        </w:tabs>
        <w:rPr>
          <w:rFonts w:ascii="ITC Avant Garde" w:hAnsi="ITC Avant Garde"/>
        </w:rPr>
      </w:pPr>
      <w:r w:rsidRPr="00FD41B9">
        <w:rPr>
          <w:rFonts w:ascii="ITC Avant Garde" w:hAnsi="ITC Avant Garde" w:cs="Arial"/>
        </w:rPr>
        <w:fldChar w:fldCharType="end"/>
      </w:r>
    </w:p>
    <w:p w14:paraId="1D4642B4" w14:textId="77777777" w:rsidR="002816EE" w:rsidRPr="00FD41B9" w:rsidRDefault="002816EE" w:rsidP="007E036D">
      <w:pPr>
        <w:spacing w:line="240" w:lineRule="auto"/>
        <w:jc w:val="both"/>
        <w:rPr>
          <w:rFonts w:ascii="ITC Avant Garde" w:hAnsi="ITC Avant Garde"/>
        </w:rPr>
      </w:pPr>
      <w:r w:rsidRPr="00FD41B9">
        <w:rPr>
          <w:rFonts w:ascii="ITC Avant Garde" w:hAnsi="ITC Avant Garde"/>
        </w:rPr>
        <w:br w:type="page"/>
      </w:r>
    </w:p>
    <w:p w14:paraId="2B79BCAC" w14:textId="77777777" w:rsidR="002816EE" w:rsidRPr="00FD41B9" w:rsidRDefault="002816EE" w:rsidP="007E036D">
      <w:pPr>
        <w:pStyle w:val="Ttulo1"/>
        <w:numPr>
          <w:ilvl w:val="0"/>
          <w:numId w:val="12"/>
        </w:numPr>
        <w:spacing w:after="480"/>
        <w:ind w:left="0"/>
        <w:jc w:val="both"/>
        <w:rPr>
          <w:rFonts w:ascii="ITC Avant Garde" w:hAnsi="ITC Avant Garde" w:cs="Arial"/>
          <w:lang w:val="es-ES"/>
        </w:rPr>
      </w:pPr>
      <w:bookmarkStart w:id="0" w:name="_Toc323285054"/>
      <w:r w:rsidRPr="00FD41B9">
        <w:rPr>
          <w:rFonts w:ascii="ITC Avant Garde" w:hAnsi="ITC Avant Garde" w:cs="Arial"/>
          <w:lang w:val="es-ES"/>
        </w:rPr>
        <w:lastRenderedPageBreak/>
        <w:t>Introducción</w:t>
      </w:r>
      <w:bookmarkEnd w:id="0"/>
    </w:p>
    <w:p w14:paraId="7847DEAF" w14:textId="77777777" w:rsidR="002816EE" w:rsidRDefault="002816EE" w:rsidP="007E036D">
      <w:pPr>
        <w:spacing w:after="0"/>
        <w:jc w:val="both"/>
        <w:rPr>
          <w:rFonts w:ascii="ITC Avant Garde" w:hAnsi="ITC Avant Garde"/>
        </w:rPr>
      </w:pPr>
      <w:r>
        <w:rPr>
          <w:rFonts w:ascii="ITC Avant Garde" w:hAnsi="ITC Avant Garde"/>
        </w:rPr>
        <w:t>E</w:t>
      </w:r>
      <w:r w:rsidRPr="00551EA5">
        <w:rPr>
          <w:rFonts w:ascii="ITC Avant Garde" w:hAnsi="ITC Avant Garde"/>
        </w:rPr>
        <w:t>l artículo 2° de la L</w:t>
      </w:r>
      <w:r>
        <w:rPr>
          <w:rFonts w:ascii="ITC Avant Garde" w:hAnsi="ITC Avant Garde"/>
        </w:rPr>
        <w:t xml:space="preserve">FTyR, </w:t>
      </w:r>
      <w:r w:rsidRPr="00551EA5">
        <w:rPr>
          <w:rFonts w:ascii="ITC Avant Garde" w:hAnsi="ITC Avant Garde"/>
        </w:rPr>
        <w:t>en concordancia con el artículo 6</w:t>
      </w:r>
      <w:r>
        <w:rPr>
          <w:rFonts w:ascii="ITC Avant Garde" w:hAnsi="ITC Avant Garde"/>
        </w:rPr>
        <w:t>°</w:t>
      </w:r>
      <w:r w:rsidRPr="00551EA5">
        <w:rPr>
          <w:rFonts w:ascii="ITC Avant Garde" w:hAnsi="ITC Avant Garde"/>
        </w:rPr>
        <w:t xml:space="preserve"> de la Constitución, señala que las telecomunicaciones son servicios públicos de interés general y que corresponde al Estado ejercer la rectoría en la materia, proteger la seguridad y la soberanía de la nación y garantizar su eficiente prestación, y que para tales efectos establecerá condiciones de competencia efectiva en la prestación de dichos servicios. En este sentido, se observa que es a través del desarrollo y la promoción de una competencia efectiva que se garantizan mejores condiciones para el país.</w:t>
      </w:r>
    </w:p>
    <w:p w14:paraId="7836D55C" w14:textId="77777777" w:rsidR="002816EE" w:rsidRDefault="002816EE" w:rsidP="007E036D">
      <w:pPr>
        <w:spacing w:after="0"/>
        <w:jc w:val="both"/>
        <w:rPr>
          <w:rFonts w:ascii="ITC Avant Garde" w:hAnsi="ITC Avant Garde"/>
        </w:rPr>
      </w:pPr>
    </w:p>
    <w:p w14:paraId="6AA418F0" w14:textId="77777777" w:rsidR="002816EE" w:rsidRPr="00551EA5" w:rsidRDefault="002816EE" w:rsidP="007E036D">
      <w:pPr>
        <w:spacing w:after="0"/>
        <w:jc w:val="both"/>
        <w:rPr>
          <w:rFonts w:ascii="ITC Avant Garde" w:hAnsi="ITC Avant Garde"/>
        </w:rPr>
      </w:pPr>
      <w:r w:rsidRPr="00551EA5">
        <w:rPr>
          <w:rFonts w:ascii="ITC Avant Garde" w:hAnsi="ITC Avant Garde"/>
        </w:rPr>
        <w:t xml:space="preserve">En este tenor, se requiere de una regulación adecuada, precisa e imparcial de la interconexión, misma que debe promover y facilitar el uso eficiente de las redes, fomentar la entrada en el mercado de competidores eficientes, y permitir la expansión de los existentes, incorporar nuevas tecnologías y servicios, y promover un entorno de sana competencia y libre concurrencia entre los operadores. </w:t>
      </w:r>
    </w:p>
    <w:p w14:paraId="345DAC65" w14:textId="77777777" w:rsidR="002816EE" w:rsidRPr="00551EA5" w:rsidRDefault="002816EE" w:rsidP="007E036D">
      <w:pPr>
        <w:spacing w:after="0"/>
        <w:jc w:val="both"/>
        <w:rPr>
          <w:rFonts w:ascii="ITC Avant Garde" w:hAnsi="ITC Avant Garde"/>
        </w:rPr>
      </w:pPr>
    </w:p>
    <w:p w14:paraId="08AB662D" w14:textId="77777777" w:rsidR="002816EE" w:rsidRPr="00DA2B53" w:rsidRDefault="002816EE" w:rsidP="007E036D">
      <w:pPr>
        <w:jc w:val="both"/>
        <w:rPr>
          <w:rFonts w:ascii="ITC Avant Garde" w:hAnsi="ITC Avant Garde" w:cs="Arial"/>
        </w:rPr>
      </w:pPr>
      <w:r w:rsidRPr="00DA2B53">
        <w:rPr>
          <w:rFonts w:ascii="ITC Avant Garde" w:hAnsi="ITC Avant Garde" w:cs="Arial"/>
        </w:rPr>
        <w:t xml:space="preserve">Ahora bien, el artículo 129 de la LFTyR establece que los concesionarios que operen redes públicas de telecomunicaciones deberán interconectar sus redes y, a tal efecto, suscribir un convenio en un plazo no mayor de sesenta días naturales contados a partir de que alguno de ellos lo solicite, transcurrido dicho plazo sin que se hubiere celebrado convenio, la parte interesada deberá solicitar al Instituto que resuelva sobre las condiciones, términos y tarifas que no haya podido convenir con la otra parte. </w:t>
      </w:r>
    </w:p>
    <w:p w14:paraId="327B8AC4" w14:textId="77777777" w:rsidR="002816EE" w:rsidRPr="00DA2B53" w:rsidRDefault="002816EE" w:rsidP="007E036D">
      <w:pPr>
        <w:jc w:val="both"/>
        <w:rPr>
          <w:rFonts w:ascii="ITC Avant Garde" w:hAnsi="ITC Avant Garde" w:cs="Arial"/>
        </w:rPr>
      </w:pPr>
      <w:r w:rsidRPr="00DA2B53">
        <w:rPr>
          <w:rFonts w:ascii="ITC Avant Garde" w:hAnsi="ITC Avant Garde" w:cs="Arial"/>
        </w:rPr>
        <w:t>En el caso en el que se actualicen los supuestos previstos en dicho artículo, el Instituto resolverá cualquier disputa respecto a las tarifas, términos y/o condiciones de los convenios de interconexión con base en las metodologías de costos que al efecto se determinen, tomando en cuenta las asimetrías naturales de las redes a ser interconectadas, la participación de mercado o cualquier otro factor. Es por ello que, los Modelos de Costos constituyen una herramienta que permitirá al órgano regulador resolver los desacuerdos en materia de interconexión.</w:t>
      </w:r>
    </w:p>
    <w:p w14:paraId="48874071" w14:textId="77777777" w:rsidR="002816EE" w:rsidRPr="00DA2B53" w:rsidRDefault="002816EE" w:rsidP="007E036D">
      <w:pPr>
        <w:jc w:val="both"/>
        <w:rPr>
          <w:rFonts w:ascii="ITC Avant Garde" w:hAnsi="ITC Avant Garde" w:cs="Arial"/>
        </w:rPr>
      </w:pPr>
      <w:r w:rsidRPr="00DA2B53">
        <w:rPr>
          <w:rFonts w:ascii="ITC Avant Garde" w:hAnsi="ITC Avant Garde" w:cs="Arial"/>
        </w:rPr>
        <w:t>En este sentido, el 18 de diciembre de 2014, el Instituto publicó en el Diario Oficial de la Federación,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49D84F67" w14:textId="77777777" w:rsidR="00854C48" w:rsidRPr="00854C48" w:rsidRDefault="00854C48" w:rsidP="00854C48">
      <w:pPr>
        <w:spacing w:after="0"/>
        <w:jc w:val="both"/>
        <w:rPr>
          <w:rFonts w:ascii="ITC Avant Garde" w:hAnsi="ITC Avant Garde" w:cs="Segoe UI"/>
          <w:color w:val="1A1A1A"/>
        </w:rPr>
      </w:pPr>
      <w:r w:rsidRPr="00854C48">
        <w:rPr>
          <w:rFonts w:ascii="ITC Avant Garde" w:hAnsi="ITC Avant Garde" w:cs="Segoe UI"/>
          <w:color w:val="1A1A1A"/>
        </w:rPr>
        <w:lastRenderedPageBreak/>
        <w:t xml:space="preserve">Al respecto, es importante destacar que la experiencia internacional muestra que las empresas que están obligadas a ofrecer la interconexión tienen incentivos para calcular los valores más altos de las tarifas de interconexión. </w:t>
      </w:r>
    </w:p>
    <w:p w14:paraId="487C3E19" w14:textId="0A6AEC27" w:rsidR="00854C48" w:rsidRPr="00854C48" w:rsidRDefault="00854C48" w:rsidP="009E67BD">
      <w:pPr>
        <w:spacing w:after="0"/>
        <w:jc w:val="both"/>
        <w:rPr>
          <w:rFonts w:ascii="ITC Avant Garde" w:hAnsi="ITC Avant Garde" w:cs="Segoe UI"/>
          <w:color w:val="1A1A1A"/>
        </w:rPr>
      </w:pPr>
      <w:r w:rsidRPr="00854C48">
        <w:rPr>
          <w:rFonts w:ascii="ITC Avant Garde" w:hAnsi="ITC Avant Garde" w:cs="Segoe UI"/>
          <w:color w:val="1A1A1A"/>
        </w:rPr>
        <w:br/>
        <w:t>Esta problemática en la cual la empresa que ofrece el servicio de interconexión tiene incentivos a cobrar tarifas más altas surge en el caso en que existen empresas en segmentos competitivos que demandan servicios del operador, usualmente el histórico, en un segmento poco competitivo; en contextos en los cuales existen asimetrías en los poderes de negociación en virtud del tamaño de las redes, o incluso en situaciones en los que los tamaños de las redes son similares, las empresas tienen incentivos para elevar los cargos de interconexión que cobran a sus competidores.</w:t>
      </w:r>
    </w:p>
    <w:p w14:paraId="5872B0C8" w14:textId="77777777" w:rsidR="00854C48" w:rsidRDefault="00854C48" w:rsidP="009E67BD">
      <w:pPr>
        <w:spacing w:after="0"/>
        <w:jc w:val="both"/>
        <w:rPr>
          <w:rFonts w:ascii="ITC Avant Garde" w:hAnsi="ITC Avant Garde" w:cs="Arial"/>
        </w:rPr>
      </w:pPr>
    </w:p>
    <w:p w14:paraId="6EE25053" w14:textId="77777777" w:rsidR="002816EE" w:rsidRPr="00FD41B9" w:rsidRDefault="002816EE" w:rsidP="007E036D">
      <w:pPr>
        <w:jc w:val="both"/>
        <w:rPr>
          <w:rFonts w:ascii="ITC Avant Garde" w:hAnsi="ITC Avant Garde" w:cs="Arial"/>
          <w:spacing w:val="-4"/>
        </w:rPr>
      </w:pPr>
      <w:r w:rsidRPr="00FD41B9">
        <w:rPr>
          <w:rFonts w:ascii="ITC Avant Garde" w:hAnsi="ITC Avant Garde" w:cs="Arial"/>
          <w:spacing w:val="-4"/>
        </w:rPr>
        <w:t>En virtud de lo anterior, y a fin de minimizar las posibles controversias entre el regulador y las empresas reguladas sobre el valor que deben tomar las tarifas de interconexión, una mejor práctica internacional consiste en que los modelos de costos sean desarrollados por un experto independiente que se apegue a los principios establecidos para el desarrollo de los modelos de costos, en este caso, a l</w:t>
      </w:r>
      <w:r>
        <w:rPr>
          <w:rFonts w:ascii="ITC Avant Garde" w:hAnsi="ITC Avant Garde" w:cs="Arial"/>
          <w:spacing w:val="-4"/>
        </w:rPr>
        <w:t>a Metodología de Costos</w:t>
      </w:r>
      <w:r w:rsidRPr="00FD41B9">
        <w:rPr>
          <w:rFonts w:ascii="ITC Avant Garde" w:hAnsi="ITC Avant Garde" w:cs="Arial"/>
          <w:spacing w:val="-4"/>
        </w:rPr>
        <w:t>.</w:t>
      </w:r>
    </w:p>
    <w:p w14:paraId="7B3062D4" w14:textId="77777777" w:rsidR="002816EE" w:rsidRDefault="002816EE" w:rsidP="007E036D">
      <w:pPr>
        <w:spacing w:after="0"/>
        <w:jc w:val="both"/>
        <w:rPr>
          <w:rFonts w:ascii="ITC Avant Garde" w:hAnsi="ITC Avant Garde" w:cs="Arial"/>
        </w:rPr>
      </w:pPr>
      <w:r w:rsidRPr="00FD41B9">
        <w:rPr>
          <w:rFonts w:ascii="ITC Avant Garde" w:hAnsi="ITC Avant Garde" w:cs="Arial"/>
        </w:rPr>
        <w:t>E</w:t>
      </w:r>
      <w:r>
        <w:rPr>
          <w:rFonts w:ascii="ITC Avant Garde" w:hAnsi="ITC Avant Garde" w:cs="Arial"/>
        </w:rPr>
        <w:t xml:space="preserve">s así que, derivado de un procedimiento de Licitación Pública, </w:t>
      </w:r>
      <w:r w:rsidRPr="00FD41B9">
        <w:rPr>
          <w:rFonts w:ascii="ITC Avant Garde" w:hAnsi="ITC Avant Garde" w:cs="Arial"/>
        </w:rPr>
        <w:t>la empresa Analysys Mason Limited (en lo sucesivo ‘Analysys Mason’)</w:t>
      </w:r>
      <w:r>
        <w:rPr>
          <w:rFonts w:ascii="ITC Avant Garde" w:hAnsi="ITC Avant Garde" w:cs="Arial"/>
        </w:rPr>
        <w:t>, resultó ganadora</w:t>
      </w:r>
      <w:r w:rsidRPr="00FD41B9">
        <w:rPr>
          <w:rFonts w:ascii="ITC Avant Garde" w:hAnsi="ITC Avant Garde" w:cs="Arial"/>
        </w:rPr>
        <w:t xml:space="preserve"> para</w:t>
      </w:r>
      <w:r>
        <w:rPr>
          <w:rFonts w:ascii="ITC Avant Garde" w:hAnsi="ITC Avant Garde" w:cs="Arial"/>
        </w:rPr>
        <w:t xml:space="preserve"> </w:t>
      </w:r>
      <w:r w:rsidRPr="00FD41B9">
        <w:rPr>
          <w:rFonts w:ascii="ITC Avant Garde" w:hAnsi="ITC Avant Garde" w:cs="Arial"/>
        </w:rPr>
        <w:t xml:space="preserve"> </w:t>
      </w:r>
      <w:r>
        <w:rPr>
          <w:rFonts w:ascii="ITC Avant Garde" w:hAnsi="ITC Avant Garde" w:cs="Arial"/>
        </w:rPr>
        <w:t xml:space="preserve">llevar a cabo la elaboración de </w:t>
      </w:r>
      <w:r w:rsidRPr="00FD41B9">
        <w:rPr>
          <w:rFonts w:ascii="ITC Avant Garde" w:hAnsi="ITC Avant Garde" w:cs="Arial"/>
        </w:rPr>
        <w:t xml:space="preserve">los Modelos de Costos </w:t>
      </w:r>
      <w:r>
        <w:rPr>
          <w:rFonts w:ascii="ITC Avant Garde" w:hAnsi="ITC Avant Garde" w:cs="Arial"/>
        </w:rPr>
        <w:t xml:space="preserve">de Servicios de Interconexión para el periodo 2018-2020, </w:t>
      </w:r>
      <w:r w:rsidRPr="00FD41B9">
        <w:rPr>
          <w:rFonts w:ascii="ITC Avant Garde" w:hAnsi="ITC Avant Garde" w:cs="Arial"/>
        </w:rPr>
        <w:t>conforme a bases internacionalmente reconocidas y según los principios dispuestos en l</w:t>
      </w:r>
      <w:r>
        <w:rPr>
          <w:rFonts w:ascii="ITC Avant Garde" w:hAnsi="ITC Avant Garde" w:cs="Arial"/>
        </w:rPr>
        <w:t>a Metodología de Costos</w:t>
      </w:r>
      <w:r w:rsidRPr="00FD41B9">
        <w:rPr>
          <w:rFonts w:ascii="ITC Avant Garde" w:hAnsi="ITC Avant Garde" w:cs="Arial"/>
        </w:rPr>
        <w:t>.</w:t>
      </w:r>
    </w:p>
    <w:p w14:paraId="0A4C67C3" w14:textId="77777777" w:rsidR="002816EE" w:rsidRPr="00FD41B9" w:rsidRDefault="002816EE" w:rsidP="007E036D">
      <w:pPr>
        <w:spacing w:after="0"/>
        <w:jc w:val="both"/>
        <w:rPr>
          <w:rFonts w:ascii="ITC Avant Garde" w:hAnsi="ITC Avant Garde" w:cs="Arial"/>
        </w:rPr>
      </w:pPr>
    </w:p>
    <w:p w14:paraId="30356A59" w14:textId="77777777" w:rsidR="002816EE" w:rsidRDefault="002816EE" w:rsidP="007E036D">
      <w:pPr>
        <w:spacing w:after="0"/>
        <w:jc w:val="both"/>
        <w:rPr>
          <w:rFonts w:ascii="ITC Avant Garde" w:hAnsi="ITC Avant Garde" w:cs="Arial"/>
          <w:spacing w:val="-4"/>
        </w:rPr>
      </w:pPr>
      <w:r>
        <w:rPr>
          <w:rFonts w:ascii="ITC Avant Garde" w:hAnsi="ITC Avant Garde" w:cs="Arial"/>
          <w:spacing w:val="-4"/>
        </w:rPr>
        <w:t>Dichos Modelos de Costos</w:t>
      </w:r>
      <w:r w:rsidRPr="00FD41B9">
        <w:rPr>
          <w:rFonts w:ascii="ITC Avant Garde" w:hAnsi="ITC Avant Garde" w:cs="Arial"/>
          <w:spacing w:val="-4"/>
        </w:rPr>
        <w:t xml:space="preserve"> calculan los costos de interconexión de una red pública de telecomunicaciones eficiente, a través de la metodología de costos incrementales de largo plazo</w:t>
      </w:r>
      <w:r>
        <w:rPr>
          <w:rFonts w:ascii="ITC Avant Garde" w:hAnsi="ITC Avant Garde" w:cs="Arial"/>
          <w:spacing w:val="-4"/>
        </w:rPr>
        <w:t xml:space="preserve"> puros</w:t>
      </w:r>
      <w:r w:rsidRPr="00FD41B9">
        <w:rPr>
          <w:rFonts w:ascii="ITC Avant Garde" w:hAnsi="ITC Avant Garde" w:cs="Arial"/>
          <w:spacing w:val="-4"/>
        </w:rPr>
        <w:t xml:space="preserve">. Asimismo, establecen los costos </w:t>
      </w:r>
      <w:r>
        <w:rPr>
          <w:rFonts w:ascii="ITC Avant Garde" w:hAnsi="ITC Avant Garde" w:cs="Arial"/>
          <w:spacing w:val="-4"/>
        </w:rPr>
        <w:t xml:space="preserve">en los </w:t>
      </w:r>
      <w:r w:rsidRPr="00FD41B9">
        <w:rPr>
          <w:rFonts w:ascii="ITC Avant Garde" w:hAnsi="ITC Avant Garde" w:cs="Arial"/>
          <w:spacing w:val="-4"/>
        </w:rPr>
        <w:t>que incurr</w:t>
      </w:r>
      <w:r>
        <w:rPr>
          <w:rFonts w:ascii="ITC Avant Garde" w:hAnsi="ITC Avant Garde" w:cs="Arial"/>
          <w:spacing w:val="-4"/>
        </w:rPr>
        <w:t>irí</w:t>
      </w:r>
      <w:r w:rsidRPr="00FD41B9">
        <w:rPr>
          <w:rFonts w:ascii="ITC Avant Garde" w:hAnsi="ITC Avant Garde" w:cs="Arial"/>
          <w:spacing w:val="-4"/>
        </w:rPr>
        <w:t>an las empresas por la prestación del servicio de interconexión, tomando como referencia las mejores prácticas internacionales en cuanto a diseños de red. Para la elaboración de los Modelos de Costos se consideró que las redes de telecomunicaciones en México no son ajenas al proceso de convergencia que se ha desarrollado en el ámbito internacional, en el que por un mismo medio de transmisión es posible la prestación de múltiples servicios, como voz y datos.</w:t>
      </w:r>
    </w:p>
    <w:p w14:paraId="0C3DAF41" w14:textId="77777777" w:rsidR="002816EE" w:rsidRPr="00FD41B9" w:rsidRDefault="002816EE" w:rsidP="007E036D">
      <w:pPr>
        <w:spacing w:after="0"/>
        <w:jc w:val="both"/>
        <w:rPr>
          <w:rFonts w:ascii="ITC Avant Garde" w:hAnsi="ITC Avant Garde" w:cs="Arial"/>
          <w:spacing w:val="-4"/>
        </w:rPr>
      </w:pPr>
    </w:p>
    <w:p w14:paraId="3578F8B3" w14:textId="77777777" w:rsidR="002816EE" w:rsidRDefault="002816EE" w:rsidP="007E036D">
      <w:pPr>
        <w:jc w:val="both"/>
        <w:rPr>
          <w:rFonts w:ascii="ITC Avant Garde" w:hAnsi="ITC Avant Garde" w:cs="Arial"/>
        </w:rPr>
      </w:pPr>
      <w:r w:rsidRPr="00FD41B9">
        <w:rPr>
          <w:rFonts w:ascii="ITC Avant Garde" w:hAnsi="ITC Avant Garde" w:cs="Arial"/>
        </w:rPr>
        <w:t>No obstante</w:t>
      </w:r>
      <w:r>
        <w:rPr>
          <w:rFonts w:ascii="ITC Avant Garde" w:hAnsi="ITC Avant Garde" w:cs="Arial"/>
        </w:rPr>
        <w:t xml:space="preserve"> que los Modelos de Costos con los que cuenta el Instituto están elaborados </w:t>
      </w:r>
      <w:r w:rsidRPr="00FD41B9">
        <w:rPr>
          <w:rFonts w:ascii="ITC Avant Garde" w:hAnsi="ITC Avant Garde" w:cs="Arial"/>
        </w:rPr>
        <w:t>por un experto altamente calificado como lo es la empresa Analysys Mason, este Instituto considera de la mayor relevancia someter a un proceso de consulta pública los Modelos de Costos</w:t>
      </w:r>
      <w:r>
        <w:rPr>
          <w:rFonts w:ascii="ITC Avant Garde" w:hAnsi="ITC Avant Garde" w:cs="Arial"/>
        </w:rPr>
        <w:t xml:space="preserve"> </w:t>
      </w:r>
      <w:r w:rsidRPr="00FD41B9">
        <w:rPr>
          <w:rFonts w:ascii="ITC Avant Garde" w:hAnsi="ITC Avant Garde" w:cs="Arial"/>
        </w:rPr>
        <w:t xml:space="preserve">de servicios de interconexión fijos y móviles, </w:t>
      </w:r>
      <w:r>
        <w:rPr>
          <w:rFonts w:ascii="ITC Avant Garde" w:hAnsi="ITC Avant Garde" w:cs="Arial"/>
        </w:rPr>
        <w:t xml:space="preserve">que estarán vigentes para el periodo 2018-2020, </w:t>
      </w:r>
      <w:r w:rsidRPr="00FD41B9">
        <w:rPr>
          <w:rFonts w:ascii="ITC Avant Garde" w:hAnsi="ITC Avant Garde" w:cs="Arial"/>
        </w:rPr>
        <w:t xml:space="preserve">con la finalidad de fortalecer la transparencia de las resoluciones </w:t>
      </w:r>
      <w:r w:rsidRPr="00FD41B9">
        <w:rPr>
          <w:rFonts w:ascii="ITC Avant Garde" w:hAnsi="ITC Avant Garde" w:cs="Arial"/>
        </w:rPr>
        <w:lastRenderedPageBreak/>
        <w:t>que, en cada caso concreto</w:t>
      </w:r>
      <w:r>
        <w:rPr>
          <w:rFonts w:ascii="ITC Avant Garde" w:hAnsi="ITC Avant Garde" w:cs="Arial"/>
        </w:rPr>
        <w:t xml:space="preserve"> </w:t>
      </w:r>
      <w:r w:rsidRPr="00FD41B9">
        <w:rPr>
          <w:rFonts w:ascii="ITC Avant Garde" w:hAnsi="ITC Avant Garde" w:cs="Arial"/>
        </w:rPr>
        <w:t xml:space="preserve"> emita </w:t>
      </w:r>
      <w:r>
        <w:rPr>
          <w:rFonts w:ascii="ITC Avant Garde" w:hAnsi="ITC Avant Garde" w:cs="Arial"/>
        </w:rPr>
        <w:t xml:space="preserve">el Instituto </w:t>
      </w:r>
      <w:r w:rsidRPr="00FD41B9">
        <w:rPr>
          <w:rFonts w:ascii="ITC Avant Garde" w:hAnsi="ITC Avant Garde" w:cs="Arial"/>
        </w:rPr>
        <w:t xml:space="preserve">para la determinación de las tarifas de interconexión. </w:t>
      </w:r>
    </w:p>
    <w:p w14:paraId="7CE9CBAE" w14:textId="77777777" w:rsidR="002816EE" w:rsidRDefault="002816EE" w:rsidP="007E036D">
      <w:pPr>
        <w:pStyle w:val="Ttulo1"/>
        <w:numPr>
          <w:ilvl w:val="0"/>
          <w:numId w:val="12"/>
        </w:numPr>
        <w:spacing w:after="0"/>
        <w:ind w:left="0"/>
        <w:jc w:val="both"/>
        <w:rPr>
          <w:rFonts w:ascii="ITC Avant Garde" w:hAnsi="ITC Avant Garde" w:cs="Arial"/>
          <w:lang w:val="es-ES"/>
        </w:rPr>
      </w:pPr>
      <w:bookmarkStart w:id="1" w:name="_Toc323285055"/>
      <w:r w:rsidRPr="00FD41B9">
        <w:rPr>
          <w:rFonts w:ascii="ITC Avant Garde" w:hAnsi="ITC Avant Garde" w:cs="Arial"/>
          <w:lang w:val="es-ES"/>
        </w:rPr>
        <w:lastRenderedPageBreak/>
        <w:t>Objetivo de la Consulta Pública</w:t>
      </w:r>
      <w:bookmarkEnd w:id="1"/>
    </w:p>
    <w:p w14:paraId="3037DE8E" w14:textId="77777777" w:rsidR="002816EE" w:rsidRPr="001A50E2" w:rsidRDefault="002816EE" w:rsidP="007E036D">
      <w:pPr>
        <w:spacing w:after="0"/>
        <w:jc w:val="both"/>
        <w:rPr>
          <w:rFonts w:ascii="Times New Roman" w:hAnsi="Times New Roman"/>
          <w:lang w:val="es-ES"/>
        </w:rPr>
      </w:pPr>
    </w:p>
    <w:p w14:paraId="6A61A94D" w14:textId="77777777" w:rsidR="002816EE" w:rsidRPr="00FD41B9" w:rsidRDefault="002816EE" w:rsidP="007E036D">
      <w:pPr>
        <w:jc w:val="both"/>
        <w:rPr>
          <w:rFonts w:ascii="ITC Avant Garde" w:hAnsi="ITC Avant Garde" w:cs="Arial"/>
        </w:rPr>
      </w:pPr>
      <w:r>
        <w:rPr>
          <w:rFonts w:ascii="ITC Avant Garde" w:hAnsi="ITC Avant Garde" w:cs="Arial"/>
        </w:rPr>
        <w:t xml:space="preserve">La presente </w:t>
      </w:r>
      <w:r w:rsidRPr="00FD41B9">
        <w:rPr>
          <w:rFonts w:ascii="ITC Avant Garde" w:hAnsi="ITC Avant Garde" w:cs="Arial"/>
        </w:rPr>
        <w:t xml:space="preserve">Consulta Pública tiene por objeto recabar comentarios de la industria, especialistas en la materia y del público en general, para ser posteriormente analizados, y de resultar procedente, con ellos fortalecer los Modelos de Costos. Es decir, </w:t>
      </w:r>
      <w:r>
        <w:rPr>
          <w:rFonts w:ascii="ITC Avant Garde" w:hAnsi="ITC Avant Garde" w:cs="Arial"/>
        </w:rPr>
        <w:t xml:space="preserve">dado </w:t>
      </w:r>
      <w:r w:rsidRPr="00FD41B9">
        <w:rPr>
          <w:rFonts w:ascii="ITC Avant Garde" w:hAnsi="ITC Avant Garde" w:cs="Arial"/>
        </w:rPr>
        <w:t>que l</w:t>
      </w:r>
      <w:r>
        <w:rPr>
          <w:rFonts w:ascii="ITC Avant Garde" w:hAnsi="ITC Avant Garde" w:cs="Arial"/>
        </w:rPr>
        <w:t>os</w:t>
      </w:r>
      <w:r w:rsidRPr="00FD41B9">
        <w:rPr>
          <w:rFonts w:ascii="ITC Avant Garde" w:hAnsi="ITC Avant Garde" w:cs="Arial"/>
        </w:rPr>
        <w:t xml:space="preserve"> </w:t>
      </w:r>
      <w:r>
        <w:rPr>
          <w:rFonts w:ascii="ITC Avant Garde" w:hAnsi="ITC Avant Garde" w:cs="Arial"/>
        </w:rPr>
        <w:t>M</w:t>
      </w:r>
      <w:r w:rsidRPr="00FD41B9">
        <w:rPr>
          <w:rFonts w:ascii="ITC Avant Garde" w:hAnsi="ITC Avant Garde" w:cs="Arial"/>
        </w:rPr>
        <w:t>odelo</w:t>
      </w:r>
      <w:r>
        <w:rPr>
          <w:rFonts w:ascii="ITC Avant Garde" w:hAnsi="ITC Avant Garde" w:cs="Arial"/>
        </w:rPr>
        <w:t>s</w:t>
      </w:r>
      <w:r w:rsidRPr="00FD41B9">
        <w:rPr>
          <w:rFonts w:ascii="ITC Avant Garde" w:hAnsi="ITC Avant Garde" w:cs="Arial"/>
        </w:rPr>
        <w:t xml:space="preserve"> </w:t>
      </w:r>
      <w:r>
        <w:rPr>
          <w:rFonts w:ascii="ITC Avant Garde" w:hAnsi="ITC Avant Garde" w:cs="Arial"/>
        </w:rPr>
        <w:t>de Costos de Servicios de Interconexión son</w:t>
      </w:r>
      <w:r w:rsidRPr="00FD41B9">
        <w:rPr>
          <w:rFonts w:ascii="ITC Avant Garde" w:hAnsi="ITC Avant Garde" w:cs="Arial"/>
        </w:rPr>
        <w:t xml:space="preserve"> una herramienta de trabajo que tiene la autoridad</w:t>
      </w:r>
      <w:r>
        <w:rPr>
          <w:rFonts w:ascii="ITC Avant Garde" w:hAnsi="ITC Avant Garde" w:cs="Arial"/>
        </w:rPr>
        <w:t xml:space="preserve">, </w:t>
      </w:r>
      <w:r w:rsidRPr="00FD41B9">
        <w:rPr>
          <w:rFonts w:ascii="ITC Avant Garde" w:hAnsi="ITC Avant Garde" w:cs="Arial"/>
        </w:rPr>
        <w:t xml:space="preserve">se estima de la mayor relevancia que, previo a su aplicación a un determinado caso en concreto, </w:t>
      </w:r>
      <w:r>
        <w:rPr>
          <w:rFonts w:ascii="ITC Avant Garde" w:hAnsi="ITC Avant Garde" w:cs="Arial"/>
        </w:rPr>
        <w:t>el Instituto</w:t>
      </w:r>
      <w:r w:rsidRPr="00FD41B9">
        <w:rPr>
          <w:rFonts w:ascii="ITC Avant Garde" w:hAnsi="ITC Avant Garde" w:cs="Arial"/>
        </w:rPr>
        <w:t xml:space="preserve"> tenga </w:t>
      </w:r>
      <w:r>
        <w:rPr>
          <w:rFonts w:ascii="ITC Avant Garde" w:hAnsi="ITC Avant Garde" w:cs="Arial"/>
        </w:rPr>
        <w:t>una</w:t>
      </w:r>
      <w:r w:rsidRPr="00FD41B9">
        <w:rPr>
          <w:rFonts w:ascii="ITC Avant Garde" w:hAnsi="ITC Avant Garde" w:cs="Arial"/>
        </w:rPr>
        <w:t xml:space="preserve"> interlocución con los regulados a efecto de que, de forma simplemente informativa, se pueda allegar de comentarios o sugerencias que permitan fortalecer esta herramienta de trabajo.</w:t>
      </w:r>
    </w:p>
    <w:p w14:paraId="4D965269" w14:textId="49418A76" w:rsidR="002816EE" w:rsidRDefault="002816EE" w:rsidP="007E036D">
      <w:pPr>
        <w:jc w:val="both"/>
        <w:rPr>
          <w:rFonts w:ascii="ITC Avant Garde" w:hAnsi="ITC Avant Garde" w:cs="Arial"/>
        </w:rPr>
      </w:pPr>
      <w:r w:rsidRPr="001A50E2">
        <w:rPr>
          <w:rFonts w:ascii="ITC Avant Garde" w:hAnsi="ITC Avant Garde" w:cs="Arial"/>
        </w:rPr>
        <w:t>Dicha publicidad</w:t>
      </w:r>
      <w:r w:rsidR="000B698D">
        <w:rPr>
          <w:rFonts w:ascii="ITC Avant Garde" w:hAnsi="ITC Avant Garde" w:cs="Arial"/>
        </w:rPr>
        <w:t xml:space="preserve"> ha sido pensada a efecto de </w:t>
      </w:r>
      <w:r w:rsidRPr="001A50E2">
        <w:rPr>
          <w:rFonts w:ascii="ITC Avant Garde" w:hAnsi="ITC Avant Garde" w:cs="Arial"/>
        </w:rPr>
        <w:t xml:space="preserve">permitir a concesionarios y conocedores de la materia emitir sus comentarios, dudas e inquietudes respecto de los Modelos de Costos de Servicios de Interconexión. A su vez, el Instituto tendrá la oportunidad de atender </w:t>
      </w:r>
      <w:r w:rsidRPr="00FD41B9">
        <w:rPr>
          <w:rFonts w:ascii="ITC Avant Garde" w:hAnsi="ITC Avant Garde" w:cs="Arial"/>
        </w:rPr>
        <w:t xml:space="preserve">y dirimir dudas e inquietudes y, en su caso, recalibrar los Modelos de Costos de referencia, lo cual conlleva el fortalecimiento de las Resoluciones que, en su caso, </w:t>
      </w:r>
      <w:r>
        <w:rPr>
          <w:rFonts w:ascii="ITC Avant Garde" w:hAnsi="ITC Avant Garde" w:cs="Arial"/>
        </w:rPr>
        <w:t>emita el Instituto.</w:t>
      </w:r>
      <w:r w:rsidRPr="00FD41B9" w:rsidDel="00125BCC">
        <w:rPr>
          <w:rFonts w:ascii="ITC Avant Garde" w:hAnsi="ITC Avant Garde" w:cs="Arial"/>
        </w:rPr>
        <w:t xml:space="preserve"> </w:t>
      </w:r>
    </w:p>
    <w:p w14:paraId="1AE45738" w14:textId="77777777" w:rsidR="002816EE" w:rsidRPr="00FD41B9" w:rsidRDefault="002816EE" w:rsidP="007E036D">
      <w:pPr>
        <w:jc w:val="both"/>
        <w:rPr>
          <w:rFonts w:ascii="ITC Avant Garde" w:hAnsi="ITC Avant Garde" w:cs="Arial"/>
        </w:rPr>
      </w:pPr>
      <w:r w:rsidRPr="00FD41B9">
        <w:rPr>
          <w:rFonts w:ascii="ITC Avant Garde" w:hAnsi="ITC Avant Garde" w:cs="Arial"/>
        </w:rPr>
        <w:t>En este sentido, la presente Consulta Pública tiene como objeto de análisis todas las cuestiones relacionadas con:</w:t>
      </w:r>
    </w:p>
    <w:p w14:paraId="44F2C75A" w14:textId="77777777" w:rsidR="002816EE" w:rsidRPr="000D1139"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0D1139">
        <w:rPr>
          <w:rFonts w:ascii="ITC Avant Garde" w:hAnsi="ITC Avant Garde" w:cs="Arial"/>
          <w:sz w:val="22"/>
          <w:szCs w:val="22"/>
        </w:rPr>
        <w:t>La implementación de los principios conceptuales utilizados en la elaboración de los Modelos de Costos (Fijo y Móvil)</w:t>
      </w:r>
    </w:p>
    <w:p w14:paraId="30D69087" w14:textId="77777777" w:rsidR="002816EE" w:rsidRPr="000D1139"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0D1139">
        <w:rPr>
          <w:rFonts w:ascii="ITC Avant Garde" w:hAnsi="ITC Avant Garde" w:cs="Arial"/>
          <w:sz w:val="22"/>
          <w:szCs w:val="22"/>
        </w:rPr>
        <w:t>La estructura, arquitectura y algoritmos utilizados en los Modelos de Costos.</w:t>
      </w:r>
    </w:p>
    <w:p w14:paraId="327353CD" w14:textId="77777777" w:rsidR="002816EE" w:rsidRPr="00FD41B9" w:rsidRDefault="002816EE" w:rsidP="007E036D">
      <w:pPr>
        <w:jc w:val="both"/>
        <w:rPr>
          <w:rFonts w:ascii="ITC Avant Garde" w:hAnsi="ITC Avant Garde" w:cs="Arial"/>
        </w:rPr>
      </w:pPr>
      <w:r w:rsidRPr="00FD41B9">
        <w:rPr>
          <w:rFonts w:ascii="ITC Avant Garde" w:hAnsi="ITC Avant Garde" w:cs="Arial"/>
        </w:rPr>
        <w:t xml:space="preserve">Todo lo anterior con el objetivo último de robustecer los Modelos de Costos y tener un diálogo abierto entre </w:t>
      </w:r>
      <w:r>
        <w:rPr>
          <w:rFonts w:ascii="ITC Avant Garde" w:hAnsi="ITC Avant Garde" w:cs="Arial"/>
        </w:rPr>
        <w:t>e</w:t>
      </w:r>
      <w:r w:rsidRPr="00FD41B9">
        <w:rPr>
          <w:rFonts w:ascii="ITC Avant Garde" w:hAnsi="ITC Avant Garde" w:cs="Arial"/>
        </w:rPr>
        <w:t xml:space="preserve">l </w:t>
      </w:r>
      <w:r>
        <w:rPr>
          <w:rFonts w:ascii="ITC Avant Garde" w:hAnsi="ITC Avant Garde" w:cs="Arial"/>
        </w:rPr>
        <w:t>Instituto</w:t>
      </w:r>
      <w:r w:rsidRPr="00FD41B9">
        <w:rPr>
          <w:rFonts w:ascii="ITC Avant Garde" w:hAnsi="ITC Avant Garde" w:cs="Arial"/>
        </w:rPr>
        <w:t xml:space="preserve"> y los regulados de forma voluntaria.</w:t>
      </w:r>
    </w:p>
    <w:p w14:paraId="0D62A143" w14:textId="77777777" w:rsidR="002816EE" w:rsidRPr="00FD41B9" w:rsidRDefault="002816EE" w:rsidP="007E036D">
      <w:pPr>
        <w:jc w:val="both"/>
        <w:rPr>
          <w:rFonts w:ascii="ITC Avant Garde" w:hAnsi="ITC Avant Garde" w:cs="Arial"/>
        </w:rPr>
      </w:pPr>
      <w:r w:rsidRPr="00FD41B9">
        <w:rPr>
          <w:rFonts w:ascii="ITC Avant Garde" w:hAnsi="ITC Avant Garde" w:cs="Arial"/>
        </w:rPr>
        <w:t>El I</w:t>
      </w:r>
      <w:r>
        <w:rPr>
          <w:rFonts w:ascii="ITC Avant Garde" w:hAnsi="ITC Avant Garde" w:cs="Arial"/>
        </w:rPr>
        <w:t>nstituto</w:t>
      </w:r>
      <w:r w:rsidRPr="00FD41B9">
        <w:rPr>
          <w:rFonts w:ascii="ITC Avant Garde" w:hAnsi="ITC Avant Garde" w:cs="Arial"/>
        </w:rPr>
        <w:t xml:space="preserve"> pone a disposición del público en general los siguientes documentos a fin de que éste tenga un mejor conocimiento de los Modelos de Costos</w:t>
      </w:r>
      <w:r>
        <w:rPr>
          <w:rFonts w:ascii="ITC Avant Garde" w:hAnsi="ITC Avant Garde" w:cs="Arial"/>
        </w:rPr>
        <w:t xml:space="preserve"> de Servicios de Interconexión</w:t>
      </w:r>
      <w:r w:rsidRPr="00FD41B9">
        <w:rPr>
          <w:rFonts w:ascii="ITC Avant Garde" w:hAnsi="ITC Avant Garde" w:cs="Arial"/>
        </w:rPr>
        <w:t xml:space="preserve"> desarrollados:</w:t>
      </w:r>
    </w:p>
    <w:p w14:paraId="1BD14D40" w14:textId="77777777" w:rsidR="002816EE" w:rsidRPr="000D1139" w:rsidRDefault="002816EE" w:rsidP="007E036D">
      <w:pPr>
        <w:pStyle w:val="Prrafodelista"/>
        <w:numPr>
          <w:ilvl w:val="0"/>
          <w:numId w:val="18"/>
        </w:numPr>
        <w:spacing w:after="240" w:line="320" w:lineRule="atLeast"/>
        <w:ind w:left="714" w:hanging="357"/>
        <w:contextualSpacing w:val="0"/>
        <w:jc w:val="both"/>
        <w:rPr>
          <w:rFonts w:ascii="ITC Avant Garde" w:hAnsi="ITC Avant Garde" w:cs="Arial"/>
          <w:spacing w:val="-4"/>
          <w:sz w:val="22"/>
          <w:szCs w:val="22"/>
        </w:rPr>
      </w:pPr>
      <w:r w:rsidRPr="000D1139">
        <w:rPr>
          <w:rFonts w:ascii="ITC Avant Garde" w:hAnsi="ITC Avant Garde" w:cs="Arial"/>
          <w:spacing w:val="-4"/>
          <w:sz w:val="22"/>
          <w:szCs w:val="22"/>
        </w:rPr>
        <w:t xml:space="preserve">El presente </w:t>
      </w:r>
      <w:r w:rsidRPr="000D1139">
        <w:rPr>
          <w:rFonts w:ascii="ITC Avant Garde" w:hAnsi="ITC Avant Garde" w:cs="Arial"/>
          <w:i/>
          <w:spacing w:val="-4"/>
          <w:sz w:val="22"/>
          <w:szCs w:val="22"/>
        </w:rPr>
        <w:t>Documento de Consulta Pública</w:t>
      </w:r>
      <w:r w:rsidRPr="000D1139">
        <w:rPr>
          <w:rFonts w:ascii="ITC Avant Garde" w:hAnsi="ITC Avant Garde" w:cs="Arial"/>
          <w:spacing w:val="-4"/>
          <w:sz w:val="22"/>
          <w:szCs w:val="22"/>
        </w:rPr>
        <w:t xml:space="preserve">, el cual contiene una introducción a los principales conceptos utilizados en la elaboración de los Modelos de Costos y sirve como guía acerca de las cuestiones más importantes sometidas a Consulta Pública. Es importante mencionar que para dar respuesta a las preguntas planteadas en el presente documento, es necesario dar lectura al </w:t>
      </w:r>
      <w:r w:rsidRPr="000D1139">
        <w:rPr>
          <w:rFonts w:ascii="ITC Avant Garde" w:hAnsi="ITC Avant Garde" w:cs="Arial"/>
          <w:i/>
          <w:spacing w:val="-4"/>
          <w:sz w:val="22"/>
          <w:szCs w:val="22"/>
        </w:rPr>
        <w:t>Informe de Enfoque Conceptual</w:t>
      </w:r>
      <w:r w:rsidRPr="000D1139">
        <w:rPr>
          <w:rFonts w:ascii="ITC Avant Garde" w:hAnsi="ITC Avant Garde" w:cs="Arial"/>
          <w:spacing w:val="-4"/>
          <w:sz w:val="22"/>
          <w:szCs w:val="22"/>
        </w:rPr>
        <w:t xml:space="preserve"> y al </w:t>
      </w:r>
      <w:r w:rsidRPr="000D1139">
        <w:rPr>
          <w:rFonts w:ascii="ITC Avant Garde" w:hAnsi="ITC Avant Garde" w:cs="Arial"/>
          <w:i/>
          <w:spacing w:val="-4"/>
          <w:sz w:val="22"/>
          <w:szCs w:val="22"/>
        </w:rPr>
        <w:t>Informe de Documentación de los Modelos de Costos de Interconexión</w:t>
      </w:r>
      <w:r w:rsidRPr="000D1139">
        <w:rPr>
          <w:rFonts w:ascii="ITC Avant Garde" w:hAnsi="ITC Avant Garde" w:cs="Arial"/>
          <w:spacing w:val="-4"/>
          <w:sz w:val="22"/>
          <w:szCs w:val="22"/>
        </w:rPr>
        <w:t>.</w:t>
      </w:r>
    </w:p>
    <w:p w14:paraId="478D55C9" w14:textId="77777777" w:rsidR="002816EE" w:rsidRPr="000D1139" w:rsidRDefault="002816EE" w:rsidP="007E036D">
      <w:pPr>
        <w:pStyle w:val="Prrafodelista"/>
        <w:numPr>
          <w:ilvl w:val="0"/>
          <w:numId w:val="18"/>
        </w:numPr>
        <w:spacing w:after="240" w:line="320" w:lineRule="atLeast"/>
        <w:ind w:left="714" w:hanging="357"/>
        <w:contextualSpacing w:val="0"/>
        <w:jc w:val="both"/>
        <w:rPr>
          <w:rFonts w:ascii="ITC Avant Garde" w:hAnsi="ITC Avant Garde" w:cs="Arial"/>
          <w:spacing w:val="-4"/>
          <w:sz w:val="22"/>
          <w:szCs w:val="22"/>
        </w:rPr>
      </w:pPr>
      <w:r w:rsidRPr="000D1139">
        <w:rPr>
          <w:rFonts w:ascii="ITC Avant Garde" w:hAnsi="ITC Avant Garde" w:cs="Arial"/>
          <w:spacing w:val="-4"/>
          <w:sz w:val="22"/>
          <w:szCs w:val="22"/>
        </w:rPr>
        <w:lastRenderedPageBreak/>
        <w:t xml:space="preserve">El </w:t>
      </w:r>
      <w:r w:rsidRPr="000D1139">
        <w:rPr>
          <w:rFonts w:ascii="ITC Avant Garde" w:hAnsi="ITC Avant Garde" w:cs="Arial"/>
          <w:i/>
          <w:spacing w:val="-4"/>
          <w:sz w:val="22"/>
          <w:szCs w:val="22"/>
        </w:rPr>
        <w:t xml:space="preserve">Informe de Enfoque Conceptual </w:t>
      </w:r>
      <w:r w:rsidRPr="000D1139">
        <w:rPr>
          <w:rFonts w:ascii="ITC Avant Garde" w:hAnsi="ITC Avant Garde" w:cs="Arial"/>
          <w:spacing w:val="-4"/>
          <w:sz w:val="22"/>
          <w:szCs w:val="22"/>
        </w:rPr>
        <w:t>(en lo sucesivo, el “Enfoque Conceptual”)</w:t>
      </w:r>
      <w:r w:rsidRPr="000D1139">
        <w:rPr>
          <w:rFonts w:ascii="ITC Avant Garde" w:hAnsi="ITC Avant Garde" w:cs="Arial"/>
          <w:i/>
          <w:spacing w:val="-4"/>
          <w:sz w:val="22"/>
          <w:szCs w:val="22"/>
        </w:rPr>
        <w:t>,</w:t>
      </w:r>
      <w:r w:rsidRPr="000D1139">
        <w:rPr>
          <w:rFonts w:ascii="ITC Avant Garde" w:hAnsi="ITC Avant Garde" w:cs="Arial"/>
          <w:spacing w:val="-4"/>
          <w:sz w:val="22"/>
          <w:szCs w:val="22"/>
        </w:rPr>
        <w:t xml:space="preserve"> donde se tratan los principios teóricos que rigen los modelos, así como la implementación de la Metodología de Costos, seguida desde una perspectiva general.</w:t>
      </w:r>
    </w:p>
    <w:p w14:paraId="1420C914" w14:textId="77777777" w:rsidR="002816EE" w:rsidRPr="000D1139" w:rsidRDefault="002816EE" w:rsidP="007E036D">
      <w:pPr>
        <w:pStyle w:val="Prrafodelista"/>
        <w:numPr>
          <w:ilvl w:val="0"/>
          <w:numId w:val="18"/>
        </w:numPr>
        <w:spacing w:after="240" w:line="320" w:lineRule="atLeast"/>
        <w:ind w:left="714" w:hanging="357"/>
        <w:contextualSpacing w:val="0"/>
        <w:jc w:val="both"/>
        <w:rPr>
          <w:rFonts w:ascii="ITC Avant Garde" w:hAnsi="ITC Avant Garde" w:cs="Arial"/>
          <w:sz w:val="22"/>
          <w:szCs w:val="22"/>
        </w:rPr>
      </w:pPr>
      <w:r w:rsidRPr="000D1139">
        <w:rPr>
          <w:rFonts w:ascii="ITC Avant Garde" w:hAnsi="ITC Avant Garde" w:cs="Arial"/>
          <w:sz w:val="22"/>
          <w:szCs w:val="22"/>
        </w:rPr>
        <w:t>Los Modelos de Costos de Servicios de Interconexión de un operador fijo y un operador móvil (en lo sucesivo, los “Modelos de Costos”, o el “Modelo Fijo”, o el “Modelo Móvil” según sea el caso), así como el modelo que calcula la demanda de los servicios de interconexión (en lo sucesivo, el “Modelo de Mercado”).</w:t>
      </w:r>
    </w:p>
    <w:p w14:paraId="48CEBB90" w14:textId="77777777" w:rsidR="002816EE" w:rsidRPr="000D1139" w:rsidRDefault="002816EE" w:rsidP="007E036D">
      <w:pPr>
        <w:pStyle w:val="Prrafodelista"/>
        <w:numPr>
          <w:ilvl w:val="0"/>
          <w:numId w:val="18"/>
        </w:numPr>
        <w:spacing w:after="240" w:line="320" w:lineRule="atLeast"/>
        <w:ind w:left="714" w:hanging="357"/>
        <w:contextualSpacing w:val="0"/>
        <w:jc w:val="both"/>
        <w:rPr>
          <w:rFonts w:ascii="ITC Avant Garde" w:hAnsi="ITC Avant Garde" w:cs="Arial"/>
          <w:sz w:val="22"/>
          <w:szCs w:val="22"/>
        </w:rPr>
      </w:pPr>
      <w:r w:rsidRPr="000D1139">
        <w:rPr>
          <w:rFonts w:ascii="ITC Avant Garde" w:hAnsi="ITC Avant Garde" w:cs="Arial"/>
          <w:sz w:val="22"/>
          <w:szCs w:val="22"/>
        </w:rPr>
        <w:t xml:space="preserve">El </w:t>
      </w:r>
      <w:r w:rsidRPr="000D1139">
        <w:rPr>
          <w:rFonts w:ascii="ITC Avant Garde" w:hAnsi="ITC Avant Garde" w:cs="Arial"/>
          <w:i/>
          <w:sz w:val="22"/>
          <w:szCs w:val="22"/>
        </w:rPr>
        <w:t xml:space="preserve">Informe de Documentación de los Modelos de Costos de Servicios de Interconexión </w:t>
      </w:r>
      <w:r w:rsidRPr="000D1139">
        <w:rPr>
          <w:rFonts w:ascii="ITC Avant Garde" w:hAnsi="ITC Avant Garde" w:cs="Arial"/>
          <w:sz w:val="22"/>
          <w:szCs w:val="22"/>
        </w:rPr>
        <w:t>(en lo sucesivo la ‘Documentación del Modelo’), en donde se explica de manera detallada la metodología seguida en la elaboración de los Modelos de Costos.</w:t>
      </w:r>
    </w:p>
    <w:p w14:paraId="3DFE5F1A" w14:textId="77777777" w:rsidR="002816EE" w:rsidRPr="00FD41B9" w:rsidRDefault="002816EE" w:rsidP="007E036D">
      <w:pPr>
        <w:pStyle w:val="Ttulo1"/>
        <w:numPr>
          <w:ilvl w:val="0"/>
          <w:numId w:val="12"/>
        </w:numPr>
        <w:ind w:left="0"/>
        <w:jc w:val="both"/>
        <w:rPr>
          <w:rFonts w:ascii="ITC Avant Garde" w:hAnsi="ITC Avant Garde" w:cs="Arial"/>
          <w:lang w:val="es-ES"/>
        </w:rPr>
      </w:pPr>
      <w:bookmarkStart w:id="2" w:name="_Toc323285056"/>
      <w:r w:rsidRPr="00FD41B9">
        <w:rPr>
          <w:rFonts w:ascii="ITC Avant Garde" w:hAnsi="ITC Avant Garde" w:cs="Arial"/>
          <w:lang w:val="es-ES"/>
        </w:rPr>
        <w:lastRenderedPageBreak/>
        <w:t>Cuestiones sometidas a Consulta</w:t>
      </w:r>
      <w:bookmarkEnd w:id="2"/>
    </w:p>
    <w:p w14:paraId="62932F7A" w14:textId="5AD512C7" w:rsidR="00D34A0D" w:rsidRPr="000F099D" w:rsidRDefault="00D34A0D" w:rsidP="007E036D">
      <w:pPr>
        <w:jc w:val="both"/>
        <w:rPr>
          <w:rFonts w:ascii="ITC Avant Garde" w:hAnsi="ITC Avant Garde" w:cs="Arial"/>
        </w:rPr>
      </w:pPr>
      <w:r w:rsidRPr="000F099D">
        <w:rPr>
          <w:rFonts w:ascii="ITC Avant Garde" w:hAnsi="ITC Avant Garde" w:cs="Arial"/>
        </w:rPr>
        <w:t>Los siguientes conceptos propuestos no son considerados</w:t>
      </w:r>
      <w:r w:rsidR="00213EED">
        <w:rPr>
          <w:rFonts w:ascii="ITC Avant Garde" w:hAnsi="ITC Avant Garde" w:cs="Arial"/>
        </w:rPr>
        <w:t xml:space="preserve"> como parte de</w:t>
      </w:r>
      <w:r w:rsidRPr="000F099D">
        <w:rPr>
          <w:rFonts w:ascii="ITC Avant Garde" w:hAnsi="ITC Avant Garde" w:cs="Arial"/>
        </w:rPr>
        <w:t xml:space="preserve"> la consulta</w:t>
      </w:r>
      <w:r w:rsidR="00213EED">
        <w:rPr>
          <w:rFonts w:ascii="ITC Avant Garde" w:hAnsi="ITC Avant Garde" w:cs="Arial"/>
        </w:rPr>
        <w:t xml:space="preserve"> ya que dichos conceptos están definidos en el</w:t>
      </w:r>
      <w:r w:rsidR="00213EED" w:rsidRPr="00FA7FF5">
        <w:t xml:space="preserve"> </w:t>
      </w:r>
      <w:r w:rsidR="00213EED" w:rsidRPr="00BD34FF">
        <w:rPr>
          <w:rFonts w:ascii="ITC Avant Garde" w:hAnsi="ITC Avant Garde" w:cs="Arial"/>
          <w:i/>
        </w:rPr>
        <w:t>ACUERDO mediante el cual el Pleno del Instituto Federal de Telecomunicaciones emite la metodología para el cálculo de costos de interconexión de conformidad con la Ley Federal de Telecomunicaciones y Radiodifusión</w:t>
      </w:r>
      <w:r w:rsidR="00213EED">
        <w:rPr>
          <w:rFonts w:ascii="ITC Avant Garde" w:hAnsi="ITC Avant Garde" w:cs="Arial"/>
        </w:rPr>
        <w:t>:</w:t>
      </w:r>
    </w:p>
    <w:p w14:paraId="43913CA7" w14:textId="77777777" w:rsidR="00D34A0D" w:rsidRPr="000F099D" w:rsidRDefault="00D34A0D" w:rsidP="00CB415B">
      <w:pPr>
        <w:pStyle w:val="Prrafodelista"/>
        <w:numPr>
          <w:ilvl w:val="0"/>
          <w:numId w:val="20"/>
        </w:numPr>
        <w:jc w:val="both"/>
        <w:rPr>
          <w:rFonts w:ascii="ITC Avant Garde" w:hAnsi="ITC Avant Garde" w:cs="Arial"/>
          <w:sz w:val="22"/>
          <w:szCs w:val="22"/>
        </w:rPr>
      </w:pPr>
      <w:r w:rsidRPr="000F099D">
        <w:rPr>
          <w:rFonts w:ascii="ITC Avant Garde" w:hAnsi="ITC Avant Garde" w:cs="Arial"/>
          <w:sz w:val="22"/>
          <w:szCs w:val="22"/>
        </w:rPr>
        <w:t xml:space="preserve">Concepto propuesto 14: enfoque </w:t>
      </w:r>
      <w:r w:rsidRPr="000F099D">
        <w:rPr>
          <w:rFonts w:ascii="ITC Avant Garde" w:hAnsi="ITC Avant Garde" w:cs="Arial"/>
          <w:i/>
          <w:sz w:val="22"/>
          <w:szCs w:val="22"/>
        </w:rPr>
        <w:t>scorched earth</w:t>
      </w:r>
    </w:p>
    <w:p w14:paraId="35D0AAA2" w14:textId="77777777" w:rsidR="00D34A0D" w:rsidRPr="000F099D" w:rsidRDefault="00D34A0D" w:rsidP="00CB415B">
      <w:pPr>
        <w:pStyle w:val="Prrafodelista"/>
        <w:numPr>
          <w:ilvl w:val="0"/>
          <w:numId w:val="20"/>
        </w:numPr>
        <w:jc w:val="both"/>
        <w:rPr>
          <w:rFonts w:ascii="ITC Avant Garde" w:hAnsi="ITC Avant Garde" w:cs="Arial"/>
          <w:sz w:val="22"/>
          <w:szCs w:val="22"/>
        </w:rPr>
      </w:pPr>
      <w:r w:rsidRPr="000F099D">
        <w:rPr>
          <w:rFonts w:ascii="ITC Avant Garde" w:hAnsi="ITC Avant Garde" w:cs="Arial"/>
          <w:sz w:val="22"/>
          <w:szCs w:val="22"/>
        </w:rPr>
        <w:t>Concepto propuesto 20: los costos minoristas se excluyen del modelo</w:t>
      </w:r>
    </w:p>
    <w:p w14:paraId="212EEC22" w14:textId="3B3E4784" w:rsidR="00D34A0D" w:rsidRPr="000F099D" w:rsidRDefault="00D34A0D" w:rsidP="00CB415B">
      <w:pPr>
        <w:pStyle w:val="Prrafodelista"/>
        <w:numPr>
          <w:ilvl w:val="0"/>
          <w:numId w:val="20"/>
        </w:numPr>
        <w:jc w:val="both"/>
        <w:rPr>
          <w:rFonts w:ascii="ITC Avant Garde" w:hAnsi="ITC Avant Garde" w:cs="Arial"/>
          <w:sz w:val="22"/>
          <w:szCs w:val="22"/>
        </w:rPr>
      </w:pPr>
      <w:r w:rsidRPr="000F099D">
        <w:rPr>
          <w:rFonts w:ascii="ITC Avant Garde" w:hAnsi="ITC Avant Garde" w:cs="Arial"/>
          <w:sz w:val="22"/>
          <w:szCs w:val="22"/>
        </w:rPr>
        <w:t xml:space="preserve">Concepto propuesto 21: se empleará </w:t>
      </w:r>
      <w:r w:rsidR="00372A2C">
        <w:rPr>
          <w:rFonts w:ascii="ITC Avant Garde" w:hAnsi="ITC Avant Garde" w:cs="Arial"/>
          <w:sz w:val="22"/>
          <w:szCs w:val="22"/>
        </w:rPr>
        <w:t>CILP Puro</w:t>
      </w:r>
    </w:p>
    <w:p w14:paraId="2025A1AE" w14:textId="77777777" w:rsidR="00D34A0D" w:rsidRPr="000F099D" w:rsidRDefault="00D34A0D" w:rsidP="00CB415B">
      <w:pPr>
        <w:pStyle w:val="Prrafodelista"/>
        <w:numPr>
          <w:ilvl w:val="0"/>
          <w:numId w:val="20"/>
        </w:numPr>
        <w:jc w:val="both"/>
        <w:rPr>
          <w:rFonts w:ascii="ITC Avant Garde" w:hAnsi="ITC Avant Garde" w:cs="Arial"/>
          <w:sz w:val="22"/>
          <w:szCs w:val="22"/>
        </w:rPr>
      </w:pPr>
      <w:r w:rsidRPr="000F099D">
        <w:rPr>
          <w:rFonts w:ascii="ITC Avant Garde" w:hAnsi="ITC Avant Garde" w:cs="Arial"/>
          <w:sz w:val="22"/>
          <w:szCs w:val="22"/>
        </w:rPr>
        <w:t>Concepto propuesto 22: se empleará depreciación económica</w:t>
      </w:r>
    </w:p>
    <w:p w14:paraId="5EB85512" w14:textId="77777777" w:rsidR="00D34A0D" w:rsidRPr="000F099D" w:rsidRDefault="00D34A0D" w:rsidP="00CB415B">
      <w:pPr>
        <w:pStyle w:val="Prrafodelista"/>
        <w:numPr>
          <w:ilvl w:val="0"/>
          <w:numId w:val="20"/>
        </w:numPr>
        <w:jc w:val="both"/>
        <w:rPr>
          <w:rFonts w:ascii="ITC Avant Garde" w:hAnsi="ITC Avant Garde" w:cs="Arial"/>
          <w:sz w:val="22"/>
          <w:szCs w:val="22"/>
        </w:rPr>
      </w:pPr>
      <w:r w:rsidRPr="000F099D">
        <w:rPr>
          <w:rFonts w:ascii="ITC Avant Garde" w:hAnsi="ITC Avant Garde" w:cs="Arial"/>
          <w:sz w:val="22"/>
          <w:szCs w:val="22"/>
        </w:rPr>
        <w:t>Concepto propuesto 24: CAPM para costo de capital</w:t>
      </w:r>
    </w:p>
    <w:p w14:paraId="46878F01" w14:textId="7C36EE06" w:rsidR="00F740C5" w:rsidRPr="000F099D" w:rsidRDefault="00D34A0D" w:rsidP="00D34A0D">
      <w:pPr>
        <w:pStyle w:val="Prrafodelista"/>
        <w:numPr>
          <w:ilvl w:val="0"/>
          <w:numId w:val="20"/>
        </w:numPr>
        <w:jc w:val="both"/>
        <w:rPr>
          <w:rFonts w:ascii="ITC Avant Garde" w:hAnsi="ITC Avant Garde" w:cs="Arial"/>
          <w:sz w:val="22"/>
          <w:szCs w:val="22"/>
        </w:rPr>
      </w:pPr>
      <w:r w:rsidRPr="000F099D">
        <w:rPr>
          <w:rFonts w:ascii="ITC Avant Garde" w:hAnsi="ITC Avant Garde" w:cs="Arial"/>
          <w:sz w:val="22"/>
          <w:szCs w:val="22"/>
        </w:rPr>
        <w:t>Concepto propuesto 31: uso de EPMU</w:t>
      </w:r>
    </w:p>
    <w:p w14:paraId="62564F45" w14:textId="77777777" w:rsidR="00F740C5" w:rsidRPr="000F099D" w:rsidRDefault="00F740C5" w:rsidP="00F740C5">
      <w:pPr>
        <w:pStyle w:val="Prrafodelista"/>
        <w:ind w:left="782"/>
        <w:jc w:val="both"/>
        <w:rPr>
          <w:rFonts w:ascii="ITC Avant Garde" w:hAnsi="ITC Avant Garde" w:cs="Arial"/>
          <w:sz w:val="22"/>
          <w:szCs w:val="22"/>
        </w:rPr>
      </w:pPr>
    </w:p>
    <w:p w14:paraId="67C28EFD" w14:textId="77777777" w:rsidR="002816EE" w:rsidRPr="002D20CB" w:rsidRDefault="002816EE" w:rsidP="007E036D">
      <w:pPr>
        <w:jc w:val="both"/>
        <w:rPr>
          <w:rFonts w:ascii="ITC Avant Garde" w:hAnsi="ITC Avant Garde" w:cs="Arial"/>
        </w:rPr>
      </w:pPr>
      <w:r w:rsidRPr="002D20CB">
        <w:rPr>
          <w:rFonts w:ascii="ITC Avant Garde" w:hAnsi="ITC Avant Garde" w:cs="Arial"/>
        </w:rPr>
        <w:t xml:space="preserve">Con el fin de guiar el proceso de consulta pública, se utilizará como base el presente documento, el cual contiene las preguntas específicas a ser consideradas por los participantes. Dichas preguntas hacen referencia a los documentos de apoyo que estarán disponibles en la Consulta como son el </w:t>
      </w:r>
      <w:r w:rsidRPr="002D20CB">
        <w:rPr>
          <w:rFonts w:ascii="ITC Avant Garde" w:hAnsi="ITC Avant Garde" w:cs="Arial"/>
          <w:i/>
        </w:rPr>
        <w:t>Informe de Enfoque Conceptual</w:t>
      </w:r>
      <w:r w:rsidRPr="002D20CB">
        <w:rPr>
          <w:rFonts w:ascii="ITC Avant Garde" w:hAnsi="ITC Avant Garde" w:cs="Arial"/>
        </w:rPr>
        <w:t xml:space="preserve">, el </w:t>
      </w:r>
      <w:r w:rsidRPr="002D20CB">
        <w:rPr>
          <w:rFonts w:ascii="ITC Avant Garde" w:hAnsi="ITC Avant Garde" w:cs="Arial"/>
          <w:i/>
        </w:rPr>
        <w:t xml:space="preserve">Informe de la Documentación de los Modelos de Costos de Servicios de Interconexión </w:t>
      </w:r>
      <w:r w:rsidRPr="002D20CB">
        <w:rPr>
          <w:rFonts w:ascii="ITC Avant Garde" w:hAnsi="ITC Avant Garde" w:cs="Arial"/>
        </w:rPr>
        <w:t>y los Modelos de Costos Fijo y Móvil.</w:t>
      </w:r>
    </w:p>
    <w:p w14:paraId="2DF4813D" w14:textId="77777777" w:rsidR="002816EE" w:rsidRPr="002D20CB" w:rsidRDefault="002816EE" w:rsidP="007E036D">
      <w:pPr>
        <w:jc w:val="both"/>
        <w:rPr>
          <w:rFonts w:ascii="ITC Avant Garde" w:hAnsi="ITC Avant Garde" w:cs="Arial"/>
        </w:rPr>
      </w:pPr>
      <w:r w:rsidRPr="002D20CB">
        <w:rPr>
          <w:rFonts w:ascii="ITC Avant Garde" w:hAnsi="ITC Avant Garde" w:cs="Arial"/>
        </w:rPr>
        <w:t xml:space="preserve">Para ello, los participantes podrán aportar información que permita a este Instituto analizar y en su caso valorar la posibilidad de recalibrar los Modelos de Costos de Servicios de Interconexión. </w:t>
      </w:r>
    </w:p>
    <w:p w14:paraId="180EC845" w14:textId="242BE3E8" w:rsidR="002816EE" w:rsidRPr="002D20CB" w:rsidRDefault="002816EE" w:rsidP="007E036D">
      <w:pPr>
        <w:jc w:val="both"/>
        <w:rPr>
          <w:rFonts w:ascii="ITC Avant Garde" w:hAnsi="ITC Avant Garde" w:cs="Arial"/>
          <w:spacing w:val="-4"/>
        </w:rPr>
      </w:pPr>
      <w:r w:rsidRPr="002D20CB">
        <w:rPr>
          <w:rFonts w:ascii="ITC Avant Garde" w:hAnsi="ITC Avant Garde" w:cs="Arial"/>
          <w:spacing w:val="-4"/>
        </w:rPr>
        <w:t>Los Modelos de Costos estarán disponibles al público en general en formato de hoja de cálculo, para facilitar la comprensión de los principios de diseño desarrollados a lo largo del documento y aportar una transparencia total a los principales actores del mercado en cuanto a su construcción. Asimismo, ofrecen a los participantes la posibilidad de incorporar sus comentarios tanto a los principios de diseño utilizados como a los parámetros específicos empleados en su construcción, sustenta</w:t>
      </w:r>
      <w:r w:rsidR="00F740C5">
        <w:rPr>
          <w:rFonts w:ascii="ITC Avant Garde" w:hAnsi="ITC Avant Garde" w:cs="Arial"/>
          <w:spacing w:val="-4"/>
        </w:rPr>
        <w:t>n</w:t>
      </w:r>
      <w:r w:rsidRPr="002D20CB">
        <w:rPr>
          <w:rFonts w:ascii="ITC Avant Garde" w:hAnsi="ITC Avant Garde" w:cs="Arial"/>
          <w:spacing w:val="-4"/>
        </w:rPr>
        <w:t>do debidamente sus argumentos.</w:t>
      </w:r>
    </w:p>
    <w:p w14:paraId="0A25C102" w14:textId="77777777" w:rsidR="002816EE" w:rsidRPr="002D20CB" w:rsidRDefault="002816EE" w:rsidP="007E036D">
      <w:pPr>
        <w:jc w:val="both"/>
        <w:rPr>
          <w:rFonts w:ascii="ITC Avant Garde" w:hAnsi="ITC Avant Garde" w:cs="Arial"/>
        </w:rPr>
      </w:pPr>
      <w:r w:rsidRPr="002D20CB">
        <w:rPr>
          <w:rFonts w:ascii="ITC Avant Garde" w:hAnsi="ITC Avant Garde" w:cs="Arial"/>
        </w:rPr>
        <w:t xml:space="preserve">La información y comentarios vertidos por los participantes durante la Consulta Pública, permitirán realizar la fase de calibración final de los modelos. </w:t>
      </w:r>
    </w:p>
    <w:p w14:paraId="656A1735" w14:textId="71F3D26D" w:rsidR="002816EE" w:rsidRPr="002D20CB" w:rsidRDefault="002816EE" w:rsidP="007E036D">
      <w:pPr>
        <w:jc w:val="both"/>
        <w:rPr>
          <w:rFonts w:ascii="ITC Avant Garde" w:hAnsi="ITC Avant Garde" w:cs="Arial"/>
          <w:b/>
        </w:rPr>
      </w:pPr>
      <w:r w:rsidRPr="002D20CB">
        <w:rPr>
          <w:rFonts w:ascii="ITC Avant Garde" w:hAnsi="ITC Avant Garde" w:cs="Arial"/>
          <w:b/>
        </w:rPr>
        <w:t xml:space="preserve">Los Modelos de Costos no muestran los resultados finales de las tarifas de los Servicios de Interconexión. Como se mencionó con anterioridad, el objetivo de la Consulta Pública es el análisis de todas las cuestiones relacionadas con los principios conceptuales utilizados en la elaboración de los Modelos de Costos, así como la estructura y el </w:t>
      </w:r>
      <w:r w:rsidRPr="002D20CB">
        <w:rPr>
          <w:rFonts w:ascii="ITC Avant Garde" w:hAnsi="ITC Avant Garde" w:cs="Arial"/>
          <w:b/>
        </w:rPr>
        <w:lastRenderedPageBreak/>
        <w:t xml:space="preserve">algoritmo de los mismos. Por tanto, en los resultados de los Modelos se han considerado ciertas variables instrumentales no necesariamente </w:t>
      </w:r>
      <w:r w:rsidR="00213EED" w:rsidRPr="002D20CB">
        <w:rPr>
          <w:rFonts w:ascii="ITC Avant Garde" w:hAnsi="ITC Avant Garde" w:cs="Arial"/>
          <w:b/>
        </w:rPr>
        <w:t>ajustad</w:t>
      </w:r>
      <w:r w:rsidR="00213EED">
        <w:rPr>
          <w:rFonts w:ascii="ITC Avant Garde" w:hAnsi="ITC Avant Garde" w:cs="Arial"/>
          <w:b/>
        </w:rPr>
        <w:t>a</w:t>
      </w:r>
      <w:r w:rsidR="00213EED" w:rsidRPr="002D20CB">
        <w:rPr>
          <w:rFonts w:ascii="ITC Avant Garde" w:hAnsi="ITC Avant Garde" w:cs="Arial"/>
          <w:b/>
        </w:rPr>
        <w:t xml:space="preserve">s </w:t>
      </w:r>
      <w:r w:rsidRPr="002D20CB">
        <w:rPr>
          <w:rFonts w:ascii="ITC Avant Garde" w:hAnsi="ITC Avant Garde" w:cs="Arial"/>
          <w:b/>
        </w:rPr>
        <w:t>a la realidad (</w:t>
      </w:r>
      <w:r w:rsidRPr="002D20CB">
        <w:rPr>
          <w:rFonts w:ascii="ITC Avant Garde" w:hAnsi="ITC Avant Garde" w:cs="Arial"/>
          <w:b/>
          <w:i/>
        </w:rPr>
        <w:t>dummy</w:t>
      </w:r>
      <w:r w:rsidRPr="002D20CB">
        <w:rPr>
          <w:rFonts w:ascii="ITC Avant Garde" w:hAnsi="ITC Avant Garde" w:cs="Arial"/>
          <w:b/>
        </w:rPr>
        <w:t>).</w:t>
      </w:r>
    </w:p>
    <w:p w14:paraId="32092FE9" w14:textId="31DCA0C6" w:rsidR="002816EE" w:rsidRPr="007455DB" w:rsidRDefault="002816EE" w:rsidP="007E036D">
      <w:pPr>
        <w:jc w:val="both"/>
        <w:rPr>
          <w:rFonts w:ascii="ITC Avant Garde" w:hAnsi="ITC Avant Garde" w:cs="Arial"/>
        </w:rPr>
      </w:pPr>
      <w:r w:rsidRPr="007455DB">
        <w:rPr>
          <w:rFonts w:ascii="ITC Avant Garde" w:hAnsi="ITC Avant Garde" w:cs="Arial"/>
        </w:rPr>
        <w:t xml:space="preserve">Es importante señalar que una vez concluida la etapa de Consulta Pública, la información y comentarios aportados serán analizados y evaluados por este Instituto. Con el fin de disponer de una herramienta lo más objetiva posible que sirva como referencia para la fijación de las tarifas de Servicios de Interconexión, el Instituto publicará en su página de </w:t>
      </w:r>
      <w:r w:rsidR="00213EED">
        <w:rPr>
          <w:rFonts w:ascii="ITC Avant Garde" w:hAnsi="ITC Avant Garde" w:cs="Arial"/>
        </w:rPr>
        <w:t>I</w:t>
      </w:r>
      <w:r w:rsidRPr="007455DB">
        <w:rPr>
          <w:rFonts w:ascii="ITC Avant Garde" w:hAnsi="ITC Avant Garde" w:cs="Arial"/>
        </w:rPr>
        <w:t xml:space="preserve">nternet (www.ift.org.mx) la totalidad de los comentarios emitidos por las partes interesadas. </w:t>
      </w:r>
    </w:p>
    <w:p w14:paraId="257FC773" w14:textId="69E96B73" w:rsidR="002816EE" w:rsidRPr="007455DB" w:rsidRDefault="002816EE" w:rsidP="007E036D">
      <w:pPr>
        <w:jc w:val="both"/>
        <w:rPr>
          <w:rFonts w:ascii="ITC Avant Garde" w:hAnsi="ITC Avant Garde" w:cs="Arial"/>
        </w:rPr>
      </w:pPr>
      <w:r w:rsidRPr="007455DB">
        <w:rPr>
          <w:rFonts w:ascii="ITC Avant Garde" w:hAnsi="ITC Avant Garde" w:cs="Arial"/>
        </w:rPr>
        <w:t xml:space="preserve">Los comentarios a la presente Consulta Pública deberán recibirse a más tardar el </w:t>
      </w:r>
      <w:r w:rsidR="008B40CE" w:rsidRPr="003232FD">
        <w:rPr>
          <w:rFonts w:ascii="ITC Avant Garde" w:hAnsi="ITC Avant Garde" w:cs="Arial"/>
        </w:rPr>
        <w:t xml:space="preserve">21 </w:t>
      </w:r>
      <w:r w:rsidRPr="003232FD">
        <w:rPr>
          <w:rFonts w:ascii="ITC Avant Garde" w:hAnsi="ITC Avant Garde" w:cs="Arial"/>
        </w:rPr>
        <w:t xml:space="preserve">de </w:t>
      </w:r>
      <w:r w:rsidR="008B40CE" w:rsidRPr="003232FD">
        <w:rPr>
          <w:rFonts w:ascii="ITC Avant Garde" w:hAnsi="ITC Avant Garde" w:cs="Arial"/>
        </w:rPr>
        <w:t xml:space="preserve">diciembre de </w:t>
      </w:r>
      <w:r w:rsidRPr="003232FD">
        <w:rPr>
          <w:rFonts w:ascii="ITC Avant Garde" w:hAnsi="ITC Avant Garde" w:cs="Arial"/>
        </w:rPr>
        <w:t>2016</w:t>
      </w:r>
      <w:r w:rsidRPr="007455DB">
        <w:rPr>
          <w:rFonts w:ascii="ITC Avant Garde" w:hAnsi="ITC Avant Garde" w:cs="Arial"/>
        </w:rPr>
        <w:t>, por las siguientes vías:</w:t>
      </w:r>
    </w:p>
    <w:p w14:paraId="32135D65" w14:textId="58841905" w:rsidR="002816EE" w:rsidRPr="000F099D"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0F099D">
        <w:rPr>
          <w:rFonts w:ascii="ITC Avant Garde" w:hAnsi="ITC Avant Garde" w:cs="Arial"/>
          <w:sz w:val="22"/>
          <w:szCs w:val="22"/>
        </w:rPr>
        <w:t xml:space="preserve">En la dirección de correo electrónico: </w:t>
      </w:r>
      <w:hyperlink r:id="rId8" w:history="1">
        <w:r w:rsidR="003232FD" w:rsidRPr="0037735E">
          <w:rPr>
            <w:rStyle w:val="Hipervnculo"/>
            <w:rFonts w:ascii="ITC Avant Garde" w:hAnsi="ITC Avant Garde" w:cs="Arial"/>
            <w:sz w:val="22"/>
            <w:szCs w:val="22"/>
          </w:rPr>
          <w:t>modelodecostos@ift.org.mx</w:t>
        </w:r>
      </w:hyperlink>
    </w:p>
    <w:p w14:paraId="2BF2C4A2" w14:textId="4C70ECB9" w:rsidR="002816EE" w:rsidRPr="000F099D"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0F099D">
        <w:rPr>
          <w:rFonts w:ascii="ITC Avant Garde" w:hAnsi="ITC Avant Garde" w:cs="Arial"/>
          <w:sz w:val="22"/>
          <w:szCs w:val="22"/>
        </w:rPr>
        <w:t xml:space="preserve">En la </w:t>
      </w:r>
      <w:r w:rsidR="00C51CB5">
        <w:rPr>
          <w:rFonts w:ascii="ITC Avant Garde" w:hAnsi="ITC Avant Garde" w:cs="Arial"/>
          <w:sz w:val="22"/>
          <w:szCs w:val="22"/>
        </w:rPr>
        <w:t>O</w:t>
      </w:r>
      <w:r w:rsidRPr="000F099D">
        <w:rPr>
          <w:rFonts w:ascii="ITC Avant Garde" w:hAnsi="ITC Avant Garde" w:cs="Arial"/>
          <w:sz w:val="22"/>
          <w:szCs w:val="22"/>
        </w:rPr>
        <w:t xml:space="preserve">ficialía de </w:t>
      </w:r>
      <w:r w:rsidR="00C51CB5">
        <w:rPr>
          <w:rFonts w:ascii="ITC Avant Garde" w:hAnsi="ITC Avant Garde" w:cs="Arial"/>
          <w:sz w:val="22"/>
          <w:szCs w:val="22"/>
        </w:rPr>
        <w:t>P</w:t>
      </w:r>
      <w:r w:rsidRPr="000F099D">
        <w:rPr>
          <w:rFonts w:ascii="ITC Avant Garde" w:hAnsi="ITC Avant Garde" w:cs="Arial"/>
          <w:sz w:val="22"/>
          <w:szCs w:val="22"/>
        </w:rPr>
        <w:t>artes</w:t>
      </w:r>
      <w:r w:rsidR="00C51CB5">
        <w:rPr>
          <w:rFonts w:ascii="ITC Avant Garde" w:hAnsi="ITC Avant Garde" w:cs="Arial"/>
          <w:sz w:val="22"/>
          <w:szCs w:val="22"/>
        </w:rPr>
        <w:t xml:space="preserve"> Común</w:t>
      </w:r>
      <w:r w:rsidRPr="000F099D">
        <w:rPr>
          <w:rFonts w:ascii="ITC Avant Garde" w:hAnsi="ITC Avant Garde" w:cs="Arial"/>
          <w:sz w:val="22"/>
          <w:szCs w:val="22"/>
        </w:rPr>
        <w:t xml:space="preserve"> del Instituto ubicada en Insurgentes Sur 1143 Colonia Nochebuena, C.P. 03720, </w:t>
      </w:r>
      <w:bookmarkStart w:id="3" w:name="_GoBack"/>
      <w:bookmarkEnd w:id="3"/>
      <w:r w:rsidRPr="000F099D">
        <w:rPr>
          <w:rFonts w:ascii="ITC Avant Garde" w:hAnsi="ITC Avant Garde" w:cs="Arial"/>
          <w:sz w:val="22"/>
          <w:szCs w:val="22"/>
        </w:rPr>
        <w:t>Delegación Benito Juárez, Distrito Federal, de lunes a jueves en un horario de 9:00 a 18:30 horas y viernes de 9:00 a 15:00 horas.</w:t>
      </w:r>
    </w:p>
    <w:p w14:paraId="1B6E45A2" w14:textId="77777777" w:rsidR="002816EE" w:rsidRPr="007455DB" w:rsidRDefault="002816EE" w:rsidP="007E036D">
      <w:pPr>
        <w:jc w:val="both"/>
        <w:rPr>
          <w:rFonts w:ascii="ITC Avant Garde" w:hAnsi="ITC Avant Garde" w:cs="Arial"/>
        </w:rPr>
      </w:pPr>
      <w:r w:rsidRPr="007455DB">
        <w:rPr>
          <w:rFonts w:ascii="ITC Avant Garde" w:hAnsi="ITC Avant Garde" w:cs="Arial"/>
        </w:rPr>
        <w:t xml:space="preserve">Las respuestas y/o comentarios enviados por las partes interesadas a este Instituto deberán ir acompañados, sin excepción, de la siguiente información: </w:t>
      </w:r>
    </w:p>
    <w:p w14:paraId="707215F7" w14:textId="77777777" w:rsidR="002816EE" w:rsidRPr="00230569"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230569">
        <w:rPr>
          <w:rFonts w:ascii="ITC Avant Garde" w:hAnsi="ITC Avant Garde" w:cs="Arial"/>
          <w:sz w:val="22"/>
          <w:szCs w:val="22"/>
        </w:rPr>
        <w:t>Nombre;</w:t>
      </w:r>
    </w:p>
    <w:p w14:paraId="63C194D2" w14:textId="77777777" w:rsidR="002816EE" w:rsidRPr="00CB415B"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CB415B">
        <w:rPr>
          <w:rFonts w:ascii="ITC Avant Garde" w:hAnsi="ITC Avant Garde" w:cs="Arial"/>
          <w:sz w:val="22"/>
          <w:szCs w:val="22"/>
        </w:rPr>
        <w:t>Empresa, institución o asociación a la que representa;</w:t>
      </w:r>
    </w:p>
    <w:p w14:paraId="1477324E" w14:textId="77777777" w:rsidR="002816EE" w:rsidRPr="00CB415B"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CB415B">
        <w:rPr>
          <w:rFonts w:ascii="ITC Avant Garde" w:hAnsi="ITC Avant Garde" w:cs="Arial"/>
          <w:sz w:val="22"/>
          <w:szCs w:val="22"/>
        </w:rPr>
        <w:t>Puesto;</w:t>
      </w:r>
    </w:p>
    <w:p w14:paraId="3BD19109" w14:textId="77777777" w:rsidR="002816EE" w:rsidRPr="00CB415B"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CB415B">
        <w:rPr>
          <w:rFonts w:ascii="ITC Avant Garde" w:hAnsi="ITC Avant Garde" w:cs="Arial"/>
          <w:sz w:val="22"/>
          <w:szCs w:val="22"/>
        </w:rPr>
        <w:t>Correo electrónico;</w:t>
      </w:r>
    </w:p>
    <w:p w14:paraId="627E8027" w14:textId="77777777" w:rsidR="00213EED" w:rsidRPr="00CB415B" w:rsidRDefault="002816EE" w:rsidP="00213EED">
      <w:pPr>
        <w:pStyle w:val="Prrafodelista"/>
        <w:numPr>
          <w:ilvl w:val="0"/>
          <w:numId w:val="18"/>
        </w:numPr>
        <w:spacing w:after="240" w:line="320" w:lineRule="atLeast"/>
        <w:jc w:val="both"/>
        <w:rPr>
          <w:rFonts w:ascii="ITC Avant Garde" w:hAnsi="ITC Avant Garde" w:cs="Arial"/>
          <w:sz w:val="22"/>
          <w:szCs w:val="22"/>
        </w:rPr>
      </w:pPr>
      <w:r w:rsidRPr="00CB415B">
        <w:rPr>
          <w:rFonts w:ascii="ITC Avant Garde" w:hAnsi="ITC Avant Garde" w:cs="Arial"/>
          <w:sz w:val="22"/>
          <w:szCs w:val="22"/>
        </w:rPr>
        <w:t xml:space="preserve">Si algún comentario se considera de carácter confidencial, el remitente deberá indicar las secciones que deben mantenerse reservadas, o si todo el documento debe tener ese carácter y especificar las razones; en este caso, se recomienda que se acompañe el documento con una versión pública del mismo. </w:t>
      </w:r>
      <w:r w:rsidR="00213EED">
        <w:rPr>
          <w:rFonts w:ascii="ITC Avant Garde" w:hAnsi="ITC Avant Garde" w:cs="Arial"/>
          <w:sz w:val="22"/>
          <w:szCs w:val="22"/>
        </w:rPr>
        <w:t>Cabe señalar que el Instituto le dará el tratamiento de conformidad con la legislación aplicable.</w:t>
      </w:r>
    </w:p>
    <w:p w14:paraId="67133E7C" w14:textId="77777777" w:rsidR="002816EE" w:rsidRPr="007455DB" w:rsidRDefault="002816EE" w:rsidP="007E036D">
      <w:pPr>
        <w:jc w:val="both"/>
        <w:rPr>
          <w:rFonts w:ascii="ITC Avant Garde" w:hAnsi="ITC Avant Garde" w:cs="Arial"/>
        </w:rPr>
      </w:pPr>
      <w:r w:rsidRPr="007455DB">
        <w:rPr>
          <w:rFonts w:ascii="ITC Avant Garde" w:hAnsi="ITC Avant Garde" w:cs="Arial"/>
        </w:rPr>
        <w:t xml:space="preserve">A continuación se presentan los principales conceptos utilizados en la elaboración de los Modelos de Costos, acompañados de las preguntas guía. No obstante, se podrán realizar comentarios acerca de cualquier aspecto relacionado con los Modelos de Costos, el Enfoque Conceptual y la Documentación del Modelo. </w:t>
      </w:r>
    </w:p>
    <w:p w14:paraId="6850F961" w14:textId="77777777" w:rsidR="002816EE" w:rsidRPr="00FD41B9" w:rsidRDefault="002816EE" w:rsidP="007E036D">
      <w:pPr>
        <w:pStyle w:val="Ttulo2"/>
        <w:numPr>
          <w:ilvl w:val="1"/>
          <w:numId w:val="12"/>
        </w:numPr>
        <w:ind w:left="0"/>
        <w:rPr>
          <w:rFonts w:ascii="ITC Avant Garde" w:hAnsi="ITC Avant Garde" w:cs="Arial"/>
        </w:rPr>
      </w:pPr>
      <w:bookmarkStart w:id="4" w:name="_Toc323285057"/>
      <w:r w:rsidRPr="00FD41B9">
        <w:rPr>
          <w:rFonts w:ascii="ITC Avant Garde" w:hAnsi="ITC Avant Garde" w:cs="Arial"/>
        </w:rPr>
        <w:lastRenderedPageBreak/>
        <w:t>Principios generales del modelo</w:t>
      </w:r>
      <w:bookmarkEnd w:id="4"/>
    </w:p>
    <w:p w14:paraId="057BF262" w14:textId="77777777" w:rsidR="002816EE" w:rsidRPr="00FD41B9" w:rsidRDefault="002816EE" w:rsidP="007E036D">
      <w:pPr>
        <w:jc w:val="both"/>
        <w:rPr>
          <w:rFonts w:ascii="ITC Avant Garde" w:hAnsi="ITC Avant Garde" w:cs="Arial"/>
        </w:rPr>
      </w:pPr>
      <w:r w:rsidRPr="00FD41B9">
        <w:rPr>
          <w:rFonts w:ascii="ITC Avant Garde" w:hAnsi="ITC Avant Garde" w:cs="Arial"/>
        </w:rPr>
        <w:t>Como se mencionó con anterioridad, los Modelos de Costos fueron elaborados de conformidad con</w:t>
      </w:r>
      <w:r w:rsidRPr="00FD41B9">
        <w:rPr>
          <w:rFonts w:ascii="ITC Avant Garde" w:hAnsi="ITC Avant Garde"/>
        </w:rPr>
        <w:t xml:space="preserve"> </w:t>
      </w:r>
      <w:r w:rsidRPr="00FD41B9">
        <w:rPr>
          <w:rFonts w:ascii="ITC Avant Garde" w:hAnsi="ITC Avant Garde" w:cs="Arial"/>
        </w:rPr>
        <w:t xml:space="preserve">los principios regulatorios aprobados en </w:t>
      </w:r>
      <w:r>
        <w:rPr>
          <w:rFonts w:ascii="ITC Avant Garde" w:hAnsi="ITC Avant Garde" w:cs="Arial"/>
        </w:rPr>
        <w:t>la Metodología de Costos, a manera de ejemplo se señala lo siguiente:</w:t>
      </w:r>
    </w:p>
    <w:p w14:paraId="7F0E3B8A" w14:textId="77777777" w:rsidR="002816EE" w:rsidRPr="000D1139"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0D1139">
        <w:rPr>
          <w:rFonts w:ascii="ITC Avant Garde" w:hAnsi="ITC Avant Garde" w:cs="Arial"/>
          <w:sz w:val="22"/>
          <w:szCs w:val="22"/>
        </w:rPr>
        <w:t>Se empleará la metodología de costos incrementales de largo plazo puros (CILPP) para los servicios de conducción de tráfico y tránsito.</w:t>
      </w:r>
    </w:p>
    <w:p w14:paraId="600F2833" w14:textId="77777777" w:rsidR="002816EE" w:rsidRPr="000D1139"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0D1139">
        <w:rPr>
          <w:rFonts w:ascii="ITC Avant Garde" w:hAnsi="ITC Avant Garde" w:cs="Arial"/>
          <w:sz w:val="22"/>
          <w:szCs w:val="22"/>
        </w:rPr>
        <w:t>Se utilizará el enfoque de modelos ascendentes (bottom-up).</w:t>
      </w:r>
    </w:p>
    <w:p w14:paraId="40860B29" w14:textId="7810AB76" w:rsidR="002816EE"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0D1139">
        <w:rPr>
          <w:rFonts w:ascii="ITC Avant Garde" w:hAnsi="ITC Avant Garde" w:cs="Arial"/>
          <w:sz w:val="22"/>
          <w:szCs w:val="22"/>
        </w:rPr>
        <w:t>Se utilizará la metodología de margen equiproporcional para la recuperación de los costos comunes relevantes, de manera informativa</w:t>
      </w:r>
      <w:r w:rsidR="00372A2C">
        <w:rPr>
          <w:rStyle w:val="Refdenotaalpie"/>
          <w:szCs w:val="22"/>
        </w:rPr>
        <w:footnoteReference w:id="1"/>
      </w:r>
      <w:r w:rsidRPr="000D1139">
        <w:rPr>
          <w:rFonts w:ascii="ITC Avant Garde" w:hAnsi="ITC Avant Garde" w:cs="Arial"/>
          <w:sz w:val="22"/>
          <w:szCs w:val="22"/>
        </w:rPr>
        <w:t>.</w:t>
      </w:r>
    </w:p>
    <w:p w14:paraId="71670D8A" w14:textId="1ED910B8" w:rsidR="00BF7C49" w:rsidRPr="000D1139" w:rsidRDefault="00213EED" w:rsidP="007E036D">
      <w:pPr>
        <w:pStyle w:val="Prrafodelista"/>
        <w:numPr>
          <w:ilvl w:val="0"/>
          <w:numId w:val="18"/>
        </w:numPr>
        <w:spacing w:after="240" w:line="320" w:lineRule="atLeast"/>
        <w:jc w:val="both"/>
        <w:rPr>
          <w:rFonts w:ascii="ITC Avant Garde" w:hAnsi="ITC Avant Garde" w:cs="Arial"/>
          <w:sz w:val="22"/>
          <w:szCs w:val="22"/>
        </w:rPr>
      </w:pPr>
      <w:r>
        <w:rPr>
          <w:rFonts w:ascii="ITC Avant Garde" w:hAnsi="ITC Avant Garde" w:cs="Arial"/>
          <w:sz w:val="22"/>
          <w:szCs w:val="22"/>
        </w:rPr>
        <w:t>S</w:t>
      </w:r>
      <w:r w:rsidR="00BF7C49" w:rsidRPr="00CB415B">
        <w:rPr>
          <w:rFonts w:ascii="ITC Avant Garde" w:hAnsi="ITC Avant Garde" w:cs="Arial"/>
          <w:sz w:val="22"/>
          <w:szCs w:val="22"/>
        </w:rPr>
        <w:t>e excluirán los costos comunes y compartidos de los servicios de conducción de tráfico considerados ya que se está modelando un LRIC puro</w:t>
      </w:r>
      <w:r w:rsidR="00BF7C49">
        <w:rPr>
          <w:rFonts w:ascii="ITC Avant Garde" w:hAnsi="ITC Avant Garde" w:cs="Arial"/>
          <w:sz w:val="22"/>
          <w:szCs w:val="22"/>
        </w:rPr>
        <w:t>.</w:t>
      </w:r>
    </w:p>
    <w:p w14:paraId="197F6BAF" w14:textId="77777777" w:rsidR="002816EE" w:rsidRPr="000D1139"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0D1139">
        <w:rPr>
          <w:rFonts w:ascii="ITC Avant Garde" w:hAnsi="ITC Avant Garde" w:cs="Arial"/>
          <w:sz w:val="22"/>
          <w:szCs w:val="22"/>
        </w:rPr>
        <w:t>Se empleará un enfoque scorched earth que se calibrará con los elementos de red presentes en las redes actuales.</w:t>
      </w:r>
    </w:p>
    <w:p w14:paraId="4852D87D" w14:textId="77777777" w:rsidR="002816EE" w:rsidRPr="000D1139"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0D1139">
        <w:rPr>
          <w:rFonts w:ascii="ITC Avant Garde" w:hAnsi="ITC Avant Garde" w:cs="Arial"/>
          <w:sz w:val="22"/>
          <w:szCs w:val="22"/>
        </w:rPr>
        <w:t>Se utilizará la depreciación económica para calcular la amortización de los activos.</w:t>
      </w:r>
    </w:p>
    <w:p w14:paraId="2D480AEE" w14:textId="77777777" w:rsidR="002816EE" w:rsidRPr="000D1139"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0D1139">
        <w:rPr>
          <w:rFonts w:ascii="ITC Avant Garde" w:hAnsi="ITC Avant Garde" w:cs="Arial"/>
          <w:sz w:val="22"/>
          <w:szCs w:val="22"/>
        </w:rPr>
        <w:t>Se utilizarán tecnologías eficientes disponibles dentro del periodo utilizado en el modelo para valorar el costo de los equipos presentes.</w:t>
      </w:r>
    </w:p>
    <w:p w14:paraId="3FD805EE" w14:textId="77777777" w:rsidR="002816EE" w:rsidRPr="000D1139"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0D1139">
        <w:rPr>
          <w:rFonts w:ascii="ITC Avant Garde" w:hAnsi="ITC Avant Garde" w:cs="Arial"/>
          <w:sz w:val="22"/>
          <w:szCs w:val="22"/>
        </w:rPr>
        <w:t xml:space="preserve">Se tomará en cuenta para determinar la escala de un concesionario eficiente que considere una escala de operación que sea representativa de los operadores que ofrecen servicios de telecomunicaciones en México distintos al agente económico preponderante (AEP)  </w:t>
      </w:r>
    </w:p>
    <w:p w14:paraId="5D686183" w14:textId="77777777" w:rsidR="002816EE" w:rsidRPr="000D1139"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0D1139">
        <w:rPr>
          <w:rFonts w:ascii="ITC Avant Garde" w:hAnsi="ITC Avant Garde" w:cs="Arial"/>
          <w:sz w:val="22"/>
          <w:szCs w:val="22"/>
        </w:rPr>
        <w:t>Se empleará la metodología del costo de capital promedio ponderado para el cálculo del costo de capital.</w:t>
      </w:r>
    </w:p>
    <w:p w14:paraId="0871C791" w14:textId="77777777" w:rsidR="002816EE" w:rsidRPr="000D1139" w:rsidRDefault="002816EE" w:rsidP="007E036D">
      <w:pPr>
        <w:pStyle w:val="Prrafodelista"/>
        <w:numPr>
          <w:ilvl w:val="0"/>
          <w:numId w:val="18"/>
        </w:numPr>
        <w:spacing w:after="240" w:line="320" w:lineRule="atLeast"/>
        <w:jc w:val="both"/>
        <w:rPr>
          <w:rFonts w:ascii="ITC Avant Garde" w:hAnsi="ITC Avant Garde" w:cs="Arial"/>
          <w:sz w:val="22"/>
          <w:szCs w:val="22"/>
        </w:rPr>
      </w:pPr>
      <w:r w:rsidRPr="000D1139">
        <w:rPr>
          <w:rFonts w:ascii="ITC Avant Garde" w:hAnsi="ITC Avant Garde" w:cs="Arial"/>
          <w:sz w:val="22"/>
          <w:szCs w:val="22"/>
        </w:rPr>
        <w:t>Se empleará la metodología del Modelo de Valuación de Activos Financieros (CAPM) para el cálculo del Costo de Capital Accionario.</w:t>
      </w:r>
    </w:p>
    <w:p w14:paraId="1001CB83" w14:textId="77777777" w:rsidR="002816EE" w:rsidRPr="00FD41B9" w:rsidRDefault="002816EE" w:rsidP="007E036D">
      <w:pPr>
        <w:pStyle w:val="Ttulo2"/>
        <w:numPr>
          <w:ilvl w:val="1"/>
          <w:numId w:val="12"/>
        </w:numPr>
        <w:ind w:left="0"/>
        <w:rPr>
          <w:rFonts w:ascii="ITC Avant Garde" w:hAnsi="ITC Avant Garde" w:cs="Arial"/>
        </w:rPr>
      </w:pPr>
      <w:bookmarkStart w:id="5" w:name="_Toc323285058"/>
      <w:r w:rsidRPr="00FD41B9">
        <w:rPr>
          <w:rFonts w:ascii="ITC Avant Garde" w:hAnsi="ITC Avant Garde" w:cs="Arial"/>
        </w:rPr>
        <w:t>Aspectos del operador</w:t>
      </w:r>
      <w:bookmarkEnd w:id="5"/>
    </w:p>
    <w:p w14:paraId="2FE91F28" w14:textId="77777777" w:rsidR="002816EE" w:rsidRPr="00FD41B9" w:rsidRDefault="002816EE" w:rsidP="007E036D">
      <w:pPr>
        <w:pStyle w:val="Ttulo3"/>
        <w:numPr>
          <w:ilvl w:val="2"/>
          <w:numId w:val="12"/>
        </w:numPr>
        <w:ind w:left="0"/>
        <w:rPr>
          <w:rFonts w:ascii="ITC Avant Garde" w:hAnsi="ITC Avant Garde" w:cs="Arial"/>
        </w:rPr>
      </w:pPr>
      <w:r w:rsidRPr="00FD41B9">
        <w:rPr>
          <w:rFonts w:ascii="ITC Avant Garde" w:hAnsi="ITC Avant Garde" w:cs="Arial"/>
        </w:rPr>
        <w:t>Definición de operador eficiente</w:t>
      </w:r>
    </w:p>
    <w:p w14:paraId="1D5D0EB6" w14:textId="77777777" w:rsidR="002816EE" w:rsidRPr="007455DB" w:rsidRDefault="002816EE" w:rsidP="007E036D">
      <w:pPr>
        <w:tabs>
          <w:tab w:val="num" w:pos="477"/>
        </w:tabs>
        <w:jc w:val="both"/>
        <w:rPr>
          <w:rFonts w:ascii="ITC Avant Garde" w:hAnsi="ITC Avant Garde" w:cs="Arial"/>
          <w:b/>
          <w:spacing w:val="-4"/>
        </w:rPr>
      </w:pPr>
      <w:r w:rsidRPr="007455DB">
        <w:rPr>
          <w:rFonts w:ascii="ITC Avant Garde" w:hAnsi="ITC Avant Garde" w:cs="Arial"/>
          <w:spacing w:val="-4"/>
        </w:rPr>
        <w:t xml:space="preserve">La determinación de los costos utilizando la red de un operador eficiente es consistente con la Metodología de Costos, y genera los incentivos para que los operadores reduzcan sus costos con el fin de obtener ganancias con relación a la tarifa establecida por la regulación. Es por ello que los operadores emplearán estrategias de optimización de recursos y de </w:t>
      </w:r>
      <w:r w:rsidRPr="007455DB">
        <w:rPr>
          <w:rFonts w:ascii="ITC Avant Garde" w:hAnsi="ITC Avant Garde" w:cs="Arial"/>
          <w:spacing w:val="-4"/>
        </w:rPr>
        <w:lastRenderedPageBreak/>
        <w:t>desarrollo de infraestructura eficiente para lograr la disminución de sus costos. Es importante mencionar que las reducciones en las tarifas de los servicios de interconexión se trasladarán al usuario final a través de menores precios por los servicios finales.</w:t>
      </w:r>
    </w:p>
    <w:p w14:paraId="160A130B" w14:textId="0863204A" w:rsidR="002816EE" w:rsidRPr="007455DB" w:rsidRDefault="002816EE" w:rsidP="007E036D">
      <w:pPr>
        <w:tabs>
          <w:tab w:val="num" w:pos="477"/>
        </w:tabs>
        <w:jc w:val="both"/>
        <w:rPr>
          <w:rFonts w:ascii="ITC Avant Garde" w:hAnsi="ITC Avant Garde" w:cs="Arial"/>
        </w:rPr>
      </w:pPr>
      <w:r w:rsidRPr="007455DB">
        <w:rPr>
          <w:rFonts w:ascii="ITC Avant Garde" w:hAnsi="ITC Avant Garde" w:cs="Arial"/>
        </w:rPr>
        <w:t xml:space="preserve">Bajo este contexto, y considerando un horizonte temporal de largo plazo, se justifica la decisión de establecer los mismos incentivos para todos los operadores, además de que en un mercado </w:t>
      </w:r>
      <w:r w:rsidR="00D536B4">
        <w:rPr>
          <w:rFonts w:ascii="ITC Avant Garde" w:hAnsi="ITC Avant Garde" w:cs="Arial"/>
        </w:rPr>
        <w:t>dispu</w:t>
      </w:r>
      <w:r w:rsidR="00D536B4" w:rsidRPr="007455DB">
        <w:rPr>
          <w:rFonts w:ascii="ITC Avant Garde" w:hAnsi="ITC Avant Garde" w:cs="Arial"/>
        </w:rPr>
        <w:t>table</w:t>
      </w:r>
      <w:r w:rsidRPr="007455DB">
        <w:rPr>
          <w:rStyle w:val="Refdenotaalpie"/>
          <w:rFonts w:ascii="ITC Avant Garde" w:hAnsi="ITC Avant Garde"/>
          <w:sz w:val="22"/>
        </w:rPr>
        <w:footnoteReference w:id="2"/>
      </w:r>
      <w:r w:rsidRPr="007455DB">
        <w:rPr>
          <w:rFonts w:ascii="ITC Avant Garde" w:hAnsi="ITC Avant Garde" w:cs="Arial"/>
        </w:rPr>
        <w:t xml:space="preserve"> los precios regulados reflejan los costos que tendría un operador entrante que utilizara la tecnología más eficiente en ese momento. De esta manera, los operadores no pueden cobrar por costos contraídos de manera ineficiente. </w:t>
      </w:r>
    </w:p>
    <w:p w14:paraId="1B8945F2" w14:textId="77777777" w:rsidR="002816EE" w:rsidRPr="007455DB" w:rsidRDefault="002816EE" w:rsidP="007E036D">
      <w:pPr>
        <w:tabs>
          <w:tab w:val="num" w:pos="477"/>
        </w:tabs>
        <w:jc w:val="both"/>
        <w:rPr>
          <w:rFonts w:ascii="ITC Avant Garde" w:hAnsi="ITC Avant Garde" w:cs="Arial"/>
        </w:rPr>
      </w:pPr>
      <w:r w:rsidRPr="007455DB">
        <w:rPr>
          <w:rFonts w:ascii="ITC Avant Garde" w:hAnsi="ITC Avant Garde" w:cs="Arial"/>
        </w:rPr>
        <w:t>Debido a lo antes mencionado y por las razones a que se hace referencia en el Enfoque Conceptual, los Modelos de Costos fueron elaborados tomando como referencia un operador hipotético existente, el cual comienza a desplegar su infraestructura de red en el año 2010 e inicia sus operaciones en el año 2012.</w:t>
      </w:r>
    </w:p>
    <w:p w14:paraId="7C4D0A2F" w14:textId="593A3CE9" w:rsidR="002816EE" w:rsidRPr="007455DB" w:rsidRDefault="002816EE" w:rsidP="007E036D">
      <w:pPr>
        <w:tabs>
          <w:tab w:val="num" w:pos="477"/>
        </w:tabs>
        <w:jc w:val="both"/>
        <w:rPr>
          <w:rFonts w:ascii="ITC Avant Garde" w:hAnsi="ITC Avant Garde" w:cs="Arial"/>
        </w:rPr>
      </w:pPr>
      <w:r w:rsidRPr="007455DB">
        <w:rPr>
          <w:rFonts w:ascii="ITC Avant Garde" w:hAnsi="ITC Avant Garde" w:cs="Arial"/>
        </w:rPr>
        <w:t>Para el caso del concesionario que ofrece servicios móviles, éste comienza a desplegar una red nacional 2G en la banda de 850MHz y una red nacional 2G/3G en la banda de 1900MHz en el año 2011, y a comercializar sus servicios 2G/3G en el año 2012. Posteriormente, complementa su red con capacidad de 2G con frecuencias en la banda de 1900MHz. En el año 2013 comienza el despliegue de una red nacional 4G</w:t>
      </w:r>
      <w:r w:rsidR="00213EED">
        <w:rPr>
          <w:rFonts w:ascii="ITC Avant Garde" w:hAnsi="ITC Avant Garde" w:cs="Arial"/>
        </w:rPr>
        <w:t xml:space="preserve"> para la cual se considera el</w:t>
      </w:r>
      <w:r w:rsidR="00213EED" w:rsidRPr="00FD41B9">
        <w:rPr>
          <w:rFonts w:ascii="ITC Avant Garde" w:hAnsi="ITC Avant Garde" w:cs="Arial"/>
        </w:rPr>
        <w:t xml:space="preserve"> espectro de la banda AWS (1700/2100 MHz)</w:t>
      </w:r>
      <w:r w:rsidR="00213EED">
        <w:rPr>
          <w:rFonts w:ascii="ITC Avant Garde" w:hAnsi="ITC Avant Garde" w:cs="Arial"/>
        </w:rPr>
        <w:t>,</w:t>
      </w:r>
      <w:r w:rsidRPr="007455DB">
        <w:rPr>
          <w:rFonts w:ascii="ITC Avant Garde" w:hAnsi="ITC Avant Garde" w:cs="Arial"/>
        </w:rPr>
        <w:t xml:space="preserve"> para la provisión de datos móviles. La red refleja la tecnología disponible en el período comprendido entre los años 2011 y 2016. En particular, la red 3G tiene capacidad HSPA e incluye versiones modernas de los conmutadores para transportar un mayor volumen de tráfico de voz, datos móviles y el tráfico de banda ancha móvil y la red 4G cuenta con la capacidad añadida por el uso de MIMO 2x2. Las tecnologías 2G, 3G y 4G</w:t>
      </w:r>
      <w:r w:rsidR="00D3341F">
        <w:rPr>
          <w:rStyle w:val="Refdenotaalpie"/>
        </w:rPr>
        <w:footnoteReference w:id="3"/>
      </w:r>
      <w:r w:rsidRPr="007455DB">
        <w:rPr>
          <w:rFonts w:ascii="ITC Avant Garde" w:hAnsi="ITC Avant Garde" w:cs="Arial"/>
        </w:rPr>
        <w:t xml:space="preserve"> operarán en el largo plazo y no se contempla el apagado de la red 2G durante el periodo modelado</w:t>
      </w:r>
      <w:r w:rsidR="00492E69">
        <w:rPr>
          <w:rFonts w:ascii="ITC Avant Garde" w:hAnsi="ITC Avant Garde" w:cs="Arial"/>
        </w:rPr>
        <w:t>, aunque sí una migración parcial a las tecnologías 3G y 4G</w:t>
      </w:r>
      <w:r w:rsidRPr="007455DB">
        <w:rPr>
          <w:rFonts w:ascii="ITC Avant Garde" w:hAnsi="ITC Avant Garde" w:cs="Arial"/>
        </w:rPr>
        <w:t>.</w:t>
      </w:r>
    </w:p>
    <w:p w14:paraId="328CB2E6" w14:textId="0D83457C" w:rsidR="002816EE" w:rsidRPr="007455DB" w:rsidRDefault="002816EE" w:rsidP="007E036D">
      <w:pPr>
        <w:tabs>
          <w:tab w:val="num" w:pos="477"/>
        </w:tabs>
        <w:jc w:val="both"/>
        <w:rPr>
          <w:rFonts w:ascii="ITC Avant Garde" w:hAnsi="ITC Avant Garde" w:cs="Arial"/>
        </w:rPr>
      </w:pPr>
      <w:r w:rsidRPr="007455DB">
        <w:rPr>
          <w:rFonts w:ascii="ITC Avant Garde" w:hAnsi="ITC Avant Garde" w:cs="Arial"/>
        </w:rPr>
        <w:t xml:space="preserve">Para el caso del operador que ofrece servicios fijos, se consideran dos operadores fijos que comenzaron a desplegar una red troncal con tecnología de nueva generación (NGN) utilizando el protocolo de transmisión IP a nivel nacional en el año </w:t>
      </w:r>
      <w:r w:rsidR="00606937" w:rsidRPr="007455DB">
        <w:rPr>
          <w:rFonts w:ascii="ITC Avant Garde" w:hAnsi="ITC Avant Garde" w:cs="Arial"/>
        </w:rPr>
        <w:t>2010</w:t>
      </w:r>
      <w:r w:rsidRPr="007455DB">
        <w:rPr>
          <w:rFonts w:ascii="ITC Avant Garde" w:hAnsi="ITC Avant Garde" w:cs="Arial"/>
        </w:rPr>
        <w:t xml:space="preserve">, y que comienza a operar comercialmente en el año </w:t>
      </w:r>
      <w:r w:rsidR="00606937" w:rsidRPr="007455DB">
        <w:rPr>
          <w:rFonts w:ascii="ITC Avant Garde" w:hAnsi="ITC Avant Garde" w:cs="Arial"/>
        </w:rPr>
        <w:t>2012</w:t>
      </w:r>
      <w:r w:rsidRPr="007455DB">
        <w:rPr>
          <w:rFonts w:ascii="ITC Avant Garde" w:hAnsi="ITC Avant Garde" w:cs="Arial"/>
        </w:rPr>
        <w:t>.</w:t>
      </w:r>
    </w:p>
    <w:p w14:paraId="5AB7E4EA" w14:textId="77777777" w:rsidR="002816EE" w:rsidRPr="007455DB" w:rsidRDefault="002816EE" w:rsidP="007E036D">
      <w:pPr>
        <w:tabs>
          <w:tab w:val="num" w:pos="477"/>
        </w:tabs>
        <w:jc w:val="both"/>
        <w:rPr>
          <w:rFonts w:ascii="ITC Avant Garde" w:hAnsi="ITC Avant Garde" w:cs="Arial"/>
          <w:spacing w:val="-4"/>
        </w:rPr>
      </w:pPr>
      <w:r w:rsidRPr="007455DB">
        <w:rPr>
          <w:rFonts w:ascii="ITC Avant Garde" w:hAnsi="ITC Avant Garde" w:cs="Arial"/>
          <w:spacing w:val="-4"/>
        </w:rPr>
        <w:t xml:space="preserve">En lo que respecta a la definición de la cuota de mercado del operador hipotético existente, es importante señalar que los parámetros seleccionados para definir dicha cuota </w:t>
      </w:r>
      <w:r w:rsidRPr="007455DB">
        <w:rPr>
          <w:rFonts w:ascii="ITC Avant Garde" w:hAnsi="ITC Avant Garde" w:cs="Arial"/>
          <w:spacing w:val="-4"/>
        </w:rPr>
        <w:lastRenderedPageBreak/>
        <w:t>impactan el nivel de los costos económicos calculados por el modelo a través del tiempo. Estos costos pueden cambiar si las economías de escala en el corto plazo (despliegue de red en los primeros años) y en el largo plazo son explotados en su totalidad, es decir, cuanto más rápido crece un operador menor será el costo unitario eventual.</w:t>
      </w:r>
    </w:p>
    <w:p w14:paraId="5BD5CA29" w14:textId="5DDA6842"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 xml:space="preserve">El tamaño del operador hipotético existente a modelar está primordialmente determinado conforme al operador que operaría en un mercado </w:t>
      </w:r>
      <w:r w:rsidR="00D536B4">
        <w:rPr>
          <w:rFonts w:ascii="ITC Avant Garde" w:hAnsi="ITC Avant Garde" w:cs="Arial"/>
        </w:rPr>
        <w:t>dispu</w:t>
      </w:r>
      <w:r w:rsidR="00D536B4" w:rsidRPr="00FD41B9">
        <w:rPr>
          <w:rFonts w:ascii="ITC Avant Garde" w:hAnsi="ITC Avant Garde" w:cs="Arial"/>
        </w:rPr>
        <w:t xml:space="preserve">table </w:t>
      </w:r>
      <w:r w:rsidRPr="00FD41B9">
        <w:rPr>
          <w:rFonts w:ascii="ITC Avant Garde" w:hAnsi="ITC Avant Garde" w:cs="Arial"/>
        </w:rPr>
        <w:t>y por el número de operadores existentes en cada uno de los mercados (fijo y móvil).</w:t>
      </w:r>
    </w:p>
    <w:p w14:paraId="33B968FA" w14:textId="77777777"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En el largo plazo, las cuotas de mercado de los operadores hipotéticos existentes modelados serán de:</w:t>
      </w:r>
    </w:p>
    <w:p w14:paraId="6AFD0FBE" w14:textId="77777777" w:rsidR="002816EE" w:rsidRPr="00FD41B9" w:rsidRDefault="002816EE" w:rsidP="007E036D">
      <w:pPr>
        <w:tabs>
          <w:tab w:val="num" w:pos="477"/>
        </w:tabs>
        <w:ind w:left="284"/>
        <w:jc w:val="both"/>
        <w:rPr>
          <w:rFonts w:ascii="ITC Avant Garde" w:hAnsi="ITC Avant Garde" w:cs="Arial"/>
        </w:rPr>
      </w:pPr>
      <w:r w:rsidRPr="00FD41B9">
        <w:rPr>
          <w:rFonts w:ascii="ITC Avant Garde" w:hAnsi="ITC Avant Garde" w:cs="Arial"/>
        </w:rPr>
        <w:t>•</w:t>
      </w:r>
      <w:r w:rsidRPr="00FD41B9">
        <w:rPr>
          <w:rFonts w:ascii="ITC Avant Garde" w:hAnsi="ITC Avant Garde" w:cs="Arial"/>
        </w:rPr>
        <w:tab/>
        <w:t>16% para el operador móvil alternativo hipotético no preponderante, correspondiente a la cuota de mercado asociado a un mercado de 3 operadores compuesto por un operador de escala y alcance del AEP y otros dos operadores alternativos que compiten por la cuota de mercado restante</w:t>
      </w:r>
    </w:p>
    <w:p w14:paraId="0951CC76" w14:textId="77777777" w:rsidR="002816EE" w:rsidRPr="00FD41B9" w:rsidRDefault="002816EE" w:rsidP="007E036D">
      <w:pPr>
        <w:tabs>
          <w:tab w:val="num" w:pos="477"/>
        </w:tabs>
        <w:ind w:left="284"/>
        <w:jc w:val="both"/>
        <w:rPr>
          <w:rFonts w:ascii="ITC Avant Garde" w:hAnsi="ITC Avant Garde" w:cs="Arial"/>
        </w:rPr>
      </w:pPr>
      <w:r w:rsidRPr="00FD41B9">
        <w:rPr>
          <w:rFonts w:ascii="ITC Avant Garde" w:hAnsi="ITC Avant Garde" w:cs="Arial"/>
        </w:rPr>
        <w:t>•</w:t>
      </w:r>
      <w:r w:rsidRPr="00FD41B9">
        <w:rPr>
          <w:rFonts w:ascii="ITC Avant Garde" w:hAnsi="ITC Avant Garde" w:cs="Arial"/>
        </w:rPr>
        <w:tab/>
        <w:t xml:space="preserve">64% para el operador fijo de escala y alcance del AEP </w:t>
      </w:r>
    </w:p>
    <w:p w14:paraId="221D75A7" w14:textId="77777777" w:rsidR="002816EE" w:rsidRPr="00FD41B9" w:rsidRDefault="002816EE" w:rsidP="007E036D">
      <w:pPr>
        <w:tabs>
          <w:tab w:val="num" w:pos="477"/>
        </w:tabs>
        <w:ind w:left="284"/>
        <w:jc w:val="both"/>
        <w:rPr>
          <w:rFonts w:ascii="ITC Avant Garde" w:hAnsi="ITC Avant Garde" w:cs="Arial"/>
        </w:rPr>
      </w:pPr>
      <w:r w:rsidRPr="00FD41B9">
        <w:rPr>
          <w:rFonts w:ascii="ITC Avant Garde" w:hAnsi="ITC Avant Garde" w:cs="Arial"/>
        </w:rPr>
        <w:t>•</w:t>
      </w:r>
      <w:r w:rsidRPr="00FD41B9">
        <w:rPr>
          <w:rFonts w:ascii="ITC Avant Garde" w:hAnsi="ITC Avant Garde" w:cs="Arial"/>
        </w:rPr>
        <w:tab/>
        <w:t>36% para el operador fijo alternativo, correspondiente a la cuota de mercado en un mercado en el que se puede asumir que cada usuario tiene al menos dos opciones de operador.</w:t>
      </w:r>
    </w:p>
    <w:p w14:paraId="5F3756A4" w14:textId="77777777"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La decisión de modelar un mercado móvil con tres operadores se justifica en base a las recientes adquisiciones de Iusacell-Unefon y Nextel por parte de AT&amp;T, reduciendo de forma efectiva el número de operadores móviles de 4 a 3 en el mercado mexicano.</w:t>
      </w:r>
    </w:p>
    <w:p w14:paraId="6903BCA6" w14:textId="77777777"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 xml:space="preserve">En el mercado fijo se observa que salvo ciertas zonas rurales, la mayor parte de la población del país podría contar cuando menos con dos opciones de operador, Telmex, un operador alternativo y/o algún operador de cable. Aun cuando la cuota de mercado de Telmex no refleja esta situación ya que sigue ostentando una cuota de mercado por encima del 65% en el 2015, </w:t>
      </w:r>
      <w:r>
        <w:rPr>
          <w:rFonts w:ascii="ITC Avant Garde" w:hAnsi="ITC Avant Garde" w:cs="Arial"/>
        </w:rPr>
        <w:t>par</w:t>
      </w:r>
      <w:r w:rsidRPr="00FD41B9">
        <w:rPr>
          <w:rFonts w:ascii="ITC Avant Garde" w:hAnsi="ITC Avant Garde" w:cs="Arial"/>
        </w:rPr>
        <w:t>a efectos del modelo se puede considerar un mercado de dos operadores.</w:t>
      </w:r>
    </w:p>
    <w:p w14:paraId="4F691BCC" w14:textId="77777777" w:rsidR="002816EE" w:rsidRPr="00FD41B9" w:rsidRDefault="002816EE" w:rsidP="007E036D">
      <w:pPr>
        <w:pStyle w:val="Emphasised"/>
        <w:pBdr>
          <w:top w:val="single" w:sz="4" w:space="2" w:color="D9D9D9" w:themeColor="background1" w:themeShade="D9"/>
          <w:bottom w:val="single" w:sz="4" w:space="1" w:color="D9D9D9" w:themeColor="background1" w:themeShade="D9"/>
        </w:pBdr>
        <w:shd w:val="clear" w:color="auto" w:fill="F2F2F2"/>
        <w:rPr>
          <w:rFonts w:ascii="ITC Avant Garde" w:hAnsi="ITC Avant Garde" w:cs="Arial"/>
        </w:rPr>
      </w:pPr>
      <w:r w:rsidRPr="00FD41B9">
        <w:rPr>
          <w:rFonts w:ascii="ITC Avant Garde" w:hAnsi="ITC Avant Garde" w:cs="Arial"/>
        </w:rPr>
        <w:t>1. ¿Considera adecuada la elección de modelar un operador hipotético existente?</w:t>
      </w:r>
    </w:p>
    <w:p w14:paraId="0E5C45BE" w14:textId="6535C53D" w:rsidR="002816EE" w:rsidRPr="00FD41B9" w:rsidRDefault="002816EE" w:rsidP="007E036D">
      <w:pPr>
        <w:pStyle w:val="Emphasised"/>
        <w:pBdr>
          <w:top w:val="single" w:sz="4" w:space="2" w:color="D9D9D9" w:themeColor="background1" w:themeShade="D9"/>
          <w:bottom w:val="single" w:sz="4" w:space="1" w:color="D9D9D9" w:themeColor="background1" w:themeShade="D9"/>
        </w:pBdr>
        <w:shd w:val="clear" w:color="auto" w:fill="F2F2F2"/>
        <w:rPr>
          <w:rFonts w:ascii="ITC Avant Garde" w:hAnsi="ITC Avant Garde" w:cs="Arial"/>
        </w:rPr>
      </w:pPr>
      <w:r w:rsidRPr="00FD41B9">
        <w:rPr>
          <w:rFonts w:ascii="ITC Avant Garde" w:hAnsi="ITC Avant Garde" w:cs="Arial"/>
        </w:rPr>
        <w:t>2. ¿Tiene comentarios respecto de</w:t>
      </w:r>
      <w:r w:rsidR="00492E69">
        <w:rPr>
          <w:rFonts w:ascii="ITC Avant Garde" w:hAnsi="ITC Avant Garde" w:cs="Arial"/>
        </w:rPr>
        <w:t xml:space="preserve"> </w:t>
      </w:r>
      <w:r w:rsidRPr="00FD41B9">
        <w:rPr>
          <w:rFonts w:ascii="ITC Avant Garde" w:hAnsi="ITC Avant Garde" w:cs="Arial"/>
        </w:rPr>
        <w:t>l</w:t>
      </w:r>
      <w:r w:rsidR="00492E69">
        <w:rPr>
          <w:rFonts w:ascii="ITC Avant Garde" w:hAnsi="ITC Avant Garde" w:cs="Arial"/>
        </w:rPr>
        <w:t>os</w:t>
      </w:r>
      <w:r w:rsidRPr="00FD41B9">
        <w:rPr>
          <w:rFonts w:ascii="ITC Avant Garde" w:hAnsi="ITC Avant Garde" w:cs="Arial"/>
        </w:rPr>
        <w:t xml:space="preserve"> concepto</w:t>
      </w:r>
      <w:r w:rsidR="00492E69">
        <w:rPr>
          <w:rFonts w:ascii="ITC Avant Garde" w:hAnsi="ITC Avant Garde" w:cs="Arial"/>
        </w:rPr>
        <w:t>s</w:t>
      </w:r>
      <w:r w:rsidRPr="00FD41B9">
        <w:rPr>
          <w:rFonts w:ascii="ITC Avant Garde" w:hAnsi="ITC Avant Garde" w:cs="Arial"/>
        </w:rPr>
        <w:t xml:space="preserve"> propuesto</w:t>
      </w:r>
      <w:r w:rsidR="00492E69">
        <w:rPr>
          <w:rFonts w:ascii="ITC Avant Garde" w:hAnsi="ITC Avant Garde" w:cs="Arial"/>
        </w:rPr>
        <w:t>s</w:t>
      </w:r>
      <w:r w:rsidRPr="00FD41B9">
        <w:rPr>
          <w:rFonts w:ascii="ITC Avant Garde" w:hAnsi="ITC Avant Garde" w:cs="Arial"/>
        </w:rPr>
        <w:t xml:space="preserve"> 1, 3, 4 y 5 del Enfoque Conceptual?</w:t>
      </w:r>
    </w:p>
    <w:p w14:paraId="04EC3B55" w14:textId="77777777" w:rsidR="002816EE" w:rsidRPr="00FD41B9" w:rsidRDefault="002816EE" w:rsidP="007E036D">
      <w:pPr>
        <w:pStyle w:val="Ttulo3"/>
        <w:numPr>
          <w:ilvl w:val="2"/>
          <w:numId w:val="12"/>
        </w:numPr>
        <w:ind w:left="567"/>
        <w:rPr>
          <w:rFonts w:ascii="ITC Avant Garde" w:hAnsi="ITC Avant Garde" w:cs="Arial"/>
        </w:rPr>
      </w:pPr>
      <w:r w:rsidRPr="00FD41B9">
        <w:rPr>
          <w:rFonts w:ascii="ITC Avant Garde" w:hAnsi="ITC Avant Garde" w:cs="Arial"/>
        </w:rPr>
        <w:lastRenderedPageBreak/>
        <w:t>Configuración de la red de un operador eficiente</w:t>
      </w:r>
    </w:p>
    <w:p w14:paraId="75ACCCEB" w14:textId="77777777"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La cobertura que ofrece tanto un operador fijo como móvil es un dato de entrada fundamental para el modelo de costos. Un enfoque consistente implica que los operadores hipotéticos fijos y móviles tengan características comparables de cobertura.</w:t>
      </w:r>
    </w:p>
    <w:p w14:paraId="013E578C" w14:textId="77777777"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Para que exista consistencia entre los Modelos Fijo y Móvil debe asumirse una cobertura cuasi-nacional para el operador fijo. Es importante señalar que se podría definir un límite para el despliegue de la red fija determinado por las zonas rurales donde los costos de terminación fija fueran mayores que los de una solución inalámbrica (p.ej. GSM). Sin embargo, esto implicaría utilizar una medida subjetiva, por lo que se determinó utilizar la cobertura fija actual del operador de alcance nacional como una manera para definir la huella del operador fijo.</w:t>
      </w:r>
    </w:p>
    <w:p w14:paraId="4FB15938" w14:textId="5ADC90F2"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 xml:space="preserve">Ahora bien, si una cobertura de ámbito inferior al nacional fuese a redundar en diferencias de costos considerables y exógenas, podría argumentarse a favor de modelar la cobertura regional. Sin embargo, los operadores móviles operan a nivel nacional y cuentan con una amplia cobertura de </w:t>
      </w:r>
      <w:r w:rsidR="00492E69">
        <w:rPr>
          <w:rFonts w:ascii="ITC Avant Garde" w:hAnsi="ITC Avant Garde" w:cs="Arial"/>
        </w:rPr>
        <w:t xml:space="preserve">la </w:t>
      </w:r>
      <w:r w:rsidRPr="00FD41B9">
        <w:rPr>
          <w:rFonts w:ascii="ITC Avant Garde" w:hAnsi="ITC Avant Garde" w:cs="Arial"/>
        </w:rPr>
        <w:t>población. Asimismo, los operadores regionales de cable no están limitados por factores exógenos para ampliar su cobertura, ya que pueden expandir sus redes o fusionarse con otros operadores. Por lo tanto, no es probable que se reflejen costos distintos a nivel regional por economías de escala geográficas menores a los costos de un operador eficiente nacional.</w:t>
      </w:r>
    </w:p>
    <w:p w14:paraId="61B89E7F" w14:textId="77777777" w:rsidR="002816EE" w:rsidRPr="00FD41B9" w:rsidRDefault="002816EE" w:rsidP="007E036D">
      <w:pPr>
        <w:pStyle w:val="Emphasised"/>
        <w:pBdr>
          <w:top w:val="single" w:sz="4" w:space="2" w:color="D9D9D9" w:themeColor="background1" w:themeShade="D9"/>
          <w:bottom w:val="single" w:sz="4" w:space="5" w:color="D9D9D9" w:themeColor="background1" w:themeShade="D9"/>
        </w:pBdr>
        <w:shd w:val="clear" w:color="auto" w:fill="F2F2F2"/>
        <w:rPr>
          <w:rFonts w:ascii="ITC Avant Garde" w:hAnsi="ITC Avant Garde" w:cs="Arial"/>
          <w:spacing w:val="-4"/>
        </w:rPr>
      </w:pPr>
      <w:r>
        <w:rPr>
          <w:rFonts w:ascii="ITC Avant Garde" w:hAnsi="ITC Avant Garde" w:cs="Arial"/>
          <w:spacing w:val="-4"/>
        </w:rPr>
        <w:t>3</w:t>
      </w:r>
      <w:r w:rsidRPr="00FD41B9">
        <w:rPr>
          <w:rFonts w:ascii="ITC Avant Garde" w:hAnsi="ITC Avant Garde" w:cs="Arial"/>
          <w:spacing w:val="-4"/>
        </w:rPr>
        <w:t>. ¿Tiene comentarios respecto del concepto 2 propuesto en el Enfoque Conceptual?</w:t>
      </w:r>
    </w:p>
    <w:p w14:paraId="02A55BB0" w14:textId="77777777" w:rsidR="002816EE" w:rsidRPr="00FD41B9" w:rsidRDefault="002816EE" w:rsidP="007E036D">
      <w:pPr>
        <w:pStyle w:val="Ttulo2"/>
        <w:numPr>
          <w:ilvl w:val="1"/>
          <w:numId w:val="12"/>
        </w:numPr>
        <w:ind w:left="567"/>
        <w:rPr>
          <w:rFonts w:ascii="ITC Avant Garde" w:hAnsi="ITC Avant Garde" w:cs="Arial"/>
          <w:sz w:val="22"/>
          <w:szCs w:val="22"/>
        </w:rPr>
      </w:pPr>
      <w:bookmarkStart w:id="6" w:name="_Toc323285059"/>
      <w:r w:rsidRPr="00FD41B9">
        <w:rPr>
          <w:rFonts w:ascii="ITC Avant Garde" w:hAnsi="ITC Avant Garde" w:cs="Arial"/>
          <w:sz w:val="22"/>
          <w:szCs w:val="22"/>
        </w:rPr>
        <w:t>Aspectos relacionados con la tecnología</w:t>
      </w:r>
      <w:bookmarkEnd w:id="6"/>
    </w:p>
    <w:p w14:paraId="1CBB117B" w14:textId="77777777" w:rsidR="002816EE" w:rsidRPr="00FD41B9" w:rsidRDefault="002816EE" w:rsidP="007E036D">
      <w:pPr>
        <w:pStyle w:val="Ttulo3"/>
        <w:numPr>
          <w:ilvl w:val="2"/>
          <w:numId w:val="12"/>
        </w:numPr>
        <w:ind w:left="567"/>
        <w:rPr>
          <w:rFonts w:ascii="ITC Avant Garde" w:hAnsi="ITC Avant Garde" w:cs="Arial"/>
        </w:rPr>
      </w:pPr>
      <w:r w:rsidRPr="00FD41B9">
        <w:rPr>
          <w:rFonts w:ascii="ITC Avant Garde" w:hAnsi="ITC Avant Garde" w:cs="Arial"/>
        </w:rPr>
        <w:t>Arquitectura moderna de red</w:t>
      </w:r>
    </w:p>
    <w:p w14:paraId="4F9A6B69" w14:textId="5DC8662B"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 xml:space="preserve">Para establecer la configuración y diseño de las redes de telecomunicaciones del operador hipotético existente es fundamental que en los Modelos de Costos se incorpore el avance tecnológico que hace posible la utilización de manera eficiente de la redes públicas de telecomunicaciones a través de eficientar el uso de los componentes de las redes, mejorar la calidad de los servicios o que se </w:t>
      </w:r>
      <w:r w:rsidR="00492E69" w:rsidRPr="00FD41B9">
        <w:rPr>
          <w:rFonts w:ascii="ITC Avant Garde" w:hAnsi="ITC Avant Garde" w:cs="Arial"/>
        </w:rPr>
        <w:t>pued</w:t>
      </w:r>
      <w:r w:rsidR="00492E69">
        <w:rPr>
          <w:rFonts w:ascii="ITC Avant Garde" w:hAnsi="ITC Avant Garde" w:cs="Arial"/>
        </w:rPr>
        <w:t>a</w:t>
      </w:r>
      <w:r w:rsidR="00492E69" w:rsidRPr="00FD41B9">
        <w:rPr>
          <w:rFonts w:ascii="ITC Avant Garde" w:hAnsi="ITC Avant Garde" w:cs="Arial"/>
        </w:rPr>
        <w:t xml:space="preserve"> </w:t>
      </w:r>
      <w:r w:rsidRPr="00FD41B9">
        <w:rPr>
          <w:rFonts w:ascii="ITC Avant Garde" w:hAnsi="ITC Avant Garde" w:cs="Arial"/>
        </w:rPr>
        <w:t xml:space="preserve">prestar una diversidad de servicios de telecomunicaciones. Por ello, es necesario establecer en el diseño de la red la tecnología que será utilizada por el operador de telecomunicaciones. Este elemento es relevante porque, de acuerdo a las características técnicas elegidas, </w:t>
      </w:r>
      <w:r w:rsidR="00492E69">
        <w:rPr>
          <w:rFonts w:ascii="ITC Avant Garde" w:hAnsi="ITC Avant Garde" w:cs="Arial"/>
        </w:rPr>
        <w:t>serán</w:t>
      </w:r>
      <w:r w:rsidR="00492E69" w:rsidRPr="00FD41B9">
        <w:rPr>
          <w:rFonts w:ascii="ITC Avant Garde" w:hAnsi="ITC Avant Garde" w:cs="Arial"/>
        </w:rPr>
        <w:t xml:space="preserve"> </w:t>
      </w:r>
      <w:r w:rsidRPr="00FD41B9">
        <w:rPr>
          <w:rFonts w:ascii="ITC Avant Garde" w:hAnsi="ITC Avant Garde" w:cs="Arial"/>
        </w:rPr>
        <w:t>acorde</w:t>
      </w:r>
      <w:r w:rsidR="00492E69">
        <w:rPr>
          <w:rFonts w:ascii="ITC Avant Garde" w:hAnsi="ITC Avant Garde" w:cs="Arial"/>
        </w:rPr>
        <w:t>s</w:t>
      </w:r>
      <w:r w:rsidRPr="00FD41B9">
        <w:rPr>
          <w:rFonts w:ascii="ITC Avant Garde" w:hAnsi="ITC Avant Garde" w:cs="Arial"/>
        </w:rPr>
        <w:t xml:space="preserve"> los elementos y equipos técnicos a utilizar y por lo tanto sus precios y capacidades </w:t>
      </w:r>
      <w:r w:rsidRPr="00FD41B9">
        <w:rPr>
          <w:rFonts w:ascii="ITC Avant Garde" w:hAnsi="ITC Avant Garde" w:cs="Arial"/>
        </w:rPr>
        <w:lastRenderedPageBreak/>
        <w:t>óptimas de utilización que resultan fundamentales para el diseño y la determinación de las inversiones del operador.</w:t>
      </w:r>
    </w:p>
    <w:p w14:paraId="72176FD0" w14:textId="6C0469B8" w:rsidR="002816EE" w:rsidRPr="00FD41B9" w:rsidRDefault="002816EE" w:rsidP="007E036D">
      <w:pPr>
        <w:tabs>
          <w:tab w:val="num" w:pos="477"/>
        </w:tabs>
        <w:jc w:val="both"/>
        <w:rPr>
          <w:rFonts w:ascii="ITC Avant Garde" w:hAnsi="ITC Avant Garde" w:cs="Arial"/>
          <w:spacing w:val="-4"/>
        </w:rPr>
      </w:pPr>
      <w:r w:rsidRPr="00FD41B9">
        <w:rPr>
          <w:rFonts w:ascii="ITC Avant Garde" w:hAnsi="ITC Avant Garde" w:cs="Arial"/>
          <w:spacing w:val="-4"/>
        </w:rPr>
        <w:t>Los modelos de costos ingenieriles (</w:t>
      </w:r>
      <w:r w:rsidRPr="00FD41B9">
        <w:rPr>
          <w:rFonts w:ascii="ITC Avant Garde" w:hAnsi="ITC Avant Garde" w:cs="Arial"/>
          <w:i/>
          <w:spacing w:val="-4"/>
        </w:rPr>
        <w:t>bottom-up</w:t>
      </w:r>
      <w:r w:rsidRPr="00FD41B9">
        <w:rPr>
          <w:rFonts w:ascii="ITC Avant Garde" w:hAnsi="ITC Avant Garde" w:cs="Arial"/>
          <w:spacing w:val="-4"/>
        </w:rPr>
        <w:t xml:space="preserve">) que determinan los costos incrementales promedio de largo plazo exigen un diseño de arquitectura de red basado en una elección específica de tecnología moderna eficiente. Desde la perspectiva de regulación de la interconexión, en estos modelos deben reflejarse tecnologías eficientes disponibles. Esto es, la tecnología debe ser utilizada en las redes de los concesionarios que proveen servicios de telecomunicaciones tanto en nuestro país como en otros; es decir, no se debe seleccionar una tecnología que se encuentre en fase de desarrollo o de prueba. </w:t>
      </w:r>
    </w:p>
    <w:p w14:paraId="08296225" w14:textId="77777777"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Otra de las características es que deben considerarse los equipos que se proveen en un mercado competitivo. Es decir, no se deben emplear tecnologías propietarias que podrían obligar a los concesionarios de redes públicas de telecomunicaciones a depender de un solo proveedor. Asimismo, 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y transmisión de datos a gran velocidad, entre otros.</w:t>
      </w:r>
    </w:p>
    <w:p w14:paraId="36A6E85A" w14:textId="77777777" w:rsidR="002816EE" w:rsidRPr="00FD41B9" w:rsidRDefault="002816EE" w:rsidP="007E036D">
      <w:pPr>
        <w:tabs>
          <w:tab w:val="num" w:pos="477"/>
        </w:tabs>
        <w:jc w:val="both"/>
        <w:rPr>
          <w:rFonts w:ascii="ITC Avant Garde" w:hAnsi="ITC Avant Garde" w:cs="Arial"/>
          <w:b/>
        </w:rPr>
      </w:pPr>
      <w:r w:rsidRPr="00FD41B9">
        <w:rPr>
          <w:rFonts w:ascii="ITC Avant Garde" w:hAnsi="ITC Avant Garde" w:cs="Arial"/>
          <w:b/>
        </w:rPr>
        <w:t>Red del operador hipotético existente de los servicios móviles</w:t>
      </w:r>
    </w:p>
    <w:p w14:paraId="3C2CA667" w14:textId="77777777"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Para establecer la arquitectura de redes de telefonía móvil el Modelo de Costos se realiza una división en tres partes: una capa de radio, una red de conmutación y una red de transmisión.</w:t>
      </w:r>
    </w:p>
    <w:p w14:paraId="17F891DD" w14:textId="0058997B"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 xml:space="preserve">En la capa de radio se considera que el operador hipotético existente utiliza tecnologías de radio 2G (GSM), 3G (UMTS) y 4G (LTE). </w:t>
      </w:r>
      <w:r w:rsidR="00213EED" w:rsidRPr="00FD41B9">
        <w:rPr>
          <w:rFonts w:ascii="ITC Avant Garde" w:hAnsi="ITC Avant Garde" w:cs="Arial"/>
        </w:rPr>
        <w:t>Estas</w:t>
      </w:r>
      <w:r w:rsidRPr="00FD41B9">
        <w:rPr>
          <w:rFonts w:ascii="ITC Avant Garde" w:hAnsi="ITC Avant Garde" w:cs="Arial"/>
        </w:rPr>
        <w:t xml:space="preserve"> tecnologías están probadas y disponibles. 4G</w:t>
      </w:r>
      <w:r>
        <w:rPr>
          <w:rFonts w:ascii="ITC Avant Garde" w:hAnsi="ITC Avant Garde" w:cs="Arial"/>
        </w:rPr>
        <w:t xml:space="preserve"> </w:t>
      </w:r>
      <w:r w:rsidRPr="00FD41B9">
        <w:rPr>
          <w:rFonts w:ascii="ITC Avant Garde" w:hAnsi="ITC Avant Garde" w:cs="Arial"/>
        </w:rPr>
        <w:t>es una tecnología más reciente (y que ofrece una mayor capacidad) que permite unas mayores economías de alcance, principalmente a través de los servicios de datos móviles. Sin embargo, el costo de un despliegue de red, ya sea en 2G, 3G y/o 4G, estará influenciada por la banda de frecuencia en la que se despliegue.</w:t>
      </w:r>
    </w:p>
    <w:p w14:paraId="360099F6" w14:textId="77777777"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 xml:space="preserve">Lo primero que hay que considerar al diseñar la estructura de red para la prestación de servicios móviles es la limitación en el rango de </w:t>
      </w:r>
      <w:hyperlink r:id="rId9" w:tooltip="Frecuencia" w:history="1">
        <w:r w:rsidRPr="00FD41B9">
          <w:rPr>
            <w:rFonts w:ascii="ITC Avant Garde" w:hAnsi="ITC Avant Garde" w:cs="Arial"/>
          </w:rPr>
          <w:t>frecuencias</w:t>
        </w:r>
      </w:hyperlink>
      <w:r w:rsidRPr="00FD41B9">
        <w:rPr>
          <w:rFonts w:ascii="ITC Avant Garde" w:hAnsi="ITC Avant Garde" w:cs="Arial"/>
        </w:rPr>
        <w:t xml:space="preserve"> disponibles. Cada servicio móvil requiere un mínimo de </w:t>
      </w:r>
      <w:hyperlink r:id="rId10" w:tooltip="Ancho de banda" w:history="1">
        <w:r w:rsidRPr="00FD41B9">
          <w:rPr>
            <w:rFonts w:ascii="ITC Avant Garde" w:hAnsi="ITC Avant Garde" w:cs="Arial"/>
          </w:rPr>
          <w:t>ancho de banda</w:t>
        </w:r>
      </w:hyperlink>
      <w:r w:rsidRPr="00FD41B9">
        <w:rPr>
          <w:rFonts w:ascii="ITC Avant Garde" w:hAnsi="ITC Avant Garde" w:cs="Arial"/>
        </w:rPr>
        <w:t xml:space="preserve"> para que pueda transmitirse correctamente. </w:t>
      </w:r>
    </w:p>
    <w:p w14:paraId="501F4191" w14:textId="681C06C6"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En México, los operadores desplegaron su red GSM inicialmente en bandas de frecuencia de 850MHz en aquellas regiones en las que disponían de</w:t>
      </w:r>
      <w:r w:rsidR="00492E69">
        <w:rPr>
          <w:rFonts w:ascii="ITC Avant Garde" w:hAnsi="ITC Avant Garde" w:cs="Arial"/>
        </w:rPr>
        <w:t xml:space="preserve"> </w:t>
      </w:r>
      <w:r w:rsidRPr="00FD41B9">
        <w:rPr>
          <w:rFonts w:ascii="ITC Avant Garde" w:hAnsi="ITC Avant Garde" w:cs="Arial"/>
        </w:rPr>
        <w:t>l</w:t>
      </w:r>
      <w:r w:rsidR="00492E69">
        <w:rPr>
          <w:rFonts w:ascii="ITC Avant Garde" w:hAnsi="ITC Avant Garde" w:cs="Arial"/>
        </w:rPr>
        <w:t>as</w:t>
      </w:r>
      <w:r w:rsidRPr="00FD41B9">
        <w:rPr>
          <w:rFonts w:ascii="ITC Avant Garde" w:hAnsi="ITC Avant Garde" w:cs="Arial"/>
        </w:rPr>
        <w:t xml:space="preserve"> mism</w:t>
      </w:r>
      <w:r w:rsidR="00492E69">
        <w:rPr>
          <w:rFonts w:ascii="ITC Avant Garde" w:hAnsi="ITC Avant Garde" w:cs="Arial"/>
        </w:rPr>
        <w:t>as</w:t>
      </w:r>
      <w:r w:rsidRPr="00FD41B9">
        <w:rPr>
          <w:rFonts w:ascii="ITC Avant Garde" w:hAnsi="ITC Avant Garde" w:cs="Arial"/>
        </w:rPr>
        <w:t xml:space="preserve">, con un </w:t>
      </w:r>
      <w:r w:rsidRPr="00FD41B9">
        <w:rPr>
          <w:rFonts w:ascii="ITC Avant Garde" w:hAnsi="ITC Avant Garde" w:cs="Arial"/>
        </w:rPr>
        <w:lastRenderedPageBreak/>
        <w:t xml:space="preserve">despliegue posterior en la banda de 1900MHz para aportar capacidad adicional a la red. Cuando se desplegaron las redes UMTS, los operadores siguieron un esquema de despliegue de una red de capacidad principalmente en la banda de 1900MHz. Actualmente, se </w:t>
      </w:r>
      <w:r w:rsidR="00213EED">
        <w:rPr>
          <w:rFonts w:ascii="ITC Avant Garde" w:hAnsi="ITC Avant Garde" w:cs="Arial"/>
        </w:rPr>
        <w:t>utiliza</w:t>
      </w:r>
      <w:r w:rsidRPr="00FD41B9">
        <w:rPr>
          <w:rFonts w:ascii="ITC Avant Garde" w:hAnsi="ITC Avant Garde" w:cs="Arial"/>
        </w:rPr>
        <w:t xml:space="preserve"> para la red 4G espectro de la banda AWS (1700/2100 MHz) así como en la banda PCS (1900MHz) en el caso específico de Telefónica. Ambas bandas AWS y PCS también pueden ser utilizadas para el despliegue de redes UMTS y su evolución HSPA.</w:t>
      </w:r>
    </w:p>
    <w:p w14:paraId="5A23314A" w14:textId="376C5D51" w:rsidR="002816EE" w:rsidRPr="00FD41B9" w:rsidRDefault="00492E69" w:rsidP="007E036D">
      <w:pPr>
        <w:tabs>
          <w:tab w:val="num" w:pos="477"/>
        </w:tabs>
        <w:jc w:val="both"/>
        <w:rPr>
          <w:rFonts w:ascii="ITC Avant Garde" w:hAnsi="ITC Avant Garde" w:cs="Arial"/>
        </w:rPr>
      </w:pPr>
      <w:r>
        <w:rPr>
          <w:rFonts w:ascii="ITC Avant Garde" w:hAnsi="ITC Avant Garde" w:cs="Arial"/>
        </w:rPr>
        <w:t>Los</w:t>
      </w:r>
      <w:r w:rsidR="002816EE" w:rsidRPr="00FD41B9">
        <w:rPr>
          <w:rFonts w:ascii="ITC Avant Garde" w:hAnsi="ITC Avant Garde" w:cs="Arial"/>
        </w:rPr>
        <w:t xml:space="preserve"> operadores que no contaban con espectro disponible en la banda de 850MHz en algunas regiones, desplegaron su red utilizando frecuencias en la banda de 1900MHz, tanto para cobertura como para capacidad adicional.</w:t>
      </w:r>
    </w:p>
    <w:p w14:paraId="1326C704" w14:textId="3A384945"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En este sentido, conforme a la tecnología que empleará el operador hipotético existente sólo tres bandas de frecuencias pueden y son utilizadas efectivamente para dar servicios móviles (850MHz, 1900MHz y 1700/2100MHz), lo que limita el espectro disponible y utilizado. Por ello, el operador hipotético existente representativo cuenta con una cantidad de espectro asignado de 10.0MHz en la banda de 850MHz, de 40.8MHz en la banda de 1900MHz y de 30.0 MHz en la banda de 1700/2100MHz</w:t>
      </w:r>
      <w:r w:rsidR="00D3341F">
        <w:rPr>
          <w:rStyle w:val="Refdenotaalpie"/>
        </w:rPr>
        <w:footnoteReference w:id="4"/>
      </w:r>
      <w:r w:rsidRPr="00FD41B9">
        <w:rPr>
          <w:rFonts w:ascii="ITC Avant Garde" w:hAnsi="ITC Avant Garde" w:cs="Arial"/>
        </w:rPr>
        <w:t>. Esto es consistente con la cantidad de espectro disponible.</w:t>
      </w:r>
    </w:p>
    <w:p w14:paraId="51ADA3D7" w14:textId="77777777" w:rsidR="002816EE" w:rsidRPr="00FD41B9" w:rsidRDefault="002816EE" w:rsidP="007E036D">
      <w:pPr>
        <w:tabs>
          <w:tab w:val="num" w:pos="477"/>
        </w:tabs>
        <w:spacing w:line="300" w:lineRule="atLeast"/>
        <w:jc w:val="both"/>
        <w:rPr>
          <w:rFonts w:ascii="ITC Avant Garde" w:hAnsi="ITC Avant Garde" w:cs="Arial"/>
        </w:rPr>
      </w:pPr>
      <w:r w:rsidRPr="00FD41B9">
        <w:rPr>
          <w:rFonts w:ascii="ITC Avant Garde" w:hAnsi="ITC Avant Garde" w:cs="Arial"/>
        </w:rPr>
        <w:t>En lo que respecta a la determinación del costo del espectro se toma en consideración la inversión inicial (capex) y los pagos realizados anualmente por concepto de pagos de derechos por la utilización del espectro.</w:t>
      </w:r>
    </w:p>
    <w:p w14:paraId="0D736293" w14:textId="77777777" w:rsidR="002816EE" w:rsidRPr="00FD41B9" w:rsidRDefault="002816EE" w:rsidP="007E036D">
      <w:pPr>
        <w:tabs>
          <w:tab w:val="num" w:pos="477"/>
        </w:tabs>
        <w:spacing w:line="300" w:lineRule="atLeast"/>
        <w:jc w:val="both"/>
        <w:rPr>
          <w:rFonts w:ascii="ITC Avant Garde" w:hAnsi="ITC Avant Garde" w:cs="Arial"/>
        </w:rPr>
      </w:pPr>
      <w:r w:rsidRPr="00FD41B9">
        <w:rPr>
          <w:rFonts w:ascii="ITC Avant Garde" w:hAnsi="ITC Avant Garde" w:cs="Arial"/>
        </w:rPr>
        <w:t>Para el caso de la inversión inicial realizada por el operador hipotético existente con respecto a la banda de 850MHz, esta inversión se determinó de acuerdo al precio promedio pagado en la prórroga otorgada en 2010 por región por MHz, multiplicándolo por la cantidad de espectro que tendrá el operador hipotético.</w:t>
      </w:r>
    </w:p>
    <w:p w14:paraId="1E99515C" w14:textId="2775F9FE" w:rsidR="002816EE" w:rsidRPr="00FD41B9" w:rsidRDefault="002816EE" w:rsidP="007E036D">
      <w:pPr>
        <w:tabs>
          <w:tab w:val="num" w:pos="477"/>
        </w:tabs>
        <w:spacing w:line="300" w:lineRule="atLeast"/>
        <w:jc w:val="both"/>
        <w:rPr>
          <w:rFonts w:ascii="ITC Avant Garde" w:hAnsi="ITC Avant Garde" w:cs="Arial"/>
        </w:rPr>
      </w:pPr>
      <w:r w:rsidRPr="00FD41B9">
        <w:rPr>
          <w:rFonts w:ascii="ITC Avant Garde" w:hAnsi="ITC Avant Garde" w:cs="Arial"/>
        </w:rPr>
        <w:t>En el caso del espectro en las bandas de 1900MHz (PCS) y 1700/2100MHz (AWS) se determinó la inversión en base a los precios pagados por el espectro en las subastas realizadas en los años 2010 y 2016</w:t>
      </w:r>
      <w:r w:rsidR="00D56FB1">
        <w:rPr>
          <w:rFonts w:ascii="ITC Avant Garde" w:hAnsi="ITC Avant Garde" w:cs="Arial"/>
        </w:rPr>
        <w:t>, respectivamente,</w:t>
      </w:r>
      <w:r w:rsidRPr="00FD41B9">
        <w:rPr>
          <w:rFonts w:ascii="ITC Avant Garde" w:hAnsi="ITC Avant Garde" w:cs="Arial"/>
        </w:rPr>
        <w:t xml:space="preserve"> y la cantidad de espectro del operador hipotético existente.</w:t>
      </w:r>
    </w:p>
    <w:p w14:paraId="7AD2F37C" w14:textId="77777777" w:rsidR="002816EE" w:rsidRPr="00FD41B9" w:rsidRDefault="002816EE" w:rsidP="007E036D">
      <w:pPr>
        <w:tabs>
          <w:tab w:val="num" w:pos="477"/>
        </w:tabs>
        <w:spacing w:line="300" w:lineRule="atLeast"/>
        <w:jc w:val="both"/>
        <w:rPr>
          <w:rFonts w:ascii="ITC Avant Garde" w:hAnsi="ITC Avant Garde" w:cs="Arial"/>
        </w:rPr>
      </w:pPr>
      <w:r w:rsidRPr="00FD41B9">
        <w:rPr>
          <w:rFonts w:ascii="ITC Avant Garde" w:hAnsi="ITC Avant Garde" w:cs="Arial"/>
        </w:rPr>
        <w:t>Por otro lado, los costos operativos se calculan multiplicando la cantidad de espectro en cada banda de frecuencia por el precio de derechos por kHz para cada región en que está dividido el país.</w:t>
      </w:r>
    </w:p>
    <w:p w14:paraId="09D3DDAD" w14:textId="77777777" w:rsidR="002816EE" w:rsidRPr="00FD41B9" w:rsidRDefault="002816EE" w:rsidP="007E036D">
      <w:pPr>
        <w:tabs>
          <w:tab w:val="num" w:pos="477"/>
        </w:tabs>
        <w:spacing w:line="300" w:lineRule="atLeast"/>
        <w:jc w:val="both"/>
        <w:rPr>
          <w:rFonts w:ascii="ITC Avant Garde" w:hAnsi="ITC Avant Garde" w:cs="Arial"/>
        </w:rPr>
      </w:pPr>
      <w:r w:rsidRPr="00FD41B9">
        <w:rPr>
          <w:rFonts w:ascii="ITC Avant Garde" w:hAnsi="ITC Avant Garde" w:cs="Arial"/>
        </w:rPr>
        <w:t xml:space="preserve">Cabe mencionar que el dimensionado de la red de acceso radio se realiza específicamente para cada tecnología por separado, distinguiéndose en el Modelo de </w:t>
      </w:r>
      <w:r w:rsidRPr="00FD41B9">
        <w:rPr>
          <w:rFonts w:ascii="ITC Avant Garde" w:hAnsi="ITC Avant Garde" w:cs="Arial"/>
        </w:rPr>
        <w:lastRenderedPageBreak/>
        <w:t>Costos los pasos del algoritmo de dimensionado seguidos para el acceso radio GSM/GPRS/EDGE, para el acceso radio UMTS/HSPA y para el acceso de radio LTE. El dimensionamiento de todos los equipos de red está en función de la demanda esperada en un determinado horizonte de planificación, que es específico para cada clase de equipo. Asimismo, se toma en cuenta en la demanda el efecto de la sobrecapacidad necesaria en la red para absorber picos de demanda en la hora cargada.</w:t>
      </w:r>
    </w:p>
    <w:p w14:paraId="1FEBF29E" w14:textId="77777777" w:rsidR="002816EE" w:rsidRPr="00FD41B9" w:rsidRDefault="002816EE" w:rsidP="007E036D">
      <w:pPr>
        <w:tabs>
          <w:tab w:val="num" w:pos="477"/>
        </w:tabs>
        <w:jc w:val="both"/>
        <w:rPr>
          <w:rFonts w:ascii="ITC Avant Garde" w:hAnsi="ITC Avant Garde" w:cs="Arial"/>
          <w:i/>
        </w:rPr>
      </w:pPr>
      <w:r w:rsidRPr="00FD41B9">
        <w:rPr>
          <w:rFonts w:ascii="ITC Avant Garde" w:hAnsi="ITC Avant Garde" w:cs="Arial"/>
          <w:i/>
        </w:rPr>
        <w:t xml:space="preserve">Red de conmutación </w:t>
      </w:r>
    </w:p>
    <w:p w14:paraId="39C756CA" w14:textId="5344C8A9"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Para la red de conmutación de una red que presta servicios móviles se puede señalar que se tendría que emplear una conmutación legada (de una sola generación) o utilizar una estructura de conmutación de próxima generación en caso de que dicha red utilizara solo una tecnología de red. Sin embargo, y dado que la red utiliza tecnología 2G</w:t>
      </w:r>
      <w:r w:rsidR="0074115F">
        <w:rPr>
          <w:rFonts w:ascii="ITC Avant Garde" w:hAnsi="ITC Avant Garde" w:cs="Arial"/>
        </w:rPr>
        <w:t>,</w:t>
      </w:r>
      <w:r w:rsidRPr="00FD41B9">
        <w:rPr>
          <w:rFonts w:ascii="ITC Avant Garde" w:hAnsi="ITC Avant Garde" w:cs="Arial"/>
        </w:rPr>
        <w:t xml:space="preserve"> 3G</w:t>
      </w:r>
      <w:r w:rsidR="0074115F">
        <w:rPr>
          <w:rFonts w:ascii="ITC Avant Garde" w:hAnsi="ITC Avant Garde" w:cs="Arial"/>
        </w:rPr>
        <w:t xml:space="preserve"> y 4G</w:t>
      </w:r>
      <w:r w:rsidRPr="00FD41B9">
        <w:rPr>
          <w:rFonts w:ascii="ITC Avant Garde" w:hAnsi="ITC Avant Garde" w:cs="Arial"/>
        </w:rPr>
        <w:t>, la red de conmutación podría componerse de:</w:t>
      </w:r>
    </w:p>
    <w:p w14:paraId="2F59507C" w14:textId="40645C4B" w:rsidR="002816EE" w:rsidRPr="00FD41B9" w:rsidRDefault="002816EE" w:rsidP="007E036D">
      <w:pPr>
        <w:tabs>
          <w:tab w:val="num" w:pos="477"/>
        </w:tabs>
        <w:ind w:left="284"/>
        <w:jc w:val="both"/>
        <w:rPr>
          <w:rFonts w:ascii="ITC Avant Garde" w:hAnsi="ITC Avant Garde" w:cs="Arial"/>
          <w:spacing w:val="-4"/>
        </w:rPr>
      </w:pPr>
      <w:r w:rsidRPr="00FD41B9">
        <w:rPr>
          <w:rFonts w:ascii="ITC Avant Garde" w:hAnsi="ITC Avant Garde" w:cs="Arial"/>
          <w:spacing w:val="-4"/>
        </w:rPr>
        <w:t>a) Unas estructuras 2G, 3G y 4G separadas</w:t>
      </w:r>
      <w:r w:rsidR="00945454">
        <w:rPr>
          <w:rFonts w:ascii="ITC Avant Garde" w:hAnsi="ITC Avant Garde" w:cs="Arial"/>
          <w:spacing w:val="-4"/>
        </w:rPr>
        <w:t xml:space="preserve"> en sus elementos de red y</w:t>
      </w:r>
      <w:r w:rsidRPr="00FD41B9">
        <w:rPr>
          <w:rFonts w:ascii="ITC Avant Garde" w:hAnsi="ITC Avant Garde" w:cs="Arial"/>
          <w:spacing w:val="-4"/>
        </w:rPr>
        <w:t xml:space="preserve"> con transmisión separada, cada una conteniendo uno o más MSC, GSN y puntos de interconexión (PoI) entrelazados</w:t>
      </w:r>
    </w:p>
    <w:p w14:paraId="10717B5E" w14:textId="77777777" w:rsidR="002816EE" w:rsidRPr="00FD41B9" w:rsidRDefault="002816EE" w:rsidP="007E036D">
      <w:pPr>
        <w:tabs>
          <w:tab w:val="num" w:pos="477"/>
        </w:tabs>
        <w:ind w:left="284"/>
        <w:jc w:val="both"/>
        <w:rPr>
          <w:rFonts w:ascii="ITC Avant Garde" w:hAnsi="ITC Avant Garde" w:cs="Arial"/>
          <w:spacing w:val="-4"/>
        </w:rPr>
      </w:pPr>
      <w:r w:rsidRPr="00FD41B9">
        <w:rPr>
          <w:rFonts w:ascii="ITC Avant Garde" w:hAnsi="ITC Avant Garde" w:cs="Arial"/>
          <w:spacing w:val="-4"/>
        </w:rPr>
        <w:t>b) Una estructura antigua mejorada con una red de transmisión combinada, conteniendo uno o más MSC, GSN y puntos de interconexión (PoI) entrelazados, que sean compatibles tanto con 2G como con 3G, y una estructura 4G separada</w:t>
      </w:r>
    </w:p>
    <w:p w14:paraId="6C968236" w14:textId="0FB8451A" w:rsidR="002816EE" w:rsidRPr="00FD41B9" w:rsidRDefault="002816EE" w:rsidP="007E036D">
      <w:pPr>
        <w:tabs>
          <w:tab w:val="num" w:pos="477"/>
        </w:tabs>
        <w:ind w:left="284"/>
        <w:jc w:val="both"/>
        <w:rPr>
          <w:rFonts w:ascii="ITC Avant Garde" w:hAnsi="ITC Avant Garde" w:cs="Arial"/>
          <w:spacing w:val="-4"/>
        </w:rPr>
      </w:pPr>
      <w:r w:rsidRPr="00FD41B9">
        <w:rPr>
          <w:rFonts w:ascii="ITC Avant Garde" w:hAnsi="ITC Avant Garde" w:cs="Arial"/>
          <w:spacing w:val="-4"/>
        </w:rPr>
        <w:t>c) Una estructura de conmutación combinada 2G+3G con red de transmisión de nueva generación, enlazando parejas de pasarelas de medios (MGW) con uno o más servidores de conmutación móvil (MSS), routers de datos y PoI, con separación en capas CS y PS, y una estructura 4G separada.</w:t>
      </w:r>
      <w:r>
        <w:rPr>
          <w:rFonts w:ascii="ITC Avant Garde" w:hAnsi="ITC Avant Garde" w:cs="Arial"/>
          <w:spacing w:val="-4"/>
        </w:rPr>
        <w:t xml:space="preserve"> </w:t>
      </w:r>
      <w:r w:rsidRPr="00FD41B9">
        <w:rPr>
          <w:rFonts w:ascii="ITC Avant Garde" w:hAnsi="ITC Avant Garde" w:cs="Arial"/>
          <w:spacing w:val="-4"/>
        </w:rPr>
        <w:t xml:space="preserve">Dos estructuras 2G y 3G separadas </w:t>
      </w:r>
      <w:r w:rsidR="00945454">
        <w:rPr>
          <w:rFonts w:ascii="ITC Avant Garde" w:hAnsi="ITC Avant Garde" w:cs="Arial"/>
          <w:spacing w:val="-4"/>
        </w:rPr>
        <w:t xml:space="preserve">en sus elementos de red y </w:t>
      </w:r>
      <w:r w:rsidRPr="00FD41B9">
        <w:rPr>
          <w:rFonts w:ascii="ITC Avant Garde" w:hAnsi="ITC Avant Garde" w:cs="Arial"/>
          <w:spacing w:val="-4"/>
        </w:rPr>
        <w:t>con transmisión separada, cada una con sus propios elementos como uno o más MSCs, GSNs y puntos de interconexión (POIs) entrelazados.</w:t>
      </w:r>
    </w:p>
    <w:p w14:paraId="650E533E" w14:textId="77777777"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En este sentido, la red de conmutación móvil que debe modelarse está estrechamente relacionada con el tipo de operador que se adopte: o bien un operador nuevo y moderno (con una red de conmutación IP combinado, MSS y MGW, y una estructura separada para LTE), o un operador existente (que ha actualizado la mayoría de sus conmutadores MSC legados a la vez que desplegaba UMTS y añade una estructura separada para LTE).</w:t>
      </w:r>
    </w:p>
    <w:p w14:paraId="719C54A7" w14:textId="77777777"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 xml:space="preserve">Cuando se incluyen elementos legados y actualizados, la recuperación de sus costos debería ser consistente con el periodo de despliegue y explotación de los servicios móviles. Esto permite asegurar que los costos que arroja el modelo reflejen la oferta actualizada en todo momento durante el proceso de actualización de la red de conmutación. En México, los concesionarios del servicio móvil tienen actualmente con </w:t>
      </w:r>
      <w:r w:rsidRPr="00FD41B9">
        <w:rPr>
          <w:rFonts w:ascii="ITC Avant Garde" w:hAnsi="ITC Avant Garde" w:cs="Arial"/>
        </w:rPr>
        <w:lastRenderedPageBreak/>
        <w:t>una arquitectura que o bien es de conmutación IP combinada (opción c) o bien está en proceso de ser migrada a este modelo desde el de arquitectura mejorada (opción b).</w:t>
      </w:r>
    </w:p>
    <w:p w14:paraId="1568706C" w14:textId="77777777" w:rsidR="002816EE" w:rsidRPr="00FD41B9" w:rsidRDefault="002816EE" w:rsidP="007E036D">
      <w:pPr>
        <w:jc w:val="both"/>
        <w:rPr>
          <w:rFonts w:ascii="ITC Avant Garde" w:hAnsi="ITC Avant Garde" w:cs="Arial"/>
          <w:i/>
        </w:rPr>
      </w:pPr>
      <w:r w:rsidRPr="00FD41B9">
        <w:rPr>
          <w:rFonts w:ascii="ITC Avant Garde" w:hAnsi="ITC Avant Garde" w:cs="Arial"/>
          <w:i/>
        </w:rPr>
        <w:t xml:space="preserve">Red de transmisión </w:t>
      </w:r>
    </w:p>
    <w:p w14:paraId="62ADAC7C" w14:textId="77777777"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La conectividad entre nodos de redes de telefonía móvil encaja en varios tipos:</w:t>
      </w:r>
    </w:p>
    <w:p w14:paraId="3BBEF54D" w14:textId="77777777" w:rsidR="002816EE" w:rsidRPr="00EB3876" w:rsidRDefault="002816EE" w:rsidP="007E036D">
      <w:pPr>
        <w:pStyle w:val="Prrafodelista"/>
        <w:numPr>
          <w:ilvl w:val="0"/>
          <w:numId w:val="15"/>
        </w:numPr>
        <w:spacing w:after="240" w:line="320" w:lineRule="atLeast"/>
        <w:ind w:left="567" w:hanging="425"/>
        <w:jc w:val="both"/>
        <w:rPr>
          <w:rFonts w:ascii="ITC Avant Garde" w:hAnsi="ITC Avant Garde" w:cs="Arial"/>
          <w:sz w:val="22"/>
          <w:szCs w:val="22"/>
        </w:rPr>
      </w:pPr>
      <w:r w:rsidRPr="00EB3876">
        <w:rPr>
          <w:rFonts w:ascii="ITC Avant Garde" w:hAnsi="ITC Avant Garde" w:cs="Arial"/>
          <w:sz w:val="22"/>
          <w:szCs w:val="22"/>
        </w:rPr>
        <w:t>acceso de última milla de BTS, NodeB o eNodeB a un concentrador (hub)</w:t>
      </w:r>
    </w:p>
    <w:p w14:paraId="27D5662A" w14:textId="77777777" w:rsidR="002816EE" w:rsidRPr="00EB3876" w:rsidRDefault="002816EE" w:rsidP="007E036D">
      <w:pPr>
        <w:pStyle w:val="Prrafodelista"/>
        <w:numPr>
          <w:ilvl w:val="0"/>
          <w:numId w:val="15"/>
        </w:numPr>
        <w:spacing w:after="240" w:line="320" w:lineRule="atLeast"/>
        <w:ind w:left="567" w:hanging="425"/>
        <w:jc w:val="both"/>
        <w:rPr>
          <w:rFonts w:ascii="ITC Avant Garde" w:hAnsi="ITC Avant Garde" w:cs="Arial"/>
          <w:sz w:val="22"/>
          <w:szCs w:val="22"/>
        </w:rPr>
      </w:pPr>
      <w:r w:rsidRPr="00EB3876">
        <w:rPr>
          <w:rFonts w:ascii="ITC Avant Garde" w:hAnsi="ITC Avant Garde" w:cs="Arial"/>
          <w:sz w:val="22"/>
          <w:szCs w:val="22"/>
        </w:rPr>
        <w:t>concentrador a BSC, RNC o punto de agregación LTE (LTE-AP)</w:t>
      </w:r>
    </w:p>
    <w:p w14:paraId="40BD0EE8" w14:textId="77777777" w:rsidR="002816EE" w:rsidRPr="00EB3876" w:rsidRDefault="002816EE" w:rsidP="007E036D">
      <w:pPr>
        <w:pStyle w:val="Prrafodelista"/>
        <w:numPr>
          <w:ilvl w:val="0"/>
          <w:numId w:val="15"/>
        </w:numPr>
        <w:spacing w:after="240" w:line="320" w:lineRule="atLeast"/>
        <w:ind w:left="567" w:hanging="425"/>
        <w:jc w:val="both"/>
        <w:rPr>
          <w:rFonts w:ascii="ITC Avant Garde" w:hAnsi="ITC Avant Garde" w:cs="Arial"/>
          <w:sz w:val="22"/>
          <w:szCs w:val="22"/>
        </w:rPr>
      </w:pPr>
      <w:r w:rsidRPr="00EB3876">
        <w:rPr>
          <w:rFonts w:ascii="ITC Avant Garde" w:hAnsi="ITC Avant Garde" w:cs="Arial"/>
          <w:sz w:val="22"/>
          <w:szCs w:val="22"/>
        </w:rPr>
        <w:t>BSC, RNC o LTE-AP a emplazamientos de conmutación principales (que contengan MSC, MGW o SGW) si no están coubicados</w:t>
      </w:r>
    </w:p>
    <w:p w14:paraId="2FF1B638" w14:textId="77777777" w:rsidR="002816EE" w:rsidRPr="00EB3876" w:rsidRDefault="002816EE" w:rsidP="007E036D">
      <w:pPr>
        <w:pStyle w:val="Prrafodelista"/>
        <w:numPr>
          <w:ilvl w:val="0"/>
          <w:numId w:val="15"/>
        </w:numPr>
        <w:spacing w:after="240" w:line="320" w:lineRule="atLeast"/>
        <w:ind w:left="567" w:hanging="425"/>
        <w:jc w:val="both"/>
        <w:rPr>
          <w:rFonts w:ascii="ITC Avant Garde" w:hAnsi="ITC Avant Garde" w:cs="Arial"/>
          <w:sz w:val="22"/>
          <w:szCs w:val="22"/>
        </w:rPr>
      </w:pPr>
      <w:r w:rsidRPr="00EB3876">
        <w:rPr>
          <w:rFonts w:ascii="ITC Avant Garde" w:hAnsi="ITC Avant Garde" w:cs="Arial"/>
          <w:sz w:val="22"/>
          <w:szCs w:val="22"/>
        </w:rPr>
        <w:t>entre emplazamientos de conmutación principales (entre MSC, MGW o SGW).</w:t>
      </w:r>
    </w:p>
    <w:p w14:paraId="66E8574F" w14:textId="10D2EC3D" w:rsidR="002816EE" w:rsidRPr="00BD34FF" w:rsidRDefault="00213EED" w:rsidP="00BD34FF">
      <w:pPr>
        <w:spacing w:after="240" w:line="320" w:lineRule="atLeast"/>
        <w:jc w:val="both"/>
        <w:rPr>
          <w:rFonts w:ascii="ITC Avant Garde" w:hAnsi="ITC Avant Garde" w:cs="Arial"/>
        </w:rPr>
      </w:pPr>
      <w:r>
        <w:rPr>
          <w:rFonts w:ascii="ITC Avant Garde" w:hAnsi="ITC Avant Garde" w:cs="Arial"/>
        </w:rPr>
        <w:t>S</w:t>
      </w:r>
      <w:r w:rsidR="002816EE" w:rsidRPr="00BD34FF">
        <w:rPr>
          <w:rFonts w:ascii="ITC Avant Garde" w:hAnsi="ITC Avant Garde" w:cs="Arial"/>
        </w:rPr>
        <w:t>oluciones típicas para la provisión de transmisión incluyen:</w:t>
      </w:r>
    </w:p>
    <w:p w14:paraId="7A6A7126" w14:textId="77777777" w:rsidR="002816EE" w:rsidRPr="00EB3876" w:rsidRDefault="002816EE" w:rsidP="007E036D">
      <w:pPr>
        <w:pStyle w:val="Prrafodelista"/>
        <w:numPr>
          <w:ilvl w:val="1"/>
          <w:numId w:val="15"/>
        </w:numPr>
        <w:spacing w:after="240" w:line="320" w:lineRule="atLeast"/>
        <w:jc w:val="both"/>
        <w:rPr>
          <w:rFonts w:ascii="ITC Avant Garde" w:hAnsi="ITC Avant Garde" w:cs="Arial"/>
          <w:sz w:val="22"/>
          <w:szCs w:val="22"/>
        </w:rPr>
      </w:pPr>
      <w:r w:rsidRPr="00EB3876">
        <w:rPr>
          <w:rFonts w:ascii="ITC Avant Garde" w:hAnsi="ITC Avant Garde" w:cs="Arial"/>
          <w:sz w:val="22"/>
          <w:szCs w:val="22"/>
        </w:rPr>
        <w:t>enlaces dedicados (E1, STM1 y superior, 100Mbit/s y superior)</w:t>
      </w:r>
    </w:p>
    <w:p w14:paraId="6083BDE2" w14:textId="77777777" w:rsidR="002816EE" w:rsidRPr="00EB3876" w:rsidRDefault="002816EE" w:rsidP="007E036D">
      <w:pPr>
        <w:pStyle w:val="Prrafodelista"/>
        <w:numPr>
          <w:ilvl w:val="1"/>
          <w:numId w:val="15"/>
        </w:numPr>
        <w:spacing w:after="240" w:line="320" w:lineRule="atLeast"/>
        <w:jc w:val="both"/>
        <w:rPr>
          <w:rFonts w:ascii="ITC Avant Garde" w:hAnsi="ITC Avant Garde" w:cs="Arial"/>
          <w:sz w:val="22"/>
          <w:szCs w:val="22"/>
          <w:lang w:val="pt-PT"/>
        </w:rPr>
      </w:pPr>
      <w:r w:rsidRPr="00EB3876">
        <w:rPr>
          <w:rFonts w:ascii="ITC Avant Garde" w:hAnsi="ITC Avant Garde" w:cs="Arial"/>
          <w:sz w:val="22"/>
          <w:szCs w:val="22"/>
          <w:lang w:val="pt-PT"/>
        </w:rPr>
        <w:t>enlaces por microondas autoprovistos (2-4-8-16-32 Mbit/s, enlaces por microondas STM1, microondas Ethernet)</w:t>
      </w:r>
    </w:p>
    <w:p w14:paraId="39186357" w14:textId="77777777" w:rsidR="002816EE" w:rsidRPr="00EB3876" w:rsidRDefault="002816EE" w:rsidP="007E036D">
      <w:pPr>
        <w:pStyle w:val="Prrafodelista"/>
        <w:numPr>
          <w:ilvl w:val="1"/>
          <w:numId w:val="15"/>
        </w:numPr>
        <w:spacing w:after="240" w:line="320" w:lineRule="atLeast"/>
        <w:jc w:val="both"/>
        <w:rPr>
          <w:rFonts w:ascii="ITC Avant Garde" w:hAnsi="ITC Avant Garde" w:cs="Arial"/>
          <w:sz w:val="22"/>
          <w:szCs w:val="22"/>
        </w:rPr>
      </w:pPr>
      <w:r w:rsidRPr="00EB3876">
        <w:rPr>
          <w:rFonts w:ascii="ITC Avant Garde" w:hAnsi="ITC Avant Garde" w:cs="Arial"/>
          <w:sz w:val="22"/>
          <w:szCs w:val="22"/>
        </w:rPr>
        <w:t>red de fibra alquilada (fibra oscura alquilada/IRU</w:t>
      </w:r>
      <w:r w:rsidRPr="00EB3876">
        <w:rPr>
          <w:rFonts w:ascii="ITC Avant Garde" w:hAnsi="ITC Avant Garde" w:cs="Arial"/>
          <w:sz w:val="22"/>
          <w:szCs w:val="22"/>
        </w:rPr>
        <w:footnoteReference w:id="5"/>
      </w:r>
      <w:r w:rsidRPr="00EB3876">
        <w:rPr>
          <w:rFonts w:ascii="ITC Avant Garde" w:hAnsi="ITC Avant Garde" w:cs="Arial"/>
          <w:sz w:val="22"/>
          <w:szCs w:val="22"/>
        </w:rPr>
        <w:t xml:space="preserve"> con STM o módems de fibra Gbit/s).</w:t>
      </w:r>
    </w:p>
    <w:p w14:paraId="77A7CB15" w14:textId="77777777"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La elección del tipo de transmisión de la red móvil varía entre los distintos operadores móviles existentes y puede haber cambiado con el tiempo. Sin embargo, un nuevo entrante tendería a adoptar una red de transmisión basada en tecnología Ethernet escalable y resistente para el futuro.</w:t>
      </w:r>
    </w:p>
    <w:p w14:paraId="7B26D398" w14:textId="77777777"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 xml:space="preserve">En este sentido, el Modelo de Costos permite modelar tres posibilidades para la arquitectura de red de transmisión y conmutación del operador hipotético existente: una red heredada en la cual se conmutan por separado voz y datos, una red todo sobre IP, o una migración entre ambas. </w:t>
      </w:r>
    </w:p>
    <w:p w14:paraId="1B906EE0" w14:textId="0DDDB3F6"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La red troncal del operador hipotético existente móvil está compuesta de un total de 9</w:t>
      </w:r>
      <w:r>
        <w:rPr>
          <w:rFonts w:ascii="ITC Avant Garde" w:hAnsi="ITC Avant Garde" w:cs="Arial"/>
        </w:rPr>
        <w:t xml:space="preserve"> </w:t>
      </w:r>
      <w:r w:rsidRPr="00FD41B9">
        <w:rPr>
          <w:rFonts w:ascii="ITC Avant Garde" w:hAnsi="ITC Avant Garde" w:cs="Arial"/>
        </w:rPr>
        <w:t xml:space="preserve">nodos nacionales y 11 nodos core. Los nodos </w:t>
      </w:r>
      <w:r w:rsidR="00E93EB0">
        <w:rPr>
          <w:rFonts w:ascii="ITC Avant Garde" w:hAnsi="ITC Avant Garde" w:cs="Arial"/>
        </w:rPr>
        <w:t xml:space="preserve">core </w:t>
      </w:r>
      <w:r w:rsidRPr="00FD41B9">
        <w:rPr>
          <w:rFonts w:ascii="ITC Avant Garde" w:hAnsi="ITC Avant Garde" w:cs="Arial"/>
        </w:rPr>
        <w:t xml:space="preserve">están conectados de forma redundante por 6 anillos de fibra con una longitud total de </w:t>
      </w:r>
      <w:r w:rsidR="00E93EB0" w:rsidRPr="00E93EB0">
        <w:rPr>
          <w:rFonts w:ascii="ITC Avant Garde" w:hAnsi="ITC Avant Garde" w:cs="Arial"/>
        </w:rPr>
        <w:t>16</w:t>
      </w:r>
      <w:r w:rsidR="00E93EB0">
        <w:rPr>
          <w:rFonts w:ascii="ITC Avant Garde" w:hAnsi="ITC Avant Garde" w:cs="Arial"/>
        </w:rPr>
        <w:t>,</w:t>
      </w:r>
      <w:r w:rsidR="00E93EB0" w:rsidRPr="00E93EB0">
        <w:rPr>
          <w:rFonts w:ascii="ITC Avant Garde" w:hAnsi="ITC Avant Garde" w:cs="Arial"/>
        </w:rPr>
        <w:t>712</w:t>
      </w:r>
      <w:r w:rsidRPr="00FD41B9">
        <w:rPr>
          <w:rFonts w:ascii="ITC Avant Garde" w:hAnsi="ITC Avant Garde" w:cs="Arial"/>
        </w:rPr>
        <w:t xml:space="preserve"> kilómetros. Los nodos regionales están conectados entre sí con anillos de fibra, con 1 nodo core conectado a cada anillo, sumando un total de 22,000 kilómetros.</w:t>
      </w:r>
    </w:p>
    <w:p w14:paraId="0EFA3635" w14:textId="77777777"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lastRenderedPageBreak/>
        <w:t>Las distancias entre nodos recorridas por la fibra en la red troncal del operador se ha calculado en base a la red de carreteras de México. En la red de backhaul se usan principalmente tecnologías inalámbricas como microondas, pero también se conectan los sitios por enlaces dedicados y, en menor medida, fibra (sobre todo en los geotipos urbanos y suburbanos).</w:t>
      </w:r>
    </w:p>
    <w:p w14:paraId="2FFE56E3" w14:textId="77777777" w:rsidR="002816EE" w:rsidRPr="00FD41B9" w:rsidRDefault="002816EE" w:rsidP="007E036D">
      <w:pPr>
        <w:tabs>
          <w:tab w:val="num" w:pos="477"/>
        </w:tabs>
        <w:jc w:val="both"/>
        <w:rPr>
          <w:rFonts w:ascii="ITC Avant Garde" w:hAnsi="ITC Avant Garde" w:cs="Arial"/>
          <w:b/>
        </w:rPr>
      </w:pPr>
      <w:r w:rsidRPr="00FD41B9">
        <w:rPr>
          <w:rFonts w:ascii="ITC Avant Garde" w:hAnsi="ITC Avant Garde" w:cs="Arial"/>
          <w:b/>
        </w:rPr>
        <w:t>Red del operador hipotético existente de los servicios fijos</w:t>
      </w:r>
    </w:p>
    <w:p w14:paraId="4B580ED1" w14:textId="65DA7405"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 xml:space="preserve">La capa de acceso o última milla en la red fija conecta los usuarios a la red, lo que les permite utilizar los servicios de </w:t>
      </w:r>
      <w:r w:rsidR="00D56FB1">
        <w:rPr>
          <w:rFonts w:ascii="ITC Avant Garde" w:hAnsi="ITC Avant Garde" w:cs="Arial"/>
        </w:rPr>
        <w:t>telecomunicaciones</w:t>
      </w:r>
      <w:r w:rsidRPr="00FD41B9">
        <w:rPr>
          <w:rFonts w:ascii="ITC Avant Garde" w:hAnsi="ITC Avant Garde" w:cs="Arial"/>
        </w:rPr>
        <w:t xml:space="preserve">. Las opciones de arquitectura para esta capa son el cobre, la fibra o el cable coaxial, que cubren la conexión desde el punto de terminación de red (NTP) en las instalaciones del usuario hasta los nodos de agregación en la estructura en árbol de la red. </w:t>
      </w:r>
    </w:p>
    <w:p w14:paraId="0C3D454A" w14:textId="77777777" w:rsidR="002816EE" w:rsidRPr="00FD41B9" w:rsidRDefault="002816EE" w:rsidP="007E036D">
      <w:pPr>
        <w:tabs>
          <w:tab w:val="num" w:pos="477"/>
        </w:tabs>
        <w:jc w:val="both"/>
        <w:rPr>
          <w:rFonts w:ascii="ITC Avant Garde" w:hAnsi="ITC Avant Garde" w:cs="Arial"/>
        </w:rPr>
      </w:pPr>
      <w:r w:rsidRPr="00FD41B9">
        <w:rPr>
          <w:rFonts w:ascii="ITC Avant Garde" w:hAnsi="ITC Avant Garde" w:cs="Arial"/>
        </w:rPr>
        <w:t>No se modela la red de acceso en el Modelo Fijo. Esto es debido a que sus costos no se recuperan a través de las tarifas de interconexión ya que éstos se recuperan a través de un cargo fijo mensual realizado al usuario final. Sin embargo, su definición influenciará el diseño de la red troncal y de transmisión. El operador hipotético, en línea con el modelo anteriormente desarrollado por el IFT, dispone de una red de acceso de cobre sobre la que despliega VDSL desde la central (o MDF). Debido a lo anterior, se debe observar en primera instancia la red troncal de una red fija, en la cual existen arquitecturas tradicionales y de nueva generación (NGN). Una red troncal NGN se define como una plataforma convergente basada en IP que transportará todos los servicios sobre la misma plataforma. Ciertas opciones de despliegue corresponden a actualizaciones de la red PSTN, mientras que otras utilizan un transporte basado en conmutadores (</w:t>
      </w:r>
      <w:r w:rsidRPr="00FD41B9">
        <w:rPr>
          <w:rFonts w:ascii="ITC Avant Garde" w:hAnsi="ITC Avant Garde" w:cs="Arial"/>
          <w:i/>
        </w:rPr>
        <w:t>switches</w:t>
      </w:r>
      <w:r w:rsidRPr="00FD41B9">
        <w:rPr>
          <w:rFonts w:ascii="ITC Avant Garde" w:hAnsi="ITC Avant Garde" w:cs="Arial"/>
        </w:rPr>
        <w:t>) y enrutadores (</w:t>
      </w:r>
      <w:r w:rsidRPr="00FD41B9">
        <w:rPr>
          <w:rFonts w:ascii="ITC Avant Garde" w:hAnsi="ITC Avant Garde" w:cs="Arial"/>
          <w:i/>
        </w:rPr>
        <w:t>routers</w:t>
      </w:r>
      <w:r w:rsidRPr="00FD41B9">
        <w:rPr>
          <w:rFonts w:ascii="ITC Avant Garde" w:hAnsi="ITC Avant Garde" w:cs="Arial"/>
        </w:rPr>
        <w:t>) Ethernet e IP/MPLS. Sin embargo, la red de control NGN a modelar depende en gran medida de la arquitectura de la red de acceso. Estas opciones se encuentran resumidas a continuación:</w:t>
      </w:r>
    </w:p>
    <w:p w14:paraId="2597E7CC" w14:textId="77777777" w:rsidR="002816EE" w:rsidRPr="00EB3876" w:rsidRDefault="002816EE" w:rsidP="007E036D">
      <w:pPr>
        <w:pStyle w:val="Prrafodelista"/>
        <w:numPr>
          <w:ilvl w:val="0"/>
          <w:numId w:val="15"/>
        </w:numPr>
        <w:spacing w:after="240" w:line="320" w:lineRule="atLeast"/>
        <w:ind w:left="567" w:hanging="425"/>
        <w:jc w:val="both"/>
        <w:rPr>
          <w:rFonts w:ascii="ITC Avant Garde" w:eastAsia="Arial Unicode MS" w:hAnsi="ITC Avant Garde" w:cs="Arial"/>
          <w:vanish/>
          <w:color w:val="003A47"/>
          <w:sz w:val="22"/>
          <w:szCs w:val="22"/>
        </w:rPr>
      </w:pPr>
      <w:r w:rsidRPr="00EB3876">
        <w:rPr>
          <w:rFonts w:ascii="ITC Avant Garde" w:hAnsi="ITC Avant Garde" w:cs="Arial"/>
          <w:sz w:val="22"/>
          <w:szCs w:val="22"/>
        </w:rPr>
        <w:t xml:space="preserve">Una </w:t>
      </w:r>
      <w:r w:rsidRPr="00EB3876">
        <w:rPr>
          <w:rFonts w:ascii="ITC Avant Garde" w:hAnsi="ITC Avant Garde" w:cs="Arial"/>
          <w:b/>
          <w:sz w:val="22"/>
          <w:szCs w:val="22"/>
        </w:rPr>
        <w:t>red troncal de multiplexación por división de tiempo (TDM)</w:t>
      </w:r>
      <w:r w:rsidRPr="00EB3876">
        <w:rPr>
          <w:rFonts w:ascii="ITC Avant Garde" w:hAnsi="ITC Avant Garde" w:cs="Arial"/>
          <w:sz w:val="22"/>
          <w:szCs w:val="22"/>
        </w:rPr>
        <w:t>, donde las plataformas de voz y datos son transportadas y conmutadas por separado, pero se transmiten en la misma red de transmisión.</w:t>
      </w:r>
    </w:p>
    <w:p w14:paraId="4FA454A0" w14:textId="77777777" w:rsidR="002816EE" w:rsidRPr="00EB3876" w:rsidRDefault="002816EE" w:rsidP="007E036D">
      <w:pPr>
        <w:pStyle w:val="Prrafodelista"/>
        <w:numPr>
          <w:ilvl w:val="0"/>
          <w:numId w:val="15"/>
        </w:numPr>
        <w:spacing w:after="240" w:line="320" w:lineRule="atLeast"/>
        <w:ind w:left="567" w:hanging="425"/>
        <w:contextualSpacing w:val="0"/>
        <w:jc w:val="both"/>
        <w:rPr>
          <w:rFonts w:ascii="ITC Avant Garde" w:hAnsi="ITC Avant Garde" w:cs="Arial"/>
          <w:snapToGrid w:val="0"/>
          <w:sz w:val="22"/>
          <w:szCs w:val="22"/>
        </w:rPr>
      </w:pPr>
      <w:r w:rsidRPr="00EB3876">
        <w:rPr>
          <w:rFonts w:ascii="ITC Avant Garde" w:hAnsi="ITC Avant Garde" w:cs="Arial"/>
          <w:b/>
          <w:bCs/>
          <w:sz w:val="22"/>
          <w:szCs w:val="22"/>
        </w:rPr>
        <w:t>Pasarelas (</w:t>
      </w:r>
      <w:r w:rsidRPr="00EB3876">
        <w:rPr>
          <w:rFonts w:ascii="ITC Avant Garde" w:hAnsi="ITC Avant Garde" w:cs="Arial"/>
          <w:b/>
          <w:bCs/>
          <w:i/>
          <w:sz w:val="22"/>
          <w:szCs w:val="22"/>
        </w:rPr>
        <w:t>gateways</w:t>
      </w:r>
      <w:r w:rsidRPr="00EB3876">
        <w:rPr>
          <w:rFonts w:ascii="ITC Avant Garde" w:hAnsi="ITC Avant Garde" w:cs="Arial"/>
          <w:b/>
          <w:bCs/>
          <w:sz w:val="22"/>
          <w:szCs w:val="22"/>
        </w:rPr>
        <w:t>) de acceso</w:t>
      </w:r>
      <w:r w:rsidRPr="00EB3876">
        <w:rPr>
          <w:rStyle w:val="apple-converted-space"/>
          <w:rFonts w:ascii="ITC Avant Garde" w:hAnsi="ITC Avant Garde" w:cs="Arial"/>
          <w:color w:val="000000"/>
          <w:sz w:val="22"/>
          <w:szCs w:val="22"/>
        </w:rPr>
        <w:t xml:space="preserve"> </w:t>
      </w:r>
      <w:r w:rsidRPr="00EB3876">
        <w:rPr>
          <w:rFonts w:ascii="ITC Avant Garde" w:hAnsi="ITC Avant Garde" w:cs="Arial"/>
          <w:sz w:val="22"/>
          <w:szCs w:val="22"/>
        </w:rPr>
        <w:t>NGN (AGWs), que pueden coubicarse en los concentradores PSTN o conmutadores locales (LS) para adaptar los enlaces de backhaul TDM, conservando la separación entre voz y datos.</w:t>
      </w:r>
    </w:p>
    <w:p w14:paraId="6E4F5DF5" w14:textId="08A1CEF8" w:rsidR="002816EE" w:rsidRPr="00EB3876" w:rsidRDefault="002816EE" w:rsidP="007E036D">
      <w:pPr>
        <w:pStyle w:val="Prrafodelista"/>
        <w:numPr>
          <w:ilvl w:val="0"/>
          <w:numId w:val="15"/>
        </w:numPr>
        <w:spacing w:after="240" w:line="320" w:lineRule="atLeast"/>
        <w:ind w:left="567" w:hanging="425"/>
        <w:contextualSpacing w:val="0"/>
        <w:jc w:val="both"/>
        <w:rPr>
          <w:rFonts w:ascii="ITC Avant Garde" w:hAnsi="ITC Avant Garde" w:cs="Arial"/>
          <w:snapToGrid w:val="0"/>
          <w:sz w:val="22"/>
          <w:szCs w:val="22"/>
        </w:rPr>
      </w:pPr>
      <w:r w:rsidRPr="00EB3876">
        <w:rPr>
          <w:rFonts w:ascii="ITC Avant Garde" w:hAnsi="ITC Avant Garde" w:cs="Arial"/>
          <w:b/>
          <w:sz w:val="22"/>
          <w:szCs w:val="22"/>
        </w:rPr>
        <w:t xml:space="preserve">Portadoras de bucle digital </w:t>
      </w:r>
      <w:r w:rsidRPr="00EB3876">
        <w:rPr>
          <w:rFonts w:ascii="ITC Avant Garde" w:hAnsi="ITC Avant Garde" w:cs="Arial"/>
          <w:sz w:val="22"/>
          <w:szCs w:val="22"/>
        </w:rPr>
        <w:t>NGN (DLC, por sus siglas en inglés), que combinan la tradicional conexión cruzada TDM de los servicios tradicionales con un conmutador de banda ancha (</w:t>
      </w:r>
      <w:r w:rsidRPr="00EB3876">
        <w:rPr>
          <w:rFonts w:ascii="ITC Avant Garde" w:hAnsi="ITC Avant Garde" w:cs="Arial"/>
          <w:i/>
          <w:sz w:val="22"/>
          <w:szCs w:val="22"/>
        </w:rPr>
        <w:t>broadband switch</w:t>
      </w:r>
      <w:r w:rsidRPr="00EB3876">
        <w:rPr>
          <w:rFonts w:ascii="ITC Avant Garde" w:hAnsi="ITC Avant Garde" w:cs="Arial"/>
          <w:sz w:val="22"/>
          <w:szCs w:val="22"/>
        </w:rPr>
        <w:t>) con enlaces ascendentes de ATM e Ethernet (es decir, se pueden controlar la voz y los datos con esta unidad).</w:t>
      </w:r>
      <w:r w:rsidRPr="00EB3876">
        <w:rPr>
          <w:rStyle w:val="apple-converted-space"/>
          <w:rFonts w:ascii="ITC Avant Garde" w:hAnsi="ITC Avant Garde" w:cs="Arial"/>
          <w:color w:val="000000"/>
          <w:sz w:val="22"/>
          <w:szCs w:val="22"/>
        </w:rPr>
        <w:t xml:space="preserve"> </w:t>
      </w:r>
      <w:r w:rsidRPr="00EB3876">
        <w:rPr>
          <w:rFonts w:ascii="ITC Avant Garde" w:hAnsi="ITC Avant Garde" w:cs="Arial"/>
          <w:sz w:val="22"/>
          <w:szCs w:val="22"/>
        </w:rPr>
        <w:t xml:space="preserve">Estos incorporan </w:t>
      </w:r>
      <w:r w:rsidRPr="00EB3876">
        <w:rPr>
          <w:rFonts w:ascii="ITC Avant Garde" w:hAnsi="ITC Avant Garde" w:cs="Arial"/>
          <w:sz w:val="22"/>
          <w:szCs w:val="22"/>
        </w:rPr>
        <w:lastRenderedPageBreak/>
        <w:t xml:space="preserve">funciones de multicast IP para la entrega de vídeo y un servidor </w:t>
      </w:r>
      <w:r w:rsidRPr="00EB3876">
        <w:rPr>
          <w:rFonts w:ascii="ITC Avant Garde" w:hAnsi="ITC Avant Garde" w:cs="Arial"/>
          <w:i/>
          <w:sz w:val="22"/>
          <w:szCs w:val="22"/>
        </w:rPr>
        <w:t>gateway</w:t>
      </w:r>
      <w:r w:rsidRPr="00EB3876">
        <w:rPr>
          <w:rFonts w:ascii="ITC Avant Garde" w:hAnsi="ITC Avant Garde" w:cs="Arial"/>
          <w:sz w:val="22"/>
          <w:szCs w:val="22"/>
        </w:rPr>
        <w:t xml:space="preserve"> de VoIP para la emulación de PSTN en una red convergente.</w:t>
      </w:r>
      <w:r w:rsidRPr="00EB3876">
        <w:rPr>
          <w:rStyle w:val="apple-converted-space"/>
          <w:rFonts w:ascii="ITC Avant Garde" w:hAnsi="ITC Avant Garde" w:cs="Arial"/>
          <w:color w:val="000000"/>
          <w:sz w:val="22"/>
          <w:szCs w:val="22"/>
        </w:rPr>
        <w:t xml:space="preserve"> </w:t>
      </w:r>
      <w:r w:rsidRPr="00EB3876">
        <w:rPr>
          <w:rFonts w:ascii="ITC Avant Garde" w:hAnsi="ITC Avant Garde" w:cs="Arial"/>
          <w:sz w:val="22"/>
          <w:szCs w:val="22"/>
        </w:rPr>
        <w:t>Estos son también conocidos como nodos de acceso multiservicio (MSANs).</w:t>
      </w:r>
    </w:p>
    <w:p w14:paraId="75D4660E" w14:textId="77777777" w:rsidR="002816EE" w:rsidRPr="00EB3876" w:rsidRDefault="002816EE" w:rsidP="007E036D">
      <w:pPr>
        <w:pStyle w:val="Prrafodelista"/>
        <w:numPr>
          <w:ilvl w:val="0"/>
          <w:numId w:val="15"/>
        </w:numPr>
        <w:spacing w:after="240" w:line="320" w:lineRule="atLeast"/>
        <w:ind w:left="567" w:hanging="425"/>
        <w:contextualSpacing w:val="0"/>
        <w:jc w:val="both"/>
        <w:rPr>
          <w:rFonts w:ascii="ITC Avant Garde" w:hAnsi="ITC Avant Garde" w:cs="Arial"/>
          <w:snapToGrid w:val="0"/>
          <w:sz w:val="22"/>
          <w:szCs w:val="22"/>
        </w:rPr>
      </w:pPr>
      <w:r w:rsidRPr="00EB3876">
        <w:rPr>
          <w:rFonts w:ascii="ITC Avant Garde" w:hAnsi="ITC Avant Garde" w:cs="Arial"/>
          <w:b/>
          <w:sz w:val="22"/>
          <w:szCs w:val="22"/>
        </w:rPr>
        <w:t xml:space="preserve">Plataformas de acceso de banda ancha IP/Ethernet </w:t>
      </w:r>
      <w:r w:rsidRPr="00EB3876">
        <w:rPr>
          <w:rFonts w:ascii="ITC Avant Garde" w:hAnsi="ITC Avant Garde" w:cs="Arial"/>
          <w:sz w:val="22"/>
          <w:szCs w:val="22"/>
        </w:rPr>
        <w:t>NGN</w:t>
      </w:r>
      <w:r w:rsidRPr="00EB3876">
        <w:rPr>
          <w:rFonts w:ascii="ITC Avant Garde" w:hAnsi="ITC Avant Garde" w:cs="Arial"/>
          <w:b/>
          <w:bCs/>
          <w:sz w:val="22"/>
          <w:szCs w:val="22"/>
        </w:rPr>
        <w:t xml:space="preserve"> </w:t>
      </w:r>
      <w:r w:rsidRPr="00EB3876">
        <w:rPr>
          <w:rFonts w:ascii="ITC Avant Garde" w:hAnsi="ITC Avant Garde" w:cs="Arial"/>
          <w:sz w:val="22"/>
          <w:szCs w:val="22"/>
        </w:rPr>
        <w:t>(IP BAP), que agregan todas las variedades de líneas de servicio, incluyendo interfaces legadas, desde tarjetas de línea habilitadas para IP agregadas a una red troncal Gigabit Ethernet.</w:t>
      </w:r>
    </w:p>
    <w:p w14:paraId="705C1035" w14:textId="77777777" w:rsidR="002816EE" w:rsidRPr="00FD41B9" w:rsidRDefault="002816EE" w:rsidP="007E036D">
      <w:pPr>
        <w:jc w:val="both"/>
        <w:rPr>
          <w:rFonts w:ascii="ITC Avant Garde" w:hAnsi="ITC Avant Garde" w:cs="Arial"/>
          <w:spacing w:val="-4"/>
        </w:rPr>
      </w:pPr>
      <w:r w:rsidRPr="00FD41B9">
        <w:rPr>
          <w:rFonts w:ascii="ITC Avant Garde" w:hAnsi="ITC Avant Garde" w:cs="Arial"/>
          <w:spacing w:val="-4"/>
        </w:rPr>
        <w:t>Para evitar confusión sobre el concepto NGN, es importante diferenciar dos partes de la red:</w:t>
      </w:r>
    </w:p>
    <w:p w14:paraId="16E6BB77" w14:textId="77777777" w:rsidR="002816EE" w:rsidRPr="00EB3876" w:rsidRDefault="002816EE" w:rsidP="007E036D">
      <w:pPr>
        <w:pStyle w:val="Prrafodelista"/>
        <w:numPr>
          <w:ilvl w:val="0"/>
          <w:numId w:val="15"/>
        </w:numPr>
        <w:spacing w:after="240" w:line="320" w:lineRule="atLeast"/>
        <w:ind w:left="567" w:hanging="425"/>
        <w:jc w:val="both"/>
        <w:rPr>
          <w:rFonts w:ascii="ITC Avant Garde" w:hAnsi="ITC Avant Garde" w:cs="Arial"/>
          <w:sz w:val="22"/>
          <w:szCs w:val="22"/>
        </w:rPr>
      </w:pPr>
      <w:r w:rsidRPr="00EB3876">
        <w:rPr>
          <w:rFonts w:ascii="ITC Avant Garde" w:hAnsi="ITC Avant Garde" w:cs="Arial"/>
          <w:b/>
          <w:sz w:val="22"/>
          <w:szCs w:val="22"/>
        </w:rPr>
        <w:t>red troncal</w:t>
      </w:r>
      <w:r w:rsidRPr="00EB3876">
        <w:rPr>
          <w:rFonts w:ascii="ITC Avant Garde" w:hAnsi="ITC Avant Garde" w:cs="Arial"/>
          <w:sz w:val="22"/>
          <w:szCs w:val="22"/>
        </w:rPr>
        <w:t>, la cual es una red basada en IP y transmisión de paquetes</w:t>
      </w:r>
    </w:p>
    <w:p w14:paraId="2CB28199" w14:textId="77777777" w:rsidR="002816EE" w:rsidRPr="00EB3876" w:rsidRDefault="002816EE" w:rsidP="007E036D">
      <w:pPr>
        <w:pStyle w:val="Prrafodelista"/>
        <w:numPr>
          <w:ilvl w:val="0"/>
          <w:numId w:val="15"/>
        </w:numPr>
        <w:spacing w:after="240" w:line="320" w:lineRule="atLeast"/>
        <w:ind w:left="567" w:hanging="425"/>
        <w:jc w:val="both"/>
        <w:rPr>
          <w:rFonts w:ascii="ITC Avant Garde" w:hAnsi="ITC Avant Garde" w:cs="Arial"/>
          <w:sz w:val="22"/>
          <w:szCs w:val="22"/>
        </w:rPr>
      </w:pPr>
      <w:r w:rsidRPr="00EB3876">
        <w:rPr>
          <w:rFonts w:ascii="ITC Avant Garde" w:hAnsi="ITC Avant Garde" w:cs="Arial"/>
          <w:b/>
          <w:sz w:val="22"/>
          <w:szCs w:val="22"/>
        </w:rPr>
        <w:t>red de acceso</w:t>
      </w:r>
      <w:r w:rsidRPr="00EB3876">
        <w:rPr>
          <w:rFonts w:ascii="ITC Avant Garde" w:hAnsi="ITC Avant Garde" w:cs="Arial"/>
          <w:sz w:val="22"/>
          <w:szCs w:val="22"/>
        </w:rPr>
        <w:t>, la cual conecta los usuarios finales a la red troncal NGN por medio de infraestructura fija, móvil o inalámbrica.</w:t>
      </w:r>
    </w:p>
    <w:p w14:paraId="57229B5B" w14:textId="77777777" w:rsidR="002816EE" w:rsidRDefault="002816EE" w:rsidP="007E036D">
      <w:pPr>
        <w:tabs>
          <w:tab w:val="num" w:pos="477"/>
        </w:tabs>
        <w:jc w:val="both"/>
        <w:rPr>
          <w:rFonts w:ascii="ITC Avant Garde" w:hAnsi="ITC Avant Garde" w:cs="Arial"/>
        </w:rPr>
      </w:pPr>
      <w:r w:rsidRPr="00FD41B9">
        <w:rPr>
          <w:rFonts w:ascii="ITC Avant Garde" w:hAnsi="ITC Avant Garde" w:cs="Arial"/>
        </w:rPr>
        <w:t xml:space="preserve">La Figura 1 ilustra los dos componentes de una red NGN. La red troncal NGN puede dar servicio a multitud de infraestructuras de acceso, incluyendo redes fijas o inalámbricas como WiMAX. Esto significa que se pueden proveer los servicios independientemente de la manera en que el usuario accede a la red. </w:t>
      </w:r>
    </w:p>
    <w:p w14:paraId="26A82F32" w14:textId="511FE8EF" w:rsidR="006B1EB8" w:rsidRDefault="000F099D" w:rsidP="000F099D">
      <w:pPr>
        <w:tabs>
          <w:tab w:val="num" w:pos="477"/>
        </w:tabs>
        <w:jc w:val="center"/>
        <w:rPr>
          <w:rFonts w:ascii="ITC Avant Garde" w:hAnsi="ITC Avant Garde" w:cs="Arial"/>
          <w:i/>
          <w:sz w:val="18"/>
          <w:szCs w:val="18"/>
        </w:rPr>
      </w:pPr>
      <w:r w:rsidRPr="00FD41B9">
        <w:rPr>
          <w:rFonts w:ascii="ITC Avant Garde" w:hAnsi="ITC Avant Garde" w:cs="Arial"/>
          <w:noProof/>
          <w:lang w:eastAsia="es-MX"/>
        </w:rPr>
        <w:drawing>
          <wp:inline distT="0" distB="0" distL="0" distR="0" wp14:anchorId="641D6C9F" wp14:editId="0DAA2084">
            <wp:extent cx="4125595" cy="2780030"/>
            <wp:effectExtent l="0" t="0" r="8255" b="0"/>
            <wp:docPr id="9" name="Picture 30" descr="Ilustra los dos componentes de una red NGN." title="La Figur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5595" cy="2780030"/>
                    </a:xfrm>
                    <a:prstGeom prst="rect">
                      <a:avLst/>
                    </a:prstGeom>
                    <a:noFill/>
                    <a:ln>
                      <a:noFill/>
                    </a:ln>
                  </pic:spPr>
                </pic:pic>
              </a:graphicData>
            </a:graphic>
          </wp:inline>
        </w:drawing>
      </w:r>
    </w:p>
    <w:p w14:paraId="753E334B" w14:textId="075BB7DE" w:rsidR="002816EE" w:rsidRPr="00FD41B9" w:rsidRDefault="006B1EB8" w:rsidP="007E036D">
      <w:pPr>
        <w:tabs>
          <w:tab w:val="num" w:pos="477"/>
        </w:tabs>
        <w:jc w:val="both"/>
        <w:rPr>
          <w:rFonts w:ascii="ITC Avant Garde" w:hAnsi="ITC Avant Garde"/>
        </w:rPr>
      </w:pPr>
      <w:r w:rsidRPr="00FE1462">
        <w:rPr>
          <w:rFonts w:ascii="ITC Avant Garde" w:hAnsi="ITC Avant Garde" w:cs="Arial"/>
          <w:i/>
          <w:sz w:val="18"/>
          <w:szCs w:val="18"/>
        </w:rPr>
        <w:t>Figura 1: Diagrama ilustrativo de una NGN [Fuente: Analysys Mason]</w:t>
      </w:r>
    </w:p>
    <w:p w14:paraId="65A0857D" w14:textId="633EBD72" w:rsidR="000F099D" w:rsidRDefault="002816EE" w:rsidP="007E036D">
      <w:pPr>
        <w:tabs>
          <w:tab w:val="num" w:pos="477"/>
        </w:tabs>
        <w:jc w:val="both"/>
        <w:rPr>
          <w:rFonts w:ascii="ITC Avant Garde" w:hAnsi="ITC Avant Garde" w:cs="Arial"/>
        </w:rPr>
      </w:pPr>
      <w:r w:rsidRPr="00FD41B9">
        <w:rPr>
          <w:rFonts w:ascii="ITC Avant Garde" w:hAnsi="ITC Avant Garde" w:cs="Arial"/>
        </w:rPr>
        <w:t>La arquitectura de una NGN incluye el principio de separar, desde un punto de vista físico, el transporte y el enrutamiento de tráfico y la definición o creación del servicio. Como resultado, los operadores pueden ofrecer sus servicios basándose en interfaces con la red de transporte abiert</w:t>
      </w:r>
      <w:r w:rsidR="006B1EB8">
        <w:rPr>
          <w:rFonts w:ascii="ITC Avant Garde" w:hAnsi="ITC Avant Garde" w:cs="Arial"/>
        </w:rPr>
        <w:t>a</w:t>
      </w:r>
      <w:r w:rsidRPr="00FD41B9">
        <w:rPr>
          <w:rFonts w:ascii="ITC Avant Garde" w:hAnsi="ITC Avant Garde" w:cs="Arial"/>
        </w:rPr>
        <w:t>s y estandarizad</w:t>
      </w:r>
      <w:r w:rsidR="006B1EB8">
        <w:rPr>
          <w:rFonts w:ascii="ITC Avant Garde" w:hAnsi="ITC Avant Garde" w:cs="Arial"/>
        </w:rPr>
        <w:t>a</w:t>
      </w:r>
      <w:r w:rsidRPr="00FD41B9">
        <w:rPr>
          <w:rFonts w:ascii="ITC Avant Garde" w:hAnsi="ITC Avant Garde" w:cs="Arial"/>
        </w:rPr>
        <w:t xml:space="preserve">s. En referencia al modelo de referencia </w:t>
      </w:r>
      <w:r w:rsidRPr="00FD41B9">
        <w:rPr>
          <w:rFonts w:ascii="ITC Avant Garde" w:hAnsi="ITC Avant Garde" w:cs="Arial"/>
        </w:rPr>
        <w:lastRenderedPageBreak/>
        <w:t>OSI (</w:t>
      </w:r>
      <w:r w:rsidRPr="00FD41B9">
        <w:rPr>
          <w:rFonts w:ascii="ITC Avant Garde" w:hAnsi="ITC Avant Garde" w:cs="Arial"/>
          <w:i/>
        </w:rPr>
        <w:t>open systems interconnection</w:t>
      </w:r>
      <w:r w:rsidRPr="00FD41B9">
        <w:rPr>
          <w:rFonts w:ascii="ITC Avant Garde" w:hAnsi="ITC Avant Garde" w:cs="Arial"/>
        </w:rPr>
        <w:t xml:space="preserve">), todavía existe un debate sobre el punto de demarcación de las capas de transporte y de servicio. Por ejemplo, la ITU ha sugerido el mapeado incluido en la Figura 2 que se muestra a continuación: </w:t>
      </w:r>
    </w:p>
    <w:p w14:paraId="31981E06" w14:textId="77777777" w:rsidR="000F099D" w:rsidRDefault="000F099D" w:rsidP="000F099D">
      <w:pPr>
        <w:tabs>
          <w:tab w:val="num" w:pos="477"/>
        </w:tabs>
        <w:jc w:val="center"/>
        <w:rPr>
          <w:rFonts w:ascii="ITC Avant Garde" w:hAnsi="ITC Avant Garde" w:cs="Arial"/>
          <w:i/>
          <w:sz w:val="18"/>
          <w:szCs w:val="18"/>
        </w:rPr>
      </w:pPr>
      <w:r w:rsidRPr="00FD41B9">
        <w:rPr>
          <w:rFonts w:ascii="ITC Avant Garde" w:hAnsi="ITC Avant Garde"/>
          <w:noProof/>
          <w:lang w:eastAsia="es-MX"/>
        </w:rPr>
        <w:drawing>
          <wp:inline distT="0" distB="0" distL="0" distR="0" wp14:anchorId="78CFFB80" wp14:editId="46C25E07">
            <wp:extent cx="2838450" cy="2479675"/>
            <wp:effectExtent l="0" t="0" r="0" b="0"/>
            <wp:docPr id="2" name="Picture 31" descr="Mapeado entre las capas de servicio y transporte de una NGN y el modelo de referencia OSI, Fuente: ITU" title="Figura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8450" cy="2479675"/>
                    </a:xfrm>
                    <a:prstGeom prst="rect">
                      <a:avLst/>
                    </a:prstGeom>
                    <a:noFill/>
                    <a:ln>
                      <a:noFill/>
                    </a:ln>
                  </pic:spPr>
                </pic:pic>
              </a:graphicData>
            </a:graphic>
          </wp:inline>
        </w:drawing>
      </w:r>
    </w:p>
    <w:p w14:paraId="584535AD" w14:textId="33C49217" w:rsidR="002816EE" w:rsidRPr="006B1EB8" w:rsidRDefault="006B1EB8" w:rsidP="007E036D">
      <w:pPr>
        <w:tabs>
          <w:tab w:val="num" w:pos="477"/>
        </w:tabs>
        <w:jc w:val="both"/>
        <w:rPr>
          <w:rFonts w:ascii="ITC Avant Garde" w:hAnsi="ITC Avant Garde" w:cs="Arial"/>
          <w:i/>
          <w:sz w:val="18"/>
          <w:szCs w:val="18"/>
        </w:rPr>
      </w:pPr>
      <w:r w:rsidRPr="006B1EB8">
        <w:rPr>
          <w:rFonts w:ascii="ITC Avant Garde" w:hAnsi="ITC Avant Garde" w:cs="Arial"/>
          <w:i/>
          <w:sz w:val="18"/>
          <w:szCs w:val="18"/>
        </w:rPr>
        <w:t>Figura 2: Mapeado entre las capas de servicio y transporte de una NGN y el modelo de referencia OSI [Fuente: ITU, NGNuk]</w:t>
      </w:r>
    </w:p>
    <w:p w14:paraId="72290583" w14:textId="77777777" w:rsidR="002816EE" w:rsidRPr="00FD41B9" w:rsidRDefault="002816EE" w:rsidP="007E036D">
      <w:pPr>
        <w:tabs>
          <w:tab w:val="num" w:pos="477"/>
        </w:tabs>
        <w:jc w:val="both"/>
        <w:rPr>
          <w:rFonts w:ascii="ITC Avant Garde" w:hAnsi="ITC Avant Garde" w:cs="Arial"/>
          <w:b/>
        </w:rPr>
      </w:pPr>
      <w:r w:rsidRPr="00FD41B9">
        <w:rPr>
          <w:rFonts w:ascii="ITC Avant Garde" w:hAnsi="ITC Avant Garde" w:cs="Arial"/>
          <w:b/>
        </w:rPr>
        <w:t>Red troncal NGN</w:t>
      </w:r>
    </w:p>
    <w:p w14:paraId="2AC5605D" w14:textId="77777777" w:rsidR="002816EE" w:rsidRPr="00FD41B9" w:rsidRDefault="002816EE" w:rsidP="007E036D">
      <w:pPr>
        <w:jc w:val="both"/>
        <w:rPr>
          <w:rFonts w:ascii="ITC Avant Garde" w:hAnsi="ITC Avant Garde" w:cs="Arial"/>
        </w:rPr>
      </w:pPr>
      <w:r w:rsidRPr="00FD41B9">
        <w:rPr>
          <w:rFonts w:ascii="ITC Avant Garde" w:hAnsi="ITC Avant Garde" w:cs="Arial"/>
        </w:rPr>
        <w:t>Las redes históricas PSTN se basan en tecnología de conmutación de circuitos, la cual asigna un camino físico dedicado a cada llamada de voz y reserva una cantidad asociada de ancho de banda dedicado (habitualmente un canal de voz PSTN tiene un ancho de banda de 64kbit/s) en toda la red. Este ancho de banda es dedicado para la llamada durante la duración de la misma independientemente de si se está transmitiendo señal de audio entre los participantes.</w:t>
      </w:r>
    </w:p>
    <w:p w14:paraId="710E874E" w14:textId="77777777" w:rsidR="002816EE" w:rsidRDefault="002816EE" w:rsidP="007E036D">
      <w:pPr>
        <w:jc w:val="both"/>
        <w:rPr>
          <w:rFonts w:ascii="ITC Avant Garde" w:hAnsi="ITC Avant Garde" w:cs="Arial"/>
        </w:rPr>
      </w:pPr>
      <w:r w:rsidRPr="00FD41B9">
        <w:rPr>
          <w:rFonts w:ascii="ITC Avant Garde" w:hAnsi="ITC Avant Garde" w:cs="Arial"/>
        </w:rPr>
        <w:t xml:space="preserve">Por contraste, las NGN se basan en tecnologías de conmutación de paquetes, gracias a las cuales la voz se envía en ‘paquetes’ de datos digitalizados utilizando VoIP. Sin especificidades de red especiales, como por ejemplo mecanismos de calidad de servicio (QoS), cada paquete de voz compite en igualdad de condiciones con los paquetes de otros servicios (voz u otros tipos de datos en una NGN) por los recursos de red disponibles, como por ejemplo el ancho de banda. Los mecanismos de QoS pueden priorizar los paquetes que llevan voz sobre otros tipos de paquetes de datos, ayudando </w:t>
      </w:r>
      <w:r w:rsidRPr="00FD41B9">
        <w:rPr>
          <w:rFonts w:ascii="ITC Avant Garde" w:hAnsi="ITC Avant Garde" w:cs="Arial"/>
        </w:rPr>
        <w:lastRenderedPageBreak/>
        <w:t>a asegurar que los paquetes de voz circulan por la red sin problemas y según reglas de transmisión (tiempo, retardo, jitter, etc.) asociadas al servicio de voz.</w:t>
      </w:r>
      <w:r w:rsidRPr="00FD41B9">
        <w:rPr>
          <w:rStyle w:val="Refdenotaalpie"/>
          <w:rFonts w:ascii="ITC Avant Garde" w:hAnsi="ITC Avant Garde" w:cs="Arial"/>
        </w:rPr>
        <w:footnoteReference w:id="6"/>
      </w:r>
    </w:p>
    <w:p w14:paraId="4C342720" w14:textId="77777777" w:rsidR="006B1EB8" w:rsidRPr="00FD41B9" w:rsidRDefault="006B1EB8" w:rsidP="007E036D">
      <w:pPr>
        <w:jc w:val="both"/>
        <w:rPr>
          <w:rFonts w:ascii="ITC Avant Garde" w:hAnsi="ITC Avant Garde" w:cs="Arial"/>
        </w:rPr>
      </w:pPr>
    </w:p>
    <w:p w14:paraId="68540EDB" w14:textId="72C4A5F7" w:rsidR="002816EE" w:rsidRPr="006B1EB8" w:rsidRDefault="002816EE" w:rsidP="006B1EB8">
      <w:pPr>
        <w:jc w:val="center"/>
        <w:rPr>
          <w:rFonts w:ascii="ITC Avant Garde" w:hAnsi="ITC Avant Garde"/>
        </w:rPr>
      </w:pPr>
      <w:r w:rsidRPr="00FD41B9">
        <w:rPr>
          <w:rFonts w:ascii="ITC Avant Garde" w:hAnsi="ITC Avant Garde"/>
          <w:noProof/>
          <w:lang w:eastAsia="es-MX"/>
        </w:rPr>
        <w:drawing>
          <wp:inline distT="0" distB="0" distL="0" distR="0" wp14:anchorId="194F6DDB" wp14:editId="57941E2D">
            <wp:extent cx="5508625" cy="3430905"/>
            <wp:effectExtent l="0" t="0" r="0" b="0"/>
            <wp:docPr id="3" name="Picture 32" descr="Comparación entre redes de conmutación de circuitos y de conmutación de paquetes, Fuente: Analysys Mason, 2016" title="Figura 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8625" cy="3430905"/>
                    </a:xfrm>
                    <a:prstGeom prst="rect">
                      <a:avLst/>
                    </a:prstGeom>
                    <a:noFill/>
                    <a:ln>
                      <a:noFill/>
                    </a:ln>
                  </pic:spPr>
                </pic:pic>
              </a:graphicData>
            </a:graphic>
          </wp:inline>
        </w:drawing>
      </w:r>
    </w:p>
    <w:p w14:paraId="1983A946" w14:textId="384AE6A9" w:rsidR="000F099D" w:rsidRPr="000F099D" w:rsidRDefault="000F099D" w:rsidP="000F099D">
      <w:pPr>
        <w:tabs>
          <w:tab w:val="num" w:pos="477"/>
        </w:tabs>
        <w:jc w:val="both"/>
        <w:rPr>
          <w:rFonts w:ascii="ITC Avant Garde" w:hAnsi="ITC Avant Garde" w:cs="Arial"/>
          <w:i/>
          <w:sz w:val="18"/>
          <w:szCs w:val="18"/>
        </w:rPr>
      </w:pPr>
      <w:bookmarkStart w:id="7" w:name="_Ref321212230"/>
      <w:r w:rsidRPr="006B1EB8">
        <w:rPr>
          <w:rFonts w:ascii="ITC Avant Garde" w:hAnsi="ITC Avant Garde" w:cs="Arial"/>
          <w:i/>
          <w:sz w:val="18"/>
          <w:szCs w:val="18"/>
        </w:rPr>
        <w:t xml:space="preserve">Figura </w:t>
      </w:r>
      <w:bookmarkEnd w:id="7"/>
      <w:r w:rsidRPr="006B1EB8">
        <w:rPr>
          <w:rFonts w:ascii="ITC Avant Garde" w:hAnsi="ITC Avant Garde" w:cs="Arial"/>
          <w:i/>
          <w:sz w:val="18"/>
          <w:szCs w:val="18"/>
        </w:rPr>
        <w:t>3: Comparación entre redes de conmutación de circuitos y de conmutación de paquetes [Fuente: Analysys Mason, 2016]</w:t>
      </w:r>
    </w:p>
    <w:p w14:paraId="7BCADB52" w14:textId="4A836EEC" w:rsidR="002816EE" w:rsidRPr="00FD41B9" w:rsidRDefault="006B1EB8" w:rsidP="007E036D">
      <w:pPr>
        <w:spacing w:line="300" w:lineRule="atLeast"/>
        <w:jc w:val="both"/>
        <w:rPr>
          <w:rFonts w:ascii="ITC Avant Garde" w:hAnsi="ITC Avant Garde" w:cs="Arial"/>
        </w:rPr>
      </w:pPr>
      <w:r>
        <w:rPr>
          <w:rFonts w:ascii="ITC Avant Garde" w:hAnsi="ITC Avant Garde" w:cs="Arial"/>
        </w:rPr>
        <w:t>La Figura 4</w:t>
      </w:r>
      <w:r w:rsidR="002816EE" w:rsidRPr="00FD41B9">
        <w:rPr>
          <w:rFonts w:ascii="ITC Avant Garde" w:hAnsi="ITC Avant Garde" w:cs="Arial"/>
        </w:rPr>
        <w:t xml:space="preserve"> compara la arquitectura de una red PSTN y una red NGN. Se pueden ver los dos conceptos que rigen una red NGN:</w:t>
      </w:r>
    </w:p>
    <w:p w14:paraId="304CCAFB" w14:textId="77777777" w:rsidR="002816EE" w:rsidRPr="00FD41B9" w:rsidRDefault="002816EE" w:rsidP="007E036D">
      <w:pPr>
        <w:pStyle w:val="Listaconvietas"/>
        <w:tabs>
          <w:tab w:val="clear" w:pos="643"/>
          <w:tab w:val="num" w:pos="360"/>
        </w:tabs>
        <w:rPr>
          <w:rFonts w:ascii="ITC Avant Garde" w:hAnsi="ITC Avant Garde" w:cs="Arial"/>
        </w:rPr>
      </w:pPr>
      <w:r w:rsidRPr="00FD41B9">
        <w:rPr>
          <w:rFonts w:ascii="ITC Avant Garde" w:hAnsi="ITC Avant Garde" w:cs="Arial"/>
          <w:i/>
        </w:rPr>
        <w:t xml:space="preserve">La separación entre el plano de control y de usuario – </w:t>
      </w:r>
      <w:r w:rsidRPr="00FD41B9">
        <w:rPr>
          <w:rFonts w:ascii="ITC Avant Garde" w:hAnsi="ITC Avant Garde" w:cs="Arial"/>
        </w:rPr>
        <w:t>En una red PSTN los conmutadores (</w:t>
      </w:r>
      <w:r w:rsidRPr="00FD41B9">
        <w:rPr>
          <w:rFonts w:ascii="ITC Avant Garde" w:hAnsi="ITC Avant Garde" w:cs="Arial"/>
          <w:i/>
        </w:rPr>
        <w:t>switches</w:t>
      </w:r>
      <w:r w:rsidRPr="00FD41B9">
        <w:rPr>
          <w:rFonts w:ascii="ITC Avant Garde" w:hAnsi="ITC Avant Garde" w:cs="Arial"/>
        </w:rPr>
        <w:t xml:space="preserve">) realizan la conmutación de las llamadas de voz y gestionan la señalización. Sin embargo, en una red NGN, son los </w:t>
      </w:r>
      <w:r w:rsidRPr="00FD41B9">
        <w:rPr>
          <w:rFonts w:ascii="ITC Avant Garde" w:hAnsi="ITC Avant Garde" w:cs="Arial"/>
          <w:i/>
        </w:rPr>
        <w:t>call servers</w:t>
      </w:r>
      <w:r w:rsidRPr="00FD41B9">
        <w:rPr>
          <w:rFonts w:ascii="ITC Avant Garde" w:hAnsi="ITC Avant Garde" w:cs="Arial"/>
        </w:rPr>
        <w:t xml:space="preserve"> los que gestionan la señalización, mientras que los </w:t>
      </w:r>
      <w:r w:rsidRPr="00FD41B9">
        <w:rPr>
          <w:rFonts w:ascii="ITC Avant Garde" w:hAnsi="ITC Avant Garde" w:cs="Arial"/>
          <w:i/>
        </w:rPr>
        <w:t>routers</w:t>
      </w:r>
      <w:r w:rsidRPr="00FD41B9">
        <w:rPr>
          <w:rFonts w:ascii="ITC Avant Garde" w:hAnsi="ITC Avant Garde" w:cs="Arial"/>
        </w:rPr>
        <w:t xml:space="preserve"> (o media gateways especializados) enrutan y gestionan el tráfico de paquetes de voz. Adicionalmente, y como se puede comprobar en la Figura 4, las capas separadas de las red de </w:t>
      </w:r>
      <w:r w:rsidRPr="00FD41B9">
        <w:rPr>
          <w:rFonts w:ascii="ITC Avant Garde" w:hAnsi="ITC Avant Garde" w:cs="Arial"/>
          <w:i/>
        </w:rPr>
        <w:t>switches</w:t>
      </w:r>
      <w:r w:rsidRPr="00FD41B9">
        <w:rPr>
          <w:rFonts w:ascii="ITC Avant Garde" w:hAnsi="ITC Avant Garde" w:cs="Arial"/>
        </w:rPr>
        <w:t xml:space="preserve"> locales y de tránsito se remplazan por </w:t>
      </w:r>
      <w:r w:rsidRPr="00FD41B9">
        <w:rPr>
          <w:rFonts w:ascii="ITC Avant Garde" w:hAnsi="ITC Avant Garde" w:cs="Arial"/>
          <w:i/>
        </w:rPr>
        <w:t>call servers</w:t>
      </w:r>
      <w:r w:rsidRPr="00FD41B9">
        <w:rPr>
          <w:rFonts w:ascii="ITC Avant Garde" w:hAnsi="ITC Avant Garde" w:cs="Arial"/>
        </w:rPr>
        <w:t xml:space="preserve"> en una estructura de una sola capa. Típicamente, una red PSTN se compone de 100 </w:t>
      </w:r>
      <w:r w:rsidRPr="00FD41B9">
        <w:rPr>
          <w:rFonts w:ascii="ITC Avant Garde" w:hAnsi="ITC Avant Garde" w:cs="Arial"/>
          <w:i/>
        </w:rPr>
        <w:t>switches</w:t>
      </w:r>
      <w:r w:rsidRPr="00FD41B9">
        <w:rPr>
          <w:rFonts w:ascii="ITC Avant Garde" w:hAnsi="ITC Avant Garde" w:cs="Arial"/>
        </w:rPr>
        <w:t xml:space="preserve"> locales y 10 </w:t>
      </w:r>
      <w:r w:rsidRPr="00FD41B9">
        <w:rPr>
          <w:rFonts w:ascii="ITC Avant Garde" w:hAnsi="ITC Avant Garde" w:cs="Arial"/>
          <w:i/>
        </w:rPr>
        <w:t>switches</w:t>
      </w:r>
      <w:r w:rsidRPr="00FD41B9">
        <w:rPr>
          <w:rFonts w:ascii="ITC Avant Garde" w:hAnsi="ITC Avant Garde" w:cs="Arial"/>
        </w:rPr>
        <w:t xml:space="preserve"> de </w:t>
      </w:r>
      <w:r w:rsidRPr="00FD41B9">
        <w:rPr>
          <w:rFonts w:ascii="ITC Avant Garde" w:hAnsi="ITC Avant Garde" w:cs="Arial"/>
        </w:rPr>
        <w:lastRenderedPageBreak/>
        <w:t xml:space="preserve">tránsito. Estos </w:t>
      </w:r>
      <w:r w:rsidRPr="00FD41B9">
        <w:rPr>
          <w:rFonts w:ascii="ITC Avant Garde" w:hAnsi="ITC Avant Garde" w:cs="Arial"/>
          <w:i/>
        </w:rPr>
        <w:t>switches</w:t>
      </w:r>
      <w:r w:rsidRPr="00FD41B9">
        <w:rPr>
          <w:rFonts w:ascii="ITC Avant Garde" w:hAnsi="ITC Avant Garde" w:cs="Arial"/>
        </w:rPr>
        <w:t xml:space="preserve"> podrían ser remplazados por un menor número de </w:t>
      </w:r>
      <w:r w:rsidRPr="00FD41B9">
        <w:rPr>
          <w:rFonts w:ascii="ITC Avant Garde" w:hAnsi="ITC Avant Garde" w:cs="Arial"/>
          <w:i/>
        </w:rPr>
        <w:t>call servers</w:t>
      </w:r>
      <w:r w:rsidRPr="00FD41B9">
        <w:rPr>
          <w:rFonts w:ascii="ITC Avant Garde" w:hAnsi="ITC Avant Garde" w:cs="Arial"/>
        </w:rPr>
        <w:t xml:space="preserve"> (menos de 5) en una red NGN.</w:t>
      </w:r>
    </w:p>
    <w:p w14:paraId="0D13D222" w14:textId="77777777" w:rsidR="002816EE" w:rsidRPr="00FD41B9" w:rsidRDefault="002816EE" w:rsidP="007E036D">
      <w:pPr>
        <w:pStyle w:val="I1"/>
        <w:tabs>
          <w:tab w:val="clear" w:pos="643"/>
        </w:tabs>
        <w:ind w:left="360" w:hanging="360"/>
        <w:rPr>
          <w:rFonts w:ascii="ITC Avant Garde" w:hAnsi="ITC Avant Garde" w:cs="Arial"/>
        </w:rPr>
      </w:pPr>
      <w:r w:rsidRPr="00FD41B9">
        <w:rPr>
          <w:rFonts w:ascii="ITC Avant Garde" w:hAnsi="ITC Avant Garde" w:cs="Arial"/>
          <w:i/>
        </w:rPr>
        <w:t>La realización de la transmisión de paquetes de voz a través de una capa de routers común al resto de servicios transmitidos por la red NGN.</w:t>
      </w:r>
      <w:r w:rsidRPr="00FD41B9">
        <w:rPr>
          <w:rFonts w:ascii="ITC Avant Garde" w:hAnsi="ITC Avant Garde" w:cs="Arial"/>
        </w:rPr>
        <w:t xml:space="preserve"> Estos </w:t>
      </w:r>
      <w:r w:rsidRPr="00FD41B9">
        <w:rPr>
          <w:rFonts w:ascii="ITC Avant Garde" w:hAnsi="ITC Avant Garde" w:cs="Arial"/>
          <w:i/>
        </w:rPr>
        <w:t>routers</w:t>
      </w:r>
      <w:r w:rsidRPr="00FD41B9">
        <w:rPr>
          <w:rFonts w:ascii="ITC Avant Garde" w:hAnsi="ITC Avant Garde" w:cs="Arial"/>
        </w:rPr>
        <w:t xml:space="preserve"> gestionan la transmisión de los paquetes IP y pueden utilizar, en las capas de transporte y física, tecnologías como Ethernet y SDH (tanto tradicional como de próxima generación) sobre fibra (utilizando tecnologías WDM), dependiendo de la relación coste/beneficio y de la escala de la red.</w:t>
      </w:r>
    </w:p>
    <w:p w14:paraId="4C7118C0" w14:textId="77777777" w:rsidR="002816EE" w:rsidRPr="00FD41B9" w:rsidRDefault="002816EE" w:rsidP="007E036D">
      <w:pPr>
        <w:jc w:val="both"/>
        <w:rPr>
          <w:rFonts w:ascii="ITC Avant Garde" w:hAnsi="ITC Avant Garde" w:cs="Arial"/>
        </w:rPr>
      </w:pPr>
      <w:r w:rsidRPr="00FD41B9">
        <w:rPr>
          <w:rFonts w:ascii="ITC Avant Garde" w:hAnsi="ITC Avant Garde" w:cs="Arial"/>
        </w:rPr>
        <w:t>La aplicación de ambos principios implica importantes ahorros en inversiones y gastos operativos.</w:t>
      </w:r>
    </w:p>
    <w:p w14:paraId="11A25611" w14:textId="77777777" w:rsidR="002816EE" w:rsidRPr="00FD41B9" w:rsidRDefault="002816EE" w:rsidP="007E036D">
      <w:pPr>
        <w:pStyle w:val="Border"/>
        <w:jc w:val="both"/>
        <w:rPr>
          <w:rFonts w:ascii="ITC Avant Garde" w:hAnsi="ITC Avant Garde"/>
          <w:lang w:val="es-ES"/>
        </w:rPr>
      </w:pPr>
      <w:r w:rsidRPr="00FD41B9">
        <w:rPr>
          <w:rFonts w:ascii="ITC Avant Garde" w:hAnsi="ITC Avant Garde"/>
          <w:noProof/>
          <w:lang w:val="es-MX" w:eastAsia="es-MX"/>
        </w:rPr>
        <w:drawing>
          <wp:inline distT="0" distB="0" distL="0" distR="0" wp14:anchorId="15166F52" wp14:editId="1DB61B0B">
            <wp:extent cx="5508625" cy="2772410"/>
            <wp:effectExtent l="0" t="0" r="0" b="8890"/>
            <wp:docPr id="4" name="Picture 33" descr="Comparación de la red PSTN tradicional y los servicios de voz sobre una NGN, Fuente: Analysys Mason, 2012" title="Figura cua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08625" cy="2772410"/>
                    </a:xfrm>
                    <a:prstGeom prst="rect">
                      <a:avLst/>
                    </a:prstGeom>
                    <a:noFill/>
                    <a:ln>
                      <a:noFill/>
                    </a:ln>
                  </pic:spPr>
                </pic:pic>
              </a:graphicData>
            </a:graphic>
          </wp:inline>
        </w:drawing>
      </w:r>
    </w:p>
    <w:p w14:paraId="40D64B48" w14:textId="77777777" w:rsidR="006B1EB8" w:rsidRDefault="006B1EB8" w:rsidP="007E036D">
      <w:pPr>
        <w:jc w:val="both"/>
        <w:rPr>
          <w:rFonts w:ascii="ITC Avant Garde" w:hAnsi="ITC Avant Garde" w:cs="Arial"/>
          <w:bCs/>
          <w:i/>
          <w:sz w:val="18"/>
          <w:szCs w:val="18"/>
          <w:lang w:val="es-ES"/>
        </w:rPr>
      </w:pPr>
    </w:p>
    <w:p w14:paraId="541A0999" w14:textId="77777777" w:rsidR="000F099D" w:rsidRPr="006B1EB8" w:rsidRDefault="000F099D" w:rsidP="000F099D">
      <w:pPr>
        <w:tabs>
          <w:tab w:val="num" w:pos="477"/>
        </w:tabs>
        <w:jc w:val="both"/>
        <w:rPr>
          <w:rFonts w:ascii="ITC Avant Garde" w:hAnsi="ITC Avant Garde" w:cs="Arial"/>
          <w:i/>
          <w:sz w:val="18"/>
          <w:szCs w:val="18"/>
        </w:rPr>
      </w:pPr>
      <w:bookmarkStart w:id="8" w:name="_Ref321212236"/>
      <w:r w:rsidRPr="006B1EB8">
        <w:rPr>
          <w:rFonts w:ascii="ITC Avant Garde" w:hAnsi="ITC Avant Garde" w:cs="Arial"/>
          <w:i/>
          <w:sz w:val="18"/>
          <w:szCs w:val="18"/>
        </w:rPr>
        <w:t xml:space="preserve">Figura </w:t>
      </w:r>
      <w:bookmarkEnd w:id="8"/>
      <w:r w:rsidRPr="006B1EB8">
        <w:rPr>
          <w:rFonts w:ascii="ITC Avant Garde" w:hAnsi="ITC Avant Garde" w:cs="Arial"/>
          <w:i/>
          <w:sz w:val="18"/>
          <w:szCs w:val="18"/>
        </w:rPr>
        <w:t>4: Comparación de la red PSTN tradicional y los servicios de voz sobre una NGN [Fuente: Analysys Mason, 2012]</w:t>
      </w:r>
    </w:p>
    <w:p w14:paraId="0F703C2C" w14:textId="77777777" w:rsidR="002816EE" w:rsidRPr="007455DB" w:rsidRDefault="002816EE" w:rsidP="007E036D">
      <w:pPr>
        <w:jc w:val="both"/>
        <w:rPr>
          <w:rFonts w:ascii="ITC Avant Garde" w:hAnsi="ITC Avant Garde" w:cs="Arial"/>
        </w:rPr>
      </w:pPr>
      <w:r w:rsidRPr="007455DB">
        <w:rPr>
          <w:rFonts w:ascii="ITC Avant Garde" w:hAnsi="ITC Avant Garde" w:cs="Arial"/>
        </w:rPr>
        <w:t>La interconexión con las redes de otros operadores en una red NGN se implementa a través de pasarelas frontera (</w:t>
      </w:r>
      <w:r w:rsidRPr="007455DB">
        <w:rPr>
          <w:rFonts w:ascii="ITC Avant Garde" w:hAnsi="ITC Avant Garde" w:cs="Arial"/>
          <w:i/>
        </w:rPr>
        <w:t>border gateways</w:t>
      </w:r>
      <w:r w:rsidRPr="007455DB">
        <w:rPr>
          <w:rFonts w:ascii="ITC Avant Garde" w:hAnsi="ITC Avant Garde" w:cs="Arial"/>
        </w:rPr>
        <w:t xml:space="preserve">) que controlan el acceso a la red. Si la red se interconecta con una red tradicional de circuitos conmutados, se necesitan </w:t>
      </w:r>
      <w:r w:rsidRPr="007455DB">
        <w:rPr>
          <w:rFonts w:ascii="ITC Avant Garde" w:hAnsi="ITC Avant Garde" w:cs="Arial"/>
          <w:i/>
        </w:rPr>
        <w:t>media gateways</w:t>
      </w:r>
      <w:r w:rsidRPr="007455DB">
        <w:rPr>
          <w:rFonts w:ascii="ITC Avant Garde" w:hAnsi="ITC Avant Garde" w:cs="Arial"/>
        </w:rPr>
        <w:t xml:space="preserve"> o </w:t>
      </w:r>
      <w:r w:rsidRPr="007455DB">
        <w:rPr>
          <w:rFonts w:ascii="ITC Avant Garde" w:hAnsi="ITC Avant Garde" w:cs="Arial"/>
          <w:i/>
        </w:rPr>
        <w:t>trunking gateways</w:t>
      </w:r>
      <w:r w:rsidRPr="007455DB">
        <w:rPr>
          <w:rFonts w:ascii="ITC Avant Garde" w:hAnsi="ITC Avant Garde" w:cs="Arial"/>
        </w:rPr>
        <w:t xml:space="preserve"> que conviertan los paquetes de voz en señales TDM.</w:t>
      </w:r>
    </w:p>
    <w:p w14:paraId="5FC10B9F" w14:textId="08D58EB9" w:rsidR="002816EE" w:rsidRPr="00177A2B" w:rsidRDefault="002816EE" w:rsidP="007E036D">
      <w:pPr>
        <w:jc w:val="both"/>
        <w:rPr>
          <w:rFonts w:ascii="ITC Avant Garde" w:hAnsi="ITC Avant Garde" w:cs="Arial"/>
        </w:rPr>
      </w:pPr>
      <w:r w:rsidRPr="007455DB">
        <w:rPr>
          <w:rFonts w:ascii="ITC Avant Garde" w:hAnsi="ITC Avant Garde" w:cs="Arial"/>
        </w:rPr>
        <w:lastRenderedPageBreak/>
        <w:t>Telmex en 2003</w:t>
      </w:r>
      <w:r w:rsidRPr="007455DB">
        <w:rPr>
          <w:rFonts w:ascii="ITC Avant Garde" w:hAnsi="ITC Avant Garde" w:cs="Arial"/>
          <w:vertAlign w:val="superscript"/>
        </w:rPr>
        <w:footnoteReference w:id="7"/>
      </w:r>
      <w:r w:rsidRPr="007455DB">
        <w:rPr>
          <w:rFonts w:ascii="ITC Avant Garde" w:hAnsi="ITC Avant Garde" w:cs="Arial"/>
        </w:rPr>
        <w:t xml:space="preserve"> comenzó el despliegue de una red NGN, lo cual se ha visto confirmado en los informes anuales de Telmex remitidos a la Bolsa Mexicana de Valores; cabe señalar que una parte de su red troncal estaría ya basada en una red NGN </w:t>
      </w:r>
      <w:r w:rsidR="007D3700">
        <w:rPr>
          <w:rFonts w:ascii="ITC Avant Garde" w:hAnsi="ITC Avant Garde" w:cs="Arial"/>
        </w:rPr>
        <w:t xml:space="preserve">completamente </w:t>
      </w:r>
      <w:r w:rsidRPr="007455DB">
        <w:rPr>
          <w:rFonts w:ascii="ITC Avant Garde" w:hAnsi="ITC Avant Garde" w:cs="Arial"/>
        </w:rPr>
        <w:t xml:space="preserve">IP. Telmex estaría compartiendo la tendencia internacional de operadores comparables como British Telecom (Reino Unido), Telefónica (España), KPN (Holanda), Belgacom (Bélgica), etc., quienes ya disponen en sus redes troncales de manera sustancial de una arquitectura NGN </w:t>
      </w:r>
      <w:r w:rsidR="007D3700">
        <w:rPr>
          <w:rFonts w:ascii="ITC Avant Garde" w:hAnsi="ITC Avant Garde" w:cs="Arial"/>
        </w:rPr>
        <w:t xml:space="preserve">completamente </w:t>
      </w:r>
      <w:r w:rsidRPr="007455DB">
        <w:rPr>
          <w:rFonts w:ascii="ITC Avant Garde" w:hAnsi="ITC Avant Garde" w:cs="Arial"/>
        </w:rPr>
        <w:t>IP. Es cierto que la mayor parte de estos operadores todavía</w:t>
      </w:r>
      <w:r w:rsidRPr="00177A2B">
        <w:rPr>
          <w:rFonts w:ascii="ITC Avant Garde" w:hAnsi="ITC Avant Garde" w:cs="Arial"/>
        </w:rPr>
        <w:t xml:space="preserve"> mantienen en paralelo una red de transmisión histórica (</w:t>
      </w:r>
      <w:r w:rsidRPr="00177A2B">
        <w:rPr>
          <w:rFonts w:ascii="ITC Avant Garde" w:hAnsi="ITC Avant Garde" w:cs="Arial"/>
          <w:i/>
        </w:rPr>
        <w:t>legacy</w:t>
      </w:r>
      <w:r w:rsidRPr="00177A2B">
        <w:rPr>
          <w:rFonts w:ascii="ITC Avant Garde" w:hAnsi="ITC Avant Garde" w:cs="Arial"/>
        </w:rPr>
        <w:t xml:space="preserve">) para la provisión de servicios existentes como enlaces dedicados, etc., y es posible que aún tarden unos años en apagar completamente la red histórica. Sin embargo, los operadores alternativos a los </w:t>
      </w:r>
      <w:r w:rsidR="007D3700">
        <w:rPr>
          <w:rFonts w:ascii="ITC Avant Garde" w:hAnsi="ITC Avant Garde" w:cs="Arial"/>
        </w:rPr>
        <w:t>históricos</w:t>
      </w:r>
      <w:r w:rsidR="007D3700" w:rsidRPr="00177A2B">
        <w:rPr>
          <w:rFonts w:ascii="ITC Avant Garde" w:hAnsi="ITC Avant Garde" w:cs="Arial"/>
        </w:rPr>
        <w:t xml:space="preserve"> </w:t>
      </w:r>
      <w:r w:rsidRPr="00177A2B">
        <w:rPr>
          <w:rFonts w:ascii="ITC Avant Garde" w:hAnsi="ITC Avant Garde" w:cs="Arial"/>
        </w:rPr>
        <w:t>que han iniciado los despliegues más recientemente han optado por desplegar una red NGN basada en todo sobre IP.</w:t>
      </w:r>
    </w:p>
    <w:p w14:paraId="0BE7AFFA" w14:textId="65B87154" w:rsidR="002816EE" w:rsidRPr="00177A2B" w:rsidRDefault="002816EE" w:rsidP="007E036D">
      <w:pPr>
        <w:jc w:val="both"/>
        <w:rPr>
          <w:rFonts w:ascii="ITC Avant Garde" w:hAnsi="ITC Avant Garde" w:cs="Arial"/>
        </w:rPr>
      </w:pPr>
      <w:r w:rsidRPr="00177A2B">
        <w:rPr>
          <w:rFonts w:ascii="ITC Avant Garde" w:hAnsi="ITC Avant Garde" w:cs="Arial"/>
        </w:rPr>
        <w:t xml:space="preserve">En cualquier caso, un operador que comenzara operaciones en los últimos cuatro o cinco años o entrara en el mercado en el momento presente (y que por la utilización de la tecnología moderna establecería el nivel de precios eficiente en un mercado </w:t>
      </w:r>
      <w:r w:rsidR="00D536B4">
        <w:rPr>
          <w:rFonts w:ascii="ITC Avant Garde" w:hAnsi="ITC Avant Garde" w:cs="Arial"/>
        </w:rPr>
        <w:t>dispu</w:t>
      </w:r>
      <w:r w:rsidR="00D536B4" w:rsidRPr="00177A2B">
        <w:rPr>
          <w:rFonts w:ascii="ITC Avant Garde" w:hAnsi="ITC Avant Garde" w:cs="Arial"/>
        </w:rPr>
        <w:t>table</w:t>
      </w:r>
      <w:r w:rsidRPr="00177A2B">
        <w:rPr>
          <w:rFonts w:ascii="ITC Avant Garde" w:hAnsi="ITC Avant Garde" w:cs="Arial"/>
        </w:rPr>
        <w:t xml:space="preserve">), no desplegaría una red telefónica conmutada en la red troncal, sino una red multiservicio NGN basada en </w:t>
      </w:r>
      <w:r w:rsidRPr="00177A2B">
        <w:rPr>
          <w:rFonts w:ascii="ITC Avant Garde" w:hAnsi="ITC Avant Garde" w:cs="Arial"/>
          <w:spacing w:val="-4"/>
        </w:rPr>
        <w:t>todo sobre IP</w:t>
      </w:r>
      <w:r w:rsidRPr="00177A2B">
        <w:rPr>
          <w:rFonts w:ascii="ITC Avant Garde" w:hAnsi="ITC Avant Garde" w:cs="Arial"/>
        </w:rPr>
        <w:t>. El modelado de una red NGN estaría en línea con las prácticas internacionales como la establecida por la Comisión Europea en su recomendación sobre el cálculo de los costos de terminación y su aplicación en diversos modelos realizados para reguladores de la Unión Europea. La parte troncal de la red estaría por lo tanto basada en NGN, siendo el despliegue basado en una arquitectura IP BAP como opción más apropiada.</w:t>
      </w:r>
    </w:p>
    <w:p w14:paraId="5256BBCC" w14:textId="77777777" w:rsidR="002816EE" w:rsidRPr="00177A2B" w:rsidRDefault="002816EE" w:rsidP="007E036D">
      <w:pPr>
        <w:keepNext/>
        <w:keepLines/>
        <w:numPr>
          <w:ilvl w:val="3"/>
          <w:numId w:val="12"/>
        </w:numPr>
        <w:spacing w:before="360" w:after="240" w:line="320" w:lineRule="atLeast"/>
        <w:jc w:val="both"/>
        <w:outlineLvl w:val="3"/>
        <w:rPr>
          <w:rFonts w:ascii="ITC Avant Garde" w:eastAsia="Times New Roman" w:hAnsi="ITC Avant Garde" w:cs="Arial"/>
          <w:bCs/>
          <w:i/>
          <w:iCs/>
        </w:rPr>
      </w:pPr>
      <w:r w:rsidRPr="00177A2B">
        <w:rPr>
          <w:rFonts w:ascii="ITC Avant Garde" w:eastAsia="Times New Roman" w:hAnsi="ITC Avant Garde" w:cs="Arial"/>
          <w:bCs/>
          <w:i/>
          <w:iCs/>
        </w:rPr>
        <w:t>Operador móvil</w:t>
      </w:r>
    </w:p>
    <w:p w14:paraId="646F60DE" w14:textId="77777777" w:rsidR="002816EE" w:rsidRPr="00177A2B"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ind w:left="284" w:right="284"/>
        <w:jc w:val="both"/>
        <w:rPr>
          <w:rFonts w:ascii="ITC Avant Garde" w:hAnsi="ITC Avant Garde" w:cs="Arial"/>
        </w:rPr>
      </w:pPr>
      <w:r>
        <w:rPr>
          <w:rFonts w:ascii="ITC Avant Garde" w:hAnsi="ITC Avant Garde" w:cs="Arial"/>
        </w:rPr>
        <w:t>4</w:t>
      </w:r>
      <w:r w:rsidRPr="00177A2B">
        <w:rPr>
          <w:rFonts w:ascii="ITC Avant Garde" w:hAnsi="ITC Avant Garde" w:cs="Arial"/>
        </w:rPr>
        <w:t>. ¿Tiene comentarios respecto de los conceptos 6 a 10 propuestos en el Enfoque Conceptual?</w:t>
      </w:r>
    </w:p>
    <w:p w14:paraId="1FE403BC" w14:textId="7E8B7B57" w:rsidR="002816EE" w:rsidRPr="00F80C26"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ind w:left="284" w:right="284"/>
        <w:jc w:val="both"/>
        <w:rPr>
          <w:rFonts w:ascii="ITC Avant Garde" w:hAnsi="ITC Avant Garde" w:cs="Arial"/>
        </w:rPr>
      </w:pPr>
      <w:r w:rsidRPr="00F80C26">
        <w:rPr>
          <w:rFonts w:ascii="ITC Avant Garde" w:hAnsi="ITC Avant Garde" w:cs="Arial"/>
        </w:rPr>
        <w:t xml:space="preserve">5. ¿Considera adecuada la distribución de espectro considerada para el operador modelado presentada en las diapositivas </w:t>
      </w:r>
      <w:r w:rsidR="0009061B">
        <w:rPr>
          <w:rFonts w:ascii="ITC Avant Garde" w:hAnsi="ITC Avant Garde" w:cs="Arial"/>
        </w:rPr>
        <w:t xml:space="preserve">47-49  </w:t>
      </w:r>
      <w:r w:rsidRPr="00F80C26">
        <w:rPr>
          <w:rFonts w:ascii="ITC Avant Garde" w:hAnsi="ITC Avant Garde" w:cs="Arial"/>
        </w:rPr>
        <w:t xml:space="preserve">de la Documentación del Modelo? Si no fuera el caso, ¿qué reparto de espectro hubiera considerado razonable? </w:t>
      </w:r>
    </w:p>
    <w:p w14:paraId="09700A08" w14:textId="28070704" w:rsidR="002816EE" w:rsidRPr="00F80C26"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ind w:left="284" w:right="284"/>
        <w:jc w:val="both"/>
        <w:rPr>
          <w:rFonts w:ascii="ITC Avant Garde" w:hAnsi="ITC Avant Garde" w:cs="Arial"/>
        </w:rPr>
      </w:pPr>
      <w:r w:rsidRPr="00F80C26">
        <w:rPr>
          <w:rFonts w:ascii="ITC Avant Garde" w:hAnsi="ITC Avant Garde" w:cs="Arial"/>
        </w:rPr>
        <w:t xml:space="preserve">6. ¿Considera adecuada la distribución de las tecnologías de la red de transmisión y backhaul presentada en la diapositiva </w:t>
      </w:r>
      <w:r w:rsidR="00510646" w:rsidRPr="00541098">
        <w:rPr>
          <w:rFonts w:ascii="ITC Avant Garde" w:hAnsi="ITC Avant Garde" w:cs="Arial"/>
        </w:rPr>
        <w:t>55</w:t>
      </w:r>
      <w:r w:rsidRPr="00541098">
        <w:rPr>
          <w:rFonts w:ascii="ITC Avant Garde" w:hAnsi="ITC Avant Garde" w:cs="Arial"/>
        </w:rPr>
        <w:t xml:space="preserve"> </w:t>
      </w:r>
      <w:r w:rsidRPr="00F80C26">
        <w:rPr>
          <w:rFonts w:ascii="ITC Avant Garde" w:hAnsi="ITC Avant Garde" w:cs="Arial"/>
        </w:rPr>
        <w:t xml:space="preserve">de la Documentación del Modelo? </w:t>
      </w:r>
    </w:p>
    <w:p w14:paraId="2A3D9A5E" w14:textId="51653451" w:rsidR="002816EE" w:rsidRPr="00F80C26" w:rsidRDefault="002816EE" w:rsidP="007E036D">
      <w:pPr>
        <w:keepLines/>
        <w:pBdr>
          <w:top w:val="single" w:sz="4" w:space="2" w:color="D9D9D9" w:themeColor="background1" w:themeShade="D9"/>
          <w:bottom w:val="single" w:sz="4" w:space="5" w:color="D9D9D9" w:themeColor="background1" w:themeShade="D9"/>
        </w:pBdr>
        <w:shd w:val="clear" w:color="auto" w:fill="F2F2F2"/>
        <w:ind w:left="284" w:right="284"/>
        <w:jc w:val="both"/>
        <w:rPr>
          <w:rFonts w:ascii="ITC Avant Garde" w:hAnsi="ITC Avant Garde" w:cs="Arial"/>
        </w:rPr>
      </w:pPr>
      <w:r w:rsidRPr="00F80C26">
        <w:rPr>
          <w:rFonts w:ascii="ITC Avant Garde" w:hAnsi="ITC Avant Garde" w:cs="Arial"/>
        </w:rPr>
        <w:t xml:space="preserve">7. ¿Considera adecuada la red core del operador móvil presentada en la </w:t>
      </w:r>
      <w:r w:rsidRPr="00541098">
        <w:rPr>
          <w:rFonts w:ascii="ITC Avant Garde" w:hAnsi="ITC Avant Garde" w:cs="Arial"/>
        </w:rPr>
        <w:t xml:space="preserve">diapositiva </w:t>
      </w:r>
      <w:r w:rsidR="00510646" w:rsidRPr="00541098">
        <w:rPr>
          <w:rFonts w:ascii="ITC Avant Garde" w:hAnsi="ITC Avant Garde" w:cs="Arial"/>
        </w:rPr>
        <w:t>55</w:t>
      </w:r>
      <w:r w:rsidRPr="00541098">
        <w:rPr>
          <w:rFonts w:ascii="ITC Avant Garde" w:hAnsi="ITC Avant Garde" w:cs="Arial"/>
        </w:rPr>
        <w:t xml:space="preserve"> </w:t>
      </w:r>
      <w:r w:rsidRPr="00F80C26">
        <w:rPr>
          <w:rFonts w:ascii="ITC Avant Garde" w:hAnsi="ITC Avant Garde" w:cs="Arial"/>
        </w:rPr>
        <w:t>de la Documentación del Modelo?</w:t>
      </w:r>
    </w:p>
    <w:p w14:paraId="1857CA3D" w14:textId="77777777" w:rsidR="002816EE" w:rsidRPr="00F80C26" w:rsidRDefault="002816EE" w:rsidP="007E036D">
      <w:pPr>
        <w:keepNext/>
        <w:keepLines/>
        <w:numPr>
          <w:ilvl w:val="3"/>
          <w:numId w:val="12"/>
        </w:numPr>
        <w:spacing w:before="360" w:after="240" w:line="320" w:lineRule="atLeast"/>
        <w:jc w:val="both"/>
        <w:outlineLvl w:val="3"/>
        <w:rPr>
          <w:rFonts w:ascii="ITC Avant Garde" w:eastAsia="Times New Roman" w:hAnsi="ITC Avant Garde" w:cs="Arial"/>
          <w:bCs/>
          <w:i/>
          <w:iCs/>
        </w:rPr>
      </w:pPr>
      <w:r w:rsidRPr="00F80C26">
        <w:rPr>
          <w:rFonts w:ascii="ITC Avant Garde" w:eastAsia="Times New Roman" w:hAnsi="ITC Avant Garde" w:cs="Arial"/>
          <w:bCs/>
          <w:i/>
          <w:iCs/>
        </w:rPr>
        <w:lastRenderedPageBreak/>
        <w:t>Operador fijo</w:t>
      </w:r>
    </w:p>
    <w:p w14:paraId="7AF64193" w14:textId="77777777" w:rsidR="002816EE" w:rsidRPr="00F80C26"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ind w:left="284" w:right="284"/>
        <w:jc w:val="both"/>
        <w:rPr>
          <w:rFonts w:ascii="ITC Avant Garde" w:hAnsi="ITC Avant Garde" w:cs="Arial"/>
        </w:rPr>
      </w:pPr>
      <w:r w:rsidRPr="00F80C26">
        <w:rPr>
          <w:rFonts w:ascii="ITC Avant Garde" w:hAnsi="ITC Avant Garde" w:cs="Arial"/>
        </w:rPr>
        <w:t xml:space="preserve">8. ¿Tiene comentarios respecto de los conceptos 11, 12 y 13 propuestos en el Enfoque Conceptual? </w:t>
      </w:r>
    </w:p>
    <w:p w14:paraId="543EA62D" w14:textId="6C525EEF" w:rsidR="002816EE" w:rsidRPr="00541098"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ind w:left="284" w:right="284"/>
        <w:jc w:val="both"/>
        <w:rPr>
          <w:rFonts w:ascii="ITC Avant Garde" w:hAnsi="ITC Avant Garde" w:cs="Arial"/>
        </w:rPr>
      </w:pPr>
      <w:r w:rsidRPr="008B40CE">
        <w:rPr>
          <w:rFonts w:ascii="ITC Avant Garde" w:hAnsi="ITC Avant Garde" w:cs="Arial"/>
        </w:rPr>
        <w:t xml:space="preserve">9. ¿Considera adecuado que el Modelo Fijo incluya tecnología SDH y/o WDM en acceso y WDM en su red core, tal y como se describe en la </w:t>
      </w:r>
      <w:r w:rsidRPr="00541098">
        <w:rPr>
          <w:rFonts w:ascii="ITC Avant Garde" w:hAnsi="ITC Avant Garde" w:cs="Arial"/>
        </w:rPr>
        <w:t xml:space="preserve">diapositiva </w:t>
      </w:r>
      <w:r w:rsidR="00417716" w:rsidRPr="00541098">
        <w:rPr>
          <w:rFonts w:ascii="ITC Avant Garde" w:hAnsi="ITC Avant Garde" w:cs="Arial"/>
        </w:rPr>
        <w:t xml:space="preserve">10 </w:t>
      </w:r>
      <w:r w:rsidRPr="00541098">
        <w:rPr>
          <w:rFonts w:ascii="ITC Avant Garde" w:hAnsi="ITC Avant Garde" w:cs="Arial"/>
        </w:rPr>
        <w:t>de la Documentación del Modelo?</w:t>
      </w:r>
    </w:p>
    <w:p w14:paraId="0279FD45" w14:textId="121FF33F" w:rsidR="002816EE" w:rsidRPr="00541098" w:rsidRDefault="002816EE" w:rsidP="00CB415B">
      <w:pPr>
        <w:keepLines/>
        <w:pBdr>
          <w:top w:val="single" w:sz="4" w:space="2" w:color="D9D9D9" w:themeColor="background1" w:themeShade="D9"/>
          <w:bottom w:val="single" w:sz="4" w:space="6" w:color="D9D9D9" w:themeColor="background1" w:themeShade="D9"/>
        </w:pBdr>
        <w:shd w:val="clear" w:color="auto" w:fill="F2F2F2"/>
        <w:spacing w:after="120"/>
        <w:ind w:left="284" w:right="284"/>
        <w:jc w:val="both"/>
        <w:rPr>
          <w:rFonts w:ascii="ITC Avant Garde" w:hAnsi="ITC Avant Garde" w:cs="Arial"/>
        </w:rPr>
      </w:pPr>
      <w:r w:rsidRPr="00541098">
        <w:rPr>
          <w:rFonts w:ascii="ITC Avant Garde" w:hAnsi="ITC Avant Garde" w:cs="Arial"/>
        </w:rPr>
        <w:t xml:space="preserve">10. ¿Considera adecuada la red core del operador fijo presentada en la </w:t>
      </w:r>
      <w:r w:rsidR="008B40CE" w:rsidRPr="00541098">
        <w:rPr>
          <w:rFonts w:ascii="ITC Avant Garde" w:hAnsi="ITC Avant Garde" w:cs="Arial"/>
        </w:rPr>
        <w:t xml:space="preserve">diapositiva </w:t>
      </w:r>
      <w:r w:rsidR="00510646" w:rsidRPr="00541098">
        <w:rPr>
          <w:rFonts w:ascii="ITC Avant Garde" w:hAnsi="ITC Avant Garde" w:cs="Arial"/>
        </w:rPr>
        <w:t>3</w:t>
      </w:r>
      <w:r w:rsidR="005E0597" w:rsidRPr="00541098">
        <w:rPr>
          <w:rFonts w:ascii="ITC Avant Garde" w:hAnsi="ITC Avant Garde" w:cs="Arial"/>
        </w:rPr>
        <w:t>2</w:t>
      </w:r>
      <w:r w:rsidR="00A31AEF" w:rsidRPr="00541098">
        <w:rPr>
          <w:rFonts w:ascii="ITC Avant Garde" w:hAnsi="ITC Avant Garde" w:cs="Arial"/>
        </w:rPr>
        <w:t xml:space="preserve"> </w:t>
      </w:r>
      <w:r w:rsidRPr="00541098">
        <w:rPr>
          <w:rFonts w:ascii="ITC Avant Garde" w:hAnsi="ITC Avant Garde" w:cs="Arial"/>
        </w:rPr>
        <w:t>de la Documentación del Modelo?</w:t>
      </w:r>
    </w:p>
    <w:p w14:paraId="1CF5E948" w14:textId="77777777" w:rsidR="002816EE" w:rsidRPr="00177A2B" w:rsidRDefault="002816EE" w:rsidP="007E036D">
      <w:pPr>
        <w:keepNext/>
        <w:keepLines/>
        <w:numPr>
          <w:ilvl w:val="2"/>
          <w:numId w:val="12"/>
        </w:numPr>
        <w:spacing w:before="360" w:after="240" w:line="320" w:lineRule="atLeast"/>
        <w:ind w:left="567"/>
        <w:jc w:val="both"/>
        <w:outlineLvl w:val="2"/>
        <w:rPr>
          <w:rFonts w:ascii="ITC Avant Garde" w:eastAsia="Times New Roman" w:hAnsi="ITC Avant Garde" w:cs="Arial"/>
          <w:b/>
          <w:bCs/>
        </w:rPr>
      </w:pPr>
      <w:r w:rsidRPr="00177A2B">
        <w:rPr>
          <w:rFonts w:ascii="ITC Avant Garde" w:eastAsia="Times New Roman" w:hAnsi="ITC Avant Garde" w:cs="Arial"/>
          <w:b/>
          <w:bCs/>
        </w:rPr>
        <w:t>Nodos de la red</w:t>
      </w:r>
    </w:p>
    <w:p w14:paraId="21031EE4" w14:textId="77777777" w:rsidR="002816EE" w:rsidRPr="00177A2B" w:rsidRDefault="002816EE" w:rsidP="007E036D">
      <w:pPr>
        <w:jc w:val="both"/>
        <w:rPr>
          <w:rFonts w:ascii="ITC Avant Garde" w:hAnsi="ITC Avant Garde" w:cs="Arial"/>
        </w:rPr>
      </w:pPr>
      <w:r w:rsidRPr="00177A2B">
        <w:rPr>
          <w:rFonts w:ascii="ITC Avant Garde" w:hAnsi="ITC Avant Garde" w:cs="Arial"/>
        </w:rPr>
        <w:t xml:space="preserve">El diseño de la red sobre la cual se prestarán los servicios de interconexión se puede realizar bajo diferentes enfoques. Los más conocidos son el diseño de red actual, el </w:t>
      </w:r>
      <w:r w:rsidRPr="00177A2B">
        <w:rPr>
          <w:rFonts w:ascii="ITC Avant Garde" w:hAnsi="ITC Avant Garde" w:cs="Arial"/>
          <w:i/>
        </w:rPr>
        <w:t>scorched-node</w:t>
      </w:r>
      <w:r w:rsidRPr="00177A2B">
        <w:rPr>
          <w:rFonts w:ascii="ITC Avant Garde" w:hAnsi="ITC Avant Garde" w:cs="Arial"/>
        </w:rPr>
        <w:t xml:space="preserve">, y el </w:t>
      </w:r>
      <w:r w:rsidRPr="00177A2B">
        <w:rPr>
          <w:rFonts w:ascii="ITC Avant Garde" w:hAnsi="ITC Avant Garde" w:cs="Arial"/>
          <w:i/>
        </w:rPr>
        <w:t>scorched-earth</w:t>
      </w:r>
      <w:r w:rsidRPr="00177A2B">
        <w:rPr>
          <w:rFonts w:ascii="ITC Avant Garde" w:hAnsi="ITC Avant Garde" w:cs="Arial"/>
        </w:rPr>
        <w:t>, que difieren en el grado de optimización que se debe utilizar en la configuración de la red para proveer los servicios de telecomunicaciones considerados. Estos enfoques se explican detalladamente en el Enfoque Conceptual.</w:t>
      </w:r>
    </w:p>
    <w:p w14:paraId="0FC4CFFF" w14:textId="77777777" w:rsidR="002816EE" w:rsidRPr="00177A2B" w:rsidRDefault="002816EE" w:rsidP="007E036D">
      <w:pPr>
        <w:jc w:val="both"/>
        <w:rPr>
          <w:rFonts w:ascii="ITC Avant Garde" w:hAnsi="ITC Avant Garde" w:cs="Arial"/>
        </w:rPr>
      </w:pPr>
      <w:r w:rsidRPr="00177A2B">
        <w:rPr>
          <w:rFonts w:ascii="ITC Avant Garde" w:hAnsi="ITC Avant Garde" w:cs="Arial"/>
        </w:rPr>
        <w:t xml:space="preserve">El enfoque de </w:t>
      </w:r>
      <w:r w:rsidRPr="00177A2B">
        <w:rPr>
          <w:rFonts w:ascii="ITC Avant Garde" w:hAnsi="ITC Avant Garde" w:cs="Arial"/>
          <w:i/>
        </w:rPr>
        <w:t>scorched-earth</w:t>
      </w:r>
      <w:r w:rsidRPr="00177A2B">
        <w:rPr>
          <w:rFonts w:ascii="ITC Avant Garde" w:hAnsi="ITC Avant Garde" w:cs="Arial"/>
        </w:rPr>
        <w:t xml:space="preserve"> supone que no existe ninguna red, y que la localización de los nodos de la misma se realizará con base en la localización geográfica de los clientes y las proyecciones de demanda de los servicios. Por lo tanto, determina el costo eficiente de una red que proporciona los mismos servicios que las redes existentes, sin poner ninguna restricción en su configuración. </w:t>
      </w:r>
    </w:p>
    <w:p w14:paraId="0C6C21D6" w14:textId="77777777" w:rsidR="002816EE" w:rsidRPr="00E408C5" w:rsidRDefault="002816EE" w:rsidP="007E036D">
      <w:pPr>
        <w:jc w:val="both"/>
        <w:rPr>
          <w:rFonts w:ascii="ITC Avant Garde" w:hAnsi="ITC Avant Garde" w:cs="Arial"/>
        </w:rPr>
      </w:pPr>
      <w:r w:rsidRPr="00E408C5">
        <w:rPr>
          <w:rFonts w:ascii="ITC Avant Garde" w:hAnsi="ITC Avant Garde" w:cs="Arial"/>
        </w:rPr>
        <w:t xml:space="preserve">En la Metodología de Costos, el Instituto se pronunció por la utilización de un enfoque </w:t>
      </w:r>
      <w:r w:rsidRPr="00E408C5">
        <w:rPr>
          <w:rFonts w:ascii="ITC Avant Garde" w:hAnsi="ITC Avant Garde" w:cs="Arial"/>
          <w:i/>
        </w:rPr>
        <w:t>scorched-earth</w:t>
      </w:r>
      <w:r w:rsidRPr="00E408C5">
        <w:rPr>
          <w:rFonts w:ascii="ITC Avant Garde" w:hAnsi="ITC Avant Garde" w:cs="Arial"/>
        </w:rPr>
        <w:t>, que sería calibrado con información acerca del número de elementos de la red de los operadores existentes, como se señala en el resolutivo Quinto:</w:t>
      </w:r>
    </w:p>
    <w:p w14:paraId="2B5ACB10" w14:textId="3F835B91" w:rsidR="002816EE" w:rsidRPr="007E036D" w:rsidRDefault="002816EE" w:rsidP="007E036D">
      <w:pPr>
        <w:ind w:left="567" w:right="509"/>
        <w:jc w:val="both"/>
        <w:rPr>
          <w:rFonts w:ascii="ITC Avant Garde" w:hAnsi="ITC Avant Garde" w:cs="Arial"/>
          <w:i/>
          <w:spacing w:val="-4"/>
          <w:sz w:val="18"/>
          <w:szCs w:val="18"/>
        </w:rPr>
      </w:pPr>
      <w:r w:rsidRPr="007E036D">
        <w:rPr>
          <w:rFonts w:ascii="ITC Avant Garde" w:hAnsi="ITC Avant Garde" w:cs="Arial"/>
          <w:i/>
          <w:spacing w:val="-4"/>
          <w:sz w:val="18"/>
          <w:szCs w:val="18"/>
        </w:rPr>
        <w:t>“</w:t>
      </w:r>
      <w:r w:rsidRPr="007E036D">
        <w:rPr>
          <w:rFonts w:ascii="ITC Avant Garde" w:hAnsi="ITC Avant Garde" w:cs="Arial"/>
          <w:b/>
          <w:i/>
          <w:spacing w:val="-4"/>
          <w:sz w:val="18"/>
          <w:szCs w:val="18"/>
        </w:rPr>
        <w:t xml:space="preserve">QUINTO.- </w:t>
      </w:r>
      <w:r w:rsidRPr="007E036D">
        <w:rPr>
          <w:rFonts w:ascii="ITC Avant Garde" w:hAnsi="ITC Avant Garde" w:cs="Arial"/>
          <w:i/>
          <w:spacing w:val="-4"/>
          <w:sz w:val="18"/>
          <w:szCs w:val="18"/>
        </w:rPr>
        <w:t>Los Modelos de Costos que se elaboren deberán considerar elementos técnicos y económicos de los Servicios de Interconexión, debiéndose emplear el enfoque de modelos ascendentes o ingenieriles (Bottom-Up).</w:t>
      </w:r>
    </w:p>
    <w:p w14:paraId="552CE0C1" w14:textId="77777777" w:rsidR="002816EE" w:rsidRPr="007E036D" w:rsidRDefault="002816EE" w:rsidP="007E036D">
      <w:pPr>
        <w:ind w:left="567" w:right="509"/>
        <w:jc w:val="both"/>
        <w:rPr>
          <w:rFonts w:ascii="ITC Avant Garde" w:hAnsi="ITC Avant Garde" w:cs="Arial"/>
          <w:i/>
          <w:spacing w:val="-4"/>
          <w:sz w:val="18"/>
          <w:szCs w:val="18"/>
        </w:rPr>
      </w:pPr>
      <w:r w:rsidRPr="007E036D">
        <w:rPr>
          <w:rFonts w:ascii="ITC Avant Garde" w:hAnsi="ITC Avant Garde" w:cs="Arial"/>
          <w:i/>
          <w:spacing w:val="-4"/>
          <w:sz w:val="18"/>
          <w:szCs w:val="18"/>
        </w:rPr>
        <w:t>El Instituto Federal de Telecomunicaciones podrá hacer uso de otros modelos de costos y de información financiera y de contabilidad separada con que disponga para verificar y mejorar la solidez de los resultados.</w:t>
      </w:r>
    </w:p>
    <w:p w14:paraId="35B731F1" w14:textId="77777777" w:rsidR="002816EE" w:rsidRPr="007E036D" w:rsidRDefault="002816EE" w:rsidP="007E036D">
      <w:pPr>
        <w:ind w:left="567" w:right="509"/>
        <w:jc w:val="both"/>
        <w:rPr>
          <w:rFonts w:ascii="ITC Avant Garde" w:hAnsi="ITC Avant Garde" w:cs="Arial"/>
          <w:i/>
          <w:spacing w:val="-4"/>
          <w:sz w:val="18"/>
          <w:szCs w:val="18"/>
        </w:rPr>
      </w:pPr>
      <w:r w:rsidRPr="007E036D">
        <w:rPr>
          <w:rFonts w:ascii="ITC Avant Garde" w:hAnsi="ITC Avant Garde" w:cs="Arial"/>
          <w:i/>
          <w:spacing w:val="-4"/>
          <w:sz w:val="18"/>
          <w:szCs w:val="18"/>
        </w:rPr>
        <w:t xml:space="preserve">En cuanto al diseño y configuración de la red, se propone utilizar un enfoque Scorched-Earth que utilice información sobre las características geográficas y demográficas del país para considerar los factores que son externos a los operadores y que representan limitaciones o restricciones para el </w:t>
      </w:r>
      <w:r w:rsidRPr="007E036D">
        <w:rPr>
          <w:rFonts w:ascii="ITC Avant Garde" w:hAnsi="ITC Avant Garde" w:cs="Arial"/>
          <w:i/>
          <w:spacing w:val="-4"/>
          <w:sz w:val="18"/>
          <w:szCs w:val="18"/>
        </w:rPr>
        <w:lastRenderedPageBreak/>
        <w:t>diseño de las redes. Los resultados de este modelo se calibrarán con información del número de elementos de red que conforman las redes actuales.”</w:t>
      </w:r>
    </w:p>
    <w:p w14:paraId="5003BE9F" w14:textId="77777777" w:rsidR="002816EE" w:rsidRPr="00177A2B" w:rsidRDefault="002816EE" w:rsidP="007E036D">
      <w:pPr>
        <w:jc w:val="both"/>
        <w:rPr>
          <w:rFonts w:ascii="ITC Avant Garde" w:hAnsi="ITC Avant Garde" w:cs="Arial"/>
          <w:spacing w:val="-4"/>
        </w:rPr>
      </w:pPr>
      <w:r w:rsidRPr="00177A2B">
        <w:rPr>
          <w:rFonts w:ascii="ITC Avant Garde" w:hAnsi="ITC Avant Garde" w:cs="Arial"/>
          <w:spacing w:val="-4"/>
        </w:rPr>
        <w:t>En el Modelo Fijo el calibrado se realiza a partir de comparar los resultados del diseño teórico de la red con el número y situación de la red de los operadores existentes, pudiéndose hacer ajustes, por ejemplo, en el número de POIs en relación al calculado teóricamente.</w:t>
      </w:r>
    </w:p>
    <w:p w14:paraId="3AB4ABF5" w14:textId="77777777" w:rsidR="002816EE" w:rsidRPr="00177A2B" w:rsidRDefault="002816EE" w:rsidP="007E036D">
      <w:pPr>
        <w:jc w:val="both"/>
        <w:rPr>
          <w:rFonts w:ascii="ITC Avant Garde" w:hAnsi="ITC Avant Garde" w:cs="Arial"/>
        </w:rPr>
      </w:pPr>
      <w:r w:rsidRPr="00177A2B">
        <w:rPr>
          <w:rFonts w:ascii="ITC Avant Garde" w:hAnsi="ITC Avant Garde" w:cs="Arial"/>
        </w:rPr>
        <w:t>En el Modelo Móvil la calibración se realiza en todos los niveles de red, incluyendo la capa de radio. En este caso, el número total de nodos no se modificará, pero se pueden ajustar la función y/o capacidad de cada nodo, por lo que el número de nodos por subtipo puede cambiar.</w:t>
      </w:r>
    </w:p>
    <w:p w14:paraId="4035B9CF" w14:textId="77777777" w:rsidR="002816EE" w:rsidRPr="00177A2B" w:rsidRDefault="002816EE" w:rsidP="007E036D">
      <w:pPr>
        <w:jc w:val="both"/>
        <w:rPr>
          <w:rFonts w:ascii="ITC Avant Garde" w:hAnsi="ITC Avant Garde" w:cs="Arial"/>
        </w:rPr>
      </w:pPr>
      <w:r w:rsidRPr="00177A2B">
        <w:rPr>
          <w:rFonts w:ascii="ITC Avant Garde" w:hAnsi="ITC Avant Garde" w:cs="Arial"/>
        </w:rPr>
        <w:t xml:space="preserve">En la Documentación del Modelo se explica el diseño específico de la red del operador fijo modelado, en donde se señala que la misma se ha construido considerando cuatro tipos de nodos: </w:t>
      </w:r>
    </w:p>
    <w:p w14:paraId="682611F0" w14:textId="53011140" w:rsidR="002816EE" w:rsidRPr="00F80C26" w:rsidRDefault="002816EE" w:rsidP="007E036D">
      <w:pPr>
        <w:numPr>
          <w:ilvl w:val="0"/>
          <w:numId w:val="6"/>
        </w:numPr>
        <w:spacing w:after="240" w:line="320" w:lineRule="atLeast"/>
        <w:ind w:left="357" w:hanging="357"/>
        <w:jc w:val="both"/>
        <w:rPr>
          <w:rFonts w:ascii="ITC Avant Garde" w:hAnsi="ITC Avant Garde" w:cs="Arial"/>
        </w:rPr>
      </w:pPr>
      <w:r w:rsidRPr="00F80C26">
        <w:rPr>
          <w:rFonts w:ascii="ITC Avant Garde" w:hAnsi="ITC Avant Garde" w:cs="Arial"/>
          <w:i/>
        </w:rPr>
        <w:t>Nodos de nivel 1</w:t>
      </w:r>
      <w:r w:rsidR="00E93EB0">
        <w:rPr>
          <w:rFonts w:ascii="ITC Avant Garde" w:hAnsi="ITC Avant Garde" w:cs="Arial"/>
          <w:i/>
        </w:rPr>
        <w:t>, de nivel 2</w:t>
      </w:r>
      <w:r w:rsidRPr="00F80C26">
        <w:rPr>
          <w:rFonts w:ascii="ITC Avant Garde" w:hAnsi="ITC Avant Garde" w:cs="Arial"/>
          <w:i/>
        </w:rPr>
        <w:t xml:space="preserve"> y de nivel </w:t>
      </w:r>
      <w:r w:rsidR="00E93EB0">
        <w:rPr>
          <w:rFonts w:ascii="ITC Avant Garde" w:hAnsi="ITC Avant Garde" w:cs="Arial"/>
          <w:i/>
        </w:rPr>
        <w:t>3</w:t>
      </w:r>
      <w:r w:rsidR="00E93EB0" w:rsidRPr="00F80C26">
        <w:rPr>
          <w:rFonts w:ascii="ITC Avant Garde" w:hAnsi="ITC Avant Garde" w:cs="Arial"/>
          <w:i/>
        </w:rPr>
        <w:t xml:space="preserve"> </w:t>
      </w:r>
      <w:r w:rsidRPr="00F80C26">
        <w:rPr>
          <w:rFonts w:ascii="ITC Avant Garde" w:hAnsi="ITC Avant Garde" w:cs="Arial"/>
          <w:i/>
        </w:rPr>
        <w:t>(Tier 1</w:t>
      </w:r>
      <w:r w:rsidR="00E93EB0">
        <w:rPr>
          <w:rFonts w:ascii="ITC Avant Garde" w:hAnsi="ITC Avant Garde" w:cs="Arial"/>
          <w:i/>
        </w:rPr>
        <w:t>, Tier 2</w:t>
      </w:r>
      <w:r w:rsidRPr="00F80C26">
        <w:rPr>
          <w:rFonts w:ascii="ITC Avant Garde" w:hAnsi="ITC Avant Garde" w:cs="Arial"/>
          <w:i/>
        </w:rPr>
        <w:t xml:space="preserve"> y Tier </w:t>
      </w:r>
      <w:r w:rsidR="00E93EB0">
        <w:rPr>
          <w:rFonts w:ascii="ITC Avant Garde" w:hAnsi="ITC Avant Garde" w:cs="Arial"/>
          <w:i/>
        </w:rPr>
        <w:t>3</w:t>
      </w:r>
      <w:r w:rsidRPr="00F80C26">
        <w:rPr>
          <w:rFonts w:ascii="ITC Avant Garde" w:hAnsi="ITC Avant Garde" w:cs="Arial"/>
          <w:i/>
        </w:rPr>
        <w:t>)</w:t>
      </w:r>
      <w:r w:rsidRPr="00F80C26">
        <w:rPr>
          <w:rFonts w:ascii="ITC Avant Garde" w:hAnsi="ITC Avant Garde" w:cs="Arial"/>
        </w:rPr>
        <w:t xml:space="preserve"> – son los nodos de acceso a los cuales se conectan los MSANs; se modelan </w:t>
      </w:r>
      <w:r w:rsidR="00E93EB0">
        <w:rPr>
          <w:rFonts w:ascii="ITC Avant Garde" w:hAnsi="ITC Avant Garde" w:cs="Arial"/>
        </w:rPr>
        <w:t>2</w:t>
      </w:r>
      <w:r w:rsidR="00EF6075">
        <w:rPr>
          <w:rFonts w:ascii="ITC Avant Garde" w:hAnsi="ITC Avant Garde" w:cs="Arial"/>
        </w:rPr>
        <w:t>4</w:t>
      </w:r>
      <w:r w:rsidR="00E93EB0">
        <w:rPr>
          <w:rFonts w:ascii="ITC Avant Garde" w:hAnsi="ITC Avant Garde" w:cs="Arial"/>
        </w:rPr>
        <w:t>,620</w:t>
      </w:r>
      <w:r w:rsidRPr="00F80C26">
        <w:rPr>
          <w:rFonts w:ascii="ITC Avant Garde" w:hAnsi="ITC Avant Garde" w:cs="Arial"/>
        </w:rPr>
        <w:t xml:space="preserve"> nodos de este tipo.</w:t>
      </w:r>
    </w:p>
    <w:p w14:paraId="178B18EE" w14:textId="6FE09D6C" w:rsidR="002816EE" w:rsidRPr="00F80C26" w:rsidRDefault="002816EE" w:rsidP="007E036D">
      <w:pPr>
        <w:numPr>
          <w:ilvl w:val="0"/>
          <w:numId w:val="6"/>
        </w:numPr>
        <w:spacing w:after="240" w:line="320" w:lineRule="atLeast"/>
        <w:ind w:left="357" w:hanging="357"/>
        <w:jc w:val="both"/>
        <w:rPr>
          <w:rFonts w:ascii="ITC Avant Garde" w:hAnsi="ITC Avant Garde" w:cs="Arial"/>
          <w:spacing w:val="-4"/>
        </w:rPr>
      </w:pPr>
      <w:r w:rsidRPr="00F80C26">
        <w:rPr>
          <w:rFonts w:ascii="ITC Avant Garde" w:hAnsi="ITC Avant Garde" w:cs="Arial"/>
          <w:i/>
          <w:spacing w:val="-4"/>
        </w:rPr>
        <w:t>Nodos regionales –</w:t>
      </w:r>
      <w:r w:rsidRPr="00F80C26">
        <w:rPr>
          <w:rFonts w:ascii="ITC Avant Garde" w:hAnsi="ITC Avant Garde" w:cs="Arial"/>
          <w:spacing w:val="-4"/>
        </w:rPr>
        <w:t xml:space="preserve"> son los nodos que concentran el tráfico de los Tier 1</w:t>
      </w:r>
      <w:r w:rsidR="00D70A70">
        <w:rPr>
          <w:rFonts w:ascii="ITC Avant Garde" w:hAnsi="ITC Avant Garde" w:cs="Arial"/>
          <w:spacing w:val="-4"/>
        </w:rPr>
        <w:t>,</w:t>
      </w:r>
      <w:r w:rsidRPr="00F80C26">
        <w:rPr>
          <w:rFonts w:ascii="ITC Avant Garde" w:hAnsi="ITC Avant Garde" w:cs="Arial"/>
          <w:spacing w:val="-4"/>
        </w:rPr>
        <w:t xml:space="preserve"> Tier 2</w:t>
      </w:r>
      <w:r w:rsidR="00D70A70">
        <w:rPr>
          <w:rFonts w:ascii="ITC Avant Garde" w:hAnsi="ITC Avant Garde" w:cs="Arial"/>
          <w:spacing w:val="-4"/>
        </w:rPr>
        <w:t xml:space="preserve"> y Tier 3</w:t>
      </w:r>
      <w:r w:rsidRPr="00F80C26">
        <w:rPr>
          <w:rFonts w:ascii="ITC Avant Garde" w:hAnsi="ITC Avant Garde" w:cs="Arial"/>
          <w:spacing w:val="-4"/>
        </w:rPr>
        <w:t>, y ellos mismos pueden tener conectados MSAN; se consideran 197 nodos de este tipo.</w:t>
      </w:r>
    </w:p>
    <w:p w14:paraId="4E4815C9" w14:textId="76E2755D" w:rsidR="002816EE" w:rsidRPr="00F80C26" w:rsidRDefault="002816EE" w:rsidP="007E036D">
      <w:pPr>
        <w:numPr>
          <w:ilvl w:val="0"/>
          <w:numId w:val="6"/>
        </w:numPr>
        <w:spacing w:after="240" w:line="320" w:lineRule="atLeast"/>
        <w:ind w:left="357" w:hanging="357"/>
        <w:jc w:val="both"/>
        <w:rPr>
          <w:rFonts w:ascii="ITC Avant Garde" w:hAnsi="ITC Avant Garde" w:cs="Arial"/>
        </w:rPr>
      </w:pPr>
      <w:r w:rsidRPr="00F80C26">
        <w:rPr>
          <w:rFonts w:ascii="ITC Avant Garde" w:hAnsi="ITC Avant Garde" w:cs="Arial"/>
          <w:i/>
        </w:rPr>
        <w:t>Nodos core –</w:t>
      </w:r>
      <w:r w:rsidRPr="00F80C26">
        <w:rPr>
          <w:rFonts w:ascii="ITC Avant Garde" w:hAnsi="ITC Avant Garde" w:cs="Arial"/>
        </w:rPr>
        <w:t xml:space="preserve"> junto con los nodos nacionales son los que concentran la inteligencia para redirigir el tráfico; se modelan </w:t>
      </w:r>
      <w:r w:rsidR="00E93EB0" w:rsidRPr="00F80C26">
        <w:rPr>
          <w:rFonts w:ascii="ITC Avant Garde" w:hAnsi="ITC Avant Garde" w:cs="Arial"/>
        </w:rPr>
        <w:t>1</w:t>
      </w:r>
      <w:r w:rsidR="00E93EB0">
        <w:rPr>
          <w:rFonts w:ascii="ITC Avant Garde" w:hAnsi="ITC Avant Garde" w:cs="Arial"/>
        </w:rPr>
        <w:t>1</w:t>
      </w:r>
      <w:r w:rsidR="00E93EB0" w:rsidRPr="00F80C26">
        <w:rPr>
          <w:rFonts w:ascii="ITC Avant Garde" w:hAnsi="ITC Avant Garde" w:cs="Arial"/>
        </w:rPr>
        <w:t xml:space="preserve"> </w:t>
      </w:r>
      <w:r w:rsidRPr="00F80C26">
        <w:rPr>
          <w:rFonts w:ascii="ITC Avant Garde" w:hAnsi="ITC Avant Garde" w:cs="Arial"/>
        </w:rPr>
        <w:t>nodos de este tipo.</w:t>
      </w:r>
    </w:p>
    <w:p w14:paraId="3E78AA1E" w14:textId="7C1BC0F5" w:rsidR="002816EE" w:rsidRPr="00F80C26" w:rsidRDefault="002816EE" w:rsidP="007E036D">
      <w:pPr>
        <w:numPr>
          <w:ilvl w:val="0"/>
          <w:numId w:val="6"/>
        </w:numPr>
        <w:spacing w:after="240" w:line="320" w:lineRule="atLeast"/>
        <w:ind w:left="357" w:hanging="357"/>
        <w:jc w:val="both"/>
        <w:rPr>
          <w:rFonts w:ascii="ITC Avant Garde" w:hAnsi="ITC Avant Garde" w:cs="Arial"/>
        </w:rPr>
      </w:pPr>
      <w:r w:rsidRPr="00F80C26">
        <w:rPr>
          <w:rFonts w:ascii="ITC Avant Garde" w:hAnsi="ITC Avant Garde" w:cs="Arial"/>
          <w:i/>
        </w:rPr>
        <w:t>Nodos nacionales –</w:t>
      </w:r>
      <w:r w:rsidRPr="00F80C26">
        <w:rPr>
          <w:rFonts w:ascii="ITC Avant Garde" w:hAnsi="ITC Avant Garde" w:cs="Arial"/>
        </w:rPr>
        <w:t xml:space="preserve"> son nodos core que tienen otras funciones como hospedar plataformas de red adicionales; se considera 9 nodos de este tipo.</w:t>
      </w:r>
    </w:p>
    <w:p w14:paraId="36232288" w14:textId="77777777" w:rsidR="002816EE" w:rsidRPr="00177A2B" w:rsidRDefault="002816EE" w:rsidP="007E036D">
      <w:pPr>
        <w:jc w:val="both"/>
        <w:rPr>
          <w:rFonts w:ascii="ITC Avant Garde" w:hAnsi="ITC Avant Garde" w:cs="Arial"/>
        </w:rPr>
      </w:pPr>
      <w:r w:rsidRPr="00177A2B">
        <w:rPr>
          <w:rFonts w:ascii="ITC Avant Garde" w:hAnsi="ITC Avant Garde" w:cs="Arial"/>
        </w:rPr>
        <w:t>De manera conceptual se ha dividido a México en nueve regiones, las cuales coinciden con las de telefonía celular y PCS. Cada una de ellas cuenta con un nodo nacional que permite la interconexión y el tránsito.</w:t>
      </w:r>
    </w:p>
    <w:p w14:paraId="7CF088E1" w14:textId="17042662" w:rsidR="002816EE" w:rsidRPr="00F80C26" w:rsidRDefault="002816EE" w:rsidP="007E036D">
      <w:pPr>
        <w:jc w:val="both"/>
        <w:rPr>
          <w:rFonts w:ascii="ITC Avant Garde" w:hAnsi="ITC Avant Garde" w:cs="Arial"/>
        </w:rPr>
      </w:pPr>
      <w:r w:rsidRPr="00177A2B">
        <w:rPr>
          <w:rFonts w:ascii="ITC Avant Garde" w:hAnsi="ITC Avant Garde" w:cs="Arial"/>
        </w:rPr>
        <w:t xml:space="preserve">En el caso del Modelo Móvil se diseña una red con un despliegue que da </w:t>
      </w:r>
      <w:r w:rsidRPr="00F80C26">
        <w:rPr>
          <w:rFonts w:ascii="ITC Avant Garde" w:hAnsi="ITC Avant Garde" w:cs="Arial"/>
        </w:rPr>
        <w:t xml:space="preserve">cobertura al </w:t>
      </w:r>
      <w:r w:rsidR="00EF6075">
        <w:rPr>
          <w:rFonts w:ascii="ITC Avant Garde" w:hAnsi="ITC Avant Garde" w:cs="Arial"/>
        </w:rPr>
        <w:t>89</w:t>
      </w:r>
      <w:r w:rsidRPr="00F80C26">
        <w:rPr>
          <w:rFonts w:ascii="ITC Avant Garde" w:hAnsi="ITC Avant Garde" w:cs="Arial"/>
        </w:rPr>
        <w:t>%</w:t>
      </w:r>
      <w:r w:rsidR="00D70A70">
        <w:rPr>
          <w:rFonts w:ascii="ITC Avant Garde" w:hAnsi="ITC Avant Garde" w:cs="Arial"/>
        </w:rPr>
        <w:t xml:space="preserve"> o 94% </w:t>
      </w:r>
      <w:r w:rsidRPr="00F80C26">
        <w:rPr>
          <w:rFonts w:ascii="ITC Avant Garde" w:hAnsi="ITC Avant Garde" w:cs="Arial"/>
        </w:rPr>
        <w:t>de la población</w:t>
      </w:r>
      <w:r w:rsidR="00D70A70">
        <w:rPr>
          <w:rFonts w:ascii="ITC Avant Garde" w:hAnsi="ITC Avant Garde" w:cs="Arial"/>
        </w:rPr>
        <w:t xml:space="preserve"> para el operador móvil alternativo e </w:t>
      </w:r>
      <w:r w:rsidR="007D3700">
        <w:rPr>
          <w:rFonts w:ascii="ITC Avant Garde" w:hAnsi="ITC Avant Garde" w:cs="Arial"/>
        </w:rPr>
        <w:t xml:space="preserve">histórico </w:t>
      </w:r>
      <w:r w:rsidR="00D70A70">
        <w:rPr>
          <w:rFonts w:ascii="ITC Avant Garde" w:hAnsi="ITC Avant Garde" w:cs="Arial"/>
        </w:rPr>
        <w:t>respectivamente</w:t>
      </w:r>
      <w:r w:rsidRPr="00F80C26">
        <w:rPr>
          <w:rFonts w:ascii="ITC Avant Garde" w:hAnsi="ITC Avant Garde" w:cs="Arial"/>
        </w:rPr>
        <w:t xml:space="preserve">. Para ello se definen </w:t>
      </w:r>
      <w:r w:rsidR="00D70A70">
        <w:rPr>
          <w:rFonts w:ascii="ITC Avant Garde" w:hAnsi="ITC Avant Garde" w:cs="Arial"/>
        </w:rPr>
        <w:t>cuatro</w:t>
      </w:r>
      <w:r w:rsidR="00D70A70" w:rsidRPr="00F80C26">
        <w:rPr>
          <w:rFonts w:ascii="ITC Avant Garde" w:hAnsi="ITC Avant Garde" w:cs="Arial"/>
        </w:rPr>
        <w:t xml:space="preserve"> </w:t>
      </w:r>
      <w:r w:rsidRPr="00F80C26">
        <w:rPr>
          <w:rFonts w:ascii="ITC Avant Garde" w:hAnsi="ITC Avant Garde" w:cs="Arial"/>
        </w:rPr>
        <w:t>geotipos según la densidad de población, los cuales permiten cubrir la totalidad del territorio nacional: urbano, suburbano, rural y carreteras.</w:t>
      </w:r>
    </w:p>
    <w:p w14:paraId="32C018E6" w14:textId="3F86FCE7" w:rsidR="002816EE" w:rsidRPr="00F80C26" w:rsidRDefault="002816EE" w:rsidP="007E036D">
      <w:pPr>
        <w:jc w:val="both"/>
        <w:rPr>
          <w:rFonts w:ascii="ITC Avant Garde" w:hAnsi="ITC Avant Garde" w:cs="Arial"/>
        </w:rPr>
      </w:pPr>
      <w:r w:rsidRPr="00F80C26">
        <w:rPr>
          <w:rFonts w:ascii="ITC Avant Garde" w:hAnsi="ITC Avant Garde" w:cs="Arial"/>
        </w:rPr>
        <w:t>El operador hipotético presta sus servicios de voz en la banda de 850MHz. Cuando es necesario añadir capacidad adicional de voz se hace en la banda de 1900MHz. Asimismo, el despliegue de UMTS se realiza únicamente en los geotipos urbano y suburbano en la banda de 1900MHz ya que se trata de un despliegue de capacidad.</w:t>
      </w:r>
      <w:r w:rsidR="001D06B5">
        <w:rPr>
          <w:rFonts w:ascii="ITC Avant Garde" w:hAnsi="ITC Avant Garde" w:cs="Arial"/>
        </w:rPr>
        <w:t xml:space="preserve"> El </w:t>
      </w:r>
      <w:r w:rsidR="001D06B5">
        <w:rPr>
          <w:rFonts w:ascii="ITC Avant Garde" w:hAnsi="ITC Avant Garde" w:cs="Arial"/>
        </w:rPr>
        <w:lastRenderedPageBreak/>
        <w:t>tráfico de datos emplea, además de las bandas antes mencionadas, la tecnología LTE sobre la banda 1700-2100MHz.</w:t>
      </w:r>
    </w:p>
    <w:p w14:paraId="0E87FE75" w14:textId="6E10AA29" w:rsidR="002816EE" w:rsidRPr="00541098" w:rsidRDefault="002816EE" w:rsidP="007E036D">
      <w:pPr>
        <w:keepLines/>
        <w:pBdr>
          <w:top w:val="single" w:sz="4" w:space="2" w:color="D9D9D9" w:themeColor="background1" w:themeShade="D9"/>
          <w:bottom w:val="single" w:sz="4" w:space="5" w:color="D9D9D9" w:themeColor="background1" w:themeShade="D9"/>
        </w:pBdr>
        <w:shd w:val="clear" w:color="auto" w:fill="F2F2F2"/>
        <w:ind w:left="284" w:right="284"/>
        <w:jc w:val="both"/>
        <w:rPr>
          <w:rFonts w:ascii="ITC Avant Garde" w:hAnsi="ITC Avant Garde" w:cs="Arial"/>
        </w:rPr>
      </w:pPr>
      <w:r w:rsidRPr="00F80C26">
        <w:rPr>
          <w:rFonts w:ascii="ITC Avant Garde" w:hAnsi="ITC Avant Garde" w:cs="Arial"/>
        </w:rPr>
        <w:t xml:space="preserve">11. ¿Considera adecuada la estructura de red del operador fijo modelado presentada en las </w:t>
      </w:r>
      <w:r w:rsidRPr="00541098">
        <w:rPr>
          <w:rFonts w:ascii="ITC Avant Garde" w:hAnsi="ITC Avant Garde" w:cs="Arial"/>
        </w:rPr>
        <w:t>diapositivas</w:t>
      </w:r>
      <w:r w:rsidR="005E0597" w:rsidRPr="00541098">
        <w:rPr>
          <w:rFonts w:ascii="ITC Avant Garde" w:hAnsi="ITC Avant Garde" w:cs="Arial"/>
        </w:rPr>
        <w:t xml:space="preserve"> </w:t>
      </w:r>
      <w:r w:rsidR="00802C72" w:rsidRPr="00541098">
        <w:rPr>
          <w:rFonts w:ascii="ITC Avant Garde" w:hAnsi="ITC Avant Garde" w:cs="Arial"/>
        </w:rPr>
        <w:t>30 y 31</w:t>
      </w:r>
      <w:r w:rsidRPr="00541098">
        <w:rPr>
          <w:rFonts w:ascii="ITC Avant Garde" w:hAnsi="ITC Avant Garde" w:cs="Arial"/>
        </w:rPr>
        <w:t xml:space="preserve"> de la Documentación del Modelo? De no ser así, ¿cuál sería, en su opinión, una arquitectura de red adecuada? </w:t>
      </w:r>
    </w:p>
    <w:p w14:paraId="12398C3F" w14:textId="125C8A51" w:rsidR="002816EE" w:rsidRPr="00541098" w:rsidRDefault="002816EE" w:rsidP="007E036D">
      <w:pPr>
        <w:keepLines/>
        <w:pBdr>
          <w:top w:val="single" w:sz="4" w:space="2" w:color="D9D9D9" w:themeColor="background1" w:themeShade="D9"/>
          <w:bottom w:val="single" w:sz="4" w:space="5" w:color="D9D9D9" w:themeColor="background1" w:themeShade="D9"/>
        </w:pBdr>
        <w:shd w:val="clear" w:color="auto" w:fill="F2F2F2"/>
        <w:ind w:left="284" w:right="284"/>
        <w:jc w:val="both"/>
        <w:rPr>
          <w:rFonts w:ascii="ITC Avant Garde" w:hAnsi="ITC Avant Garde" w:cs="Arial"/>
        </w:rPr>
      </w:pPr>
      <w:r w:rsidRPr="00541098">
        <w:rPr>
          <w:rFonts w:ascii="ITC Avant Garde" w:hAnsi="ITC Avant Garde" w:cs="Arial"/>
        </w:rPr>
        <w:t>12. ¿Está de acuerdo con la definición de los geotipos del Modelo Móvil presentados en las diapositivas 45 y 46 de la Documentación del Modelo?</w:t>
      </w:r>
    </w:p>
    <w:p w14:paraId="44C61A23" w14:textId="7184624D" w:rsidR="002816EE" w:rsidRPr="00177A2B" w:rsidRDefault="002816EE" w:rsidP="007E036D">
      <w:pPr>
        <w:keepLines/>
        <w:pBdr>
          <w:top w:val="single" w:sz="4" w:space="2" w:color="D9D9D9" w:themeColor="background1" w:themeShade="D9"/>
          <w:bottom w:val="single" w:sz="4" w:space="5" w:color="D9D9D9" w:themeColor="background1" w:themeShade="D9"/>
        </w:pBdr>
        <w:shd w:val="clear" w:color="auto" w:fill="F2F2F2"/>
        <w:ind w:left="284" w:right="284"/>
        <w:jc w:val="both"/>
        <w:rPr>
          <w:rFonts w:ascii="ITC Avant Garde" w:hAnsi="ITC Avant Garde" w:cs="Arial"/>
        </w:rPr>
      </w:pPr>
      <w:r w:rsidRPr="00541098">
        <w:rPr>
          <w:rFonts w:ascii="ITC Avant Garde" w:hAnsi="ITC Avant Garde" w:cs="Arial"/>
        </w:rPr>
        <w:t xml:space="preserve">13. ¿Está de acuerdo con la definición de las 9 regiones consideradas en el Modelo Fijo presentadas en la diapositiva </w:t>
      </w:r>
      <w:r w:rsidR="000520B9" w:rsidRPr="00541098">
        <w:rPr>
          <w:rFonts w:ascii="ITC Avant Garde" w:hAnsi="ITC Avant Garde" w:cs="Arial"/>
        </w:rPr>
        <w:t xml:space="preserve">36 </w:t>
      </w:r>
      <w:r w:rsidRPr="00541098">
        <w:rPr>
          <w:rFonts w:ascii="ITC Avant Garde" w:hAnsi="ITC Avant Garde" w:cs="Arial"/>
        </w:rPr>
        <w:t xml:space="preserve">de la </w:t>
      </w:r>
      <w:r w:rsidRPr="00F80C26">
        <w:rPr>
          <w:rFonts w:ascii="ITC Avant Garde" w:hAnsi="ITC Avant Garde" w:cs="Arial"/>
        </w:rPr>
        <w:t>Documentación del Modelo? En caso contrario, argumente razonadamente su desacuerdo.</w:t>
      </w:r>
    </w:p>
    <w:p w14:paraId="7EE594F7" w14:textId="77777777" w:rsidR="002816EE" w:rsidRPr="00177A2B" w:rsidRDefault="002816EE" w:rsidP="007E036D">
      <w:pPr>
        <w:keepNext/>
        <w:keepLines/>
        <w:numPr>
          <w:ilvl w:val="1"/>
          <w:numId w:val="12"/>
        </w:numPr>
        <w:spacing w:before="360" w:after="240" w:line="320" w:lineRule="atLeast"/>
        <w:ind w:left="567"/>
        <w:jc w:val="both"/>
        <w:outlineLvl w:val="1"/>
        <w:rPr>
          <w:rFonts w:ascii="ITC Avant Garde" w:eastAsia="Times New Roman" w:hAnsi="ITC Avant Garde" w:cs="Arial"/>
          <w:b/>
          <w:bCs/>
          <w:sz w:val="24"/>
          <w:szCs w:val="26"/>
        </w:rPr>
      </w:pPr>
      <w:bookmarkStart w:id="9" w:name="_Toc323285060"/>
      <w:r w:rsidRPr="00177A2B">
        <w:rPr>
          <w:rFonts w:ascii="ITC Avant Garde" w:eastAsia="Times New Roman" w:hAnsi="ITC Avant Garde" w:cs="Arial"/>
          <w:b/>
          <w:bCs/>
          <w:sz w:val="24"/>
          <w:szCs w:val="26"/>
        </w:rPr>
        <w:t>Aspectos relacionados con los servicios</w:t>
      </w:r>
      <w:bookmarkEnd w:id="9"/>
    </w:p>
    <w:p w14:paraId="4890C948" w14:textId="77777777" w:rsidR="002816EE" w:rsidRPr="00177A2B" w:rsidRDefault="002816EE" w:rsidP="007E036D">
      <w:pPr>
        <w:keepNext/>
        <w:keepLines/>
        <w:numPr>
          <w:ilvl w:val="2"/>
          <w:numId w:val="12"/>
        </w:numPr>
        <w:spacing w:before="360" w:after="240" w:line="320" w:lineRule="atLeast"/>
        <w:ind w:left="567"/>
        <w:jc w:val="both"/>
        <w:outlineLvl w:val="2"/>
        <w:rPr>
          <w:rFonts w:ascii="ITC Avant Garde" w:eastAsia="Times New Roman" w:hAnsi="ITC Avant Garde" w:cs="Arial"/>
          <w:b/>
          <w:bCs/>
        </w:rPr>
      </w:pPr>
      <w:r w:rsidRPr="00177A2B">
        <w:rPr>
          <w:rFonts w:ascii="ITC Avant Garde" w:eastAsia="Times New Roman" w:hAnsi="ITC Avant Garde" w:cs="Arial"/>
          <w:b/>
          <w:bCs/>
        </w:rPr>
        <w:t>Servicios a modelar</w:t>
      </w:r>
    </w:p>
    <w:p w14:paraId="7586AB3D" w14:textId="77777777" w:rsidR="002816EE" w:rsidRPr="00177A2B" w:rsidRDefault="002816EE" w:rsidP="007E036D">
      <w:pPr>
        <w:jc w:val="both"/>
        <w:rPr>
          <w:rFonts w:ascii="ITC Avant Garde" w:hAnsi="ITC Avant Garde" w:cs="Arial"/>
        </w:rPr>
      </w:pPr>
      <w:r w:rsidRPr="00177A2B">
        <w:rPr>
          <w:rFonts w:ascii="ITC Avant Garde" w:hAnsi="ITC Avant Garde" w:cs="Arial"/>
        </w:rPr>
        <w:t>En las redes NGN cobran relevancia las economías de alcance, es decir, las reducciones de costos que se obtienen cuando por la misma infraestructura se presta una amplia gama de servicios.</w:t>
      </w:r>
    </w:p>
    <w:p w14:paraId="4A644C6E" w14:textId="77777777" w:rsidR="002816EE" w:rsidRPr="00177A2B" w:rsidRDefault="002816EE" w:rsidP="007E036D">
      <w:pPr>
        <w:jc w:val="both"/>
        <w:rPr>
          <w:rFonts w:ascii="ITC Avant Garde" w:hAnsi="ITC Avant Garde" w:cs="Arial"/>
        </w:rPr>
      </w:pPr>
      <w:r w:rsidRPr="00177A2B">
        <w:rPr>
          <w:rFonts w:ascii="ITC Avant Garde" w:hAnsi="ITC Avant Garde" w:cs="Arial"/>
        </w:rPr>
        <w:t>En este sentido es necesario definir claramente cuáles serán los servicios a modelar. Si</w:t>
      </w:r>
      <w:r>
        <w:rPr>
          <w:rFonts w:ascii="ITC Avant Garde" w:hAnsi="ITC Avant Garde" w:cs="Arial"/>
        </w:rPr>
        <w:t xml:space="preserve"> </w:t>
      </w:r>
      <w:r w:rsidRPr="00177A2B">
        <w:rPr>
          <w:rFonts w:ascii="ITC Avant Garde" w:hAnsi="ITC Avant Garde" w:cs="Arial"/>
        </w:rPr>
        <w:t>bien los Modelos de Costos tienen como propósito calcular el costo de los servicios de interconexión, se debe incluir una lista completa de los servicios de voz y datos a fin de que las redes sean correctamente dimensionadas y los costos completamente recuperados a través de los volúmenes de tráfico correspondientes.</w:t>
      </w:r>
    </w:p>
    <w:p w14:paraId="04D4E8D0" w14:textId="77777777" w:rsidR="002816EE" w:rsidRPr="00177A2B" w:rsidRDefault="002816EE" w:rsidP="007E036D">
      <w:pPr>
        <w:jc w:val="both"/>
        <w:rPr>
          <w:rFonts w:ascii="ITC Avant Garde" w:hAnsi="ITC Avant Garde" w:cs="Arial"/>
        </w:rPr>
      </w:pPr>
      <w:r w:rsidRPr="00177A2B">
        <w:rPr>
          <w:rFonts w:ascii="ITC Avant Garde" w:hAnsi="ITC Avant Garde" w:cs="Arial"/>
        </w:rPr>
        <w:t xml:space="preserve">En el caso de los servicios que no son de voz, existen algunos que han tenido un comportamiento más estable en el tiempo, como es el caso de los servicios de SMS. Sin embargo, otros servicios de reciente surgimiento pueden dar lugar a más incertidumbre en sus pronósticos. </w:t>
      </w:r>
    </w:p>
    <w:p w14:paraId="76F426A9" w14:textId="77777777" w:rsidR="002816EE" w:rsidRPr="00177A2B" w:rsidRDefault="002816EE" w:rsidP="007E036D">
      <w:pPr>
        <w:jc w:val="both"/>
        <w:rPr>
          <w:rFonts w:ascii="ITC Avant Garde" w:hAnsi="ITC Avant Garde" w:cs="Arial"/>
          <w:spacing w:val="-4"/>
        </w:rPr>
      </w:pPr>
      <w:r w:rsidRPr="00177A2B">
        <w:rPr>
          <w:rFonts w:ascii="ITC Avant Garde" w:hAnsi="ITC Avant Garde" w:cs="Arial"/>
          <w:spacing w:val="-4"/>
        </w:rPr>
        <w:t>En este sentido, en el Enfoque Conceptual se definen 20 servicios que pueden ser prestados sobre redes fijas, y 21 servicios que pueden ser prestados sobre redes móviles.</w:t>
      </w:r>
    </w:p>
    <w:p w14:paraId="0F7C1CF4" w14:textId="77777777" w:rsidR="002816EE" w:rsidRPr="00177A2B"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ind w:left="284" w:right="284"/>
        <w:jc w:val="both"/>
        <w:rPr>
          <w:rFonts w:ascii="ITC Avant Garde" w:hAnsi="ITC Avant Garde" w:cs="Arial"/>
        </w:rPr>
      </w:pPr>
      <w:r>
        <w:rPr>
          <w:rFonts w:ascii="ITC Avant Garde" w:hAnsi="ITC Avant Garde" w:cs="Arial"/>
        </w:rPr>
        <w:t>14</w:t>
      </w:r>
      <w:r w:rsidRPr="00177A2B">
        <w:rPr>
          <w:rFonts w:ascii="ITC Avant Garde" w:hAnsi="ITC Avant Garde" w:cs="Arial"/>
        </w:rPr>
        <w:t>. ¿Tiene comentarios respecto de los conceptos 15 a 18 propuestos en el Enfoque Conceptual?</w:t>
      </w:r>
    </w:p>
    <w:p w14:paraId="276F8459" w14:textId="77777777" w:rsidR="002816EE" w:rsidRPr="00177A2B" w:rsidRDefault="002816EE" w:rsidP="007E036D">
      <w:pPr>
        <w:keepLines/>
        <w:pBdr>
          <w:top w:val="single" w:sz="4" w:space="2" w:color="D9D9D9" w:themeColor="background1" w:themeShade="D9"/>
          <w:bottom w:val="single" w:sz="4" w:space="5" w:color="D9D9D9" w:themeColor="background1" w:themeShade="D9"/>
        </w:pBdr>
        <w:shd w:val="clear" w:color="auto" w:fill="F2F2F2"/>
        <w:ind w:left="284" w:right="284"/>
        <w:jc w:val="both"/>
        <w:rPr>
          <w:rFonts w:ascii="ITC Avant Garde" w:hAnsi="ITC Avant Garde" w:cs="Arial"/>
        </w:rPr>
      </w:pPr>
      <w:r>
        <w:rPr>
          <w:rFonts w:ascii="ITC Avant Garde" w:hAnsi="ITC Avant Garde" w:cs="Arial"/>
        </w:rPr>
        <w:t>15</w:t>
      </w:r>
      <w:r w:rsidRPr="00177A2B">
        <w:rPr>
          <w:rFonts w:ascii="ITC Avant Garde" w:hAnsi="ITC Avant Garde" w:cs="Arial"/>
        </w:rPr>
        <w:t>. ¿Está de acuerdo con los servicios considerados en los Modelos de Costos para el mercado fijo y móvil mexicano?</w:t>
      </w:r>
    </w:p>
    <w:p w14:paraId="7C351DA6" w14:textId="77777777" w:rsidR="002816EE" w:rsidRPr="00177A2B" w:rsidRDefault="002816EE" w:rsidP="007E036D">
      <w:pPr>
        <w:keepNext/>
        <w:keepLines/>
        <w:numPr>
          <w:ilvl w:val="2"/>
          <w:numId w:val="12"/>
        </w:numPr>
        <w:spacing w:before="360" w:after="240" w:line="320" w:lineRule="atLeast"/>
        <w:ind w:left="567"/>
        <w:jc w:val="both"/>
        <w:outlineLvl w:val="2"/>
        <w:rPr>
          <w:rFonts w:ascii="ITC Avant Garde" w:eastAsia="Times New Roman" w:hAnsi="ITC Avant Garde" w:cs="Arial"/>
          <w:b/>
          <w:bCs/>
        </w:rPr>
      </w:pPr>
      <w:r w:rsidRPr="00177A2B">
        <w:rPr>
          <w:rFonts w:ascii="ITC Avant Garde" w:eastAsia="Times New Roman" w:hAnsi="ITC Avant Garde" w:cs="Arial"/>
          <w:b/>
          <w:bCs/>
        </w:rPr>
        <w:lastRenderedPageBreak/>
        <w:t>Volúmenes de tráfico</w:t>
      </w:r>
    </w:p>
    <w:p w14:paraId="1CBF68E9" w14:textId="77777777" w:rsidR="002816EE" w:rsidRPr="00177A2B" w:rsidRDefault="002816EE" w:rsidP="007E036D">
      <w:pPr>
        <w:jc w:val="both"/>
        <w:rPr>
          <w:rFonts w:ascii="ITC Avant Garde" w:hAnsi="ITC Avant Garde" w:cs="Arial"/>
        </w:rPr>
      </w:pPr>
      <w:r w:rsidRPr="00177A2B">
        <w:rPr>
          <w:rFonts w:ascii="ITC Avant Garde" w:hAnsi="ITC Avant Garde" w:cs="Arial"/>
        </w:rPr>
        <w:t xml:space="preserve">El modelo de mercado proporciona los pronósticos de volúmenes de tráfico que se utilizan en los Modelos de Costos. Para asegurar la coherencia entre los diferentes modelos, se realiza una única proyección de demanda, que es utilizada tanto en el Modelo Fijo como en el Modelo Móvil. </w:t>
      </w:r>
    </w:p>
    <w:p w14:paraId="76287301" w14:textId="77777777" w:rsidR="002816EE" w:rsidRPr="00177A2B" w:rsidRDefault="002816EE" w:rsidP="007E036D">
      <w:pPr>
        <w:jc w:val="both"/>
        <w:rPr>
          <w:rFonts w:ascii="ITC Avant Garde" w:hAnsi="ITC Avant Garde" w:cs="Arial"/>
        </w:rPr>
      </w:pPr>
      <w:r w:rsidRPr="00177A2B">
        <w:rPr>
          <w:rFonts w:ascii="ITC Avant Garde" w:hAnsi="ITC Avant Garde" w:cs="Arial"/>
        </w:rPr>
        <w:t>Las principales características de los pronósticos realizados son las siguientes:</w:t>
      </w:r>
    </w:p>
    <w:p w14:paraId="08D0EEB1" w14:textId="011B9CE8" w:rsidR="002816EE" w:rsidRPr="00177A2B" w:rsidRDefault="002816EE" w:rsidP="007E036D">
      <w:pPr>
        <w:numPr>
          <w:ilvl w:val="0"/>
          <w:numId w:val="6"/>
        </w:numPr>
        <w:spacing w:after="0" w:line="320" w:lineRule="atLeast"/>
        <w:ind w:left="357" w:hanging="357"/>
        <w:jc w:val="both"/>
        <w:rPr>
          <w:rFonts w:ascii="ITC Avant Garde" w:hAnsi="ITC Avant Garde" w:cs="Arial"/>
        </w:rPr>
      </w:pPr>
      <w:r w:rsidRPr="00177A2B">
        <w:rPr>
          <w:rFonts w:ascii="ITC Avant Garde" w:hAnsi="ITC Avant Garde" w:cs="Arial"/>
        </w:rPr>
        <w:t xml:space="preserve">se realizan </w:t>
      </w:r>
      <w:r w:rsidR="00213EED">
        <w:rPr>
          <w:rFonts w:ascii="ITC Avant Garde" w:hAnsi="ITC Avant Garde" w:cs="Arial"/>
        </w:rPr>
        <w:t>con</w:t>
      </w:r>
      <w:r w:rsidR="00213EED" w:rsidRPr="00177A2B">
        <w:rPr>
          <w:rFonts w:ascii="ITC Avant Garde" w:hAnsi="ITC Avant Garde" w:cs="Arial"/>
        </w:rPr>
        <w:t xml:space="preserve"> </w:t>
      </w:r>
      <w:r w:rsidRPr="00177A2B">
        <w:rPr>
          <w:rFonts w:ascii="ITC Avant Garde" w:hAnsi="ITC Avant Garde" w:cs="Arial"/>
        </w:rPr>
        <w:t xml:space="preserve">base </w:t>
      </w:r>
      <w:r w:rsidR="007D3700">
        <w:rPr>
          <w:rFonts w:ascii="ITC Avant Garde" w:hAnsi="ITC Avant Garde" w:cs="Arial"/>
        </w:rPr>
        <w:t>en</w:t>
      </w:r>
      <w:r w:rsidR="007D3700" w:rsidRPr="00177A2B">
        <w:rPr>
          <w:rFonts w:ascii="ITC Avant Garde" w:hAnsi="ITC Avant Garde" w:cs="Arial"/>
        </w:rPr>
        <w:t xml:space="preserve"> </w:t>
      </w:r>
      <w:r w:rsidRPr="00177A2B">
        <w:rPr>
          <w:rFonts w:ascii="ITC Avant Garde" w:hAnsi="ITC Avant Garde" w:cs="Arial"/>
        </w:rPr>
        <w:t>proyecciones de suscriptores y de tráfico por suscriptor</w:t>
      </w:r>
    </w:p>
    <w:p w14:paraId="5261C38F" w14:textId="77777777" w:rsidR="002816EE" w:rsidRPr="00177A2B" w:rsidRDefault="002816EE" w:rsidP="007E036D">
      <w:pPr>
        <w:numPr>
          <w:ilvl w:val="0"/>
          <w:numId w:val="6"/>
        </w:numPr>
        <w:spacing w:after="0" w:line="320" w:lineRule="atLeast"/>
        <w:ind w:left="357" w:hanging="357"/>
        <w:jc w:val="both"/>
        <w:rPr>
          <w:rFonts w:ascii="ITC Avant Garde" w:hAnsi="ITC Avant Garde" w:cs="Arial"/>
        </w:rPr>
      </w:pPr>
      <w:r w:rsidRPr="00177A2B">
        <w:rPr>
          <w:rFonts w:ascii="ITC Avant Garde" w:hAnsi="ITC Avant Garde" w:cs="Arial"/>
        </w:rPr>
        <w:t>los pronósticos se realizan para un periodo de tiempo de diez años; posteriormente se supone que el tráfico se estabiliza hasta cubrir el total del periodo modelado (50 años)</w:t>
      </w:r>
    </w:p>
    <w:p w14:paraId="0B9814D4" w14:textId="77777777" w:rsidR="002816EE" w:rsidRPr="00177A2B" w:rsidRDefault="002816EE" w:rsidP="007E036D">
      <w:pPr>
        <w:numPr>
          <w:ilvl w:val="0"/>
          <w:numId w:val="6"/>
        </w:numPr>
        <w:spacing w:after="240" w:line="320" w:lineRule="atLeast"/>
        <w:ind w:left="357" w:hanging="357"/>
        <w:jc w:val="both"/>
        <w:rPr>
          <w:rFonts w:ascii="ITC Avant Garde" w:hAnsi="ITC Avant Garde" w:cs="Arial"/>
        </w:rPr>
      </w:pPr>
      <w:r w:rsidRPr="00177A2B">
        <w:rPr>
          <w:rFonts w:ascii="ITC Avant Garde" w:hAnsi="ITC Avant Garde" w:cs="Arial"/>
        </w:rPr>
        <w:t>si bien el Instituto considera que el escenario base es el más adecuado para el cálculo de los costos de interconexión, se presentan dos escenarios adicionales (conservador y agresivo), los cuales permiten realizar análisis de sensibilidad sobre los resultados obtenidos.</w:t>
      </w:r>
    </w:p>
    <w:p w14:paraId="6463AE41" w14:textId="689E014F" w:rsidR="002816EE" w:rsidRPr="00CB415B" w:rsidRDefault="002816EE" w:rsidP="007E036D">
      <w:pPr>
        <w:jc w:val="both"/>
        <w:rPr>
          <w:rFonts w:ascii="ITC Avant Garde" w:hAnsi="ITC Avant Garde" w:cs="Arial"/>
        </w:rPr>
      </w:pPr>
      <w:r w:rsidRPr="00CB415B">
        <w:rPr>
          <w:rFonts w:ascii="ITC Avant Garde" w:hAnsi="ITC Avant Garde" w:cs="Arial"/>
        </w:rPr>
        <w:t xml:space="preserve">En el caso del mercado fijo, el modelo de mercado realiza pronósticos sobre suscriptores fijos y demanda de servicios de voz de telefonía fija. En línea con las tendencias internacionales se prevé una disminución de la </w:t>
      </w:r>
      <w:r w:rsidR="00946BEE" w:rsidRPr="00CB415B">
        <w:rPr>
          <w:rFonts w:ascii="ITC Avant Garde" w:hAnsi="ITC Avant Garde" w:cs="Arial"/>
        </w:rPr>
        <w:t xml:space="preserve">penetración </w:t>
      </w:r>
      <w:r w:rsidRPr="00CB415B">
        <w:rPr>
          <w:rFonts w:ascii="ITC Avant Garde" w:hAnsi="ITC Avant Garde" w:cs="Arial"/>
        </w:rPr>
        <w:t>fija de voz, así como en el tráfico que es originado por usuario fijo. No obstante, se considera que el tráfico terminado por usuario se incrementará debido principalmente al tráfico proveniente de las redes móviles.</w:t>
      </w:r>
    </w:p>
    <w:p w14:paraId="5F20D804" w14:textId="77777777" w:rsidR="002816EE" w:rsidRPr="00CB415B" w:rsidRDefault="002816EE" w:rsidP="007E036D">
      <w:pPr>
        <w:jc w:val="both"/>
        <w:rPr>
          <w:rFonts w:ascii="ITC Avant Garde" w:hAnsi="ITC Avant Garde" w:cs="Arial"/>
        </w:rPr>
      </w:pPr>
      <w:r w:rsidRPr="00CB415B">
        <w:rPr>
          <w:rFonts w:ascii="ITC Avant Garde" w:hAnsi="ITC Avant Garde" w:cs="Arial"/>
        </w:rPr>
        <w:t xml:space="preserve">Asimismo, se considera que se incrementará la penetración de los servicios de banda ancha fija. La demanda provendrá del crecimiento del mercado de banda ancha, seguido del mercado de enlaces dedicados. </w:t>
      </w:r>
    </w:p>
    <w:p w14:paraId="0A0BFA95" w14:textId="10A519FB" w:rsidR="002816EE" w:rsidRPr="00CB415B" w:rsidRDefault="002816EE" w:rsidP="007E036D">
      <w:pPr>
        <w:jc w:val="both"/>
        <w:rPr>
          <w:rFonts w:ascii="ITC Avant Garde" w:hAnsi="ITC Avant Garde" w:cs="Arial"/>
        </w:rPr>
      </w:pPr>
      <w:r w:rsidRPr="00CB415B">
        <w:rPr>
          <w:rFonts w:ascii="ITC Avant Garde" w:hAnsi="ITC Avant Garde" w:cs="Arial"/>
        </w:rPr>
        <w:t xml:space="preserve">El Modelo de Costos </w:t>
      </w:r>
      <w:r w:rsidR="007E179D" w:rsidRPr="00CB415B">
        <w:rPr>
          <w:rFonts w:ascii="ITC Avant Garde" w:hAnsi="ITC Avant Garde" w:cs="Arial"/>
        </w:rPr>
        <w:t xml:space="preserve">permite que </w:t>
      </w:r>
      <w:r w:rsidRPr="00CB415B">
        <w:rPr>
          <w:rFonts w:ascii="ITC Avant Garde" w:hAnsi="ITC Avant Garde" w:cs="Arial"/>
        </w:rPr>
        <w:t xml:space="preserve">el operador hipotético existente modelado cuente con la capacidad y pueda prestar los servicios de televisión de pago. En este sentido se realizan pronósticos acerca del crecimiento del mercado de televisión restringida. </w:t>
      </w:r>
    </w:p>
    <w:p w14:paraId="0898D38A" w14:textId="77777777" w:rsidR="002816EE" w:rsidRPr="00CB415B" w:rsidRDefault="002816EE" w:rsidP="007E036D">
      <w:pPr>
        <w:jc w:val="both"/>
        <w:rPr>
          <w:rFonts w:ascii="ITC Avant Garde" w:hAnsi="ITC Avant Garde" w:cs="Arial"/>
        </w:rPr>
      </w:pPr>
      <w:r w:rsidRPr="00CB415B">
        <w:rPr>
          <w:rFonts w:ascii="ITC Avant Garde" w:hAnsi="ITC Avant Garde" w:cs="Arial"/>
        </w:rPr>
        <w:t>En el caso de los servicios móviles, se pronostica un crecimiento tanto de la penetración de los servicios como del tráfico por usuario, lo que conllevará a una fuerte subida en el tráfico de voz durante el horizonte de pronóstico.</w:t>
      </w:r>
    </w:p>
    <w:p w14:paraId="69F80B74" w14:textId="5212899D" w:rsidR="002816EE" w:rsidRPr="00CB415B" w:rsidRDefault="002816EE" w:rsidP="007E036D">
      <w:pPr>
        <w:jc w:val="both"/>
        <w:rPr>
          <w:rFonts w:ascii="ITC Avant Garde" w:hAnsi="ITC Avant Garde" w:cs="Arial"/>
        </w:rPr>
      </w:pPr>
      <w:r w:rsidRPr="00CB415B">
        <w:rPr>
          <w:rFonts w:ascii="ITC Avant Garde" w:hAnsi="ITC Avant Garde" w:cs="Arial"/>
        </w:rPr>
        <w:t xml:space="preserve">Asimismo, se observa que el modelo de mercado prevé un crecimiento </w:t>
      </w:r>
      <w:r w:rsidR="007E179D" w:rsidRPr="00CB415B">
        <w:rPr>
          <w:rFonts w:ascii="ITC Avant Garde" w:hAnsi="ITC Avant Garde" w:cs="Arial"/>
        </w:rPr>
        <w:t xml:space="preserve">importante </w:t>
      </w:r>
      <w:r w:rsidRPr="00CB415B">
        <w:rPr>
          <w:rFonts w:ascii="ITC Avant Garde" w:hAnsi="ITC Avant Garde" w:cs="Arial"/>
        </w:rPr>
        <w:t>de la penetración de suscripciones de banda ancha móvil, así como del uso promedio por usuario del servicio</w:t>
      </w:r>
      <w:r w:rsidR="007E179D" w:rsidRPr="00CB415B">
        <w:rPr>
          <w:rFonts w:ascii="ITC Avant Garde" w:hAnsi="ITC Avant Garde" w:cs="Arial"/>
        </w:rPr>
        <w:t xml:space="preserve">, principalmente como resultado de la tecnología LTE, </w:t>
      </w:r>
      <w:r w:rsidRPr="00CB415B">
        <w:rPr>
          <w:rFonts w:ascii="ITC Avant Garde" w:hAnsi="ITC Avant Garde" w:cs="Arial"/>
        </w:rPr>
        <w:t xml:space="preserve">con lo cual se espera un crecimiento importante del tráfico de banda ancha móvil. </w:t>
      </w:r>
      <w:r w:rsidR="007E179D" w:rsidRPr="00CB415B">
        <w:rPr>
          <w:rFonts w:ascii="ITC Avant Garde" w:hAnsi="ITC Avant Garde" w:cs="Arial"/>
        </w:rPr>
        <w:t xml:space="preserve">De la misma forma, </w:t>
      </w:r>
      <w:r w:rsidR="007E179D" w:rsidRPr="00CB415B">
        <w:rPr>
          <w:rFonts w:ascii="ITC Avant Garde" w:hAnsi="ITC Avant Garde" w:cs="Arial"/>
        </w:rPr>
        <w:lastRenderedPageBreak/>
        <w:t>se prevé que el tráfico de SMS por usuario se decremente consistentemente durante el periodo de pronóstico, en línea con las tendencias de los últimos años.</w:t>
      </w:r>
    </w:p>
    <w:p w14:paraId="6BDC556D" w14:textId="607BBAA7" w:rsidR="002816EE" w:rsidRPr="00F80C26"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ind w:left="284" w:right="284"/>
        <w:jc w:val="both"/>
        <w:rPr>
          <w:rFonts w:ascii="ITC Avant Garde" w:hAnsi="ITC Avant Garde" w:cs="Arial"/>
        </w:rPr>
      </w:pPr>
      <w:r w:rsidRPr="00F80C26">
        <w:rPr>
          <w:rFonts w:ascii="ITC Avant Garde" w:hAnsi="ITC Avant Garde" w:cs="Arial"/>
        </w:rPr>
        <w:t xml:space="preserve">16. ¿Considera adecuados los volúmenes considerados para los diferentes servicios modelados para el mercado fijo y móvil mexicano, tal y como se presentan en las diapositivas </w:t>
      </w:r>
      <w:r w:rsidR="005E0597" w:rsidRPr="00CB415B">
        <w:rPr>
          <w:rFonts w:ascii="ITC Avant Garde" w:hAnsi="ITC Avant Garde" w:cs="Arial"/>
        </w:rPr>
        <w:t>15 a 24</w:t>
      </w:r>
      <w:r w:rsidRPr="00CB415B">
        <w:rPr>
          <w:rFonts w:ascii="ITC Avant Garde" w:hAnsi="ITC Avant Garde" w:cs="Arial"/>
        </w:rPr>
        <w:t xml:space="preserve"> </w:t>
      </w:r>
      <w:r w:rsidRPr="00F80C26">
        <w:rPr>
          <w:rFonts w:ascii="ITC Avant Garde" w:hAnsi="ITC Avant Garde" w:cs="Arial"/>
        </w:rPr>
        <w:t>de la Documentación del Modelo? Justifique su respuesta de forma razonada si considera que las proyecciones de demanda deberían ser diferentes.</w:t>
      </w:r>
    </w:p>
    <w:p w14:paraId="7EC63333" w14:textId="77777777" w:rsidR="002816EE" w:rsidRPr="00177A2B" w:rsidRDefault="002816EE" w:rsidP="007E036D">
      <w:pPr>
        <w:keepLines/>
        <w:pBdr>
          <w:top w:val="single" w:sz="4" w:space="2" w:color="D9D9D9" w:themeColor="background1" w:themeShade="D9"/>
          <w:bottom w:val="single" w:sz="4" w:space="5" w:color="D9D9D9" w:themeColor="background1" w:themeShade="D9"/>
        </w:pBdr>
        <w:shd w:val="clear" w:color="auto" w:fill="F2F2F2"/>
        <w:ind w:left="284" w:right="284"/>
        <w:jc w:val="both"/>
        <w:rPr>
          <w:rFonts w:ascii="ITC Avant Garde" w:hAnsi="ITC Avant Garde" w:cs="Arial"/>
        </w:rPr>
      </w:pPr>
      <w:r w:rsidRPr="00F80C26">
        <w:rPr>
          <w:rFonts w:ascii="ITC Avant Garde" w:hAnsi="ITC Avant Garde" w:cs="Arial"/>
        </w:rPr>
        <w:t>17. ¿Tiene comentarios respecto del concepto 19 propuesto en el Enfoque Conceptual?</w:t>
      </w:r>
    </w:p>
    <w:p w14:paraId="14A72E6E" w14:textId="77777777" w:rsidR="002816EE" w:rsidRPr="00177A2B" w:rsidRDefault="002816EE" w:rsidP="007E036D">
      <w:pPr>
        <w:keepNext/>
        <w:keepLines/>
        <w:numPr>
          <w:ilvl w:val="2"/>
          <w:numId w:val="12"/>
        </w:numPr>
        <w:spacing w:before="360" w:after="240" w:line="320" w:lineRule="atLeast"/>
        <w:ind w:left="567"/>
        <w:jc w:val="both"/>
        <w:outlineLvl w:val="2"/>
        <w:rPr>
          <w:rFonts w:ascii="ITC Avant Garde" w:eastAsia="Times New Roman" w:hAnsi="ITC Avant Garde" w:cs="Arial"/>
          <w:b/>
          <w:bCs/>
        </w:rPr>
      </w:pPr>
      <w:r w:rsidRPr="00177A2B">
        <w:rPr>
          <w:rFonts w:ascii="ITC Avant Garde" w:eastAsia="Times New Roman" w:hAnsi="ITC Avant Garde" w:cs="Arial"/>
          <w:b/>
          <w:bCs/>
        </w:rPr>
        <w:t>Costos mayoristas o minoristas</w:t>
      </w:r>
    </w:p>
    <w:p w14:paraId="6CACF206" w14:textId="77777777" w:rsidR="002816EE" w:rsidRPr="00177A2B" w:rsidRDefault="002816EE" w:rsidP="007E036D">
      <w:pPr>
        <w:tabs>
          <w:tab w:val="num" w:pos="477"/>
        </w:tabs>
        <w:jc w:val="both"/>
        <w:rPr>
          <w:rFonts w:ascii="ITC Avant Garde" w:hAnsi="ITC Avant Garde" w:cs="Arial"/>
        </w:rPr>
      </w:pPr>
      <w:r w:rsidRPr="00177A2B">
        <w:rPr>
          <w:rFonts w:ascii="ITC Avant Garde" w:hAnsi="ITC Avant Garde" w:cs="Arial"/>
        </w:rPr>
        <w:t>La competencia es un factor decisivo para la innovación y el desarrollo de los mercados de las telecomunicaciones. Un mercado en competencia implica la existencia de distintos prestadores de servicios, a fin de permitir que los usuarios elijan libremente a aquel concesionario que ofrezca las mejores condiciones en términos de precio, calidad y diversidad. Es en este contexto de competencia en el que la interconexión entre redes públicas de telecomunicaciones se convierte en un factor de interés público, en tanto solventa la consecución de los objetivos que el legislador plasmó en la Ley.</w:t>
      </w:r>
    </w:p>
    <w:p w14:paraId="41CDB5A2" w14:textId="77777777" w:rsidR="002816EE" w:rsidRPr="00177A2B" w:rsidRDefault="002816EE" w:rsidP="007E036D">
      <w:pPr>
        <w:tabs>
          <w:tab w:val="num" w:pos="477"/>
        </w:tabs>
        <w:jc w:val="both"/>
        <w:rPr>
          <w:rFonts w:ascii="ITC Avant Garde" w:hAnsi="ITC Avant Garde" w:cs="Arial"/>
        </w:rPr>
      </w:pPr>
      <w:r w:rsidRPr="00177A2B">
        <w:rPr>
          <w:rFonts w:ascii="ITC Avant Garde" w:hAnsi="ITC Avant Garde" w:cs="Arial"/>
        </w:rPr>
        <w:t>La provisión de servicios de telecomunicaciones necesita de la complementariedad de las redes públicas de telecomunicaciones. Es decir, necesita de la utilización de la infraestructura o de los diversos servicios provistos por los distintos proveedores de telecomunicaciones.</w:t>
      </w:r>
    </w:p>
    <w:p w14:paraId="0BBDDF99" w14:textId="77777777" w:rsidR="002816EE" w:rsidRPr="00177A2B" w:rsidRDefault="002816EE" w:rsidP="007E036D">
      <w:pPr>
        <w:tabs>
          <w:tab w:val="num" w:pos="477"/>
        </w:tabs>
        <w:jc w:val="both"/>
        <w:rPr>
          <w:rFonts w:ascii="ITC Avant Garde" w:hAnsi="ITC Avant Garde" w:cs="Arial"/>
        </w:rPr>
      </w:pPr>
      <w:r w:rsidRPr="00177A2B">
        <w:rPr>
          <w:rFonts w:ascii="ITC Avant Garde" w:hAnsi="ITC Avant Garde" w:cs="Arial"/>
        </w:rPr>
        <w:t>Así, la interconexión viene a ser el instrumento que garantiza la interoperabilidad de las redes y de los servicios, al permitir que usuarios que tienen contratados sus servicios con diferentes proveedores puedan comunicarse entre sí, o bien que un usuario pueda acceder a servicios de telecomunicaciones prestados por concesionarios diferentes al concesionario que le presta el acceso a la red.</w:t>
      </w:r>
    </w:p>
    <w:p w14:paraId="0E379899" w14:textId="77777777" w:rsidR="002816EE" w:rsidRPr="00177A2B" w:rsidRDefault="002816EE" w:rsidP="007E036D">
      <w:pPr>
        <w:tabs>
          <w:tab w:val="num" w:pos="477"/>
        </w:tabs>
        <w:jc w:val="both"/>
        <w:rPr>
          <w:rFonts w:ascii="ITC Avant Garde" w:hAnsi="ITC Avant Garde" w:cs="Arial"/>
        </w:rPr>
      </w:pPr>
      <w:r w:rsidRPr="00177A2B">
        <w:rPr>
          <w:rFonts w:ascii="ITC Avant Garde" w:hAnsi="ITC Avant Garde" w:cs="Arial"/>
        </w:rPr>
        <w:t xml:space="preserve">Si los concesionarios de redes públicas de telecomunicaciones no estuviesen obligados a interconectar sus redes, un usuario solamente podría establecer comunicación con aquellos que también hayan contratado los servicios de telecomunicaciones con la red a la que él se encuentre suscrito. Para establecer comunicación con suscriptores de otras redes, tendría que contratar necesariamente los servicios de telecomunicaciones con todas las redes que existieran para asegurar que su universo de llamadas llegue a su destino, lo cual iría en contra del desarrollo del sector telecomunicaciones. </w:t>
      </w:r>
    </w:p>
    <w:p w14:paraId="05E5D8E9" w14:textId="77777777" w:rsidR="002816EE" w:rsidRPr="00177A2B" w:rsidRDefault="002816EE" w:rsidP="007E036D">
      <w:pPr>
        <w:tabs>
          <w:tab w:val="num" w:pos="477"/>
        </w:tabs>
        <w:jc w:val="both"/>
        <w:rPr>
          <w:rFonts w:ascii="ITC Avant Garde" w:hAnsi="ITC Avant Garde" w:cs="Arial"/>
        </w:rPr>
      </w:pPr>
      <w:r w:rsidRPr="00177A2B">
        <w:rPr>
          <w:rFonts w:ascii="ITC Avant Garde" w:hAnsi="ITC Avant Garde" w:cs="Arial"/>
        </w:rPr>
        <w:lastRenderedPageBreak/>
        <w:t>Como se ha señalado, la interconexión eficiente de las redes públicas de telecomunicaciones constituye un elemento clave en el desarrollo de la sana competencia en el sector. Para las empresas concesionarias, asegurar la interconexión a tarifas eficientes con todas las demás redes públicas de telecomunicaciones representa la oportunidad de ampliar la oferta de sus servicios. Esto permitiría a las empresas concesionarias incrementar la teledensidad e infraestructura en materia de telecomunicaciones en el país.</w:t>
      </w:r>
    </w:p>
    <w:p w14:paraId="5DBF2661" w14:textId="1B5F28B4" w:rsidR="002816EE" w:rsidRPr="00177A2B" w:rsidRDefault="002816EE" w:rsidP="007E036D">
      <w:pPr>
        <w:tabs>
          <w:tab w:val="num" w:pos="477"/>
        </w:tabs>
        <w:jc w:val="both"/>
        <w:rPr>
          <w:rFonts w:ascii="ITC Avant Garde" w:hAnsi="ITC Avant Garde" w:cs="Arial"/>
        </w:rPr>
      </w:pPr>
      <w:r w:rsidRPr="00177A2B">
        <w:rPr>
          <w:rFonts w:ascii="ITC Avant Garde" w:hAnsi="ITC Avant Garde" w:cs="Arial"/>
        </w:rPr>
        <w:t xml:space="preserve">En otras palabras, una tarifa de interconexión elevada restringe las comunicaciones entre los usuarios de distintas redes ya que propicia que los usuarios tengan que pagar mayores tarifas por sus llamadas fuera de red, lo cual </w:t>
      </w:r>
      <w:r w:rsidRPr="00177A2B">
        <w:rPr>
          <w:rFonts w:ascii="ITC Avant Garde" w:hAnsi="ITC Avant Garde" w:cs="Arial"/>
          <w:i/>
        </w:rPr>
        <w:t>de facto</w:t>
      </w:r>
      <w:r w:rsidRPr="00177A2B">
        <w:rPr>
          <w:rFonts w:ascii="ITC Avant Garde" w:hAnsi="ITC Avant Garde" w:cs="Arial"/>
        </w:rPr>
        <w:t xml:space="preserve"> conduce a la desconexión parcial de las redes. Para fomentar el desarrollo del sector de las telecomunicaciones no es suficiente la obligatoriedad de la interconexión entre redes, sino que es necesario que las tarifas de interconexión se establezcan en niveles eficientes.</w:t>
      </w:r>
    </w:p>
    <w:p w14:paraId="093038E0" w14:textId="77777777" w:rsidR="002816EE" w:rsidRPr="00177A2B" w:rsidRDefault="002816EE" w:rsidP="007E036D">
      <w:pPr>
        <w:tabs>
          <w:tab w:val="num" w:pos="477"/>
        </w:tabs>
        <w:jc w:val="both"/>
        <w:rPr>
          <w:rFonts w:ascii="ITC Avant Garde" w:hAnsi="ITC Avant Garde" w:cs="Arial"/>
        </w:rPr>
      </w:pPr>
      <w:r w:rsidRPr="00177A2B">
        <w:rPr>
          <w:rFonts w:ascii="ITC Avant Garde" w:hAnsi="ITC Avant Garde" w:cs="Arial"/>
        </w:rPr>
        <w:t xml:space="preserve">Por ello, los Modelos de Costos únicamente toman en cuenta aquellos costos para proveer el servicio, sin incluir costos que estén directamente relacionados con la operación al servicio final o costos minoristas como pudiera ser la publicidad, los costos de venta y los costos del aparato terminal, entre otros. Los Modelos de Costos determinan los costos incrementales promedio de largo plazo. La aplicación de esta metodología permite no sólo la recuperación de los costos fijos y variables atribuibles al servicio en cuestión, sino también los costos en activos fijos necesarios para su provisión. Las tarifas determinadas mediante este enfoque mantienen los incentivos de los operadores para invertir, a la vez que promueve una sana competencia al evitar incorporar a la tarifa de interconexión costos que no fueron contraídos de manera eficiente por los operadores o que no son causados por la prestación del servicio. </w:t>
      </w:r>
    </w:p>
    <w:p w14:paraId="1A02907D" w14:textId="2CA9529E" w:rsidR="002816EE" w:rsidRPr="00177A2B" w:rsidRDefault="002816EE" w:rsidP="007E036D">
      <w:pPr>
        <w:tabs>
          <w:tab w:val="num" w:pos="477"/>
        </w:tabs>
        <w:jc w:val="both"/>
        <w:rPr>
          <w:rFonts w:ascii="ITC Avant Garde" w:hAnsi="ITC Avant Garde" w:cs="Arial"/>
        </w:rPr>
      </w:pPr>
      <w:r w:rsidRPr="00177A2B">
        <w:rPr>
          <w:rFonts w:ascii="ITC Avant Garde" w:hAnsi="ITC Avant Garde" w:cs="Arial"/>
        </w:rPr>
        <w:t>Por lo anterior, sólo se incluirán en la determinación de las tarifas de interconexión aquellos costos que son relevantes para la prestación de los servicios mayoristas</w:t>
      </w:r>
      <w:r w:rsidR="007D3700">
        <w:rPr>
          <w:rFonts w:ascii="ITC Avant Garde" w:hAnsi="ITC Avant Garde" w:cs="Arial"/>
        </w:rPr>
        <w:t>.</w:t>
      </w:r>
    </w:p>
    <w:p w14:paraId="6F6DDE34" w14:textId="77777777" w:rsidR="002816EE" w:rsidRPr="00177A2B" w:rsidRDefault="002816EE" w:rsidP="007E036D">
      <w:pPr>
        <w:tabs>
          <w:tab w:val="num" w:pos="477"/>
        </w:tabs>
        <w:jc w:val="both"/>
        <w:rPr>
          <w:rFonts w:ascii="ITC Avant Garde" w:hAnsi="ITC Avant Garde" w:cs="Arial"/>
        </w:rPr>
      </w:pPr>
      <w:r w:rsidRPr="00177A2B">
        <w:rPr>
          <w:rFonts w:ascii="ITC Avant Garde" w:hAnsi="ITC Avant Garde" w:cs="Arial"/>
        </w:rPr>
        <w:t>Sin embargo, en el cálculo de costos incrementales para un operador se identifican algunos costos que son comunes a varios incrementos. Estos costos comunes son requeridos para soportar uno o varios servicios, en dos o más incrementos, pero no pueden ser asignados de una manera clara. Estos tienden a ser:</w:t>
      </w:r>
    </w:p>
    <w:p w14:paraId="64F26614" w14:textId="77777777" w:rsidR="002816EE" w:rsidRPr="00177A2B" w:rsidRDefault="002816EE" w:rsidP="007E036D">
      <w:pPr>
        <w:numPr>
          <w:ilvl w:val="0"/>
          <w:numId w:val="6"/>
        </w:numPr>
        <w:spacing w:after="120" w:line="320" w:lineRule="atLeast"/>
        <w:jc w:val="both"/>
        <w:rPr>
          <w:rFonts w:ascii="ITC Avant Garde" w:hAnsi="ITC Avant Garde" w:cs="Arial"/>
        </w:rPr>
      </w:pPr>
      <w:r w:rsidRPr="00177A2B">
        <w:rPr>
          <w:rFonts w:ascii="ITC Avant Garde" w:hAnsi="ITC Avant Garde" w:cs="Arial"/>
          <w:i/>
        </w:rPr>
        <w:t>Costos comunes de tráfico</w:t>
      </w:r>
      <w:r w:rsidRPr="00177A2B">
        <w:rPr>
          <w:rFonts w:ascii="ITC Avant Garde" w:hAnsi="ITC Avant Garde" w:cs="Arial"/>
        </w:rPr>
        <w:t xml:space="preserve"> – partes de la red desplegada por tráfico que son comunes a todos los servicios de la red (p.ej. la plataforma de voz o la licencia para servicios móviles).</w:t>
      </w:r>
    </w:p>
    <w:p w14:paraId="4242EA67" w14:textId="77777777" w:rsidR="002816EE" w:rsidRPr="00177A2B" w:rsidRDefault="002816EE" w:rsidP="007E036D">
      <w:pPr>
        <w:numPr>
          <w:ilvl w:val="0"/>
          <w:numId w:val="6"/>
        </w:numPr>
        <w:spacing w:after="120" w:line="320" w:lineRule="atLeast"/>
        <w:jc w:val="both"/>
        <w:rPr>
          <w:rFonts w:ascii="ITC Avant Garde" w:hAnsi="ITC Avant Garde" w:cs="Arial"/>
          <w:spacing w:val="-4"/>
        </w:rPr>
      </w:pPr>
      <w:r w:rsidRPr="00177A2B">
        <w:rPr>
          <w:rFonts w:ascii="ITC Avant Garde" w:hAnsi="ITC Avant Garde" w:cs="Arial"/>
          <w:i/>
          <w:spacing w:val="-4"/>
        </w:rPr>
        <w:lastRenderedPageBreak/>
        <w:t>Costos comunes de redes troncales (tráfico) y de acceso</w:t>
      </w:r>
      <w:r w:rsidRPr="00177A2B">
        <w:rPr>
          <w:rFonts w:ascii="ITC Avant Garde" w:hAnsi="ITC Avant Garde" w:cs="Arial"/>
          <w:spacing w:val="-4"/>
        </w:rPr>
        <w:t xml:space="preserve"> – como puede ser el espacio físico requerido para un conmutador donde se define la frontera entre la red troncal y la de acceso o un túnel compartido. Estos no son aplicables para redes móviles. </w:t>
      </w:r>
    </w:p>
    <w:p w14:paraId="1C2742CB" w14:textId="77777777" w:rsidR="002816EE" w:rsidRPr="00177A2B" w:rsidRDefault="002816EE" w:rsidP="007E036D">
      <w:pPr>
        <w:numPr>
          <w:ilvl w:val="0"/>
          <w:numId w:val="6"/>
        </w:numPr>
        <w:spacing w:after="120" w:line="320" w:lineRule="atLeast"/>
        <w:jc w:val="both"/>
        <w:rPr>
          <w:rFonts w:ascii="ITC Avant Garde" w:hAnsi="ITC Avant Garde" w:cs="Arial"/>
        </w:rPr>
      </w:pPr>
      <w:r w:rsidRPr="00177A2B">
        <w:rPr>
          <w:rFonts w:ascii="ITC Avant Garde" w:hAnsi="ITC Avant Garde" w:cs="Arial"/>
          <w:i/>
        </w:rPr>
        <w:t>La red de acceso</w:t>
      </w:r>
      <w:r w:rsidRPr="00177A2B">
        <w:rPr>
          <w:rFonts w:ascii="ITC Avant Garde" w:hAnsi="ITC Avant Garde" w:cs="Arial"/>
        </w:rPr>
        <w:t xml:space="preserve"> – puede ser considerada como un prerrequisito para todos los servicios de tráfico que usen los usuarios.</w:t>
      </w:r>
    </w:p>
    <w:p w14:paraId="293A2344" w14:textId="77777777" w:rsidR="002816EE" w:rsidRPr="00177A2B" w:rsidRDefault="002816EE" w:rsidP="007E036D">
      <w:pPr>
        <w:numPr>
          <w:ilvl w:val="0"/>
          <w:numId w:val="6"/>
        </w:numPr>
        <w:spacing w:after="240" w:line="320" w:lineRule="atLeast"/>
        <w:jc w:val="both"/>
        <w:rPr>
          <w:rFonts w:ascii="ITC Avant Garde" w:hAnsi="ITC Avant Garde" w:cs="Arial"/>
          <w:spacing w:val="-4"/>
        </w:rPr>
      </w:pPr>
      <w:r w:rsidRPr="00177A2B">
        <w:rPr>
          <w:rFonts w:ascii="ITC Avant Garde" w:hAnsi="ITC Avant Garde" w:cs="Arial"/>
          <w:i/>
          <w:spacing w:val="-4"/>
        </w:rPr>
        <w:t xml:space="preserve">Costos comunes que no son de red, o de administración, comunes a los servicios de red y a los minoristas </w:t>
      </w:r>
      <w:r w:rsidRPr="00177A2B">
        <w:rPr>
          <w:rFonts w:ascii="ITC Avant Garde" w:hAnsi="ITC Avant Garde" w:cs="Arial"/>
          <w:spacing w:val="-4"/>
        </w:rPr>
        <w:t xml:space="preserve">– componentes de costos comunes a todas las funciones del negocio (p.ej. Presidente). </w:t>
      </w:r>
    </w:p>
    <w:p w14:paraId="3667A00D" w14:textId="77777777" w:rsidR="002816EE" w:rsidRPr="00177A2B" w:rsidRDefault="002816EE" w:rsidP="007E036D">
      <w:pPr>
        <w:jc w:val="both"/>
        <w:rPr>
          <w:rFonts w:ascii="ITC Avant Garde" w:hAnsi="ITC Avant Garde" w:cs="Arial"/>
        </w:rPr>
      </w:pPr>
      <w:r w:rsidRPr="00177A2B">
        <w:rPr>
          <w:rFonts w:ascii="ITC Avant Garde" w:hAnsi="ITC Avant Garde" w:cs="Arial"/>
          <w:spacing w:val="-4"/>
        </w:rPr>
        <w:t>En una situación donde los costos comunes son compartidos entre varios incrementos, se requiere un mecanismo de márgenes adicionales</w:t>
      </w:r>
      <w:r w:rsidRPr="00177A2B">
        <w:rPr>
          <w:rFonts w:ascii="ITC Avant Garde" w:hAnsi="ITC Avant Garde" w:cs="Arial"/>
        </w:rPr>
        <w:t>. El mecanismo utilizado en la mayoría de los modelos de costos es el de igual proporción de margen adicional (EPMU, por sus siglas en inglés). Mediante este método, los costos comunes se recuperan en proporción al costo incremental asignando a los distintos servicios producidos. Su aplicación es sencilla, y resulta en un tratamiento uniforme de todos los servicios del negocio y no necesita parámetros adicionales.</w:t>
      </w:r>
    </w:p>
    <w:p w14:paraId="4073DCFA" w14:textId="0196372F" w:rsidR="002816EE" w:rsidRPr="00177A2B" w:rsidRDefault="008B40CE" w:rsidP="007E036D">
      <w:pPr>
        <w:keepLines/>
        <w:pBdr>
          <w:top w:val="single" w:sz="4" w:space="2" w:color="D9D9D9" w:themeColor="background1" w:themeShade="D9"/>
          <w:bottom w:val="single" w:sz="4" w:space="5" w:color="D9D9D9" w:themeColor="background1" w:themeShade="D9"/>
        </w:pBdr>
        <w:shd w:val="clear" w:color="auto" w:fill="F2F2F2"/>
        <w:ind w:left="284" w:right="284"/>
        <w:jc w:val="both"/>
        <w:rPr>
          <w:rFonts w:ascii="ITC Avant Garde" w:hAnsi="ITC Avant Garde" w:cs="Arial"/>
        </w:rPr>
      </w:pPr>
      <w:r>
        <w:rPr>
          <w:rFonts w:ascii="ITC Avant Garde" w:hAnsi="ITC Avant Garde" w:cs="Arial"/>
        </w:rPr>
        <w:t>18</w:t>
      </w:r>
      <w:r w:rsidR="002816EE" w:rsidRPr="00F80C26">
        <w:rPr>
          <w:rFonts w:ascii="ITC Avant Garde" w:hAnsi="ITC Avant Garde" w:cs="Arial"/>
        </w:rPr>
        <w:t xml:space="preserve">. ¿Está de acuerdo con los costos comunes definidos en las </w:t>
      </w:r>
      <w:r w:rsidR="002816EE" w:rsidRPr="00541098">
        <w:rPr>
          <w:rFonts w:ascii="ITC Avant Garde" w:hAnsi="ITC Avant Garde" w:cs="Arial"/>
        </w:rPr>
        <w:t xml:space="preserve">diapositivas </w:t>
      </w:r>
      <w:r w:rsidR="00802C72" w:rsidRPr="00541098">
        <w:rPr>
          <w:rFonts w:ascii="ITC Avant Garde" w:hAnsi="ITC Avant Garde" w:cs="Arial"/>
        </w:rPr>
        <w:t>72 y 73</w:t>
      </w:r>
      <w:r w:rsidR="002816EE" w:rsidRPr="00541098">
        <w:rPr>
          <w:rFonts w:ascii="ITC Avant Garde" w:hAnsi="ITC Avant Garde" w:cs="Arial"/>
        </w:rPr>
        <w:t xml:space="preserve"> </w:t>
      </w:r>
      <w:r w:rsidR="002816EE" w:rsidRPr="00F80C26">
        <w:rPr>
          <w:rFonts w:ascii="ITC Avant Garde" w:hAnsi="ITC Avant Garde" w:cs="Arial"/>
        </w:rPr>
        <w:t>de la Documentación del Modelo?</w:t>
      </w:r>
    </w:p>
    <w:p w14:paraId="37F13CE3" w14:textId="77777777" w:rsidR="002816EE" w:rsidRPr="00177A2B" w:rsidRDefault="002816EE" w:rsidP="007E036D">
      <w:pPr>
        <w:keepNext/>
        <w:keepLines/>
        <w:numPr>
          <w:ilvl w:val="1"/>
          <w:numId w:val="12"/>
        </w:numPr>
        <w:spacing w:before="360" w:after="240" w:line="320" w:lineRule="atLeast"/>
        <w:ind w:left="567"/>
        <w:jc w:val="both"/>
        <w:outlineLvl w:val="1"/>
        <w:rPr>
          <w:rFonts w:ascii="ITC Avant Garde" w:eastAsia="Times New Roman" w:hAnsi="ITC Avant Garde" w:cs="Arial"/>
          <w:b/>
          <w:bCs/>
          <w:spacing w:val="-4"/>
          <w:sz w:val="24"/>
          <w:szCs w:val="26"/>
        </w:rPr>
      </w:pPr>
      <w:bookmarkStart w:id="10" w:name="_Ref303866761"/>
      <w:bookmarkStart w:id="11" w:name="_Ref303867051"/>
      <w:bookmarkStart w:id="12" w:name="_Toc303951849"/>
      <w:bookmarkStart w:id="13" w:name="_Toc323285061"/>
      <w:r w:rsidRPr="00177A2B">
        <w:rPr>
          <w:rFonts w:ascii="ITC Avant Garde" w:eastAsia="Times New Roman" w:hAnsi="ITC Avant Garde" w:cs="Arial"/>
          <w:b/>
          <w:bCs/>
          <w:sz w:val="24"/>
          <w:szCs w:val="26"/>
        </w:rPr>
        <w:t>Aspectos</w:t>
      </w:r>
      <w:r w:rsidRPr="00177A2B">
        <w:rPr>
          <w:rFonts w:ascii="ITC Avant Garde" w:eastAsia="Times New Roman" w:hAnsi="ITC Avant Garde" w:cs="Arial"/>
          <w:b/>
          <w:bCs/>
          <w:spacing w:val="-4"/>
          <w:sz w:val="24"/>
          <w:szCs w:val="26"/>
        </w:rPr>
        <w:t xml:space="preserve"> relacionados con la implementación de los modelos</w:t>
      </w:r>
      <w:bookmarkEnd w:id="10"/>
      <w:bookmarkEnd w:id="11"/>
      <w:bookmarkEnd w:id="12"/>
      <w:bookmarkEnd w:id="13"/>
    </w:p>
    <w:p w14:paraId="3CB990AE" w14:textId="1F4467EC" w:rsidR="002816EE" w:rsidRPr="00177A2B" w:rsidRDefault="002816EE" w:rsidP="007E036D">
      <w:pPr>
        <w:keepNext/>
        <w:keepLines/>
        <w:numPr>
          <w:ilvl w:val="2"/>
          <w:numId w:val="12"/>
        </w:numPr>
        <w:spacing w:before="360" w:after="240" w:line="320" w:lineRule="atLeast"/>
        <w:ind w:left="567"/>
        <w:jc w:val="both"/>
        <w:outlineLvl w:val="2"/>
        <w:rPr>
          <w:rFonts w:ascii="ITC Avant Garde" w:eastAsia="Times New Roman" w:hAnsi="ITC Avant Garde" w:cs="Arial"/>
          <w:b/>
          <w:bCs/>
        </w:rPr>
      </w:pPr>
      <w:bookmarkStart w:id="14" w:name="_Ref303763861"/>
      <w:bookmarkStart w:id="15" w:name="_Toc303951850"/>
      <w:r w:rsidRPr="00177A2B">
        <w:rPr>
          <w:rFonts w:ascii="ITC Avant Garde" w:eastAsia="Times New Roman" w:hAnsi="ITC Avant Garde" w:cs="Arial"/>
          <w:b/>
          <w:bCs/>
        </w:rPr>
        <w:t xml:space="preserve">Dimensionamiento de la red </w:t>
      </w:r>
      <w:r w:rsidR="00213EED">
        <w:rPr>
          <w:rFonts w:ascii="ITC Avant Garde" w:eastAsia="Times New Roman" w:hAnsi="ITC Avant Garde" w:cs="Arial"/>
          <w:b/>
          <w:bCs/>
        </w:rPr>
        <w:t>con</w:t>
      </w:r>
      <w:r w:rsidR="00213EED" w:rsidRPr="00177A2B">
        <w:rPr>
          <w:rFonts w:ascii="ITC Avant Garde" w:eastAsia="Times New Roman" w:hAnsi="ITC Avant Garde" w:cs="Arial"/>
          <w:b/>
          <w:bCs/>
        </w:rPr>
        <w:t xml:space="preserve"> </w:t>
      </w:r>
      <w:r w:rsidRPr="00177A2B">
        <w:rPr>
          <w:rFonts w:ascii="ITC Avant Garde" w:eastAsia="Times New Roman" w:hAnsi="ITC Avant Garde" w:cs="Arial"/>
          <w:b/>
          <w:bCs/>
        </w:rPr>
        <w:t xml:space="preserve">base </w:t>
      </w:r>
      <w:r w:rsidR="00A12018">
        <w:rPr>
          <w:rFonts w:ascii="ITC Avant Garde" w:eastAsia="Times New Roman" w:hAnsi="ITC Avant Garde" w:cs="Arial"/>
          <w:b/>
          <w:bCs/>
        </w:rPr>
        <w:t>en el</w:t>
      </w:r>
      <w:r w:rsidR="00A12018" w:rsidRPr="00177A2B">
        <w:rPr>
          <w:rFonts w:ascii="ITC Avant Garde" w:eastAsia="Times New Roman" w:hAnsi="ITC Avant Garde" w:cs="Arial"/>
          <w:b/>
          <w:bCs/>
        </w:rPr>
        <w:t xml:space="preserve"> </w:t>
      </w:r>
      <w:r w:rsidRPr="00177A2B">
        <w:rPr>
          <w:rFonts w:ascii="ITC Avant Garde" w:eastAsia="Times New Roman" w:hAnsi="ITC Avant Garde" w:cs="Arial"/>
          <w:b/>
          <w:bCs/>
        </w:rPr>
        <w:t>tráfico de entrada</w:t>
      </w:r>
    </w:p>
    <w:p w14:paraId="35F0303D" w14:textId="77777777" w:rsidR="002816EE" w:rsidRPr="00F80C26" w:rsidRDefault="002816EE" w:rsidP="007E036D">
      <w:pPr>
        <w:jc w:val="both"/>
        <w:rPr>
          <w:rFonts w:ascii="ITC Avant Garde" w:hAnsi="ITC Avant Garde" w:cs="Arial"/>
        </w:rPr>
      </w:pPr>
      <w:r w:rsidRPr="00F80C26">
        <w:rPr>
          <w:rFonts w:ascii="ITC Avant Garde" w:hAnsi="ITC Avant Garde" w:cs="Arial"/>
        </w:rPr>
        <w:t>En la Documentación del Modelo se explican las variables que fueron consideradas para el dimensionamiento de las redes.</w:t>
      </w:r>
    </w:p>
    <w:p w14:paraId="5A776382" w14:textId="77777777" w:rsidR="002816EE" w:rsidRPr="00F80C26" w:rsidRDefault="002816EE" w:rsidP="007E036D">
      <w:pPr>
        <w:jc w:val="both"/>
        <w:rPr>
          <w:rFonts w:ascii="ITC Avant Garde" w:hAnsi="ITC Avant Garde" w:cs="Arial"/>
        </w:rPr>
      </w:pPr>
      <w:r w:rsidRPr="00F80C26">
        <w:rPr>
          <w:rFonts w:ascii="ITC Avant Garde" w:hAnsi="ITC Avant Garde" w:cs="Arial"/>
        </w:rPr>
        <w:t>En el caso de la red fija, el dimensionamiento de la misma se realiza a partir del tráfico agregado de todos los servicios que presta el operador hipotético, considerando el tráfico anual que se cursa por su red. Entre los diferentes parámetros técnicos utilizados para el dimensionamiento de la red, destacan los siguientes:</w:t>
      </w:r>
    </w:p>
    <w:p w14:paraId="313159C7" w14:textId="04929D58" w:rsidR="002816EE" w:rsidRPr="00F80C26" w:rsidRDefault="002816EE" w:rsidP="007E036D">
      <w:pPr>
        <w:numPr>
          <w:ilvl w:val="0"/>
          <w:numId w:val="16"/>
        </w:numPr>
        <w:spacing w:after="240" w:line="320" w:lineRule="atLeast"/>
        <w:contextualSpacing/>
        <w:jc w:val="both"/>
        <w:rPr>
          <w:rFonts w:ascii="ITC Avant Garde" w:hAnsi="ITC Avant Garde" w:cs="Arial"/>
        </w:rPr>
      </w:pPr>
      <w:r w:rsidRPr="00F80C26">
        <w:rPr>
          <w:rFonts w:ascii="ITC Avant Garde" w:hAnsi="ITC Avant Garde" w:cs="Arial"/>
        </w:rPr>
        <w:t xml:space="preserve">el tráfico de voz en los días laborables es del </w:t>
      </w:r>
      <w:r w:rsidR="00FB30EE" w:rsidRPr="00F80C26">
        <w:rPr>
          <w:rFonts w:ascii="ITC Avant Garde" w:hAnsi="ITC Avant Garde" w:cs="Arial"/>
        </w:rPr>
        <w:t>8</w:t>
      </w:r>
      <w:r w:rsidR="00FB30EE">
        <w:rPr>
          <w:rFonts w:ascii="ITC Avant Garde" w:hAnsi="ITC Avant Garde" w:cs="Arial"/>
        </w:rPr>
        <w:t>0</w:t>
      </w:r>
      <w:r w:rsidRPr="00F80C26">
        <w:rPr>
          <w:rFonts w:ascii="ITC Avant Garde" w:hAnsi="ITC Avant Garde" w:cs="Arial"/>
        </w:rPr>
        <w:t>%</w:t>
      </w:r>
      <w:r w:rsidR="00DC5DBB">
        <w:rPr>
          <w:rStyle w:val="Refdenotaalpie"/>
        </w:rPr>
        <w:footnoteReference w:id="8"/>
      </w:r>
    </w:p>
    <w:p w14:paraId="4D4E022E" w14:textId="77777777" w:rsidR="002816EE" w:rsidRPr="00F80C26" w:rsidRDefault="002816EE" w:rsidP="007E036D">
      <w:pPr>
        <w:numPr>
          <w:ilvl w:val="0"/>
          <w:numId w:val="16"/>
        </w:numPr>
        <w:spacing w:after="240" w:line="320" w:lineRule="atLeast"/>
        <w:contextualSpacing/>
        <w:jc w:val="both"/>
        <w:rPr>
          <w:rFonts w:ascii="ITC Avant Garde" w:hAnsi="ITC Avant Garde" w:cs="Arial"/>
        </w:rPr>
      </w:pPr>
      <w:r w:rsidRPr="00F80C26">
        <w:rPr>
          <w:rFonts w:ascii="ITC Avant Garde" w:hAnsi="ITC Avant Garde" w:cs="Arial"/>
        </w:rPr>
        <w:t>la duración promedio de una llamada va de 2.5 a 3.5 minutos, dependiendo del tipo de llamada</w:t>
      </w:r>
    </w:p>
    <w:p w14:paraId="44B68536" w14:textId="3CE30879" w:rsidR="002816EE" w:rsidRPr="00F80C26" w:rsidRDefault="00A12018" w:rsidP="007E036D">
      <w:pPr>
        <w:numPr>
          <w:ilvl w:val="0"/>
          <w:numId w:val="16"/>
        </w:numPr>
        <w:spacing w:after="240" w:line="320" w:lineRule="atLeast"/>
        <w:contextualSpacing/>
        <w:jc w:val="both"/>
        <w:rPr>
          <w:rFonts w:ascii="ITC Avant Garde" w:hAnsi="ITC Avant Garde" w:cs="Arial"/>
        </w:rPr>
      </w:pPr>
      <w:r>
        <w:rPr>
          <w:rFonts w:ascii="ITC Avant Garde" w:hAnsi="ITC Avant Garde" w:cs="Arial"/>
        </w:rPr>
        <w:t>la proporción</w:t>
      </w:r>
      <w:r w:rsidR="002816EE" w:rsidRPr="00F80C26">
        <w:rPr>
          <w:rFonts w:ascii="ITC Avant Garde" w:hAnsi="ITC Avant Garde" w:cs="Arial"/>
        </w:rPr>
        <w:t xml:space="preserve"> de contención de datos es de 1/20.</w:t>
      </w:r>
    </w:p>
    <w:p w14:paraId="795FB1CA" w14:textId="77777777" w:rsidR="00213EED" w:rsidRDefault="00213EED" w:rsidP="007E036D">
      <w:pPr>
        <w:spacing w:line="300" w:lineRule="atLeast"/>
        <w:jc w:val="both"/>
        <w:rPr>
          <w:rFonts w:ascii="ITC Avant Garde" w:hAnsi="ITC Avant Garde" w:cs="Arial"/>
        </w:rPr>
      </w:pPr>
    </w:p>
    <w:p w14:paraId="2921550A" w14:textId="62236D6F" w:rsidR="00765351" w:rsidRPr="00F80C26" w:rsidRDefault="002816EE" w:rsidP="00213EED">
      <w:pPr>
        <w:spacing w:line="300" w:lineRule="atLeast"/>
        <w:jc w:val="both"/>
        <w:rPr>
          <w:rFonts w:ascii="ITC Avant Garde" w:hAnsi="ITC Avant Garde" w:cs="Arial"/>
        </w:rPr>
      </w:pPr>
      <w:r w:rsidRPr="00F80C26">
        <w:rPr>
          <w:rFonts w:ascii="ITC Avant Garde" w:hAnsi="ITC Avant Garde" w:cs="Arial"/>
        </w:rPr>
        <w:t xml:space="preserve">Asimismo, se explican las capacidades máximas de los elementos de red utilizados, como es el caso de los MSAN, los </w:t>
      </w:r>
      <w:r w:rsidRPr="00F80C26">
        <w:rPr>
          <w:rFonts w:ascii="ITC Avant Garde" w:hAnsi="ITC Avant Garde" w:cs="Arial"/>
          <w:i/>
        </w:rPr>
        <w:t>edge router</w:t>
      </w:r>
      <w:r w:rsidRPr="00F80C26">
        <w:rPr>
          <w:rFonts w:ascii="ITC Avant Garde" w:hAnsi="ITC Avant Garde" w:cs="Arial"/>
        </w:rPr>
        <w:t xml:space="preserve">s y los core </w:t>
      </w:r>
      <w:r w:rsidRPr="00F80C26">
        <w:rPr>
          <w:rFonts w:ascii="ITC Avant Garde" w:hAnsi="ITC Avant Garde" w:cs="Arial"/>
          <w:i/>
        </w:rPr>
        <w:t>routers</w:t>
      </w:r>
      <w:r w:rsidRPr="00F80C26">
        <w:rPr>
          <w:rFonts w:ascii="ITC Avant Garde" w:hAnsi="ITC Avant Garde" w:cs="Arial"/>
        </w:rPr>
        <w:t>, entre otros, así como el grado de utilización que se propone de la capacidad máxima instalad</w:t>
      </w:r>
      <w:r w:rsidR="005E50EA">
        <w:rPr>
          <w:rFonts w:ascii="ITC Avant Garde" w:hAnsi="ITC Avant Garde" w:cs="Arial"/>
        </w:rPr>
        <w:t>a</w:t>
      </w:r>
      <w:r w:rsidRPr="00F80C26">
        <w:rPr>
          <w:rFonts w:ascii="ITC Avant Garde" w:hAnsi="ITC Avant Garde" w:cs="Arial"/>
        </w:rPr>
        <w:t xml:space="preserve">. Por ejemplo, se propone que un </w:t>
      </w:r>
      <w:r w:rsidRPr="00F80C26">
        <w:rPr>
          <w:rFonts w:ascii="ITC Avant Garde" w:hAnsi="ITC Avant Garde" w:cs="Arial"/>
          <w:i/>
        </w:rPr>
        <w:t>switch</w:t>
      </w:r>
      <w:r w:rsidRPr="00F80C26">
        <w:rPr>
          <w:rFonts w:ascii="ITC Avant Garde" w:hAnsi="ITC Avant Garde" w:cs="Arial"/>
        </w:rPr>
        <w:t xml:space="preserve"> MSAN pueda tener una capacidad para conectar 512 suscriptores con una utilización del 70%.</w:t>
      </w:r>
    </w:p>
    <w:p w14:paraId="7EC83419" w14:textId="77777777" w:rsidR="002816EE" w:rsidRPr="00F80C26" w:rsidRDefault="002816EE" w:rsidP="007E036D">
      <w:pPr>
        <w:spacing w:line="300" w:lineRule="atLeast"/>
        <w:jc w:val="both"/>
        <w:rPr>
          <w:rFonts w:ascii="ITC Avant Garde" w:hAnsi="ITC Avant Garde" w:cs="Arial"/>
        </w:rPr>
      </w:pPr>
      <w:r w:rsidRPr="00F80C26">
        <w:rPr>
          <w:rFonts w:ascii="ITC Avant Garde" w:hAnsi="ITC Avant Garde" w:cs="Arial"/>
        </w:rPr>
        <w:t>Toda vez que el operador hipotético existente prestará el servicio de televisión restringida, se explica la distribución del tráfico de televisión, a partir de la distribución de la audiencia, del tráfico en hora pico, y del ancho de banda consumido por cada canal.</w:t>
      </w:r>
    </w:p>
    <w:p w14:paraId="6183B09F" w14:textId="7CBBD6C4" w:rsidR="002816EE" w:rsidRPr="00F80C26" w:rsidRDefault="002816EE" w:rsidP="007E036D">
      <w:pPr>
        <w:spacing w:line="300" w:lineRule="atLeast"/>
        <w:jc w:val="both"/>
        <w:rPr>
          <w:rFonts w:ascii="ITC Avant Garde" w:hAnsi="ITC Avant Garde" w:cs="Arial"/>
        </w:rPr>
      </w:pPr>
      <w:r w:rsidRPr="00F80C26">
        <w:rPr>
          <w:rFonts w:ascii="ITC Avant Garde" w:hAnsi="ITC Avant Garde" w:cs="Arial"/>
        </w:rPr>
        <w:t xml:space="preserve">Por otra parte se explica la manera en la que se dimensiona la cantidad de elementos de red a ser utilizados. Por ejemplo, el número de MSAN se dimensiona con base al número de líneas a ser conectadas, mientras que los enlaces que conectan el MSAN con el </w:t>
      </w:r>
      <w:r w:rsidRPr="00F80C26">
        <w:rPr>
          <w:rFonts w:ascii="ITC Avant Garde" w:hAnsi="ITC Avant Garde" w:cs="Arial"/>
          <w:i/>
        </w:rPr>
        <w:t>edge switch</w:t>
      </w:r>
      <w:r w:rsidRPr="00F80C26">
        <w:rPr>
          <w:rFonts w:ascii="ITC Avant Garde" w:hAnsi="ITC Avant Garde" w:cs="Arial"/>
        </w:rPr>
        <w:t xml:space="preserve"> se dimensionan con base en el tráfico agregado de voz y datos. Un mayor detalle acerca del dimensionamiento de la red fija se encuentra en las diapositivas </w:t>
      </w:r>
      <w:r w:rsidR="000520B9">
        <w:rPr>
          <w:rFonts w:ascii="ITC Avant Garde" w:hAnsi="ITC Avant Garde" w:cs="Arial"/>
        </w:rPr>
        <w:t>3</w:t>
      </w:r>
      <w:r w:rsidR="00802C72">
        <w:rPr>
          <w:rFonts w:ascii="ITC Avant Garde" w:hAnsi="ITC Avant Garde" w:cs="Arial"/>
        </w:rPr>
        <w:t>7</w:t>
      </w:r>
      <w:r w:rsidR="000520B9">
        <w:rPr>
          <w:rFonts w:ascii="ITC Avant Garde" w:hAnsi="ITC Avant Garde" w:cs="Arial"/>
        </w:rPr>
        <w:t xml:space="preserve"> a </w:t>
      </w:r>
      <w:r w:rsidR="00802C72">
        <w:rPr>
          <w:rFonts w:ascii="ITC Avant Garde" w:hAnsi="ITC Avant Garde" w:cs="Arial"/>
        </w:rPr>
        <w:t>41</w:t>
      </w:r>
      <w:r w:rsidRPr="00F80C26">
        <w:rPr>
          <w:rFonts w:ascii="ITC Avant Garde" w:hAnsi="ITC Avant Garde" w:cs="Arial"/>
        </w:rPr>
        <w:t xml:space="preserve"> de la Documentación del Modelo.</w:t>
      </w:r>
    </w:p>
    <w:p w14:paraId="141BA240" w14:textId="77777777" w:rsidR="002816EE" w:rsidRPr="00F80C26" w:rsidRDefault="002816EE" w:rsidP="007E036D">
      <w:pPr>
        <w:spacing w:line="300" w:lineRule="atLeast"/>
        <w:jc w:val="both"/>
        <w:rPr>
          <w:rFonts w:ascii="ITC Avant Garde" w:hAnsi="ITC Avant Garde" w:cs="Arial"/>
        </w:rPr>
      </w:pPr>
      <w:r w:rsidRPr="00F80C26">
        <w:rPr>
          <w:rFonts w:ascii="ITC Avant Garde" w:hAnsi="ITC Avant Garde" w:cs="Arial"/>
        </w:rPr>
        <w:t>En el caso del Modelo Móvil, la red se dimensionó con base en la carga de tráfico de servicios de voz y datos en la hora pico, considerando, entre otros, los siguientes parámetros técnicos:</w:t>
      </w:r>
    </w:p>
    <w:p w14:paraId="032C269A" w14:textId="77777777" w:rsidR="002816EE" w:rsidRPr="00F80C26" w:rsidRDefault="002816EE" w:rsidP="007E036D">
      <w:pPr>
        <w:numPr>
          <w:ilvl w:val="0"/>
          <w:numId w:val="17"/>
        </w:numPr>
        <w:spacing w:after="240" w:line="300" w:lineRule="atLeast"/>
        <w:contextualSpacing/>
        <w:jc w:val="both"/>
        <w:rPr>
          <w:rFonts w:ascii="ITC Avant Garde" w:hAnsi="ITC Avant Garde" w:cs="Arial"/>
        </w:rPr>
      </w:pPr>
      <w:r w:rsidRPr="00F80C26">
        <w:rPr>
          <w:rFonts w:ascii="ITC Avant Garde" w:hAnsi="ITC Avant Garde" w:cs="Arial"/>
        </w:rPr>
        <w:t>se considera que ninguna de las horas pico son concurrentes</w:t>
      </w:r>
    </w:p>
    <w:p w14:paraId="4FD1A202" w14:textId="77777777" w:rsidR="002816EE" w:rsidRPr="00F80C26" w:rsidRDefault="002816EE" w:rsidP="007E036D">
      <w:pPr>
        <w:numPr>
          <w:ilvl w:val="0"/>
          <w:numId w:val="17"/>
        </w:numPr>
        <w:spacing w:after="240" w:line="300" w:lineRule="atLeast"/>
        <w:contextualSpacing/>
        <w:jc w:val="both"/>
        <w:rPr>
          <w:rFonts w:ascii="ITC Avant Garde" w:hAnsi="ITC Avant Garde" w:cs="Arial"/>
          <w:spacing w:val="-4"/>
        </w:rPr>
      </w:pPr>
      <w:r w:rsidRPr="00F80C26">
        <w:rPr>
          <w:rFonts w:ascii="ITC Avant Garde" w:hAnsi="ITC Avant Garde" w:cs="Arial"/>
          <w:spacing w:val="-4"/>
        </w:rPr>
        <w:t>se suponen 250 días pico al año, los cuales contienen el 75% de la carga de tráfico</w:t>
      </w:r>
    </w:p>
    <w:p w14:paraId="38410C2F" w14:textId="77777777" w:rsidR="002816EE" w:rsidRPr="00F80C26" w:rsidRDefault="002816EE" w:rsidP="007E036D">
      <w:pPr>
        <w:numPr>
          <w:ilvl w:val="0"/>
          <w:numId w:val="17"/>
        </w:numPr>
        <w:spacing w:after="240" w:line="300" w:lineRule="atLeast"/>
        <w:contextualSpacing/>
        <w:jc w:val="both"/>
        <w:rPr>
          <w:rFonts w:ascii="ITC Avant Garde" w:hAnsi="ITC Avant Garde" w:cs="Arial"/>
        </w:rPr>
      </w:pPr>
      <w:r w:rsidRPr="00F80C26">
        <w:rPr>
          <w:rFonts w:ascii="ITC Avant Garde" w:hAnsi="ITC Avant Garde" w:cs="Arial"/>
        </w:rPr>
        <w:t xml:space="preserve">la migración de la red de 2G a 3G </w:t>
      </w:r>
      <w:r w:rsidR="007E179D">
        <w:rPr>
          <w:rFonts w:ascii="ITC Avant Garde" w:hAnsi="ITC Avant Garde" w:cs="Arial"/>
        </w:rPr>
        <w:t xml:space="preserve">(voz y datos) y 3G a 4G (datos) </w:t>
      </w:r>
      <w:r w:rsidRPr="00F80C26">
        <w:rPr>
          <w:rFonts w:ascii="ITC Avant Garde" w:hAnsi="ITC Avant Garde" w:cs="Arial"/>
        </w:rPr>
        <w:t>se realiza al mismo ritmo que el despliegue de esta última.</w:t>
      </w:r>
    </w:p>
    <w:p w14:paraId="0906F056" w14:textId="77777777" w:rsidR="00A12018" w:rsidRDefault="00A12018" w:rsidP="007E036D">
      <w:pPr>
        <w:spacing w:line="300" w:lineRule="atLeast"/>
        <w:jc w:val="both"/>
        <w:rPr>
          <w:rFonts w:ascii="ITC Avant Garde" w:hAnsi="ITC Avant Garde" w:cs="Arial"/>
        </w:rPr>
      </w:pPr>
    </w:p>
    <w:p w14:paraId="327D2F4E" w14:textId="07C6AB1E" w:rsidR="002816EE" w:rsidRPr="00F80C26" w:rsidRDefault="002816EE" w:rsidP="007E036D">
      <w:pPr>
        <w:spacing w:line="300" w:lineRule="atLeast"/>
        <w:jc w:val="both"/>
        <w:rPr>
          <w:rFonts w:ascii="ITC Avant Garde" w:hAnsi="ITC Avant Garde" w:cs="Arial"/>
        </w:rPr>
      </w:pPr>
      <w:r w:rsidRPr="00F80C26">
        <w:rPr>
          <w:rFonts w:ascii="ITC Avant Garde" w:hAnsi="ITC Avant Garde" w:cs="Arial"/>
        </w:rPr>
        <w:t>Adicionalmente se explica la construcción del número de sitios que son necesarios para desplegar la cobertura del operador hipotético. En este sentido se señala que la red se modela mediante una combinación de tecnologías GSM</w:t>
      </w:r>
      <w:r w:rsidR="00D25876">
        <w:rPr>
          <w:rFonts w:ascii="ITC Avant Garde" w:hAnsi="ITC Avant Garde" w:cs="Arial"/>
        </w:rPr>
        <w:t>,</w:t>
      </w:r>
      <w:r w:rsidRPr="00F80C26">
        <w:rPr>
          <w:rFonts w:ascii="ITC Avant Garde" w:hAnsi="ITC Avant Garde" w:cs="Arial"/>
        </w:rPr>
        <w:t xml:space="preserve"> UMTS</w:t>
      </w:r>
      <w:r w:rsidR="00D25876">
        <w:rPr>
          <w:rFonts w:ascii="ITC Avant Garde" w:hAnsi="ITC Avant Garde" w:cs="Arial"/>
        </w:rPr>
        <w:t xml:space="preserve"> y LTE</w:t>
      </w:r>
      <w:r w:rsidRPr="00F80C26">
        <w:rPr>
          <w:rFonts w:ascii="ITC Avant Garde" w:hAnsi="ITC Avant Garde" w:cs="Arial"/>
        </w:rPr>
        <w:t>, para lo cual se considera que la tecnología GSM se despliega en la banda de 850MHz para cobertura, y de 850 y 1900MHz para necesidades de tráfico. La tecnología UMTS se despliega únicamente en la banda de 1900MHz debido a la mayor cantidad de espectro disponible.</w:t>
      </w:r>
      <w:r w:rsidR="00D25876">
        <w:rPr>
          <w:rFonts w:ascii="ITC Avant Garde" w:hAnsi="ITC Avant Garde" w:cs="Arial"/>
        </w:rPr>
        <w:t xml:space="preserve"> Y se emplea la banda 1700/2100MHz para desplegar la tecnología LTE al estar recientemente disponible en cantidades importantes.</w:t>
      </w:r>
    </w:p>
    <w:p w14:paraId="078CA113" w14:textId="77777777" w:rsidR="002816EE" w:rsidRPr="00F80C26" w:rsidRDefault="002816EE" w:rsidP="007E036D">
      <w:pPr>
        <w:keepNext/>
        <w:keepLines/>
        <w:numPr>
          <w:ilvl w:val="3"/>
          <w:numId w:val="12"/>
        </w:numPr>
        <w:spacing w:before="360" w:after="240" w:line="320" w:lineRule="atLeast"/>
        <w:jc w:val="both"/>
        <w:outlineLvl w:val="3"/>
        <w:rPr>
          <w:rFonts w:ascii="ITC Avant Garde" w:eastAsia="Times New Roman" w:hAnsi="ITC Avant Garde" w:cs="Arial"/>
          <w:bCs/>
          <w:i/>
          <w:iCs/>
        </w:rPr>
      </w:pPr>
      <w:r w:rsidRPr="00F80C26">
        <w:rPr>
          <w:rFonts w:ascii="ITC Avant Garde" w:eastAsia="Times New Roman" w:hAnsi="ITC Avant Garde" w:cs="Arial"/>
          <w:bCs/>
          <w:i/>
          <w:iCs/>
        </w:rPr>
        <w:t>Operador móvil</w:t>
      </w:r>
    </w:p>
    <w:p w14:paraId="390C124C" w14:textId="6FEF8912" w:rsidR="002816EE" w:rsidRPr="00F80C26"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line="300" w:lineRule="atLeast"/>
        <w:ind w:left="284" w:right="284"/>
        <w:jc w:val="both"/>
        <w:rPr>
          <w:rFonts w:ascii="ITC Avant Garde" w:hAnsi="ITC Avant Garde" w:cs="Arial"/>
        </w:rPr>
      </w:pPr>
      <w:r w:rsidRPr="00F80C26">
        <w:rPr>
          <w:rFonts w:ascii="ITC Avant Garde" w:hAnsi="ITC Avant Garde" w:cs="Arial"/>
        </w:rPr>
        <w:t xml:space="preserve">19. ¿Está de acuerdo con la metodología de dimensionamiento de la red móvil presentada en las diapositivas </w:t>
      </w:r>
      <w:r w:rsidR="00802C72">
        <w:rPr>
          <w:rFonts w:ascii="ITC Avant Garde" w:hAnsi="ITC Avant Garde" w:cs="Arial"/>
        </w:rPr>
        <w:t>50</w:t>
      </w:r>
      <w:r w:rsidR="000520B9" w:rsidRPr="00F80C26">
        <w:rPr>
          <w:rFonts w:ascii="ITC Avant Garde" w:hAnsi="ITC Avant Garde" w:cs="Arial"/>
        </w:rPr>
        <w:t xml:space="preserve"> </w:t>
      </w:r>
      <w:r w:rsidRPr="00F80C26">
        <w:rPr>
          <w:rFonts w:ascii="ITC Avant Garde" w:hAnsi="ITC Avant Garde" w:cs="Arial"/>
        </w:rPr>
        <w:t xml:space="preserve">y </w:t>
      </w:r>
      <w:r w:rsidR="000520B9">
        <w:rPr>
          <w:rFonts w:ascii="ITC Avant Garde" w:hAnsi="ITC Avant Garde" w:cs="Arial"/>
        </w:rPr>
        <w:t>5</w:t>
      </w:r>
      <w:r w:rsidR="008B40CE">
        <w:rPr>
          <w:rFonts w:ascii="ITC Avant Garde" w:hAnsi="ITC Avant Garde" w:cs="Arial"/>
        </w:rPr>
        <w:t>6</w:t>
      </w:r>
      <w:r w:rsidR="000520B9" w:rsidRPr="00F80C26">
        <w:rPr>
          <w:rFonts w:ascii="ITC Avant Garde" w:hAnsi="ITC Avant Garde" w:cs="Arial"/>
        </w:rPr>
        <w:t xml:space="preserve"> </w:t>
      </w:r>
      <w:r w:rsidRPr="00F80C26">
        <w:rPr>
          <w:rFonts w:ascii="ITC Avant Garde" w:hAnsi="ITC Avant Garde" w:cs="Arial"/>
        </w:rPr>
        <w:t xml:space="preserve">de la Documentación del Modelo? </w:t>
      </w:r>
    </w:p>
    <w:p w14:paraId="1F26B086" w14:textId="427F0F5D" w:rsidR="002816EE" w:rsidRPr="00F80C26"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line="300" w:lineRule="atLeast"/>
        <w:ind w:left="284" w:right="284"/>
        <w:jc w:val="both"/>
        <w:rPr>
          <w:rFonts w:ascii="ITC Avant Garde" w:hAnsi="ITC Avant Garde" w:cs="Arial"/>
        </w:rPr>
      </w:pPr>
      <w:r w:rsidRPr="00F80C26">
        <w:rPr>
          <w:rFonts w:ascii="ITC Avant Garde" w:hAnsi="ITC Avant Garde" w:cs="Arial"/>
        </w:rPr>
        <w:lastRenderedPageBreak/>
        <w:t>20. ¿Tiene comentarios con respecto a la distribución del valor del radio de las células 2G</w:t>
      </w:r>
      <w:r w:rsidR="007E179D">
        <w:rPr>
          <w:rFonts w:ascii="ITC Avant Garde" w:hAnsi="ITC Avant Garde" w:cs="Arial"/>
        </w:rPr>
        <w:t>,</w:t>
      </w:r>
      <w:r w:rsidRPr="00F80C26">
        <w:rPr>
          <w:rFonts w:ascii="ITC Avant Garde" w:hAnsi="ITC Avant Garde" w:cs="Arial"/>
        </w:rPr>
        <w:t xml:space="preserve"> 3G </w:t>
      </w:r>
      <w:r w:rsidR="007E179D">
        <w:rPr>
          <w:rFonts w:ascii="ITC Avant Garde" w:hAnsi="ITC Avant Garde" w:cs="Arial"/>
        </w:rPr>
        <w:t xml:space="preserve">y 4G </w:t>
      </w:r>
      <w:r w:rsidRPr="00F80C26">
        <w:rPr>
          <w:rFonts w:ascii="ITC Avant Garde" w:hAnsi="ITC Avant Garde" w:cs="Arial"/>
        </w:rPr>
        <w:t xml:space="preserve">en función del geotipo presentado en las diapositivas </w:t>
      </w:r>
      <w:r w:rsidR="00802C72">
        <w:rPr>
          <w:rFonts w:ascii="ITC Avant Garde" w:hAnsi="ITC Avant Garde" w:cs="Arial"/>
        </w:rPr>
        <w:t>51 y 53</w:t>
      </w:r>
      <w:r w:rsidRPr="00F80C26">
        <w:rPr>
          <w:rFonts w:ascii="ITC Avant Garde" w:hAnsi="ITC Avant Garde" w:cs="Arial"/>
        </w:rPr>
        <w:t xml:space="preserve"> de la Documentación del Modelo?</w:t>
      </w:r>
      <w:r>
        <w:rPr>
          <w:rFonts w:ascii="ITC Avant Garde" w:hAnsi="ITC Avant Garde" w:cs="Arial"/>
        </w:rPr>
        <w:t xml:space="preserve"> </w:t>
      </w:r>
    </w:p>
    <w:p w14:paraId="2A4EC006" w14:textId="1F7D2B65" w:rsidR="002816EE" w:rsidRPr="00F80C26"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line="300" w:lineRule="atLeast"/>
        <w:ind w:left="284" w:right="284"/>
        <w:jc w:val="both"/>
        <w:rPr>
          <w:rFonts w:ascii="ITC Avant Garde" w:hAnsi="ITC Avant Garde" w:cs="Arial"/>
        </w:rPr>
      </w:pPr>
      <w:r w:rsidRPr="00F80C26">
        <w:rPr>
          <w:rFonts w:ascii="ITC Avant Garde" w:hAnsi="ITC Avant Garde" w:cs="Arial"/>
        </w:rPr>
        <w:t xml:space="preserve">21. ¿Tiene comentarios con respecto a los parámetros de los elementos de red utilizados en el Modelo Móvil? </w:t>
      </w:r>
    </w:p>
    <w:p w14:paraId="2A297AA0" w14:textId="4C4C5C17" w:rsidR="002816EE" w:rsidRPr="00F80C26"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line="300" w:lineRule="atLeast"/>
        <w:ind w:left="284" w:right="284"/>
        <w:jc w:val="both"/>
        <w:rPr>
          <w:rFonts w:ascii="ITC Avant Garde" w:hAnsi="ITC Avant Garde" w:cs="Arial"/>
        </w:rPr>
      </w:pPr>
      <w:r w:rsidRPr="00F80C26">
        <w:rPr>
          <w:rFonts w:ascii="ITC Avant Garde" w:hAnsi="ITC Avant Garde" w:cs="Arial"/>
        </w:rPr>
        <w:t xml:space="preserve">22. ¿Considera una proporción del tráfico de voz y SMS migrada a 3G del </w:t>
      </w:r>
      <w:r w:rsidR="00FB62F3">
        <w:rPr>
          <w:rFonts w:ascii="ITC Avant Garde" w:hAnsi="ITC Avant Garde" w:cs="Arial"/>
        </w:rPr>
        <w:t>4</w:t>
      </w:r>
      <w:r w:rsidRPr="00F80C26">
        <w:rPr>
          <w:rFonts w:ascii="ITC Avant Garde" w:hAnsi="ITC Avant Garde" w:cs="Arial"/>
        </w:rPr>
        <w:t xml:space="preserve">8% en </w:t>
      </w:r>
      <w:r w:rsidR="00FB62F3" w:rsidRPr="00F80C26">
        <w:rPr>
          <w:rFonts w:ascii="ITC Avant Garde" w:hAnsi="ITC Avant Garde" w:cs="Arial"/>
        </w:rPr>
        <w:t>201</w:t>
      </w:r>
      <w:r w:rsidR="00FB62F3">
        <w:rPr>
          <w:rFonts w:ascii="ITC Avant Garde" w:hAnsi="ITC Avant Garde" w:cs="Arial"/>
        </w:rPr>
        <w:t>5</w:t>
      </w:r>
      <w:r w:rsidR="00FB62F3" w:rsidRPr="00F80C26">
        <w:rPr>
          <w:rFonts w:ascii="ITC Avant Garde" w:hAnsi="ITC Avant Garde" w:cs="Arial"/>
        </w:rPr>
        <w:t xml:space="preserve"> </w:t>
      </w:r>
      <w:r w:rsidRPr="00F80C26">
        <w:rPr>
          <w:rFonts w:ascii="ITC Avant Garde" w:hAnsi="ITC Avant Garde" w:cs="Arial"/>
        </w:rPr>
        <w:t xml:space="preserve">y del </w:t>
      </w:r>
      <w:r w:rsidR="00FB62F3">
        <w:rPr>
          <w:rFonts w:ascii="ITC Avant Garde" w:hAnsi="ITC Avant Garde" w:cs="Arial"/>
        </w:rPr>
        <w:t>7</w:t>
      </w:r>
      <w:r w:rsidR="00FB62F3" w:rsidRPr="00F80C26">
        <w:rPr>
          <w:rFonts w:ascii="ITC Avant Garde" w:hAnsi="ITC Avant Garde" w:cs="Arial"/>
        </w:rPr>
        <w:t>5</w:t>
      </w:r>
      <w:r w:rsidRPr="00F80C26">
        <w:rPr>
          <w:rFonts w:ascii="ITC Avant Garde" w:hAnsi="ITC Avant Garde" w:cs="Arial"/>
        </w:rPr>
        <w:t>% en el largo plazo razonable? De no ser así, ¿qué proporción consideraría razonable y por qué?</w:t>
      </w:r>
    </w:p>
    <w:p w14:paraId="14521ACD" w14:textId="77777777" w:rsidR="002816EE" w:rsidRPr="00F80C26" w:rsidRDefault="002816EE" w:rsidP="007E036D">
      <w:pPr>
        <w:keepNext/>
        <w:keepLines/>
        <w:numPr>
          <w:ilvl w:val="3"/>
          <w:numId w:val="12"/>
        </w:numPr>
        <w:spacing w:before="360" w:after="240" w:line="320" w:lineRule="atLeast"/>
        <w:jc w:val="both"/>
        <w:outlineLvl w:val="3"/>
        <w:rPr>
          <w:rFonts w:ascii="ITC Avant Garde" w:eastAsia="Times New Roman" w:hAnsi="ITC Avant Garde" w:cs="Arial"/>
          <w:bCs/>
          <w:i/>
          <w:iCs/>
        </w:rPr>
      </w:pPr>
      <w:r w:rsidRPr="00F80C26">
        <w:rPr>
          <w:rFonts w:ascii="ITC Avant Garde" w:eastAsia="Times New Roman" w:hAnsi="ITC Avant Garde" w:cs="Arial"/>
          <w:bCs/>
          <w:i/>
          <w:iCs/>
        </w:rPr>
        <w:t>Operador fijo</w:t>
      </w:r>
    </w:p>
    <w:p w14:paraId="2CDAF9AC" w14:textId="6ACB5058" w:rsidR="002816EE" w:rsidRPr="00F80C26"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ind w:left="284" w:right="284"/>
        <w:jc w:val="both"/>
        <w:rPr>
          <w:rFonts w:ascii="ITC Avant Garde" w:hAnsi="ITC Avant Garde" w:cs="Arial"/>
        </w:rPr>
      </w:pPr>
      <w:r w:rsidRPr="00F80C26">
        <w:rPr>
          <w:rFonts w:ascii="ITC Avant Garde" w:hAnsi="ITC Avant Garde" w:cs="Arial"/>
        </w:rPr>
        <w:t xml:space="preserve">23. ¿Está de acuerdo con la metodología de dimensionamiento de la red fija descrita en las diapositivas </w:t>
      </w:r>
      <w:r w:rsidR="00802C72">
        <w:rPr>
          <w:rFonts w:ascii="ITC Avant Garde" w:hAnsi="ITC Avant Garde" w:cs="Arial"/>
        </w:rPr>
        <w:t>37 y 38</w:t>
      </w:r>
      <w:r w:rsidRPr="00F80C26">
        <w:rPr>
          <w:rFonts w:ascii="ITC Avant Garde" w:hAnsi="ITC Avant Garde" w:cs="Arial"/>
        </w:rPr>
        <w:t xml:space="preserve"> de la Documentación del Modelo? </w:t>
      </w:r>
    </w:p>
    <w:p w14:paraId="67A91519" w14:textId="65AFF932" w:rsidR="002816EE" w:rsidRPr="00F80C26"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ind w:left="284" w:right="284"/>
        <w:jc w:val="both"/>
        <w:rPr>
          <w:rFonts w:ascii="ITC Avant Garde" w:hAnsi="ITC Avant Garde" w:cs="Arial"/>
          <w:spacing w:val="-4"/>
        </w:rPr>
      </w:pPr>
      <w:r w:rsidRPr="00F80C26">
        <w:rPr>
          <w:rFonts w:ascii="ITC Avant Garde" w:hAnsi="ITC Avant Garde" w:cs="Arial"/>
          <w:spacing w:val="-4"/>
        </w:rPr>
        <w:t xml:space="preserve">24. ¿Tiene comentarios con respecto al dimensionamiento de los diferentes elementos de red presentados en la diapositiva </w:t>
      </w:r>
      <w:r w:rsidR="00802C72" w:rsidRPr="00802C72">
        <w:rPr>
          <w:rFonts w:ascii="ITC Avant Garde" w:hAnsi="ITC Avant Garde" w:cs="Arial"/>
          <w:spacing w:val="-4"/>
        </w:rPr>
        <w:t>41</w:t>
      </w:r>
      <w:r w:rsidRPr="00F80C26">
        <w:rPr>
          <w:rFonts w:ascii="ITC Avant Garde" w:hAnsi="ITC Avant Garde" w:cs="Arial"/>
          <w:spacing w:val="-4"/>
        </w:rPr>
        <w:t xml:space="preserve"> de la Documentación del Modelo? </w:t>
      </w:r>
    </w:p>
    <w:p w14:paraId="5C9B4336" w14:textId="2AF7E4FB" w:rsidR="002816EE" w:rsidRPr="00F80C26" w:rsidRDefault="002816EE" w:rsidP="007E036D">
      <w:pPr>
        <w:keepLines/>
        <w:pBdr>
          <w:top w:val="single" w:sz="4" w:space="2" w:color="D9D9D9" w:themeColor="background1" w:themeShade="D9"/>
          <w:bottom w:val="single" w:sz="4" w:space="5" w:color="D9D9D9" w:themeColor="background1" w:themeShade="D9"/>
        </w:pBdr>
        <w:shd w:val="clear" w:color="auto" w:fill="F2F2F2"/>
        <w:ind w:left="284" w:right="284"/>
        <w:jc w:val="both"/>
        <w:rPr>
          <w:rFonts w:ascii="ITC Avant Garde" w:hAnsi="ITC Avant Garde" w:cs="Arial"/>
        </w:rPr>
      </w:pPr>
      <w:r w:rsidRPr="00F80C26">
        <w:rPr>
          <w:rFonts w:ascii="ITC Avant Garde" w:hAnsi="ITC Avant Garde" w:cs="Arial"/>
        </w:rPr>
        <w:t xml:space="preserve">25. ¿Tiene comentarios con respecto a los parámetros de los elementos de red utilizados en el Modelo </w:t>
      </w:r>
      <w:r w:rsidR="00D25876">
        <w:rPr>
          <w:rFonts w:ascii="ITC Avant Garde" w:hAnsi="ITC Avant Garde" w:cs="Arial"/>
        </w:rPr>
        <w:t>Fijo</w:t>
      </w:r>
      <w:r w:rsidRPr="00F80C26">
        <w:rPr>
          <w:rFonts w:ascii="ITC Avant Garde" w:hAnsi="ITC Avant Garde" w:cs="Arial"/>
        </w:rPr>
        <w:t>?</w:t>
      </w:r>
    </w:p>
    <w:p w14:paraId="4B6E545F" w14:textId="77777777" w:rsidR="002816EE" w:rsidRPr="00177A2B" w:rsidRDefault="002816EE" w:rsidP="007E036D">
      <w:pPr>
        <w:keepNext/>
        <w:keepLines/>
        <w:numPr>
          <w:ilvl w:val="2"/>
          <w:numId w:val="12"/>
        </w:numPr>
        <w:spacing w:before="360" w:after="240" w:line="320" w:lineRule="atLeast"/>
        <w:ind w:left="567"/>
        <w:jc w:val="both"/>
        <w:outlineLvl w:val="2"/>
        <w:rPr>
          <w:rFonts w:ascii="ITC Avant Garde" w:eastAsia="Times New Roman" w:hAnsi="ITC Avant Garde" w:cs="Arial"/>
          <w:b/>
          <w:bCs/>
        </w:rPr>
      </w:pPr>
      <w:r w:rsidRPr="00177A2B">
        <w:rPr>
          <w:rFonts w:ascii="ITC Avant Garde" w:eastAsia="Times New Roman" w:hAnsi="ITC Avant Garde" w:cs="Arial"/>
          <w:b/>
          <w:bCs/>
        </w:rPr>
        <w:t>Cálculo del capex y del opex</w:t>
      </w:r>
    </w:p>
    <w:p w14:paraId="62A78D9C" w14:textId="77777777" w:rsidR="002816EE" w:rsidRPr="00F80C26" w:rsidRDefault="002816EE" w:rsidP="007E036D">
      <w:pPr>
        <w:jc w:val="both"/>
        <w:rPr>
          <w:rFonts w:ascii="ITC Avant Garde" w:hAnsi="ITC Avant Garde" w:cs="Arial"/>
        </w:rPr>
      </w:pPr>
      <w:r w:rsidRPr="00F80C26">
        <w:rPr>
          <w:rFonts w:ascii="ITC Avant Garde" w:hAnsi="ITC Avant Garde" w:cs="Arial"/>
        </w:rPr>
        <w:t xml:space="preserve">El cálculo del capex y opex se realiza de manera similar tanto en el Modelo Fijo como en el Modelo Móvil. Para ello se utilizan los precios unitarios de los equipos para calcular cuál sería el costo de adquisición de los activos que componen la red. Adicionalmente, se considera </w:t>
      </w:r>
      <w:r w:rsidR="00FB30EE">
        <w:rPr>
          <w:rFonts w:ascii="ITC Avant Garde" w:hAnsi="ITC Avant Garde" w:cs="Arial"/>
        </w:rPr>
        <w:t xml:space="preserve">en ciertos casos </w:t>
      </w:r>
      <w:r w:rsidRPr="00F80C26">
        <w:rPr>
          <w:rFonts w:ascii="ITC Avant Garde" w:hAnsi="ITC Avant Garde" w:cs="Arial"/>
        </w:rPr>
        <w:t>un 2% o 3% adicional asociado a la instalación de los equipos.</w:t>
      </w:r>
    </w:p>
    <w:p w14:paraId="50F0965A" w14:textId="69CB6098" w:rsidR="002816EE" w:rsidRPr="00F80C26" w:rsidRDefault="002816EE" w:rsidP="007E036D">
      <w:pPr>
        <w:jc w:val="both"/>
        <w:rPr>
          <w:rFonts w:ascii="ITC Avant Garde" w:hAnsi="ITC Avant Garde" w:cs="Arial"/>
          <w:spacing w:val="-4"/>
        </w:rPr>
      </w:pPr>
      <w:r w:rsidRPr="00F80C26">
        <w:rPr>
          <w:rFonts w:ascii="ITC Avant Garde" w:hAnsi="ITC Avant Garde" w:cs="Arial"/>
          <w:spacing w:val="-4"/>
        </w:rPr>
        <w:t xml:space="preserve">Para el opex se consideran diferentes márgenes dependiendo del concepto. Por ejemplo, los gastos de alquiler se calculan como el </w:t>
      </w:r>
      <w:r w:rsidR="00FB30EE">
        <w:rPr>
          <w:rFonts w:ascii="ITC Avant Garde" w:hAnsi="ITC Avant Garde" w:cs="Arial"/>
          <w:spacing w:val="-4"/>
        </w:rPr>
        <w:t>4</w:t>
      </w:r>
      <w:r w:rsidRPr="00F80C26">
        <w:rPr>
          <w:rFonts w:ascii="ITC Avant Garde" w:hAnsi="ITC Avant Garde" w:cs="Arial"/>
          <w:spacing w:val="-4"/>
        </w:rPr>
        <w:t xml:space="preserve">% del capex, mientras que los gastos de mantenimiento varían en función del tipo de activo entre el 1% y el </w:t>
      </w:r>
      <w:r w:rsidR="00FB30EE">
        <w:rPr>
          <w:rFonts w:ascii="ITC Avant Garde" w:hAnsi="ITC Avant Garde" w:cs="Arial"/>
          <w:spacing w:val="-4"/>
        </w:rPr>
        <w:t>16</w:t>
      </w:r>
      <w:r w:rsidRPr="00F80C26">
        <w:rPr>
          <w:rFonts w:ascii="ITC Avant Garde" w:hAnsi="ITC Avant Garde" w:cs="Arial"/>
          <w:spacing w:val="-4"/>
        </w:rPr>
        <w:t xml:space="preserve">%. Una mayor referencia se encuentra en las diapositivas 63 a </w:t>
      </w:r>
      <w:r w:rsidR="00802C72">
        <w:rPr>
          <w:rFonts w:ascii="ITC Avant Garde" w:hAnsi="ITC Avant Garde" w:cs="Arial"/>
          <w:spacing w:val="-4"/>
        </w:rPr>
        <w:t>76</w:t>
      </w:r>
      <w:r w:rsidR="00802C72" w:rsidRPr="00F80C26">
        <w:rPr>
          <w:rFonts w:ascii="ITC Avant Garde" w:hAnsi="ITC Avant Garde" w:cs="Arial"/>
          <w:spacing w:val="-4"/>
        </w:rPr>
        <w:t xml:space="preserve"> </w:t>
      </w:r>
      <w:r w:rsidRPr="00F80C26">
        <w:rPr>
          <w:rFonts w:ascii="ITC Avant Garde" w:hAnsi="ITC Avant Garde" w:cs="Arial"/>
          <w:spacing w:val="-4"/>
        </w:rPr>
        <w:t>de la Documentación del Modelo, así como en las pestañas ‘Total_Capex’ y ‘Total_Opex’ de cada uno de los Modelos de Costos.</w:t>
      </w:r>
    </w:p>
    <w:p w14:paraId="38C4DE20" w14:textId="3A45954A" w:rsidR="002816EE" w:rsidRPr="00F80C26"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line="300" w:lineRule="atLeast"/>
        <w:ind w:left="284" w:right="284"/>
        <w:jc w:val="both"/>
        <w:rPr>
          <w:rFonts w:ascii="ITC Avant Garde" w:hAnsi="ITC Avant Garde" w:cs="Arial"/>
        </w:rPr>
      </w:pPr>
      <w:r w:rsidRPr="00F80C26">
        <w:rPr>
          <w:rFonts w:ascii="ITC Avant Garde" w:hAnsi="ITC Avant Garde" w:cs="Arial"/>
        </w:rPr>
        <w:t xml:space="preserve">26. ¿Considera apropiada la metodología de cálculo del capex y opex descrita en la diapositiva 63 de la Documentación del Modelo? </w:t>
      </w:r>
    </w:p>
    <w:p w14:paraId="738A4CE3" w14:textId="1A7D0B35" w:rsidR="002816EE" w:rsidRPr="00F80C26"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line="300" w:lineRule="atLeast"/>
        <w:ind w:left="284" w:right="284"/>
        <w:jc w:val="both"/>
        <w:rPr>
          <w:rFonts w:ascii="ITC Avant Garde" w:hAnsi="ITC Avant Garde" w:cs="Arial"/>
        </w:rPr>
      </w:pPr>
      <w:r w:rsidRPr="00F80C26">
        <w:rPr>
          <w:rFonts w:ascii="ITC Avant Garde" w:hAnsi="ITC Avant Garde" w:cs="Arial"/>
        </w:rPr>
        <w:t xml:space="preserve">27. ¿Considera las tendencias de costos descritas en la diapositiva 65 de la Documentación del Modelo adecuadas? </w:t>
      </w:r>
    </w:p>
    <w:p w14:paraId="1BB48373" w14:textId="4A23A321" w:rsidR="002816EE" w:rsidRPr="00F80C26"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ind w:left="284" w:right="284"/>
        <w:jc w:val="both"/>
        <w:rPr>
          <w:rFonts w:ascii="ITC Avant Garde" w:hAnsi="ITC Avant Garde" w:cs="Arial"/>
        </w:rPr>
      </w:pPr>
      <w:r w:rsidRPr="00F80C26">
        <w:rPr>
          <w:rFonts w:ascii="ITC Avant Garde" w:hAnsi="ITC Avant Garde" w:cs="Arial"/>
        </w:rPr>
        <w:lastRenderedPageBreak/>
        <w:t>28. ¿Considera las vidas útiles descritas en la diapositiva 66 de la Documentación del Modelo adecuadas?</w:t>
      </w:r>
      <w:r>
        <w:rPr>
          <w:rFonts w:ascii="ITC Avant Garde" w:hAnsi="ITC Avant Garde" w:cs="Arial"/>
        </w:rPr>
        <w:t xml:space="preserve"> </w:t>
      </w:r>
    </w:p>
    <w:p w14:paraId="7723844D" w14:textId="77777777" w:rsidR="002816EE" w:rsidRPr="00177A2B" w:rsidRDefault="002816EE" w:rsidP="007E036D">
      <w:pPr>
        <w:keepNext/>
        <w:keepLines/>
        <w:numPr>
          <w:ilvl w:val="2"/>
          <w:numId w:val="12"/>
        </w:numPr>
        <w:spacing w:before="360" w:after="120" w:line="320" w:lineRule="atLeast"/>
        <w:ind w:left="567"/>
        <w:jc w:val="both"/>
        <w:outlineLvl w:val="2"/>
        <w:rPr>
          <w:rFonts w:ascii="ITC Avant Garde" w:eastAsia="Times New Roman" w:hAnsi="ITC Avant Garde" w:cs="Arial"/>
          <w:b/>
          <w:bCs/>
        </w:rPr>
      </w:pPr>
      <w:r w:rsidRPr="00177A2B">
        <w:rPr>
          <w:rFonts w:ascii="ITC Avant Garde" w:eastAsia="Times New Roman" w:hAnsi="ITC Avant Garde" w:cs="Arial"/>
          <w:b/>
          <w:bCs/>
        </w:rPr>
        <w:t>Selección del incremento de servicio</w:t>
      </w:r>
      <w:bookmarkEnd w:id="14"/>
      <w:bookmarkEnd w:id="15"/>
    </w:p>
    <w:p w14:paraId="289780A6" w14:textId="77777777" w:rsidR="002816EE" w:rsidRPr="007455DB" w:rsidRDefault="002816EE" w:rsidP="007E036D">
      <w:pPr>
        <w:spacing w:line="300" w:lineRule="atLeast"/>
        <w:jc w:val="both"/>
        <w:rPr>
          <w:rFonts w:ascii="ITC Avant Garde" w:hAnsi="ITC Avant Garde" w:cs="Arial"/>
        </w:rPr>
      </w:pPr>
      <w:r w:rsidRPr="007455DB">
        <w:rPr>
          <w:rFonts w:ascii="ITC Avant Garde" w:hAnsi="ITC Avant Garde" w:cs="Arial"/>
        </w:rPr>
        <w:t xml:space="preserve">Por un lado, el costo incremental es el costo que incurre un operador para satisfacer el incremento en la demanda de uno de sus servicios, bajo el supuesto de que la demanda de los otros servicios que ofrece el operador no sufre cambios. Por otro lado, es el costo total que evitaría el operador si cesara la provisión de ese servicio particular. Los incrementos toman la forma de un servicio, o conjunto de servicios, al que se distribuyen los costos, ya sea de forma directa (en el caso de los costos incrementales) o mediante un </w:t>
      </w:r>
      <w:r w:rsidRPr="007455DB">
        <w:rPr>
          <w:rFonts w:ascii="ITC Avant Garde" w:hAnsi="ITC Avant Garde" w:cs="Arial"/>
          <w:i/>
        </w:rPr>
        <w:t>mark-up</w:t>
      </w:r>
      <w:r w:rsidRPr="007455DB">
        <w:rPr>
          <w:rFonts w:ascii="ITC Avant Garde" w:hAnsi="ITC Avant Garde" w:cs="Arial"/>
        </w:rPr>
        <w:t xml:space="preserve"> (si se incluyen los costos comunes). El tamaño y número del incremento afecta la complejidad</w:t>
      </w:r>
      <w:r w:rsidRPr="007455DB">
        <w:rPr>
          <w:rFonts w:ascii="ITC Avant Garde" w:hAnsi="ITC Avant Garde" w:cs="Arial"/>
          <w:vertAlign w:val="superscript"/>
        </w:rPr>
        <w:footnoteReference w:id="9"/>
      </w:r>
      <w:r w:rsidRPr="007455DB">
        <w:rPr>
          <w:rFonts w:ascii="ITC Avant Garde" w:hAnsi="ITC Avant Garde" w:cs="Arial"/>
        </w:rPr>
        <w:t xml:space="preserve"> de los resultados y la magnitud</w:t>
      </w:r>
      <w:r w:rsidRPr="007455DB">
        <w:rPr>
          <w:rFonts w:ascii="ITC Avant Garde" w:hAnsi="ITC Avant Garde" w:cs="Arial"/>
          <w:vertAlign w:val="superscript"/>
        </w:rPr>
        <w:footnoteReference w:id="10"/>
      </w:r>
      <w:r w:rsidRPr="007455DB">
        <w:rPr>
          <w:rFonts w:ascii="ITC Avant Garde" w:hAnsi="ITC Avant Garde" w:cs="Arial"/>
        </w:rPr>
        <w:t xml:space="preserve"> de los costos resultantes.</w:t>
      </w:r>
    </w:p>
    <w:p w14:paraId="669ACDC4" w14:textId="5BD4BBDB" w:rsidR="000F099D" w:rsidRPr="000F099D" w:rsidRDefault="002816EE" w:rsidP="000F099D">
      <w:pPr>
        <w:jc w:val="both"/>
        <w:rPr>
          <w:rFonts w:ascii="ITC Avant Garde" w:hAnsi="ITC Avant Garde" w:cs="Arial"/>
        </w:rPr>
      </w:pPr>
      <w:r w:rsidRPr="007455DB">
        <w:rPr>
          <w:rFonts w:ascii="ITC Avant Garde" w:hAnsi="ITC Avant Garde" w:cs="Arial"/>
        </w:rPr>
        <w:t>A continuación se presentan tres ejemplos gráficos de enfoques de costos incrementales.</w:t>
      </w:r>
    </w:p>
    <w:p w14:paraId="0B37B0BB" w14:textId="008F1B21" w:rsidR="000F099D" w:rsidRPr="000F099D" w:rsidRDefault="002816EE" w:rsidP="000F099D">
      <w:pPr>
        <w:keepNext/>
        <w:spacing w:after="0"/>
        <w:jc w:val="center"/>
        <w:rPr>
          <w:rFonts w:ascii="ITC Avant Garde" w:hAnsi="ITC Avant Garde"/>
        </w:rPr>
      </w:pPr>
      <w:r w:rsidRPr="00177A2B">
        <w:rPr>
          <w:rFonts w:ascii="ITC Avant Garde" w:hAnsi="ITC Avant Garde"/>
          <w:noProof/>
          <w:lang w:eastAsia="es-MX"/>
        </w:rPr>
        <w:drawing>
          <wp:inline distT="0" distB="0" distL="0" distR="0" wp14:anchorId="189F4E7F" wp14:editId="09220137">
            <wp:extent cx="4857115" cy="2465070"/>
            <wp:effectExtent l="0" t="0" r="0" b="0"/>
            <wp:docPr id="11" name="Picture 140" descr="Enfoques para definir el incremento, Fuente: Analysys Mason" title="Figura ci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115" cy="2465070"/>
                    </a:xfrm>
                    <a:prstGeom prst="rect">
                      <a:avLst/>
                    </a:prstGeom>
                    <a:noFill/>
                    <a:ln>
                      <a:noFill/>
                    </a:ln>
                  </pic:spPr>
                </pic:pic>
              </a:graphicData>
            </a:graphic>
          </wp:inline>
        </w:drawing>
      </w:r>
    </w:p>
    <w:p w14:paraId="7283A62F" w14:textId="5FCA4C17" w:rsidR="000F099D" w:rsidRDefault="000F099D" w:rsidP="000F099D">
      <w:pPr>
        <w:keepNext/>
        <w:tabs>
          <w:tab w:val="left" w:pos="2041"/>
        </w:tabs>
        <w:spacing w:after="0" w:line="200" w:lineRule="atLeast"/>
        <w:jc w:val="both"/>
        <w:rPr>
          <w:rFonts w:ascii="ITC Avant Garde" w:hAnsi="ITC Avant Garde" w:cs="Arial"/>
          <w:bCs/>
          <w:i/>
          <w:sz w:val="20"/>
          <w:szCs w:val="20"/>
        </w:rPr>
      </w:pPr>
      <w:r w:rsidRPr="00177A2B">
        <w:rPr>
          <w:rFonts w:ascii="ITC Avant Garde" w:hAnsi="ITC Avant Garde" w:cs="Arial"/>
          <w:bCs/>
          <w:i/>
          <w:sz w:val="20"/>
          <w:szCs w:val="20"/>
        </w:rPr>
        <w:t>Figura 5: Enfoques para definir el incremento [Fuente: Analysys Mason]</w:t>
      </w:r>
    </w:p>
    <w:p w14:paraId="0D105E83" w14:textId="77777777" w:rsidR="000F099D" w:rsidRPr="000F099D" w:rsidRDefault="000F099D" w:rsidP="000F099D">
      <w:pPr>
        <w:keepNext/>
        <w:tabs>
          <w:tab w:val="left" w:pos="2041"/>
        </w:tabs>
        <w:spacing w:after="0" w:line="200" w:lineRule="atLeast"/>
        <w:jc w:val="both"/>
        <w:rPr>
          <w:rFonts w:ascii="ITC Avant Garde" w:hAnsi="ITC Avant Garde" w:cs="Arial"/>
          <w:bCs/>
          <w:i/>
          <w:sz w:val="20"/>
          <w:szCs w:val="20"/>
        </w:rPr>
      </w:pPr>
    </w:p>
    <w:p w14:paraId="37097094" w14:textId="77777777" w:rsidR="002816EE" w:rsidRPr="00177A2B" w:rsidRDefault="002816EE" w:rsidP="007E036D">
      <w:pPr>
        <w:tabs>
          <w:tab w:val="left" w:pos="4662"/>
        </w:tabs>
        <w:jc w:val="both"/>
        <w:rPr>
          <w:rFonts w:ascii="ITC Avant Garde" w:hAnsi="ITC Avant Garde" w:cs="Arial"/>
        </w:rPr>
      </w:pPr>
      <w:r w:rsidRPr="00177A2B">
        <w:rPr>
          <w:rFonts w:ascii="ITC Avant Garde" w:hAnsi="ITC Avant Garde" w:cs="Arial"/>
        </w:rPr>
        <w:t xml:space="preserve">El costo marginal a futuro (LRMC) representa un enfoque extremo donde solamente los costos incrementales de un minuto adicional de tráfico son considerados. Obviamente este enfoque es impráctico para definir precios regulatorios, ya que implicaría que cada </w:t>
      </w:r>
      <w:r w:rsidRPr="00177A2B">
        <w:rPr>
          <w:rFonts w:ascii="ITC Avant Garde" w:hAnsi="ITC Avant Garde" w:cs="Arial"/>
        </w:rPr>
        <w:lastRenderedPageBreak/>
        <w:t xml:space="preserve">minuto adicional entregado por los operadores tendría su propio costo específico (asumiendo que la relación costo volumen no es lineal). </w:t>
      </w:r>
    </w:p>
    <w:p w14:paraId="0030AFBE" w14:textId="77777777" w:rsidR="002816EE" w:rsidRPr="00177A2B" w:rsidRDefault="002816EE" w:rsidP="007E036D">
      <w:pPr>
        <w:tabs>
          <w:tab w:val="left" w:pos="4662"/>
        </w:tabs>
        <w:jc w:val="both"/>
        <w:rPr>
          <w:rFonts w:ascii="ITC Avant Garde" w:hAnsi="ITC Avant Garde" w:cs="Arial"/>
        </w:rPr>
      </w:pPr>
      <w:r w:rsidRPr="00177A2B">
        <w:rPr>
          <w:rFonts w:ascii="ITC Avant Garde" w:hAnsi="ITC Avant Garde" w:cs="Arial"/>
        </w:rPr>
        <w:t xml:space="preserve">Por otro lado está el costo incremental promedio de largo plazo (LRAIC o CITLP), que es más consistente con el costeo ‘promedio’ aplicado históricamente en la mayoría de la regulación fija y móvil. Este puede ser descrito como un enfoque de grandes incrementos – todos los servicios que contribuyen a las economías de escala en la red se suman en un gran incremento; los costos de servicios individuales se identifican mediante la repartición del gran costo incremental (tráfico) de acuerdo con los factores de ruteo del uso de recursos promedio. La adopción de un gran incremento – en general alguna forma de tráfico agregado – significa que todos los servicios que son suministrados se tratan juntos y con </w:t>
      </w:r>
      <w:r w:rsidRPr="00177A2B">
        <w:rPr>
          <w:rFonts w:ascii="ITC Avant Garde" w:hAnsi="ITC Avant Garde" w:cs="Arial"/>
          <w:i/>
        </w:rPr>
        <w:t>igualdad</w:t>
      </w:r>
      <w:r w:rsidRPr="00177A2B">
        <w:rPr>
          <w:rFonts w:ascii="ITC Avant Garde" w:hAnsi="ITC Avant Garde" w:cs="Arial"/>
        </w:rPr>
        <w:t>. Cuando uno de estos servicios es regulado, es beneficiado por las economías de escala promedio y no por un mayor o menor grado en estas economías. El uso de un gran incremento también limita los costos comunes a una evaluación del mínimo despliegue de red necesario para ofrecer el servicio.</w:t>
      </w:r>
    </w:p>
    <w:p w14:paraId="67539544" w14:textId="77777777" w:rsidR="006B1EB8" w:rsidRDefault="002816EE" w:rsidP="006B1EB8">
      <w:pPr>
        <w:tabs>
          <w:tab w:val="left" w:pos="4662"/>
        </w:tabs>
        <w:jc w:val="both"/>
        <w:rPr>
          <w:rFonts w:ascii="ITC Avant Garde" w:hAnsi="ITC Avant Garde" w:cs="Arial"/>
        </w:rPr>
      </w:pPr>
      <w:r w:rsidRPr="00177A2B">
        <w:rPr>
          <w:rFonts w:ascii="ITC Avant Garde" w:hAnsi="ITC Avant Garde" w:cs="Arial"/>
          <w:spacing w:val="-4"/>
        </w:rPr>
        <w:t xml:space="preserve">Finalmente se encuentra el costo incremental de largo plazo puro (LRIC o CILP), el cual es consistente con la recomendación de la Comisión Europea de mayo de 2009 para el tratamiento regulatorio de terminación fija y móvil. </w:t>
      </w:r>
      <w:r w:rsidRPr="00177A2B">
        <w:rPr>
          <w:rFonts w:ascii="ITC Avant Garde" w:hAnsi="ITC Avant Garde" w:cs="Arial"/>
        </w:rPr>
        <w:t xml:space="preserve">En este caso, el costo incremental de </w:t>
      </w:r>
      <w:r w:rsidRPr="00177A2B">
        <w:rPr>
          <w:rFonts w:ascii="ITC Avant Garde" w:hAnsi="ITC Avant Garde" w:cs="Arial"/>
          <w:bCs/>
        </w:rPr>
        <w:t>sólo el volumen de terminación mayorista</w:t>
      </w:r>
      <w:r w:rsidRPr="00177A2B">
        <w:rPr>
          <w:rFonts w:ascii="ITC Avant Garde" w:hAnsi="ITC Avant Garde" w:cs="Arial"/>
        </w:rPr>
        <w:t xml:space="preserve"> se evalúa ‘al margen’ de la función de costo. Es decir, al construir un modelo de costos ascendente que contenga algoritmos de diseño de red, es posible usar el modelo para calcular el coste incremental: ejecutándolo </w:t>
      </w:r>
      <w:r w:rsidRPr="00177A2B">
        <w:rPr>
          <w:rFonts w:ascii="ITC Avant Garde" w:hAnsi="ITC Avant Garde" w:cs="Arial"/>
          <w:i/>
          <w:iCs/>
        </w:rPr>
        <w:t xml:space="preserve">con </w:t>
      </w:r>
      <w:r w:rsidRPr="00177A2B">
        <w:rPr>
          <w:rFonts w:ascii="ITC Avant Garde" w:hAnsi="ITC Avant Garde" w:cs="Arial"/>
        </w:rPr>
        <w:t>y</w:t>
      </w:r>
      <w:r w:rsidRPr="00177A2B">
        <w:rPr>
          <w:rFonts w:ascii="ITC Avant Garde" w:hAnsi="ITC Avant Garde" w:cs="Arial"/>
          <w:i/>
          <w:iCs/>
        </w:rPr>
        <w:t xml:space="preserve"> sin</w:t>
      </w:r>
      <w:r w:rsidRPr="00177A2B">
        <w:rPr>
          <w:rFonts w:ascii="ITC Avant Garde" w:hAnsi="ITC Avant Garde" w:cs="Arial"/>
        </w:rPr>
        <w:t xml:space="preserve"> el incremento de que se trate (véase la Figura 6). Los costos unitarios de terminación de voz son entonces determinados como el cociente entre este costo y el volumen total de servicio. </w:t>
      </w:r>
      <w:bookmarkStart w:id="16" w:name="_Ref321212593"/>
    </w:p>
    <w:p w14:paraId="5BB99D9B" w14:textId="0BD29B9D" w:rsidR="006B1EB8" w:rsidRDefault="006B1EB8" w:rsidP="006B1EB8">
      <w:pPr>
        <w:tabs>
          <w:tab w:val="left" w:pos="4662"/>
        </w:tabs>
        <w:jc w:val="center"/>
        <w:rPr>
          <w:rFonts w:ascii="ITC Avant Garde" w:hAnsi="ITC Avant Garde" w:cs="Arial"/>
        </w:rPr>
      </w:pPr>
      <w:r w:rsidRPr="00177A2B">
        <w:rPr>
          <w:rFonts w:ascii="ITC Avant Garde" w:hAnsi="ITC Avant Garde"/>
          <w:noProof/>
          <w:lang w:eastAsia="es-MX"/>
        </w:rPr>
        <w:drawing>
          <wp:inline distT="0" distB="0" distL="0" distR="0" wp14:anchorId="0397234C" wp14:editId="4243D3CC">
            <wp:extent cx="3430905" cy="2428875"/>
            <wp:effectExtent l="0" t="0" r="0" b="9525"/>
            <wp:docPr id="12" name="Picture 24" descr="Cálculo del coste incremental del tráfico de terminación, Fuente: Analysys Mason" title="Figura s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b="6483"/>
                    <a:stretch>
                      <a:fillRect/>
                    </a:stretch>
                  </pic:blipFill>
                  <pic:spPr bwMode="auto">
                    <a:xfrm>
                      <a:off x="0" y="0"/>
                      <a:ext cx="3430905" cy="2428875"/>
                    </a:xfrm>
                    <a:prstGeom prst="rect">
                      <a:avLst/>
                    </a:prstGeom>
                    <a:noFill/>
                    <a:ln>
                      <a:noFill/>
                    </a:ln>
                  </pic:spPr>
                </pic:pic>
              </a:graphicData>
            </a:graphic>
          </wp:inline>
        </w:drawing>
      </w:r>
    </w:p>
    <w:p w14:paraId="6151D116" w14:textId="0C922EC5" w:rsidR="006B1EB8" w:rsidRDefault="006B1EB8" w:rsidP="006B1EB8">
      <w:pPr>
        <w:tabs>
          <w:tab w:val="left" w:pos="4662"/>
        </w:tabs>
        <w:jc w:val="both"/>
        <w:rPr>
          <w:rFonts w:ascii="ITC Avant Garde" w:hAnsi="ITC Avant Garde" w:cs="Arial"/>
          <w:bCs/>
          <w:i/>
          <w:sz w:val="20"/>
          <w:szCs w:val="20"/>
        </w:rPr>
      </w:pPr>
      <w:r w:rsidRPr="00177A2B">
        <w:rPr>
          <w:rFonts w:ascii="ITC Avant Garde" w:hAnsi="ITC Avant Garde" w:cs="Arial"/>
          <w:bCs/>
          <w:i/>
          <w:sz w:val="20"/>
          <w:szCs w:val="20"/>
        </w:rPr>
        <w:t xml:space="preserve">Figura </w:t>
      </w:r>
      <w:bookmarkEnd w:id="16"/>
      <w:r w:rsidRPr="00177A2B">
        <w:rPr>
          <w:rFonts w:ascii="ITC Avant Garde" w:hAnsi="ITC Avant Garde" w:cs="Arial"/>
          <w:bCs/>
          <w:i/>
          <w:sz w:val="20"/>
          <w:szCs w:val="20"/>
        </w:rPr>
        <w:t>6: Cálculo del coste incremental del tráfico de terminación [Fuente: Analysys Mason]</w:t>
      </w:r>
    </w:p>
    <w:p w14:paraId="5984E34A" w14:textId="5A1083F8" w:rsidR="006B1EB8" w:rsidRDefault="006B1EB8" w:rsidP="006B1EB8">
      <w:pPr>
        <w:tabs>
          <w:tab w:val="left" w:pos="4662"/>
        </w:tabs>
        <w:jc w:val="both"/>
        <w:rPr>
          <w:rFonts w:ascii="ITC Avant Garde" w:eastAsia="Times New Roman" w:hAnsi="ITC Avant Garde" w:cs="Arial"/>
          <w:b/>
          <w:bCs/>
          <w:iCs/>
        </w:rPr>
      </w:pPr>
      <w:r w:rsidRPr="00177A2B">
        <w:rPr>
          <w:rFonts w:ascii="ITC Avant Garde" w:eastAsia="Times New Roman" w:hAnsi="ITC Avant Garde" w:cs="Arial"/>
          <w:b/>
          <w:bCs/>
          <w:iCs/>
        </w:rPr>
        <w:lastRenderedPageBreak/>
        <w:t>Tamaño del incremento y costos comunes</w:t>
      </w:r>
    </w:p>
    <w:p w14:paraId="2B033D2C" w14:textId="77777777" w:rsidR="002816EE" w:rsidRPr="00177A2B" w:rsidRDefault="002816EE" w:rsidP="007E036D">
      <w:pPr>
        <w:tabs>
          <w:tab w:val="left" w:pos="4662"/>
        </w:tabs>
        <w:jc w:val="both"/>
        <w:rPr>
          <w:rFonts w:ascii="ITC Avant Garde" w:hAnsi="ITC Avant Garde" w:cs="Arial"/>
        </w:rPr>
      </w:pPr>
      <w:r w:rsidRPr="00177A2B">
        <w:rPr>
          <w:rFonts w:ascii="ITC Avant Garde" w:hAnsi="ITC Avant Garde" w:cs="Arial"/>
        </w:rPr>
        <w:t>Los modelos de costos pueden utilizarse para calcular los costos incrementales y comunes de otros servicios que no son de terminación. El tamaño del incremento afecta a la cantidad de costos comunes.</w:t>
      </w:r>
    </w:p>
    <w:p w14:paraId="364E8BFD" w14:textId="77777777" w:rsidR="002816EE" w:rsidRPr="00177A2B" w:rsidRDefault="002816EE" w:rsidP="007E036D">
      <w:pPr>
        <w:tabs>
          <w:tab w:val="left" w:pos="4662"/>
        </w:tabs>
        <w:jc w:val="both"/>
        <w:rPr>
          <w:rFonts w:ascii="ITC Avant Garde" w:hAnsi="ITC Avant Garde" w:cs="Arial"/>
        </w:rPr>
      </w:pPr>
      <w:r w:rsidRPr="00177A2B">
        <w:rPr>
          <w:rFonts w:ascii="ITC Avant Garde" w:hAnsi="ITC Avant Garde" w:cs="Arial"/>
        </w:rPr>
        <w:t xml:space="preserve">A modo de ejemplo, la utilización de incrementos grandes significa que las economías de escala generadas a lo largo de la vida del negocio se incorporan al costo incremental. Esto maximiza el costo incremental y minimiza los costos comunes. La Figura 7 ilustra el impacto que el tamaño del incremento tiene sobre los costos comunes. </w:t>
      </w:r>
    </w:p>
    <w:p w14:paraId="0247E6C6" w14:textId="76D2671A" w:rsidR="002816EE" w:rsidRDefault="00BD01EF" w:rsidP="00BD01EF">
      <w:pPr>
        <w:tabs>
          <w:tab w:val="left" w:pos="4662"/>
        </w:tabs>
        <w:jc w:val="center"/>
        <w:rPr>
          <w:rFonts w:ascii="ITC Avant Garde" w:hAnsi="ITC Avant Garde" w:cs="Arial"/>
        </w:rPr>
      </w:pPr>
      <w:r w:rsidRPr="00177A2B">
        <w:rPr>
          <w:rFonts w:ascii="ITC Avant Garde" w:hAnsi="ITC Avant Garde"/>
          <w:noProof/>
          <w:lang w:eastAsia="es-MX"/>
        </w:rPr>
        <w:drawing>
          <wp:inline distT="0" distB="0" distL="0" distR="0" wp14:anchorId="00CA4B1B" wp14:editId="76751C5E">
            <wp:extent cx="3694430" cy="1602105"/>
            <wp:effectExtent l="0" t="0" r="1270" b="0"/>
            <wp:docPr id="13" name="Picture 11" descr="Incrementos grandes y pequeños, Fuente: Analysys Mason" title="Figura si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4430" cy="1602105"/>
                    </a:xfrm>
                    <a:prstGeom prst="rect">
                      <a:avLst/>
                    </a:prstGeom>
                    <a:noFill/>
                    <a:ln>
                      <a:noFill/>
                    </a:ln>
                  </pic:spPr>
                </pic:pic>
              </a:graphicData>
            </a:graphic>
          </wp:inline>
        </w:drawing>
      </w:r>
    </w:p>
    <w:p w14:paraId="437D565C" w14:textId="3A66E8C1" w:rsidR="00BD01EF" w:rsidRPr="00177A2B" w:rsidRDefault="00BD01EF" w:rsidP="007E036D">
      <w:pPr>
        <w:tabs>
          <w:tab w:val="left" w:pos="4662"/>
        </w:tabs>
        <w:jc w:val="both"/>
        <w:rPr>
          <w:rFonts w:ascii="ITC Avant Garde" w:hAnsi="ITC Avant Garde" w:cs="Arial"/>
        </w:rPr>
      </w:pPr>
      <w:bookmarkStart w:id="17" w:name="_Ref321212606"/>
      <w:r w:rsidRPr="00177A2B">
        <w:rPr>
          <w:rFonts w:ascii="ITC Avant Garde" w:hAnsi="ITC Avant Garde" w:cs="Arial"/>
          <w:bCs/>
          <w:i/>
          <w:sz w:val="20"/>
          <w:szCs w:val="20"/>
        </w:rPr>
        <w:t xml:space="preserve">Figura </w:t>
      </w:r>
      <w:bookmarkEnd w:id="17"/>
      <w:r w:rsidRPr="00177A2B">
        <w:rPr>
          <w:rFonts w:ascii="ITC Avant Garde" w:hAnsi="ITC Avant Garde" w:cs="Arial"/>
          <w:bCs/>
          <w:i/>
          <w:sz w:val="20"/>
          <w:szCs w:val="20"/>
        </w:rPr>
        <w:t>7: Incrementos grandes y pequeños [Fuente: Analysys Mason]</w:t>
      </w:r>
    </w:p>
    <w:p w14:paraId="1B6CE8C3" w14:textId="061A3BDC" w:rsidR="002816EE" w:rsidRPr="00177A2B" w:rsidRDefault="002816EE" w:rsidP="007E036D">
      <w:pPr>
        <w:tabs>
          <w:tab w:val="left" w:pos="4662"/>
        </w:tabs>
        <w:jc w:val="both"/>
        <w:rPr>
          <w:rFonts w:ascii="ITC Avant Garde" w:hAnsi="ITC Avant Garde" w:cs="Arial"/>
        </w:rPr>
      </w:pPr>
      <w:r w:rsidRPr="00177A2B">
        <w:rPr>
          <w:rFonts w:ascii="ITC Avant Garde" w:hAnsi="ITC Avant Garde" w:cs="Arial"/>
        </w:rPr>
        <w:t xml:space="preserve">Debido a la conformidad con los requisitos específicos de </w:t>
      </w:r>
      <w:r w:rsidR="00A12018">
        <w:rPr>
          <w:rFonts w:ascii="ITC Avant Garde" w:hAnsi="ITC Avant Garde" w:cs="Arial"/>
        </w:rPr>
        <w:t>la Metodología de Costos del 18 de diciembre de 2014</w:t>
      </w:r>
      <w:r w:rsidRPr="00177A2B">
        <w:rPr>
          <w:rFonts w:ascii="ITC Avant Garde" w:hAnsi="ITC Avant Garde" w:cs="Arial"/>
        </w:rPr>
        <w:t xml:space="preserve">, es necesario utilizar una metodología de costos que: </w:t>
      </w:r>
    </w:p>
    <w:p w14:paraId="3C2A4879" w14:textId="77777777" w:rsidR="002816EE" w:rsidRPr="00177A2B" w:rsidRDefault="002816EE" w:rsidP="007E036D">
      <w:pPr>
        <w:numPr>
          <w:ilvl w:val="0"/>
          <w:numId w:val="6"/>
        </w:numPr>
        <w:tabs>
          <w:tab w:val="left" w:pos="4662"/>
        </w:tabs>
        <w:spacing w:after="0" w:line="320" w:lineRule="atLeast"/>
        <w:jc w:val="both"/>
        <w:rPr>
          <w:rFonts w:ascii="ITC Avant Garde" w:hAnsi="ITC Avant Garde" w:cs="Arial"/>
          <w:spacing w:val="-4"/>
        </w:rPr>
      </w:pPr>
      <w:r w:rsidRPr="00177A2B">
        <w:rPr>
          <w:rFonts w:ascii="ITC Avant Garde" w:hAnsi="ITC Avant Garde" w:cs="Arial"/>
          <w:spacing w:val="-4"/>
        </w:rPr>
        <w:t>permita calcular el costo promedio para el incremento de tráfico (de todos los servicios)</w:t>
      </w:r>
    </w:p>
    <w:p w14:paraId="3D2B2D50" w14:textId="77777777" w:rsidR="002816EE" w:rsidRPr="00177A2B" w:rsidRDefault="002816EE" w:rsidP="007E036D">
      <w:pPr>
        <w:numPr>
          <w:ilvl w:val="0"/>
          <w:numId w:val="6"/>
        </w:numPr>
        <w:tabs>
          <w:tab w:val="left" w:pos="4662"/>
        </w:tabs>
        <w:spacing w:after="0" w:line="320" w:lineRule="atLeast"/>
        <w:jc w:val="both"/>
        <w:rPr>
          <w:rFonts w:ascii="ITC Avant Garde" w:hAnsi="ITC Avant Garde" w:cs="Arial"/>
        </w:rPr>
      </w:pPr>
      <w:r w:rsidRPr="00177A2B">
        <w:rPr>
          <w:rFonts w:ascii="ITC Avant Garde" w:hAnsi="ITC Avant Garde" w:cs="Arial"/>
        </w:rPr>
        <w:t>asigne costos compartidos y comunes a los servicios de interconexión</w:t>
      </w:r>
    </w:p>
    <w:p w14:paraId="3C762A5B" w14:textId="77777777" w:rsidR="002816EE" w:rsidRPr="00177A2B" w:rsidRDefault="002816EE" w:rsidP="007E036D">
      <w:pPr>
        <w:numPr>
          <w:ilvl w:val="0"/>
          <w:numId w:val="6"/>
        </w:numPr>
        <w:tabs>
          <w:tab w:val="left" w:pos="4662"/>
        </w:tabs>
        <w:spacing w:after="240" w:line="320" w:lineRule="atLeast"/>
        <w:jc w:val="both"/>
        <w:rPr>
          <w:rFonts w:ascii="ITC Avant Garde" w:hAnsi="ITC Avant Garde" w:cs="Arial"/>
        </w:rPr>
      </w:pPr>
      <w:r w:rsidRPr="00177A2B">
        <w:rPr>
          <w:rFonts w:ascii="ITC Avant Garde" w:hAnsi="ITC Avant Garde" w:cs="Arial"/>
        </w:rPr>
        <w:t>permita ser competitivamente neutral con las operaciones móviles y fijas.</w:t>
      </w:r>
    </w:p>
    <w:p w14:paraId="1C43CC2A" w14:textId="77777777" w:rsidR="002816EE" w:rsidRPr="00177A2B" w:rsidRDefault="002816EE" w:rsidP="007E036D">
      <w:pPr>
        <w:keepNext/>
        <w:keepLines/>
        <w:tabs>
          <w:tab w:val="left" w:pos="4662"/>
        </w:tabs>
        <w:spacing w:before="360" w:after="120"/>
        <w:jc w:val="both"/>
        <w:outlineLvl w:val="3"/>
        <w:rPr>
          <w:rFonts w:ascii="ITC Avant Garde" w:eastAsia="Times New Roman" w:hAnsi="ITC Avant Garde" w:cs="Arial"/>
          <w:b/>
          <w:bCs/>
          <w:iCs/>
        </w:rPr>
      </w:pPr>
      <w:r w:rsidRPr="00177A2B">
        <w:rPr>
          <w:rFonts w:ascii="ITC Avant Garde" w:eastAsia="Times New Roman" w:hAnsi="ITC Avant Garde" w:cs="Arial"/>
          <w:b/>
          <w:bCs/>
          <w:iCs/>
        </w:rPr>
        <w:t>Enfoque LRAIC plus</w:t>
      </w:r>
    </w:p>
    <w:p w14:paraId="6FFC1855" w14:textId="377715AE" w:rsidR="002816EE" w:rsidRPr="00177A2B" w:rsidRDefault="002816EE" w:rsidP="007E036D">
      <w:pPr>
        <w:tabs>
          <w:tab w:val="left" w:pos="4662"/>
        </w:tabs>
        <w:jc w:val="both"/>
        <w:rPr>
          <w:rFonts w:ascii="ITC Avant Garde" w:hAnsi="ITC Avant Garde" w:cs="Arial"/>
        </w:rPr>
      </w:pPr>
      <w:r w:rsidRPr="00177A2B">
        <w:rPr>
          <w:rFonts w:ascii="ITC Avant Garde" w:hAnsi="ITC Avant Garde" w:cs="Arial"/>
        </w:rPr>
        <w:t xml:space="preserve">Este enfoque es consistente con las prácticas históricas de la mayor parte de los reguladores europeos y con </w:t>
      </w:r>
      <w:r w:rsidR="000D5240">
        <w:rPr>
          <w:rFonts w:ascii="ITC Avant Garde" w:hAnsi="ITC Avant Garde" w:cs="Arial"/>
        </w:rPr>
        <w:t>la Metodología de Costos del 18 de diciembre de 2014</w:t>
      </w:r>
      <w:r w:rsidRPr="00177A2B">
        <w:rPr>
          <w:rFonts w:ascii="ITC Avant Garde" w:hAnsi="ITC Avant Garde" w:cs="Arial"/>
        </w:rPr>
        <w:t xml:space="preserve">. Como se mencionó anteriormente, los costos de tráfico se definen como un agregado y después son distribuidos a los diferentes servicios de tráfico mediante factores de ruteo. Esto implica que se requerirá una matriz de factores de ruteo promedio para cada modelo. </w:t>
      </w:r>
    </w:p>
    <w:p w14:paraId="353E741C" w14:textId="77777777" w:rsidR="002816EE" w:rsidRPr="00177A2B" w:rsidRDefault="002816EE" w:rsidP="007E036D">
      <w:pPr>
        <w:tabs>
          <w:tab w:val="left" w:pos="4662"/>
        </w:tabs>
        <w:jc w:val="both"/>
        <w:rPr>
          <w:rFonts w:ascii="ITC Avant Garde" w:hAnsi="ITC Avant Garde" w:cs="Arial"/>
        </w:rPr>
      </w:pPr>
      <w:r w:rsidRPr="00177A2B">
        <w:rPr>
          <w:rFonts w:ascii="ITC Avant Garde" w:hAnsi="ITC Avant Garde" w:cs="Arial"/>
        </w:rPr>
        <w:t xml:space="preserve">La denominación </w:t>
      </w:r>
      <w:r w:rsidRPr="00177A2B">
        <w:rPr>
          <w:rFonts w:ascii="ITC Avant Garde" w:hAnsi="ITC Avant Garde" w:cs="Arial"/>
          <w:i/>
        </w:rPr>
        <w:t>plus</w:t>
      </w:r>
      <w:r w:rsidRPr="00177A2B">
        <w:rPr>
          <w:rFonts w:ascii="ITC Avant Garde" w:hAnsi="ITC Avant Garde" w:cs="Arial"/>
        </w:rPr>
        <w:t xml:space="preserve"> utilizada implica la inclusión de costos comunes, como por ejemplo los costos de la red que son comunes a todo el tráfico como pueden ser cobertura, licencias y gastos generales. El uso de un incremento grande implica que los </w:t>
      </w:r>
      <w:r w:rsidRPr="00177A2B">
        <w:rPr>
          <w:rFonts w:ascii="ITC Avant Garde" w:hAnsi="ITC Avant Garde" w:cs="Arial"/>
        </w:rPr>
        <w:lastRenderedPageBreak/>
        <w:t>costos comunes para los servicios de tráfico son automáticamente incluidos en el incremento.</w:t>
      </w:r>
    </w:p>
    <w:p w14:paraId="37F91A22" w14:textId="77777777" w:rsidR="002816EE" w:rsidRPr="00177A2B" w:rsidRDefault="002816EE" w:rsidP="007E036D">
      <w:pPr>
        <w:tabs>
          <w:tab w:val="left" w:pos="4662"/>
        </w:tabs>
        <w:jc w:val="both"/>
        <w:rPr>
          <w:rFonts w:ascii="ITC Avant Garde" w:hAnsi="ITC Avant Garde" w:cs="Arial"/>
        </w:rPr>
      </w:pPr>
      <w:r w:rsidRPr="00177A2B">
        <w:rPr>
          <w:rFonts w:ascii="ITC Avant Garde" w:hAnsi="ITC Avant Garde" w:cs="Arial"/>
        </w:rPr>
        <w:t>Es también necesario identificar un incremento de usuarios que capture los costos que varían en función del volumen de usuarios (no por cambios en volumen). El incremento de usuarios, que capturará estos costos, debe ser definido con cuidado para ser consistente y transparente para las redes fija y móvil. Estos costos son definidos como los costos promedio incrementales cuando nuevos usuarios son agregados a la red.</w:t>
      </w:r>
    </w:p>
    <w:p w14:paraId="6A6C5A86" w14:textId="6E8774DF" w:rsidR="002816EE" w:rsidRPr="00177A2B" w:rsidRDefault="002816EE" w:rsidP="007E036D">
      <w:pPr>
        <w:numPr>
          <w:ilvl w:val="0"/>
          <w:numId w:val="6"/>
        </w:numPr>
        <w:tabs>
          <w:tab w:val="left" w:pos="4662"/>
        </w:tabs>
        <w:spacing w:after="0" w:line="320" w:lineRule="atLeast"/>
        <w:jc w:val="both"/>
        <w:rPr>
          <w:rFonts w:ascii="ITC Avant Garde" w:hAnsi="ITC Avant Garde" w:cs="Arial"/>
        </w:rPr>
      </w:pPr>
      <w:r w:rsidRPr="00177A2B">
        <w:rPr>
          <w:rFonts w:ascii="ITC Avant Garde" w:hAnsi="ITC Avant Garde" w:cs="Arial"/>
        </w:rPr>
        <w:t xml:space="preserve">en una red móvil, un nuevo usuario recibe una tarjeta SIM para poder enviar y recibir tráfico en el punto de concentración (el aire es la </w:t>
      </w:r>
      <w:r w:rsidR="000D5240" w:rsidRPr="00177A2B">
        <w:rPr>
          <w:rFonts w:ascii="ITC Avant Garde" w:hAnsi="ITC Avant Garde" w:cs="Arial"/>
        </w:rPr>
        <w:t>interfa</w:t>
      </w:r>
      <w:r w:rsidR="000D5240">
        <w:rPr>
          <w:rFonts w:ascii="ITC Avant Garde" w:hAnsi="ITC Avant Garde" w:cs="Arial"/>
        </w:rPr>
        <w:t>z</w:t>
      </w:r>
      <w:r w:rsidRPr="00177A2B">
        <w:rPr>
          <w:rFonts w:ascii="ITC Avant Garde" w:hAnsi="ITC Avant Garde" w:cs="Arial"/>
        </w:rPr>
        <w:t>)</w:t>
      </w:r>
    </w:p>
    <w:p w14:paraId="59D9AE28" w14:textId="77777777" w:rsidR="002816EE" w:rsidRPr="00177A2B" w:rsidRDefault="002816EE" w:rsidP="007E036D">
      <w:pPr>
        <w:numPr>
          <w:ilvl w:val="0"/>
          <w:numId w:val="6"/>
        </w:numPr>
        <w:tabs>
          <w:tab w:val="left" w:pos="4662"/>
        </w:tabs>
        <w:spacing w:after="240" w:line="320" w:lineRule="atLeast"/>
        <w:ind w:left="357" w:hanging="357"/>
        <w:jc w:val="both"/>
        <w:rPr>
          <w:rFonts w:ascii="ITC Avant Garde" w:hAnsi="ITC Avant Garde" w:cs="Arial"/>
        </w:rPr>
      </w:pPr>
      <w:r w:rsidRPr="00177A2B">
        <w:rPr>
          <w:rFonts w:ascii="ITC Avant Garde" w:hAnsi="ITC Avant Garde" w:cs="Arial"/>
        </w:rPr>
        <w:t>en una red fija, un nuevo usuario requerirá ser conectado a la tarjeta del conmutador, o equivalente en una red de nueva generación, mediante cobre/cable/fibra que vaya del usuario al punto de concentración.</w:t>
      </w:r>
    </w:p>
    <w:p w14:paraId="0EFB0874" w14:textId="77777777" w:rsidR="002816EE" w:rsidRPr="00177A2B" w:rsidRDefault="002816EE" w:rsidP="007E036D">
      <w:pPr>
        <w:tabs>
          <w:tab w:val="left" w:pos="4662"/>
        </w:tabs>
        <w:jc w:val="both"/>
        <w:rPr>
          <w:rFonts w:ascii="ITC Avant Garde" w:hAnsi="ITC Avant Garde" w:cs="Arial"/>
        </w:rPr>
      </w:pPr>
      <w:r w:rsidRPr="00177A2B">
        <w:rPr>
          <w:rFonts w:ascii="ITC Avant Garde" w:hAnsi="ITC Avant Garde" w:cs="Arial"/>
        </w:rPr>
        <w:t>Se propone que este ‘servicio incremental de usuario’ sea definido sencillamente como el derecho a unirse a la red de usuarios. Cualquier otro costo, incluyendo costos requeridos para establecer una red operacional pero sólo con capacidad mínima, son recuperados mediante los incrementos de uso. Por consiguiente, todo el equipo para usuarios será también excluido (p.ej. teléfonos, módems).</w:t>
      </w:r>
    </w:p>
    <w:p w14:paraId="4F800E66" w14:textId="77777777" w:rsidR="002816EE" w:rsidRPr="00177A2B" w:rsidRDefault="002816EE" w:rsidP="007E036D">
      <w:pPr>
        <w:tabs>
          <w:tab w:val="left" w:pos="4662"/>
        </w:tabs>
        <w:jc w:val="both"/>
        <w:rPr>
          <w:rFonts w:ascii="ITC Avant Garde" w:hAnsi="ITC Avant Garde" w:cs="Arial"/>
          <w:szCs w:val="20"/>
        </w:rPr>
      </w:pPr>
      <w:r w:rsidRPr="00177A2B">
        <w:rPr>
          <w:rFonts w:ascii="ITC Avant Garde" w:hAnsi="ITC Avant Garde" w:cs="Arial"/>
          <w:szCs w:val="20"/>
        </w:rPr>
        <w:t>La Figura 8 detalla los costos a incluirse siguiendo este método.</w:t>
      </w:r>
    </w:p>
    <w:p w14:paraId="0C0EFB71" w14:textId="77777777" w:rsidR="002816EE" w:rsidRPr="00177A2B" w:rsidRDefault="002816EE" w:rsidP="00BD01EF">
      <w:pPr>
        <w:tabs>
          <w:tab w:val="left" w:pos="4662"/>
        </w:tabs>
        <w:jc w:val="center"/>
        <w:rPr>
          <w:rFonts w:ascii="ITC Avant Garde" w:hAnsi="ITC Avant Garde"/>
        </w:rPr>
      </w:pPr>
      <w:r w:rsidRPr="00177A2B">
        <w:rPr>
          <w:rFonts w:ascii="ITC Avant Garde" w:hAnsi="ITC Avant Garde"/>
          <w:noProof/>
          <w:lang w:eastAsia="es-MX"/>
        </w:rPr>
        <w:drawing>
          <wp:inline distT="0" distB="0" distL="0" distR="0" wp14:anchorId="62BF02AD" wp14:editId="421CB1E6">
            <wp:extent cx="5010785" cy="2355215"/>
            <wp:effectExtent l="0" t="0" r="0" b="6985"/>
            <wp:docPr id="14" name="Picture 34" descr="Distribución de costos usando CITLP Plus, Fuente: Analysys Mason" title="Figura o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0785" cy="2355215"/>
                    </a:xfrm>
                    <a:prstGeom prst="rect">
                      <a:avLst/>
                    </a:prstGeom>
                    <a:noFill/>
                    <a:ln>
                      <a:noFill/>
                    </a:ln>
                  </pic:spPr>
                </pic:pic>
              </a:graphicData>
            </a:graphic>
          </wp:inline>
        </w:drawing>
      </w:r>
    </w:p>
    <w:p w14:paraId="35D0CD2E" w14:textId="1223BA24" w:rsidR="002816EE" w:rsidRPr="000F099D" w:rsidRDefault="00BD01EF" w:rsidP="00BD01EF">
      <w:pPr>
        <w:keepNext/>
        <w:tabs>
          <w:tab w:val="left" w:pos="2041"/>
          <w:tab w:val="left" w:pos="4662"/>
        </w:tabs>
        <w:spacing w:before="120" w:after="60" w:line="200" w:lineRule="atLeast"/>
        <w:jc w:val="center"/>
        <w:rPr>
          <w:rFonts w:ascii="ITC Avant Garde" w:hAnsi="ITC Avant Garde" w:cs="Arial"/>
          <w:bCs/>
          <w:i/>
          <w:sz w:val="18"/>
          <w:szCs w:val="18"/>
        </w:rPr>
      </w:pPr>
      <w:r w:rsidRPr="000F099D">
        <w:rPr>
          <w:rFonts w:ascii="ITC Avant Garde" w:hAnsi="ITC Avant Garde" w:cs="Arial"/>
          <w:bCs/>
          <w:i/>
          <w:sz w:val="18"/>
          <w:szCs w:val="18"/>
        </w:rPr>
        <w:t>Figura 8: Distribución de costos usando CITLP Plus [Fuente: Analysys Mason]</w:t>
      </w:r>
    </w:p>
    <w:p w14:paraId="7FA8BF28" w14:textId="77777777" w:rsidR="00BD01EF" w:rsidRPr="00BD01EF" w:rsidRDefault="00BD01EF" w:rsidP="00BD01EF">
      <w:pPr>
        <w:keepNext/>
        <w:tabs>
          <w:tab w:val="left" w:pos="2041"/>
          <w:tab w:val="left" w:pos="4662"/>
        </w:tabs>
        <w:spacing w:before="120" w:after="60" w:line="200" w:lineRule="atLeast"/>
        <w:jc w:val="center"/>
        <w:rPr>
          <w:rFonts w:ascii="ITC Avant Garde" w:hAnsi="ITC Avant Garde" w:cs="Arial"/>
          <w:bCs/>
          <w:i/>
          <w:sz w:val="20"/>
          <w:szCs w:val="20"/>
        </w:rPr>
      </w:pPr>
    </w:p>
    <w:p w14:paraId="265C4138" w14:textId="5D9B85D9" w:rsidR="002816EE" w:rsidRDefault="002816EE" w:rsidP="007E036D">
      <w:pPr>
        <w:jc w:val="both"/>
        <w:rPr>
          <w:rFonts w:ascii="ITC Avant Garde" w:hAnsi="ITC Avant Garde" w:cs="Arial"/>
        </w:rPr>
      </w:pPr>
      <w:r w:rsidRPr="00177A2B">
        <w:rPr>
          <w:rFonts w:ascii="ITC Avant Garde" w:hAnsi="ITC Avant Garde" w:cs="Arial"/>
        </w:rPr>
        <w:t>Adicionalmente se recuperan los costos comunes relevantes a través de un EPMU (</w:t>
      </w:r>
      <w:r w:rsidRPr="00177A2B">
        <w:rPr>
          <w:rFonts w:ascii="ITC Avant Garde" w:hAnsi="ITC Avant Garde" w:cs="Arial"/>
          <w:i/>
        </w:rPr>
        <w:t>equi-proportionate mark-up</w:t>
      </w:r>
      <w:r w:rsidRPr="00177A2B">
        <w:rPr>
          <w:rFonts w:ascii="ITC Avant Garde" w:hAnsi="ITC Avant Garde" w:cs="Arial"/>
        </w:rPr>
        <w:t xml:space="preserve">) tal y como se indica en </w:t>
      </w:r>
      <w:r w:rsidR="000D5240">
        <w:rPr>
          <w:rFonts w:ascii="ITC Avant Garde" w:hAnsi="ITC Avant Garde" w:cs="Arial"/>
        </w:rPr>
        <w:t>la Metodología de Costos del 18 de diciembre de 2014</w:t>
      </w:r>
      <w:r w:rsidRPr="00177A2B">
        <w:rPr>
          <w:rFonts w:ascii="ITC Avant Garde" w:hAnsi="ITC Avant Garde" w:cs="Arial"/>
        </w:rPr>
        <w:t>.</w:t>
      </w:r>
    </w:p>
    <w:p w14:paraId="3C3EBD36" w14:textId="2D6C51F1" w:rsidR="002816EE" w:rsidRPr="00BD01EF" w:rsidRDefault="00BD01EF" w:rsidP="00BD01EF">
      <w:pPr>
        <w:jc w:val="both"/>
        <w:rPr>
          <w:rFonts w:ascii="ITC Avant Garde" w:hAnsi="ITC Avant Garde" w:cs="Arial"/>
        </w:rPr>
      </w:pPr>
      <w:r w:rsidRPr="00177A2B">
        <w:rPr>
          <w:rFonts w:ascii="ITC Avant Garde" w:eastAsia="Times New Roman" w:hAnsi="ITC Avant Garde" w:cs="Arial"/>
          <w:b/>
          <w:bCs/>
          <w:iCs/>
        </w:rPr>
        <w:lastRenderedPageBreak/>
        <w:t>Enfoque LRIC puro</w:t>
      </w:r>
    </w:p>
    <w:p w14:paraId="4DED9F7A" w14:textId="4260A577" w:rsidR="002816EE" w:rsidRPr="00177A2B" w:rsidRDefault="002816EE" w:rsidP="007E036D">
      <w:pPr>
        <w:jc w:val="both"/>
        <w:rPr>
          <w:rFonts w:ascii="ITC Avant Garde" w:hAnsi="ITC Avant Garde" w:cs="Arial"/>
        </w:rPr>
      </w:pPr>
      <w:r w:rsidRPr="00177A2B">
        <w:rPr>
          <w:rFonts w:ascii="ITC Avant Garde" w:hAnsi="ITC Avant Garde" w:cs="Arial"/>
        </w:rPr>
        <w:t xml:space="preserve">Este enfoque es consistente con la recomendación de la Comisión Europea para el tratamiento regulatorio de terminación fija y móvil, y va en línea con </w:t>
      </w:r>
      <w:r w:rsidR="000D5240">
        <w:rPr>
          <w:rFonts w:ascii="ITC Avant Garde" w:hAnsi="ITC Avant Garde" w:cs="Arial"/>
        </w:rPr>
        <w:t xml:space="preserve">la Metodología de Costos del 18 de diciembre de 2014 </w:t>
      </w:r>
      <w:r w:rsidRPr="00177A2B">
        <w:rPr>
          <w:rFonts w:ascii="ITC Avant Garde" w:hAnsi="ITC Avant Garde" w:cs="Arial"/>
        </w:rPr>
        <w:t>definid</w:t>
      </w:r>
      <w:r w:rsidR="000D5240">
        <w:rPr>
          <w:rFonts w:ascii="ITC Avant Garde" w:hAnsi="ITC Avant Garde" w:cs="Arial"/>
        </w:rPr>
        <w:t>a</w:t>
      </w:r>
      <w:r w:rsidRPr="00177A2B">
        <w:rPr>
          <w:rFonts w:ascii="ITC Avant Garde" w:hAnsi="ITC Avant Garde" w:cs="Arial"/>
        </w:rPr>
        <w:t xml:space="preserve"> por el Instituto. Dicha recomendación considera el incremento como el tráfico de un único servicio, como por ejemplo el tráfico de terminación de voz.</w:t>
      </w:r>
    </w:p>
    <w:p w14:paraId="300BE383" w14:textId="77777777" w:rsidR="002816EE" w:rsidRPr="00177A2B" w:rsidRDefault="002816EE" w:rsidP="007E036D">
      <w:pPr>
        <w:jc w:val="both"/>
        <w:rPr>
          <w:rFonts w:ascii="ITC Avant Garde" w:hAnsi="ITC Avant Garde" w:cs="Arial"/>
        </w:rPr>
      </w:pPr>
      <w:r w:rsidRPr="00177A2B">
        <w:rPr>
          <w:rFonts w:ascii="ITC Avant Garde" w:hAnsi="ITC Avant Garde" w:cs="Arial"/>
        </w:rPr>
        <w:t>El LRIC puro calcula los costos de un servicio en base a la diferencia entre los costos totales a largo plazo de un operador que provee el abanico total de servicios y los costos totales a largo plazo de un operador que ofrece todos los servicios salvo el del servicio que se está costeando, tal y como se muestra en la siguiente figura.</w:t>
      </w:r>
    </w:p>
    <w:p w14:paraId="5323EA69" w14:textId="77777777" w:rsidR="002816EE" w:rsidRDefault="002816EE" w:rsidP="007E036D">
      <w:pPr>
        <w:jc w:val="both"/>
        <w:rPr>
          <w:rFonts w:ascii="ITC Avant Garde" w:hAnsi="ITC Avant Garde" w:cs="Arial"/>
        </w:rPr>
      </w:pPr>
      <w:r w:rsidRPr="00177A2B">
        <w:rPr>
          <w:rFonts w:ascii="ITC Avant Garde" w:hAnsi="ITC Avant Garde" w:cs="Arial"/>
        </w:rPr>
        <w:t xml:space="preserve">Para el cálculo del LRIC puro, se calcula el costo incremental ejecutando el modelo con y sin el incremento que se quiera costear. Los costos unitarios son entonces determinados como el cociente entre este costo incremental y el volumen de tráfico incremental del servicio (ver </w:t>
      </w:r>
      <w:r w:rsidRPr="00177A2B">
        <w:rPr>
          <w:rFonts w:ascii="ITC Avant Garde" w:hAnsi="ITC Avant Garde" w:cs="Arial"/>
        </w:rPr>
        <w:fldChar w:fldCharType="begin"/>
      </w:r>
      <w:r w:rsidRPr="00177A2B">
        <w:rPr>
          <w:rFonts w:ascii="ITC Avant Garde" w:hAnsi="ITC Avant Garde" w:cs="Arial"/>
        </w:rPr>
        <w:instrText xml:space="preserve"> REF _Ref406502493 \h  \* MERGEFORMAT </w:instrText>
      </w:r>
      <w:r w:rsidRPr="00177A2B">
        <w:rPr>
          <w:rFonts w:ascii="ITC Avant Garde" w:hAnsi="ITC Avant Garde" w:cs="Arial"/>
        </w:rPr>
      </w:r>
      <w:r w:rsidRPr="00177A2B">
        <w:rPr>
          <w:rFonts w:ascii="ITC Avant Garde" w:hAnsi="ITC Avant Garde" w:cs="Arial"/>
        </w:rPr>
        <w:fldChar w:fldCharType="separate"/>
      </w:r>
      <w:r w:rsidRPr="00177A2B">
        <w:rPr>
          <w:rFonts w:ascii="ITC Avant Garde" w:hAnsi="ITC Avant Garde" w:cs="Arial"/>
        </w:rPr>
        <w:t>Figura 6.5</w:t>
      </w:r>
      <w:r w:rsidRPr="00177A2B">
        <w:rPr>
          <w:rFonts w:ascii="ITC Avant Garde" w:hAnsi="ITC Avant Garde" w:cs="Arial"/>
        </w:rPr>
        <w:fldChar w:fldCharType="end"/>
      </w:r>
      <w:r w:rsidRPr="00177A2B">
        <w:rPr>
          <w:rFonts w:ascii="ITC Avant Garde" w:hAnsi="ITC Avant Garde" w:cs="Arial"/>
        </w:rPr>
        <w:t>).</w:t>
      </w:r>
    </w:p>
    <w:p w14:paraId="1502F1D4" w14:textId="5D6437B4" w:rsidR="00BD01EF" w:rsidRDefault="00BD01EF" w:rsidP="00BD01EF">
      <w:pPr>
        <w:jc w:val="center"/>
        <w:rPr>
          <w:rFonts w:ascii="ITC Avant Garde" w:hAnsi="ITC Avant Garde"/>
          <w:bCs/>
          <w:i/>
          <w:sz w:val="18"/>
          <w:szCs w:val="18"/>
        </w:rPr>
      </w:pPr>
      <w:bookmarkStart w:id="18" w:name="_Ref406502493"/>
      <w:bookmarkStart w:id="19" w:name="_Ref451528683"/>
      <w:r w:rsidRPr="00177A2B">
        <w:rPr>
          <w:rFonts w:ascii="ITC Avant Garde" w:hAnsi="ITC Avant Garde"/>
          <w:noProof/>
          <w:lang w:eastAsia="es-MX"/>
        </w:rPr>
        <w:drawing>
          <wp:inline distT="0" distB="0" distL="0" distR="0" wp14:anchorId="10224FA1" wp14:editId="50B9DDF7">
            <wp:extent cx="3154374" cy="2380988"/>
            <wp:effectExtent l="0" t="0" r="8255" b="635"/>
            <wp:docPr id="15" name="Picture 107" descr="Cálculo del costo incremental del tráfico de terminación, Fuente: Analysys Mason" title="Figura seis punto ci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b="6462"/>
                    <a:stretch>
                      <a:fillRect/>
                    </a:stretch>
                  </pic:blipFill>
                  <pic:spPr bwMode="auto">
                    <a:xfrm>
                      <a:off x="0" y="0"/>
                      <a:ext cx="3156650" cy="2382706"/>
                    </a:xfrm>
                    <a:prstGeom prst="rect">
                      <a:avLst/>
                    </a:prstGeom>
                    <a:noFill/>
                    <a:ln>
                      <a:noFill/>
                    </a:ln>
                  </pic:spPr>
                </pic:pic>
              </a:graphicData>
            </a:graphic>
          </wp:inline>
        </w:drawing>
      </w:r>
    </w:p>
    <w:p w14:paraId="55843FAC" w14:textId="4D8B8B91" w:rsidR="00BD01EF" w:rsidRDefault="00BD01EF" w:rsidP="007E036D">
      <w:pPr>
        <w:jc w:val="both"/>
        <w:rPr>
          <w:rFonts w:ascii="ITC Avant Garde" w:hAnsi="ITC Avant Garde" w:cs="Arial"/>
        </w:rPr>
      </w:pPr>
      <w:r w:rsidRPr="00177A2B">
        <w:rPr>
          <w:rFonts w:ascii="ITC Avant Garde" w:hAnsi="ITC Avant Garde"/>
          <w:bCs/>
          <w:i/>
          <w:sz w:val="18"/>
          <w:szCs w:val="18"/>
        </w:rPr>
        <w:t xml:space="preserve">Figura </w:t>
      </w:r>
      <w:r w:rsidRPr="00177A2B">
        <w:rPr>
          <w:rFonts w:ascii="ITC Avant Garde" w:hAnsi="ITC Avant Garde"/>
          <w:bCs/>
          <w:i/>
          <w:sz w:val="18"/>
          <w:szCs w:val="18"/>
        </w:rPr>
        <w:fldChar w:fldCharType="begin"/>
      </w:r>
      <w:r w:rsidRPr="00177A2B">
        <w:rPr>
          <w:rFonts w:ascii="ITC Avant Garde" w:hAnsi="ITC Avant Garde"/>
          <w:bCs/>
          <w:i/>
          <w:sz w:val="18"/>
          <w:szCs w:val="18"/>
        </w:rPr>
        <w:instrText xml:space="preserve"> STYLEREF 1 \s </w:instrText>
      </w:r>
      <w:r w:rsidRPr="00177A2B">
        <w:rPr>
          <w:rFonts w:ascii="ITC Avant Garde" w:hAnsi="ITC Avant Garde"/>
          <w:bCs/>
          <w:i/>
          <w:sz w:val="18"/>
          <w:szCs w:val="18"/>
        </w:rPr>
        <w:fldChar w:fldCharType="separate"/>
      </w:r>
      <w:r w:rsidRPr="00177A2B">
        <w:rPr>
          <w:rFonts w:ascii="ITC Avant Garde" w:hAnsi="ITC Avant Garde"/>
          <w:bCs/>
          <w:i/>
          <w:noProof/>
          <w:sz w:val="18"/>
          <w:szCs w:val="18"/>
        </w:rPr>
        <w:t>6</w:t>
      </w:r>
      <w:r w:rsidRPr="00177A2B">
        <w:rPr>
          <w:rFonts w:ascii="ITC Avant Garde" w:hAnsi="ITC Avant Garde"/>
          <w:bCs/>
          <w:i/>
          <w:sz w:val="18"/>
          <w:szCs w:val="18"/>
        </w:rPr>
        <w:fldChar w:fldCharType="end"/>
      </w:r>
      <w:r w:rsidRPr="00177A2B">
        <w:rPr>
          <w:rFonts w:ascii="ITC Avant Garde" w:hAnsi="ITC Avant Garde"/>
          <w:bCs/>
          <w:i/>
          <w:sz w:val="18"/>
          <w:szCs w:val="18"/>
        </w:rPr>
        <w:t>.</w:t>
      </w:r>
      <w:r w:rsidRPr="00177A2B">
        <w:rPr>
          <w:rFonts w:ascii="ITC Avant Garde" w:hAnsi="ITC Avant Garde"/>
          <w:bCs/>
          <w:i/>
          <w:sz w:val="18"/>
          <w:szCs w:val="18"/>
        </w:rPr>
        <w:fldChar w:fldCharType="begin"/>
      </w:r>
      <w:r w:rsidRPr="00177A2B">
        <w:rPr>
          <w:rFonts w:ascii="ITC Avant Garde" w:hAnsi="ITC Avant Garde"/>
          <w:bCs/>
          <w:i/>
          <w:sz w:val="18"/>
          <w:szCs w:val="18"/>
        </w:rPr>
        <w:instrText xml:space="preserve"> SEQ Ilustración \* ARABIC \s 1 </w:instrText>
      </w:r>
      <w:r w:rsidRPr="00177A2B">
        <w:rPr>
          <w:rFonts w:ascii="ITC Avant Garde" w:hAnsi="ITC Avant Garde"/>
          <w:bCs/>
          <w:i/>
          <w:sz w:val="18"/>
          <w:szCs w:val="18"/>
        </w:rPr>
        <w:fldChar w:fldCharType="separate"/>
      </w:r>
      <w:r w:rsidRPr="00177A2B">
        <w:rPr>
          <w:rFonts w:ascii="ITC Avant Garde" w:hAnsi="ITC Avant Garde"/>
          <w:bCs/>
          <w:i/>
          <w:noProof/>
          <w:sz w:val="18"/>
          <w:szCs w:val="18"/>
        </w:rPr>
        <w:t>5</w:t>
      </w:r>
      <w:r w:rsidRPr="00177A2B">
        <w:rPr>
          <w:rFonts w:ascii="ITC Avant Garde" w:hAnsi="ITC Avant Garde"/>
          <w:bCs/>
          <w:i/>
          <w:sz w:val="18"/>
          <w:szCs w:val="18"/>
        </w:rPr>
        <w:fldChar w:fldCharType="end"/>
      </w:r>
      <w:bookmarkEnd w:id="18"/>
      <w:r w:rsidRPr="00177A2B">
        <w:rPr>
          <w:rFonts w:ascii="ITC Avant Garde" w:hAnsi="ITC Avant Garde"/>
          <w:bCs/>
          <w:i/>
          <w:sz w:val="18"/>
          <w:szCs w:val="18"/>
        </w:rPr>
        <w:t>: Cálculo del costo incremental del tráfico de terminación [Fuente: Analysys Mason]</w:t>
      </w:r>
      <w:bookmarkEnd w:id="19"/>
    </w:p>
    <w:p w14:paraId="06BD7806" w14:textId="77777777" w:rsidR="002816EE" w:rsidRPr="00177A2B" w:rsidRDefault="002816EE" w:rsidP="007E036D">
      <w:pPr>
        <w:jc w:val="both"/>
        <w:rPr>
          <w:rFonts w:ascii="ITC Avant Garde" w:hAnsi="ITC Avant Garde" w:cs="Arial"/>
        </w:rPr>
      </w:pPr>
      <w:r w:rsidRPr="00177A2B">
        <w:rPr>
          <w:rFonts w:ascii="ITC Avant Garde" w:hAnsi="ITC Avant Garde" w:cs="Arial"/>
        </w:rPr>
        <w:t xml:space="preserve">El cálculo de los resultados obtenidos al aplicar la metodología LRIC puro se basa en los siguientes pasos (ver </w:t>
      </w:r>
      <w:r w:rsidRPr="00177A2B">
        <w:rPr>
          <w:rFonts w:ascii="ITC Avant Garde" w:hAnsi="ITC Avant Garde" w:cs="Arial"/>
        </w:rPr>
        <w:fldChar w:fldCharType="begin"/>
      </w:r>
      <w:r w:rsidRPr="00177A2B">
        <w:rPr>
          <w:rFonts w:ascii="ITC Avant Garde" w:hAnsi="ITC Avant Garde" w:cs="Arial"/>
        </w:rPr>
        <w:instrText xml:space="preserve"> REF _Ref335213719 \h  \* MERGEFORMAT </w:instrText>
      </w:r>
      <w:r w:rsidRPr="00177A2B">
        <w:rPr>
          <w:rFonts w:ascii="ITC Avant Garde" w:hAnsi="ITC Avant Garde" w:cs="Arial"/>
        </w:rPr>
      </w:r>
      <w:r w:rsidRPr="00177A2B">
        <w:rPr>
          <w:rFonts w:ascii="ITC Avant Garde" w:hAnsi="ITC Avant Garde" w:cs="Arial"/>
        </w:rPr>
        <w:fldChar w:fldCharType="separate"/>
      </w:r>
      <w:r w:rsidRPr="00177A2B">
        <w:rPr>
          <w:rFonts w:ascii="ITC Avant Garde" w:hAnsi="ITC Avant Garde" w:cs="Arial"/>
        </w:rPr>
        <w:t>Figura 6.6</w:t>
      </w:r>
      <w:r w:rsidRPr="00177A2B">
        <w:rPr>
          <w:rFonts w:ascii="ITC Avant Garde" w:hAnsi="ITC Avant Garde" w:cs="Arial"/>
        </w:rPr>
        <w:fldChar w:fldCharType="end"/>
      </w:r>
      <w:r w:rsidRPr="00177A2B">
        <w:rPr>
          <w:rFonts w:ascii="ITC Avant Garde" w:hAnsi="ITC Avant Garde" w:cs="Arial"/>
        </w:rPr>
        <w:t>):</w:t>
      </w:r>
    </w:p>
    <w:p w14:paraId="2DB235DA" w14:textId="77777777" w:rsidR="002816EE" w:rsidRPr="00177A2B" w:rsidRDefault="002816EE" w:rsidP="007E036D">
      <w:pPr>
        <w:numPr>
          <w:ilvl w:val="0"/>
          <w:numId w:val="6"/>
        </w:numPr>
        <w:tabs>
          <w:tab w:val="left" w:pos="4662"/>
        </w:tabs>
        <w:spacing w:after="0" w:line="320" w:lineRule="atLeast"/>
        <w:jc w:val="both"/>
        <w:rPr>
          <w:rFonts w:ascii="ITC Avant Garde" w:hAnsi="ITC Avant Garde" w:cs="Arial"/>
        </w:rPr>
      </w:pPr>
      <w:r w:rsidRPr="00177A2B">
        <w:rPr>
          <w:rFonts w:ascii="ITC Avant Garde" w:hAnsi="ITC Avant Garde" w:cs="Arial"/>
        </w:rPr>
        <w:t>cálculo de los costos de la red completa del operador, sin el incremento del servicio considerado (tráfico de originación, o terminación de otras redes o tránsito)</w:t>
      </w:r>
    </w:p>
    <w:p w14:paraId="28C8C476" w14:textId="10B8AA1D" w:rsidR="002816EE" w:rsidRPr="00177A2B" w:rsidRDefault="002816EE" w:rsidP="007E036D">
      <w:pPr>
        <w:numPr>
          <w:ilvl w:val="0"/>
          <w:numId w:val="6"/>
        </w:numPr>
        <w:tabs>
          <w:tab w:val="left" w:pos="4662"/>
        </w:tabs>
        <w:spacing w:after="0" w:line="320" w:lineRule="atLeast"/>
        <w:jc w:val="both"/>
        <w:rPr>
          <w:rFonts w:ascii="ITC Avant Garde" w:hAnsi="ITC Avant Garde" w:cs="Arial"/>
        </w:rPr>
      </w:pPr>
      <w:r w:rsidRPr="00177A2B">
        <w:rPr>
          <w:rFonts w:ascii="ITC Avant Garde" w:hAnsi="ITC Avant Garde" w:cs="Arial"/>
        </w:rPr>
        <w:t>cálculo de los costos de la red completa del operador, con el incremento del servicio considerado (tráfico de originación, terminación de otras redes o tránsito)</w:t>
      </w:r>
    </w:p>
    <w:p w14:paraId="3925BBA8" w14:textId="4540F25B" w:rsidR="002816EE" w:rsidRPr="00177A2B" w:rsidRDefault="002816EE" w:rsidP="007E036D">
      <w:pPr>
        <w:numPr>
          <w:ilvl w:val="0"/>
          <w:numId w:val="6"/>
        </w:numPr>
        <w:tabs>
          <w:tab w:val="left" w:pos="4662"/>
        </w:tabs>
        <w:spacing w:after="0" w:line="320" w:lineRule="atLeast"/>
        <w:jc w:val="both"/>
        <w:rPr>
          <w:rFonts w:ascii="ITC Avant Garde" w:hAnsi="ITC Avant Garde" w:cs="Arial"/>
        </w:rPr>
      </w:pPr>
      <w:r w:rsidRPr="00177A2B">
        <w:rPr>
          <w:rFonts w:ascii="ITC Avant Garde" w:hAnsi="ITC Avant Garde" w:cs="Arial"/>
        </w:rPr>
        <w:lastRenderedPageBreak/>
        <w:t xml:space="preserve">obtención de la diferencia en costos entre los dos cálculos obtenidos y anualización de esta diferencia </w:t>
      </w:r>
      <w:r w:rsidR="005E50EA">
        <w:rPr>
          <w:rFonts w:ascii="ITC Avant Garde" w:hAnsi="ITC Avant Garde" w:cs="Arial"/>
        </w:rPr>
        <w:t>con</w:t>
      </w:r>
      <w:r w:rsidR="005E50EA" w:rsidRPr="00177A2B">
        <w:rPr>
          <w:rFonts w:ascii="ITC Avant Garde" w:hAnsi="ITC Avant Garde" w:cs="Arial"/>
        </w:rPr>
        <w:t xml:space="preserve"> </w:t>
      </w:r>
      <w:r w:rsidRPr="00177A2B">
        <w:rPr>
          <w:rFonts w:ascii="ITC Avant Garde" w:hAnsi="ITC Avant Garde" w:cs="Arial"/>
        </w:rPr>
        <w:t xml:space="preserve">base </w:t>
      </w:r>
      <w:r w:rsidR="005E50EA">
        <w:rPr>
          <w:rFonts w:ascii="ITC Avant Garde" w:hAnsi="ITC Avant Garde" w:cs="Arial"/>
        </w:rPr>
        <w:t>en</w:t>
      </w:r>
      <w:r w:rsidR="005E50EA" w:rsidRPr="00177A2B">
        <w:rPr>
          <w:rFonts w:ascii="ITC Avant Garde" w:hAnsi="ITC Avant Garde" w:cs="Arial"/>
        </w:rPr>
        <w:t xml:space="preserve"> </w:t>
      </w:r>
      <w:r w:rsidRPr="00177A2B">
        <w:rPr>
          <w:rFonts w:ascii="ITC Avant Garde" w:hAnsi="ITC Avant Garde" w:cs="Arial"/>
        </w:rPr>
        <w:t>la metodología de depreciación económica</w:t>
      </w:r>
    </w:p>
    <w:p w14:paraId="779CFF3C" w14:textId="06D4CDBE" w:rsidR="002816EE" w:rsidRPr="00177A2B" w:rsidRDefault="002816EE" w:rsidP="007E036D">
      <w:pPr>
        <w:numPr>
          <w:ilvl w:val="0"/>
          <w:numId w:val="6"/>
        </w:numPr>
        <w:tabs>
          <w:tab w:val="left" w:pos="4662"/>
        </w:tabs>
        <w:spacing w:after="0" w:line="320" w:lineRule="atLeast"/>
        <w:jc w:val="both"/>
        <w:rPr>
          <w:rFonts w:ascii="ITC Avant Garde" w:hAnsi="ITC Avant Garde" w:cs="Arial"/>
        </w:rPr>
      </w:pPr>
      <w:r w:rsidRPr="00177A2B">
        <w:rPr>
          <w:rFonts w:ascii="ITC Avant Garde" w:hAnsi="ITC Avant Garde" w:cs="Arial"/>
        </w:rPr>
        <w:t>división del costo anualizado total por el número de minutos incrementales del servicio considerado (originación, tráfico de originación, terminación de otras redes o tránsito) para la obtención del costo del minuto incremental.</w:t>
      </w:r>
    </w:p>
    <w:p w14:paraId="783AC31D" w14:textId="77777777" w:rsidR="00BD01EF" w:rsidRPr="00BD34FF" w:rsidRDefault="00BD01EF" w:rsidP="00BD01EF">
      <w:pPr>
        <w:tabs>
          <w:tab w:val="left" w:pos="2041"/>
        </w:tabs>
        <w:spacing w:before="120" w:after="600" w:line="200" w:lineRule="atLeast"/>
        <w:ind w:left="1531"/>
        <w:jc w:val="both"/>
        <w:rPr>
          <w:rFonts w:ascii="ITC Avant Garde" w:hAnsi="ITC Avant Garde"/>
        </w:rPr>
      </w:pPr>
      <w:bookmarkStart w:id="20" w:name="_Ref335213719"/>
    </w:p>
    <w:p w14:paraId="0604EE58" w14:textId="77777777" w:rsidR="00BD01EF" w:rsidRDefault="00BD01EF" w:rsidP="00BD01EF">
      <w:pPr>
        <w:tabs>
          <w:tab w:val="left" w:pos="0"/>
        </w:tabs>
        <w:spacing w:after="0" w:line="200" w:lineRule="atLeast"/>
        <w:jc w:val="center"/>
        <w:rPr>
          <w:rFonts w:ascii="ITC Avant Garde" w:hAnsi="ITC Avant Garde"/>
          <w:bCs/>
          <w:i/>
          <w:sz w:val="18"/>
          <w:szCs w:val="18"/>
        </w:rPr>
      </w:pPr>
      <w:r w:rsidRPr="00177A2B">
        <w:rPr>
          <w:rFonts w:ascii="ITC Avant Garde" w:hAnsi="ITC Avant Garde"/>
          <w:noProof/>
          <w:lang w:eastAsia="es-MX"/>
        </w:rPr>
        <w:drawing>
          <wp:inline distT="0" distB="0" distL="0" distR="0" wp14:anchorId="6E2D7A52" wp14:editId="4AC668CF">
            <wp:extent cx="5544185" cy="3608025"/>
            <wp:effectExtent l="0" t="0" r="0" b="0"/>
            <wp:docPr id="16" name="Picture 10" descr="Etapas necesarias para el cálculo del LRIC puro, Fuente: Analysys Mason" title="Figura seis punto s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44185" cy="3608025"/>
                    </a:xfrm>
                    <a:prstGeom prst="rect">
                      <a:avLst/>
                    </a:prstGeom>
                    <a:noFill/>
                    <a:ln>
                      <a:noFill/>
                    </a:ln>
                  </pic:spPr>
                </pic:pic>
              </a:graphicData>
            </a:graphic>
          </wp:inline>
        </w:drawing>
      </w:r>
    </w:p>
    <w:p w14:paraId="1CA54FA8" w14:textId="77777777" w:rsidR="00BD01EF" w:rsidRDefault="00BD01EF" w:rsidP="00BD01EF">
      <w:pPr>
        <w:tabs>
          <w:tab w:val="left" w:pos="0"/>
        </w:tabs>
        <w:spacing w:after="0" w:line="200" w:lineRule="atLeast"/>
        <w:jc w:val="center"/>
        <w:rPr>
          <w:rFonts w:ascii="ITC Avant Garde" w:hAnsi="ITC Avant Garde"/>
          <w:bCs/>
          <w:i/>
          <w:sz w:val="18"/>
          <w:szCs w:val="18"/>
        </w:rPr>
      </w:pPr>
    </w:p>
    <w:p w14:paraId="0030CA6C" w14:textId="15FDBD53" w:rsidR="00BD01EF" w:rsidRDefault="00BD01EF" w:rsidP="00BD01EF">
      <w:pPr>
        <w:tabs>
          <w:tab w:val="left" w:pos="0"/>
        </w:tabs>
        <w:spacing w:after="0" w:line="200" w:lineRule="atLeast"/>
        <w:jc w:val="center"/>
        <w:rPr>
          <w:rFonts w:ascii="ITC Avant Garde" w:hAnsi="ITC Avant Garde"/>
          <w:bCs/>
          <w:i/>
          <w:sz w:val="18"/>
          <w:szCs w:val="18"/>
        </w:rPr>
      </w:pPr>
      <w:r w:rsidRPr="00177A2B">
        <w:rPr>
          <w:rFonts w:ascii="ITC Avant Garde" w:hAnsi="ITC Avant Garde"/>
          <w:bCs/>
          <w:i/>
          <w:sz w:val="18"/>
          <w:szCs w:val="18"/>
        </w:rPr>
        <w:t xml:space="preserve">Figura </w:t>
      </w:r>
      <w:r w:rsidRPr="00177A2B">
        <w:rPr>
          <w:rFonts w:ascii="ITC Avant Garde" w:hAnsi="ITC Avant Garde"/>
          <w:bCs/>
          <w:i/>
          <w:sz w:val="18"/>
          <w:szCs w:val="18"/>
        </w:rPr>
        <w:fldChar w:fldCharType="begin"/>
      </w:r>
      <w:r w:rsidRPr="00177A2B">
        <w:rPr>
          <w:rFonts w:ascii="ITC Avant Garde" w:hAnsi="ITC Avant Garde"/>
          <w:bCs/>
          <w:i/>
          <w:sz w:val="18"/>
          <w:szCs w:val="18"/>
        </w:rPr>
        <w:instrText xml:space="preserve"> STYLEREF 1 \s \* MERGEFORMAT </w:instrText>
      </w:r>
      <w:r w:rsidRPr="00177A2B">
        <w:rPr>
          <w:rFonts w:ascii="ITC Avant Garde" w:hAnsi="ITC Avant Garde"/>
          <w:bCs/>
          <w:i/>
          <w:sz w:val="18"/>
          <w:szCs w:val="18"/>
        </w:rPr>
        <w:fldChar w:fldCharType="separate"/>
      </w:r>
      <w:r w:rsidRPr="00177A2B">
        <w:rPr>
          <w:rFonts w:ascii="ITC Avant Garde" w:hAnsi="ITC Avant Garde"/>
          <w:bCs/>
          <w:i/>
          <w:noProof/>
          <w:sz w:val="18"/>
          <w:szCs w:val="18"/>
        </w:rPr>
        <w:t>6</w:t>
      </w:r>
      <w:r w:rsidRPr="00177A2B">
        <w:rPr>
          <w:rFonts w:ascii="ITC Avant Garde" w:hAnsi="ITC Avant Garde"/>
          <w:bCs/>
          <w:i/>
          <w:sz w:val="18"/>
          <w:szCs w:val="18"/>
        </w:rPr>
        <w:fldChar w:fldCharType="end"/>
      </w:r>
      <w:r w:rsidRPr="00177A2B">
        <w:rPr>
          <w:rFonts w:ascii="ITC Avant Garde" w:hAnsi="ITC Avant Garde"/>
          <w:bCs/>
          <w:i/>
          <w:sz w:val="18"/>
          <w:szCs w:val="18"/>
        </w:rPr>
        <w:t>.</w:t>
      </w:r>
      <w:r w:rsidRPr="00177A2B">
        <w:rPr>
          <w:rFonts w:ascii="ITC Avant Garde" w:hAnsi="ITC Avant Garde"/>
          <w:bCs/>
          <w:i/>
          <w:sz w:val="18"/>
          <w:szCs w:val="18"/>
        </w:rPr>
        <w:fldChar w:fldCharType="begin"/>
      </w:r>
      <w:r w:rsidRPr="00177A2B">
        <w:rPr>
          <w:rFonts w:ascii="ITC Avant Garde" w:hAnsi="ITC Avant Garde"/>
          <w:bCs/>
          <w:i/>
          <w:sz w:val="18"/>
          <w:szCs w:val="18"/>
        </w:rPr>
        <w:instrText xml:space="preserve"> SEQ Ilustración \* ARABIC \s 1 \* MERGEFORMAT </w:instrText>
      </w:r>
      <w:r w:rsidRPr="00177A2B">
        <w:rPr>
          <w:rFonts w:ascii="ITC Avant Garde" w:hAnsi="ITC Avant Garde"/>
          <w:bCs/>
          <w:i/>
          <w:sz w:val="18"/>
          <w:szCs w:val="18"/>
        </w:rPr>
        <w:fldChar w:fldCharType="separate"/>
      </w:r>
      <w:r w:rsidRPr="00177A2B">
        <w:rPr>
          <w:rFonts w:ascii="ITC Avant Garde" w:hAnsi="ITC Avant Garde"/>
          <w:bCs/>
          <w:i/>
          <w:noProof/>
          <w:sz w:val="18"/>
          <w:szCs w:val="18"/>
        </w:rPr>
        <w:t>6</w:t>
      </w:r>
      <w:r w:rsidRPr="00177A2B">
        <w:rPr>
          <w:rFonts w:ascii="ITC Avant Garde" w:hAnsi="ITC Avant Garde"/>
          <w:bCs/>
          <w:i/>
          <w:sz w:val="18"/>
          <w:szCs w:val="18"/>
        </w:rPr>
        <w:fldChar w:fldCharType="end"/>
      </w:r>
      <w:bookmarkEnd w:id="20"/>
      <w:r w:rsidRPr="00177A2B">
        <w:rPr>
          <w:rFonts w:ascii="ITC Avant Garde" w:hAnsi="ITC Avant Garde"/>
          <w:bCs/>
          <w:i/>
          <w:sz w:val="18"/>
          <w:szCs w:val="18"/>
        </w:rPr>
        <w:t>: Etapas necesarias para el cálculo del LR</w:t>
      </w:r>
      <w:r>
        <w:rPr>
          <w:rFonts w:ascii="ITC Avant Garde" w:hAnsi="ITC Avant Garde"/>
          <w:bCs/>
          <w:i/>
          <w:sz w:val="18"/>
          <w:szCs w:val="18"/>
        </w:rPr>
        <w:t>IC puro [Fuente: Analysys Mason)</w:t>
      </w:r>
    </w:p>
    <w:p w14:paraId="0CEDB321" w14:textId="77777777" w:rsidR="00BD01EF" w:rsidRPr="00BD01EF" w:rsidRDefault="00BD01EF" w:rsidP="00BD01EF">
      <w:pPr>
        <w:tabs>
          <w:tab w:val="left" w:pos="0"/>
        </w:tabs>
        <w:spacing w:after="0" w:line="200" w:lineRule="atLeast"/>
        <w:jc w:val="center"/>
        <w:rPr>
          <w:rFonts w:ascii="ITC Avant Garde" w:hAnsi="ITC Avant Garde"/>
          <w:bCs/>
          <w:i/>
          <w:sz w:val="18"/>
          <w:szCs w:val="18"/>
        </w:rPr>
      </w:pPr>
    </w:p>
    <w:p w14:paraId="2C9555C6" w14:textId="036C55C2" w:rsidR="002816EE" w:rsidRPr="00177A2B" w:rsidRDefault="002816EE" w:rsidP="00BD01EF">
      <w:pPr>
        <w:keepLines/>
        <w:pBdr>
          <w:top w:val="single" w:sz="4" w:space="2" w:color="D9D9D9" w:themeColor="background1" w:themeShade="D9"/>
          <w:bottom w:val="single" w:sz="4" w:space="5" w:color="D9D9D9" w:themeColor="background1" w:themeShade="D9"/>
        </w:pBdr>
        <w:shd w:val="clear" w:color="auto" w:fill="F2F2F2"/>
        <w:spacing w:after="0"/>
        <w:ind w:left="284" w:right="284"/>
        <w:jc w:val="both"/>
        <w:rPr>
          <w:rFonts w:ascii="ITC Avant Garde" w:hAnsi="ITC Avant Garde" w:cs="Arial"/>
        </w:rPr>
      </w:pPr>
      <w:r>
        <w:rPr>
          <w:rFonts w:ascii="ITC Avant Garde" w:hAnsi="ITC Avant Garde" w:cs="Arial"/>
        </w:rPr>
        <w:t>29</w:t>
      </w:r>
      <w:r w:rsidRPr="00177A2B">
        <w:rPr>
          <w:rFonts w:ascii="ITC Avant Garde" w:hAnsi="ITC Avant Garde" w:cs="Arial"/>
        </w:rPr>
        <w:t xml:space="preserve">. </w:t>
      </w:r>
      <w:r w:rsidR="00690A8E" w:rsidRPr="00690A8E">
        <w:rPr>
          <w:rFonts w:ascii="ITC Avant Garde" w:hAnsi="ITC Avant Garde" w:cs="Arial"/>
        </w:rPr>
        <w:t xml:space="preserve">¿Tiene comentarios respecto de la implementación de la metodología LRIC Puro señalada en las diapositivas </w:t>
      </w:r>
      <w:r w:rsidR="00F9391F">
        <w:rPr>
          <w:rFonts w:ascii="ITC Avant Garde" w:hAnsi="ITC Avant Garde" w:cs="Arial"/>
        </w:rPr>
        <w:t>71 a 73</w:t>
      </w:r>
      <w:r w:rsidR="00690A8E" w:rsidRPr="00690A8E">
        <w:rPr>
          <w:rFonts w:ascii="ITC Avant Garde" w:hAnsi="ITC Avant Garde" w:cs="Arial"/>
        </w:rPr>
        <w:t xml:space="preserve"> de la Documentación del Modelo?</w:t>
      </w:r>
    </w:p>
    <w:p w14:paraId="780853F5" w14:textId="77777777" w:rsidR="002816EE" w:rsidRPr="00177A2B" w:rsidRDefault="002816EE" w:rsidP="007E036D">
      <w:pPr>
        <w:keepNext/>
        <w:keepLines/>
        <w:numPr>
          <w:ilvl w:val="2"/>
          <w:numId w:val="12"/>
        </w:numPr>
        <w:spacing w:before="360" w:after="240" w:line="320" w:lineRule="atLeast"/>
        <w:ind w:left="567"/>
        <w:jc w:val="both"/>
        <w:outlineLvl w:val="2"/>
        <w:rPr>
          <w:rFonts w:ascii="ITC Avant Garde" w:eastAsia="Times New Roman" w:hAnsi="ITC Avant Garde" w:cs="Arial"/>
          <w:b/>
          <w:bCs/>
        </w:rPr>
      </w:pPr>
      <w:r w:rsidRPr="00177A2B">
        <w:rPr>
          <w:rFonts w:ascii="ITC Avant Garde" w:eastAsia="Times New Roman" w:hAnsi="ITC Avant Garde" w:cs="Arial"/>
          <w:b/>
          <w:bCs/>
        </w:rPr>
        <w:t>Depreciación</w:t>
      </w:r>
    </w:p>
    <w:p w14:paraId="7289E5B2" w14:textId="77777777" w:rsidR="002816EE" w:rsidRPr="00177A2B" w:rsidRDefault="002816EE" w:rsidP="007E036D">
      <w:pPr>
        <w:jc w:val="both"/>
        <w:rPr>
          <w:rFonts w:ascii="ITC Avant Garde" w:hAnsi="ITC Avant Garde" w:cs="Arial"/>
        </w:rPr>
      </w:pPr>
      <w:r w:rsidRPr="00177A2B">
        <w:rPr>
          <w:rFonts w:ascii="ITC Avant Garde" w:hAnsi="ITC Avant Garde" w:cs="Arial"/>
        </w:rPr>
        <w:t xml:space="preserve">El valor de mercado de un activo está determinado por los flujos de efectivo que el inversionista espera genere el activo durante su vida útil, descontados a una tasa de interés, que representa precisamente el costo de oportunidad. Por tanto, el valor de mercado de un activo se ve directamente afectado por cambios en las tasas de interés, </w:t>
      </w:r>
      <w:r w:rsidRPr="00177A2B">
        <w:rPr>
          <w:rFonts w:ascii="ITC Avant Garde" w:hAnsi="ITC Avant Garde" w:cs="Arial"/>
        </w:rPr>
        <w:lastRenderedPageBreak/>
        <w:t>incorporando así el costo de oportunidad que enfrenta el inversionista en todo momento.</w:t>
      </w:r>
    </w:p>
    <w:p w14:paraId="2F3DDC12" w14:textId="77777777" w:rsidR="002816EE" w:rsidRPr="00177A2B" w:rsidRDefault="002816EE" w:rsidP="007E036D">
      <w:pPr>
        <w:jc w:val="both"/>
        <w:rPr>
          <w:rFonts w:ascii="ITC Avant Garde" w:hAnsi="ITC Avant Garde" w:cs="Arial"/>
        </w:rPr>
      </w:pPr>
      <w:r w:rsidRPr="00177A2B">
        <w:rPr>
          <w:rFonts w:ascii="ITC Avant Garde" w:hAnsi="ITC Avant Garde" w:cs="Arial"/>
        </w:rPr>
        <w:t>Por el contrario, el valor contable de un activo no incorpora estos cambios en el costo de oportunidad que enfrenta un inversionista, ni tampoco las reducciones en los precios del activo producto de la innovación tecnológica. Lo anterior es particularmente importante en el sector de las telecomunicaciones debido a su gran dinamismo. Es así que la utilización de la depreciación contable puede resultar en que el valor de un activo asentado en libros tenga poca relación con su valor de mercado o su valor de reventa.</w:t>
      </w:r>
    </w:p>
    <w:p w14:paraId="7330627F" w14:textId="77777777" w:rsidR="002816EE" w:rsidRPr="00177A2B" w:rsidRDefault="002816EE" w:rsidP="007E036D">
      <w:pPr>
        <w:jc w:val="both"/>
        <w:rPr>
          <w:rFonts w:ascii="ITC Avant Garde" w:hAnsi="ITC Avant Garde" w:cs="Arial"/>
        </w:rPr>
      </w:pPr>
      <w:r w:rsidRPr="00177A2B">
        <w:rPr>
          <w:rFonts w:ascii="ITC Avant Garde" w:hAnsi="ITC Avant Garde" w:cs="Arial"/>
        </w:rPr>
        <w:t>Por ejemplo, un activo que fue objeto de una depreciación contable acelerada, debido a un estímulo fiscal, puede tener un valor en libros de cero, sugiriendo que el mismo debe ser remplazado, cuando puede tener un valor considerable en el mercado. De la misma forma, un activo puede tener un elevado valor en libros aun cuando es tecnológicamente obsoleto y tener un valor de mercado cercano a cero.</w:t>
      </w:r>
    </w:p>
    <w:p w14:paraId="223F98AD" w14:textId="77777777" w:rsidR="002816EE" w:rsidRPr="00177A2B" w:rsidRDefault="002816EE" w:rsidP="007E036D">
      <w:pPr>
        <w:jc w:val="both"/>
        <w:rPr>
          <w:rFonts w:ascii="ITC Avant Garde" w:hAnsi="ITC Avant Garde" w:cs="Arial"/>
        </w:rPr>
      </w:pPr>
      <w:r w:rsidRPr="00177A2B">
        <w:rPr>
          <w:rFonts w:ascii="ITC Avant Garde" w:hAnsi="ITC Avant Garde" w:cs="Arial"/>
        </w:rPr>
        <w:t xml:space="preserve">Cabe resaltar que la rápida depreciación que se ha observado en el valor de mercado de ciertos activos que conforman las redes de telecomunicaciones refleja la elevada productividad que estos activos tienen para los operadores. De no ser así, los operadores no invertirían en un activo cuyo valor se depreciara tan rápido. En otras palabras, un inversionista tiene incentivos para invertir en activos que se deprecian en su valor por la innovación tecnológica si dicha inversión le permite obtener ganancias mayores a su costo de oportunidad, a pesar de su rápida depreciación económica. </w:t>
      </w:r>
    </w:p>
    <w:p w14:paraId="7CD0E61B" w14:textId="77777777" w:rsidR="002816EE" w:rsidRPr="00177A2B" w:rsidRDefault="002816EE" w:rsidP="007E036D">
      <w:pPr>
        <w:jc w:val="both"/>
        <w:rPr>
          <w:rFonts w:ascii="ITC Avant Garde" w:hAnsi="ITC Avant Garde" w:cs="Arial"/>
        </w:rPr>
      </w:pPr>
      <w:r w:rsidRPr="00177A2B">
        <w:rPr>
          <w:rFonts w:ascii="ITC Avant Garde" w:hAnsi="ITC Avant Garde" w:cs="Arial"/>
        </w:rPr>
        <w:t>En la práctica, la depreciación económica se aplica a los modelos de costos ajustando la depreciación contable con información sobre el cambio que se espera tendrán los precios de los activos para los años que se analizan. Al respecto, existe información histórica desagregada a nivel internacional sobre el comportamiento que han tenido los precios de los activos que emplean las redes de telecomunicaciones, lo que permite realizar proyecciones sobre su evolución en los siguientes años.</w:t>
      </w:r>
      <w:r w:rsidRPr="00177A2B">
        <w:rPr>
          <w:rFonts w:ascii="ITC Avant Garde" w:hAnsi="ITC Avant Garde" w:cs="Arial"/>
          <w:vertAlign w:val="superscript"/>
        </w:rPr>
        <w:footnoteReference w:id="11"/>
      </w:r>
      <w:r w:rsidRPr="00177A2B">
        <w:rPr>
          <w:rFonts w:ascii="ITC Avant Garde" w:hAnsi="ITC Avant Garde" w:cs="Arial"/>
        </w:rPr>
        <w:t xml:space="preserve"> </w:t>
      </w:r>
    </w:p>
    <w:p w14:paraId="7518A206" w14:textId="5899ED9C" w:rsidR="002816EE" w:rsidRPr="00177A2B" w:rsidRDefault="002816EE" w:rsidP="007E036D">
      <w:pPr>
        <w:jc w:val="both"/>
        <w:rPr>
          <w:rFonts w:ascii="ITC Avant Garde" w:hAnsi="ITC Avant Garde" w:cs="Arial"/>
        </w:rPr>
      </w:pPr>
      <w:r w:rsidRPr="00177A2B">
        <w:rPr>
          <w:rFonts w:ascii="ITC Avant Garde" w:hAnsi="ITC Avant Garde" w:cs="Arial"/>
        </w:rPr>
        <w:t>En los diferentes métodos de depreciación económica</w:t>
      </w:r>
      <w:r w:rsidRPr="00177A2B">
        <w:rPr>
          <w:rFonts w:ascii="ITC Avant Garde" w:hAnsi="ITC Avant Garde" w:cs="Arial"/>
          <w:vertAlign w:val="superscript"/>
        </w:rPr>
        <w:footnoteReference w:id="12"/>
      </w:r>
      <w:r w:rsidRPr="00177A2B">
        <w:rPr>
          <w:rFonts w:ascii="ITC Avant Garde" w:hAnsi="ITC Avant Garde" w:cs="Arial"/>
          <w:vertAlign w:val="superscript"/>
        </w:rPr>
        <w:t xml:space="preserve"> </w:t>
      </w:r>
      <w:r w:rsidRPr="00177A2B">
        <w:rPr>
          <w:rFonts w:ascii="ITC Avant Garde" w:hAnsi="ITC Avant Garde" w:cs="Arial"/>
        </w:rPr>
        <w:t xml:space="preserve">se han aplicado varios perfiles para dar forma al perfil de recuperación de costos a lo largo del tiempo (p.ej. </w:t>
      </w:r>
      <w:r w:rsidRPr="00177A2B">
        <w:rPr>
          <w:rFonts w:ascii="ITC Avant Garde" w:hAnsi="ITC Avant Garde" w:cs="Arial"/>
        </w:rPr>
        <w:lastRenderedPageBreak/>
        <w:t xml:space="preserve">relacionados con las tendencias de precios, la escala de un operador individual, la </w:t>
      </w:r>
      <w:r w:rsidR="00D536B4">
        <w:rPr>
          <w:rFonts w:ascii="ITC Avant Garde" w:hAnsi="ITC Avant Garde" w:cs="Arial"/>
        </w:rPr>
        <w:t>dispu</w:t>
      </w:r>
      <w:r w:rsidR="00D536B4" w:rsidRPr="00177A2B">
        <w:rPr>
          <w:rFonts w:ascii="ITC Avant Garde" w:hAnsi="ITC Avant Garde" w:cs="Arial"/>
        </w:rPr>
        <w:t xml:space="preserve">tabilidad </w:t>
      </w:r>
      <w:r w:rsidRPr="00177A2B">
        <w:rPr>
          <w:rFonts w:ascii="ITC Avant Garde" w:hAnsi="ITC Avant Garde" w:cs="Arial"/>
        </w:rPr>
        <w:t>del mercado). Sin embargo, en los Modelos de Costos se adopta una forma clara y concisa de depreciación económica, la cual considera:</w:t>
      </w:r>
    </w:p>
    <w:p w14:paraId="4D0CC913" w14:textId="77777777" w:rsidR="002816EE" w:rsidRPr="00177A2B" w:rsidRDefault="002816EE" w:rsidP="007E036D">
      <w:pPr>
        <w:numPr>
          <w:ilvl w:val="0"/>
          <w:numId w:val="6"/>
        </w:numPr>
        <w:spacing w:after="0" w:line="320" w:lineRule="atLeast"/>
        <w:jc w:val="both"/>
        <w:rPr>
          <w:rFonts w:ascii="ITC Avant Garde" w:hAnsi="ITC Avant Garde" w:cs="Arial"/>
        </w:rPr>
      </w:pPr>
      <w:r w:rsidRPr="00177A2B">
        <w:rPr>
          <w:rFonts w:ascii="ITC Avant Garde" w:hAnsi="ITC Avant Garde" w:cs="Arial"/>
        </w:rPr>
        <w:t>series temporales completas de gastos incurridos eficientemente</w:t>
      </w:r>
    </w:p>
    <w:p w14:paraId="7E8AB258" w14:textId="243D6AD1" w:rsidR="002816EE" w:rsidRPr="00177A2B" w:rsidRDefault="002816EE" w:rsidP="007E036D">
      <w:pPr>
        <w:numPr>
          <w:ilvl w:val="0"/>
          <w:numId w:val="6"/>
        </w:numPr>
        <w:spacing w:after="0" w:line="320" w:lineRule="atLeast"/>
        <w:jc w:val="both"/>
        <w:rPr>
          <w:rFonts w:ascii="ITC Avant Garde" w:hAnsi="ITC Avant Garde" w:cs="Arial"/>
        </w:rPr>
      </w:pPr>
      <w:r w:rsidRPr="00177A2B">
        <w:rPr>
          <w:rFonts w:ascii="ITC Avant Garde" w:hAnsi="ITC Avant Garde" w:cs="Arial"/>
        </w:rPr>
        <w:t xml:space="preserve">un perfil de recuperación de costos que refleje el cambio en precios de los MEA que se utilicen en la producción del </w:t>
      </w:r>
      <w:r w:rsidR="00C65032">
        <w:rPr>
          <w:rFonts w:ascii="ITC Avant Garde" w:hAnsi="ITC Avant Garde" w:cs="Arial"/>
        </w:rPr>
        <w:t>servicio</w:t>
      </w:r>
    </w:p>
    <w:p w14:paraId="29E8CF02" w14:textId="6F4CA437" w:rsidR="002816EE" w:rsidRPr="00177A2B" w:rsidRDefault="002816EE" w:rsidP="007E036D">
      <w:pPr>
        <w:numPr>
          <w:ilvl w:val="0"/>
          <w:numId w:val="6"/>
        </w:numPr>
        <w:spacing w:after="240" w:line="320" w:lineRule="atLeast"/>
        <w:ind w:left="357" w:hanging="357"/>
        <w:jc w:val="both"/>
        <w:rPr>
          <w:rFonts w:ascii="ITC Avant Garde" w:hAnsi="ITC Avant Garde" w:cs="Arial"/>
        </w:rPr>
      </w:pPr>
      <w:r w:rsidRPr="00177A2B">
        <w:rPr>
          <w:rFonts w:ascii="ITC Avant Garde" w:hAnsi="ITC Avant Garde" w:cs="Arial"/>
        </w:rPr>
        <w:t xml:space="preserve">el perfil de </w:t>
      </w:r>
      <w:r w:rsidR="009B7460">
        <w:rPr>
          <w:rFonts w:ascii="ITC Avant Garde" w:hAnsi="ITC Avant Garde" w:cs="Arial"/>
        </w:rPr>
        <w:t>producción</w:t>
      </w:r>
      <w:r w:rsidR="009B7460" w:rsidRPr="00177A2B">
        <w:rPr>
          <w:rFonts w:ascii="ITC Avant Garde" w:hAnsi="ITC Avant Garde" w:cs="Arial"/>
        </w:rPr>
        <w:t xml:space="preserve"> </w:t>
      </w:r>
      <w:r w:rsidRPr="00177A2B">
        <w:rPr>
          <w:rFonts w:ascii="ITC Avant Garde" w:hAnsi="ITC Avant Garde" w:cs="Arial"/>
        </w:rPr>
        <w:t xml:space="preserve">a lo largo del tiempo, que refleje el nivel de demanda </w:t>
      </w:r>
      <w:r w:rsidR="00C65032">
        <w:rPr>
          <w:rFonts w:ascii="ITC Avant Garde" w:hAnsi="ITC Avant Garde" w:cs="Arial"/>
        </w:rPr>
        <w:t>del servicio</w:t>
      </w:r>
      <w:r w:rsidRPr="00177A2B">
        <w:rPr>
          <w:rFonts w:ascii="ITC Avant Garde" w:hAnsi="ITC Avant Garde" w:cs="Arial"/>
        </w:rPr>
        <w:t xml:space="preserve"> que cada operador ha conseguido (y que se proyecta que consiga) a lo largo del tiempo.</w:t>
      </w:r>
    </w:p>
    <w:p w14:paraId="635A4F13" w14:textId="052F94AD" w:rsidR="002816EE" w:rsidRPr="00177A2B" w:rsidRDefault="002816EE" w:rsidP="007E036D">
      <w:pPr>
        <w:keepLines/>
        <w:pBdr>
          <w:top w:val="single" w:sz="4" w:space="2" w:color="D9D9D9" w:themeColor="background1" w:themeShade="D9"/>
          <w:bottom w:val="single" w:sz="4" w:space="5" w:color="D9D9D9" w:themeColor="background1" w:themeShade="D9"/>
        </w:pBdr>
        <w:shd w:val="clear" w:color="auto" w:fill="F2F2F2"/>
        <w:ind w:left="284" w:right="284"/>
        <w:jc w:val="both"/>
        <w:rPr>
          <w:rFonts w:ascii="ITC Avant Garde" w:hAnsi="ITC Avant Garde" w:cs="Arial"/>
        </w:rPr>
      </w:pPr>
      <w:r>
        <w:rPr>
          <w:rFonts w:ascii="ITC Avant Garde" w:hAnsi="ITC Avant Garde" w:cs="Arial"/>
        </w:rPr>
        <w:t>30</w:t>
      </w:r>
      <w:r w:rsidRPr="00177A2B">
        <w:rPr>
          <w:rFonts w:ascii="ITC Avant Garde" w:hAnsi="ITC Avant Garde" w:cs="Arial"/>
        </w:rPr>
        <w:t xml:space="preserve">. ¿Considera adecuada la implementación de la depreciación económica efectuada en el modelo y descrita en la diapositiva 67 de la Documentación del Modelo y en el Enfoque Conceptual? </w:t>
      </w:r>
    </w:p>
    <w:p w14:paraId="1A987375" w14:textId="77777777" w:rsidR="002816EE" w:rsidRPr="00177A2B" w:rsidRDefault="002816EE" w:rsidP="007E036D">
      <w:pPr>
        <w:keepLines/>
        <w:pBdr>
          <w:top w:val="single" w:sz="4" w:space="2" w:color="D9D9D9" w:themeColor="background1" w:themeShade="D9"/>
          <w:bottom w:val="single" w:sz="4" w:space="5" w:color="D9D9D9" w:themeColor="background1" w:themeShade="D9"/>
        </w:pBdr>
        <w:shd w:val="clear" w:color="auto" w:fill="F2F2F2"/>
        <w:ind w:left="284" w:right="284"/>
        <w:jc w:val="both"/>
        <w:rPr>
          <w:rFonts w:ascii="ITC Avant Garde" w:hAnsi="ITC Avant Garde" w:cs="Arial"/>
        </w:rPr>
      </w:pPr>
      <w:r w:rsidRPr="00177A2B">
        <w:rPr>
          <w:rFonts w:ascii="ITC Avant Garde" w:hAnsi="ITC Avant Garde" w:cs="Arial"/>
        </w:rPr>
        <w:t>Si no es el caso, ¿cómo hubiera efectuado dicha implementación?</w:t>
      </w:r>
    </w:p>
    <w:p w14:paraId="65920407" w14:textId="6A44D567" w:rsidR="002816EE" w:rsidRPr="00177A2B" w:rsidRDefault="002816EE" w:rsidP="007E036D">
      <w:pPr>
        <w:jc w:val="both"/>
        <w:rPr>
          <w:rFonts w:ascii="ITC Avant Garde" w:hAnsi="ITC Avant Garde" w:cs="Arial"/>
        </w:rPr>
      </w:pPr>
      <w:bookmarkStart w:id="21" w:name="_Ref303763994"/>
      <w:bookmarkStart w:id="22" w:name="_Toc303951852"/>
      <w:r w:rsidRPr="00177A2B">
        <w:rPr>
          <w:rFonts w:ascii="ITC Avant Garde" w:hAnsi="ITC Avant Garde" w:cs="Arial"/>
        </w:rPr>
        <w:t xml:space="preserve">El primer factor relaciona la recuperación de costos a la de un nuevo entrante en el mercado (si el mercado es </w:t>
      </w:r>
      <w:r w:rsidR="00D536B4">
        <w:rPr>
          <w:rFonts w:ascii="ITC Avant Garde" w:hAnsi="ITC Avant Garde" w:cs="Arial"/>
        </w:rPr>
        <w:t>dispu</w:t>
      </w:r>
      <w:r w:rsidR="00D536B4" w:rsidRPr="00177A2B">
        <w:rPr>
          <w:rFonts w:ascii="ITC Avant Garde" w:hAnsi="ITC Avant Garde" w:cs="Arial"/>
        </w:rPr>
        <w:t>table</w:t>
      </w:r>
      <w:r w:rsidRPr="00177A2B">
        <w:rPr>
          <w:rFonts w:ascii="ITC Avant Garde" w:hAnsi="ITC Avant Garde" w:cs="Arial"/>
        </w:rPr>
        <w:t>) que podría ofrecer servicios en base a los costos actuales de producción.</w:t>
      </w:r>
    </w:p>
    <w:p w14:paraId="2DB1670C" w14:textId="77777777" w:rsidR="002816EE" w:rsidRPr="00177A2B" w:rsidRDefault="002816EE" w:rsidP="007E036D">
      <w:pPr>
        <w:jc w:val="both"/>
        <w:rPr>
          <w:rFonts w:ascii="ITC Avant Garde" w:hAnsi="ITC Avant Garde" w:cs="Arial"/>
          <w:spacing w:val="-4"/>
        </w:rPr>
      </w:pPr>
      <w:r w:rsidRPr="00177A2B">
        <w:rPr>
          <w:rFonts w:ascii="ITC Avant Garde" w:hAnsi="ITC Avant Garde" w:cs="Arial"/>
          <w:spacing w:val="-4"/>
        </w:rPr>
        <w:t xml:space="preserve">El segundo factor se relaciona con la recuperación de costos con la ‘vida’ de la red – en el sentido de que las inversiones y otros gastos van realizando a través del tiempo con la finalidad de poder recuperarlos mediante la demanda de servicio que se genera durante la vida de la operación. Es decir, todos los operadores del mercado deben realizar grandes inversiones iniciales y solo recuperan estos costos a través del tiempo. </w:t>
      </w:r>
    </w:p>
    <w:p w14:paraId="09CAFD6C" w14:textId="77777777" w:rsidR="002816EE" w:rsidRPr="00177A2B" w:rsidRDefault="002816EE" w:rsidP="007E036D">
      <w:pPr>
        <w:jc w:val="both"/>
        <w:rPr>
          <w:rFonts w:ascii="ITC Avant Garde" w:hAnsi="ITC Avant Garde" w:cs="Arial"/>
        </w:rPr>
      </w:pPr>
      <w:r w:rsidRPr="00177A2B">
        <w:rPr>
          <w:rFonts w:ascii="ITC Avant Garde" w:hAnsi="ITC Avant Garde" w:cs="Arial"/>
        </w:rPr>
        <w:t>En este sentido, la implementación de la depreciación económica permite garantizar que el valor presente (PV) de los gastos sea igual al valor presente de los costos económicos recuperados.</w:t>
      </w:r>
    </w:p>
    <w:p w14:paraId="4B68C557" w14:textId="77777777" w:rsidR="002816EE" w:rsidRPr="00177A2B" w:rsidRDefault="002816EE" w:rsidP="007E036D">
      <w:pPr>
        <w:jc w:val="both"/>
        <w:rPr>
          <w:rFonts w:ascii="ITC Avant Garde" w:hAnsi="ITC Avant Garde" w:cs="Arial"/>
        </w:rPr>
      </w:pPr>
      <w:r w:rsidRPr="00177A2B">
        <w:rPr>
          <w:rFonts w:ascii="ITC Avant Garde" w:hAnsi="ITC Avant Garde" w:cs="Arial"/>
        </w:rPr>
        <w:t>Por lo anterior, es necesario establecer en la metodología de depreciación económica el horizonte de tiempo en el cual se consideraran todos los costos que deberán de ser recuperados por la prestación de los servicios a considerar. Por ello, los Modelos de Costos consideran una vida de los activos de 50 años, tan larga al menos como la vida del activo más longevo, y que permita asumir que el valor residual al final del periodo sea despreciable. Asimismo, para el caso del operador hipotético existente de la red móvil se asume que cada licencia es válida durante 20 años y después renovable cada 15 años.</w:t>
      </w:r>
    </w:p>
    <w:p w14:paraId="0D6781C9" w14:textId="6DBBC155" w:rsidR="002816EE" w:rsidRPr="00177A2B" w:rsidRDefault="002816EE" w:rsidP="007E036D">
      <w:pPr>
        <w:jc w:val="both"/>
        <w:rPr>
          <w:rFonts w:ascii="ITC Avant Garde" w:hAnsi="ITC Avant Garde" w:cs="Arial"/>
        </w:rPr>
      </w:pPr>
      <w:r w:rsidRPr="00177A2B">
        <w:rPr>
          <w:rFonts w:ascii="ITC Avant Garde" w:hAnsi="ITC Avant Garde" w:cs="Arial"/>
        </w:rPr>
        <w:lastRenderedPageBreak/>
        <w:t xml:space="preserve">Como no sería realista efectuar una previsión detallada y precisa de la demanda de los servicios para el periodo total modelado, el modelo pretende efectuar una previsión para un periodo razonable de tiempo que cubra un </w:t>
      </w:r>
      <w:r w:rsidR="000D5240">
        <w:rPr>
          <w:rFonts w:ascii="ITC Avant Garde" w:hAnsi="ITC Avant Garde" w:cs="Arial"/>
        </w:rPr>
        <w:t xml:space="preserve">lapso </w:t>
      </w:r>
      <w:r w:rsidRPr="00177A2B">
        <w:rPr>
          <w:rFonts w:ascii="ITC Avant Garde" w:hAnsi="ITC Avant Garde" w:cs="Arial"/>
        </w:rPr>
        <w:t xml:space="preserve">similar al periodo regulatorio de cuatro a diez años. Un mayor detalle se puede encontrar en las diapositivas 13 a </w:t>
      </w:r>
      <w:r w:rsidR="001C16A2">
        <w:rPr>
          <w:rFonts w:ascii="ITC Avant Garde" w:hAnsi="ITC Avant Garde" w:cs="Arial"/>
        </w:rPr>
        <w:t>24</w:t>
      </w:r>
      <w:r w:rsidR="001C16A2" w:rsidRPr="00177A2B">
        <w:rPr>
          <w:rFonts w:ascii="ITC Avant Garde" w:hAnsi="ITC Avant Garde" w:cs="Arial"/>
        </w:rPr>
        <w:t xml:space="preserve"> </w:t>
      </w:r>
      <w:r w:rsidRPr="00177A2B">
        <w:rPr>
          <w:rFonts w:ascii="ITC Avant Garde" w:hAnsi="ITC Avant Garde" w:cs="Arial"/>
        </w:rPr>
        <w:t xml:space="preserve">de la Documentación del Modelo. </w:t>
      </w:r>
    </w:p>
    <w:p w14:paraId="56EAB411" w14:textId="77777777" w:rsidR="002816EE" w:rsidRPr="00177A2B" w:rsidRDefault="002816EE" w:rsidP="007E036D">
      <w:pPr>
        <w:jc w:val="both"/>
        <w:rPr>
          <w:rFonts w:ascii="ITC Avant Garde" w:hAnsi="ITC Avant Garde" w:cs="Arial"/>
        </w:rPr>
      </w:pPr>
      <w:r w:rsidRPr="00177A2B">
        <w:rPr>
          <w:rFonts w:ascii="ITC Avant Garde" w:hAnsi="ITC Avant Garde" w:cs="Arial"/>
        </w:rPr>
        <w:t>El modelo se limita a modelar tecnologías existentes y no prevé introducir tecnologías que puedan aparecer en el futuro y no estén presentes actualmente en México.</w:t>
      </w:r>
    </w:p>
    <w:p w14:paraId="050AC4EC" w14:textId="77777777" w:rsidR="002816EE" w:rsidRPr="00177A2B"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ind w:left="284" w:right="284"/>
        <w:jc w:val="both"/>
        <w:rPr>
          <w:rFonts w:ascii="ITC Avant Garde" w:hAnsi="ITC Avant Garde" w:cs="Arial"/>
          <w:spacing w:val="-4"/>
        </w:rPr>
      </w:pPr>
      <w:r>
        <w:rPr>
          <w:rFonts w:ascii="ITC Avant Garde" w:hAnsi="ITC Avant Garde" w:cs="Arial"/>
          <w:spacing w:val="-4"/>
        </w:rPr>
        <w:t>31</w:t>
      </w:r>
      <w:r w:rsidRPr="00177A2B">
        <w:rPr>
          <w:rFonts w:ascii="ITC Avant Garde" w:hAnsi="ITC Avant Garde" w:cs="Arial"/>
          <w:spacing w:val="-4"/>
        </w:rPr>
        <w:t xml:space="preserve">. ¿Considera adecuado el intervalo temporal considerado en el modelo? En caso negativo, exponga las razones por las que consideraría un intervalo temporal diferente. </w:t>
      </w:r>
    </w:p>
    <w:p w14:paraId="093155EC" w14:textId="77777777" w:rsidR="002816EE" w:rsidRPr="00177A2B" w:rsidRDefault="002816EE" w:rsidP="007E036D">
      <w:pPr>
        <w:keepLines/>
        <w:pBdr>
          <w:top w:val="single" w:sz="4" w:space="2" w:color="D9D9D9" w:themeColor="background1" w:themeShade="D9"/>
          <w:bottom w:val="single" w:sz="4" w:space="5" w:color="D9D9D9" w:themeColor="background1" w:themeShade="D9"/>
        </w:pBdr>
        <w:shd w:val="clear" w:color="auto" w:fill="F2F2F2"/>
        <w:spacing w:after="120"/>
        <w:ind w:left="284" w:right="284"/>
        <w:jc w:val="both"/>
        <w:rPr>
          <w:rFonts w:ascii="ITC Avant Garde" w:hAnsi="ITC Avant Garde" w:cs="Arial"/>
        </w:rPr>
      </w:pPr>
      <w:r>
        <w:rPr>
          <w:rFonts w:ascii="ITC Avant Garde" w:hAnsi="ITC Avant Garde" w:cs="Arial"/>
        </w:rPr>
        <w:t>32</w:t>
      </w:r>
      <w:r w:rsidRPr="00177A2B">
        <w:rPr>
          <w:rFonts w:ascii="ITC Avant Garde" w:hAnsi="ITC Avant Garde" w:cs="Arial"/>
        </w:rPr>
        <w:t>. ¿Tiene comentarios respecto del concepto 23 propuesto en el Enfoque Conceptual?</w:t>
      </w:r>
    </w:p>
    <w:p w14:paraId="44B9FD73" w14:textId="77777777" w:rsidR="002816EE" w:rsidRPr="00177A2B" w:rsidRDefault="002816EE" w:rsidP="007E036D">
      <w:pPr>
        <w:keepNext/>
        <w:keepLines/>
        <w:numPr>
          <w:ilvl w:val="2"/>
          <w:numId w:val="12"/>
        </w:numPr>
        <w:spacing w:before="360" w:after="240" w:line="320" w:lineRule="atLeast"/>
        <w:ind w:left="567"/>
        <w:jc w:val="both"/>
        <w:outlineLvl w:val="2"/>
        <w:rPr>
          <w:rFonts w:ascii="ITC Avant Garde" w:eastAsia="Times New Roman" w:hAnsi="ITC Avant Garde" w:cs="Arial"/>
          <w:b/>
          <w:bCs/>
        </w:rPr>
      </w:pPr>
      <w:r w:rsidRPr="00177A2B">
        <w:rPr>
          <w:rFonts w:ascii="ITC Avant Garde" w:eastAsia="Times New Roman" w:hAnsi="ITC Avant Garde" w:cs="Arial"/>
          <w:b/>
          <w:bCs/>
        </w:rPr>
        <w:t>Costo de capital promedio ponderado</w:t>
      </w:r>
      <w:bookmarkEnd w:id="21"/>
      <w:r w:rsidRPr="00177A2B">
        <w:rPr>
          <w:rFonts w:ascii="ITC Avant Garde" w:eastAsia="Times New Roman" w:hAnsi="ITC Avant Garde" w:cs="Arial"/>
          <w:b/>
          <w:bCs/>
        </w:rPr>
        <w:t xml:space="preserve"> (CCPP)</w:t>
      </w:r>
      <w:bookmarkEnd w:id="22"/>
    </w:p>
    <w:p w14:paraId="2E3CFFE4" w14:textId="77777777" w:rsidR="002816EE" w:rsidRPr="00177A2B" w:rsidRDefault="002816EE" w:rsidP="007E036D">
      <w:pPr>
        <w:jc w:val="both"/>
        <w:rPr>
          <w:rFonts w:ascii="ITC Avant Garde" w:hAnsi="ITC Avant Garde" w:cs="Arial"/>
        </w:rPr>
      </w:pPr>
      <w:r w:rsidRPr="00177A2B">
        <w:rPr>
          <w:rFonts w:ascii="ITC Avant Garde" w:hAnsi="ITC Avant Garde" w:cs="Arial"/>
        </w:rPr>
        <w:t>La metodología del costo de capital promedio ponderado (en lo sucesivo, el ‘CCPP’) considera que el retorno de los activos de la empresa debe ser igual al retorno total esperado por sus accionistas y tenedores de deuda, ponderados por su contribución respectiva al financiamiento de la empresa.</w:t>
      </w:r>
    </w:p>
    <w:p w14:paraId="7531A2DE" w14:textId="77777777" w:rsidR="002816EE" w:rsidRPr="00177A2B" w:rsidRDefault="002816EE" w:rsidP="007E036D">
      <w:pPr>
        <w:jc w:val="both"/>
        <w:rPr>
          <w:rFonts w:ascii="ITC Avant Garde" w:hAnsi="ITC Avant Garde" w:cs="Arial"/>
        </w:rPr>
      </w:pPr>
      <w:r w:rsidRPr="00177A2B">
        <w:rPr>
          <w:rFonts w:ascii="ITC Avant Garde" w:hAnsi="ITC Avant Garde" w:cs="Arial"/>
        </w:rPr>
        <w:t>Así, el costo total del capital se basa en dos elementos y dos rendimientos: las proporciones de deuda y acciones comunes en la estructura de capital, y los rendimientos correspondientes a cada uno de estos componentes:</w:t>
      </w:r>
    </w:p>
    <w:p w14:paraId="0C422513" w14:textId="4A2D2107" w:rsidR="002816EE" w:rsidRPr="00177A2B" w:rsidRDefault="00625C32" w:rsidP="007E036D">
      <w:pPr>
        <w:jc w:val="both"/>
        <w:rPr>
          <w:rFonts w:ascii="ITC Avant Garde" w:hAnsi="ITC Avant Garde" w:cs="Arial"/>
        </w:rPr>
      </w:pPr>
      <w:r w:rsidRPr="00177A2B">
        <w:rPr>
          <w:rFonts w:ascii="ITC Avant Garde" w:hAnsi="ITC Avant Garde" w:cs="Arial"/>
          <w:position w:val="-24"/>
        </w:rPr>
        <w:object w:dxaOrig="3000" w:dyaOrig="620" w14:anchorId="192E4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órmula del Costo Total de Capital" style="width:2in;height:31.8pt" o:ole="">
            <v:imagedata r:id="rId21" o:title=""/>
          </v:shape>
          <o:OLEObject Type="Embed" ProgID="Equation.3" ShapeID="_x0000_i1025" DrawAspect="Content" ObjectID="_1538933939" r:id="rId22"/>
        </w:object>
      </w:r>
    </w:p>
    <w:p w14:paraId="6094F848" w14:textId="77777777" w:rsidR="002816EE" w:rsidRPr="00177A2B" w:rsidRDefault="002816EE" w:rsidP="007E036D">
      <w:pPr>
        <w:jc w:val="both"/>
        <w:rPr>
          <w:rFonts w:ascii="ITC Avant Garde" w:hAnsi="ITC Avant Garde" w:cs="Arial"/>
        </w:rPr>
      </w:pPr>
      <w:r w:rsidRPr="00177A2B">
        <w:rPr>
          <w:rFonts w:ascii="ITC Avant Garde" w:hAnsi="ITC Avant Garde" w:cs="Arial"/>
        </w:rPr>
        <w:t>Donde:</w:t>
      </w:r>
    </w:p>
    <w:p w14:paraId="4E05CCB4" w14:textId="77777777" w:rsidR="002816EE" w:rsidRPr="00177A2B" w:rsidRDefault="002816EE" w:rsidP="007E036D">
      <w:pPr>
        <w:spacing w:after="0"/>
        <w:jc w:val="both"/>
        <w:rPr>
          <w:rFonts w:ascii="ITC Avant Garde" w:hAnsi="ITC Avant Garde" w:cs="Arial"/>
        </w:rPr>
      </w:pPr>
      <w:r w:rsidRPr="00177A2B">
        <w:rPr>
          <w:rFonts w:ascii="ITC Avant Garde" w:hAnsi="ITC Avant Garde" w:cs="Arial"/>
          <w:i/>
        </w:rPr>
        <w:t>D</w:t>
      </w:r>
      <w:r w:rsidRPr="00177A2B">
        <w:rPr>
          <w:rFonts w:ascii="ITC Avant Garde" w:hAnsi="ITC Avant Garde" w:cs="Arial"/>
        </w:rPr>
        <w:t xml:space="preserve"> = el valor de la deuda del operador</w:t>
      </w:r>
    </w:p>
    <w:p w14:paraId="4F8AFA78" w14:textId="77777777" w:rsidR="002816EE" w:rsidRPr="00177A2B" w:rsidRDefault="002816EE" w:rsidP="007E036D">
      <w:pPr>
        <w:spacing w:after="0"/>
        <w:jc w:val="both"/>
        <w:rPr>
          <w:rFonts w:ascii="ITC Avant Garde" w:hAnsi="ITC Avant Garde" w:cs="Arial"/>
        </w:rPr>
      </w:pPr>
      <w:r w:rsidRPr="00177A2B">
        <w:rPr>
          <w:rFonts w:ascii="ITC Avant Garde" w:hAnsi="ITC Avant Garde" w:cs="Arial"/>
          <w:i/>
        </w:rPr>
        <w:t>E</w:t>
      </w:r>
      <w:r w:rsidRPr="00177A2B">
        <w:rPr>
          <w:rFonts w:ascii="ITC Avant Garde" w:hAnsi="ITC Avant Garde" w:cs="Arial"/>
        </w:rPr>
        <w:t>= el valor del capital del operador</w:t>
      </w:r>
    </w:p>
    <w:p w14:paraId="21B7A8B5" w14:textId="77777777" w:rsidR="002816EE" w:rsidRPr="00177A2B" w:rsidRDefault="002816EE" w:rsidP="007E036D">
      <w:pPr>
        <w:spacing w:after="0"/>
        <w:jc w:val="both"/>
        <w:rPr>
          <w:rFonts w:ascii="ITC Avant Garde" w:hAnsi="ITC Avant Garde" w:cs="Arial"/>
        </w:rPr>
      </w:pPr>
      <w:r w:rsidRPr="00177A2B">
        <w:rPr>
          <w:rFonts w:ascii="ITC Avant Garde" w:hAnsi="ITC Avant Garde" w:cs="Arial"/>
          <w:i/>
        </w:rPr>
        <w:t>C</w:t>
      </w:r>
      <w:r w:rsidRPr="00177A2B">
        <w:rPr>
          <w:rFonts w:ascii="ITC Avant Garde" w:hAnsi="ITC Avant Garde" w:cs="Arial"/>
          <w:i/>
          <w:vertAlign w:val="subscript"/>
        </w:rPr>
        <w:t>d</w:t>
      </w:r>
      <w:r w:rsidRPr="00177A2B">
        <w:rPr>
          <w:rFonts w:ascii="ITC Avant Garde" w:hAnsi="ITC Avant Garde" w:cs="Arial"/>
        </w:rPr>
        <w:t xml:space="preserve"> = el costo promedio de la deuda</w:t>
      </w:r>
    </w:p>
    <w:p w14:paraId="1DCFFCCD" w14:textId="77777777" w:rsidR="002816EE" w:rsidRPr="00177A2B" w:rsidRDefault="002816EE" w:rsidP="007E036D">
      <w:pPr>
        <w:jc w:val="both"/>
        <w:rPr>
          <w:rFonts w:ascii="ITC Avant Garde" w:hAnsi="ITC Avant Garde" w:cs="Arial"/>
        </w:rPr>
      </w:pPr>
      <w:r w:rsidRPr="00177A2B">
        <w:rPr>
          <w:rFonts w:ascii="ITC Avant Garde" w:hAnsi="ITC Avant Garde" w:cs="Arial"/>
          <w:i/>
        </w:rPr>
        <w:t>C</w:t>
      </w:r>
      <w:r w:rsidRPr="00177A2B">
        <w:rPr>
          <w:rFonts w:ascii="ITC Avant Garde" w:hAnsi="ITC Avant Garde" w:cs="Arial"/>
          <w:i/>
          <w:vertAlign w:val="subscript"/>
        </w:rPr>
        <w:t>e</w:t>
      </w:r>
      <w:r w:rsidRPr="00177A2B">
        <w:rPr>
          <w:rFonts w:ascii="ITC Avant Garde" w:hAnsi="ITC Avant Garde" w:cs="Arial"/>
        </w:rPr>
        <w:t xml:space="preserve"> = el costo de las acciones.</w:t>
      </w:r>
    </w:p>
    <w:p w14:paraId="4F21FE2B" w14:textId="1C63E3C9" w:rsidR="002816EE" w:rsidRPr="00177A2B" w:rsidRDefault="002816EE" w:rsidP="007E036D">
      <w:pPr>
        <w:jc w:val="both"/>
        <w:rPr>
          <w:rFonts w:ascii="ITC Avant Garde" w:hAnsi="ITC Avant Garde" w:cs="Arial"/>
        </w:rPr>
      </w:pPr>
      <w:r w:rsidRPr="00177A2B">
        <w:rPr>
          <w:rFonts w:ascii="ITC Avant Garde" w:hAnsi="ITC Avant Garde" w:cs="Arial"/>
        </w:rPr>
        <w:t xml:space="preserve">En este sentido, en el </w:t>
      </w:r>
      <w:r w:rsidR="000D5240">
        <w:rPr>
          <w:rFonts w:ascii="ITC Avant Garde" w:hAnsi="ITC Avant Garde" w:cs="Arial"/>
        </w:rPr>
        <w:t xml:space="preserve">numeral </w:t>
      </w:r>
      <w:r>
        <w:rPr>
          <w:rFonts w:ascii="ITC Avant Garde" w:hAnsi="ITC Avant Garde" w:cs="Arial"/>
        </w:rPr>
        <w:t>Noveno de la Metodología de Costos</w:t>
      </w:r>
      <w:r w:rsidRPr="00177A2B">
        <w:rPr>
          <w:rFonts w:ascii="ITC Avant Garde" w:hAnsi="ITC Avant Garde" w:cs="Arial"/>
        </w:rPr>
        <w:t xml:space="preserve"> se estableció lo siguiente:</w:t>
      </w:r>
    </w:p>
    <w:p w14:paraId="66208C37" w14:textId="77777777" w:rsidR="002816EE" w:rsidRPr="007E036D" w:rsidRDefault="002816EE" w:rsidP="007E036D">
      <w:pPr>
        <w:ind w:left="567" w:right="509"/>
        <w:jc w:val="both"/>
        <w:rPr>
          <w:rFonts w:ascii="ITC Avant Garde" w:hAnsi="ITC Avant Garde" w:cs="Arial"/>
          <w:i/>
          <w:sz w:val="18"/>
          <w:szCs w:val="18"/>
        </w:rPr>
      </w:pPr>
      <w:r w:rsidRPr="007E036D">
        <w:rPr>
          <w:rFonts w:ascii="ITC Avant Garde" w:hAnsi="ITC Avant Garde" w:cs="Arial"/>
          <w:b/>
          <w:i/>
          <w:sz w:val="18"/>
          <w:szCs w:val="18"/>
        </w:rPr>
        <w:t xml:space="preserve">“NOVENO.- </w:t>
      </w:r>
      <w:r w:rsidRPr="007E036D">
        <w:rPr>
          <w:rFonts w:ascii="ITC Avant Garde" w:hAnsi="ITC Avant Garde" w:cs="Arial"/>
          <w:i/>
          <w:sz w:val="18"/>
          <w:szCs w:val="18"/>
        </w:rPr>
        <w:t xml:space="preserve">Para el cálculo del Costo de Capital que se empleará en el Modelo de Costos del Servicio de Interconexión relevante se utilizará la metodología del Costo de Capital Promedio </w:t>
      </w:r>
      <w:r w:rsidRPr="007E036D">
        <w:rPr>
          <w:rFonts w:ascii="ITC Avant Garde" w:hAnsi="ITC Avant Garde" w:cs="Arial"/>
          <w:i/>
          <w:sz w:val="18"/>
          <w:szCs w:val="18"/>
        </w:rPr>
        <w:lastRenderedPageBreak/>
        <w:t>Ponderado, el cual es el promedio del costo de la deuda y del costo del capital accionario, ponderados por su respectiva participación en la estructura de capital.</w:t>
      </w:r>
    </w:p>
    <w:p w14:paraId="09AFF698" w14:textId="77777777" w:rsidR="002816EE" w:rsidRPr="007E036D" w:rsidRDefault="002816EE" w:rsidP="007E036D">
      <w:pPr>
        <w:ind w:left="567" w:right="509"/>
        <w:jc w:val="both"/>
        <w:rPr>
          <w:rFonts w:ascii="ITC Avant Garde" w:hAnsi="ITC Avant Garde" w:cs="Arial"/>
          <w:i/>
          <w:sz w:val="18"/>
          <w:szCs w:val="18"/>
        </w:rPr>
      </w:pPr>
      <w:r w:rsidRPr="007E036D">
        <w:rPr>
          <w:rFonts w:ascii="ITC Avant Garde" w:hAnsi="ITC Avant Garde" w:cs="Arial"/>
          <w:i/>
          <w:sz w:val="18"/>
          <w:szCs w:val="18"/>
        </w:rPr>
        <w:t>Las variables relevantes para el cálculo del Costo de Capital Promedio Ponderado se definirán en función de la escala del concesionario representativo en cada Servicio de Interconexión relevante, y con base en información financiera de empresas comparables. En el cálculo se considerará la tasa impositiva efectivamente pagada de acuerdo a la legislación fiscal vigente.”</w:t>
      </w:r>
    </w:p>
    <w:p w14:paraId="3E93EC2D" w14:textId="77777777" w:rsidR="002816EE" w:rsidRDefault="002816EE" w:rsidP="007E036D">
      <w:pPr>
        <w:jc w:val="both"/>
        <w:rPr>
          <w:rFonts w:ascii="ITC Avant Garde" w:hAnsi="ITC Avant Garde" w:cs="Arial"/>
          <w:spacing w:val="-4"/>
        </w:rPr>
      </w:pPr>
      <w:r w:rsidRPr="00177A2B">
        <w:rPr>
          <w:rFonts w:ascii="ITC Avant Garde" w:hAnsi="ITC Avant Garde" w:cs="Arial"/>
          <w:spacing w:val="-4"/>
        </w:rPr>
        <w:t>Asimismo, para el cálculo del costo del capital accionario, es comúnmente aceptada la utilización del modelo de valuación de activos financieros (CAPM, por sus siglas en inglés), que relaciona el riesgo de un activo con el rendimiento que otorga a los inversionistas</w:t>
      </w:r>
      <w:r>
        <w:rPr>
          <w:rFonts w:ascii="ITC Avant Garde" w:hAnsi="ITC Avant Garde" w:cs="Arial"/>
          <w:spacing w:val="-4"/>
        </w:rPr>
        <w:t xml:space="preserve">. </w:t>
      </w:r>
    </w:p>
    <w:p w14:paraId="4BD854B6" w14:textId="77777777" w:rsidR="002816EE" w:rsidRPr="00177A2B" w:rsidRDefault="002816EE" w:rsidP="007E036D">
      <w:pPr>
        <w:jc w:val="both"/>
        <w:rPr>
          <w:rFonts w:ascii="ITC Avant Garde" w:hAnsi="ITC Avant Garde" w:cs="Arial"/>
        </w:rPr>
      </w:pPr>
      <w:r w:rsidRPr="00177A2B">
        <w:rPr>
          <w:rFonts w:ascii="ITC Avant Garde" w:hAnsi="ITC Avant Garde" w:cs="Arial"/>
        </w:rPr>
        <w:t xml:space="preserve">El modelo de CAPM señala que una parte del riesgo asociado a un activo individual se puede eliminar al integrar carteras de inversión, es decir, al diseminar una inversión entre diferentes activos o diversificar la inversión. En consecuencia, la prima por riesgo de un activo depende solamente del riesgo no diversificable o riesgo sistemático que enfrenta; y más precisamente de la cantidad de riesgo sistemático de un activo en particular en relación al promedio del mercado: </w:t>
      </w:r>
    </w:p>
    <w:p w14:paraId="4536A634" w14:textId="6B0E1719" w:rsidR="002816EE" w:rsidRPr="00177A2B" w:rsidRDefault="00912247" w:rsidP="007E036D">
      <w:pPr>
        <w:jc w:val="both"/>
        <w:rPr>
          <w:rFonts w:ascii="ITC Avant Garde" w:hAnsi="ITC Avant Garde" w:cs="Arial"/>
        </w:rPr>
      </w:pPr>
      <w:r w:rsidRPr="00177A2B">
        <w:rPr>
          <w:rFonts w:ascii="ITC Avant Garde" w:hAnsi="ITC Avant Garde" w:cs="Arial"/>
          <w:position w:val="-14"/>
        </w:rPr>
        <w:object w:dxaOrig="1440" w:dyaOrig="380" w14:anchorId="1E62B389">
          <v:shape id="_x0000_i1026" type="#_x0000_t75" alt="Fórmula " style="width:1in;height:17.75pt" o:ole="">
            <v:imagedata r:id="rId23" o:title=""/>
          </v:shape>
          <o:OLEObject Type="Embed" ProgID="Equation.3" ShapeID="_x0000_i1026" DrawAspect="Content" ObjectID="_1538933940" r:id="rId24"/>
        </w:object>
      </w:r>
    </w:p>
    <w:p w14:paraId="5C92FBCB" w14:textId="77777777" w:rsidR="002816EE" w:rsidRPr="00177A2B" w:rsidRDefault="002816EE" w:rsidP="007E036D">
      <w:pPr>
        <w:jc w:val="both"/>
        <w:rPr>
          <w:rFonts w:ascii="ITC Avant Garde" w:hAnsi="ITC Avant Garde" w:cs="Arial"/>
        </w:rPr>
      </w:pPr>
      <w:r w:rsidRPr="00177A2B">
        <w:rPr>
          <w:rFonts w:ascii="ITC Avant Garde" w:hAnsi="ITC Avant Garde" w:cs="Arial"/>
        </w:rPr>
        <w:t>Donde:</w:t>
      </w:r>
    </w:p>
    <w:p w14:paraId="0DD291F6" w14:textId="77777777" w:rsidR="002816EE" w:rsidRPr="00177A2B" w:rsidRDefault="002816EE" w:rsidP="007E036D">
      <w:pPr>
        <w:spacing w:after="0"/>
        <w:jc w:val="both"/>
        <w:rPr>
          <w:rFonts w:ascii="ITC Avant Garde" w:hAnsi="ITC Avant Garde" w:cs="Arial"/>
        </w:rPr>
      </w:pPr>
      <w:r w:rsidRPr="00177A2B">
        <w:rPr>
          <w:rFonts w:ascii="ITC Avant Garde" w:hAnsi="ITC Avant Garde" w:cs="Arial"/>
          <w:i/>
        </w:rPr>
        <w:t>R</w:t>
      </w:r>
      <w:r w:rsidRPr="00177A2B">
        <w:rPr>
          <w:rFonts w:ascii="ITC Avant Garde" w:hAnsi="ITC Avant Garde" w:cs="Arial"/>
          <w:i/>
          <w:vertAlign w:val="subscript"/>
        </w:rPr>
        <w:t>f</w:t>
      </w:r>
      <w:r w:rsidRPr="00177A2B">
        <w:rPr>
          <w:rFonts w:ascii="ITC Avant Garde" w:hAnsi="ITC Avant Garde" w:cs="Arial"/>
        </w:rPr>
        <w:t>= la tasa de rendimiento libre de riesgo</w:t>
      </w:r>
    </w:p>
    <w:p w14:paraId="62363D77" w14:textId="77777777" w:rsidR="002816EE" w:rsidRPr="00177A2B" w:rsidRDefault="002816EE" w:rsidP="007E036D">
      <w:pPr>
        <w:spacing w:after="0"/>
        <w:jc w:val="both"/>
        <w:rPr>
          <w:rFonts w:ascii="ITC Avant Garde" w:hAnsi="ITC Avant Garde" w:cs="Arial"/>
        </w:rPr>
      </w:pPr>
      <w:r w:rsidRPr="00177A2B">
        <w:rPr>
          <w:rFonts w:ascii="ITC Avant Garde" w:hAnsi="ITC Avant Garde" w:cs="Arial"/>
          <w:i/>
        </w:rPr>
        <w:t>R</w:t>
      </w:r>
      <w:r w:rsidRPr="00177A2B">
        <w:rPr>
          <w:rFonts w:ascii="ITC Avant Garde" w:hAnsi="ITC Avant Garde" w:cs="Arial"/>
          <w:i/>
          <w:vertAlign w:val="subscript"/>
        </w:rPr>
        <w:t>e</w:t>
      </w:r>
      <w:r w:rsidRPr="00177A2B">
        <w:rPr>
          <w:rFonts w:ascii="ITC Avant Garde" w:hAnsi="ITC Avant Garde" w:cs="Arial"/>
        </w:rPr>
        <w:t>= la prima del riesgo del capital, es la ganancia que ofrece el mercado por incurrir en una cantidad promedio de riesgo sistemático</w:t>
      </w:r>
    </w:p>
    <w:p w14:paraId="55E0F9C9" w14:textId="77777777" w:rsidR="002816EE" w:rsidRPr="00177A2B" w:rsidRDefault="002816EE" w:rsidP="007E036D">
      <w:pPr>
        <w:spacing w:after="0"/>
        <w:jc w:val="both"/>
        <w:rPr>
          <w:rFonts w:ascii="ITC Avant Garde" w:hAnsi="ITC Avant Garde" w:cs="Arial"/>
        </w:rPr>
      </w:pPr>
      <w:r w:rsidRPr="00177A2B">
        <w:rPr>
          <w:rFonts w:cs="Calibri"/>
          <w:i/>
        </w:rPr>
        <w:t>β</w:t>
      </w:r>
      <w:r w:rsidRPr="00177A2B" w:rsidDel="00F6403F">
        <w:rPr>
          <w:rFonts w:ascii="ITC Avant Garde" w:hAnsi="ITC Avant Garde" w:cs="Arial"/>
        </w:rPr>
        <w:t xml:space="preserve"> </w:t>
      </w:r>
      <w:r w:rsidRPr="00177A2B">
        <w:rPr>
          <w:rFonts w:ascii="ITC Avant Garde" w:hAnsi="ITC Avant Garde" w:cs="Arial"/>
        </w:rPr>
        <w:t>= parámetro beta que mide la cantidad de riesgo sistemático asociado a un activo en particular en relación al promedio del mercado.</w:t>
      </w:r>
    </w:p>
    <w:p w14:paraId="32DB8204" w14:textId="77777777" w:rsidR="002816EE" w:rsidRPr="00F80C26" w:rsidRDefault="002816EE" w:rsidP="007E036D">
      <w:pPr>
        <w:spacing w:after="0"/>
        <w:jc w:val="both"/>
        <w:rPr>
          <w:rFonts w:ascii="ITC Avant Garde" w:hAnsi="ITC Avant Garde" w:cs="Arial"/>
          <w:noProof/>
        </w:rPr>
      </w:pPr>
    </w:p>
    <w:p w14:paraId="2A179FCF" w14:textId="3F265EDA" w:rsidR="002816EE" w:rsidRPr="00177A2B" w:rsidRDefault="002816EE" w:rsidP="007E036D">
      <w:pPr>
        <w:jc w:val="both"/>
        <w:rPr>
          <w:rFonts w:ascii="ITC Avant Garde" w:hAnsi="ITC Avant Garde" w:cs="Arial"/>
        </w:rPr>
      </w:pPr>
      <w:r w:rsidRPr="00177A2B">
        <w:rPr>
          <w:rFonts w:ascii="ITC Avant Garde" w:hAnsi="ITC Avant Garde" w:cs="Arial"/>
        </w:rPr>
        <w:t xml:space="preserve">De esta forma, en </w:t>
      </w:r>
      <w:r w:rsidR="000D5240">
        <w:rPr>
          <w:rFonts w:ascii="ITC Avant Garde" w:hAnsi="ITC Avant Garde" w:cs="Arial"/>
        </w:rPr>
        <w:t xml:space="preserve">la Metodología de Costos del 18 de diciembre de 2014 </w:t>
      </w:r>
      <w:r w:rsidRPr="00177A2B">
        <w:rPr>
          <w:rFonts w:ascii="ITC Avant Garde" w:hAnsi="ITC Avant Garde" w:cs="Arial"/>
        </w:rPr>
        <w:t>se estableció lo siguiente:</w:t>
      </w:r>
    </w:p>
    <w:p w14:paraId="675A7F32" w14:textId="77777777" w:rsidR="002816EE" w:rsidRPr="007E036D" w:rsidRDefault="002816EE" w:rsidP="007E036D">
      <w:pPr>
        <w:ind w:left="567" w:right="509"/>
        <w:jc w:val="both"/>
        <w:rPr>
          <w:rFonts w:ascii="ITC Avant Garde" w:hAnsi="ITC Avant Garde" w:cs="Arial"/>
          <w:i/>
          <w:sz w:val="18"/>
          <w:szCs w:val="18"/>
        </w:rPr>
      </w:pPr>
      <w:r w:rsidRPr="007E036D">
        <w:rPr>
          <w:rFonts w:ascii="ITC Avant Garde" w:hAnsi="ITC Avant Garde" w:cs="Arial"/>
          <w:b/>
          <w:i/>
          <w:sz w:val="18"/>
          <w:szCs w:val="18"/>
        </w:rPr>
        <w:t>“DÉCIMO.-</w:t>
      </w:r>
      <w:r w:rsidRPr="007E036D">
        <w:rPr>
          <w:rFonts w:ascii="ITC Avant Garde" w:hAnsi="ITC Avant Garde" w:cs="Arial"/>
          <w:i/>
          <w:sz w:val="18"/>
          <w:szCs w:val="18"/>
        </w:rPr>
        <w:t xml:space="preserve"> El cálculo del Costo de Capital Accionario se realizará mediante la metodología del Modelo de Valuación de Activos Financieros (CAPM), el cual señala que el rendimiento requerido por el capital accionario se relaciona con una tasa libre de riesgo, el rendimiento de mercado y un parámetro que estima el riesgo sistemático asociado a un activo en particular.”</w:t>
      </w:r>
    </w:p>
    <w:p w14:paraId="15CE8772" w14:textId="77777777" w:rsidR="002816EE" w:rsidRPr="00177A2B" w:rsidRDefault="002816EE" w:rsidP="007E036D">
      <w:pPr>
        <w:jc w:val="both"/>
        <w:rPr>
          <w:rFonts w:ascii="ITC Avant Garde" w:hAnsi="ITC Avant Garde" w:cs="Arial"/>
        </w:rPr>
      </w:pPr>
      <w:r w:rsidRPr="00177A2B">
        <w:rPr>
          <w:rFonts w:ascii="ITC Avant Garde" w:hAnsi="ITC Avant Garde" w:cs="Arial"/>
        </w:rPr>
        <w:t>El cálculo del costo de capital aplicable a los Modelos de Costos se explica en las secciones 6.3 y 6.4 del Enfoque Conceptual, en el cual se señala los datos que se utilizaron para calcular el valor de cada uno de los parámetros que componen la fórmula del CCPP y del CAPM.</w:t>
      </w:r>
    </w:p>
    <w:p w14:paraId="2F2ED192" w14:textId="3E1199F3" w:rsidR="002816EE" w:rsidRPr="00177A2B" w:rsidRDefault="002816EE" w:rsidP="007E036D">
      <w:pPr>
        <w:jc w:val="both"/>
        <w:rPr>
          <w:rFonts w:ascii="ITC Avant Garde" w:hAnsi="ITC Avant Garde" w:cs="Arial"/>
        </w:rPr>
      </w:pPr>
      <w:r w:rsidRPr="00177A2B">
        <w:rPr>
          <w:rFonts w:ascii="ITC Avant Garde" w:hAnsi="ITC Avant Garde" w:cs="Arial"/>
        </w:rPr>
        <w:lastRenderedPageBreak/>
        <w:t>En la sección 6.3.1 del Enfoque Conceptual se explica el cálculo del costo de capital accionario aplicando la metodología del CAPM tal y como indica</w:t>
      </w:r>
      <w:r w:rsidR="000D5240">
        <w:rPr>
          <w:rFonts w:ascii="ITC Avant Garde" w:hAnsi="ITC Avant Garde" w:cs="Arial"/>
        </w:rPr>
        <w:t xml:space="preserve"> la Metodología de Costos del 18 de diciembre de 2014</w:t>
      </w:r>
      <w:r w:rsidRPr="00177A2B">
        <w:rPr>
          <w:rFonts w:ascii="ITC Avant Garde" w:hAnsi="ITC Avant Garde" w:cs="Arial"/>
        </w:rPr>
        <w:t xml:space="preserve">. </w:t>
      </w:r>
    </w:p>
    <w:p w14:paraId="322A8783" w14:textId="1CF5390C" w:rsidR="002816EE" w:rsidRPr="00177A2B" w:rsidRDefault="002816EE" w:rsidP="007E036D">
      <w:pPr>
        <w:keepLines/>
        <w:pBdr>
          <w:top w:val="single" w:sz="4" w:space="2" w:color="D9D9D9" w:themeColor="background1" w:themeShade="D9"/>
          <w:bottom w:val="single" w:sz="4" w:space="5" w:color="D9D9D9" w:themeColor="background1" w:themeShade="D9"/>
        </w:pBdr>
        <w:shd w:val="clear" w:color="auto" w:fill="F2F2F2"/>
        <w:ind w:left="284" w:right="284"/>
        <w:jc w:val="both"/>
        <w:rPr>
          <w:rFonts w:ascii="ITC Avant Garde" w:hAnsi="ITC Avant Garde" w:cs="Arial"/>
        </w:rPr>
      </w:pPr>
      <w:r>
        <w:rPr>
          <w:rFonts w:ascii="ITC Avant Garde" w:hAnsi="ITC Avant Garde" w:cs="Arial"/>
        </w:rPr>
        <w:t>33</w:t>
      </w:r>
      <w:r w:rsidRPr="00177A2B">
        <w:rPr>
          <w:rFonts w:ascii="ITC Avant Garde" w:hAnsi="ITC Avant Garde" w:cs="Arial"/>
        </w:rPr>
        <w:t xml:space="preserve">. Tasa de retorno libre de riesgo, </w:t>
      </w:r>
      <w:r w:rsidR="0080442B" w:rsidRPr="00CB415B">
        <w:rPr>
          <w:rFonts w:ascii="ITC Avant Garde" w:hAnsi="ITC Avant Garde" w:cs="Arial"/>
          <w:i/>
        </w:rPr>
        <w:t>R</w:t>
      </w:r>
      <w:r w:rsidR="0080442B" w:rsidRPr="00CB415B">
        <w:rPr>
          <w:rFonts w:ascii="ITC Avant Garde" w:hAnsi="ITC Avant Garde" w:cs="Arial"/>
          <w:i/>
          <w:vertAlign w:val="subscript"/>
        </w:rPr>
        <w:t>f</w:t>
      </w:r>
      <w:r w:rsidR="0080442B">
        <w:rPr>
          <w:rFonts w:ascii="ITC Avant Garde" w:hAnsi="ITC Avant Garde" w:cs="Arial"/>
        </w:rPr>
        <w:t xml:space="preserve"> </w:t>
      </w:r>
      <w:r w:rsidRPr="00177A2B">
        <w:rPr>
          <w:rFonts w:ascii="ITC Avant Garde" w:hAnsi="ITC Avant Garde" w:cs="Arial"/>
        </w:rPr>
        <w:t xml:space="preserve">- ¿Considera apropiado que la tasa libre de riesgo sea la de </w:t>
      </w:r>
      <w:r w:rsidRPr="00F80C26">
        <w:rPr>
          <w:rFonts w:ascii="ITC Avant Garde" w:hAnsi="ITC Avant Garde" w:cs="Arial"/>
        </w:rPr>
        <w:t>los bonos gubernamentales estadunidenses de 30 años más una prima de riesgo país asociada a México</w:t>
      </w:r>
      <w:r w:rsidRPr="00177A2B">
        <w:rPr>
          <w:rFonts w:ascii="ITC Avant Garde" w:hAnsi="ITC Avant Garde" w:cs="Arial"/>
        </w:rPr>
        <w:t>, señalada en el concepto propuesto 25 del Enfoque Conceptual?</w:t>
      </w:r>
    </w:p>
    <w:p w14:paraId="249D6C48" w14:textId="069A3ECE" w:rsidR="002816EE" w:rsidRPr="00177A2B" w:rsidRDefault="002816EE" w:rsidP="007E036D">
      <w:pPr>
        <w:keepLines/>
        <w:pBdr>
          <w:top w:val="single" w:sz="4" w:space="2" w:color="D9D9D9" w:themeColor="background1" w:themeShade="D9"/>
          <w:bottom w:val="single" w:sz="4" w:space="5" w:color="D9D9D9" w:themeColor="background1" w:themeShade="D9"/>
        </w:pBdr>
        <w:shd w:val="clear" w:color="auto" w:fill="F2F2F2"/>
        <w:ind w:left="284" w:right="284"/>
        <w:jc w:val="both"/>
        <w:rPr>
          <w:rFonts w:ascii="ITC Avant Garde" w:hAnsi="ITC Avant Garde" w:cs="Arial"/>
        </w:rPr>
      </w:pPr>
      <w:r>
        <w:rPr>
          <w:rFonts w:ascii="ITC Avant Garde" w:hAnsi="ITC Avant Garde" w:cs="Arial"/>
        </w:rPr>
        <w:t>34</w:t>
      </w:r>
      <w:r w:rsidRPr="00177A2B">
        <w:rPr>
          <w:rFonts w:ascii="ITC Avant Garde" w:hAnsi="ITC Avant Garde" w:cs="Arial"/>
        </w:rPr>
        <w:t xml:space="preserve">. Prima del riesgo del capital </w:t>
      </w:r>
      <w:r w:rsidR="0080442B" w:rsidRPr="00CB415B">
        <w:rPr>
          <w:rFonts w:ascii="ITC Avant Garde" w:hAnsi="ITC Avant Garde" w:cs="Arial"/>
          <w:i/>
        </w:rPr>
        <w:t>R</w:t>
      </w:r>
      <w:r w:rsidR="0080442B" w:rsidRPr="00CB415B">
        <w:rPr>
          <w:rFonts w:ascii="ITC Avant Garde" w:hAnsi="ITC Avant Garde" w:cs="Arial"/>
          <w:i/>
          <w:vertAlign w:val="subscript"/>
        </w:rPr>
        <w:t>e</w:t>
      </w:r>
      <w:r w:rsidRPr="00177A2B">
        <w:rPr>
          <w:rFonts w:ascii="ITC Avant Garde" w:hAnsi="ITC Avant Garde" w:cs="Arial"/>
        </w:rPr>
        <w:t>- ¿Considera adecuado que para la prima por riesgo de capital se utilice la cifra calculada por una fuente reconocida, en este caso la publicada por el profesor Aswath Damodaran de la Universidad de Nueva York, señalada en el concepto propuesto 26 del Enfoque Conceptual?</w:t>
      </w:r>
    </w:p>
    <w:p w14:paraId="464FC8C4" w14:textId="77777777" w:rsidR="002816EE" w:rsidRPr="00177A2B" w:rsidRDefault="002816EE" w:rsidP="007E036D">
      <w:pPr>
        <w:keepLines/>
        <w:pBdr>
          <w:top w:val="single" w:sz="4" w:space="2" w:color="D9D9D9" w:themeColor="background1" w:themeShade="D9"/>
          <w:bottom w:val="single" w:sz="4" w:space="5" w:color="D9D9D9" w:themeColor="background1" w:themeShade="D9"/>
        </w:pBdr>
        <w:shd w:val="clear" w:color="auto" w:fill="F2F2F2"/>
        <w:ind w:left="284" w:right="284"/>
        <w:jc w:val="both"/>
        <w:rPr>
          <w:rFonts w:ascii="ITC Avant Garde" w:hAnsi="ITC Avant Garde" w:cs="Arial"/>
        </w:rPr>
      </w:pPr>
      <w:r>
        <w:rPr>
          <w:rFonts w:ascii="ITC Avant Garde" w:hAnsi="ITC Avant Garde" w:cs="Arial"/>
        </w:rPr>
        <w:t>35</w:t>
      </w:r>
      <w:r w:rsidRPr="00177A2B">
        <w:rPr>
          <w:rFonts w:ascii="ITC Avant Garde" w:hAnsi="ITC Avant Garde" w:cs="Arial"/>
        </w:rPr>
        <w:t xml:space="preserve">. Beta para los operadores de telecomunicaciones, </w:t>
      </w:r>
      <w:r w:rsidRPr="00177A2B">
        <w:rPr>
          <w:rFonts w:cs="Calibri"/>
        </w:rPr>
        <w:t>β</w:t>
      </w:r>
      <w:r w:rsidRPr="00177A2B">
        <w:rPr>
          <w:rFonts w:ascii="ITC Avant Garde" w:hAnsi="ITC Avant Garde" w:cs="Arial"/>
        </w:rPr>
        <w:t xml:space="preserve"> - </w:t>
      </w:r>
      <w:r w:rsidRPr="00177A2B">
        <w:rPr>
          <w:rFonts w:ascii="ITC Avant Garde" w:hAnsi="ITC Avant Garde" w:cs="ITC Avant Garde"/>
        </w:rPr>
        <w:t>¿</w:t>
      </w:r>
      <w:r w:rsidRPr="00177A2B">
        <w:rPr>
          <w:rFonts w:ascii="ITC Avant Garde" w:hAnsi="ITC Avant Garde" w:cs="Arial"/>
        </w:rPr>
        <w:t>Est</w:t>
      </w:r>
      <w:r w:rsidRPr="00177A2B">
        <w:rPr>
          <w:rFonts w:ascii="ITC Avant Garde" w:hAnsi="ITC Avant Garde" w:cs="ITC Avant Garde"/>
        </w:rPr>
        <w:t>á</w:t>
      </w:r>
      <w:r w:rsidRPr="00177A2B">
        <w:rPr>
          <w:rFonts w:ascii="ITC Avant Garde" w:hAnsi="ITC Avant Garde" w:cs="Arial"/>
        </w:rPr>
        <w:t xml:space="preserve"> de acuerdo en que para el c</w:t>
      </w:r>
      <w:r w:rsidRPr="00177A2B">
        <w:rPr>
          <w:rFonts w:ascii="ITC Avant Garde" w:hAnsi="ITC Avant Garde" w:cs="ITC Avant Garde"/>
        </w:rPr>
        <w:t>á</w:t>
      </w:r>
      <w:r w:rsidRPr="00177A2B">
        <w:rPr>
          <w:rFonts w:ascii="ITC Avant Garde" w:hAnsi="ITC Avant Garde" w:cs="Arial"/>
        </w:rPr>
        <w:t>lculo del par</w:t>
      </w:r>
      <w:r w:rsidRPr="00177A2B">
        <w:rPr>
          <w:rFonts w:ascii="ITC Avant Garde" w:hAnsi="ITC Avant Garde" w:cs="ITC Avant Garde"/>
        </w:rPr>
        <w:t>á</w:t>
      </w:r>
      <w:r w:rsidRPr="00177A2B">
        <w:rPr>
          <w:rFonts w:ascii="ITC Avant Garde" w:hAnsi="ITC Avant Garde" w:cs="Arial"/>
        </w:rPr>
        <w:t>metro beta se utilice un comparativo internacional de empresas de telecomunicaciones que operan en mercado similares al mexicano, tal como se describe en el concepto propuesto 27 del Enfoque Conceptual?</w:t>
      </w:r>
    </w:p>
    <w:p w14:paraId="7DD5F365" w14:textId="77777777" w:rsidR="002816EE" w:rsidRPr="00177A2B" w:rsidRDefault="002816EE" w:rsidP="007E036D">
      <w:pPr>
        <w:keepLines/>
        <w:pBdr>
          <w:top w:val="single" w:sz="4" w:space="2" w:color="D9D9D9" w:themeColor="background1" w:themeShade="D9"/>
          <w:bottom w:val="single" w:sz="4" w:space="5" w:color="D9D9D9" w:themeColor="background1" w:themeShade="D9"/>
        </w:pBdr>
        <w:shd w:val="clear" w:color="auto" w:fill="F2F2F2"/>
        <w:ind w:left="284" w:right="284"/>
        <w:jc w:val="both"/>
        <w:rPr>
          <w:rFonts w:ascii="ITC Avant Garde" w:hAnsi="ITC Avant Garde" w:cs="Arial"/>
        </w:rPr>
      </w:pPr>
      <w:r>
        <w:rPr>
          <w:rFonts w:ascii="ITC Avant Garde" w:hAnsi="ITC Avant Garde" w:cs="Arial"/>
        </w:rPr>
        <w:t>36</w:t>
      </w:r>
      <w:r w:rsidRPr="00177A2B">
        <w:rPr>
          <w:rFonts w:ascii="ITC Avant Garde" w:hAnsi="ITC Avant Garde" w:cs="Arial"/>
        </w:rPr>
        <w:t xml:space="preserve">. Método propuesto para derivar las </w:t>
      </w:r>
      <w:r w:rsidRPr="00177A2B">
        <w:rPr>
          <w:rFonts w:ascii="ITC Avant Garde" w:hAnsi="ITC Avant Garde" w:cs="Arial"/>
        </w:rPr>
        <w:sym w:font="Symbol" w:char="F062"/>
      </w:r>
      <w:r w:rsidRPr="00177A2B">
        <w:rPr>
          <w:rFonts w:ascii="ITC Avant Garde" w:hAnsi="ITC Avant Garde" w:cs="Arial"/>
          <w:vertAlign w:val="subscript"/>
        </w:rPr>
        <w:t>asset</w:t>
      </w:r>
      <w:r w:rsidRPr="00177A2B">
        <w:rPr>
          <w:rFonts w:ascii="ITC Avant Garde" w:hAnsi="ITC Avant Garde" w:cs="Arial"/>
        </w:rPr>
        <w:t xml:space="preserve"> de los operadores fijos y móviles- ¿Tiene comentarios respecto al procedimiento utilizado en el concepto propuesto 28 del Enfoque Conceptual para el cálculo de las betas desapalancadas?</w:t>
      </w:r>
    </w:p>
    <w:p w14:paraId="13E774FC" w14:textId="444BE76D" w:rsidR="002816EE" w:rsidRPr="00177A2B" w:rsidRDefault="002816EE" w:rsidP="007E036D">
      <w:pPr>
        <w:keepLines/>
        <w:pBdr>
          <w:top w:val="single" w:sz="4" w:space="2" w:color="D9D9D9" w:themeColor="background1" w:themeShade="D9"/>
          <w:bottom w:val="single" w:sz="4" w:space="5" w:color="D9D9D9" w:themeColor="background1" w:themeShade="D9"/>
        </w:pBdr>
        <w:shd w:val="clear" w:color="auto" w:fill="F2F2F2"/>
        <w:ind w:left="284" w:right="284"/>
        <w:jc w:val="both"/>
        <w:rPr>
          <w:rFonts w:ascii="ITC Avant Garde" w:hAnsi="ITC Avant Garde" w:cs="Arial"/>
        </w:rPr>
      </w:pPr>
      <w:r>
        <w:rPr>
          <w:rFonts w:ascii="ITC Avant Garde" w:hAnsi="ITC Avant Garde" w:cs="Arial"/>
        </w:rPr>
        <w:t>37</w:t>
      </w:r>
      <w:r w:rsidRPr="00177A2B">
        <w:rPr>
          <w:rFonts w:ascii="ITC Avant Garde" w:hAnsi="ITC Avant Garde" w:cs="Arial"/>
        </w:rPr>
        <w:t xml:space="preserve">. </w:t>
      </w:r>
      <w:r w:rsidR="000D5240">
        <w:rPr>
          <w:rFonts w:ascii="ITC Avant Garde" w:hAnsi="ITC Avant Garde" w:cs="Arial"/>
        </w:rPr>
        <w:t>Proporción</w:t>
      </w:r>
      <w:r w:rsidR="000D5240" w:rsidRPr="00177A2B">
        <w:rPr>
          <w:rFonts w:ascii="ITC Avant Garde" w:hAnsi="ITC Avant Garde" w:cs="Arial"/>
        </w:rPr>
        <w:t xml:space="preserve"> </w:t>
      </w:r>
      <w:r w:rsidRPr="00177A2B">
        <w:rPr>
          <w:rFonts w:ascii="ITC Avant Garde" w:hAnsi="ITC Avant Garde" w:cs="Arial"/>
        </w:rPr>
        <w:t>deuda/capital (D/E) - ¿Tiene comentarios respecto del procedimiento utilizado en el concepto propuesto 29 del Enfoque Conceptual para el cálculo del nivel de apalancamiento?</w:t>
      </w:r>
    </w:p>
    <w:p w14:paraId="7B45B877" w14:textId="42F9B73F" w:rsidR="007F62CD" w:rsidRPr="002816EE" w:rsidRDefault="002816EE" w:rsidP="003E608B">
      <w:pPr>
        <w:keepLines/>
        <w:pBdr>
          <w:top w:val="single" w:sz="4" w:space="2" w:color="D9D9D9" w:themeColor="background1" w:themeShade="D9"/>
          <w:bottom w:val="single" w:sz="4" w:space="5" w:color="D9D9D9" w:themeColor="background1" w:themeShade="D9"/>
        </w:pBdr>
        <w:shd w:val="clear" w:color="auto" w:fill="F2F2F2"/>
        <w:ind w:left="284" w:right="284"/>
        <w:jc w:val="both"/>
      </w:pPr>
      <w:r>
        <w:rPr>
          <w:rFonts w:ascii="ITC Avant Garde" w:hAnsi="ITC Avant Garde" w:cs="Arial"/>
        </w:rPr>
        <w:t>38</w:t>
      </w:r>
      <w:r w:rsidRPr="00177A2B">
        <w:rPr>
          <w:rFonts w:ascii="ITC Avant Garde" w:hAnsi="ITC Avant Garde" w:cs="Arial"/>
        </w:rPr>
        <w:t>. Costo de la deuda- ¿Tiene comentarios respecto del procedimiento utilizado para el cálculo del costo de la deuda señalado en el concepto propuesto 30 del Enfoque Conceptual</w:t>
      </w:r>
      <w:bookmarkStart w:id="23" w:name="SectionReportBody"/>
      <w:r w:rsidR="000326FE">
        <w:rPr>
          <w:rFonts w:ascii="ITC Avant Garde" w:hAnsi="ITC Avant Garde" w:cs="Arial"/>
        </w:rPr>
        <w:t>?</w:t>
      </w:r>
      <w:bookmarkEnd w:id="23"/>
    </w:p>
    <w:sectPr w:rsidR="007F62CD" w:rsidRPr="002816EE" w:rsidSect="007E036D">
      <w:headerReference w:type="even" r:id="rId25"/>
      <w:headerReference w:type="default" r:id="rId26"/>
      <w:footerReference w:type="default" r:id="rId27"/>
      <w:headerReference w:type="first" r:id="rId28"/>
      <w:pgSz w:w="12240" w:h="15840"/>
      <w:pgMar w:top="238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6B253" w14:textId="77777777" w:rsidR="00CD79E7" w:rsidRDefault="00CD79E7" w:rsidP="00072BC8">
      <w:pPr>
        <w:spacing w:after="0" w:line="240" w:lineRule="auto"/>
      </w:pPr>
      <w:r>
        <w:separator/>
      </w:r>
    </w:p>
  </w:endnote>
  <w:endnote w:type="continuationSeparator" w:id="0">
    <w:p w14:paraId="1C6CEDEB" w14:textId="77777777" w:rsidR="00CD79E7" w:rsidRDefault="00CD79E7"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905417"/>
      <w:docPartObj>
        <w:docPartGallery w:val="Page Numbers (Bottom of Page)"/>
        <w:docPartUnique/>
      </w:docPartObj>
    </w:sdtPr>
    <w:sdtEndPr/>
    <w:sdtContent>
      <w:p w14:paraId="234B500B" w14:textId="12388790" w:rsidR="00114683" w:rsidRDefault="00114683">
        <w:pPr>
          <w:pStyle w:val="Piedepgina"/>
          <w:jc w:val="right"/>
        </w:pPr>
        <w:r>
          <w:fldChar w:fldCharType="begin"/>
        </w:r>
        <w:r>
          <w:instrText>PAGE   \* MERGEFORMAT</w:instrText>
        </w:r>
        <w:r>
          <w:fldChar w:fldCharType="separate"/>
        </w:r>
        <w:r w:rsidR="00C51CB5" w:rsidRPr="00C51CB5">
          <w:rPr>
            <w:noProof/>
            <w:lang w:val="es-ES"/>
          </w:rPr>
          <w:t>15</w:t>
        </w:r>
        <w:r>
          <w:fldChar w:fldCharType="end"/>
        </w:r>
      </w:p>
    </w:sdtContent>
  </w:sdt>
  <w:p w14:paraId="23AD9D3C" w14:textId="77777777" w:rsidR="00114683" w:rsidRDefault="00114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84E2B" w14:textId="77777777" w:rsidR="00CD79E7" w:rsidRDefault="00CD79E7" w:rsidP="00072BC8">
      <w:pPr>
        <w:spacing w:after="0" w:line="240" w:lineRule="auto"/>
      </w:pPr>
      <w:r>
        <w:separator/>
      </w:r>
    </w:p>
  </w:footnote>
  <w:footnote w:type="continuationSeparator" w:id="0">
    <w:p w14:paraId="16A4DB7A" w14:textId="77777777" w:rsidR="00CD79E7" w:rsidRDefault="00CD79E7" w:rsidP="00072BC8">
      <w:pPr>
        <w:spacing w:after="0" w:line="240" w:lineRule="auto"/>
      </w:pPr>
      <w:r>
        <w:continuationSeparator/>
      </w:r>
    </w:p>
  </w:footnote>
  <w:footnote w:id="1">
    <w:p w14:paraId="10DE5CBC" w14:textId="64417B01" w:rsidR="00CC0AB5" w:rsidRPr="00BD34FF" w:rsidRDefault="00CC0AB5">
      <w:pPr>
        <w:pStyle w:val="Textonotapie"/>
        <w:rPr>
          <w:lang w:val="es-MX"/>
        </w:rPr>
      </w:pPr>
      <w:r>
        <w:rPr>
          <w:rStyle w:val="Refdenotaalpie"/>
        </w:rPr>
        <w:footnoteRef/>
      </w:r>
      <w:r w:rsidRPr="00BD34FF">
        <w:rPr>
          <w:lang w:val="es-MX"/>
        </w:rPr>
        <w:t xml:space="preserve"> </w:t>
      </w:r>
      <w:r>
        <w:rPr>
          <w:lang w:val="es-MX"/>
        </w:rPr>
        <w:t>El modelo es capaz de calcular el Costo Incremental Total de Largo Plazo, sin embargo para los servicios costeados únicamente se utilizará el Costo Incremental de Largo Plazo Puro</w:t>
      </w:r>
    </w:p>
  </w:footnote>
  <w:footnote w:id="2">
    <w:p w14:paraId="17D5F55A" w14:textId="2EFA2CDF" w:rsidR="00CC0AB5" w:rsidRPr="007E036D" w:rsidRDefault="00CC0AB5" w:rsidP="002816EE">
      <w:pPr>
        <w:pStyle w:val="Textonotapie"/>
        <w:ind w:left="0" w:firstLine="0"/>
        <w:rPr>
          <w:rFonts w:ascii="ITC Avant Garde" w:hAnsi="ITC Avant Garde"/>
          <w:lang w:val="es-MX"/>
        </w:rPr>
      </w:pPr>
      <w:r w:rsidRPr="007E036D">
        <w:rPr>
          <w:rStyle w:val="Refdenotaalpie"/>
          <w:rFonts w:ascii="ITC Avant Garde" w:hAnsi="ITC Avant Garde"/>
        </w:rPr>
        <w:footnoteRef/>
      </w:r>
      <w:r w:rsidRPr="007E036D">
        <w:rPr>
          <w:rFonts w:ascii="ITC Avant Garde" w:hAnsi="ITC Avant Garde"/>
          <w:lang w:val="es-MX"/>
        </w:rPr>
        <w:t xml:space="preserve"> En un mercado </w:t>
      </w:r>
      <w:r>
        <w:rPr>
          <w:rFonts w:ascii="ITC Avant Garde" w:hAnsi="ITC Avant Garde"/>
          <w:lang w:val="es-MX"/>
        </w:rPr>
        <w:t>dispu</w:t>
      </w:r>
      <w:r w:rsidRPr="007E036D">
        <w:rPr>
          <w:rFonts w:ascii="ITC Avant Garde" w:hAnsi="ITC Avant Garde"/>
          <w:lang w:val="es-MX"/>
        </w:rPr>
        <w:t xml:space="preserve">table las empresas establecidas no tienen ninguna ventaja en términos de costos con relación a las empresas entrantes potenciales, por lo que deberán comportarse de manera eficiente y solamente podrán obtener ganancias normales. </w:t>
      </w:r>
    </w:p>
  </w:footnote>
  <w:footnote w:id="3">
    <w:p w14:paraId="2A3FA265" w14:textId="4CBECE7C" w:rsidR="00CC0AB5" w:rsidRPr="00BD34FF" w:rsidRDefault="00CC0AB5">
      <w:pPr>
        <w:pStyle w:val="Textonotapie"/>
        <w:rPr>
          <w:lang w:val="es-MX"/>
        </w:rPr>
      </w:pPr>
      <w:r>
        <w:rPr>
          <w:rStyle w:val="Refdenotaalpie"/>
        </w:rPr>
        <w:footnoteRef/>
      </w:r>
      <w:r w:rsidRPr="00BD34FF">
        <w:rPr>
          <w:lang w:val="es-MX"/>
        </w:rPr>
        <w:t xml:space="preserve"> </w:t>
      </w:r>
      <w:r>
        <w:rPr>
          <w:lang w:val="es-MX"/>
        </w:rPr>
        <w:t>GSM y GPRS, UMTS, HSPA y HSDPA, y LTE.</w:t>
      </w:r>
    </w:p>
  </w:footnote>
  <w:footnote w:id="4">
    <w:p w14:paraId="1C5FBC34" w14:textId="102C3362" w:rsidR="00CC0AB5" w:rsidRPr="00BD34FF" w:rsidRDefault="00CC0AB5">
      <w:pPr>
        <w:pStyle w:val="Textonotapie"/>
        <w:rPr>
          <w:lang w:val="es-MX"/>
        </w:rPr>
      </w:pPr>
      <w:r>
        <w:rPr>
          <w:rStyle w:val="Refdenotaalpie"/>
        </w:rPr>
        <w:footnoteRef/>
      </w:r>
      <w:r w:rsidRPr="00BD34FF">
        <w:rPr>
          <w:lang w:val="es-MX"/>
        </w:rPr>
        <w:t xml:space="preserve"> Estos anchos de banda son suficientes para establecer los canales para transmitir y recibir.</w:t>
      </w:r>
    </w:p>
  </w:footnote>
  <w:footnote w:id="5">
    <w:p w14:paraId="06323FDC" w14:textId="77777777" w:rsidR="00CC0AB5" w:rsidRPr="000F099D" w:rsidRDefault="00CC0AB5" w:rsidP="002816EE">
      <w:pPr>
        <w:pStyle w:val="Textonotapie"/>
        <w:rPr>
          <w:rFonts w:ascii="ITC Avant Garde" w:hAnsi="ITC Avant Garde" w:cs="Arial"/>
          <w:szCs w:val="16"/>
          <w:lang w:val="es-MX"/>
        </w:rPr>
      </w:pPr>
      <w:r w:rsidRPr="000F099D">
        <w:rPr>
          <w:rStyle w:val="Refdenotaalpie"/>
          <w:rFonts w:ascii="ITC Avant Garde" w:hAnsi="ITC Avant Garde" w:cs="Arial"/>
          <w:szCs w:val="16"/>
        </w:rPr>
        <w:footnoteRef/>
      </w:r>
      <w:r w:rsidRPr="000F099D">
        <w:rPr>
          <w:rFonts w:ascii="ITC Avant Garde" w:hAnsi="ITC Avant Garde" w:cs="Arial"/>
          <w:szCs w:val="16"/>
          <w:lang w:val="es-ES"/>
        </w:rPr>
        <w:t xml:space="preserve"> </w:t>
      </w:r>
      <w:r w:rsidRPr="000F099D">
        <w:rPr>
          <w:rFonts w:ascii="ITC Avant Garde" w:hAnsi="ITC Avant Garde" w:cs="Arial"/>
          <w:szCs w:val="16"/>
          <w:lang w:val="es-ES"/>
        </w:rPr>
        <w:tab/>
        <w:t xml:space="preserve">IRU: </w:t>
      </w:r>
      <w:r w:rsidRPr="000F099D">
        <w:rPr>
          <w:rFonts w:ascii="ITC Avant Garde" w:hAnsi="ITC Avant Garde" w:cs="Arial"/>
          <w:i/>
          <w:szCs w:val="16"/>
          <w:lang w:val="es-ES"/>
        </w:rPr>
        <w:t>Indefeasible right of use</w:t>
      </w:r>
      <w:r w:rsidRPr="000F099D">
        <w:rPr>
          <w:rFonts w:ascii="ITC Avant Garde" w:hAnsi="ITC Avant Garde" w:cs="Arial"/>
          <w:szCs w:val="16"/>
          <w:lang w:val="es-ES"/>
        </w:rPr>
        <w:t>, derecho de uso irrevocable. Se trata de un derecho de uso a largo plazo (o propiedad temporal) de una porción de la capacidad de un enlace de transmisión.</w:t>
      </w:r>
    </w:p>
  </w:footnote>
  <w:footnote w:id="6">
    <w:p w14:paraId="50C89D4F" w14:textId="4BCB7646" w:rsidR="00CC0AB5" w:rsidRPr="000F099D" w:rsidRDefault="00CC0AB5" w:rsidP="002816EE">
      <w:pPr>
        <w:pStyle w:val="Textonotapie"/>
        <w:spacing w:after="0"/>
        <w:ind w:left="0" w:firstLine="0"/>
        <w:rPr>
          <w:rFonts w:ascii="ITC Avant Garde" w:hAnsi="ITC Avant Garde" w:cs="Arial"/>
          <w:szCs w:val="16"/>
          <w:lang w:val="es-MX"/>
        </w:rPr>
      </w:pPr>
      <w:r w:rsidRPr="000F099D">
        <w:rPr>
          <w:rStyle w:val="Refdenotaalpie"/>
          <w:rFonts w:ascii="ITC Avant Garde" w:hAnsi="ITC Avant Garde" w:cs="Arial"/>
          <w:szCs w:val="16"/>
        </w:rPr>
        <w:footnoteRef/>
      </w:r>
      <w:r w:rsidRPr="000F099D">
        <w:rPr>
          <w:rFonts w:ascii="ITC Avant Garde" w:hAnsi="ITC Avant Garde" w:cs="Arial"/>
          <w:szCs w:val="16"/>
          <w:lang w:val="es-ES"/>
        </w:rPr>
        <w:t xml:space="preserve"> Un ancho de banda abundante y suficiente para todos los servicios/llamadas también puede mejorar la calidad de la llamada en el caso de que no se apliquen otros mecanismos de QoS. Sin embargo, la falta de mecanismos de QoS y un ancho de banda limitado pueden llevar a calidades en las llamadas que resulten inaceptables en las horas punta</w:t>
      </w:r>
      <w:r>
        <w:rPr>
          <w:rFonts w:ascii="ITC Avant Garde" w:hAnsi="ITC Avant Garde" w:cs="Arial"/>
          <w:szCs w:val="16"/>
          <w:lang w:val="es-ES"/>
        </w:rPr>
        <w:t xml:space="preserve"> u horas pico</w:t>
      </w:r>
      <w:r w:rsidRPr="000F099D">
        <w:rPr>
          <w:rFonts w:ascii="ITC Avant Garde" w:hAnsi="ITC Avant Garde" w:cs="Arial"/>
          <w:szCs w:val="16"/>
          <w:lang w:val="es-ES"/>
        </w:rPr>
        <w:t>.</w:t>
      </w:r>
    </w:p>
  </w:footnote>
  <w:footnote w:id="7">
    <w:p w14:paraId="3B47B6FE" w14:textId="77777777" w:rsidR="00CC0AB5" w:rsidRPr="000F099D" w:rsidRDefault="00CC0AB5" w:rsidP="002816EE">
      <w:pPr>
        <w:pStyle w:val="Textonotapie"/>
        <w:ind w:left="0" w:firstLine="0"/>
        <w:rPr>
          <w:rFonts w:ascii="ITC Avant Garde" w:hAnsi="ITC Avant Garde" w:cs="Arial"/>
          <w:szCs w:val="16"/>
          <w:lang w:val="es-MX"/>
        </w:rPr>
      </w:pPr>
      <w:r w:rsidRPr="000F099D">
        <w:rPr>
          <w:rStyle w:val="Refdenotaalpie"/>
          <w:rFonts w:ascii="ITC Avant Garde" w:hAnsi="ITC Avant Garde" w:cs="Arial"/>
          <w:szCs w:val="16"/>
        </w:rPr>
        <w:footnoteRef/>
      </w:r>
      <w:r w:rsidRPr="000F099D">
        <w:rPr>
          <w:rFonts w:ascii="ITC Avant Garde" w:hAnsi="ITC Avant Garde" w:cs="Arial"/>
          <w:szCs w:val="16"/>
          <w:lang w:val="es-ES"/>
        </w:rPr>
        <w:t xml:space="preserve"> Reportes anuales de Telmex presentados a la Bolsa Mexicana de Valores. </w:t>
      </w:r>
    </w:p>
  </w:footnote>
  <w:footnote w:id="8">
    <w:p w14:paraId="07AAD90B" w14:textId="45CBEF9F" w:rsidR="00CC0AB5" w:rsidRPr="00BD34FF" w:rsidRDefault="00CC0AB5">
      <w:pPr>
        <w:pStyle w:val="Textonotapie"/>
        <w:rPr>
          <w:lang w:val="es-MX"/>
        </w:rPr>
      </w:pPr>
      <w:r>
        <w:rPr>
          <w:rStyle w:val="Refdenotaalpie"/>
        </w:rPr>
        <w:footnoteRef/>
      </w:r>
      <w:r w:rsidRPr="00BD34FF">
        <w:rPr>
          <w:lang w:val="es-MX"/>
        </w:rPr>
        <w:t xml:space="preserve"> </w:t>
      </w:r>
      <w:r>
        <w:rPr>
          <w:lang w:val="es-MX"/>
        </w:rPr>
        <w:t>E</w:t>
      </w:r>
      <w:r w:rsidRPr="00DC5DBB">
        <w:rPr>
          <w:lang w:val="es-MX"/>
        </w:rPr>
        <w:t>l 80% del tráfico de la red es cursado en días laborables.</w:t>
      </w:r>
    </w:p>
  </w:footnote>
  <w:footnote w:id="9">
    <w:p w14:paraId="4943F934" w14:textId="77777777" w:rsidR="00CC0AB5" w:rsidRPr="00CB415B" w:rsidRDefault="00CC0AB5" w:rsidP="002816EE">
      <w:pPr>
        <w:pStyle w:val="Textonotapie"/>
        <w:rPr>
          <w:rFonts w:ascii="ITC Avant Garde" w:hAnsi="ITC Avant Garde"/>
          <w:lang w:val="es-MX"/>
        </w:rPr>
      </w:pPr>
      <w:r w:rsidRPr="00CB415B">
        <w:rPr>
          <w:rStyle w:val="Refdenotaalpie"/>
          <w:rFonts w:ascii="ITC Avant Garde" w:hAnsi="ITC Avant Garde"/>
        </w:rPr>
        <w:footnoteRef/>
      </w:r>
      <w:r w:rsidRPr="00CB415B">
        <w:rPr>
          <w:rFonts w:ascii="ITC Avant Garde" w:hAnsi="ITC Avant Garde"/>
          <w:lang w:val="es-MX"/>
        </w:rPr>
        <w:t xml:space="preserve"> </w:t>
      </w:r>
      <w:r w:rsidRPr="00CB415B">
        <w:rPr>
          <w:rFonts w:ascii="ITC Avant Garde" w:hAnsi="ITC Avant Garde"/>
          <w:lang w:val="es-MX"/>
        </w:rPr>
        <w:tab/>
        <w:t xml:space="preserve">Entre más incrementos, más cálculos se necesitan en el modelo y más costos comunes (o agregado de costos comunes) tienen que ser distribuidos como </w:t>
      </w:r>
      <w:r w:rsidRPr="00CB415B">
        <w:rPr>
          <w:rFonts w:ascii="ITC Avant Garde" w:hAnsi="ITC Avant Garde"/>
          <w:i/>
          <w:lang w:val="es-MX"/>
        </w:rPr>
        <w:t>mark-up.</w:t>
      </w:r>
    </w:p>
  </w:footnote>
  <w:footnote w:id="10">
    <w:p w14:paraId="4FBC0BF1" w14:textId="77777777" w:rsidR="00CC0AB5" w:rsidRPr="00CB415B" w:rsidRDefault="00CC0AB5" w:rsidP="002816EE">
      <w:pPr>
        <w:pStyle w:val="Textonotapie"/>
        <w:spacing w:after="0"/>
        <w:rPr>
          <w:rFonts w:ascii="ITC Avant Garde" w:hAnsi="ITC Avant Garde"/>
          <w:lang w:val="es-MX"/>
        </w:rPr>
      </w:pPr>
      <w:r w:rsidRPr="00CB415B">
        <w:rPr>
          <w:rStyle w:val="Refdenotaalpie"/>
          <w:rFonts w:ascii="ITC Avant Garde" w:hAnsi="ITC Avant Garde"/>
        </w:rPr>
        <w:footnoteRef/>
      </w:r>
      <w:r w:rsidRPr="00CB415B">
        <w:rPr>
          <w:rFonts w:ascii="ITC Avant Garde" w:hAnsi="ITC Avant Garde"/>
          <w:lang w:val="es-MX"/>
        </w:rPr>
        <w:t xml:space="preserve"> </w:t>
      </w:r>
      <w:r w:rsidRPr="00CB415B">
        <w:rPr>
          <w:rFonts w:ascii="ITC Avant Garde" w:hAnsi="ITC Avant Garde"/>
          <w:lang w:val="es-MX"/>
        </w:rPr>
        <w:tab/>
        <w:t xml:space="preserve">Por las economías de escala y el mecanismo de márgenes adicionales. </w:t>
      </w:r>
    </w:p>
  </w:footnote>
  <w:footnote w:id="11">
    <w:p w14:paraId="7C230466" w14:textId="77777777" w:rsidR="00CC0AB5" w:rsidRPr="00EB3876" w:rsidRDefault="00CC0AB5" w:rsidP="002816EE">
      <w:pPr>
        <w:pStyle w:val="Textonotapie"/>
        <w:rPr>
          <w:rFonts w:ascii="ITC Avant Garde" w:hAnsi="ITC Avant Garde" w:cs="Arial"/>
          <w:spacing w:val="-4"/>
          <w:sz w:val="18"/>
          <w:szCs w:val="18"/>
          <w:lang w:val="es-MX"/>
        </w:rPr>
      </w:pPr>
      <w:r w:rsidRPr="00EB3876">
        <w:rPr>
          <w:rStyle w:val="Refdenotaalpie"/>
          <w:rFonts w:ascii="ITC Avant Garde" w:hAnsi="ITC Avant Garde" w:cs="Arial"/>
          <w:spacing w:val="-4"/>
          <w:sz w:val="18"/>
          <w:szCs w:val="18"/>
        </w:rPr>
        <w:footnoteRef/>
      </w:r>
      <w:r w:rsidRPr="00EB3876">
        <w:rPr>
          <w:rFonts w:ascii="ITC Avant Garde" w:hAnsi="ITC Avant Garde" w:cs="Arial"/>
          <w:spacing w:val="-4"/>
          <w:sz w:val="18"/>
          <w:szCs w:val="18"/>
          <w:lang w:val="es-ES"/>
        </w:rPr>
        <w:t xml:space="preserve"> </w:t>
      </w:r>
      <w:r w:rsidRPr="00EB3876">
        <w:rPr>
          <w:rFonts w:ascii="ITC Avant Garde" w:hAnsi="ITC Avant Garde" w:cs="Arial"/>
          <w:spacing w:val="-4"/>
          <w:sz w:val="18"/>
          <w:szCs w:val="18"/>
          <w:lang w:val="es-ES"/>
        </w:rPr>
        <w:tab/>
        <w:t xml:space="preserve">En los modelos que utilizan el método de anualidades para calcular los costos de la red, el cambio esperado en los precios de los activos se incorpora en la fórmula de anualidad que se aplica a las inversiones totales por tipo de activo. Cuando el cambio en los precios se espera sea negativo, la depreciación económica tiene el efecto de incrementar el monto de inversión total en el activo correspondiente dado que éste debe remplazarse más rápidamente.  </w:t>
      </w:r>
    </w:p>
  </w:footnote>
  <w:footnote w:id="12">
    <w:p w14:paraId="666CB3D0" w14:textId="77777777" w:rsidR="00CC0AB5" w:rsidRPr="00EB1089" w:rsidRDefault="00CC0AB5" w:rsidP="002816EE">
      <w:pPr>
        <w:pStyle w:val="Textonotapie"/>
        <w:rPr>
          <w:rFonts w:cs="Arial"/>
          <w:szCs w:val="16"/>
          <w:lang w:val="es-MX"/>
        </w:rPr>
      </w:pPr>
      <w:r w:rsidRPr="00EB3876">
        <w:rPr>
          <w:rStyle w:val="Refdenotaalpie"/>
          <w:rFonts w:ascii="ITC Avant Garde" w:hAnsi="ITC Avant Garde" w:cs="Arial"/>
          <w:spacing w:val="-4"/>
          <w:sz w:val="18"/>
          <w:szCs w:val="18"/>
        </w:rPr>
        <w:footnoteRef/>
      </w:r>
      <w:r w:rsidRPr="00EB3876">
        <w:rPr>
          <w:rFonts w:ascii="ITC Avant Garde" w:hAnsi="ITC Avant Garde" w:cs="Arial"/>
          <w:spacing w:val="-4"/>
          <w:sz w:val="18"/>
          <w:szCs w:val="18"/>
          <w:lang w:val="es-ES"/>
        </w:rPr>
        <w:t xml:space="preserve"> </w:t>
      </w:r>
      <w:r w:rsidRPr="00EB3876">
        <w:rPr>
          <w:rFonts w:ascii="ITC Avant Garde" w:hAnsi="ITC Avant Garde" w:cs="Arial"/>
          <w:spacing w:val="-4"/>
          <w:sz w:val="18"/>
          <w:szCs w:val="18"/>
          <w:lang w:val="es-ES"/>
        </w:rPr>
        <w:tab/>
        <w:t>Específicamente, los métodos implementados por Analysys Mason para los reguladores del Reino Unido, Suecia y Noruega.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38DA" w14:textId="77777777" w:rsidR="00CC0AB5" w:rsidRDefault="00CD79E7">
    <w:pPr>
      <w:pStyle w:val="Encabezado"/>
    </w:pPr>
    <w:r>
      <w:rPr>
        <w:noProof/>
        <w:lang w:eastAsia="es-MX"/>
      </w:rPr>
      <w:pict w14:anchorId="79270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65B1D" w14:textId="77777777" w:rsidR="00CC0AB5" w:rsidRDefault="00CD79E7">
    <w:pPr>
      <w:pStyle w:val="Encabezado"/>
    </w:pPr>
    <w:r>
      <w:rPr>
        <w:noProof/>
        <w:lang w:eastAsia="es-MX"/>
      </w:rPr>
      <w:pict w14:anchorId="69FBC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margin-left:-70.15pt;margin-top:-112.65pt;width:612pt;height:11in;z-index:-251657728;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9BBB5" w14:textId="77777777" w:rsidR="00CC0AB5" w:rsidRDefault="00CD79E7">
    <w:pPr>
      <w:pStyle w:val="Encabezado"/>
    </w:pPr>
    <w:r>
      <w:rPr>
        <w:noProof/>
        <w:lang w:eastAsia="es-MX"/>
      </w:rPr>
      <w:pict w14:anchorId="7B1CB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1A0F4A0"/>
    <w:lvl w:ilvl="0">
      <w:start w:val="1"/>
      <w:numFmt w:val="bullet"/>
      <w:pStyle w:val="Listaconnmeros"/>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8C54F75A"/>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E294F00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AC6233"/>
    <w:multiLevelType w:val="hybridMultilevel"/>
    <w:tmpl w:val="0BA40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C86FF1"/>
    <w:multiLevelType w:val="hybridMultilevel"/>
    <w:tmpl w:val="046E4F44"/>
    <w:lvl w:ilvl="0" w:tplc="3D0E94E0">
      <w:start w:val="1"/>
      <w:numFmt w:val="lowerRoman"/>
      <w:lvlText w:val="%1)"/>
      <w:lvlJc w:val="left"/>
      <w:pPr>
        <w:tabs>
          <w:tab w:val="num" w:pos="1428"/>
        </w:tabs>
        <w:ind w:left="1428" w:hanging="720"/>
      </w:pPr>
      <w:rPr>
        <w:rFonts w:hint="default"/>
        <w:sz w:val="22"/>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0DB6421E"/>
    <w:multiLevelType w:val="hybridMultilevel"/>
    <w:tmpl w:val="996C73BA"/>
    <w:lvl w:ilvl="0" w:tplc="422E6672">
      <w:start w:val="1"/>
      <w:numFmt w:val="bullet"/>
      <w:pStyle w:val="Listaconvietas2"/>
      <w:lvlText w:val="—"/>
      <w:lvlJc w:val="left"/>
      <w:pPr>
        <w:ind w:left="1077" w:hanging="360"/>
      </w:pPr>
      <w:rPr>
        <w:rFonts w:ascii="Times New Roman" w:hAnsi="Times New Roman"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3AC56A6"/>
    <w:multiLevelType w:val="hybridMultilevel"/>
    <w:tmpl w:val="CD748F9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C44616"/>
    <w:multiLevelType w:val="hybridMultilevel"/>
    <w:tmpl w:val="DBC6C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hanging="499"/>
      </w:pPr>
      <w:rPr>
        <w:rFonts w:ascii="Times New Roman" w:hAnsi="Times New Roman" w:cs="Times New Roman" w:hint="default"/>
        <w:b w:val="0"/>
        <w:i w:val="0"/>
        <w:sz w:val="36"/>
      </w:rPr>
    </w:lvl>
    <w:lvl w:ilvl="1">
      <w:start w:val="1"/>
      <w:numFmt w:val="decimal"/>
      <w:pStyle w:val="Annex2"/>
      <w:suff w:val="space"/>
      <w:lvlText w:val="%1.%2"/>
      <w:lvlJc w:val="left"/>
      <w:pPr>
        <w:ind w:hanging="499"/>
      </w:pPr>
      <w:rPr>
        <w:rFonts w:ascii="Times New Roman Bold" w:hAnsi="Times New Roman Bold" w:cs="Times New Roman" w:hint="default"/>
        <w:b/>
        <w:i w:val="0"/>
        <w:sz w:val="24"/>
      </w:rPr>
    </w:lvl>
    <w:lvl w:ilvl="2">
      <w:start w:val="1"/>
      <w:numFmt w:val="decimal"/>
      <w:pStyle w:val="Annex3"/>
      <w:suff w:val="space"/>
      <w:lvlText w:val="%1.%2.%3"/>
      <w:lvlJc w:val="left"/>
      <w:pPr>
        <w:ind w:hanging="499"/>
      </w:pPr>
      <w:rPr>
        <w:rFonts w:cs="Times New Roman" w:hint="default"/>
      </w:rPr>
    </w:lvl>
    <w:lvl w:ilvl="3">
      <w:start w:val="1"/>
      <w:numFmt w:val="none"/>
      <w:pStyle w:val="Annex4"/>
      <w:suff w:val="nothing"/>
      <w:lvlText w:val=""/>
      <w:lvlJc w:val="left"/>
      <w:rPr>
        <w:rFonts w:cs="Times New Roman" w:hint="default"/>
      </w:rPr>
    </w:lvl>
    <w:lvl w:ilvl="4">
      <w:start w:val="1"/>
      <w:numFmt w:val="lowerLetter"/>
      <w:lvlText w:val="(%5)"/>
      <w:lvlJc w:val="left"/>
      <w:pPr>
        <w:tabs>
          <w:tab w:val="num" w:pos="1134"/>
        </w:tabs>
        <w:ind w:hanging="499"/>
      </w:pPr>
      <w:rPr>
        <w:rFonts w:cs="Times New Roman" w:hint="default"/>
      </w:rPr>
    </w:lvl>
    <w:lvl w:ilvl="5">
      <w:start w:val="1"/>
      <w:numFmt w:val="lowerRoman"/>
      <w:lvlText w:val="(%6)"/>
      <w:lvlJc w:val="left"/>
      <w:pPr>
        <w:tabs>
          <w:tab w:val="num" w:pos="1134"/>
        </w:tabs>
        <w:ind w:hanging="499"/>
      </w:pPr>
      <w:rPr>
        <w:rFonts w:cs="Times New Roman" w:hint="default"/>
      </w:rPr>
    </w:lvl>
    <w:lvl w:ilvl="6">
      <w:start w:val="1"/>
      <w:numFmt w:val="decimal"/>
      <w:lvlText w:val="%7."/>
      <w:lvlJc w:val="left"/>
      <w:pPr>
        <w:tabs>
          <w:tab w:val="num" w:pos="1134"/>
        </w:tabs>
        <w:ind w:hanging="499"/>
      </w:pPr>
      <w:rPr>
        <w:rFonts w:cs="Times New Roman" w:hint="default"/>
      </w:rPr>
    </w:lvl>
    <w:lvl w:ilvl="7">
      <w:start w:val="1"/>
      <w:numFmt w:val="lowerLetter"/>
      <w:lvlText w:val="%8."/>
      <w:lvlJc w:val="left"/>
      <w:pPr>
        <w:tabs>
          <w:tab w:val="num" w:pos="1134"/>
        </w:tabs>
        <w:ind w:hanging="499"/>
      </w:pPr>
      <w:rPr>
        <w:rFonts w:cs="Times New Roman" w:hint="default"/>
      </w:rPr>
    </w:lvl>
    <w:lvl w:ilvl="8">
      <w:start w:val="1"/>
      <w:numFmt w:val="lowerRoman"/>
      <w:lvlText w:val="%9."/>
      <w:lvlJc w:val="left"/>
      <w:pPr>
        <w:tabs>
          <w:tab w:val="num" w:pos="1134"/>
        </w:tabs>
        <w:ind w:hanging="499"/>
      </w:pPr>
      <w:rPr>
        <w:rFonts w:cs="Times New Roman" w:hint="default"/>
      </w:rPr>
    </w:lvl>
  </w:abstractNum>
  <w:abstractNum w:abstractNumId="10" w15:restartNumberingAfterBreak="0">
    <w:nsid w:val="23523ABD"/>
    <w:multiLevelType w:val="hybridMultilevel"/>
    <w:tmpl w:val="615A0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3735F4"/>
    <w:multiLevelType w:val="multilevel"/>
    <w:tmpl w:val="60C8678E"/>
    <w:lvl w:ilvl="0">
      <w:start w:val="1"/>
      <w:numFmt w:val="decimal"/>
      <w:lvlText w:val="%1"/>
      <w:lvlJc w:val="left"/>
      <w:pPr>
        <w:ind w:hanging="499"/>
      </w:pPr>
      <w:rPr>
        <w:rFonts w:ascii="ITC Avant Garde" w:hAnsi="ITC Avant Garde" w:cs="Arial" w:hint="default"/>
        <w:b w:val="0"/>
        <w:i w:val="0"/>
        <w:sz w:val="36"/>
      </w:rPr>
    </w:lvl>
    <w:lvl w:ilvl="1">
      <w:start w:val="1"/>
      <w:numFmt w:val="decimal"/>
      <w:lvlText w:val="%1.%2"/>
      <w:lvlJc w:val="left"/>
      <w:pPr>
        <w:ind w:hanging="499"/>
      </w:pPr>
      <w:rPr>
        <w:rFonts w:ascii="ITC Avant Garde" w:hAnsi="ITC Avant Garde" w:cs="Arial" w:hint="default"/>
        <w:b/>
        <w:i w:val="0"/>
        <w:sz w:val="24"/>
      </w:rPr>
    </w:lvl>
    <w:lvl w:ilvl="2">
      <w:start w:val="1"/>
      <w:numFmt w:val="decimal"/>
      <w:lvlText w:val="%1.%2.%3"/>
      <w:lvlJc w:val="left"/>
      <w:pPr>
        <w:ind w:left="499" w:hanging="499"/>
      </w:pPr>
      <w:rPr>
        <w:rFonts w:ascii="ITC Avant Garde" w:hAnsi="ITC Avant Garde" w:cs="Arial" w:hint="default"/>
        <w:b/>
        <w:i w:val="0"/>
        <w:sz w:val="22"/>
      </w:rPr>
    </w:lvl>
    <w:lvl w:ilvl="3">
      <w:start w:val="1"/>
      <w:numFmt w:val="none"/>
      <w:suff w:val="nothing"/>
      <w:lvlText w:val=""/>
      <w:lvlJc w:val="left"/>
      <w:rPr>
        <w:rFonts w:ascii="Times New Roman" w:hAnsi="Times New Roman" w:cs="Times New Roman" w:hint="default"/>
        <w:b w:val="0"/>
        <w:i/>
        <w:sz w:val="22"/>
      </w:rPr>
    </w:lvl>
    <w:lvl w:ilvl="4">
      <w:start w:val="1"/>
      <w:numFmt w:val="none"/>
      <w:lvlText w:val=""/>
      <w:lvlJc w:val="left"/>
      <w:pPr>
        <w:ind w:hanging="499"/>
      </w:pPr>
      <w:rPr>
        <w:rFonts w:cs="Times New Roman" w:hint="default"/>
      </w:rPr>
    </w:lvl>
    <w:lvl w:ilvl="5">
      <w:start w:val="1"/>
      <w:numFmt w:val="none"/>
      <w:lvlText w:val=""/>
      <w:lvlJc w:val="left"/>
      <w:pPr>
        <w:ind w:hanging="499"/>
      </w:pPr>
      <w:rPr>
        <w:rFonts w:cs="Times New Roman" w:hint="default"/>
      </w:rPr>
    </w:lvl>
    <w:lvl w:ilvl="6">
      <w:start w:val="1"/>
      <w:numFmt w:val="none"/>
      <w:lvlText w:val=""/>
      <w:lvlJc w:val="left"/>
      <w:pPr>
        <w:ind w:hanging="499"/>
      </w:pPr>
      <w:rPr>
        <w:rFonts w:cs="Times New Roman" w:hint="default"/>
      </w:rPr>
    </w:lvl>
    <w:lvl w:ilvl="7">
      <w:start w:val="1"/>
      <w:numFmt w:val="none"/>
      <w:lvlText w:val=""/>
      <w:lvlJc w:val="left"/>
      <w:pPr>
        <w:ind w:hanging="499"/>
      </w:pPr>
      <w:rPr>
        <w:rFonts w:cs="Times New Roman" w:hint="default"/>
      </w:rPr>
    </w:lvl>
    <w:lvl w:ilvl="8">
      <w:start w:val="1"/>
      <w:numFmt w:val="none"/>
      <w:lvlText w:val=""/>
      <w:lvlJc w:val="left"/>
      <w:pPr>
        <w:ind w:hanging="499"/>
      </w:pPr>
      <w:rPr>
        <w:rFonts w:cs="Times New Roman" w:hint="default"/>
      </w:rPr>
    </w:lvl>
  </w:abstractNum>
  <w:abstractNum w:abstractNumId="12" w15:restartNumberingAfterBreak="0">
    <w:nsid w:val="3FC07CDE"/>
    <w:multiLevelType w:val="multilevel"/>
    <w:tmpl w:val="08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2D41051"/>
    <w:multiLevelType w:val="hybridMultilevel"/>
    <w:tmpl w:val="6FF22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16359D"/>
    <w:multiLevelType w:val="hybridMultilevel"/>
    <w:tmpl w:val="0184986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hint="default"/>
        <w:b w:val="0"/>
        <w:i w:val="0"/>
        <w:color w:val="auto"/>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C2413A"/>
    <w:multiLevelType w:val="hybridMultilevel"/>
    <w:tmpl w:val="13004194"/>
    <w:lvl w:ilvl="0" w:tplc="A36C0E02">
      <w:start w:val="1"/>
      <w:numFmt w:val="bullet"/>
      <w:lvlText w:val=""/>
      <w:lvlJc w:val="left"/>
      <w:pPr>
        <w:tabs>
          <w:tab w:val="num" w:pos="5540"/>
        </w:tabs>
        <w:ind w:left="5540" w:hanging="720"/>
      </w:pPr>
      <w:rPr>
        <w:rFonts w:ascii="Symbol" w:hAnsi="Symbol" w:hint="default"/>
        <w:sz w:val="22"/>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65AA0939"/>
    <w:multiLevelType w:val="hybridMultilevel"/>
    <w:tmpl w:val="241C98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600534C"/>
    <w:multiLevelType w:val="hybridMultilevel"/>
    <w:tmpl w:val="E8A2480E"/>
    <w:lvl w:ilvl="0" w:tplc="080A0001">
      <w:start w:val="1"/>
      <w:numFmt w:val="bullet"/>
      <w:lvlText w:val=""/>
      <w:lvlJc w:val="left"/>
      <w:pPr>
        <w:ind w:left="720" w:hanging="360"/>
      </w:pPr>
      <w:rPr>
        <w:rFonts w:ascii="Symbol" w:hAnsi="Symbol" w:hint="default"/>
      </w:rPr>
    </w:lvl>
    <w:lvl w:ilvl="1" w:tplc="C9D81C10">
      <w:numFmt w:val="bullet"/>
      <w:lvlText w:val="•"/>
      <w:lvlJc w:val="left"/>
      <w:pPr>
        <w:ind w:left="1800" w:hanging="720"/>
      </w:pPr>
      <w:rPr>
        <w:rFonts w:ascii="Times New Roman" w:eastAsia="Calibr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6C12466"/>
    <w:multiLevelType w:val="hybridMultilevel"/>
    <w:tmpl w:val="2A767E76"/>
    <w:lvl w:ilvl="0" w:tplc="B5A292E0">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0"/>
  </w:num>
  <w:num w:numId="4">
    <w:abstractNumId w:val="6"/>
  </w:num>
  <w:num w:numId="5">
    <w:abstractNumId w:val="0"/>
  </w:num>
  <w:num w:numId="6">
    <w:abstractNumId w:val="2"/>
  </w:num>
  <w:num w:numId="7">
    <w:abstractNumId w:val="1"/>
  </w:num>
  <w:num w:numId="8">
    <w:abstractNumId w:val="5"/>
  </w:num>
  <w:num w:numId="9">
    <w:abstractNumId w:val="9"/>
  </w:num>
  <w:num w:numId="10">
    <w:abstractNumId w:val="12"/>
  </w:num>
  <w:num w:numId="11">
    <w:abstractNumId w:val="8"/>
  </w:num>
  <w:num w:numId="12">
    <w:abstractNumId w:val="11"/>
  </w:num>
  <w:num w:numId="13">
    <w:abstractNumId w:val="15"/>
  </w:num>
  <w:num w:numId="14">
    <w:abstractNumId w:val="19"/>
  </w:num>
  <w:num w:numId="15">
    <w:abstractNumId w:val="17"/>
  </w:num>
  <w:num w:numId="16">
    <w:abstractNumId w:val="3"/>
  </w:num>
  <w:num w:numId="17">
    <w:abstractNumId w:val="13"/>
  </w:num>
  <w:num w:numId="18">
    <w:abstractNumId w:val="18"/>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13523"/>
    <w:rsid w:val="00015035"/>
    <w:rsid w:val="000154B0"/>
    <w:rsid w:val="00020418"/>
    <w:rsid w:val="000326FE"/>
    <w:rsid w:val="00040619"/>
    <w:rsid w:val="00042C49"/>
    <w:rsid w:val="00046180"/>
    <w:rsid w:val="000520B9"/>
    <w:rsid w:val="00072BC8"/>
    <w:rsid w:val="0009061B"/>
    <w:rsid w:val="00095F11"/>
    <w:rsid w:val="000B698D"/>
    <w:rsid w:val="000B7B4A"/>
    <w:rsid w:val="000D1139"/>
    <w:rsid w:val="000D5240"/>
    <w:rsid w:val="000F099D"/>
    <w:rsid w:val="000F1B28"/>
    <w:rsid w:val="00103D6C"/>
    <w:rsid w:val="00106523"/>
    <w:rsid w:val="00110446"/>
    <w:rsid w:val="00114683"/>
    <w:rsid w:val="00132B80"/>
    <w:rsid w:val="00133C48"/>
    <w:rsid w:val="0013653E"/>
    <w:rsid w:val="001521C3"/>
    <w:rsid w:val="0016076B"/>
    <w:rsid w:val="00170435"/>
    <w:rsid w:val="001719CA"/>
    <w:rsid w:val="001768DC"/>
    <w:rsid w:val="00182956"/>
    <w:rsid w:val="0019419B"/>
    <w:rsid w:val="001A25D3"/>
    <w:rsid w:val="001B44CE"/>
    <w:rsid w:val="001B58A1"/>
    <w:rsid w:val="001C16A2"/>
    <w:rsid w:val="001D06B5"/>
    <w:rsid w:val="001D08D8"/>
    <w:rsid w:val="001D36E3"/>
    <w:rsid w:val="001E0CCB"/>
    <w:rsid w:val="001E4B89"/>
    <w:rsid w:val="001E7320"/>
    <w:rsid w:val="001F5CC4"/>
    <w:rsid w:val="00201EFD"/>
    <w:rsid w:val="00202864"/>
    <w:rsid w:val="00213EED"/>
    <w:rsid w:val="00230569"/>
    <w:rsid w:val="0023263A"/>
    <w:rsid w:val="0023752B"/>
    <w:rsid w:val="0024255C"/>
    <w:rsid w:val="00246629"/>
    <w:rsid w:val="00272E7F"/>
    <w:rsid w:val="002816EE"/>
    <w:rsid w:val="002846BE"/>
    <w:rsid w:val="002A17BE"/>
    <w:rsid w:val="002A489F"/>
    <w:rsid w:val="002A4B06"/>
    <w:rsid w:val="002F2042"/>
    <w:rsid w:val="002F290F"/>
    <w:rsid w:val="0032228B"/>
    <w:rsid w:val="003232FD"/>
    <w:rsid w:val="003261FA"/>
    <w:rsid w:val="00327187"/>
    <w:rsid w:val="00336243"/>
    <w:rsid w:val="003370AD"/>
    <w:rsid w:val="003415B2"/>
    <w:rsid w:val="003574F4"/>
    <w:rsid w:val="00372A2C"/>
    <w:rsid w:val="00384BCE"/>
    <w:rsid w:val="00385C0C"/>
    <w:rsid w:val="003908D7"/>
    <w:rsid w:val="00391727"/>
    <w:rsid w:val="00391F88"/>
    <w:rsid w:val="003E608B"/>
    <w:rsid w:val="003F1DD4"/>
    <w:rsid w:val="00405813"/>
    <w:rsid w:val="00406EBE"/>
    <w:rsid w:val="00417716"/>
    <w:rsid w:val="00423907"/>
    <w:rsid w:val="0043088C"/>
    <w:rsid w:val="00463353"/>
    <w:rsid w:val="00470F7E"/>
    <w:rsid w:val="00473864"/>
    <w:rsid w:val="00492E69"/>
    <w:rsid w:val="004C3E2E"/>
    <w:rsid w:val="004D0F71"/>
    <w:rsid w:val="004F5665"/>
    <w:rsid w:val="0050190E"/>
    <w:rsid w:val="00504FF0"/>
    <w:rsid w:val="00510646"/>
    <w:rsid w:val="0051488F"/>
    <w:rsid w:val="00522F6B"/>
    <w:rsid w:val="00526052"/>
    <w:rsid w:val="00541098"/>
    <w:rsid w:val="00550867"/>
    <w:rsid w:val="00561F48"/>
    <w:rsid w:val="00570E0D"/>
    <w:rsid w:val="00573B89"/>
    <w:rsid w:val="00593BA4"/>
    <w:rsid w:val="0059504B"/>
    <w:rsid w:val="00595C49"/>
    <w:rsid w:val="005E0597"/>
    <w:rsid w:val="005E50EA"/>
    <w:rsid w:val="00606937"/>
    <w:rsid w:val="006120AB"/>
    <w:rsid w:val="00614171"/>
    <w:rsid w:val="006217AA"/>
    <w:rsid w:val="00625C32"/>
    <w:rsid w:val="00630042"/>
    <w:rsid w:val="006338E7"/>
    <w:rsid w:val="006409BF"/>
    <w:rsid w:val="00642100"/>
    <w:rsid w:val="00642806"/>
    <w:rsid w:val="00654708"/>
    <w:rsid w:val="00657919"/>
    <w:rsid w:val="00661BF3"/>
    <w:rsid w:val="00681497"/>
    <w:rsid w:val="00683A61"/>
    <w:rsid w:val="00690A8E"/>
    <w:rsid w:val="006A59FD"/>
    <w:rsid w:val="006B1EB8"/>
    <w:rsid w:val="006E22A2"/>
    <w:rsid w:val="006F1E62"/>
    <w:rsid w:val="00723BA7"/>
    <w:rsid w:val="0074115F"/>
    <w:rsid w:val="007455DB"/>
    <w:rsid w:val="00761C83"/>
    <w:rsid w:val="00765351"/>
    <w:rsid w:val="00773E6F"/>
    <w:rsid w:val="007744AC"/>
    <w:rsid w:val="007816DC"/>
    <w:rsid w:val="00797F33"/>
    <w:rsid w:val="007A6A3E"/>
    <w:rsid w:val="007A6B75"/>
    <w:rsid w:val="007B6A9D"/>
    <w:rsid w:val="007D3700"/>
    <w:rsid w:val="007E036D"/>
    <w:rsid w:val="007E179D"/>
    <w:rsid w:val="007F62CD"/>
    <w:rsid w:val="00802C72"/>
    <w:rsid w:val="00803F0D"/>
    <w:rsid w:val="0080442B"/>
    <w:rsid w:val="00835021"/>
    <w:rsid w:val="00852C0D"/>
    <w:rsid w:val="008543AA"/>
    <w:rsid w:val="00854C48"/>
    <w:rsid w:val="008660D9"/>
    <w:rsid w:val="00873DD8"/>
    <w:rsid w:val="00884AB3"/>
    <w:rsid w:val="00893202"/>
    <w:rsid w:val="008B40CE"/>
    <w:rsid w:val="008B5DAE"/>
    <w:rsid w:val="0090376C"/>
    <w:rsid w:val="0090537E"/>
    <w:rsid w:val="00912247"/>
    <w:rsid w:val="00916A7E"/>
    <w:rsid w:val="00922A4A"/>
    <w:rsid w:val="00926A4C"/>
    <w:rsid w:val="00945454"/>
    <w:rsid w:val="00946BEE"/>
    <w:rsid w:val="00953320"/>
    <w:rsid w:val="00953986"/>
    <w:rsid w:val="00957298"/>
    <w:rsid w:val="0098499C"/>
    <w:rsid w:val="009A691A"/>
    <w:rsid w:val="009B06E6"/>
    <w:rsid w:val="009B7460"/>
    <w:rsid w:val="009C0F19"/>
    <w:rsid w:val="009D7AB1"/>
    <w:rsid w:val="009E3B9D"/>
    <w:rsid w:val="009E67BD"/>
    <w:rsid w:val="009F5617"/>
    <w:rsid w:val="00A12018"/>
    <w:rsid w:val="00A31AEF"/>
    <w:rsid w:val="00A44DF1"/>
    <w:rsid w:val="00A45690"/>
    <w:rsid w:val="00A524D2"/>
    <w:rsid w:val="00A54F1D"/>
    <w:rsid w:val="00A6192B"/>
    <w:rsid w:val="00A70299"/>
    <w:rsid w:val="00AA563E"/>
    <w:rsid w:val="00AB2409"/>
    <w:rsid w:val="00AB7B85"/>
    <w:rsid w:val="00AE2E02"/>
    <w:rsid w:val="00AE3D79"/>
    <w:rsid w:val="00B05B4B"/>
    <w:rsid w:val="00B36CFC"/>
    <w:rsid w:val="00B439DA"/>
    <w:rsid w:val="00B527C3"/>
    <w:rsid w:val="00B613F6"/>
    <w:rsid w:val="00B756C0"/>
    <w:rsid w:val="00B829B8"/>
    <w:rsid w:val="00BB22C6"/>
    <w:rsid w:val="00BD01EF"/>
    <w:rsid w:val="00BD1B8C"/>
    <w:rsid w:val="00BD34FF"/>
    <w:rsid w:val="00BF5AAF"/>
    <w:rsid w:val="00BF7C49"/>
    <w:rsid w:val="00C00AAD"/>
    <w:rsid w:val="00C03AFE"/>
    <w:rsid w:val="00C11E9D"/>
    <w:rsid w:val="00C14E36"/>
    <w:rsid w:val="00C31F77"/>
    <w:rsid w:val="00C51CB5"/>
    <w:rsid w:val="00C65032"/>
    <w:rsid w:val="00C80376"/>
    <w:rsid w:val="00C81ACD"/>
    <w:rsid w:val="00C81FA3"/>
    <w:rsid w:val="00C90608"/>
    <w:rsid w:val="00C93472"/>
    <w:rsid w:val="00CA7E39"/>
    <w:rsid w:val="00CB3906"/>
    <w:rsid w:val="00CB415B"/>
    <w:rsid w:val="00CC0AB5"/>
    <w:rsid w:val="00CD79E7"/>
    <w:rsid w:val="00CE402A"/>
    <w:rsid w:val="00CE7688"/>
    <w:rsid w:val="00CF79A4"/>
    <w:rsid w:val="00D007FF"/>
    <w:rsid w:val="00D1617C"/>
    <w:rsid w:val="00D24981"/>
    <w:rsid w:val="00D25876"/>
    <w:rsid w:val="00D30482"/>
    <w:rsid w:val="00D3219E"/>
    <w:rsid w:val="00D3341F"/>
    <w:rsid w:val="00D34A0D"/>
    <w:rsid w:val="00D4008B"/>
    <w:rsid w:val="00D536B4"/>
    <w:rsid w:val="00D56F58"/>
    <w:rsid w:val="00D56FB1"/>
    <w:rsid w:val="00D70A70"/>
    <w:rsid w:val="00D74A22"/>
    <w:rsid w:val="00D77FB1"/>
    <w:rsid w:val="00D851B3"/>
    <w:rsid w:val="00D94925"/>
    <w:rsid w:val="00D95667"/>
    <w:rsid w:val="00D96585"/>
    <w:rsid w:val="00DA3CFF"/>
    <w:rsid w:val="00DC5DBB"/>
    <w:rsid w:val="00DC61FC"/>
    <w:rsid w:val="00DD3165"/>
    <w:rsid w:val="00DE2D0C"/>
    <w:rsid w:val="00DE7710"/>
    <w:rsid w:val="00E00165"/>
    <w:rsid w:val="00E041CF"/>
    <w:rsid w:val="00E043AF"/>
    <w:rsid w:val="00E37CD5"/>
    <w:rsid w:val="00E469B0"/>
    <w:rsid w:val="00E80001"/>
    <w:rsid w:val="00E93EB0"/>
    <w:rsid w:val="00EB3876"/>
    <w:rsid w:val="00ED2A99"/>
    <w:rsid w:val="00EE7C64"/>
    <w:rsid w:val="00EE7D2B"/>
    <w:rsid w:val="00EF036D"/>
    <w:rsid w:val="00EF6075"/>
    <w:rsid w:val="00F47C55"/>
    <w:rsid w:val="00F61689"/>
    <w:rsid w:val="00F64F03"/>
    <w:rsid w:val="00F70277"/>
    <w:rsid w:val="00F740C5"/>
    <w:rsid w:val="00F770DE"/>
    <w:rsid w:val="00F915BA"/>
    <w:rsid w:val="00F934A2"/>
    <w:rsid w:val="00F9391F"/>
    <w:rsid w:val="00FB2EF2"/>
    <w:rsid w:val="00FB30EE"/>
    <w:rsid w:val="00FB62F3"/>
    <w:rsid w:val="00FB77AD"/>
    <w:rsid w:val="00FD3DCB"/>
    <w:rsid w:val="00FE067A"/>
    <w:rsid w:val="00FE4968"/>
    <w:rsid w:val="00FE7BC3"/>
    <w:rsid w:val="00FF3A95"/>
    <w:rsid w:val="00FF41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E456E3C"/>
  <w15:docId w15:val="{081965B1-799D-4B2D-A8B3-E48D723B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2816EE"/>
    <w:pPr>
      <w:keepNext/>
      <w:keepLines/>
      <w:pageBreakBefore/>
      <w:tabs>
        <w:tab w:val="num" w:pos="643"/>
      </w:tabs>
      <w:spacing w:after="600" w:line="560" w:lineRule="exact"/>
      <w:ind w:left="643" w:hanging="499"/>
      <w:outlineLvl w:val="0"/>
    </w:pPr>
    <w:rPr>
      <w:rFonts w:ascii="Times New Roman" w:eastAsia="Times New Roman" w:hAnsi="Times New Roman"/>
      <w:bCs/>
      <w:sz w:val="36"/>
      <w:szCs w:val="28"/>
      <w:lang w:val="en-GB"/>
    </w:rPr>
  </w:style>
  <w:style w:type="paragraph" w:styleId="Ttulo2">
    <w:name w:val="heading 2"/>
    <w:aliases w:val="h2"/>
    <w:basedOn w:val="Normal"/>
    <w:next w:val="Normal"/>
    <w:link w:val="Ttulo2Car"/>
    <w:uiPriority w:val="9"/>
    <w:qFormat/>
    <w:rsid w:val="002816EE"/>
    <w:pPr>
      <w:keepNext/>
      <w:keepLines/>
      <w:tabs>
        <w:tab w:val="num" w:pos="643"/>
      </w:tabs>
      <w:spacing w:before="360" w:after="240" w:line="320" w:lineRule="atLeast"/>
      <w:ind w:left="643" w:hanging="499"/>
      <w:jc w:val="both"/>
      <w:outlineLvl w:val="1"/>
    </w:pPr>
    <w:rPr>
      <w:rFonts w:ascii="Times New Roman" w:eastAsia="Times New Roman" w:hAnsi="Times New Roman"/>
      <w:b/>
      <w:bCs/>
      <w:sz w:val="24"/>
      <w:szCs w:val="26"/>
      <w:lang w:val="es-ES"/>
    </w:rPr>
  </w:style>
  <w:style w:type="paragraph" w:styleId="Ttulo3">
    <w:name w:val="heading 3"/>
    <w:aliases w:val="h3"/>
    <w:basedOn w:val="Normal"/>
    <w:next w:val="Normal"/>
    <w:link w:val="Ttulo3Car"/>
    <w:uiPriority w:val="9"/>
    <w:qFormat/>
    <w:rsid w:val="002816EE"/>
    <w:pPr>
      <w:keepNext/>
      <w:keepLines/>
      <w:tabs>
        <w:tab w:val="num" w:pos="643"/>
      </w:tabs>
      <w:spacing w:before="360" w:after="240" w:line="320" w:lineRule="atLeast"/>
      <w:ind w:left="643" w:hanging="499"/>
      <w:jc w:val="both"/>
      <w:outlineLvl w:val="2"/>
    </w:pPr>
    <w:rPr>
      <w:rFonts w:ascii="Times New Roman" w:eastAsia="Times New Roman" w:hAnsi="Times New Roman"/>
      <w:b/>
      <w:bCs/>
      <w:lang w:val="es-ES"/>
    </w:rPr>
  </w:style>
  <w:style w:type="paragraph" w:styleId="Ttulo4">
    <w:name w:val="heading 4"/>
    <w:basedOn w:val="Normal"/>
    <w:next w:val="Normal"/>
    <w:link w:val="Ttulo4Car"/>
    <w:uiPriority w:val="9"/>
    <w:qFormat/>
    <w:rsid w:val="002816EE"/>
    <w:pPr>
      <w:keepNext/>
      <w:keepLines/>
      <w:tabs>
        <w:tab w:val="num" w:pos="360"/>
      </w:tabs>
      <w:spacing w:before="360" w:after="240" w:line="320" w:lineRule="atLeast"/>
      <w:ind w:left="360" w:hanging="360"/>
      <w:jc w:val="both"/>
      <w:outlineLvl w:val="3"/>
    </w:pPr>
    <w:rPr>
      <w:rFonts w:ascii="Times New Roman" w:eastAsia="Times New Roman" w:hAnsi="Times New Roman"/>
      <w:bCs/>
      <w:i/>
      <w:i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99"/>
    <w:qFormat/>
    <w:rsid w:val="00642100"/>
    <w:pPr>
      <w:spacing w:after="0" w:line="240" w:lineRule="auto"/>
      <w:ind w:left="720"/>
      <w:contextualSpacing/>
    </w:pPr>
    <w:rPr>
      <w:rFonts w:eastAsia="MS PGothic"/>
      <w:sz w:val="24"/>
      <w:szCs w:val="24"/>
      <w:lang w:val="es-ES_tradnl" w:eastAsia="es-ES"/>
    </w:rPr>
  </w:style>
  <w:style w:type="table" w:styleId="Tablaconcuadrcula">
    <w:name w:val="Table Grid"/>
    <w:basedOn w:val="Tablanormal"/>
    <w:uiPriority w:val="59"/>
    <w:rsid w:val="006421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42100"/>
    <w:pPr>
      <w:spacing w:after="120"/>
    </w:pPr>
  </w:style>
  <w:style w:type="character" w:customStyle="1" w:styleId="TextoindependienteCar">
    <w:name w:val="Texto independiente Car"/>
    <w:basedOn w:val="Fuentedeprrafopredeter"/>
    <w:link w:val="Textoindependiente"/>
    <w:uiPriority w:val="99"/>
    <w:rsid w:val="00642100"/>
    <w:rPr>
      <w:sz w:val="22"/>
      <w:szCs w:val="22"/>
      <w:lang w:eastAsia="en-US"/>
    </w:rPr>
  </w:style>
  <w:style w:type="paragraph" w:customStyle="1" w:styleId="BlockText">
    <w:name w:val="Block_Text"/>
    <w:basedOn w:val="Normal"/>
    <w:rsid w:val="00642100"/>
    <w:pPr>
      <w:spacing w:after="0" w:line="240" w:lineRule="auto"/>
    </w:pPr>
    <w:rPr>
      <w:rFonts w:ascii="Times New Roman" w:eastAsia="Times New Roman" w:hAnsi="Times New Roman"/>
      <w:sz w:val="24"/>
      <w:szCs w:val="20"/>
    </w:rPr>
  </w:style>
  <w:style w:type="paragraph" w:styleId="Textodeglobo">
    <w:name w:val="Balloon Text"/>
    <w:basedOn w:val="Normal"/>
    <w:link w:val="TextodegloboCar"/>
    <w:uiPriority w:val="99"/>
    <w:semiHidden/>
    <w:unhideWhenUsed/>
    <w:rsid w:val="00D32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19E"/>
    <w:rPr>
      <w:rFonts w:ascii="Tahoma" w:hAnsi="Tahoma" w:cs="Tahoma"/>
      <w:sz w:val="16"/>
      <w:szCs w:val="16"/>
      <w:lang w:eastAsia="en-US"/>
    </w:rPr>
  </w:style>
  <w:style w:type="character" w:customStyle="1" w:styleId="Ttulo1Car">
    <w:name w:val="Título 1 Car"/>
    <w:aliases w:val="h1 Car"/>
    <w:basedOn w:val="Fuentedeprrafopredeter"/>
    <w:link w:val="Ttulo1"/>
    <w:uiPriority w:val="9"/>
    <w:rsid w:val="002816EE"/>
    <w:rPr>
      <w:rFonts w:ascii="Times New Roman" w:eastAsia="Times New Roman" w:hAnsi="Times New Roman"/>
      <w:bCs/>
      <w:sz w:val="36"/>
      <w:szCs w:val="28"/>
      <w:lang w:val="en-GB" w:eastAsia="en-US"/>
    </w:rPr>
  </w:style>
  <w:style w:type="character" w:customStyle="1" w:styleId="Ttulo2Car">
    <w:name w:val="Título 2 Car"/>
    <w:aliases w:val="h2 Car"/>
    <w:basedOn w:val="Fuentedeprrafopredeter"/>
    <w:link w:val="Ttulo2"/>
    <w:uiPriority w:val="9"/>
    <w:rsid w:val="002816EE"/>
    <w:rPr>
      <w:rFonts w:ascii="Times New Roman" w:eastAsia="Times New Roman" w:hAnsi="Times New Roman"/>
      <w:b/>
      <w:bCs/>
      <w:sz w:val="24"/>
      <w:szCs w:val="26"/>
      <w:lang w:val="es-ES" w:eastAsia="en-US"/>
    </w:rPr>
  </w:style>
  <w:style w:type="character" w:customStyle="1" w:styleId="Ttulo3Car">
    <w:name w:val="Título 3 Car"/>
    <w:aliases w:val="h3 Car"/>
    <w:basedOn w:val="Fuentedeprrafopredeter"/>
    <w:link w:val="Ttulo3"/>
    <w:uiPriority w:val="9"/>
    <w:rsid w:val="002816EE"/>
    <w:rPr>
      <w:rFonts w:ascii="Times New Roman" w:eastAsia="Times New Roman" w:hAnsi="Times New Roman"/>
      <w:b/>
      <w:bCs/>
      <w:sz w:val="22"/>
      <w:szCs w:val="22"/>
      <w:lang w:val="es-ES" w:eastAsia="en-US"/>
    </w:rPr>
  </w:style>
  <w:style w:type="character" w:customStyle="1" w:styleId="Ttulo4Car">
    <w:name w:val="Título 4 Car"/>
    <w:basedOn w:val="Fuentedeprrafopredeter"/>
    <w:link w:val="Ttulo4"/>
    <w:uiPriority w:val="9"/>
    <w:rsid w:val="002816EE"/>
    <w:rPr>
      <w:rFonts w:ascii="Times New Roman" w:eastAsia="Times New Roman" w:hAnsi="Times New Roman"/>
      <w:bCs/>
      <w:i/>
      <w:iCs/>
      <w:sz w:val="22"/>
      <w:szCs w:val="22"/>
      <w:lang w:val="es-ES" w:eastAsia="en-US"/>
    </w:rPr>
  </w:style>
  <w:style w:type="paragraph" w:styleId="Listaconvietas2">
    <w:name w:val="List Bullet 2"/>
    <w:basedOn w:val="Listaconvietas"/>
    <w:next w:val="Listaconvietas"/>
    <w:link w:val="Listaconvietas2Car"/>
    <w:uiPriority w:val="99"/>
    <w:rsid w:val="002816EE"/>
    <w:pPr>
      <w:keepLines/>
      <w:numPr>
        <w:numId w:val="8"/>
      </w:numPr>
      <w:tabs>
        <w:tab w:val="num" w:pos="643"/>
      </w:tabs>
      <w:ind w:left="714" w:hanging="357"/>
    </w:pPr>
  </w:style>
  <w:style w:type="character" w:customStyle="1" w:styleId="HeaderChar">
    <w:name w:val="Header Char"/>
    <w:basedOn w:val="Fuentedeprrafopredeter"/>
    <w:uiPriority w:val="99"/>
    <w:semiHidden/>
    <w:locked/>
    <w:rsid w:val="002816EE"/>
    <w:rPr>
      <w:rFonts w:ascii="Arial" w:hAnsi="Arial" w:cs="Times New Roman"/>
      <w:sz w:val="16"/>
    </w:rPr>
  </w:style>
  <w:style w:type="paragraph" w:customStyle="1" w:styleId="Border">
    <w:name w:val="Border"/>
    <w:next w:val="Descripcin"/>
    <w:qFormat/>
    <w:rsid w:val="002816EE"/>
    <w:pPr>
      <w:keepNext/>
      <w:pBdr>
        <w:bottom w:val="single" w:sz="6" w:space="1" w:color="auto"/>
      </w:pBdr>
      <w:spacing w:line="320" w:lineRule="atLeast"/>
      <w:jc w:val="center"/>
    </w:pPr>
    <w:rPr>
      <w:rFonts w:ascii="Times New Roman" w:hAnsi="Times New Roman"/>
      <w:sz w:val="22"/>
      <w:szCs w:val="22"/>
      <w:lang w:val="en-GB" w:eastAsia="en-US"/>
    </w:rPr>
  </w:style>
  <w:style w:type="paragraph" w:styleId="Descripcin">
    <w:name w:val="caption"/>
    <w:aliases w:val="Resp caption"/>
    <w:basedOn w:val="Normal"/>
    <w:next w:val="Normal"/>
    <w:uiPriority w:val="35"/>
    <w:qFormat/>
    <w:rsid w:val="002816EE"/>
    <w:pPr>
      <w:tabs>
        <w:tab w:val="left" w:pos="2041"/>
      </w:tabs>
      <w:spacing w:before="120" w:after="600" w:line="200" w:lineRule="atLeast"/>
      <w:ind w:left="1531" w:hanging="1531"/>
    </w:pPr>
    <w:rPr>
      <w:rFonts w:ascii="Arial" w:hAnsi="Arial"/>
      <w:bCs/>
      <w:i/>
      <w:sz w:val="18"/>
      <w:szCs w:val="18"/>
      <w:lang w:val="en-GB"/>
    </w:rPr>
  </w:style>
  <w:style w:type="paragraph" w:customStyle="1" w:styleId="Captionsmall">
    <w:name w:val="Caption: small"/>
    <w:basedOn w:val="Descripcin"/>
    <w:next w:val="Normal"/>
    <w:qFormat/>
    <w:rsid w:val="002816EE"/>
    <w:pPr>
      <w:spacing w:before="0" w:after="0"/>
      <w:ind w:left="113" w:firstLine="0"/>
    </w:pPr>
  </w:style>
  <w:style w:type="paragraph" w:customStyle="1" w:styleId="Bordersmall">
    <w:name w:val="Border: small"/>
    <w:basedOn w:val="Border"/>
    <w:qFormat/>
    <w:rsid w:val="002816EE"/>
    <w:pPr>
      <w:pBdr>
        <w:bottom w:val="none" w:sz="0" w:space="0" w:color="auto"/>
      </w:pBdr>
      <w:spacing w:before="120" w:after="120"/>
    </w:pPr>
  </w:style>
  <w:style w:type="paragraph" w:customStyle="1" w:styleId="Emphasised">
    <w:name w:val="Emphasised"/>
    <w:basedOn w:val="Normal"/>
    <w:uiPriority w:val="99"/>
    <w:rsid w:val="002816EE"/>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Listaconvietas2Car">
    <w:name w:val="Lista con viñetas 2 Car"/>
    <w:basedOn w:val="Fuentedeprrafopredeter"/>
    <w:link w:val="Listaconvietas2"/>
    <w:uiPriority w:val="99"/>
    <w:locked/>
    <w:rsid w:val="002816EE"/>
    <w:rPr>
      <w:rFonts w:ascii="Times New Roman" w:hAnsi="Times New Roman"/>
      <w:sz w:val="22"/>
      <w:szCs w:val="22"/>
      <w:lang w:val="es-ES" w:eastAsia="en-US"/>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Footnote Text3,ALTS FOOTNOTE"/>
    <w:basedOn w:val="Normal"/>
    <w:link w:val="TextonotapieCar"/>
    <w:uiPriority w:val="99"/>
    <w:rsid w:val="002816EE"/>
    <w:pPr>
      <w:spacing w:after="100" w:line="240" w:lineRule="auto"/>
      <w:ind w:left="499" w:hanging="499"/>
      <w:jc w:val="both"/>
    </w:pPr>
    <w:rPr>
      <w:rFonts w:ascii="Arial" w:hAnsi="Arial"/>
      <w:sz w:val="16"/>
      <w:szCs w:val="20"/>
      <w:lang w:val="en-GB"/>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
    <w:basedOn w:val="Fuentedeprrafopredeter"/>
    <w:link w:val="Textonotapie"/>
    <w:uiPriority w:val="99"/>
    <w:rsid w:val="002816EE"/>
    <w:rPr>
      <w:rFonts w:ascii="Arial" w:hAnsi="Arial"/>
      <w:sz w:val="16"/>
      <w:lang w:val="en-GB" w:eastAsia="en-US"/>
    </w:rPr>
  </w:style>
  <w:style w:type="character" w:customStyle="1" w:styleId="FooterChar">
    <w:name w:val="Footer Char"/>
    <w:basedOn w:val="Fuentedeprrafopredeter"/>
    <w:uiPriority w:val="99"/>
    <w:rsid w:val="002816EE"/>
    <w:rPr>
      <w:rFonts w:ascii="Arial" w:hAnsi="Arial" w:cs="Times New Roman"/>
      <w:sz w:val="16"/>
    </w:rPr>
  </w:style>
  <w:style w:type="character" w:styleId="Hipervnculo">
    <w:name w:val="Hyperlink"/>
    <w:basedOn w:val="Fuentedeprrafopredeter"/>
    <w:uiPriority w:val="99"/>
    <w:rsid w:val="002816EE"/>
    <w:rPr>
      <w:rFonts w:cs="Times New Roman"/>
      <w:color w:val="auto"/>
      <w:u w:val="none"/>
    </w:rPr>
  </w:style>
  <w:style w:type="character" w:styleId="Hipervnculovisitado">
    <w:name w:val="FollowedHyperlink"/>
    <w:basedOn w:val="Fuentedeprrafopredeter"/>
    <w:uiPriority w:val="99"/>
    <w:semiHidden/>
    <w:rsid w:val="002816EE"/>
    <w:rPr>
      <w:rFonts w:cs="Times New Roman"/>
      <w:color w:val="800080"/>
      <w:u w:val="single"/>
    </w:rPr>
  </w:style>
  <w:style w:type="paragraph" w:styleId="Listaconvietas">
    <w:name w:val="List Bullet"/>
    <w:basedOn w:val="Normal"/>
    <w:uiPriority w:val="99"/>
    <w:qFormat/>
    <w:rsid w:val="002816EE"/>
    <w:pPr>
      <w:numPr>
        <w:numId w:val="6"/>
      </w:numPr>
      <w:tabs>
        <w:tab w:val="clear" w:pos="360"/>
        <w:tab w:val="num" w:pos="643"/>
      </w:tabs>
      <w:spacing w:after="240" w:line="320" w:lineRule="atLeast"/>
      <w:ind w:left="357" w:hanging="357"/>
      <w:jc w:val="both"/>
    </w:pPr>
    <w:rPr>
      <w:rFonts w:ascii="Times New Roman" w:hAnsi="Times New Roman"/>
      <w:lang w:val="es-ES"/>
    </w:rPr>
  </w:style>
  <w:style w:type="paragraph" w:customStyle="1" w:styleId="ListBulletCompact">
    <w:name w:val="List Bullet Compact"/>
    <w:basedOn w:val="Listaconvietas"/>
    <w:qFormat/>
    <w:rsid w:val="002816EE"/>
    <w:pPr>
      <w:spacing w:after="0"/>
    </w:pPr>
  </w:style>
  <w:style w:type="paragraph" w:customStyle="1" w:styleId="ListBullet2Compact">
    <w:name w:val="List Bullet 2 Compact"/>
    <w:basedOn w:val="Listaconvietas2"/>
    <w:uiPriority w:val="99"/>
    <w:rsid w:val="002816EE"/>
    <w:pPr>
      <w:spacing w:after="0"/>
    </w:pPr>
  </w:style>
  <w:style w:type="paragraph" w:styleId="Listaconnmeros">
    <w:name w:val="List Number"/>
    <w:basedOn w:val="Normal"/>
    <w:uiPriority w:val="99"/>
    <w:semiHidden/>
    <w:rsid w:val="002816EE"/>
    <w:pPr>
      <w:numPr>
        <w:numId w:val="5"/>
      </w:numPr>
      <w:spacing w:after="240" w:line="320" w:lineRule="atLeast"/>
      <w:contextualSpacing/>
      <w:jc w:val="both"/>
    </w:pPr>
    <w:rPr>
      <w:rFonts w:ascii="Times New Roman" w:hAnsi="Times New Roman"/>
      <w:lang w:val="es-ES"/>
    </w:rPr>
  </w:style>
  <w:style w:type="paragraph" w:customStyle="1" w:styleId="Annex1">
    <w:name w:val="Annex 1"/>
    <w:next w:val="Normal"/>
    <w:uiPriority w:val="99"/>
    <w:rsid w:val="002816EE"/>
    <w:pPr>
      <w:keepNext/>
      <w:pageBreakBefore/>
      <w:numPr>
        <w:numId w:val="9"/>
      </w:numPr>
      <w:spacing w:after="600" w:line="560" w:lineRule="exact"/>
      <w:outlineLvl w:val="0"/>
    </w:pPr>
    <w:rPr>
      <w:rFonts w:ascii="Times New Roman" w:hAnsi="Times New Roman"/>
      <w:sz w:val="36"/>
      <w:szCs w:val="22"/>
      <w:lang w:val="en-GB" w:eastAsia="en-US"/>
    </w:rPr>
  </w:style>
  <w:style w:type="paragraph" w:styleId="Sangradetextonormal">
    <w:name w:val="Body Text Indent"/>
    <w:basedOn w:val="Normal"/>
    <w:link w:val="SangradetextonormalCar"/>
    <w:uiPriority w:val="99"/>
    <w:semiHidden/>
    <w:rsid w:val="002816EE"/>
    <w:pPr>
      <w:spacing w:after="120" w:line="320" w:lineRule="atLeast"/>
      <w:ind w:left="283"/>
      <w:jc w:val="both"/>
    </w:pPr>
    <w:rPr>
      <w:rFonts w:ascii="Times New Roman" w:hAnsi="Times New Roman"/>
      <w:lang w:val="es-ES"/>
    </w:rPr>
  </w:style>
  <w:style w:type="character" w:customStyle="1" w:styleId="SangradetextonormalCar">
    <w:name w:val="Sangría de texto normal Car"/>
    <w:basedOn w:val="Fuentedeprrafopredeter"/>
    <w:link w:val="Sangradetextonormal"/>
    <w:uiPriority w:val="99"/>
    <w:semiHidden/>
    <w:rsid w:val="002816EE"/>
    <w:rPr>
      <w:rFonts w:ascii="Times New Roman" w:hAnsi="Times New Roman"/>
      <w:sz w:val="22"/>
      <w:szCs w:val="22"/>
      <w:lang w:val="es-ES" w:eastAsia="en-US"/>
    </w:rPr>
  </w:style>
  <w:style w:type="character" w:styleId="Refdenotaalpie">
    <w:name w:val="footnote reference"/>
    <w:aliases w:val="(NECG) Footnote Reference,o,fr,Style 3,Appel note de bas de p,Style 12,Style 124"/>
    <w:basedOn w:val="Fuentedeprrafopredeter"/>
    <w:uiPriority w:val="99"/>
    <w:rsid w:val="002816EE"/>
    <w:rPr>
      <w:rFonts w:ascii="Arial" w:hAnsi="Arial" w:cs="Times New Roman"/>
      <w:sz w:val="20"/>
      <w:vertAlign w:val="superscript"/>
    </w:rPr>
  </w:style>
  <w:style w:type="character" w:styleId="Nmerodepgina">
    <w:name w:val="page number"/>
    <w:basedOn w:val="Fuentedeprrafopredeter"/>
    <w:uiPriority w:val="99"/>
    <w:rsid w:val="002816EE"/>
    <w:rPr>
      <w:rFonts w:cs="Times New Roman"/>
    </w:rPr>
  </w:style>
  <w:style w:type="paragraph" w:customStyle="1" w:styleId="I1">
    <w:name w:val="I1"/>
    <w:basedOn w:val="Listaconvietas"/>
    <w:link w:val="I1Char1"/>
    <w:uiPriority w:val="99"/>
    <w:rsid w:val="002816EE"/>
    <w:rPr>
      <w:rFonts w:ascii="Calibri" w:hAnsi="Calibri"/>
      <w:szCs w:val="20"/>
    </w:rPr>
  </w:style>
  <w:style w:type="paragraph" w:customStyle="1" w:styleId="II">
    <w:name w:val="II"/>
    <w:basedOn w:val="Listaconvietas2"/>
    <w:link w:val="IIChar"/>
    <w:uiPriority w:val="99"/>
    <w:rsid w:val="002816EE"/>
  </w:style>
  <w:style w:type="character" w:customStyle="1" w:styleId="IIChar">
    <w:name w:val="II Char"/>
    <w:basedOn w:val="Listaconvietas2Car"/>
    <w:link w:val="II"/>
    <w:uiPriority w:val="99"/>
    <w:locked/>
    <w:rsid w:val="002816EE"/>
    <w:rPr>
      <w:rFonts w:ascii="Times New Roman" w:hAnsi="Times New Roman"/>
      <w:sz w:val="22"/>
      <w:szCs w:val="22"/>
      <w:lang w:val="es-ES" w:eastAsia="en-US"/>
    </w:rPr>
  </w:style>
  <w:style w:type="paragraph" w:customStyle="1" w:styleId="LL">
    <w:name w:val="LL"/>
    <w:basedOn w:val="ListBullet2Compact"/>
    <w:uiPriority w:val="99"/>
    <w:rsid w:val="002816EE"/>
  </w:style>
  <w:style w:type="paragraph" w:customStyle="1" w:styleId="SBSheader">
    <w:name w:val="SBS: header"/>
    <w:basedOn w:val="Normal"/>
    <w:uiPriority w:val="99"/>
    <w:rsid w:val="002816EE"/>
    <w:pPr>
      <w:spacing w:after="240" w:line="320" w:lineRule="atLeast"/>
    </w:pPr>
    <w:rPr>
      <w:rFonts w:ascii="Times New Roman" w:hAnsi="Times New Roman"/>
      <w:i/>
      <w:lang w:val="es-ES"/>
    </w:rPr>
  </w:style>
  <w:style w:type="paragraph" w:customStyle="1" w:styleId="Tablecells">
    <w:name w:val="Table: cells"/>
    <w:uiPriority w:val="99"/>
    <w:rsid w:val="002816EE"/>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uiPriority w:val="99"/>
    <w:rsid w:val="002816EE"/>
    <w:pPr>
      <w:keepNext/>
    </w:pPr>
    <w:rPr>
      <w:i/>
    </w:rPr>
  </w:style>
  <w:style w:type="paragraph" w:customStyle="1" w:styleId="Tablenote">
    <w:name w:val="Table: note"/>
    <w:basedOn w:val="Tablecells"/>
    <w:uiPriority w:val="99"/>
    <w:rsid w:val="002816EE"/>
    <w:pPr>
      <w:pBdr>
        <w:bottom w:val="single" w:sz="4" w:space="9" w:color="auto"/>
      </w:pBdr>
      <w:spacing w:before="100" w:after="0"/>
      <w:ind w:left="357" w:right="0" w:hanging="357"/>
    </w:pPr>
  </w:style>
  <w:style w:type="paragraph" w:customStyle="1" w:styleId="Tablebullet">
    <w:name w:val="Table: bullet"/>
    <w:basedOn w:val="Tablecells"/>
    <w:uiPriority w:val="99"/>
    <w:rsid w:val="002816EE"/>
    <w:pPr>
      <w:numPr>
        <w:numId w:val="11"/>
      </w:numPr>
      <w:ind w:left="227" w:hanging="227"/>
    </w:pPr>
  </w:style>
  <w:style w:type="paragraph" w:styleId="TDC2">
    <w:name w:val="toc 2"/>
    <w:basedOn w:val="TDC1"/>
    <w:next w:val="Normal"/>
    <w:autoRedefine/>
    <w:uiPriority w:val="39"/>
    <w:rsid w:val="002816EE"/>
    <w:pPr>
      <w:keepNext w:val="0"/>
      <w:spacing w:before="0"/>
    </w:pPr>
    <w:rPr>
      <w:b w:val="0"/>
      <w:noProof/>
    </w:rPr>
  </w:style>
  <w:style w:type="paragraph" w:styleId="Textocomentario">
    <w:name w:val="annotation text"/>
    <w:basedOn w:val="Normal"/>
    <w:link w:val="TextocomentarioCar"/>
    <w:uiPriority w:val="99"/>
    <w:semiHidden/>
    <w:rsid w:val="002816EE"/>
    <w:pPr>
      <w:spacing w:after="240" w:line="240" w:lineRule="auto"/>
      <w:jc w:val="both"/>
    </w:pPr>
    <w:rPr>
      <w:rFonts w:ascii="Times New Roman" w:hAnsi="Times New Roman"/>
      <w:sz w:val="20"/>
      <w:szCs w:val="20"/>
      <w:lang w:val="es-ES"/>
    </w:rPr>
  </w:style>
  <w:style w:type="character" w:customStyle="1" w:styleId="TextocomentarioCar">
    <w:name w:val="Texto comentario Car"/>
    <w:basedOn w:val="Fuentedeprrafopredeter"/>
    <w:link w:val="Textocomentario"/>
    <w:uiPriority w:val="99"/>
    <w:semiHidden/>
    <w:rsid w:val="002816EE"/>
    <w:rPr>
      <w:rFonts w:ascii="Times New Roman" w:hAnsi="Times New Roman"/>
      <w:lang w:val="es-ES" w:eastAsia="en-US"/>
    </w:rPr>
  </w:style>
  <w:style w:type="character" w:customStyle="1" w:styleId="ConfidentialFooter">
    <w:name w:val="ConfidentialFooter"/>
    <w:basedOn w:val="Fuentedeprrafopredeter"/>
    <w:uiPriority w:val="99"/>
    <w:rsid w:val="002816EE"/>
    <w:rPr>
      <w:rFonts w:cs="Times New Roman"/>
      <w:color w:val="FFFFFF"/>
      <w:sz w:val="2"/>
    </w:rPr>
  </w:style>
  <w:style w:type="paragraph" w:customStyle="1" w:styleId="ConfidentialFront">
    <w:name w:val="ConfidentialFront"/>
    <w:basedOn w:val="Normal"/>
    <w:uiPriority w:val="99"/>
    <w:rsid w:val="002816EE"/>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uiPriority w:val="99"/>
    <w:rsid w:val="002816EE"/>
    <w:pPr>
      <w:keepNext/>
      <w:numPr>
        <w:numId w:val="13"/>
      </w:numPr>
      <w:spacing w:line="320" w:lineRule="atLeast"/>
      <w:ind w:left="357" w:hanging="357"/>
      <w:jc w:val="both"/>
    </w:pPr>
    <w:rPr>
      <w:rFonts w:ascii="Times New Roman" w:hAnsi="Times New Roman"/>
      <w:i/>
      <w:lang w:val="es-ES"/>
    </w:rPr>
  </w:style>
  <w:style w:type="character" w:customStyle="1" w:styleId="H5Char">
    <w:name w:val="H5 Char"/>
    <w:basedOn w:val="Fuentedeprrafopredeter"/>
    <w:link w:val="H5"/>
    <w:uiPriority w:val="99"/>
    <w:locked/>
    <w:rsid w:val="002816EE"/>
    <w:rPr>
      <w:rFonts w:ascii="Times New Roman" w:hAnsi="Times New Roman"/>
      <w:i/>
      <w:sz w:val="22"/>
      <w:szCs w:val="22"/>
      <w:lang w:val="es-ES" w:eastAsia="en-US"/>
    </w:rPr>
  </w:style>
  <w:style w:type="paragraph" w:styleId="TDC1">
    <w:name w:val="toc 1"/>
    <w:basedOn w:val="Normal"/>
    <w:next w:val="Normal"/>
    <w:autoRedefine/>
    <w:uiPriority w:val="39"/>
    <w:rsid w:val="002816EE"/>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99"/>
    <w:rsid w:val="002816EE"/>
    <w:rPr>
      <w:sz w:val="20"/>
    </w:rPr>
  </w:style>
  <w:style w:type="paragraph" w:styleId="TDC4">
    <w:name w:val="toc 4"/>
    <w:basedOn w:val="TDC3"/>
    <w:next w:val="Normal"/>
    <w:autoRedefine/>
    <w:uiPriority w:val="99"/>
    <w:rsid w:val="002816EE"/>
  </w:style>
  <w:style w:type="paragraph" w:customStyle="1" w:styleId="Annex2">
    <w:name w:val="Annex 2"/>
    <w:next w:val="Normal"/>
    <w:uiPriority w:val="99"/>
    <w:rsid w:val="002816EE"/>
    <w:pPr>
      <w:keepNext/>
      <w:numPr>
        <w:ilvl w:val="1"/>
        <w:numId w:val="9"/>
      </w:numPr>
      <w:spacing w:before="360" w:after="200" w:line="320" w:lineRule="atLeast"/>
    </w:pPr>
    <w:rPr>
      <w:rFonts w:ascii="Times New Roman" w:hAnsi="Times New Roman"/>
      <w:b/>
      <w:sz w:val="24"/>
      <w:szCs w:val="22"/>
      <w:lang w:val="en-GB" w:eastAsia="en-US"/>
    </w:rPr>
  </w:style>
  <w:style w:type="paragraph" w:customStyle="1" w:styleId="Annex3">
    <w:name w:val="Annex 3"/>
    <w:next w:val="Normal"/>
    <w:uiPriority w:val="99"/>
    <w:rsid w:val="002816EE"/>
    <w:pPr>
      <w:keepNext/>
      <w:numPr>
        <w:ilvl w:val="2"/>
        <w:numId w:val="9"/>
      </w:numPr>
      <w:spacing w:before="360" w:after="240" w:line="320" w:lineRule="atLeast"/>
    </w:pPr>
    <w:rPr>
      <w:rFonts w:ascii="Times New Roman" w:hAnsi="Times New Roman"/>
      <w:b/>
      <w:sz w:val="22"/>
      <w:szCs w:val="22"/>
      <w:lang w:val="en-GB" w:eastAsia="en-US"/>
    </w:rPr>
  </w:style>
  <w:style w:type="paragraph" w:customStyle="1" w:styleId="Annex4">
    <w:name w:val="Annex 4"/>
    <w:next w:val="Normal"/>
    <w:uiPriority w:val="99"/>
    <w:rsid w:val="002816EE"/>
    <w:pPr>
      <w:keepNext/>
      <w:numPr>
        <w:ilvl w:val="3"/>
        <w:numId w:val="9"/>
      </w:numPr>
      <w:spacing w:before="360" w:after="240" w:line="320" w:lineRule="atLeast"/>
    </w:pPr>
    <w:rPr>
      <w:rFonts w:ascii="Times New Roman" w:hAnsi="Times New Roman"/>
      <w:i/>
      <w:sz w:val="22"/>
      <w:szCs w:val="22"/>
      <w:lang w:val="en-GB" w:eastAsia="en-US"/>
    </w:rPr>
  </w:style>
  <w:style w:type="paragraph" w:customStyle="1" w:styleId="cvcont">
    <w:name w:val="cvcont"/>
    <w:basedOn w:val="Normal"/>
    <w:next w:val="Normal"/>
    <w:uiPriority w:val="99"/>
    <w:rsid w:val="002816EE"/>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uiPriority w:val="99"/>
    <w:rsid w:val="002816EE"/>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uiPriority w:val="99"/>
    <w:rsid w:val="002816EE"/>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uiPriority w:val="99"/>
    <w:rsid w:val="002816EE"/>
    <w:pPr>
      <w:spacing w:before="0" w:after="40" w:line="280" w:lineRule="exact"/>
      <w:ind w:right="-340"/>
    </w:pPr>
    <w:rPr>
      <w:b w:val="0"/>
      <w:sz w:val="19"/>
      <w:szCs w:val="19"/>
      <w:lang w:val="en-GB"/>
    </w:rPr>
  </w:style>
  <w:style w:type="paragraph" w:customStyle="1" w:styleId="Titledate">
    <w:name w:val="Title: date"/>
    <w:basedOn w:val="Titlemain"/>
    <w:next w:val="TitleRefNo"/>
    <w:uiPriority w:val="99"/>
    <w:rsid w:val="002816EE"/>
    <w:pPr>
      <w:spacing w:after="160"/>
    </w:pPr>
    <w:rPr>
      <w:i/>
      <w:color w:val="003352"/>
      <w:sz w:val="24"/>
      <w:szCs w:val="24"/>
    </w:rPr>
  </w:style>
  <w:style w:type="paragraph" w:customStyle="1" w:styleId="TitleRefNo">
    <w:name w:val="Title: RefNo"/>
    <w:basedOn w:val="Titledate"/>
    <w:next w:val="Normal"/>
    <w:uiPriority w:val="99"/>
    <w:rsid w:val="002816EE"/>
    <w:rPr>
      <w:i w:val="0"/>
      <w:sz w:val="22"/>
    </w:rPr>
  </w:style>
  <w:style w:type="paragraph" w:customStyle="1" w:styleId="B1">
    <w:name w:val="B1"/>
    <w:basedOn w:val="Emphasised"/>
    <w:uiPriority w:val="99"/>
    <w:rsid w:val="002816EE"/>
  </w:style>
  <w:style w:type="paragraph" w:customStyle="1" w:styleId="Contentsheading">
    <w:name w:val="Contents: heading"/>
    <w:basedOn w:val="Normal"/>
    <w:next w:val="TDC1"/>
    <w:uiPriority w:val="99"/>
    <w:rsid w:val="002816EE"/>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uiPriority w:val="99"/>
    <w:rsid w:val="002816EE"/>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uiPriority w:val="99"/>
    <w:rsid w:val="002816EE"/>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uiPriority w:val="99"/>
    <w:rsid w:val="002816EE"/>
    <w:pPr>
      <w:keepNext/>
      <w:spacing w:before="240" w:after="240" w:line="320" w:lineRule="atLeast"/>
      <w:ind w:left="-499"/>
      <w:jc w:val="both"/>
    </w:pPr>
    <w:rPr>
      <w:rFonts w:ascii="Times New Roman" w:hAnsi="Times New Roman"/>
      <w:b/>
      <w:lang w:val="es-ES"/>
    </w:rPr>
  </w:style>
  <w:style w:type="paragraph" w:customStyle="1" w:styleId="01">
    <w:name w:val="01"/>
    <w:basedOn w:val="Normal"/>
    <w:uiPriority w:val="99"/>
    <w:rsid w:val="002816EE"/>
    <w:pPr>
      <w:spacing w:after="0" w:line="320" w:lineRule="atLeast"/>
      <w:jc w:val="both"/>
    </w:pPr>
    <w:rPr>
      <w:rFonts w:ascii="Times New Roman" w:hAnsi="Times New Roman"/>
      <w:lang w:val="es-ES"/>
    </w:rPr>
  </w:style>
  <w:style w:type="paragraph" w:customStyle="1" w:styleId="Titleaddress">
    <w:name w:val="Title: address"/>
    <w:basedOn w:val="01"/>
    <w:uiPriority w:val="99"/>
    <w:rsid w:val="002816EE"/>
    <w:pPr>
      <w:ind w:left="567"/>
    </w:pPr>
  </w:style>
  <w:style w:type="paragraph" w:customStyle="1" w:styleId="L1">
    <w:name w:val="L1"/>
    <w:basedOn w:val="ListBulletCompact"/>
    <w:link w:val="L1Char"/>
    <w:uiPriority w:val="99"/>
    <w:rsid w:val="002816EE"/>
    <w:rPr>
      <w:rFonts w:ascii="Calibri" w:hAnsi="Calibri"/>
      <w:szCs w:val="20"/>
    </w:rPr>
  </w:style>
  <w:style w:type="paragraph" w:customStyle="1" w:styleId="Titleversion">
    <w:name w:val="Title: version"/>
    <w:basedOn w:val="Normal"/>
    <w:uiPriority w:val="99"/>
    <w:rsid w:val="002816EE"/>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uiPriority w:val="99"/>
    <w:rsid w:val="002816E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converted-space">
    <w:name w:val="apple-converted-space"/>
    <w:basedOn w:val="Fuentedeprrafopredeter"/>
    <w:uiPriority w:val="99"/>
    <w:rsid w:val="002816EE"/>
    <w:rPr>
      <w:rFonts w:cs="Times New Roman"/>
    </w:rPr>
  </w:style>
  <w:style w:type="character" w:customStyle="1" w:styleId="apple-style-span">
    <w:name w:val="apple-style-span"/>
    <w:uiPriority w:val="99"/>
    <w:rsid w:val="002816EE"/>
  </w:style>
  <w:style w:type="paragraph" w:customStyle="1" w:styleId="Prrafodelista1">
    <w:name w:val="Párrafo de lista1"/>
    <w:basedOn w:val="Normal"/>
    <w:uiPriority w:val="99"/>
    <w:rsid w:val="002816EE"/>
    <w:pPr>
      <w:spacing w:after="0" w:line="240" w:lineRule="auto"/>
      <w:ind w:left="720"/>
      <w:contextualSpacing/>
    </w:pPr>
    <w:rPr>
      <w:rFonts w:ascii="Times New Roman" w:hAnsi="Times New Roman"/>
      <w:sz w:val="24"/>
      <w:szCs w:val="24"/>
      <w:lang w:val="es-ES" w:eastAsia="es-ES"/>
    </w:rPr>
  </w:style>
  <w:style w:type="character" w:customStyle="1" w:styleId="I1Char1">
    <w:name w:val="I1 Char1"/>
    <w:link w:val="I1"/>
    <w:uiPriority w:val="99"/>
    <w:locked/>
    <w:rsid w:val="002816EE"/>
    <w:rPr>
      <w:sz w:val="22"/>
      <w:lang w:val="es-ES" w:eastAsia="en-US"/>
    </w:rPr>
  </w:style>
  <w:style w:type="character" w:customStyle="1" w:styleId="FootnoteTextCharCharCharCar">
    <w:name w:val="Footnote Text Char Char Char Car"/>
    <w:aliases w:val="Footnote Text Char Char Char Char Char Char Char Car,Footnote Text Char Char Char Char Char Char Char Char Char Car,Footnote Text Char Char Char Char Char Car,Footnote Text2 Char Char Car,ALTS FOOTNOTE Car Car"/>
    <w:uiPriority w:val="99"/>
    <w:rsid w:val="002816EE"/>
    <w:rPr>
      <w:rFonts w:ascii="Times New Roman" w:hAnsi="Times New Roman"/>
      <w:sz w:val="20"/>
      <w:lang w:val="es-ES" w:eastAsia="es-ES"/>
    </w:rPr>
  </w:style>
  <w:style w:type="character" w:customStyle="1" w:styleId="L1Char">
    <w:name w:val="L1 Char"/>
    <w:link w:val="L1"/>
    <w:uiPriority w:val="99"/>
    <w:locked/>
    <w:rsid w:val="002816EE"/>
    <w:rPr>
      <w:sz w:val="22"/>
      <w:lang w:val="es-ES" w:eastAsia="en-US"/>
    </w:rPr>
  </w:style>
  <w:style w:type="numbering" w:styleId="1ai">
    <w:name w:val="Outline List 1"/>
    <w:basedOn w:val="Sinlista"/>
    <w:uiPriority w:val="99"/>
    <w:semiHidden/>
    <w:unhideWhenUsed/>
    <w:rsid w:val="002816EE"/>
    <w:pPr>
      <w:numPr>
        <w:numId w:val="10"/>
      </w:numPr>
    </w:pPr>
  </w:style>
  <w:style w:type="paragraph" w:styleId="Textonotaalfinal">
    <w:name w:val="endnote text"/>
    <w:basedOn w:val="Normal"/>
    <w:link w:val="TextonotaalfinalCar"/>
    <w:uiPriority w:val="99"/>
    <w:semiHidden/>
    <w:unhideWhenUsed/>
    <w:rsid w:val="002816EE"/>
    <w:pPr>
      <w:spacing w:after="0" w:line="240" w:lineRule="auto"/>
      <w:jc w:val="both"/>
    </w:pPr>
    <w:rPr>
      <w:rFonts w:ascii="Times New Roman" w:hAnsi="Times New Roman"/>
      <w:sz w:val="20"/>
      <w:szCs w:val="20"/>
      <w:lang w:val="es-ES"/>
    </w:rPr>
  </w:style>
  <w:style w:type="character" w:customStyle="1" w:styleId="TextonotaalfinalCar">
    <w:name w:val="Texto nota al final Car"/>
    <w:basedOn w:val="Fuentedeprrafopredeter"/>
    <w:link w:val="Textonotaalfinal"/>
    <w:uiPriority w:val="99"/>
    <w:semiHidden/>
    <w:rsid w:val="002816EE"/>
    <w:rPr>
      <w:rFonts w:ascii="Times New Roman" w:hAnsi="Times New Roman"/>
      <w:lang w:val="es-ES" w:eastAsia="en-US"/>
    </w:rPr>
  </w:style>
  <w:style w:type="character" w:styleId="Refdenotaalfinal">
    <w:name w:val="endnote reference"/>
    <w:basedOn w:val="Fuentedeprrafopredeter"/>
    <w:uiPriority w:val="99"/>
    <w:semiHidden/>
    <w:unhideWhenUsed/>
    <w:rsid w:val="002816EE"/>
    <w:rPr>
      <w:vertAlign w:val="superscript"/>
    </w:rPr>
  </w:style>
  <w:style w:type="character" w:styleId="Refdecomentario">
    <w:name w:val="annotation reference"/>
    <w:basedOn w:val="Fuentedeprrafopredeter"/>
    <w:uiPriority w:val="99"/>
    <w:semiHidden/>
    <w:unhideWhenUsed/>
    <w:rsid w:val="002816EE"/>
    <w:rPr>
      <w:sz w:val="16"/>
      <w:szCs w:val="16"/>
    </w:rPr>
  </w:style>
  <w:style w:type="paragraph" w:styleId="Asuntodelcomentario">
    <w:name w:val="annotation subject"/>
    <w:basedOn w:val="Textocomentario"/>
    <w:next w:val="Textocomentario"/>
    <w:link w:val="AsuntodelcomentarioCar"/>
    <w:uiPriority w:val="99"/>
    <w:semiHidden/>
    <w:unhideWhenUsed/>
    <w:rsid w:val="002816EE"/>
    <w:rPr>
      <w:b/>
      <w:bCs/>
    </w:rPr>
  </w:style>
  <w:style w:type="character" w:customStyle="1" w:styleId="AsuntodelcomentarioCar">
    <w:name w:val="Asunto del comentario Car"/>
    <w:basedOn w:val="TextocomentarioCar"/>
    <w:link w:val="Asuntodelcomentario"/>
    <w:uiPriority w:val="99"/>
    <w:semiHidden/>
    <w:rsid w:val="002816EE"/>
    <w:rPr>
      <w:rFonts w:ascii="Times New Roman" w:hAnsi="Times New Roman"/>
      <w:b/>
      <w:bCs/>
      <w:lang w:val="es-ES" w:eastAsia="en-US"/>
    </w:rPr>
  </w:style>
  <w:style w:type="paragraph" w:styleId="Revisin">
    <w:name w:val="Revision"/>
    <w:hidden/>
    <w:uiPriority w:val="99"/>
    <w:semiHidden/>
    <w:rsid w:val="00884AB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810169">
      <w:bodyDiv w:val="1"/>
      <w:marLeft w:val="0"/>
      <w:marRight w:val="0"/>
      <w:marTop w:val="0"/>
      <w:marBottom w:val="0"/>
      <w:divBdr>
        <w:top w:val="none" w:sz="0" w:space="0" w:color="auto"/>
        <w:left w:val="none" w:sz="0" w:space="0" w:color="auto"/>
        <w:bottom w:val="none" w:sz="0" w:space="0" w:color="auto"/>
        <w:right w:val="none" w:sz="0" w:space="0" w:color="auto"/>
      </w:divBdr>
    </w:div>
    <w:div w:id="1326591762">
      <w:bodyDiv w:val="1"/>
      <w:marLeft w:val="0"/>
      <w:marRight w:val="0"/>
      <w:marTop w:val="0"/>
      <w:marBottom w:val="0"/>
      <w:divBdr>
        <w:top w:val="none" w:sz="0" w:space="0" w:color="auto"/>
        <w:left w:val="none" w:sz="0" w:space="0" w:color="auto"/>
        <w:bottom w:val="none" w:sz="0" w:space="0" w:color="auto"/>
        <w:right w:val="none" w:sz="0" w:space="0" w:color="auto"/>
      </w:divBdr>
    </w:div>
    <w:div w:id="1792698725">
      <w:bodyDiv w:val="1"/>
      <w:marLeft w:val="0"/>
      <w:marRight w:val="0"/>
      <w:marTop w:val="0"/>
      <w:marBottom w:val="0"/>
      <w:divBdr>
        <w:top w:val="none" w:sz="0" w:space="0" w:color="auto"/>
        <w:left w:val="none" w:sz="0" w:space="0" w:color="auto"/>
        <w:bottom w:val="none" w:sz="0" w:space="0" w:color="auto"/>
        <w:right w:val="none" w:sz="0" w:space="0" w:color="auto"/>
      </w:divBdr>
    </w:div>
    <w:div w:id="19519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elodecostos@ift.org.mx" TargetMode="External"/><Relationship Id="rId13" Type="http://schemas.openxmlformats.org/officeDocument/2006/relationships/image" Target="media/image3.wmf"/><Relationship Id="rId18" Type="http://schemas.openxmlformats.org/officeDocument/2006/relationships/image" Target="media/image8.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2.wmf"/><Relationship Id="rId28" Type="http://schemas.openxmlformats.org/officeDocument/2006/relationships/header" Target="header3.xml"/><Relationship Id="rId10" Type="http://schemas.openxmlformats.org/officeDocument/2006/relationships/hyperlink" Target="http://es.wikipedia.org/wiki/Ancho_de_banda" TargetMode="Externa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http://es.wikipedia.org/wiki/Frecuencia" TargetMode="External"/><Relationship Id="rId14" Type="http://schemas.openxmlformats.org/officeDocument/2006/relationships/image" Target="media/image4.wmf"/><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FCFFF-13FB-417F-9A7F-474979EB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12683</Words>
  <Characters>69757</Characters>
  <Application>Microsoft Office Word</Application>
  <DocSecurity>0</DocSecurity>
  <Lines>581</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Luis Fernando Rosas Yanez</cp:lastModifiedBy>
  <cp:revision>2</cp:revision>
  <cp:lastPrinted>2014-12-15T23:38:00Z</cp:lastPrinted>
  <dcterms:created xsi:type="dcterms:W3CDTF">2016-10-26T01:53:00Z</dcterms:created>
  <dcterms:modified xsi:type="dcterms:W3CDTF">2016-10-26T01:53:00Z</dcterms:modified>
</cp:coreProperties>
</file>