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D4509" w14:textId="2744705D" w:rsidR="00014BB7" w:rsidRPr="00D00E71" w:rsidRDefault="001211C1" w:rsidP="001211C1">
      <w:pPr>
        <w:jc w:val="both"/>
        <w:rPr>
          <w:rFonts w:ascii="ITC Avant Garde" w:hAnsi="ITC Avant Garde" w:cs="Tahoma"/>
          <w:b/>
          <w:bCs/>
          <w:color w:val="000000"/>
          <w:sz w:val="22"/>
          <w:szCs w:val="22"/>
          <w:lang w:val="es-ES_tradnl" w:eastAsia="es-MX"/>
        </w:rPr>
      </w:pPr>
      <w:r>
        <w:rPr>
          <w:rFonts w:ascii="ITC Avant Garde" w:hAnsi="ITC Avant Garde" w:cs="Tahoma"/>
          <w:b/>
          <w:bCs/>
          <w:color w:val="000000"/>
          <w:sz w:val="22"/>
          <w:szCs w:val="22"/>
          <w:lang w:val="es-ES_tradnl" w:eastAsia="es-MX"/>
        </w:rPr>
        <w:t>ACUERDO MEDIANTE EL CUAL</w:t>
      </w:r>
      <w:r w:rsidR="00AD55DE" w:rsidRPr="00866405">
        <w:rPr>
          <w:rFonts w:ascii="ITC Avant Garde" w:hAnsi="ITC Avant Garde" w:cs="Tahoma"/>
          <w:b/>
          <w:bCs/>
          <w:color w:val="000000"/>
          <w:sz w:val="22"/>
          <w:szCs w:val="22"/>
          <w:lang w:val="es-ES_tradnl" w:eastAsia="es-MX"/>
        </w:rPr>
        <w:t xml:space="preserve"> EL PLENO DEL INSTITUTO FEDERAL DE TELECOMUNICACIONES </w:t>
      </w:r>
      <w:r w:rsidR="006659C0">
        <w:rPr>
          <w:rFonts w:ascii="ITC Avant Garde" w:hAnsi="ITC Avant Garde" w:cs="Tahoma"/>
          <w:b/>
          <w:bCs/>
          <w:color w:val="000000"/>
          <w:sz w:val="22"/>
          <w:szCs w:val="22"/>
          <w:lang w:val="es-ES_tradnl" w:eastAsia="es-MX"/>
        </w:rPr>
        <w:t xml:space="preserve">DETERMINA </w:t>
      </w:r>
      <w:r w:rsidR="002C3AAE">
        <w:rPr>
          <w:rFonts w:ascii="ITC Avant Garde" w:hAnsi="ITC Avant Garde" w:cs="Tahoma"/>
          <w:b/>
          <w:bCs/>
          <w:color w:val="000000"/>
          <w:sz w:val="22"/>
          <w:szCs w:val="22"/>
          <w:lang w:val="es-ES_tradnl" w:eastAsia="es-MX"/>
        </w:rPr>
        <w:t xml:space="preserve">SOMETER A CONSULTA PÚBLICA EL </w:t>
      </w:r>
      <w:r w:rsidR="006659C0">
        <w:rPr>
          <w:rFonts w:ascii="ITC Avant Garde" w:hAnsi="ITC Avant Garde" w:cs="Tahoma"/>
          <w:b/>
          <w:bCs/>
          <w:color w:val="000000"/>
          <w:sz w:val="22"/>
          <w:szCs w:val="22"/>
          <w:lang w:val="es-ES_tradnl" w:eastAsia="es-MX"/>
        </w:rPr>
        <w:t>“</w:t>
      </w:r>
      <w:r w:rsidR="003522C6" w:rsidRPr="00791D6B">
        <w:rPr>
          <w:rFonts w:ascii="ITC Avant Garde" w:hAnsi="ITC Avant Garde" w:cs="Tahoma"/>
          <w:b/>
          <w:bCs/>
          <w:i/>
          <w:color w:val="000000"/>
          <w:sz w:val="22"/>
          <w:szCs w:val="22"/>
          <w:lang w:val="es-ES_tradnl" w:eastAsia="es-MX"/>
        </w:rPr>
        <w:t xml:space="preserve">ANTEPROYECTO DE PLANES </w:t>
      </w:r>
      <w:r w:rsidR="0085185B">
        <w:rPr>
          <w:rFonts w:ascii="ITC Avant Garde" w:hAnsi="ITC Avant Garde" w:cs="Tahoma"/>
          <w:b/>
          <w:bCs/>
          <w:i/>
          <w:color w:val="000000"/>
          <w:sz w:val="22"/>
          <w:szCs w:val="22"/>
          <w:lang w:val="es-ES_tradnl" w:eastAsia="es-MX"/>
        </w:rPr>
        <w:t xml:space="preserve">TÉCNICOS </w:t>
      </w:r>
      <w:r w:rsidR="003522C6" w:rsidRPr="00791D6B">
        <w:rPr>
          <w:rFonts w:ascii="ITC Avant Garde" w:hAnsi="ITC Avant Garde" w:cs="Tahoma"/>
          <w:b/>
          <w:bCs/>
          <w:i/>
          <w:color w:val="000000"/>
          <w:sz w:val="22"/>
          <w:szCs w:val="22"/>
          <w:lang w:val="es-ES_tradnl" w:eastAsia="es-MX"/>
        </w:rPr>
        <w:t xml:space="preserve">FUNDAMENTALES DE NUMERACIÓN Y SEÑALIZACIÓN Y LA CONSECUENTE MODIFICACIÓN A LAS REGLAS DE </w:t>
      </w:r>
      <w:r w:rsidR="008906E5" w:rsidRPr="00791D6B">
        <w:rPr>
          <w:rFonts w:ascii="ITC Avant Garde" w:hAnsi="ITC Avant Garde" w:cs="Tahoma"/>
          <w:b/>
          <w:bCs/>
          <w:i/>
          <w:color w:val="000000"/>
          <w:sz w:val="22"/>
          <w:szCs w:val="22"/>
          <w:lang w:val="es-ES_tradnl" w:eastAsia="es-MX"/>
        </w:rPr>
        <w:t>PORTABILIDAD NUMÉRICA</w:t>
      </w:r>
      <w:r w:rsidR="006659C0">
        <w:rPr>
          <w:rFonts w:ascii="ITC Avant Garde" w:hAnsi="ITC Avant Garde"/>
          <w:b/>
          <w:sz w:val="22"/>
          <w:szCs w:val="22"/>
        </w:rPr>
        <w:t>”</w:t>
      </w:r>
      <w:r w:rsidR="00791D6B">
        <w:rPr>
          <w:rFonts w:ascii="ITC Avant Garde" w:hAnsi="ITC Avant Garde"/>
          <w:b/>
          <w:sz w:val="22"/>
          <w:szCs w:val="22"/>
        </w:rPr>
        <w:t>.</w:t>
      </w:r>
    </w:p>
    <w:p w14:paraId="022E4529" w14:textId="77777777" w:rsidR="00014BB7" w:rsidRDefault="00014BB7" w:rsidP="001211C1">
      <w:pPr>
        <w:jc w:val="both"/>
        <w:rPr>
          <w:rFonts w:ascii="ITC Avant Garde" w:hAnsi="ITC Avant Garde"/>
          <w:b/>
          <w:sz w:val="22"/>
          <w:szCs w:val="22"/>
        </w:rPr>
      </w:pPr>
    </w:p>
    <w:p w14:paraId="441FF609" w14:textId="77777777" w:rsidR="00AD55DE" w:rsidRPr="00866405" w:rsidRDefault="00AD55DE" w:rsidP="001211C1">
      <w:pPr>
        <w:jc w:val="both"/>
        <w:rPr>
          <w:szCs w:val="18"/>
        </w:rPr>
      </w:pPr>
    </w:p>
    <w:p w14:paraId="192E7D55" w14:textId="295810FD" w:rsidR="00AD55DE" w:rsidRDefault="00AD55DE" w:rsidP="001211C1">
      <w:pPr>
        <w:pStyle w:val="ANOTACION"/>
        <w:spacing w:line="240" w:lineRule="auto"/>
        <w:rPr>
          <w:rFonts w:ascii="ITC Avant Garde" w:hAnsi="ITC Avant Garde" w:cs="Arial"/>
          <w:bCs/>
          <w:sz w:val="22"/>
          <w:szCs w:val="22"/>
          <w:lang w:eastAsia="es-MX"/>
        </w:rPr>
      </w:pPr>
      <w:r w:rsidRPr="005972F2">
        <w:rPr>
          <w:rFonts w:ascii="ITC Avant Garde" w:hAnsi="ITC Avant Garde" w:cs="Arial"/>
          <w:bCs/>
          <w:sz w:val="22"/>
          <w:szCs w:val="22"/>
          <w:lang w:eastAsia="es-MX"/>
        </w:rPr>
        <w:t>A</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N</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T</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E</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C</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E</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D</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E</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N</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T</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E</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S</w:t>
      </w:r>
    </w:p>
    <w:p w14:paraId="278AE9FE" w14:textId="77777777" w:rsidR="00014BB7" w:rsidRPr="005972F2" w:rsidRDefault="00014BB7" w:rsidP="001211C1">
      <w:pPr>
        <w:pStyle w:val="ANOTACION"/>
        <w:spacing w:line="240" w:lineRule="auto"/>
        <w:rPr>
          <w:rFonts w:ascii="ITC Avant Garde" w:hAnsi="ITC Avant Garde" w:cs="Arial"/>
          <w:bCs/>
          <w:sz w:val="22"/>
          <w:szCs w:val="22"/>
          <w:lang w:eastAsia="es-MX"/>
        </w:rPr>
      </w:pPr>
    </w:p>
    <w:p w14:paraId="173F6D06" w14:textId="151A2808" w:rsidR="00D00E71" w:rsidRPr="00D00E71" w:rsidRDefault="00D00E71" w:rsidP="001211C1">
      <w:pPr>
        <w:pStyle w:val="ROMANOS"/>
        <w:numPr>
          <w:ilvl w:val="0"/>
          <w:numId w:val="10"/>
        </w:numPr>
        <w:spacing w:line="240" w:lineRule="auto"/>
        <w:rPr>
          <w:rFonts w:ascii="ITC Avant Garde" w:hAnsi="ITC Avant Garde"/>
          <w:bCs/>
          <w:sz w:val="22"/>
          <w:szCs w:val="22"/>
          <w:lang w:val="es-ES_tradnl" w:eastAsia="es-MX"/>
        </w:rPr>
      </w:pPr>
      <w:r w:rsidRPr="00D00E71">
        <w:rPr>
          <w:rFonts w:ascii="ITC Avant Garde" w:hAnsi="ITC Avant Garde"/>
          <w:bCs/>
          <w:sz w:val="22"/>
          <w:szCs w:val="22"/>
          <w:lang w:val="es-ES_tradnl" w:eastAsia="es-MX"/>
        </w:rPr>
        <w:t xml:space="preserve">El 11 de junio de 2013 se publicó en </w:t>
      </w:r>
      <w:r w:rsidR="008A5F01" w:rsidRPr="008A5F01">
        <w:rPr>
          <w:rFonts w:ascii="ITC Avant Garde" w:hAnsi="ITC Avant Garde"/>
          <w:bCs/>
          <w:sz w:val="22"/>
          <w:szCs w:val="22"/>
          <w:lang w:val="es-ES_tradnl" w:eastAsia="es-MX"/>
        </w:rPr>
        <w:t xml:space="preserve">el Diario Oficial de la Federación (en </w:t>
      </w:r>
      <w:r w:rsidR="008A5F01">
        <w:rPr>
          <w:rFonts w:ascii="ITC Avant Garde" w:hAnsi="ITC Avant Garde"/>
          <w:bCs/>
          <w:sz w:val="22"/>
          <w:szCs w:val="22"/>
          <w:lang w:val="es-ES_tradnl" w:eastAsia="es-MX"/>
        </w:rPr>
        <w:t xml:space="preserve">lo sucesivo, </w:t>
      </w:r>
      <w:r w:rsidRPr="00D00E71">
        <w:rPr>
          <w:rFonts w:ascii="ITC Avant Garde" w:hAnsi="ITC Avant Garde"/>
          <w:bCs/>
          <w:sz w:val="22"/>
          <w:szCs w:val="22"/>
          <w:lang w:val="es-ES_tradnl" w:eastAsia="es-MX"/>
        </w:rPr>
        <w:t xml:space="preserve">el </w:t>
      </w:r>
      <w:r w:rsidR="008A5F01">
        <w:rPr>
          <w:rFonts w:ascii="ITC Avant Garde" w:hAnsi="ITC Avant Garde"/>
          <w:bCs/>
          <w:sz w:val="22"/>
          <w:szCs w:val="22"/>
          <w:lang w:val="es-ES_tradnl" w:eastAsia="es-MX"/>
        </w:rPr>
        <w:t>“</w:t>
      </w:r>
      <w:r w:rsidRPr="00D00E71">
        <w:rPr>
          <w:rFonts w:ascii="ITC Avant Garde" w:hAnsi="ITC Avant Garde"/>
          <w:bCs/>
          <w:sz w:val="22"/>
          <w:szCs w:val="22"/>
          <w:lang w:val="es-ES_tradnl" w:eastAsia="es-MX"/>
        </w:rPr>
        <w:t>DOF</w:t>
      </w:r>
      <w:r w:rsidR="008A5F01">
        <w:rPr>
          <w:rFonts w:ascii="ITC Avant Garde" w:hAnsi="ITC Avant Garde"/>
          <w:bCs/>
          <w:sz w:val="22"/>
          <w:szCs w:val="22"/>
          <w:lang w:val="es-ES_tradnl" w:eastAsia="es-MX"/>
        </w:rPr>
        <w:t>”)</w:t>
      </w:r>
      <w:r w:rsidR="008D1966">
        <w:rPr>
          <w:rFonts w:ascii="ITC Avant Garde" w:hAnsi="ITC Avant Garde"/>
          <w:bCs/>
          <w:sz w:val="22"/>
          <w:szCs w:val="22"/>
          <w:lang w:val="es-ES_tradnl" w:eastAsia="es-MX"/>
        </w:rPr>
        <w:t xml:space="preserve"> </w:t>
      </w:r>
      <w:r w:rsidRPr="00D00E71">
        <w:rPr>
          <w:rFonts w:ascii="ITC Avant Garde" w:hAnsi="ITC Avant Garde"/>
          <w:bCs/>
          <w:sz w:val="22"/>
          <w:szCs w:val="22"/>
          <w:lang w:val="es-ES_tradnl" w:eastAsia="es-MX"/>
        </w:rPr>
        <w:t>el "</w:t>
      </w:r>
      <w:r w:rsidRPr="00791D6B">
        <w:rPr>
          <w:rFonts w:ascii="ITC Avant Garde" w:hAnsi="ITC Avant Garde"/>
          <w:bCs/>
          <w:i/>
          <w:sz w:val="22"/>
          <w:szCs w:val="22"/>
          <w:lang w:val="es-ES_tradnl" w:eastAsia="es-MX"/>
        </w:rPr>
        <w:t>Decreto por el que se reforman y adicionan diversas disposiciones de los artículos 6o., 7o., 27, 28, 73, 78, 94 y 105 de la Constitución Política de los Estados Unidos Mexicanos, en materia de telecomunicaciones</w:t>
      </w:r>
      <w:r w:rsidRPr="00D00E71">
        <w:rPr>
          <w:rFonts w:ascii="ITC Avant Garde" w:hAnsi="ITC Avant Garde"/>
          <w:bCs/>
          <w:sz w:val="22"/>
          <w:szCs w:val="22"/>
          <w:lang w:val="es-ES_tradnl" w:eastAsia="es-MX"/>
        </w:rPr>
        <w:t xml:space="preserve">" (en lo sucesivo, el "Decreto </w:t>
      </w:r>
      <w:r w:rsidR="00791D6B">
        <w:rPr>
          <w:rFonts w:ascii="ITC Avant Garde" w:hAnsi="ITC Avant Garde"/>
          <w:bCs/>
          <w:sz w:val="22"/>
          <w:szCs w:val="22"/>
          <w:lang w:val="es-ES_tradnl" w:eastAsia="es-MX"/>
        </w:rPr>
        <w:t xml:space="preserve">de Reforma </w:t>
      </w:r>
      <w:r w:rsidRPr="00D00E71">
        <w:rPr>
          <w:rFonts w:ascii="ITC Avant Garde" w:hAnsi="ITC Avant Garde"/>
          <w:bCs/>
          <w:sz w:val="22"/>
          <w:szCs w:val="22"/>
          <w:lang w:val="es-ES_tradnl" w:eastAsia="es-MX"/>
        </w:rPr>
        <w:t>Constitucional"), mediante el cual se creó el Instituto Federal de Telecomunicaciones (en lo sucesivo, el "Instituto"), como un órgano autónomo con personalidad jurídica y patrimonio propio</w:t>
      </w:r>
      <w:r w:rsidR="00791D6B">
        <w:rPr>
          <w:rFonts w:ascii="ITC Avant Garde" w:hAnsi="ITC Avant Garde"/>
          <w:bCs/>
          <w:sz w:val="22"/>
          <w:szCs w:val="22"/>
          <w:lang w:val="es-ES_tradnl" w:eastAsia="es-MX"/>
        </w:rPr>
        <w:t>s</w:t>
      </w:r>
      <w:r w:rsidRPr="00D00E71">
        <w:rPr>
          <w:rFonts w:ascii="ITC Avant Garde" w:hAnsi="ITC Avant Garde"/>
          <w:bCs/>
          <w:sz w:val="22"/>
          <w:szCs w:val="22"/>
          <w:lang w:val="es-ES_tradnl" w:eastAsia="es-MX"/>
        </w:rPr>
        <w:t>.</w:t>
      </w:r>
    </w:p>
    <w:p w14:paraId="7746380C" w14:textId="77777777" w:rsidR="00D00E71" w:rsidRPr="00D00E71" w:rsidRDefault="00D00E71" w:rsidP="001211C1">
      <w:pPr>
        <w:pStyle w:val="ROMANOS"/>
        <w:spacing w:line="240" w:lineRule="auto"/>
        <w:ind w:firstLine="0"/>
        <w:rPr>
          <w:rFonts w:ascii="ITC Avant Garde" w:hAnsi="ITC Avant Garde"/>
          <w:bCs/>
          <w:sz w:val="22"/>
          <w:szCs w:val="22"/>
          <w:lang w:val="es-ES_tradnl" w:eastAsia="es-MX"/>
        </w:rPr>
      </w:pPr>
    </w:p>
    <w:p w14:paraId="5BE11F64" w14:textId="3B0AE69A" w:rsidR="00D00E71" w:rsidRDefault="00D00E71" w:rsidP="001211C1">
      <w:pPr>
        <w:pStyle w:val="ROMANOS"/>
        <w:numPr>
          <w:ilvl w:val="0"/>
          <w:numId w:val="10"/>
        </w:numPr>
        <w:spacing w:line="240" w:lineRule="auto"/>
        <w:rPr>
          <w:rFonts w:ascii="ITC Avant Garde" w:hAnsi="ITC Avant Garde"/>
          <w:bCs/>
          <w:sz w:val="22"/>
          <w:szCs w:val="22"/>
          <w:lang w:val="es-ES_tradnl" w:eastAsia="es-MX"/>
        </w:rPr>
      </w:pPr>
      <w:r w:rsidRPr="00D00E71">
        <w:rPr>
          <w:rFonts w:ascii="ITC Avant Garde" w:hAnsi="ITC Avant Garde"/>
          <w:bCs/>
          <w:sz w:val="22"/>
          <w:szCs w:val="22"/>
          <w:lang w:val="es-ES_tradnl" w:eastAsia="es-MX"/>
        </w:rPr>
        <w:t>El 14 de julio de 2014 se publicó en el DOF el "</w:t>
      </w:r>
      <w:r w:rsidRPr="00791D6B">
        <w:rPr>
          <w:rFonts w:ascii="ITC Avant Garde" w:hAnsi="ITC Avant Garde"/>
          <w:bCs/>
          <w:i/>
          <w:sz w:val="22"/>
          <w:szCs w:val="22"/>
          <w:lang w:val="es-ES_tradnl"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00E71">
        <w:rPr>
          <w:rFonts w:ascii="ITC Avant Garde" w:hAnsi="ITC Avant Garde"/>
          <w:bCs/>
          <w:sz w:val="22"/>
          <w:szCs w:val="22"/>
          <w:lang w:val="es-ES_tradnl" w:eastAsia="es-MX"/>
        </w:rPr>
        <w:t xml:space="preserve">" (en lo sucesivo, el "Decreto de Ley"), el cual, en términos de lo dispuesto por su artículo Primero </w:t>
      </w:r>
      <w:r w:rsidR="00791D6B">
        <w:rPr>
          <w:rFonts w:ascii="ITC Avant Garde" w:hAnsi="ITC Avant Garde"/>
          <w:bCs/>
          <w:sz w:val="22"/>
          <w:szCs w:val="22"/>
          <w:lang w:val="es-ES_tradnl" w:eastAsia="es-MX"/>
        </w:rPr>
        <w:t>T</w:t>
      </w:r>
      <w:r w:rsidRPr="00D00E71">
        <w:rPr>
          <w:rFonts w:ascii="ITC Avant Garde" w:hAnsi="ITC Avant Garde"/>
          <w:bCs/>
          <w:sz w:val="22"/>
          <w:szCs w:val="22"/>
          <w:lang w:val="es-ES_tradnl" w:eastAsia="es-MX"/>
        </w:rPr>
        <w:t xml:space="preserve">ransitorio, entró en vigor </w:t>
      </w:r>
      <w:r w:rsidR="008A5F01">
        <w:rPr>
          <w:rFonts w:ascii="ITC Avant Garde" w:hAnsi="ITC Avant Garde"/>
          <w:bCs/>
          <w:sz w:val="22"/>
          <w:szCs w:val="22"/>
          <w:lang w:val="es-ES_tradnl" w:eastAsia="es-MX"/>
        </w:rPr>
        <w:t xml:space="preserve">a los </w:t>
      </w:r>
      <w:r w:rsidRPr="00D00E71">
        <w:rPr>
          <w:rFonts w:ascii="ITC Avant Garde" w:hAnsi="ITC Avant Garde"/>
          <w:bCs/>
          <w:sz w:val="22"/>
          <w:szCs w:val="22"/>
          <w:lang w:val="es-ES_tradnl" w:eastAsia="es-MX"/>
        </w:rPr>
        <w:t xml:space="preserve">treinta días naturales siguientes a su publicación, esto es, el 13 de agosto de 2014. </w:t>
      </w:r>
    </w:p>
    <w:p w14:paraId="667E230E" w14:textId="77777777" w:rsidR="00D00E71" w:rsidRPr="00D00E71" w:rsidRDefault="00D00E71" w:rsidP="001211C1">
      <w:pPr>
        <w:pStyle w:val="ROMANOS"/>
        <w:spacing w:line="240" w:lineRule="auto"/>
        <w:ind w:firstLine="0"/>
        <w:rPr>
          <w:rFonts w:ascii="ITC Avant Garde" w:hAnsi="ITC Avant Garde"/>
          <w:bCs/>
          <w:sz w:val="22"/>
          <w:szCs w:val="22"/>
          <w:lang w:val="es-ES_tradnl" w:eastAsia="es-MX"/>
        </w:rPr>
      </w:pPr>
    </w:p>
    <w:p w14:paraId="4222C7E2" w14:textId="5DCDD6E3" w:rsidR="00570518" w:rsidRDefault="00D00E71" w:rsidP="001211C1">
      <w:pPr>
        <w:pStyle w:val="ROMANOS"/>
        <w:numPr>
          <w:ilvl w:val="0"/>
          <w:numId w:val="10"/>
        </w:numPr>
        <w:spacing w:line="240" w:lineRule="auto"/>
        <w:rPr>
          <w:rFonts w:ascii="ITC Avant Garde" w:hAnsi="ITC Avant Garde"/>
          <w:bCs/>
          <w:sz w:val="22"/>
          <w:szCs w:val="22"/>
          <w:lang w:val="es-ES_tradnl" w:eastAsia="es-MX"/>
        </w:rPr>
      </w:pPr>
      <w:r w:rsidRPr="00D00E71">
        <w:rPr>
          <w:rFonts w:ascii="ITC Avant Garde" w:hAnsi="ITC Avant Garde"/>
          <w:bCs/>
          <w:sz w:val="22"/>
          <w:szCs w:val="22"/>
          <w:lang w:val="es-ES_tradnl" w:eastAsia="es-MX"/>
        </w:rPr>
        <w:t>El 4 de septiembre de 2014, se publicó en el DOF el Estatuto Orgánico del Instituto Federal de Telecomunicaciones (en lo sucesivo, el "Estatuto Orgánico"), mismo que entró en vigor el día 26 del mismo mes y año, el cual se modificó a través del “Acuerdo por el que se modifica el Estatuto Orgánico del Instituto Federal de Telecomunicaciones”, publicado en el DOF el 17 de octubre de 2014.</w:t>
      </w:r>
    </w:p>
    <w:p w14:paraId="3A770DF0" w14:textId="77777777" w:rsidR="00791D6B" w:rsidRDefault="00791D6B" w:rsidP="00791D6B">
      <w:pPr>
        <w:pStyle w:val="Prrafodelista"/>
        <w:rPr>
          <w:rFonts w:ascii="ITC Avant Garde" w:hAnsi="ITC Avant Garde"/>
          <w:bCs/>
          <w:sz w:val="22"/>
          <w:szCs w:val="22"/>
          <w:lang w:val="es-ES_tradnl" w:eastAsia="es-MX"/>
        </w:rPr>
      </w:pPr>
    </w:p>
    <w:p w14:paraId="3CB9AEE3" w14:textId="70A6385B" w:rsidR="00791D6B" w:rsidRPr="00D00E71" w:rsidRDefault="00791D6B" w:rsidP="001211C1">
      <w:pPr>
        <w:pStyle w:val="ROMANOS"/>
        <w:numPr>
          <w:ilvl w:val="0"/>
          <w:numId w:val="10"/>
        </w:numPr>
        <w:spacing w:line="240" w:lineRule="auto"/>
        <w:rPr>
          <w:rFonts w:ascii="ITC Avant Garde" w:hAnsi="ITC Avant Garde"/>
          <w:bCs/>
          <w:sz w:val="22"/>
          <w:szCs w:val="22"/>
          <w:lang w:val="es-ES_tradnl" w:eastAsia="es-MX"/>
        </w:rPr>
      </w:pPr>
      <w:r w:rsidRPr="001B26ED">
        <w:rPr>
          <w:rFonts w:ascii="ITC Avant Garde" w:hAnsi="ITC Avant Garde"/>
          <w:bCs/>
          <w:color w:val="000000"/>
          <w:sz w:val="22"/>
          <w:szCs w:val="22"/>
          <w:lang w:eastAsia="es-MX"/>
        </w:rPr>
        <w:t>El 12 de noviembre de 2014 se publicó en el D</w:t>
      </w:r>
      <w:r>
        <w:rPr>
          <w:rFonts w:ascii="ITC Avant Garde" w:hAnsi="ITC Avant Garde"/>
          <w:bCs/>
          <w:color w:val="000000"/>
          <w:sz w:val="22"/>
          <w:szCs w:val="22"/>
          <w:lang w:eastAsia="es-MX"/>
        </w:rPr>
        <w:t>OF</w:t>
      </w:r>
      <w:r w:rsidRPr="001B26ED">
        <w:rPr>
          <w:rFonts w:ascii="ITC Avant Garde" w:hAnsi="ITC Avant Garde"/>
          <w:bCs/>
          <w:color w:val="000000"/>
          <w:sz w:val="22"/>
          <w:szCs w:val="22"/>
          <w:lang w:eastAsia="es-MX"/>
        </w:rPr>
        <w:t xml:space="preserve"> el </w:t>
      </w:r>
      <w:r>
        <w:rPr>
          <w:rFonts w:ascii="ITC Avant Garde" w:hAnsi="ITC Avant Garde"/>
          <w:bCs/>
          <w:color w:val="000000"/>
          <w:sz w:val="22"/>
          <w:szCs w:val="22"/>
          <w:lang w:eastAsia="es-MX"/>
        </w:rPr>
        <w:t>“</w:t>
      </w:r>
      <w:r w:rsidRPr="00791D6B">
        <w:rPr>
          <w:rFonts w:ascii="ITC Avant Garde" w:hAnsi="ITC Avant Garde"/>
          <w:bCs/>
          <w:i/>
          <w:color w:val="000000"/>
          <w:sz w:val="22"/>
          <w:szCs w:val="22"/>
          <w:lang w:eastAsia="es-MX"/>
        </w:rPr>
        <w:t>Acuerdo mediante el cual el Pleno del Instituto Federal de Telecomunicaciones emite las Reglas de Portabilidad Numérica y modifica el Plan Técnico Fundamental de Numeración, el Plan Técnico Fundamental de Señalización y las especificaciones operativas para la implantación de portabilidad de números geográficos y no geográficos</w:t>
      </w:r>
      <w:r>
        <w:rPr>
          <w:rFonts w:ascii="ITC Avant Garde" w:hAnsi="ITC Avant Garde"/>
          <w:bCs/>
          <w:color w:val="000000"/>
          <w:sz w:val="22"/>
          <w:szCs w:val="22"/>
          <w:lang w:eastAsia="es-MX"/>
        </w:rPr>
        <w:t>”, mismas que fueron modificadas el 23 de junio de 2015.</w:t>
      </w:r>
    </w:p>
    <w:p w14:paraId="61CEA834" w14:textId="77777777" w:rsidR="00F529BA" w:rsidRDefault="00F529BA" w:rsidP="001211C1">
      <w:pPr>
        <w:pStyle w:val="ROMANOS"/>
        <w:spacing w:after="0" w:line="240" w:lineRule="auto"/>
        <w:ind w:left="288" w:firstLine="0"/>
        <w:rPr>
          <w:rFonts w:ascii="ITC Avant Garde" w:hAnsi="ITC Avant Garde"/>
          <w:bCs/>
          <w:sz w:val="22"/>
          <w:szCs w:val="22"/>
          <w:lang w:eastAsia="es-MX"/>
        </w:rPr>
      </w:pPr>
    </w:p>
    <w:p w14:paraId="1A738415" w14:textId="277E7F78" w:rsidR="001211C1" w:rsidRPr="003D289D" w:rsidRDefault="00D00E71" w:rsidP="001211C1">
      <w:pPr>
        <w:pStyle w:val="Default"/>
        <w:tabs>
          <w:tab w:val="left" w:pos="0"/>
        </w:tabs>
        <w:rPr>
          <w:rFonts w:ascii="ITC Avant Garde" w:hAnsi="ITC Avant Garde"/>
          <w:bCs/>
          <w:sz w:val="22"/>
          <w:szCs w:val="22"/>
        </w:rPr>
      </w:pPr>
      <w:r w:rsidRPr="003D289D">
        <w:rPr>
          <w:rFonts w:ascii="ITC Avant Garde" w:hAnsi="ITC Avant Garde"/>
          <w:bCs/>
          <w:sz w:val="22"/>
          <w:szCs w:val="22"/>
        </w:rPr>
        <w:t xml:space="preserve">En atención a los </w:t>
      </w:r>
      <w:r w:rsidR="001211C1">
        <w:rPr>
          <w:rFonts w:ascii="ITC Avant Garde" w:hAnsi="ITC Avant Garde"/>
          <w:bCs/>
          <w:sz w:val="22"/>
          <w:szCs w:val="22"/>
        </w:rPr>
        <w:t xml:space="preserve">antecedentes </w:t>
      </w:r>
      <w:r w:rsidR="00791D6B">
        <w:rPr>
          <w:rFonts w:ascii="ITC Avant Garde" w:hAnsi="ITC Avant Garde"/>
          <w:bCs/>
          <w:sz w:val="22"/>
          <w:szCs w:val="22"/>
        </w:rPr>
        <w:t xml:space="preserve">señalados </w:t>
      </w:r>
      <w:r w:rsidR="001211C1">
        <w:rPr>
          <w:rFonts w:ascii="ITC Avant Garde" w:hAnsi="ITC Avant Garde"/>
          <w:bCs/>
          <w:sz w:val="22"/>
          <w:szCs w:val="22"/>
        </w:rPr>
        <w:t xml:space="preserve">y, </w:t>
      </w:r>
    </w:p>
    <w:p w14:paraId="37363483" w14:textId="77777777" w:rsidR="00F529BA" w:rsidRDefault="00F529BA" w:rsidP="001211C1">
      <w:pPr>
        <w:pStyle w:val="ANOTACION"/>
        <w:spacing w:line="240" w:lineRule="auto"/>
        <w:rPr>
          <w:rFonts w:ascii="ITC Avant Garde" w:hAnsi="ITC Avant Garde"/>
          <w:bCs/>
          <w:sz w:val="22"/>
          <w:szCs w:val="22"/>
          <w:lang w:eastAsia="es-MX"/>
        </w:rPr>
      </w:pPr>
    </w:p>
    <w:p w14:paraId="47E81FBD" w14:textId="77777777" w:rsidR="005C2E78" w:rsidRDefault="005C2E78" w:rsidP="001211C1">
      <w:pPr>
        <w:pStyle w:val="ANOTACION"/>
        <w:spacing w:line="240" w:lineRule="auto"/>
        <w:rPr>
          <w:rFonts w:ascii="ITC Avant Garde" w:hAnsi="ITC Avant Garde"/>
          <w:bCs/>
          <w:sz w:val="22"/>
          <w:szCs w:val="22"/>
          <w:lang w:eastAsia="es-MX"/>
        </w:rPr>
      </w:pPr>
    </w:p>
    <w:p w14:paraId="2F16659C" w14:textId="77777777" w:rsidR="005C2E78" w:rsidRDefault="005C2E78" w:rsidP="001211C1">
      <w:pPr>
        <w:pStyle w:val="ANOTACION"/>
        <w:spacing w:line="240" w:lineRule="auto"/>
        <w:rPr>
          <w:rFonts w:ascii="ITC Avant Garde" w:hAnsi="ITC Avant Garde"/>
          <w:bCs/>
          <w:sz w:val="22"/>
          <w:szCs w:val="22"/>
          <w:lang w:eastAsia="es-MX"/>
        </w:rPr>
      </w:pPr>
    </w:p>
    <w:p w14:paraId="35895577" w14:textId="6A5B98EA" w:rsidR="00AD55DE" w:rsidRDefault="00AD55DE" w:rsidP="001211C1">
      <w:pPr>
        <w:pStyle w:val="ANOTACION"/>
        <w:spacing w:line="240" w:lineRule="auto"/>
        <w:rPr>
          <w:rFonts w:ascii="ITC Avant Garde" w:hAnsi="ITC Avant Garde" w:cs="Arial"/>
          <w:bCs/>
          <w:sz w:val="22"/>
          <w:szCs w:val="22"/>
          <w:lang w:eastAsia="es-MX"/>
        </w:rPr>
      </w:pPr>
      <w:r w:rsidRPr="005972F2">
        <w:rPr>
          <w:rFonts w:ascii="ITC Avant Garde" w:hAnsi="ITC Avant Garde" w:cs="Arial"/>
          <w:bCs/>
          <w:sz w:val="22"/>
          <w:szCs w:val="22"/>
          <w:lang w:eastAsia="es-MX"/>
        </w:rPr>
        <w:lastRenderedPageBreak/>
        <w:t>C</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O</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N</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S</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I</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D</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E</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R</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A</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N</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D</w:t>
      </w:r>
      <w:r w:rsidR="00E13407">
        <w:rPr>
          <w:rFonts w:ascii="ITC Avant Garde" w:hAnsi="ITC Avant Garde" w:cs="Arial"/>
          <w:bCs/>
          <w:sz w:val="22"/>
          <w:szCs w:val="22"/>
          <w:lang w:eastAsia="es-MX"/>
        </w:rPr>
        <w:t xml:space="preserve"> </w:t>
      </w:r>
      <w:r w:rsidRPr="005972F2">
        <w:rPr>
          <w:rFonts w:ascii="ITC Avant Garde" w:hAnsi="ITC Avant Garde" w:cs="Arial"/>
          <w:bCs/>
          <w:sz w:val="22"/>
          <w:szCs w:val="22"/>
          <w:lang w:eastAsia="es-MX"/>
        </w:rPr>
        <w:t>O</w:t>
      </w:r>
    </w:p>
    <w:p w14:paraId="70A081D5" w14:textId="77777777" w:rsidR="00AD55DE" w:rsidRPr="005972F2" w:rsidRDefault="00AD55DE" w:rsidP="001211C1">
      <w:pPr>
        <w:pStyle w:val="ANOTACION"/>
        <w:spacing w:line="240" w:lineRule="auto"/>
        <w:rPr>
          <w:rFonts w:ascii="ITC Avant Garde" w:hAnsi="ITC Avant Garde" w:cs="Arial"/>
          <w:bCs/>
          <w:sz w:val="22"/>
          <w:szCs w:val="22"/>
          <w:lang w:eastAsia="es-MX"/>
        </w:rPr>
      </w:pPr>
    </w:p>
    <w:p w14:paraId="58A1ACC8" w14:textId="649F61BE" w:rsidR="00110A96" w:rsidRDefault="00AD55DE" w:rsidP="001211C1">
      <w:pPr>
        <w:jc w:val="both"/>
        <w:rPr>
          <w:rFonts w:ascii="ITC Avant Garde" w:hAnsi="ITC Avant Garde" w:cs="Arial"/>
          <w:sz w:val="22"/>
          <w:szCs w:val="22"/>
        </w:rPr>
      </w:pPr>
      <w:r w:rsidRPr="00866405">
        <w:rPr>
          <w:rFonts w:ascii="ITC Avant Garde" w:hAnsi="ITC Avant Garde"/>
          <w:b/>
          <w:bCs/>
          <w:sz w:val="22"/>
          <w:szCs w:val="22"/>
          <w:lang w:val="es-ES_tradnl" w:eastAsia="es-MX"/>
        </w:rPr>
        <w:t xml:space="preserve">PRIMERO.- Competencia del Instituto. </w:t>
      </w:r>
      <w:r w:rsidR="00D00E71">
        <w:rPr>
          <w:rFonts w:ascii="ITC Avant Garde" w:hAnsi="ITC Avant Garde" w:cs="Arial"/>
          <w:sz w:val="22"/>
          <w:szCs w:val="22"/>
        </w:rPr>
        <w:t>D</w:t>
      </w:r>
      <w:r w:rsidR="00110A96" w:rsidRPr="00E42B4D">
        <w:rPr>
          <w:rFonts w:ascii="ITC Avant Garde" w:hAnsi="ITC Avant Garde" w:cs="Arial"/>
          <w:sz w:val="22"/>
          <w:szCs w:val="22"/>
        </w:rPr>
        <w:t xml:space="preserve">e conformidad con lo establecido en los artículos 28 párrafo décimo quinto de la Constitución Política de los Estados Unidos Mexicanos (en lo sucesivo, la “Constitución”), así como en los diversos 1, 2, 7 de la Ley Federal de Telecomunicaciones y Radiodifusión (en lo sucesivo, </w:t>
      </w:r>
      <w:r w:rsidR="0057263A">
        <w:rPr>
          <w:rFonts w:ascii="ITC Avant Garde" w:hAnsi="ITC Avant Garde" w:cs="Arial"/>
          <w:sz w:val="22"/>
          <w:szCs w:val="22"/>
        </w:rPr>
        <w:t xml:space="preserve">la </w:t>
      </w:r>
      <w:r w:rsidR="00110A96" w:rsidRPr="00E42B4D">
        <w:rPr>
          <w:rFonts w:ascii="ITC Avant Garde" w:hAnsi="ITC Avant Garde" w:cs="Arial"/>
          <w:sz w:val="22"/>
          <w:szCs w:val="22"/>
        </w:rPr>
        <w:t>“LFTR”), el Instituto</w:t>
      </w:r>
      <w:r w:rsidR="0085185B">
        <w:rPr>
          <w:rFonts w:ascii="ITC Avant Garde" w:hAnsi="ITC Avant Garde" w:cs="Arial"/>
          <w:sz w:val="22"/>
          <w:szCs w:val="22"/>
        </w:rPr>
        <w:t>,</w:t>
      </w:r>
      <w:r w:rsidR="00110A96" w:rsidRPr="00E42B4D">
        <w:rPr>
          <w:rFonts w:ascii="ITC Avant Garde" w:hAnsi="ITC Avant Garde" w:cs="Arial"/>
          <w:sz w:val="22"/>
          <w:szCs w:val="22"/>
        </w:rPr>
        <w:t xml:space="preserve"> en su carácter de órgano autónomo, tiene por objeto regular y promover la competencia</w:t>
      </w:r>
      <w:r w:rsidR="0085185B">
        <w:rPr>
          <w:rFonts w:ascii="ITC Avant Garde" w:hAnsi="ITC Avant Garde" w:cs="Arial"/>
          <w:sz w:val="22"/>
          <w:szCs w:val="22"/>
        </w:rPr>
        <w:t>,</w:t>
      </w:r>
      <w:r w:rsidR="00110A96" w:rsidRPr="00E42B4D">
        <w:rPr>
          <w:rFonts w:ascii="ITC Avant Garde" w:hAnsi="ITC Avant Garde" w:cs="Arial"/>
          <w:sz w:val="22"/>
          <w:szCs w:val="22"/>
        </w:rPr>
        <w:t xml:space="preserve">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w:t>
      </w:r>
      <w:r w:rsidR="0085185B">
        <w:rPr>
          <w:rFonts w:ascii="ITC Avant Garde" w:hAnsi="ITC Avant Garde" w:cs="Arial"/>
          <w:sz w:val="22"/>
          <w:szCs w:val="22"/>
        </w:rPr>
        <w:t>por</w:t>
      </w:r>
      <w:r w:rsidR="00110A96" w:rsidRPr="00E42B4D">
        <w:rPr>
          <w:rFonts w:ascii="ITC Avant Garde" w:hAnsi="ITC Avant Garde" w:cs="Arial"/>
          <w:sz w:val="22"/>
          <w:szCs w:val="22"/>
        </w:rPr>
        <w:t xml:space="preserve"> los artículos 6o. y 7o. de la Constitución, además de ser la autoridad en materia de competencia económica en los sectores antes aludidos. </w:t>
      </w:r>
    </w:p>
    <w:p w14:paraId="4D6E5DC8" w14:textId="77777777" w:rsidR="00110A96" w:rsidRDefault="00110A96" w:rsidP="001211C1">
      <w:pPr>
        <w:jc w:val="both"/>
        <w:rPr>
          <w:rFonts w:ascii="ITC Avant Garde" w:hAnsi="ITC Avant Garde" w:cs="Arial"/>
          <w:sz w:val="22"/>
          <w:szCs w:val="22"/>
        </w:rPr>
      </w:pPr>
    </w:p>
    <w:p w14:paraId="1E10956E" w14:textId="53F49C6A" w:rsidR="00110A96" w:rsidRDefault="00110A96" w:rsidP="001211C1">
      <w:pPr>
        <w:jc w:val="both"/>
        <w:rPr>
          <w:rFonts w:ascii="ITC Avant Garde" w:hAnsi="ITC Avant Garde" w:cs="Arial"/>
          <w:sz w:val="22"/>
          <w:szCs w:val="22"/>
        </w:rPr>
      </w:pPr>
      <w:r w:rsidRPr="00E42B4D">
        <w:rPr>
          <w:rFonts w:ascii="ITC Avant Garde" w:hAnsi="ITC Avant Garde" w:cs="Arial"/>
          <w:sz w:val="22"/>
          <w:szCs w:val="22"/>
        </w:rPr>
        <w:t xml:space="preserve">Asimismo, el Instituto cuenta con facultades y atribuciones para emitir el presente Acuerdo y realizar una consulta pública respecto del </w:t>
      </w:r>
      <w:r>
        <w:rPr>
          <w:rFonts w:ascii="ITC Avant Garde" w:hAnsi="ITC Avant Garde"/>
          <w:sz w:val="22"/>
          <w:szCs w:val="22"/>
        </w:rPr>
        <w:t>“</w:t>
      </w:r>
      <w:r w:rsidR="00E13407" w:rsidRPr="0085185B">
        <w:rPr>
          <w:rFonts w:ascii="ITC Avant Garde" w:hAnsi="ITC Avant Garde"/>
          <w:i/>
          <w:sz w:val="22"/>
          <w:szCs w:val="22"/>
        </w:rPr>
        <w:t xml:space="preserve">Anteproyecto de planes </w:t>
      </w:r>
      <w:r w:rsidR="0085185B" w:rsidRPr="0085185B">
        <w:rPr>
          <w:rFonts w:ascii="ITC Avant Garde" w:hAnsi="ITC Avant Garde"/>
          <w:i/>
          <w:sz w:val="22"/>
          <w:szCs w:val="22"/>
        </w:rPr>
        <w:t xml:space="preserve">técnicos </w:t>
      </w:r>
      <w:r w:rsidR="00E13407" w:rsidRPr="0085185B">
        <w:rPr>
          <w:rFonts w:ascii="ITC Avant Garde" w:hAnsi="ITC Avant Garde"/>
          <w:i/>
          <w:sz w:val="22"/>
          <w:szCs w:val="22"/>
        </w:rPr>
        <w:t xml:space="preserve">fundamentales de numeración y señalización y la consecuente modificación a las </w:t>
      </w:r>
      <w:r w:rsidR="0085185B" w:rsidRPr="0085185B">
        <w:rPr>
          <w:rFonts w:ascii="ITC Avant Garde" w:hAnsi="ITC Avant Garde"/>
          <w:i/>
          <w:sz w:val="22"/>
          <w:szCs w:val="22"/>
        </w:rPr>
        <w:t>R</w:t>
      </w:r>
      <w:r w:rsidR="00E13407" w:rsidRPr="0085185B">
        <w:rPr>
          <w:rFonts w:ascii="ITC Avant Garde" w:hAnsi="ITC Avant Garde"/>
          <w:i/>
          <w:sz w:val="22"/>
          <w:szCs w:val="22"/>
        </w:rPr>
        <w:t xml:space="preserve">eglas de </w:t>
      </w:r>
      <w:r w:rsidR="0085185B" w:rsidRPr="0085185B">
        <w:rPr>
          <w:rFonts w:ascii="ITC Avant Garde" w:hAnsi="ITC Avant Garde"/>
          <w:i/>
          <w:sz w:val="22"/>
          <w:szCs w:val="22"/>
        </w:rPr>
        <w:t>P</w:t>
      </w:r>
      <w:r w:rsidR="00E13407" w:rsidRPr="0085185B">
        <w:rPr>
          <w:rFonts w:ascii="ITC Avant Garde" w:hAnsi="ITC Avant Garde"/>
          <w:i/>
          <w:sz w:val="22"/>
          <w:szCs w:val="22"/>
        </w:rPr>
        <w:t>ortabilidad</w:t>
      </w:r>
      <w:r w:rsidR="0085185B" w:rsidRPr="0085185B">
        <w:rPr>
          <w:rFonts w:ascii="ITC Avant Garde" w:hAnsi="ITC Avant Garde"/>
          <w:i/>
          <w:sz w:val="22"/>
          <w:szCs w:val="22"/>
        </w:rPr>
        <w:t xml:space="preserve"> Numérica</w:t>
      </w:r>
      <w:r w:rsidR="00D00E71">
        <w:rPr>
          <w:rFonts w:ascii="ITC Avant Garde" w:hAnsi="ITC Avant Garde"/>
          <w:sz w:val="22"/>
          <w:szCs w:val="22"/>
        </w:rPr>
        <w:t xml:space="preserve">” </w:t>
      </w:r>
      <w:r w:rsidRPr="00E42B4D">
        <w:rPr>
          <w:rFonts w:ascii="ITC Avant Garde" w:hAnsi="ITC Avant Garde" w:cs="Arial"/>
          <w:sz w:val="22"/>
          <w:szCs w:val="22"/>
        </w:rPr>
        <w:t xml:space="preserve">(en lo sucesivo, el “Anteproyecto”), propuesto por la Unidad de </w:t>
      </w:r>
      <w:r w:rsidR="00E13407">
        <w:rPr>
          <w:rFonts w:ascii="ITC Avant Garde" w:hAnsi="ITC Avant Garde" w:cs="Arial"/>
          <w:sz w:val="22"/>
          <w:szCs w:val="22"/>
        </w:rPr>
        <w:t>Concesiones y Servicios</w:t>
      </w:r>
      <w:r w:rsidRPr="00E42B4D">
        <w:rPr>
          <w:rFonts w:ascii="ITC Avant Garde" w:hAnsi="ITC Avant Garde" w:cs="Arial"/>
          <w:sz w:val="22"/>
          <w:szCs w:val="22"/>
        </w:rPr>
        <w:t xml:space="preserve">, conforme las atribuciones conferidas en los artículos </w:t>
      </w:r>
      <w:r w:rsidRPr="00834C44">
        <w:rPr>
          <w:rFonts w:ascii="ITC Avant Garde" w:hAnsi="ITC Avant Garde" w:cs="Arial"/>
          <w:sz w:val="22"/>
          <w:szCs w:val="22"/>
        </w:rPr>
        <w:t>15 fracción I,</w:t>
      </w:r>
      <w:r w:rsidRPr="00834C44">
        <w:rPr>
          <w:rFonts w:ascii="ITC Avant Garde" w:hAnsi="ITC Avant Garde"/>
          <w:kern w:val="1"/>
          <w:sz w:val="22"/>
          <w:lang w:eastAsia="ar-SA"/>
        </w:rPr>
        <w:t xml:space="preserve"> LVI,</w:t>
      </w:r>
      <w:r w:rsidR="008C721F" w:rsidRPr="00834C44">
        <w:rPr>
          <w:rFonts w:ascii="ITC Avant Garde" w:hAnsi="ITC Avant Garde" w:cs="Arial"/>
          <w:sz w:val="22"/>
          <w:szCs w:val="22"/>
        </w:rPr>
        <w:t xml:space="preserve"> 51</w:t>
      </w:r>
      <w:r w:rsidRPr="00834C44">
        <w:rPr>
          <w:rFonts w:ascii="ITC Avant Garde" w:hAnsi="ITC Avant Garde" w:cs="Arial"/>
          <w:sz w:val="22"/>
          <w:szCs w:val="22"/>
        </w:rPr>
        <w:t xml:space="preserve">, </w:t>
      </w:r>
      <w:r w:rsidR="004D66A4" w:rsidRPr="00834C44">
        <w:rPr>
          <w:rFonts w:ascii="ITC Avant Garde" w:hAnsi="ITC Avant Garde" w:cs="Arial"/>
          <w:sz w:val="22"/>
          <w:szCs w:val="22"/>
        </w:rPr>
        <w:t xml:space="preserve">118 fracción IV, </w:t>
      </w:r>
      <w:r w:rsidR="00A00BFA" w:rsidRPr="00834C44">
        <w:rPr>
          <w:rFonts w:ascii="ITC Avant Garde" w:hAnsi="ITC Avant Garde" w:cs="Arial"/>
          <w:sz w:val="22"/>
          <w:szCs w:val="22"/>
        </w:rPr>
        <w:t>123</w:t>
      </w:r>
      <w:r w:rsidR="008C721F" w:rsidRPr="00834C44">
        <w:rPr>
          <w:rFonts w:ascii="ITC Avant Garde" w:hAnsi="ITC Avant Garde" w:cs="Arial"/>
          <w:sz w:val="22"/>
          <w:szCs w:val="22"/>
        </w:rPr>
        <w:t xml:space="preserve"> y</w:t>
      </w:r>
      <w:r w:rsidR="008D1966" w:rsidRPr="00834C44">
        <w:rPr>
          <w:rFonts w:ascii="ITC Avant Garde" w:hAnsi="ITC Avant Garde" w:cs="Arial"/>
          <w:sz w:val="22"/>
          <w:szCs w:val="22"/>
        </w:rPr>
        <w:t xml:space="preserve"> </w:t>
      </w:r>
      <w:r w:rsidR="00A00BFA" w:rsidRPr="00834C44">
        <w:rPr>
          <w:rFonts w:ascii="ITC Avant Garde" w:hAnsi="ITC Avant Garde" w:cs="Arial"/>
          <w:sz w:val="22"/>
          <w:szCs w:val="22"/>
        </w:rPr>
        <w:t>124</w:t>
      </w:r>
      <w:r w:rsidR="00D35DCB" w:rsidRPr="00834C44">
        <w:rPr>
          <w:rFonts w:ascii="ITC Avant Garde" w:hAnsi="ITC Avant Garde" w:cs="Arial"/>
          <w:sz w:val="22"/>
          <w:szCs w:val="22"/>
        </w:rPr>
        <w:t xml:space="preserve"> fracción IV</w:t>
      </w:r>
      <w:r w:rsidR="004D66A4" w:rsidRPr="00834C44">
        <w:rPr>
          <w:rFonts w:ascii="ITC Avant Garde" w:hAnsi="ITC Avant Garde" w:cs="Arial"/>
          <w:sz w:val="22"/>
          <w:szCs w:val="22"/>
        </w:rPr>
        <w:t xml:space="preserve">, 191 fracción III y 209 </w:t>
      </w:r>
      <w:r w:rsidRPr="00834C44">
        <w:rPr>
          <w:rFonts w:ascii="ITC Avant Garde" w:hAnsi="ITC Avant Garde" w:cs="Arial"/>
          <w:sz w:val="22"/>
          <w:szCs w:val="22"/>
        </w:rPr>
        <w:fldChar w:fldCharType="begin"/>
      </w:r>
      <w:r w:rsidRPr="00834C44">
        <w:rPr>
          <w:rFonts w:ascii="ITC Avant Garde" w:hAnsi="ITC Avant Garde" w:cs="Arial"/>
          <w:sz w:val="22"/>
          <w:szCs w:val="22"/>
        </w:rPr>
        <w:instrText xml:space="preserve"> FILLIN   \* MERGEFORMAT </w:instrText>
      </w:r>
      <w:r w:rsidRPr="00834C44">
        <w:rPr>
          <w:rFonts w:ascii="ITC Avant Garde" w:hAnsi="ITC Avant Garde" w:cs="Arial"/>
          <w:sz w:val="22"/>
          <w:szCs w:val="22"/>
        </w:rPr>
        <w:fldChar w:fldCharType="end"/>
      </w:r>
      <w:r w:rsidRPr="00834C44">
        <w:rPr>
          <w:rFonts w:ascii="ITC Avant Garde" w:hAnsi="ITC Avant Garde" w:cs="Arial"/>
          <w:sz w:val="22"/>
          <w:szCs w:val="22"/>
        </w:rPr>
        <w:t xml:space="preserve">de la LFTR, </w:t>
      </w:r>
      <w:r w:rsidR="00D35DCB" w:rsidRPr="00834C44">
        <w:rPr>
          <w:rFonts w:ascii="ITC Avant Garde" w:hAnsi="ITC Avant Garde" w:cs="Arial"/>
          <w:sz w:val="22"/>
          <w:szCs w:val="22"/>
        </w:rPr>
        <w:t>19 fracciones VI y XIV, 32 y 35 fracción XII</w:t>
      </w:r>
      <w:r w:rsidRPr="00834C44">
        <w:rPr>
          <w:rFonts w:ascii="ITC Avant Garde" w:hAnsi="ITC Avant Garde" w:cs="Arial"/>
          <w:sz w:val="22"/>
          <w:szCs w:val="22"/>
        </w:rPr>
        <w:t xml:space="preserve"> del E</w:t>
      </w:r>
      <w:r w:rsidR="004D66A4" w:rsidRPr="00834C44">
        <w:rPr>
          <w:rFonts w:ascii="ITC Avant Garde" w:hAnsi="ITC Avant Garde" w:cs="Arial"/>
          <w:sz w:val="22"/>
          <w:szCs w:val="22"/>
        </w:rPr>
        <w:t>statuto Orgánico del Instituto</w:t>
      </w:r>
      <w:r w:rsidR="004D66A4">
        <w:rPr>
          <w:rFonts w:ascii="ITC Avant Garde" w:hAnsi="ITC Avant Garde" w:cs="Arial"/>
          <w:sz w:val="22"/>
          <w:szCs w:val="22"/>
        </w:rPr>
        <w:t>.</w:t>
      </w:r>
    </w:p>
    <w:p w14:paraId="7D415348" w14:textId="77777777" w:rsidR="00900463" w:rsidRPr="00E42B4D" w:rsidRDefault="00900463" w:rsidP="001211C1">
      <w:pPr>
        <w:jc w:val="both"/>
        <w:rPr>
          <w:rFonts w:ascii="ITC Avant Garde" w:hAnsi="ITC Avant Garde" w:cs="Arial"/>
          <w:sz w:val="22"/>
          <w:szCs w:val="22"/>
        </w:rPr>
      </w:pPr>
    </w:p>
    <w:p w14:paraId="4E24E572" w14:textId="1430DC6F" w:rsidR="00900463" w:rsidRPr="00E42B4D" w:rsidRDefault="00900463" w:rsidP="001211C1">
      <w:pPr>
        <w:jc w:val="both"/>
        <w:rPr>
          <w:rFonts w:ascii="ITC Avant Garde" w:hAnsi="ITC Avant Garde" w:cs="Arial"/>
          <w:sz w:val="22"/>
          <w:szCs w:val="22"/>
        </w:rPr>
      </w:pPr>
      <w:r w:rsidRPr="00E42B4D">
        <w:rPr>
          <w:rFonts w:ascii="ITC Avant Garde" w:hAnsi="ITC Avant Garde" w:cs="Arial"/>
          <w:sz w:val="22"/>
          <w:szCs w:val="22"/>
        </w:rPr>
        <w:t>Por su parte, de conformidad con el artículo 15 fracción I de la LFTR, el Instituto</w:t>
      </w:r>
      <w:r w:rsidR="0085185B">
        <w:rPr>
          <w:rFonts w:ascii="ITC Avant Garde" w:hAnsi="ITC Avant Garde" w:cs="Arial"/>
          <w:sz w:val="22"/>
          <w:szCs w:val="22"/>
        </w:rPr>
        <w:t>,</w:t>
      </w:r>
      <w:r w:rsidRPr="00E42B4D">
        <w:rPr>
          <w:rFonts w:ascii="ITC Avant Garde" w:hAnsi="ITC Avant Garde" w:cs="Arial"/>
          <w:sz w:val="22"/>
          <w:szCs w:val="22"/>
        </w:rPr>
        <w:t xml:space="preserve"> a través de su Órgano de Gobierno, resulta competente para conocer del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w:t>
      </w:r>
      <w:r w:rsidR="0085185B">
        <w:rPr>
          <w:rFonts w:ascii="ITC Avant Garde" w:hAnsi="ITC Avant Garde" w:cs="Arial"/>
          <w:sz w:val="22"/>
          <w:szCs w:val="22"/>
        </w:rPr>
        <w:t>,</w:t>
      </w:r>
      <w:r w:rsidRPr="00E42B4D">
        <w:rPr>
          <w:rFonts w:ascii="ITC Avant Garde" w:hAnsi="ITC Avant Garde" w:cs="Arial"/>
          <w:sz w:val="22"/>
          <w:szCs w:val="22"/>
        </w:rPr>
        <w:t xml:space="preserve"> así como demás disposiciones para el cumplimiento de su función regulatoria en el sector de su competencia. </w:t>
      </w:r>
    </w:p>
    <w:p w14:paraId="78831CA7" w14:textId="77777777" w:rsidR="00900463" w:rsidRPr="00E42B4D" w:rsidRDefault="00900463" w:rsidP="001211C1">
      <w:pPr>
        <w:pStyle w:val="Default"/>
        <w:tabs>
          <w:tab w:val="left" w:pos="0"/>
        </w:tabs>
        <w:jc w:val="both"/>
        <w:rPr>
          <w:rFonts w:ascii="ITC Avant Garde" w:eastAsia="Times New Roman" w:hAnsi="ITC Avant Garde" w:cs="Arial"/>
          <w:color w:val="auto"/>
          <w:sz w:val="22"/>
          <w:szCs w:val="22"/>
          <w:lang w:eastAsia="es-ES"/>
        </w:rPr>
      </w:pPr>
    </w:p>
    <w:p w14:paraId="58EF357E" w14:textId="784756BB" w:rsidR="00900463" w:rsidRDefault="00900463" w:rsidP="001211C1">
      <w:pPr>
        <w:pStyle w:val="Default"/>
        <w:tabs>
          <w:tab w:val="left" w:pos="0"/>
        </w:tabs>
        <w:jc w:val="both"/>
        <w:rPr>
          <w:rFonts w:ascii="ITC Avant Garde" w:hAnsi="ITC Avant Garde"/>
          <w:bCs/>
          <w:sz w:val="22"/>
          <w:szCs w:val="22"/>
          <w:lang w:val="es-ES_tradnl"/>
        </w:rPr>
      </w:pPr>
      <w:r w:rsidRPr="00E42B4D">
        <w:rPr>
          <w:rFonts w:ascii="ITC Avant Garde" w:eastAsia="Times New Roman" w:hAnsi="ITC Avant Garde" w:cs="Arial"/>
          <w:color w:val="auto"/>
          <w:sz w:val="22"/>
          <w:szCs w:val="22"/>
          <w:lang w:eastAsia="es-ES"/>
        </w:rPr>
        <w:t xml:space="preserve">Aunado a lo anterior, conforme a lo dispuesto </w:t>
      </w:r>
      <w:r w:rsidR="0085185B">
        <w:rPr>
          <w:rFonts w:ascii="ITC Avant Garde" w:eastAsia="Times New Roman" w:hAnsi="ITC Avant Garde" w:cs="Arial"/>
          <w:color w:val="auto"/>
          <w:sz w:val="22"/>
          <w:szCs w:val="22"/>
          <w:lang w:eastAsia="es-ES"/>
        </w:rPr>
        <w:t>por</w:t>
      </w:r>
      <w:r w:rsidRPr="00E42B4D">
        <w:rPr>
          <w:rFonts w:ascii="ITC Avant Garde" w:eastAsia="Times New Roman" w:hAnsi="ITC Avant Garde" w:cs="Arial"/>
          <w:color w:val="auto"/>
          <w:sz w:val="22"/>
          <w:szCs w:val="22"/>
          <w:lang w:eastAsia="es-ES"/>
        </w:rPr>
        <w:t xml:space="preserve"> el artículo 7 párrafos primero y cuarto de la LFTR, el Instituto es un órgano público autónomo, independiente en sus decisiones y funcionamiento, con personalidad jurídica y patrimonio propios,</w:t>
      </w:r>
      <w:r w:rsidRPr="00011B78">
        <w:rPr>
          <w:rFonts w:ascii="ITC Avant Garde" w:hAnsi="ITC Avant Garde"/>
          <w:bCs/>
          <w:sz w:val="22"/>
          <w:szCs w:val="22"/>
          <w:lang w:val="es-ES_tradnl"/>
        </w:rPr>
        <w:t xml:space="preserve"> que tiene por objeto regular y promover la competencia y el desarrollo eficiente de las telecomunicaciones y la radiodifusión en el ámbito de las atribuciones que le confieren la Constitución y en los términos que fijan esta Ley y demás disposiciones legales aplicables.</w:t>
      </w:r>
    </w:p>
    <w:p w14:paraId="6BE4024E" w14:textId="77777777" w:rsidR="00900463" w:rsidRPr="00011B78" w:rsidRDefault="00900463" w:rsidP="001211C1">
      <w:pPr>
        <w:pStyle w:val="Default"/>
        <w:tabs>
          <w:tab w:val="left" w:pos="0"/>
        </w:tabs>
        <w:jc w:val="both"/>
        <w:rPr>
          <w:rFonts w:ascii="ITC Avant Garde" w:hAnsi="ITC Avant Garde"/>
          <w:bCs/>
          <w:sz w:val="22"/>
          <w:szCs w:val="22"/>
          <w:lang w:val="es-ES_tradnl"/>
        </w:rPr>
      </w:pPr>
    </w:p>
    <w:p w14:paraId="0DB65560" w14:textId="53668F95" w:rsidR="002601F8" w:rsidRDefault="00900463" w:rsidP="001211C1">
      <w:pPr>
        <w:pStyle w:val="Default"/>
        <w:tabs>
          <w:tab w:val="left" w:pos="0"/>
        </w:tabs>
        <w:jc w:val="both"/>
        <w:rPr>
          <w:rFonts w:ascii="ITC Avant Garde" w:hAnsi="ITC Avant Garde"/>
          <w:bCs/>
          <w:sz w:val="22"/>
          <w:szCs w:val="22"/>
          <w:lang w:val="es-ES_tradnl"/>
        </w:rPr>
      </w:pPr>
      <w:r w:rsidRPr="00A0258C">
        <w:rPr>
          <w:rFonts w:ascii="ITC Avant Garde" w:hAnsi="ITC Avant Garde"/>
          <w:bCs/>
          <w:sz w:val="22"/>
          <w:szCs w:val="22"/>
          <w:lang w:val="es-ES_tradnl"/>
        </w:rPr>
        <w:t xml:space="preserve">Asimismo, </w:t>
      </w:r>
      <w:r w:rsidR="00B3204E" w:rsidRPr="00A0258C">
        <w:rPr>
          <w:rFonts w:ascii="ITC Avant Garde" w:hAnsi="ITC Avant Garde"/>
          <w:bCs/>
          <w:sz w:val="22"/>
          <w:szCs w:val="22"/>
          <w:lang w:val="es-ES_tradnl"/>
        </w:rPr>
        <w:t xml:space="preserve">de conformidad con los artículos 123 y 124 fracción IV de la LFTR, </w:t>
      </w:r>
      <w:r w:rsidRPr="00A0258C">
        <w:rPr>
          <w:rFonts w:ascii="ITC Avant Garde" w:hAnsi="ITC Avant Garde"/>
          <w:bCs/>
          <w:sz w:val="22"/>
          <w:szCs w:val="22"/>
          <w:lang w:val="es-ES_tradnl"/>
        </w:rPr>
        <w:t xml:space="preserve">el Instituto </w:t>
      </w:r>
      <w:r w:rsidR="00B3204E" w:rsidRPr="00A0258C">
        <w:rPr>
          <w:rFonts w:ascii="ITC Avant Garde" w:hAnsi="ITC Avant Garde"/>
          <w:bCs/>
          <w:sz w:val="22"/>
          <w:szCs w:val="22"/>
          <w:lang w:val="es-ES_tradnl"/>
        </w:rPr>
        <w:t>es</w:t>
      </w:r>
      <w:r w:rsidRPr="00A0258C">
        <w:rPr>
          <w:rFonts w:ascii="ITC Avant Garde" w:hAnsi="ITC Avant Garde"/>
          <w:bCs/>
          <w:sz w:val="22"/>
          <w:szCs w:val="22"/>
          <w:lang w:val="es-ES_tradnl"/>
        </w:rPr>
        <w:t xml:space="preserve"> la autoridad </w:t>
      </w:r>
      <w:r w:rsidR="002601F8">
        <w:rPr>
          <w:rFonts w:ascii="ITC Avant Garde" w:hAnsi="ITC Avant Garde"/>
          <w:bCs/>
          <w:sz w:val="22"/>
          <w:szCs w:val="22"/>
          <w:lang w:val="es-ES_tradnl"/>
        </w:rPr>
        <w:t>encargada de</w:t>
      </w:r>
      <w:r w:rsidRPr="00A0258C">
        <w:rPr>
          <w:rFonts w:ascii="ITC Avant Garde" w:hAnsi="ITC Avant Garde"/>
          <w:bCs/>
          <w:sz w:val="22"/>
          <w:szCs w:val="22"/>
          <w:lang w:val="es-ES_tradnl"/>
        </w:rPr>
        <w:t xml:space="preserve"> </w:t>
      </w:r>
      <w:r w:rsidR="0073665B" w:rsidRPr="00A0258C">
        <w:rPr>
          <w:rFonts w:ascii="ITC Avant Garde" w:hAnsi="ITC Avant Garde"/>
          <w:bCs/>
          <w:sz w:val="22"/>
          <w:szCs w:val="22"/>
          <w:lang w:val="es-ES_tradnl"/>
        </w:rPr>
        <w:t>otorgar los derechos de los recursos públicos de numeración</w:t>
      </w:r>
      <w:r w:rsidRPr="00A0258C">
        <w:rPr>
          <w:rFonts w:ascii="ITC Avant Garde" w:hAnsi="ITC Avant Garde"/>
          <w:bCs/>
          <w:sz w:val="22"/>
          <w:szCs w:val="22"/>
          <w:lang w:val="es-ES_tradnl"/>
        </w:rPr>
        <w:t xml:space="preserve">, </w:t>
      </w:r>
      <w:r w:rsidR="00B3204E" w:rsidRPr="00A0258C">
        <w:rPr>
          <w:rFonts w:ascii="ITC Avant Garde" w:hAnsi="ITC Avant Garde"/>
          <w:bCs/>
          <w:sz w:val="22"/>
          <w:szCs w:val="22"/>
          <w:lang w:val="es-ES_tradnl"/>
        </w:rPr>
        <w:t>direccionamiento y denominación que se necesitan para permitir una efectiva prestación de servicios de telecomunicaciones</w:t>
      </w:r>
      <w:r w:rsidR="002601F8">
        <w:rPr>
          <w:rFonts w:ascii="ITC Avant Garde" w:hAnsi="ITC Avant Garde"/>
          <w:bCs/>
          <w:sz w:val="22"/>
          <w:szCs w:val="22"/>
          <w:lang w:val="es-ES_tradnl"/>
        </w:rPr>
        <w:t>, para lo cual el Instituto elaborará, actualizará y administrará los Planes Técnicos Fundamentales de Numeración, Conmutación y Señalización, entre otros.</w:t>
      </w:r>
      <w:r w:rsidR="00B3204E" w:rsidRPr="00A0258C">
        <w:rPr>
          <w:rFonts w:ascii="ITC Avant Garde" w:hAnsi="ITC Avant Garde"/>
          <w:bCs/>
          <w:sz w:val="22"/>
          <w:szCs w:val="22"/>
          <w:lang w:val="es-ES_tradnl"/>
        </w:rPr>
        <w:t xml:space="preserve"> </w:t>
      </w:r>
    </w:p>
    <w:p w14:paraId="25395AE1" w14:textId="1DF696AE" w:rsidR="00900463" w:rsidRDefault="002601F8" w:rsidP="001211C1">
      <w:pPr>
        <w:pStyle w:val="Default"/>
        <w:tabs>
          <w:tab w:val="left" w:pos="0"/>
        </w:tabs>
        <w:jc w:val="both"/>
        <w:rPr>
          <w:rFonts w:ascii="ITC Avant Garde" w:hAnsi="ITC Avant Garde"/>
          <w:bCs/>
          <w:sz w:val="22"/>
          <w:szCs w:val="22"/>
          <w:lang w:val="es-ES_tradnl"/>
        </w:rPr>
      </w:pPr>
      <w:r>
        <w:rPr>
          <w:rFonts w:ascii="ITC Avant Garde" w:hAnsi="ITC Avant Garde"/>
          <w:bCs/>
          <w:sz w:val="22"/>
          <w:szCs w:val="22"/>
          <w:lang w:val="es-ES_tradnl"/>
        </w:rPr>
        <w:lastRenderedPageBreak/>
        <w:t xml:space="preserve">Al respecto y </w:t>
      </w:r>
      <w:r w:rsidR="00B3204E" w:rsidRPr="00A0258C">
        <w:rPr>
          <w:rFonts w:ascii="ITC Avant Garde" w:hAnsi="ITC Avant Garde"/>
          <w:bCs/>
          <w:sz w:val="22"/>
          <w:szCs w:val="22"/>
          <w:lang w:val="es-ES_tradnl"/>
        </w:rPr>
        <w:t xml:space="preserve">conforme a </w:t>
      </w:r>
      <w:r>
        <w:rPr>
          <w:rFonts w:ascii="ITC Avant Garde" w:hAnsi="ITC Avant Garde"/>
          <w:bCs/>
          <w:sz w:val="22"/>
          <w:szCs w:val="22"/>
          <w:lang w:val="es-ES_tradnl"/>
        </w:rPr>
        <w:t xml:space="preserve">lo establecido por </w:t>
      </w:r>
      <w:r w:rsidR="00B3204E" w:rsidRPr="00A0258C">
        <w:rPr>
          <w:rFonts w:ascii="ITC Avant Garde" w:hAnsi="ITC Avant Garde"/>
          <w:bCs/>
          <w:sz w:val="22"/>
          <w:szCs w:val="22"/>
          <w:lang w:val="es-ES_tradnl"/>
        </w:rPr>
        <w:t>los artículos 32 y 35 fracción XII de</w:t>
      </w:r>
      <w:r>
        <w:rPr>
          <w:rFonts w:ascii="ITC Avant Garde" w:hAnsi="ITC Avant Garde"/>
          <w:bCs/>
          <w:sz w:val="22"/>
          <w:szCs w:val="22"/>
          <w:lang w:val="es-ES_tradnl"/>
        </w:rPr>
        <w:t xml:space="preserve"> su</w:t>
      </w:r>
      <w:r w:rsidR="00B3204E" w:rsidRPr="00A0258C">
        <w:rPr>
          <w:rFonts w:ascii="ITC Avant Garde" w:hAnsi="ITC Avant Garde"/>
          <w:bCs/>
          <w:sz w:val="22"/>
          <w:szCs w:val="22"/>
          <w:lang w:val="es-ES_tradnl"/>
        </w:rPr>
        <w:t xml:space="preserve"> Estatuto Orgánico</w:t>
      </w:r>
      <w:r>
        <w:rPr>
          <w:rFonts w:ascii="ITC Avant Garde" w:hAnsi="ITC Avant Garde"/>
          <w:bCs/>
          <w:sz w:val="22"/>
          <w:szCs w:val="22"/>
          <w:lang w:val="es-ES_tradnl"/>
        </w:rPr>
        <w:t>,</w:t>
      </w:r>
      <w:r w:rsidR="00B3204E" w:rsidRPr="00A0258C">
        <w:rPr>
          <w:rFonts w:ascii="ITC Avant Garde" w:hAnsi="ITC Avant Garde"/>
          <w:bCs/>
          <w:sz w:val="22"/>
          <w:szCs w:val="22"/>
          <w:lang w:val="es-ES_tradnl"/>
        </w:rPr>
        <w:t xml:space="preserve"> el Instituto, a través de la Unidad de Concesiones y Servicios, </w:t>
      </w:r>
      <w:r w:rsidR="00F90030" w:rsidRPr="00A0258C">
        <w:rPr>
          <w:rFonts w:ascii="ITC Avant Garde" w:hAnsi="ITC Avant Garde"/>
          <w:bCs/>
          <w:sz w:val="22"/>
          <w:szCs w:val="22"/>
          <w:lang w:val="es-ES_tradnl"/>
        </w:rPr>
        <w:t>cuenta con la atribución de</w:t>
      </w:r>
      <w:r w:rsidR="00B3204E" w:rsidRPr="00A0258C">
        <w:rPr>
          <w:rFonts w:ascii="ITC Avant Garde" w:hAnsi="ITC Avant Garde"/>
          <w:bCs/>
          <w:sz w:val="22"/>
          <w:szCs w:val="22"/>
          <w:lang w:val="es-ES_tradnl"/>
        </w:rPr>
        <w:t xml:space="preserve"> </w:t>
      </w:r>
      <w:r>
        <w:rPr>
          <w:rFonts w:ascii="ITC Avant Garde" w:hAnsi="ITC Avant Garde"/>
          <w:bCs/>
          <w:sz w:val="22"/>
          <w:szCs w:val="22"/>
          <w:lang w:val="es-ES_tradnl"/>
        </w:rPr>
        <w:t>a</w:t>
      </w:r>
      <w:r w:rsidR="00F94C41" w:rsidRPr="00A0258C">
        <w:rPr>
          <w:rFonts w:ascii="ITC Avant Garde" w:hAnsi="ITC Avant Garde"/>
          <w:bCs/>
          <w:sz w:val="22"/>
          <w:szCs w:val="22"/>
          <w:lang w:val="es-ES_tradnl"/>
        </w:rPr>
        <w:t>dministrar y asignar los códigos, números, direccionamiento, denominación e identificadores que se intercambian en la señalización entre los concesionarios de telecomunicaciones y, en su caso, autorizados y permisionarios en materia de telecomunicaciones, de conformidad con los Planes Técnicos Fundamentales de Numeración y Señalización que al efecto se determinen</w:t>
      </w:r>
      <w:r w:rsidR="004D66A4" w:rsidRPr="004D66A4">
        <w:t xml:space="preserve"> </w:t>
      </w:r>
      <w:r w:rsidR="004D66A4" w:rsidRPr="004D66A4">
        <w:rPr>
          <w:rFonts w:ascii="ITC Avant Garde" w:hAnsi="ITC Avant Garde"/>
          <w:bCs/>
          <w:sz w:val="22"/>
          <w:szCs w:val="22"/>
          <w:lang w:val="es-ES_tradnl"/>
        </w:rPr>
        <w:t>y la</w:t>
      </w:r>
      <w:r w:rsidR="004D66A4">
        <w:rPr>
          <w:rFonts w:ascii="ITC Avant Garde" w:hAnsi="ITC Avant Garde"/>
          <w:bCs/>
          <w:sz w:val="22"/>
          <w:szCs w:val="22"/>
          <w:lang w:val="es-ES_tradnl"/>
        </w:rPr>
        <w:t>s</w:t>
      </w:r>
      <w:r w:rsidR="004D66A4" w:rsidRPr="004D66A4">
        <w:rPr>
          <w:rFonts w:ascii="ITC Avant Garde" w:hAnsi="ITC Avant Garde"/>
          <w:bCs/>
          <w:sz w:val="22"/>
          <w:szCs w:val="22"/>
          <w:lang w:val="es-ES_tradnl"/>
        </w:rPr>
        <w:t xml:space="preserve"> consecuente</w:t>
      </w:r>
      <w:r w:rsidR="004D66A4">
        <w:rPr>
          <w:rFonts w:ascii="ITC Avant Garde" w:hAnsi="ITC Avant Garde"/>
          <w:bCs/>
          <w:sz w:val="22"/>
          <w:szCs w:val="22"/>
          <w:lang w:val="es-ES_tradnl"/>
        </w:rPr>
        <w:t>s</w:t>
      </w:r>
      <w:r w:rsidR="004D66A4" w:rsidRPr="004D66A4">
        <w:rPr>
          <w:rFonts w:ascii="ITC Avant Garde" w:hAnsi="ITC Avant Garde"/>
          <w:bCs/>
          <w:sz w:val="22"/>
          <w:szCs w:val="22"/>
          <w:lang w:val="es-ES_tradnl"/>
        </w:rPr>
        <w:t xml:space="preserve"> </w:t>
      </w:r>
      <w:r>
        <w:rPr>
          <w:rFonts w:ascii="ITC Avant Garde" w:hAnsi="ITC Avant Garde"/>
          <w:bCs/>
          <w:sz w:val="22"/>
          <w:szCs w:val="22"/>
          <w:lang w:val="es-ES_tradnl"/>
        </w:rPr>
        <w:t>R</w:t>
      </w:r>
      <w:r w:rsidR="004D66A4" w:rsidRPr="004D66A4">
        <w:rPr>
          <w:rFonts w:ascii="ITC Avant Garde" w:hAnsi="ITC Avant Garde"/>
          <w:bCs/>
          <w:sz w:val="22"/>
          <w:szCs w:val="22"/>
          <w:lang w:val="es-ES_tradnl"/>
        </w:rPr>
        <w:t xml:space="preserve">eglas de </w:t>
      </w:r>
      <w:r>
        <w:rPr>
          <w:rFonts w:ascii="ITC Avant Garde" w:hAnsi="ITC Avant Garde"/>
          <w:bCs/>
          <w:sz w:val="22"/>
          <w:szCs w:val="22"/>
          <w:lang w:val="es-ES_tradnl"/>
        </w:rPr>
        <w:t>P</w:t>
      </w:r>
      <w:r w:rsidR="004D66A4" w:rsidRPr="004D66A4">
        <w:rPr>
          <w:rFonts w:ascii="ITC Avant Garde" w:hAnsi="ITC Avant Garde"/>
          <w:bCs/>
          <w:sz w:val="22"/>
          <w:szCs w:val="22"/>
          <w:lang w:val="es-ES_tradnl"/>
        </w:rPr>
        <w:t>ortabilidad</w:t>
      </w:r>
      <w:r w:rsidR="004D66A4">
        <w:rPr>
          <w:rFonts w:ascii="ITC Avant Garde" w:hAnsi="ITC Avant Garde"/>
          <w:bCs/>
          <w:sz w:val="22"/>
          <w:szCs w:val="22"/>
          <w:lang w:val="es-ES_tradnl"/>
        </w:rPr>
        <w:t xml:space="preserve"> </w:t>
      </w:r>
      <w:r>
        <w:rPr>
          <w:rFonts w:ascii="ITC Avant Garde" w:hAnsi="ITC Avant Garde"/>
          <w:bCs/>
          <w:sz w:val="22"/>
          <w:szCs w:val="22"/>
          <w:lang w:val="es-ES_tradnl"/>
        </w:rPr>
        <w:t>N</w:t>
      </w:r>
      <w:r w:rsidR="004D66A4">
        <w:rPr>
          <w:rFonts w:ascii="ITC Avant Garde" w:hAnsi="ITC Avant Garde"/>
          <w:bCs/>
          <w:sz w:val="22"/>
          <w:szCs w:val="22"/>
          <w:lang w:val="es-ES_tradnl"/>
        </w:rPr>
        <w:t>umérica.</w:t>
      </w:r>
    </w:p>
    <w:p w14:paraId="24603CFC" w14:textId="77777777" w:rsidR="00C95170" w:rsidRDefault="00C95170" w:rsidP="001211C1">
      <w:pPr>
        <w:jc w:val="both"/>
        <w:rPr>
          <w:rFonts w:ascii="ITC Avant Garde" w:hAnsi="ITC Avant Garde" w:cs="Arial"/>
          <w:sz w:val="22"/>
          <w:szCs w:val="22"/>
        </w:rPr>
      </w:pPr>
    </w:p>
    <w:p w14:paraId="1B1061D2" w14:textId="21312281" w:rsidR="00F90030" w:rsidRPr="00F90030" w:rsidRDefault="00C95170" w:rsidP="001211C1">
      <w:pPr>
        <w:jc w:val="both"/>
        <w:rPr>
          <w:rFonts w:ascii="ITC Avant Garde" w:hAnsi="ITC Avant Garde"/>
          <w:sz w:val="22"/>
          <w:szCs w:val="22"/>
        </w:rPr>
      </w:pPr>
      <w:r w:rsidRPr="00AE1C09">
        <w:rPr>
          <w:rFonts w:ascii="ITC Avant Garde" w:hAnsi="ITC Avant Garde" w:cs="Arial"/>
          <w:b/>
          <w:sz w:val="22"/>
          <w:szCs w:val="22"/>
        </w:rPr>
        <w:t>SEGUNDO</w:t>
      </w:r>
      <w:r>
        <w:rPr>
          <w:rFonts w:ascii="ITC Avant Garde" w:hAnsi="ITC Avant Garde" w:cs="Arial"/>
          <w:sz w:val="22"/>
          <w:szCs w:val="22"/>
        </w:rPr>
        <w:t>.-</w:t>
      </w:r>
      <w:r w:rsidR="00F90030">
        <w:rPr>
          <w:rFonts w:ascii="ITC Avant Garde" w:hAnsi="ITC Avant Garde"/>
          <w:b/>
          <w:sz w:val="22"/>
          <w:szCs w:val="22"/>
        </w:rPr>
        <w:t xml:space="preserve"> </w:t>
      </w:r>
      <w:r w:rsidR="00F90030" w:rsidRPr="00F90030">
        <w:rPr>
          <w:rFonts w:ascii="ITC Avant Garde" w:hAnsi="ITC Avant Garde"/>
          <w:b/>
          <w:sz w:val="22"/>
          <w:szCs w:val="22"/>
        </w:rPr>
        <w:t>Las telecomunicaciones como servic</w:t>
      </w:r>
      <w:r w:rsidR="00F90030">
        <w:rPr>
          <w:rFonts w:ascii="ITC Avant Garde" w:hAnsi="ITC Avant Garde"/>
          <w:b/>
          <w:sz w:val="22"/>
          <w:szCs w:val="22"/>
        </w:rPr>
        <w:t>io públicos de interés general</w:t>
      </w:r>
      <w:r w:rsidR="00AD55DE" w:rsidRPr="00137D65">
        <w:rPr>
          <w:rFonts w:ascii="ITC Avant Garde" w:hAnsi="ITC Avant Garde"/>
          <w:sz w:val="22"/>
          <w:szCs w:val="22"/>
        </w:rPr>
        <w:t xml:space="preserve">. </w:t>
      </w:r>
      <w:r w:rsidR="00F90030" w:rsidRPr="00F90030">
        <w:rPr>
          <w:rFonts w:ascii="ITC Avant Garde" w:hAnsi="ITC Avant Garde"/>
          <w:sz w:val="22"/>
          <w:szCs w:val="22"/>
        </w:rPr>
        <w:t xml:space="preserve">Como lo ordena el artículo 28 de la Constitución, el Instituto tiene el mandato de garantizar lo establecido </w:t>
      </w:r>
      <w:r w:rsidR="00847359">
        <w:rPr>
          <w:rFonts w:ascii="ITC Avant Garde" w:hAnsi="ITC Avant Garde"/>
          <w:sz w:val="22"/>
          <w:szCs w:val="22"/>
        </w:rPr>
        <w:t>por</w:t>
      </w:r>
      <w:r w:rsidR="00F90030" w:rsidRPr="00F90030">
        <w:rPr>
          <w:rFonts w:ascii="ITC Avant Garde" w:hAnsi="ITC Avant Garde"/>
          <w:sz w:val="22"/>
          <w:szCs w:val="22"/>
        </w:rPr>
        <w:t xml:space="preserve"> los artículos 6o. y 7o. del mismo ordenamiento, los cuales prevén, entre otras cosas, el derecho</w:t>
      </w:r>
      <w:r w:rsidR="008D1966">
        <w:rPr>
          <w:rFonts w:ascii="ITC Avant Garde" w:hAnsi="ITC Avant Garde"/>
          <w:sz w:val="22"/>
          <w:szCs w:val="22"/>
        </w:rPr>
        <w:t xml:space="preserve"> </w:t>
      </w:r>
      <w:r w:rsidR="00F90030" w:rsidRPr="00F90030">
        <w:rPr>
          <w:rFonts w:ascii="ITC Avant Garde" w:hAnsi="ITC Avant Garde"/>
          <w:sz w:val="22"/>
          <w:szCs w:val="22"/>
        </w:rPr>
        <w:t xml:space="preserve">de acceso a las tecnologías de la información y comunicación, así como a los servicios de radiodifusión y telecomunicaciones y otorgan a </w:t>
      </w:r>
      <w:r w:rsidR="00847359">
        <w:rPr>
          <w:rFonts w:ascii="ITC Avant Garde" w:hAnsi="ITC Avant Garde"/>
          <w:sz w:val="22"/>
          <w:szCs w:val="22"/>
        </w:rPr>
        <w:t xml:space="preserve">los mismos </w:t>
      </w:r>
      <w:r w:rsidR="00F90030" w:rsidRPr="00F90030">
        <w:rPr>
          <w:rFonts w:ascii="ITC Avant Garde" w:hAnsi="ITC Avant Garde"/>
          <w:sz w:val="22"/>
          <w:szCs w:val="22"/>
        </w:rPr>
        <w:t xml:space="preserve">la naturaleza de servicios públicos de interés general, respecto de los cuales el Estado señalará las condiciones de competencia efectiva para prestar </w:t>
      </w:r>
      <w:r w:rsidR="00847359">
        <w:rPr>
          <w:rFonts w:ascii="ITC Avant Garde" w:hAnsi="ITC Avant Garde"/>
          <w:sz w:val="22"/>
          <w:szCs w:val="22"/>
        </w:rPr>
        <w:t>dichos servicios</w:t>
      </w:r>
      <w:r w:rsidR="00F90030" w:rsidRPr="00F90030">
        <w:rPr>
          <w:rFonts w:ascii="ITC Avant Garde" w:hAnsi="ITC Avant Garde"/>
          <w:sz w:val="22"/>
          <w:szCs w:val="22"/>
        </w:rPr>
        <w:t>. En es</w:t>
      </w:r>
      <w:r w:rsidR="00847359">
        <w:rPr>
          <w:rFonts w:ascii="ITC Avant Garde" w:hAnsi="ITC Avant Garde"/>
          <w:sz w:val="22"/>
          <w:szCs w:val="22"/>
        </w:rPr>
        <w:t>t</w:t>
      </w:r>
      <w:r w:rsidR="00F90030" w:rsidRPr="00F90030">
        <w:rPr>
          <w:rFonts w:ascii="ITC Avant Garde" w:hAnsi="ITC Avant Garde"/>
          <w:sz w:val="22"/>
          <w:szCs w:val="22"/>
        </w:rPr>
        <w:t>e orden de ideas, en términos de la fracción II del apartado B del artículo 6 de la Constitución y 2 de la LFTR,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14:paraId="5E8579B2" w14:textId="77777777" w:rsidR="00F90030" w:rsidRPr="00F90030" w:rsidRDefault="00F90030" w:rsidP="001211C1">
      <w:pPr>
        <w:jc w:val="both"/>
        <w:rPr>
          <w:rFonts w:ascii="ITC Avant Garde" w:hAnsi="ITC Avant Garde"/>
          <w:sz w:val="22"/>
          <w:szCs w:val="22"/>
        </w:rPr>
      </w:pPr>
    </w:p>
    <w:p w14:paraId="514F126F" w14:textId="575EADDA" w:rsidR="004D66A4" w:rsidRDefault="00F90030" w:rsidP="00F94C41">
      <w:pPr>
        <w:jc w:val="both"/>
        <w:rPr>
          <w:rFonts w:ascii="ITC Avant Garde" w:hAnsi="ITC Avant Garde"/>
          <w:sz w:val="22"/>
          <w:szCs w:val="22"/>
        </w:rPr>
      </w:pPr>
      <w:r w:rsidRPr="00F90030">
        <w:rPr>
          <w:rFonts w:ascii="ITC Avant Garde" w:hAnsi="ITC Avant Garde"/>
          <w:sz w:val="22"/>
          <w:szCs w:val="22"/>
        </w:rPr>
        <w:t xml:space="preserve">De lo expuesto, </w:t>
      </w:r>
      <w:r w:rsidR="00847359">
        <w:rPr>
          <w:rFonts w:ascii="ITC Avant Garde" w:hAnsi="ITC Avant Garde"/>
          <w:sz w:val="22"/>
          <w:szCs w:val="22"/>
        </w:rPr>
        <w:t xml:space="preserve">se estima pertinente la emisión de </w:t>
      </w:r>
      <w:r w:rsidR="004D66A4">
        <w:rPr>
          <w:rFonts w:ascii="ITC Avant Garde" w:hAnsi="ITC Avant Garde"/>
          <w:sz w:val="22"/>
          <w:szCs w:val="22"/>
        </w:rPr>
        <w:t xml:space="preserve">nuevos </w:t>
      </w:r>
      <w:r w:rsidR="00F94C41">
        <w:rPr>
          <w:rFonts w:ascii="ITC Avant Garde" w:hAnsi="ITC Avant Garde"/>
          <w:sz w:val="22"/>
          <w:szCs w:val="22"/>
        </w:rPr>
        <w:t>Plan</w:t>
      </w:r>
      <w:r w:rsidR="004D66A4">
        <w:rPr>
          <w:rFonts w:ascii="ITC Avant Garde" w:hAnsi="ITC Avant Garde"/>
          <w:sz w:val="22"/>
          <w:szCs w:val="22"/>
        </w:rPr>
        <w:t xml:space="preserve">es </w:t>
      </w:r>
      <w:r w:rsidR="00F94C41">
        <w:rPr>
          <w:rFonts w:ascii="ITC Avant Garde" w:hAnsi="ITC Avant Garde"/>
          <w:sz w:val="22"/>
          <w:szCs w:val="22"/>
        </w:rPr>
        <w:t>Técnico</w:t>
      </w:r>
      <w:r w:rsidR="00847359">
        <w:rPr>
          <w:rFonts w:ascii="ITC Avant Garde" w:hAnsi="ITC Avant Garde"/>
          <w:sz w:val="22"/>
          <w:szCs w:val="22"/>
        </w:rPr>
        <w:t>s</w:t>
      </w:r>
      <w:r w:rsidR="00F94C41">
        <w:rPr>
          <w:rFonts w:ascii="ITC Avant Garde" w:hAnsi="ITC Avant Garde"/>
          <w:sz w:val="22"/>
          <w:szCs w:val="22"/>
        </w:rPr>
        <w:t xml:space="preserve"> Fundamental</w:t>
      </w:r>
      <w:r w:rsidR="00847359">
        <w:rPr>
          <w:rFonts w:ascii="ITC Avant Garde" w:hAnsi="ITC Avant Garde"/>
          <w:sz w:val="22"/>
          <w:szCs w:val="22"/>
        </w:rPr>
        <w:t>es</w:t>
      </w:r>
      <w:r w:rsidR="00F94C41">
        <w:rPr>
          <w:rFonts w:ascii="ITC Avant Garde" w:hAnsi="ITC Avant Garde"/>
          <w:sz w:val="22"/>
          <w:szCs w:val="22"/>
        </w:rPr>
        <w:t xml:space="preserve"> de Numeración</w:t>
      </w:r>
      <w:r w:rsidRPr="00F90030">
        <w:rPr>
          <w:rFonts w:ascii="ITC Avant Garde" w:hAnsi="ITC Avant Garde"/>
          <w:sz w:val="22"/>
          <w:szCs w:val="22"/>
        </w:rPr>
        <w:t xml:space="preserve"> </w:t>
      </w:r>
      <w:r w:rsidR="004D66A4">
        <w:rPr>
          <w:rFonts w:ascii="ITC Avant Garde" w:hAnsi="ITC Avant Garde"/>
          <w:sz w:val="22"/>
          <w:szCs w:val="22"/>
        </w:rPr>
        <w:t xml:space="preserve">y de Señalización </w:t>
      </w:r>
      <w:r w:rsidRPr="00F90030">
        <w:rPr>
          <w:rFonts w:ascii="ITC Avant Garde" w:hAnsi="ITC Avant Garde"/>
          <w:sz w:val="22"/>
          <w:szCs w:val="22"/>
        </w:rPr>
        <w:t>que permita</w:t>
      </w:r>
      <w:r w:rsidR="00964F33">
        <w:rPr>
          <w:rFonts w:ascii="ITC Avant Garde" w:hAnsi="ITC Avant Garde"/>
          <w:sz w:val="22"/>
          <w:szCs w:val="22"/>
        </w:rPr>
        <w:t>n</w:t>
      </w:r>
      <w:r w:rsidR="004D66A4">
        <w:rPr>
          <w:rFonts w:ascii="ITC Avant Garde" w:hAnsi="ITC Avant Garde"/>
          <w:sz w:val="22"/>
          <w:szCs w:val="22"/>
        </w:rPr>
        <w:t>:</w:t>
      </w:r>
    </w:p>
    <w:p w14:paraId="7A1D5019" w14:textId="77777777" w:rsidR="004D66A4" w:rsidRDefault="004D66A4" w:rsidP="00F94C41">
      <w:pPr>
        <w:jc w:val="both"/>
        <w:rPr>
          <w:rFonts w:ascii="ITC Avant Garde" w:hAnsi="ITC Avant Garde"/>
          <w:sz w:val="22"/>
          <w:szCs w:val="22"/>
        </w:rPr>
      </w:pPr>
    </w:p>
    <w:p w14:paraId="0BB63EB2" w14:textId="5097B798" w:rsidR="004D66A4" w:rsidRDefault="004D66A4" w:rsidP="00964F33">
      <w:pPr>
        <w:pStyle w:val="Prrafodelista"/>
        <w:numPr>
          <w:ilvl w:val="0"/>
          <w:numId w:val="12"/>
        </w:numPr>
        <w:spacing w:before="240"/>
        <w:ind w:left="714" w:hanging="357"/>
        <w:jc w:val="both"/>
        <w:rPr>
          <w:rFonts w:ascii="ITC Avant Garde" w:hAnsi="ITC Avant Garde"/>
          <w:sz w:val="22"/>
          <w:szCs w:val="22"/>
        </w:rPr>
      </w:pPr>
      <w:r>
        <w:rPr>
          <w:rFonts w:ascii="ITC Avant Garde" w:hAnsi="ITC Avant Garde"/>
          <w:sz w:val="22"/>
          <w:szCs w:val="22"/>
        </w:rPr>
        <w:t xml:space="preserve">Establecer </w:t>
      </w:r>
      <w:r w:rsidR="00F94C41" w:rsidRPr="004D66A4">
        <w:rPr>
          <w:rFonts w:ascii="ITC Avant Garde" w:hAnsi="ITC Avant Garde"/>
          <w:sz w:val="22"/>
          <w:szCs w:val="22"/>
        </w:rPr>
        <w:t xml:space="preserve">las bases para una adecuada administración y asignación de los recursos públicos de numeración, direccionamiento y denominación necesarios para la efectiva prestación de los </w:t>
      </w:r>
      <w:r w:rsidR="00847359">
        <w:rPr>
          <w:rFonts w:ascii="ITC Avant Garde" w:hAnsi="ITC Avant Garde"/>
          <w:sz w:val="22"/>
          <w:szCs w:val="22"/>
        </w:rPr>
        <w:t>s</w:t>
      </w:r>
      <w:r w:rsidR="00F94C41" w:rsidRPr="004D66A4">
        <w:rPr>
          <w:rFonts w:ascii="ITC Avant Garde" w:hAnsi="ITC Avant Garde"/>
          <w:sz w:val="22"/>
          <w:szCs w:val="22"/>
        </w:rPr>
        <w:t xml:space="preserve">ervicios de </w:t>
      </w:r>
      <w:r w:rsidR="00847359">
        <w:rPr>
          <w:rFonts w:ascii="ITC Avant Garde" w:hAnsi="ITC Avant Garde"/>
          <w:sz w:val="22"/>
          <w:szCs w:val="22"/>
        </w:rPr>
        <w:t>t</w:t>
      </w:r>
      <w:r w:rsidR="00F94C41" w:rsidRPr="004D66A4">
        <w:rPr>
          <w:rFonts w:ascii="ITC Avant Garde" w:hAnsi="ITC Avant Garde"/>
          <w:sz w:val="22"/>
          <w:szCs w:val="22"/>
        </w:rPr>
        <w:t xml:space="preserve">elecomunicaciones, utilizando procedimientos </w:t>
      </w:r>
      <w:r w:rsidRPr="004D66A4">
        <w:rPr>
          <w:rFonts w:ascii="ITC Avant Garde" w:hAnsi="ITC Avant Garde"/>
          <w:sz w:val="22"/>
          <w:szCs w:val="22"/>
        </w:rPr>
        <w:t xml:space="preserve">modernos, </w:t>
      </w:r>
      <w:r w:rsidR="00F94C41" w:rsidRPr="004D66A4">
        <w:rPr>
          <w:rFonts w:ascii="ITC Avant Garde" w:hAnsi="ITC Avant Garde"/>
          <w:sz w:val="22"/>
          <w:szCs w:val="22"/>
        </w:rPr>
        <w:t>abiertos, pro-competitivos, objetivos, no discriminatorios y transparentes.</w:t>
      </w:r>
    </w:p>
    <w:p w14:paraId="5B8C3541" w14:textId="676B1982" w:rsidR="002517B0" w:rsidRDefault="004D66A4" w:rsidP="00964F33">
      <w:pPr>
        <w:pStyle w:val="Prrafodelista"/>
        <w:numPr>
          <w:ilvl w:val="0"/>
          <w:numId w:val="12"/>
        </w:numPr>
        <w:spacing w:before="240"/>
        <w:ind w:left="714" w:hanging="357"/>
        <w:jc w:val="both"/>
        <w:rPr>
          <w:rFonts w:ascii="ITC Avant Garde" w:hAnsi="ITC Avant Garde"/>
          <w:sz w:val="22"/>
          <w:szCs w:val="22"/>
        </w:rPr>
      </w:pPr>
      <w:r>
        <w:rPr>
          <w:rFonts w:ascii="ITC Avant Garde" w:hAnsi="ITC Avant Garde"/>
          <w:sz w:val="22"/>
          <w:szCs w:val="22"/>
        </w:rPr>
        <w:t>E</w:t>
      </w:r>
      <w:r w:rsidR="00F94C41" w:rsidRPr="004D66A4">
        <w:rPr>
          <w:rFonts w:ascii="ITC Avant Garde" w:hAnsi="ITC Avant Garde"/>
          <w:sz w:val="22"/>
          <w:szCs w:val="22"/>
        </w:rPr>
        <w:t xml:space="preserve">stablecer los procedimientos de marcación que deberán ser utilizados por los </w:t>
      </w:r>
      <w:r w:rsidR="00847359">
        <w:rPr>
          <w:rFonts w:ascii="ITC Avant Garde" w:hAnsi="ITC Avant Garde"/>
          <w:sz w:val="22"/>
          <w:szCs w:val="22"/>
        </w:rPr>
        <w:t>u</w:t>
      </w:r>
      <w:r w:rsidR="00F94C41" w:rsidRPr="004D66A4">
        <w:rPr>
          <w:rFonts w:ascii="ITC Avant Garde" w:hAnsi="ITC Avant Garde"/>
          <w:sz w:val="22"/>
          <w:szCs w:val="22"/>
        </w:rPr>
        <w:t xml:space="preserve">suarios </w:t>
      </w:r>
      <w:r w:rsidR="00847359">
        <w:rPr>
          <w:rFonts w:ascii="ITC Avant Garde" w:hAnsi="ITC Avant Garde"/>
          <w:sz w:val="22"/>
          <w:szCs w:val="22"/>
        </w:rPr>
        <w:t xml:space="preserve">finales </w:t>
      </w:r>
      <w:r w:rsidR="00F94C41" w:rsidRPr="004D66A4">
        <w:rPr>
          <w:rFonts w:ascii="ITC Avant Garde" w:hAnsi="ITC Avant Garde"/>
          <w:sz w:val="22"/>
          <w:szCs w:val="22"/>
        </w:rPr>
        <w:t>para el acceso a los distintos servicios de telecomunicaciones.</w:t>
      </w:r>
    </w:p>
    <w:p w14:paraId="60F83528" w14:textId="317B975F" w:rsidR="00F94C41" w:rsidRDefault="00964F33" w:rsidP="00964F33">
      <w:pPr>
        <w:pStyle w:val="Prrafodelista"/>
        <w:numPr>
          <w:ilvl w:val="0"/>
          <w:numId w:val="12"/>
        </w:numPr>
        <w:spacing w:before="240"/>
        <w:ind w:left="714" w:hanging="357"/>
        <w:jc w:val="both"/>
        <w:rPr>
          <w:rFonts w:ascii="ITC Avant Garde" w:hAnsi="ITC Avant Garde"/>
          <w:sz w:val="22"/>
          <w:szCs w:val="22"/>
        </w:rPr>
      </w:pPr>
      <w:r w:rsidRPr="00964F33">
        <w:rPr>
          <w:rFonts w:ascii="ITC Avant Garde" w:hAnsi="ITC Avant Garde"/>
          <w:sz w:val="22"/>
          <w:szCs w:val="22"/>
        </w:rPr>
        <w:t xml:space="preserve">Establecer las bases para el adecuado uso, administración y asignación de los recursos nacionales asociados a la señalización entre redes públicas de telecomunicaciones, con el fin de lograr la eficiente interconexión e interoperabilidad de dichas redes en beneficio de </w:t>
      </w:r>
      <w:r w:rsidR="00847359">
        <w:rPr>
          <w:rFonts w:ascii="ITC Avant Garde" w:hAnsi="ITC Avant Garde"/>
          <w:sz w:val="22"/>
          <w:szCs w:val="22"/>
        </w:rPr>
        <w:t>u</w:t>
      </w:r>
      <w:r w:rsidRPr="00964F33">
        <w:rPr>
          <w:rFonts w:ascii="ITC Avant Garde" w:hAnsi="ITC Avant Garde"/>
          <w:sz w:val="22"/>
          <w:szCs w:val="22"/>
        </w:rPr>
        <w:t xml:space="preserve">suarios y </w:t>
      </w:r>
      <w:r w:rsidR="00847359">
        <w:rPr>
          <w:rFonts w:ascii="ITC Avant Garde" w:hAnsi="ITC Avant Garde"/>
          <w:sz w:val="22"/>
          <w:szCs w:val="22"/>
        </w:rPr>
        <w:t>operadores</w:t>
      </w:r>
      <w:r w:rsidRPr="00964F33">
        <w:rPr>
          <w:rFonts w:ascii="ITC Avant Garde" w:hAnsi="ITC Avant Garde"/>
          <w:sz w:val="22"/>
          <w:szCs w:val="22"/>
        </w:rPr>
        <w:t>, utilizando procedimientos abiertos, pro-competitivos, objetivos, no discriminatorios y transparentes.</w:t>
      </w:r>
    </w:p>
    <w:p w14:paraId="024DF4F2" w14:textId="77777777" w:rsidR="001211C1" w:rsidRPr="00B76DDC" w:rsidRDefault="001211C1" w:rsidP="001211C1">
      <w:pPr>
        <w:pStyle w:val="Texto"/>
        <w:spacing w:line="240" w:lineRule="auto"/>
        <w:ind w:firstLine="0"/>
        <w:rPr>
          <w:rFonts w:ascii="ITC Avant Garde" w:hAnsi="ITC Avant Garde"/>
          <w:sz w:val="22"/>
          <w:szCs w:val="22"/>
        </w:rPr>
      </w:pPr>
    </w:p>
    <w:p w14:paraId="3B4CF350" w14:textId="206B7F14" w:rsidR="00A06EBB" w:rsidRDefault="00A06EBB" w:rsidP="001211C1">
      <w:pPr>
        <w:autoSpaceDE w:val="0"/>
        <w:autoSpaceDN w:val="0"/>
        <w:adjustRightInd w:val="0"/>
        <w:jc w:val="both"/>
        <w:rPr>
          <w:rFonts w:ascii="ITC Avant Garde" w:hAnsi="ITC Avant Garde"/>
          <w:sz w:val="22"/>
          <w:szCs w:val="22"/>
          <w:lang w:val="es-ES_tradnl"/>
        </w:rPr>
      </w:pPr>
      <w:r>
        <w:rPr>
          <w:rFonts w:ascii="ITC Avant Garde" w:hAnsi="ITC Avant Garde"/>
          <w:b/>
          <w:sz w:val="22"/>
          <w:szCs w:val="22"/>
        </w:rPr>
        <w:t>TERCERO</w:t>
      </w:r>
      <w:r w:rsidR="00AD55DE" w:rsidRPr="00137D65">
        <w:rPr>
          <w:rFonts w:ascii="ITC Avant Garde" w:hAnsi="ITC Avant Garde"/>
          <w:sz w:val="22"/>
          <w:szCs w:val="22"/>
        </w:rPr>
        <w:t>.</w:t>
      </w:r>
      <w:r w:rsidR="002C3AAE">
        <w:rPr>
          <w:rFonts w:ascii="ITC Avant Garde" w:hAnsi="ITC Avant Garde"/>
          <w:sz w:val="22"/>
          <w:szCs w:val="22"/>
        </w:rPr>
        <w:t xml:space="preserve"> </w:t>
      </w:r>
      <w:r>
        <w:rPr>
          <w:rFonts w:ascii="ITC Avant Garde" w:hAnsi="ITC Avant Garde"/>
          <w:b/>
          <w:sz w:val="22"/>
          <w:szCs w:val="22"/>
          <w:lang w:val="es-ES_tradnl"/>
        </w:rPr>
        <w:t>Consulta pública.</w:t>
      </w:r>
      <w:r w:rsidRPr="00501D3C">
        <w:rPr>
          <w:rFonts w:ascii="ITC Avant Garde" w:hAnsi="ITC Avant Garde"/>
          <w:sz w:val="22"/>
          <w:szCs w:val="22"/>
          <w:lang w:val="es-ES_tradnl"/>
        </w:rPr>
        <w:t xml:space="preserve"> </w:t>
      </w:r>
      <w:r w:rsidR="00847359" w:rsidRPr="002367EE" w:rsidDel="000B3169">
        <w:rPr>
          <w:rFonts w:ascii="ITC Avant Garde" w:hAnsi="ITC Avant Garde"/>
          <w:kern w:val="2"/>
          <w:sz w:val="22"/>
          <w:szCs w:val="22"/>
          <w:lang w:val="es-ES" w:eastAsia="ar-SA"/>
        </w:rPr>
        <w:t>El artículo 51 de la LFTR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w:t>
      </w:r>
      <w:r w:rsidR="00847359">
        <w:rPr>
          <w:rFonts w:ascii="ITC Avant Garde" w:hAnsi="ITC Avant Garde"/>
          <w:kern w:val="2"/>
          <w:sz w:val="22"/>
          <w:szCs w:val="22"/>
          <w:lang w:val="es-ES" w:eastAsia="ar-SA"/>
        </w:rPr>
        <w:t xml:space="preserve">, por lo </w:t>
      </w:r>
      <w:r w:rsidR="00847359">
        <w:rPr>
          <w:rFonts w:ascii="ITC Avant Garde" w:hAnsi="ITC Avant Garde"/>
          <w:kern w:val="2"/>
          <w:sz w:val="22"/>
          <w:szCs w:val="22"/>
          <w:lang w:val="es-ES" w:eastAsia="ar-SA"/>
        </w:rPr>
        <w:lastRenderedPageBreak/>
        <w:t>que</w:t>
      </w:r>
      <w:r w:rsidR="00847359" w:rsidDel="00847359">
        <w:rPr>
          <w:rFonts w:ascii="ITC Avant Garde" w:hAnsi="ITC Avant Garde"/>
          <w:kern w:val="2"/>
          <w:sz w:val="22"/>
          <w:szCs w:val="22"/>
          <w:lang w:val="es-ES" w:eastAsia="ar-SA"/>
        </w:rPr>
        <w:t xml:space="preserve"> </w:t>
      </w:r>
      <w:r w:rsidRPr="00501D3C">
        <w:rPr>
          <w:rFonts w:ascii="ITC Avant Garde" w:hAnsi="ITC Avant Garde"/>
          <w:sz w:val="22"/>
          <w:szCs w:val="22"/>
          <w:lang w:val="es-ES_tradnl"/>
        </w:rPr>
        <w:t xml:space="preserve">con la emisión de la consulta pública del Anteproyecto </w:t>
      </w:r>
      <w:r w:rsidR="003F7998">
        <w:rPr>
          <w:rFonts w:ascii="ITC Avant Garde" w:hAnsi="ITC Avant Garde"/>
          <w:sz w:val="22"/>
          <w:szCs w:val="22"/>
          <w:lang w:val="es-ES_tradnl"/>
        </w:rPr>
        <w:t xml:space="preserve">materia del presente Acuerdo, </w:t>
      </w:r>
      <w:r w:rsidRPr="00501D3C">
        <w:rPr>
          <w:rFonts w:ascii="ITC Avant Garde" w:hAnsi="ITC Avant Garde"/>
          <w:sz w:val="22"/>
          <w:szCs w:val="22"/>
          <w:lang w:val="es-ES_tradnl"/>
        </w:rPr>
        <w:t xml:space="preserve">se </w:t>
      </w:r>
      <w:r w:rsidR="003F7998">
        <w:rPr>
          <w:rFonts w:ascii="ITC Avant Garde" w:hAnsi="ITC Avant Garde"/>
          <w:sz w:val="22"/>
          <w:szCs w:val="22"/>
          <w:lang w:val="es-ES_tradnl"/>
        </w:rPr>
        <w:t xml:space="preserve">pretenden </w:t>
      </w:r>
      <w:r w:rsidRPr="00501D3C">
        <w:rPr>
          <w:rFonts w:ascii="ITC Avant Garde" w:hAnsi="ITC Avant Garde"/>
          <w:sz w:val="22"/>
          <w:szCs w:val="22"/>
          <w:lang w:val="es-ES_tradnl"/>
        </w:rPr>
        <w:t>alcanza</w:t>
      </w:r>
      <w:r w:rsidR="003F7998">
        <w:rPr>
          <w:rFonts w:ascii="ITC Avant Garde" w:hAnsi="ITC Avant Garde"/>
          <w:sz w:val="22"/>
          <w:szCs w:val="22"/>
          <w:lang w:val="es-ES_tradnl"/>
        </w:rPr>
        <w:t>r</w:t>
      </w:r>
      <w:r w:rsidRPr="00501D3C">
        <w:rPr>
          <w:rFonts w:ascii="ITC Avant Garde" w:hAnsi="ITC Avant Garde"/>
          <w:sz w:val="22"/>
          <w:szCs w:val="22"/>
          <w:lang w:val="es-ES_tradnl"/>
        </w:rPr>
        <w:t xml:space="preserve"> los siguientes objetivos:</w:t>
      </w:r>
    </w:p>
    <w:p w14:paraId="121F264C" w14:textId="77777777" w:rsidR="00A06EBB" w:rsidRDefault="00A06EBB" w:rsidP="001211C1">
      <w:pPr>
        <w:autoSpaceDE w:val="0"/>
        <w:autoSpaceDN w:val="0"/>
        <w:adjustRightInd w:val="0"/>
        <w:jc w:val="both"/>
        <w:rPr>
          <w:rFonts w:ascii="ITC Avant Garde" w:hAnsi="ITC Avant Garde"/>
          <w:sz w:val="22"/>
          <w:szCs w:val="22"/>
          <w:lang w:val="es-ES_tradnl"/>
        </w:rPr>
      </w:pPr>
    </w:p>
    <w:p w14:paraId="500CEA1B" w14:textId="371FE7CF" w:rsidR="002367EE" w:rsidRDefault="00A06EBB" w:rsidP="00964F33">
      <w:pPr>
        <w:pStyle w:val="Default"/>
        <w:numPr>
          <w:ilvl w:val="0"/>
          <w:numId w:val="11"/>
        </w:numPr>
        <w:tabs>
          <w:tab w:val="left" w:pos="0"/>
        </w:tabs>
        <w:jc w:val="both"/>
        <w:rPr>
          <w:rFonts w:ascii="ITC Avant Garde" w:hAnsi="ITC Avant Garde"/>
          <w:sz w:val="22"/>
          <w:szCs w:val="22"/>
          <w:lang w:val="es-ES_tradnl"/>
        </w:rPr>
      </w:pPr>
      <w:r w:rsidRPr="00501D3C">
        <w:rPr>
          <w:rFonts w:ascii="ITC Avant Garde" w:hAnsi="ITC Avant Garde"/>
          <w:sz w:val="22"/>
          <w:szCs w:val="22"/>
          <w:lang w:val="es-ES_tradnl"/>
        </w:rPr>
        <w:t>Fortalecer el principio de</w:t>
      </w:r>
      <w:r w:rsidR="00110A96">
        <w:rPr>
          <w:rFonts w:ascii="ITC Avant Garde" w:hAnsi="ITC Avant Garde"/>
          <w:sz w:val="22"/>
          <w:szCs w:val="22"/>
          <w:lang w:val="es-ES_tradnl"/>
        </w:rPr>
        <w:t xml:space="preserve"> transparencia en la emisión </w:t>
      </w:r>
      <w:r w:rsidR="003F7998">
        <w:rPr>
          <w:rFonts w:ascii="ITC Avant Garde" w:hAnsi="ITC Avant Garde"/>
          <w:sz w:val="22"/>
          <w:szCs w:val="22"/>
          <w:lang w:val="es-ES_tradnl"/>
        </w:rPr>
        <w:t>que se lleve a cabo en su momento</w:t>
      </w:r>
      <w:r>
        <w:rPr>
          <w:rFonts w:ascii="ITC Avant Garde" w:hAnsi="ITC Avant Garde"/>
          <w:sz w:val="22"/>
          <w:szCs w:val="22"/>
          <w:lang w:val="es-ES_tradnl"/>
        </w:rPr>
        <w:t xml:space="preserve"> </w:t>
      </w:r>
      <w:r w:rsidR="003F7998">
        <w:rPr>
          <w:rFonts w:ascii="ITC Avant Garde" w:hAnsi="ITC Avant Garde"/>
          <w:sz w:val="22"/>
          <w:szCs w:val="22"/>
          <w:lang w:val="es-ES_tradnl"/>
        </w:rPr>
        <w:t xml:space="preserve">de los nuevos </w:t>
      </w:r>
      <w:r w:rsidR="003F7998" w:rsidRPr="00EE1F5E">
        <w:rPr>
          <w:rFonts w:ascii="ITC Avant Garde" w:hAnsi="ITC Avant Garde"/>
          <w:sz w:val="22"/>
          <w:szCs w:val="22"/>
        </w:rPr>
        <w:t>P</w:t>
      </w:r>
      <w:r w:rsidR="00964F33" w:rsidRPr="00EE1F5E">
        <w:rPr>
          <w:rFonts w:ascii="ITC Avant Garde" w:hAnsi="ITC Avant Garde"/>
          <w:sz w:val="22"/>
          <w:szCs w:val="22"/>
        </w:rPr>
        <w:t xml:space="preserve">lanes </w:t>
      </w:r>
      <w:r w:rsidR="003F7998" w:rsidRPr="00EE1F5E">
        <w:rPr>
          <w:rFonts w:ascii="ITC Avant Garde" w:hAnsi="ITC Avant Garde"/>
          <w:sz w:val="22"/>
          <w:szCs w:val="22"/>
        </w:rPr>
        <w:t>Técnicos F</w:t>
      </w:r>
      <w:r w:rsidR="00964F33" w:rsidRPr="00EE1F5E">
        <w:rPr>
          <w:rFonts w:ascii="ITC Avant Garde" w:hAnsi="ITC Avant Garde"/>
          <w:sz w:val="22"/>
          <w:szCs w:val="22"/>
        </w:rPr>
        <w:t xml:space="preserve">undamentales de </w:t>
      </w:r>
      <w:r w:rsidR="003F7998" w:rsidRPr="00EE1F5E">
        <w:rPr>
          <w:rFonts w:ascii="ITC Avant Garde" w:hAnsi="ITC Avant Garde"/>
          <w:sz w:val="22"/>
          <w:szCs w:val="22"/>
        </w:rPr>
        <w:t>N</w:t>
      </w:r>
      <w:r w:rsidR="00964F33" w:rsidRPr="00EE1F5E">
        <w:rPr>
          <w:rFonts w:ascii="ITC Avant Garde" w:hAnsi="ITC Avant Garde"/>
          <w:sz w:val="22"/>
          <w:szCs w:val="22"/>
        </w:rPr>
        <w:t xml:space="preserve">umeración y </w:t>
      </w:r>
      <w:r w:rsidR="003F7998" w:rsidRPr="00EE1F5E">
        <w:rPr>
          <w:rFonts w:ascii="ITC Avant Garde" w:hAnsi="ITC Avant Garde"/>
          <w:sz w:val="22"/>
          <w:szCs w:val="22"/>
        </w:rPr>
        <w:t>de S</w:t>
      </w:r>
      <w:r w:rsidR="00964F33" w:rsidRPr="00EE1F5E">
        <w:rPr>
          <w:rFonts w:ascii="ITC Avant Garde" w:hAnsi="ITC Avant Garde"/>
          <w:sz w:val="22"/>
          <w:szCs w:val="22"/>
        </w:rPr>
        <w:t xml:space="preserve">eñalización y la consecuente modificación a las </w:t>
      </w:r>
      <w:r w:rsidR="003F7998" w:rsidRPr="00EE1F5E">
        <w:rPr>
          <w:rFonts w:ascii="ITC Avant Garde" w:hAnsi="ITC Avant Garde"/>
          <w:sz w:val="22"/>
          <w:szCs w:val="22"/>
        </w:rPr>
        <w:t>R</w:t>
      </w:r>
      <w:r w:rsidR="00964F33" w:rsidRPr="00EE1F5E">
        <w:rPr>
          <w:rFonts w:ascii="ITC Avant Garde" w:hAnsi="ITC Avant Garde"/>
          <w:sz w:val="22"/>
          <w:szCs w:val="22"/>
        </w:rPr>
        <w:t xml:space="preserve">eglas de </w:t>
      </w:r>
      <w:r w:rsidR="003F7998" w:rsidRPr="00EE1F5E">
        <w:rPr>
          <w:rFonts w:ascii="ITC Avant Garde" w:hAnsi="ITC Avant Garde"/>
          <w:sz w:val="22"/>
          <w:szCs w:val="22"/>
        </w:rPr>
        <w:t>P</w:t>
      </w:r>
      <w:r w:rsidR="00964F33" w:rsidRPr="00EE1F5E">
        <w:rPr>
          <w:rFonts w:ascii="ITC Avant Garde" w:hAnsi="ITC Avant Garde"/>
          <w:sz w:val="22"/>
          <w:szCs w:val="22"/>
        </w:rPr>
        <w:t>ortabilidad</w:t>
      </w:r>
      <w:r w:rsidR="003F7998" w:rsidRPr="00EE1F5E">
        <w:rPr>
          <w:rFonts w:ascii="ITC Avant Garde" w:hAnsi="ITC Avant Garde"/>
          <w:sz w:val="22"/>
          <w:szCs w:val="22"/>
        </w:rPr>
        <w:t xml:space="preserve"> Numérica</w:t>
      </w:r>
      <w:r w:rsidR="001E7E83">
        <w:rPr>
          <w:rFonts w:ascii="ITC Avant Garde" w:hAnsi="ITC Avant Garde"/>
          <w:sz w:val="22"/>
          <w:szCs w:val="22"/>
        </w:rPr>
        <w:t>.</w:t>
      </w:r>
      <w:r>
        <w:rPr>
          <w:rFonts w:ascii="ITC Avant Garde" w:hAnsi="ITC Avant Garde"/>
          <w:sz w:val="22"/>
          <w:szCs w:val="22"/>
          <w:lang w:val="es-ES_tradnl"/>
        </w:rPr>
        <w:t xml:space="preserve"> </w:t>
      </w:r>
    </w:p>
    <w:p w14:paraId="1A7DE600" w14:textId="77777777" w:rsidR="00F529BA" w:rsidRDefault="00F529BA" w:rsidP="001211C1">
      <w:pPr>
        <w:pStyle w:val="Default"/>
        <w:tabs>
          <w:tab w:val="left" w:pos="0"/>
        </w:tabs>
        <w:ind w:left="426"/>
        <w:jc w:val="both"/>
        <w:rPr>
          <w:rFonts w:ascii="ITC Avant Garde" w:hAnsi="ITC Avant Garde"/>
          <w:sz w:val="22"/>
          <w:szCs w:val="22"/>
          <w:lang w:val="es-ES_tradnl"/>
        </w:rPr>
      </w:pPr>
    </w:p>
    <w:p w14:paraId="6AED5FD2" w14:textId="28A79639" w:rsidR="00A06EBB" w:rsidRDefault="002367EE" w:rsidP="001211C1">
      <w:pPr>
        <w:pStyle w:val="Default"/>
        <w:numPr>
          <w:ilvl w:val="0"/>
          <w:numId w:val="11"/>
        </w:numPr>
        <w:tabs>
          <w:tab w:val="left" w:pos="0"/>
        </w:tabs>
        <w:ind w:left="851" w:hanging="425"/>
        <w:jc w:val="both"/>
        <w:rPr>
          <w:rFonts w:ascii="ITC Avant Garde" w:hAnsi="ITC Avant Garde"/>
          <w:sz w:val="22"/>
          <w:szCs w:val="22"/>
          <w:lang w:val="es-ES_tradnl"/>
        </w:rPr>
      </w:pPr>
      <w:r w:rsidRPr="002367EE">
        <w:rPr>
          <w:rFonts w:ascii="ITC Avant Garde" w:hAnsi="ITC Avant Garde"/>
          <w:sz w:val="22"/>
          <w:szCs w:val="22"/>
          <w:lang w:val="es-ES_tradnl"/>
        </w:rPr>
        <w:t>Fortalecer los planteamientos expuestos en el Anteproyecto mediante la participación de la industria, así como de la ciudadanía, generando así un documento más robusto y eficiente que</w:t>
      </w:r>
      <w:r w:rsidR="003F7998">
        <w:rPr>
          <w:rFonts w:ascii="ITC Avant Garde" w:hAnsi="ITC Avant Garde"/>
          <w:sz w:val="22"/>
          <w:szCs w:val="22"/>
          <w:lang w:val="es-ES_tradnl"/>
        </w:rPr>
        <w:t>, en su oportunidad,</w:t>
      </w:r>
      <w:r w:rsidRPr="002367EE">
        <w:rPr>
          <w:rFonts w:ascii="ITC Avant Garde" w:hAnsi="ITC Avant Garde"/>
          <w:sz w:val="22"/>
          <w:szCs w:val="22"/>
          <w:lang w:val="es-ES_tradnl"/>
        </w:rPr>
        <w:t xml:space="preserve"> brind</w:t>
      </w:r>
      <w:r w:rsidR="003F7998">
        <w:rPr>
          <w:rFonts w:ascii="ITC Avant Garde" w:hAnsi="ITC Avant Garde"/>
          <w:sz w:val="22"/>
          <w:szCs w:val="22"/>
          <w:lang w:val="es-ES_tradnl"/>
        </w:rPr>
        <w:t>e</w:t>
      </w:r>
      <w:r w:rsidRPr="002367EE">
        <w:rPr>
          <w:rFonts w:ascii="ITC Avant Garde" w:hAnsi="ITC Avant Garde"/>
          <w:sz w:val="22"/>
          <w:szCs w:val="22"/>
          <w:lang w:val="es-ES_tradnl"/>
        </w:rPr>
        <w:t xml:space="preserve"> una cobertura </w:t>
      </w:r>
      <w:r w:rsidR="00D259BD" w:rsidRPr="00C30790">
        <w:rPr>
          <w:rFonts w:ascii="ITC Avant Garde" w:hAnsi="ITC Avant Garde"/>
          <w:sz w:val="22"/>
          <w:szCs w:val="22"/>
          <w:lang w:val="es-ES_tradnl"/>
        </w:rPr>
        <w:t>ó</w:t>
      </w:r>
      <w:r w:rsidRPr="00C30790">
        <w:rPr>
          <w:rFonts w:ascii="ITC Avant Garde" w:hAnsi="ITC Avant Garde"/>
          <w:sz w:val="22"/>
          <w:szCs w:val="22"/>
          <w:lang w:val="es-ES_tradnl"/>
        </w:rPr>
        <w:t>p</w:t>
      </w:r>
      <w:r w:rsidRPr="002367EE">
        <w:rPr>
          <w:rFonts w:ascii="ITC Avant Garde" w:hAnsi="ITC Avant Garde"/>
          <w:sz w:val="22"/>
          <w:szCs w:val="22"/>
          <w:lang w:val="es-ES_tradnl"/>
        </w:rPr>
        <w:t>tima a las necesidades y sugerencias en beneficio de todo el sector</w:t>
      </w:r>
      <w:r w:rsidR="00F529BA">
        <w:rPr>
          <w:rFonts w:ascii="ITC Avant Garde" w:hAnsi="ITC Avant Garde"/>
          <w:sz w:val="22"/>
          <w:szCs w:val="22"/>
          <w:lang w:val="es-ES_tradnl"/>
        </w:rPr>
        <w:t>.</w:t>
      </w:r>
    </w:p>
    <w:p w14:paraId="2F81E29E" w14:textId="77777777" w:rsidR="00F529BA" w:rsidRPr="002367EE" w:rsidRDefault="00F529BA" w:rsidP="001211C1">
      <w:pPr>
        <w:pStyle w:val="Default"/>
        <w:tabs>
          <w:tab w:val="left" w:pos="0"/>
        </w:tabs>
        <w:ind w:left="426"/>
        <w:jc w:val="both"/>
        <w:rPr>
          <w:rFonts w:ascii="ITC Avant Garde" w:hAnsi="ITC Avant Garde"/>
          <w:sz w:val="22"/>
          <w:szCs w:val="22"/>
          <w:lang w:val="es-ES_tradnl"/>
        </w:rPr>
      </w:pPr>
    </w:p>
    <w:p w14:paraId="2859FBA3" w14:textId="0831E1AB" w:rsidR="00FD0F65" w:rsidRDefault="002C3AAE" w:rsidP="001211C1">
      <w:pPr>
        <w:autoSpaceDE w:val="0"/>
        <w:autoSpaceDN w:val="0"/>
        <w:adjustRightInd w:val="0"/>
        <w:jc w:val="both"/>
        <w:rPr>
          <w:rFonts w:ascii="ITC Avant Garde" w:hAnsi="ITC Avant Garde"/>
          <w:sz w:val="22"/>
          <w:szCs w:val="22"/>
        </w:rPr>
      </w:pPr>
      <w:r>
        <w:rPr>
          <w:rFonts w:ascii="ITC Avant Garde" w:hAnsi="ITC Avant Garde"/>
          <w:sz w:val="22"/>
          <w:szCs w:val="22"/>
        </w:rPr>
        <w:t xml:space="preserve">En este sentido, </w:t>
      </w:r>
      <w:r w:rsidR="00C94EC7">
        <w:rPr>
          <w:rFonts w:ascii="ITC Avant Garde" w:hAnsi="ITC Avant Garde"/>
          <w:sz w:val="22"/>
          <w:szCs w:val="22"/>
        </w:rPr>
        <w:t xml:space="preserve">se </w:t>
      </w:r>
      <w:r>
        <w:rPr>
          <w:rFonts w:ascii="ITC Avant Garde" w:hAnsi="ITC Avant Garde"/>
          <w:sz w:val="22"/>
          <w:szCs w:val="22"/>
        </w:rPr>
        <w:t xml:space="preserve">estima conveniente someter a consulta pública el </w:t>
      </w:r>
      <w:r w:rsidR="00A06EBB" w:rsidRPr="00C94EC7">
        <w:rPr>
          <w:rFonts w:ascii="ITC Avant Garde" w:hAnsi="ITC Avant Garde"/>
          <w:sz w:val="22"/>
          <w:szCs w:val="22"/>
        </w:rPr>
        <w:t>“</w:t>
      </w:r>
      <w:r w:rsidR="00964F33" w:rsidRPr="00EE1F5E">
        <w:rPr>
          <w:rFonts w:ascii="ITC Avant Garde" w:hAnsi="ITC Avant Garde"/>
          <w:i/>
          <w:sz w:val="22"/>
          <w:szCs w:val="22"/>
        </w:rPr>
        <w:t xml:space="preserve">Anteproyecto de </w:t>
      </w:r>
      <w:r w:rsidR="00C94EC7" w:rsidRPr="00EE1F5E">
        <w:rPr>
          <w:rFonts w:ascii="ITC Avant Garde" w:hAnsi="ITC Avant Garde"/>
          <w:i/>
          <w:sz w:val="22"/>
          <w:szCs w:val="22"/>
        </w:rPr>
        <w:t>P</w:t>
      </w:r>
      <w:r w:rsidR="00964F33" w:rsidRPr="00EE1F5E">
        <w:rPr>
          <w:rFonts w:ascii="ITC Avant Garde" w:hAnsi="ITC Avant Garde"/>
          <w:i/>
          <w:sz w:val="22"/>
          <w:szCs w:val="22"/>
        </w:rPr>
        <w:t xml:space="preserve">lanes </w:t>
      </w:r>
      <w:r w:rsidR="00C94EC7" w:rsidRPr="00EE1F5E">
        <w:rPr>
          <w:rFonts w:ascii="ITC Avant Garde" w:hAnsi="ITC Avant Garde"/>
          <w:i/>
          <w:sz w:val="22"/>
          <w:szCs w:val="22"/>
        </w:rPr>
        <w:t>Técnicos F</w:t>
      </w:r>
      <w:r w:rsidR="00964F33" w:rsidRPr="00EE1F5E">
        <w:rPr>
          <w:rFonts w:ascii="ITC Avant Garde" w:hAnsi="ITC Avant Garde"/>
          <w:i/>
          <w:sz w:val="22"/>
          <w:szCs w:val="22"/>
        </w:rPr>
        <w:t xml:space="preserve">undamentales de </w:t>
      </w:r>
      <w:r w:rsidR="00C94EC7" w:rsidRPr="00EE1F5E">
        <w:rPr>
          <w:rFonts w:ascii="ITC Avant Garde" w:hAnsi="ITC Avant Garde"/>
          <w:i/>
          <w:sz w:val="22"/>
          <w:szCs w:val="22"/>
        </w:rPr>
        <w:t>N</w:t>
      </w:r>
      <w:r w:rsidR="00964F33" w:rsidRPr="00EE1F5E">
        <w:rPr>
          <w:rFonts w:ascii="ITC Avant Garde" w:hAnsi="ITC Avant Garde"/>
          <w:i/>
          <w:sz w:val="22"/>
          <w:szCs w:val="22"/>
        </w:rPr>
        <w:t xml:space="preserve">umeración y </w:t>
      </w:r>
      <w:r w:rsidR="00C94EC7" w:rsidRPr="00EE1F5E">
        <w:rPr>
          <w:rFonts w:ascii="ITC Avant Garde" w:hAnsi="ITC Avant Garde"/>
          <w:i/>
          <w:sz w:val="22"/>
          <w:szCs w:val="22"/>
        </w:rPr>
        <w:t>S</w:t>
      </w:r>
      <w:r w:rsidR="00964F33" w:rsidRPr="00EE1F5E">
        <w:rPr>
          <w:rFonts w:ascii="ITC Avant Garde" w:hAnsi="ITC Avant Garde"/>
          <w:i/>
          <w:sz w:val="22"/>
          <w:szCs w:val="22"/>
        </w:rPr>
        <w:t xml:space="preserve">eñalización y la consecuente modificación a las </w:t>
      </w:r>
      <w:r w:rsidR="00C94EC7" w:rsidRPr="00EE1F5E">
        <w:rPr>
          <w:rFonts w:ascii="ITC Avant Garde" w:hAnsi="ITC Avant Garde"/>
          <w:i/>
          <w:sz w:val="22"/>
          <w:szCs w:val="22"/>
        </w:rPr>
        <w:t>R</w:t>
      </w:r>
      <w:r w:rsidR="00964F33" w:rsidRPr="00EE1F5E">
        <w:rPr>
          <w:rFonts w:ascii="ITC Avant Garde" w:hAnsi="ITC Avant Garde"/>
          <w:i/>
          <w:sz w:val="22"/>
          <w:szCs w:val="22"/>
        </w:rPr>
        <w:t xml:space="preserve">eglas de </w:t>
      </w:r>
      <w:r w:rsidR="00C94EC7" w:rsidRPr="00EE1F5E">
        <w:rPr>
          <w:rFonts w:ascii="ITC Avant Garde" w:hAnsi="ITC Avant Garde"/>
          <w:i/>
          <w:sz w:val="22"/>
          <w:szCs w:val="22"/>
        </w:rPr>
        <w:t>P</w:t>
      </w:r>
      <w:r w:rsidR="00964F33" w:rsidRPr="00EE1F5E">
        <w:rPr>
          <w:rFonts w:ascii="ITC Avant Garde" w:hAnsi="ITC Avant Garde"/>
          <w:i/>
          <w:sz w:val="22"/>
          <w:szCs w:val="22"/>
        </w:rPr>
        <w:t>ortabilidad</w:t>
      </w:r>
      <w:r w:rsidR="00C94EC7" w:rsidRPr="00EE1F5E">
        <w:rPr>
          <w:rFonts w:ascii="ITC Avant Garde" w:hAnsi="ITC Avant Garde"/>
          <w:i/>
          <w:sz w:val="22"/>
          <w:szCs w:val="22"/>
        </w:rPr>
        <w:t xml:space="preserve"> Numérica</w:t>
      </w:r>
      <w:r w:rsidR="00A06EBB" w:rsidRPr="00C94EC7">
        <w:rPr>
          <w:rFonts w:ascii="ITC Avant Garde" w:hAnsi="ITC Avant Garde"/>
          <w:sz w:val="22"/>
          <w:szCs w:val="22"/>
        </w:rPr>
        <w:t>”</w:t>
      </w:r>
      <w:r w:rsidR="00121FDF" w:rsidRPr="00EE1F5E">
        <w:rPr>
          <w:rFonts w:ascii="ITC Avant Garde" w:hAnsi="ITC Avant Garde"/>
          <w:sz w:val="22"/>
          <w:szCs w:val="22"/>
        </w:rPr>
        <w:t>,</w:t>
      </w:r>
      <w:r w:rsidR="00121FDF">
        <w:rPr>
          <w:rFonts w:ascii="ITC Avant Garde" w:hAnsi="ITC Avant Garde"/>
          <w:b/>
          <w:sz w:val="22"/>
          <w:szCs w:val="22"/>
        </w:rPr>
        <w:t xml:space="preserve"> </w:t>
      </w:r>
      <w:r w:rsidR="00C94EC7" w:rsidRPr="00C94EC7">
        <w:rPr>
          <w:rFonts w:ascii="ITC Avant Garde" w:hAnsi="ITC Avant Garde"/>
          <w:sz w:val="22"/>
          <w:szCs w:val="22"/>
        </w:rPr>
        <w:t>mismo</w:t>
      </w:r>
      <w:r w:rsidR="00C94EC7">
        <w:rPr>
          <w:rFonts w:ascii="ITC Avant Garde" w:hAnsi="ITC Avant Garde"/>
          <w:b/>
          <w:sz w:val="22"/>
          <w:szCs w:val="22"/>
        </w:rPr>
        <w:t xml:space="preserve"> </w:t>
      </w:r>
      <w:r w:rsidR="00121FDF">
        <w:rPr>
          <w:rFonts w:ascii="ITC Avant Garde" w:hAnsi="ITC Avant Garde"/>
          <w:sz w:val="22"/>
          <w:szCs w:val="22"/>
        </w:rPr>
        <w:t>que</w:t>
      </w:r>
      <w:r w:rsidR="00C94EC7">
        <w:rPr>
          <w:rFonts w:ascii="ITC Avant Garde" w:hAnsi="ITC Avant Garde"/>
          <w:sz w:val="22"/>
          <w:szCs w:val="22"/>
        </w:rPr>
        <w:t>,</w:t>
      </w:r>
      <w:r w:rsidR="00121FDF">
        <w:rPr>
          <w:rFonts w:ascii="ITC Avant Garde" w:hAnsi="ITC Avant Garde"/>
          <w:sz w:val="22"/>
          <w:szCs w:val="22"/>
        </w:rPr>
        <w:t xml:space="preserve"> a su vez</w:t>
      </w:r>
      <w:r w:rsidR="00C94EC7">
        <w:rPr>
          <w:rFonts w:ascii="ITC Avant Garde" w:hAnsi="ITC Avant Garde"/>
          <w:sz w:val="22"/>
          <w:szCs w:val="22"/>
        </w:rPr>
        <w:t>,</w:t>
      </w:r>
      <w:r w:rsidR="00121FDF">
        <w:rPr>
          <w:rFonts w:ascii="ITC Avant Garde" w:hAnsi="ITC Avant Garde"/>
          <w:sz w:val="22"/>
          <w:szCs w:val="22"/>
        </w:rPr>
        <w:t xml:space="preserve"> fue sometido a consideración </w:t>
      </w:r>
      <w:r w:rsidR="00C94EC7">
        <w:rPr>
          <w:rFonts w:ascii="ITC Avant Garde" w:hAnsi="ITC Avant Garde"/>
          <w:sz w:val="22"/>
          <w:szCs w:val="22"/>
        </w:rPr>
        <w:t xml:space="preserve">de este Pleno </w:t>
      </w:r>
      <w:r w:rsidR="00121FDF">
        <w:rPr>
          <w:rFonts w:ascii="ITC Avant Garde" w:hAnsi="ITC Avant Garde"/>
          <w:sz w:val="22"/>
          <w:szCs w:val="22"/>
        </w:rPr>
        <w:t xml:space="preserve">por la </w:t>
      </w:r>
      <w:r w:rsidR="001E7E83">
        <w:rPr>
          <w:rFonts w:ascii="ITC Avant Garde" w:hAnsi="ITC Avant Garde"/>
          <w:sz w:val="22"/>
          <w:szCs w:val="22"/>
        </w:rPr>
        <w:t xml:space="preserve">Unidad de </w:t>
      </w:r>
      <w:r w:rsidR="00C94EC7">
        <w:rPr>
          <w:rFonts w:ascii="ITC Avant Garde" w:hAnsi="ITC Avant Garde"/>
          <w:sz w:val="22"/>
          <w:szCs w:val="22"/>
        </w:rPr>
        <w:t>Concesiones y Servicios</w:t>
      </w:r>
      <w:r w:rsidR="00121FDF">
        <w:rPr>
          <w:rFonts w:ascii="ITC Avant Garde" w:hAnsi="ITC Avant Garde"/>
          <w:sz w:val="22"/>
          <w:szCs w:val="22"/>
        </w:rPr>
        <w:t xml:space="preserve">. </w:t>
      </w:r>
      <w:r w:rsidR="00C94EC7">
        <w:rPr>
          <w:rFonts w:ascii="ITC Avant Garde" w:hAnsi="ITC Avant Garde"/>
          <w:sz w:val="22"/>
          <w:szCs w:val="22"/>
        </w:rPr>
        <w:t>No se omite señalar que e</w:t>
      </w:r>
      <w:r w:rsidR="00121FDF">
        <w:rPr>
          <w:rFonts w:ascii="ITC Avant Garde" w:hAnsi="ITC Avant Garde"/>
          <w:sz w:val="22"/>
          <w:szCs w:val="22"/>
        </w:rPr>
        <w:t xml:space="preserve">l Anteproyecto </w:t>
      </w:r>
      <w:r w:rsidR="00C94EC7">
        <w:rPr>
          <w:rFonts w:ascii="ITC Avant Garde" w:hAnsi="ITC Avant Garde"/>
          <w:sz w:val="22"/>
          <w:szCs w:val="22"/>
        </w:rPr>
        <w:t xml:space="preserve">de mérito </w:t>
      </w:r>
      <w:r w:rsidR="00121FDF">
        <w:rPr>
          <w:rFonts w:ascii="ITC Avant Garde" w:hAnsi="ITC Avant Garde"/>
          <w:sz w:val="22"/>
          <w:szCs w:val="22"/>
        </w:rPr>
        <w:t>se adjunta al presente Acuerdo como Anexo Único</w:t>
      </w:r>
      <w:r w:rsidR="00C94EC7">
        <w:rPr>
          <w:rFonts w:ascii="ITC Avant Garde" w:hAnsi="ITC Avant Garde"/>
          <w:sz w:val="22"/>
          <w:szCs w:val="22"/>
        </w:rPr>
        <w:t xml:space="preserve"> y forma parte integral de aquel</w:t>
      </w:r>
      <w:r w:rsidR="00121FDF">
        <w:rPr>
          <w:rFonts w:ascii="ITC Avant Garde" w:hAnsi="ITC Avant Garde"/>
          <w:sz w:val="22"/>
          <w:szCs w:val="22"/>
        </w:rPr>
        <w:t>.</w:t>
      </w:r>
    </w:p>
    <w:p w14:paraId="1F175443" w14:textId="77777777" w:rsidR="00FD0F65" w:rsidRDefault="00FD0F65" w:rsidP="001211C1">
      <w:pPr>
        <w:autoSpaceDE w:val="0"/>
        <w:autoSpaceDN w:val="0"/>
        <w:adjustRightInd w:val="0"/>
        <w:jc w:val="both"/>
        <w:rPr>
          <w:rFonts w:ascii="ITC Avant Garde" w:hAnsi="ITC Avant Garde"/>
          <w:sz w:val="22"/>
          <w:szCs w:val="22"/>
        </w:rPr>
      </w:pPr>
    </w:p>
    <w:p w14:paraId="5D086315" w14:textId="5CF8985F" w:rsidR="005E5830" w:rsidRDefault="00FD0F65" w:rsidP="001211C1">
      <w:pPr>
        <w:autoSpaceDE w:val="0"/>
        <w:autoSpaceDN w:val="0"/>
        <w:adjustRightInd w:val="0"/>
        <w:jc w:val="both"/>
        <w:rPr>
          <w:rFonts w:ascii="ITC Avant Garde" w:hAnsi="ITC Avant Garde" w:cs="Calibri"/>
          <w:b/>
          <w:sz w:val="22"/>
          <w:szCs w:val="22"/>
        </w:rPr>
      </w:pPr>
      <w:r>
        <w:rPr>
          <w:rFonts w:ascii="ITC Avant Garde" w:hAnsi="ITC Avant Garde"/>
          <w:sz w:val="22"/>
          <w:szCs w:val="22"/>
        </w:rPr>
        <w:t>Lo anterior sin perjuicio de que, en su momento,</w:t>
      </w:r>
      <w:r w:rsidR="008D1966">
        <w:rPr>
          <w:rFonts w:ascii="ITC Avant Garde" w:hAnsi="ITC Avant Garde"/>
          <w:sz w:val="22"/>
          <w:szCs w:val="22"/>
        </w:rPr>
        <w:t xml:space="preserve"> </w:t>
      </w:r>
      <w:r>
        <w:rPr>
          <w:rFonts w:ascii="ITC Avant Garde" w:hAnsi="ITC Avant Garde"/>
          <w:sz w:val="22"/>
          <w:szCs w:val="22"/>
        </w:rPr>
        <w:t>el Instituto realice y haga público el</w:t>
      </w:r>
      <w:r w:rsidR="008D1966">
        <w:rPr>
          <w:rFonts w:ascii="ITC Avant Garde" w:hAnsi="ITC Avant Garde"/>
          <w:sz w:val="22"/>
          <w:szCs w:val="22"/>
        </w:rPr>
        <w:t xml:space="preserve"> </w:t>
      </w:r>
      <w:r>
        <w:rPr>
          <w:rFonts w:ascii="ITC Avant Garde" w:hAnsi="ITC Avant Garde"/>
          <w:sz w:val="22"/>
          <w:szCs w:val="22"/>
        </w:rPr>
        <w:t xml:space="preserve">correspondiente análisis de impacto regulatorio, conforme a lo dispuesto </w:t>
      </w:r>
      <w:r w:rsidR="00C94EC7">
        <w:rPr>
          <w:rFonts w:ascii="ITC Avant Garde" w:hAnsi="ITC Avant Garde"/>
          <w:sz w:val="22"/>
          <w:szCs w:val="22"/>
        </w:rPr>
        <w:t>por</w:t>
      </w:r>
      <w:r>
        <w:rPr>
          <w:rFonts w:ascii="ITC Avant Garde" w:hAnsi="ITC Avant Garde"/>
          <w:sz w:val="22"/>
          <w:szCs w:val="22"/>
        </w:rPr>
        <w:t xml:space="preserve"> el segundo párrafo del artículo</w:t>
      </w:r>
      <w:r w:rsidR="008D1966">
        <w:rPr>
          <w:rFonts w:ascii="ITC Avant Garde" w:hAnsi="ITC Avant Garde"/>
          <w:sz w:val="22"/>
          <w:szCs w:val="22"/>
        </w:rPr>
        <w:t xml:space="preserve"> </w:t>
      </w:r>
      <w:r>
        <w:rPr>
          <w:rFonts w:ascii="ITC Avant Garde" w:hAnsi="ITC Avant Garde"/>
          <w:sz w:val="22"/>
          <w:szCs w:val="22"/>
        </w:rPr>
        <w:t xml:space="preserve">51 de la </w:t>
      </w:r>
      <w:r w:rsidR="007B578D">
        <w:rPr>
          <w:rFonts w:ascii="ITC Avant Garde" w:hAnsi="ITC Avant Garde"/>
          <w:sz w:val="22"/>
          <w:szCs w:val="22"/>
        </w:rPr>
        <w:t>LFTR</w:t>
      </w:r>
      <w:r>
        <w:rPr>
          <w:rFonts w:ascii="ITC Avant Garde" w:hAnsi="ITC Avant Garde"/>
          <w:sz w:val="22"/>
          <w:szCs w:val="22"/>
        </w:rPr>
        <w:t xml:space="preserve">. </w:t>
      </w:r>
    </w:p>
    <w:p w14:paraId="25CE072E" w14:textId="77777777" w:rsidR="005E5830" w:rsidRDefault="005E5830" w:rsidP="001211C1">
      <w:pPr>
        <w:autoSpaceDE w:val="0"/>
        <w:autoSpaceDN w:val="0"/>
        <w:adjustRightInd w:val="0"/>
        <w:jc w:val="both"/>
        <w:rPr>
          <w:rFonts w:ascii="ITC Avant Garde" w:hAnsi="ITC Avant Garde" w:cs="Calibri"/>
          <w:b/>
          <w:sz w:val="22"/>
          <w:szCs w:val="22"/>
        </w:rPr>
      </w:pPr>
    </w:p>
    <w:p w14:paraId="6BF62E6C" w14:textId="3D1C0E7F" w:rsidR="00900463" w:rsidRPr="001853A9" w:rsidRDefault="00900463" w:rsidP="001211C1">
      <w:pPr>
        <w:pStyle w:val="Default"/>
        <w:tabs>
          <w:tab w:val="left" w:pos="0"/>
        </w:tabs>
        <w:jc w:val="both"/>
        <w:rPr>
          <w:rFonts w:ascii="ITC Avant Garde" w:hAnsi="ITC Avant Garde"/>
          <w:bCs/>
          <w:color w:val="auto"/>
          <w:sz w:val="22"/>
          <w:szCs w:val="22"/>
          <w:lang w:val="es-ES_tradnl"/>
        </w:rPr>
      </w:pPr>
      <w:r w:rsidRPr="001853A9">
        <w:rPr>
          <w:rFonts w:ascii="ITC Avant Garde" w:hAnsi="ITC Avant Garde"/>
          <w:bCs/>
          <w:sz w:val="22"/>
          <w:szCs w:val="22"/>
          <w:lang w:val="es-ES_tradnl"/>
        </w:rPr>
        <w:t>P</w:t>
      </w:r>
      <w:r w:rsidR="00C94EC7">
        <w:rPr>
          <w:rFonts w:ascii="ITC Avant Garde" w:hAnsi="ITC Avant Garde"/>
          <w:bCs/>
          <w:sz w:val="22"/>
          <w:szCs w:val="22"/>
          <w:lang w:val="es-ES_tradnl"/>
        </w:rPr>
        <w:t xml:space="preserve">ara efectos de </w:t>
      </w:r>
      <w:r w:rsidRPr="001853A9">
        <w:rPr>
          <w:rFonts w:ascii="ITC Avant Garde" w:hAnsi="ITC Avant Garde"/>
          <w:bCs/>
          <w:sz w:val="22"/>
          <w:szCs w:val="22"/>
          <w:lang w:val="es-ES_tradnl"/>
        </w:rPr>
        <w:t xml:space="preserve">lo anterior, el Anteproyecto propuesto por la Unidad de </w:t>
      </w:r>
      <w:r w:rsidR="00964F33">
        <w:rPr>
          <w:rFonts w:ascii="ITC Avant Garde" w:hAnsi="ITC Avant Garde"/>
          <w:bCs/>
          <w:sz w:val="22"/>
          <w:szCs w:val="22"/>
          <w:lang w:val="es-ES_tradnl"/>
        </w:rPr>
        <w:t>Concesiones y Servicios</w:t>
      </w:r>
      <w:r w:rsidRPr="001853A9">
        <w:rPr>
          <w:rFonts w:ascii="ITC Avant Garde" w:hAnsi="ITC Avant Garde"/>
          <w:bCs/>
          <w:sz w:val="22"/>
          <w:szCs w:val="22"/>
          <w:lang w:val="es-ES_tradnl"/>
        </w:rPr>
        <w:t xml:space="preserve"> debe</w:t>
      </w:r>
      <w:r w:rsidR="00C94EC7">
        <w:rPr>
          <w:rFonts w:ascii="ITC Avant Garde" w:hAnsi="ITC Avant Garde"/>
          <w:bCs/>
          <w:sz w:val="22"/>
          <w:szCs w:val="22"/>
          <w:lang w:val="es-ES_tradnl"/>
        </w:rPr>
        <w:t>rá</w:t>
      </w:r>
      <w:r w:rsidRPr="001853A9">
        <w:rPr>
          <w:rFonts w:ascii="ITC Avant Garde" w:hAnsi="ITC Avant Garde"/>
          <w:bCs/>
          <w:sz w:val="22"/>
          <w:szCs w:val="22"/>
          <w:lang w:val="es-ES_tradnl"/>
        </w:rPr>
        <w:t xml:space="preserve"> estar sujeto a un proceso de consulta pública por un periodo </w:t>
      </w:r>
      <w:r w:rsidRPr="0014291C">
        <w:rPr>
          <w:rFonts w:ascii="ITC Avant Garde" w:hAnsi="ITC Avant Garde"/>
          <w:bCs/>
          <w:sz w:val="22"/>
          <w:szCs w:val="22"/>
          <w:lang w:val="es-ES_tradnl"/>
        </w:rPr>
        <w:t xml:space="preserve">de </w:t>
      </w:r>
      <w:r w:rsidR="0052277A">
        <w:rPr>
          <w:rFonts w:ascii="ITC Avant Garde" w:hAnsi="ITC Avant Garde"/>
          <w:bCs/>
          <w:sz w:val="22"/>
          <w:szCs w:val="22"/>
          <w:lang w:val="es-ES_tradnl"/>
        </w:rPr>
        <w:t>20 (</w:t>
      </w:r>
      <w:r w:rsidR="003605C6" w:rsidRPr="0014291C">
        <w:rPr>
          <w:rFonts w:ascii="ITC Avant Garde" w:hAnsi="ITC Avant Garde"/>
          <w:bCs/>
          <w:sz w:val="22"/>
          <w:szCs w:val="22"/>
          <w:lang w:val="es-ES_tradnl"/>
        </w:rPr>
        <w:t>veinte</w:t>
      </w:r>
      <w:r w:rsidR="0052277A">
        <w:rPr>
          <w:rFonts w:ascii="ITC Avant Garde" w:hAnsi="ITC Avant Garde"/>
          <w:bCs/>
          <w:sz w:val="22"/>
          <w:szCs w:val="22"/>
          <w:lang w:val="es-ES_tradnl"/>
        </w:rPr>
        <w:t>)</w:t>
      </w:r>
      <w:r w:rsidRPr="0014291C">
        <w:rPr>
          <w:rFonts w:ascii="ITC Avant Garde" w:hAnsi="ITC Avant Garde"/>
          <w:bCs/>
          <w:sz w:val="22"/>
          <w:szCs w:val="22"/>
          <w:lang w:val="es-ES_tradnl"/>
        </w:rPr>
        <w:t xml:space="preserve"> días hábiles</w:t>
      </w:r>
      <w:r w:rsidR="0052277A">
        <w:rPr>
          <w:rFonts w:ascii="ITC Avant Garde" w:hAnsi="ITC Avant Garde"/>
          <w:bCs/>
          <w:sz w:val="22"/>
          <w:szCs w:val="22"/>
          <w:lang w:val="es-ES_tradnl"/>
        </w:rPr>
        <w:t>,</w:t>
      </w:r>
      <w:r>
        <w:rPr>
          <w:rFonts w:ascii="ITC Avant Garde" w:hAnsi="ITC Avant Garde"/>
          <w:b/>
          <w:bCs/>
          <w:sz w:val="22"/>
          <w:szCs w:val="22"/>
          <w:lang w:val="es-ES_tradnl"/>
        </w:rPr>
        <w:t xml:space="preserve"> </w:t>
      </w:r>
      <w:r w:rsidRPr="001853A9">
        <w:rPr>
          <w:rFonts w:ascii="ITC Avant Garde" w:hAnsi="ITC Avant Garde"/>
          <w:bCs/>
          <w:sz w:val="22"/>
          <w:szCs w:val="22"/>
          <w:lang w:val="es-ES_tradnl"/>
        </w:rPr>
        <w:t>a fin de transparentar y promover la participación ciudadana en los procesos de emisión de disposiciones de carácter general que genere el Instituto</w:t>
      </w:r>
      <w:r w:rsidR="0052277A">
        <w:rPr>
          <w:rFonts w:ascii="ITC Avant Garde" w:hAnsi="ITC Avant Garde"/>
          <w:bCs/>
          <w:sz w:val="22"/>
          <w:szCs w:val="22"/>
          <w:lang w:val="es-ES_tradnl"/>
        </w:rPr>
        <w:t xml:space="preserve"> y en estricto </w:t>
      </w:r>
      <w:r w:rsidRPr="001853A9">
        <w:rPr>
          <w:rFonts w:ascii="ITC Avant Garde" w:hAnsi="ITC Avant Garde"/>
          <w:bCs/>
          <w:color w:val="auto"/>
          <w:sz w:val="22"/>
          <w:szCs w:val="22"/>
          <w:lang w:val="es-ES_tradnl"/>
        </w:rPr>
        <w:t xml:space="preserve">cumplimiento a lo establecido </w:t>
      </w:r>
      <w:r w:rsidR="0052277A">
        <w:rPr>
          <w:rFonts w:ascii="ITC Avant Garde" w:hAnsi="ITC Avant Garde"/>
          <w:bCs/>
          <w:color w:val="auto"/>
          <w:sz w:val="22"/>
          <w:szCs w:val="22"/>
          <w:lang w:val="es-ES_tradnl"/>
        </w:rPr>
        <w:t>por</w:t>
      </w:r>
      <w:r w:rsidRPr="001853A9">
        <w:rPr>
          <w:rFonts w:ascii="ITC Avant Garde" w:hAnsi="ITC Avant Garde"/>
          <w:bCs/>
          <w:color w:val="auto"/>
          <w:sz w:val="22"/>
          <w:szCs w:val="22"/>
          <w:lang w:val="es-ES_tradnl"/>
        </w:rPr>
        <w:t xml:space="preserve"> el dispositivo legal </w:t>
      </w:r>
      <w:r w:rsidR="0052277A">
        <w:rPr>
          <w:rFonts w:ascii="ITC Avant Garde" w:hAnsi="ITC Avant Garde"/>
          <w:bCs/>
          <w:color w:val="auto"/>
          <w:sz w:val="22"/>
          <w:szCs w:val="22"/>
          <w:lang w:val="es-ES_tradnl"/>
        </w:rPr>
        <w:t xml:space="preserve">antes </w:t>
      </w:r>
      <w:r w:rsidRPr="001853A9">
        <w:rPr>
          <w:rFonts w:ascii="ITC Avant Garde" w:hAnsi="ITC Avant Garde"/>
          <w:bCs/>
          <w:color w:val="auto"/>
          <w:sz w:val="22"/>
          <w:szCs w:val="22"/>
          <w:lang w:val="es-ES_tradnl"/>
        </w:rPr>
        <w:t xml:space="preserve">señalado. </w:t>
      </w:r>
    </w:p>
    <w:p w14:paraId="5E5FE6B5" w14:textId="77777777" w:rsidR="006E0437" w:rsidRPr="00A84A8A" w:rsidRDefault="006E0437" w:rsidP="001211C1">
      <w:pPr>
        <w:ind w:right="1183"/>
        <w:jc w:val="both"/>
        <w:rPr>
          <w:rFonts w:ascii="ITC Avant Garde" w:hAnsi="ITC Avant Garde" w:cs="Arial"/>
          <w:sz w:val="22"/>
          <w:szCs w:val="22"/>
          <w:lang w:eastAsia="es-MX"/>
        </w:rPr>
      </w:pPr>
    </w:p>
    <w:p w14:paraId="6CC069F3" w14:textId="3E9CC450" w:rsidR="00F529BA" w:rsidRDefault="006E0437" w:rsidP="001211C1">
      <w:pPr>
        <w:jc w:val="both"/>
        <w:rPr>
          <w:rFonts w:ascii="ITC Avant Garde" w:hAnsi="ITC Avant Garde"/>
          <w:kern w:val="2"/>
          <w:sz w:val="22"/>
          <w:szCs w:val="22"/>
          <w:lang w:val="es-ES" w:eastAsia="ar-SA"/>
        </w:rPr>
      </w:pPr>
      <w:r w:rsidRPr="00A84A8A">
        <w:rPr>
          <w:rFonts w:ascii="ITC Avant Garde" w:hAnsi="ITC Avant Garde"/>
          <w:kern w:val="2"/>
          <w:sz w:val="22"/>
          <w:szCs w:val="22"/>
          <w:lang w:val="es-ES" w:eastAsia="ar-SA"/>
        </w:rPr>
        <w:t xml:space="preserve">Por lo anterior y con fundamento en </w:t>
      </w:r>
      <w:r w:rsidR="0052277A">
        <w:rPr>
          <w:rFonts w:ascii="ITC Avant Garde" w:hAnsi="ITC Avant Garde"/>
          <w:kern w:val="2"/>
          <w:sz w:val="22"/>
          <w:szCs w:val="22"/>
          <w:lang w:val="es-ES" w:eastAsia="ar-SA"/>
        </w:rPr>
        <w:t xml:space="preserve">lo dispuesto por </w:t>
      </w:r>
      <w:r w:rsidRPr="00A84A8A">
        <w:rPr>
          <w:rFonts w:ascii="ITC Avant Garde" w:hAnsi="ITC Avant Garde"/>
          <w:kern w:val="2"/>
          <w:sz w:val="22"/>
          <w:szCs w:val="22"/>
          <w:lang w:val="es-ES" w:eastAsia="ar-SA"/>
        </w:rPr>
        <w:t>los artículos 6</w:t>
      </w:r>
      <w:r w:rsidR="0052277A" w:rsidRPr="008A1123">
        <w:rPr>
          <w:rFonts w:ascii="ITC Avant Garde" w:hAnsi="ITC Avant Garde"/>
          <w:kern w:val="2"/>
          <w:sz w:val="22"/>
          <w:szCs w:val="22"/>
          <w:lang w:val="es-ES" w:eastAsia="ar-SA"/>
        </w:rPr>
        <w:t>° tercer párrafo</w:t>
      </w:r>
      <w:r w:rsidR="00834C44" w:rsidRPr="008A1123">
        <w:rPr>
          <w:rFonts w:ascii="ITC Avant Garde" w:hAnsi="ITC Avant Garde"/>
          <w:kern w:val="2"/>
          <w:sz w:val="22"/>
          <w:szCs w:val="22"/>
          <w:lang w:val="es-ES" w:eastAsia="ar-SA"/>
        </w:rPr>
        <w:t>,</w:t>
      </w:r>
      <w:r w:rsidR="0052277A" w:rsidRPr="008A1123">
        <w:rPr>
          <w:rFonts w:ascii="ITC Avant Garde" w:hAnsi="ITC Avant Garde"/>
          <w:kern w:val="2"/>
          <w:sz w:val="22"/>
          <w:szCs w:val="22"/>
          <w:lang w:val="es-ES" w:eastAsia="ar-SA"/>
        </w:rPr>
        <w:t xml:space="preserve"> apartado B</w:t>
      </w:r>
      <w:r w:rsidR="00834C44" w:rsidRPr="008A1123">
        <w:rPr>
          <w:rFonts w:ascii="ITC Avant Garde" w:hAnsi="ITC Avant Garde"/>
          <w:kern w:val="2"/>
          <w:sz w:val="22"/>
          <w:szCs w:val="22"/>
          <w:lang w:val="es-ES" w:eastAsia="ar-SA"/>
        </w:rPr>
        <w:t>, fracción II</w:t>
      </w:r>
      <w:r w:rsidRPr="008A1123">
        <w:rPr>
          <w:rFonts w:ascii="ITC Avant Garde" w:hAnsi="ITC Avant Garde"/>
          <w:kern w:val="2"/>
          <w:sz w:val="22"/>
          <w:szCs w:val="22"/>
          <w:lang w:val="es-ES" w:eastAsia="ar-SA"/>
        </w:rPr>
        <w:t xml:space="preserve"> y 28 párrafos décimo quinto y vigésimo, fracción IV, de la Constitución Política de los Estados Unidos Mexicanos; 1, 2, 7, </w:t>
      </w:r>
      <w:r w:rsidR="004A50B3" w:rsidRPr="008A1123">
        <w:rPr>
          <w:rFonts w:ascii="ITC Avant Garde" w:hAnsi="ITC Avant Garde"/>
          <w:kern w:val="2"/>
          <w:sz w:val="22"/>
          <w:szCs w:val="22"/>
          <w:lang w:val="es-ES" w:eastAsia="ar-SA"/>
        </w:rPr>
        <w:t>15 fracción</w:t>
      </w:r>
      <w:r w:rsidR="004A50B3" w:rsidRPr="004A50B3">
        <w:rPr>
          <w:rFonts w:ascii="ITC Avant Garde" w:hAnsi="ITC Avant Garde"/>
          <w:kern w:val="2"/>
          <w:sz w:val="22"/>
          <w:szCs w:val="22"/>
          <w:lang w:val="es-ES" w:eastAsia="ar-SA"/>
        </w:rPr>
        <w:t xml:space="preserve"> I, LVI, 51, 118 fracción IV, 123</w:t>
      </w:r>
      <w:r w:rsidR="008A1123">
        <w:rPr>
          <w:rFonts w:ascii="ITC Avant Garde" w:hAnsi="ITC Avant Garde"/>
          <w:kern w:val="2"/>
          <w:sz w:val="22"/>
          <w:szCs w:val="22"/>
          <w:lang w:val="es-ES" w:eastAsia="ar-SA"/>
        </w:rPr>
        <w:t>,</w:t>
      </w:r>
      <w:r w:rsidR="004A50B3" w:rsidRPr="004A50B3">
        <w:rPr>
          <w:rFonts w:ascii="ITC Avant Garde" w:hAnsi="ITC Avant Garde"/>
          <w:kern w:val="2"/>
          <w:sz w:val="22"/>
          <w:szCs w:val="22"/>
          <w:lang w:val="es-ES" w:eastAsia="ar-SA"/>
        </w:rPr>
        <w:t xml:space="preserve"> 124 fracción IV, 191, fracción III y 209 de la L</w:t>
      </w:r>
      <w:r w:rsidR="0052277A">
        <w:rPr>
          <w:rFonts w:ascii="ITC Avant Garde" w:hAnsi="ITC Avant Garde"/>
          <w:kern w:val="2"/>
          <w:sz w:val="22"/>
          <w:szCs w:val="22"/>
          <w:lang w:val="es-ES" w:eastAsia="ar-SA"/>
        </w:rPr>
        <w:t xml:space="preserve">ey </w:t>
      </w:r>
      <w:r w:rsidR="004A50B3" w:rsidRPr="004A50B3">
        <w:rPr>
          <w:rFonts w:ascii="ITC Avant Garde" w:hAnsi="ITC Avant Garde"/>
          <w:kern w:val="2"/>
          <w:sz w:val="22"/>
          <w:szCs w:val="22"/>
          <w:lang w:val="es-ES" w:eastAsia="ar-SA"/>
        </w:rPr>
        <w:t>F</w:t>
      </w:r>
      <w:r w:rsidR="0052277A">
        <w:rPr>
          <w:rFonts w:ascii="ITC Avant Garde" w:hAnsi="ITC Avant Garde"/>
          <w:kern w:val="2"/>
          <w:sz w:val="22"/>
          <w:szCs w:val="22"/>
          <w:lang w:val="es-ES" w:eastAsia="ar-SA"/>
        </w:rPr>
        <w:t xml:space="preserve">ederal de </w:t>
      </w:r>
      <w:r w:rsidR="004A50B3" w:rsidRPr="004A50B3">
        <w:rPr>
          <w:rFonts w:ascii="ITC Avant Garde" w:hAnsi="ITC Avant Garde"/>
          <w:kern w:val="2"/>
          <w:sz w:val="22"/>
          <w:szCs w:val="22"/>
          <w:lang w:val="es-ES" w:eastAsia="ar-SA"/>
        </w:rPr>
        <w:t>T</w:t>
      </w:r>
      <w:r w:rsidR="0052277A">
        <w:rPr>
          <w:rFonts w:ascii="ITC Avant Garde" w:hAnsi="ITC Avant Garde"/>
          <w:kern w:val="2"/>
          <w:sz w:val="22"/>
          <w:szCs w:val="22"/>
          <w:lang w:val="es-ES" w:eastAsia="ar-SA"/>
        </w:rPr>
        <w:t xml:space="preserve">elecomunicaciones y </w:t>
      </w:r>
      <w:r w:rsidR="004A50B3" w:rsidRPr="004A50B3">
        <w:rPr>
          <w:rFonts w:ascii="ITC Avant Garde" w:hAnsi="ITC Avant Garde"/>
          <w:kern w:val="2"/>
          <w:sz w:val="22"/>
          <w:szCs w:val="22"/>
          <w:lang w:val="es-ES" w:eastAsia="ar-SA"/>
        </w:rPr>
        <w:t>R</w:t>
      </w:r>
      <w:r w:rsidR="0052277A">
        <w:rPr>
          <w:rFonts w:ascii="ITC Avant Garde" w:hAnsi="ITC Avant Garde"/>
          <w:kern w:val="2"/>
          <w:sz w:val="22"/>
          <w:szCs w:val="22"/>
          <w:lang w:val="es-ES" w:eastAsia="ar-SA"/>
        </w:rPr>
        <w:t>adiodifusión</w:t>
      </w:r>
      <w:r w:rsidR="004A50B3" w:rsidRPr="004A50B3">
        <w:rPr>
          <w:rFonts w:ascii="ITC Avant Garde" w:hAnsi="ITC Avant Garde"/>
          <w:kern w:val="2"/>
          <w:sz w:val="22"/>
          <w:szCs w:val="22"/>
          <w:lang w:val="es-ES" w:eastAsia="ar-SA"/>
        </w:rPr>
        <w:t xml:space="preserve">, 19, fracciones VI y XIV, 32 y 35 fracción XII del </w:t>
      </w:r>
      <w:r w:rsidR="004A50B3">
        <w:rPr>
          <w:rFonts w:ascii="ITC Avant Garde" w:hAnsi="ITC Avant Garde"/>
          <w:kern w:val="2"/>
          <w:sz w:val="22"/>
          <w:szCs w:val="22"/>
          <w:lang w:val="es-ES" w:eastAsia="ar-SA"/>
        </w:rPr>
        <w:t>Estatuto Orgánico del Instituto</w:t>
      </w:r>
      <w:r w:rsidR="00170158">
        <w:rPr>
          <w:rFonts w:ascii="ITC Avant Garde" w:hAnsi="ITC Avant Garde" w:cs="Arial"/>
          <w:sz w:val="22"/>
          <w:szCs w:val="22"/>
        </w:rPr>
        <w:t xml:space="preserve">, </w:t>
      </w:r>
      <w:r w:rsidRPr="00A84A8A">
        <w:rPr>
          <w:rFonts w:ascii="ITC Avant Garde" w:hAnsi="ITC Avant Garde"/>
          <w:kern w:val="2"/>
          <w:sz w:val="22"/>
          <w:szCs w:val="22"/>
          <w:lang w:val="es-ES" w:eastAsia="ar-SA"/>
        </w:rPr>
        <w:t>el Pleno del Instituto</w:t>
      </w:r>
      <w:r w:rsidR="002367EE">
        <w:rPr>
          <w:rFonts w:ascii="ITC Avant Garde" w:hAnsi="ITC Avant Garde"/>
          <w:kern w:val="2"/>
          <w:sz w:val="22"/>
          <w:szCs w:val="22"/>
          <w:lang w:val="es-ES" w:eastAsia="ar-SA"/>
        </w:rPr>
        <w:t xml:space="preserve"> Federal de Telecomunicaciones</w:t>
      </w:r>
      <w:r w:rsidRPr="00A84A8A">
        <w:rPr>
          <w:rFonts w:ascii="ITC Avant Garde" w:hAnsi="ITC Avant Garde"/>
          <w:kern w:val="2"/>
          <w:sz w:val="22"/>
          <w:szCs w:val="22"/>
          <w:lang w:val="es-ES" w:eastAsia="ar-SA"/>
        </w:rPr>
        <w:t xml:space="preserve"> emite el siguiente:</w:t>
      </w:r>
    </w:p>
    <w:p w14:paraId="43F14A88" w14:textId="77777777" w:rsidR="001211C1" w:rsidRDefault="001211C1" w:rsidP="001211C1">
      <w:pPr>
        <w:jc w:val="both"/>
        <w:rPr>
          <w:rFonts w:ascii="ITC Avant Garde" w:hAnsi="ITC Avant Garde"/>
          <w:kern w:val="2"/>
          <w:sz w:val="22"/>
          <w:szCs w:val="22"/>
          <w:lang w:val="es-ES" w:eastAsia="ar-SA"/>
        </w:rPr>
      </w:pPr>
    </w:p>
    <w:p w14:paraId="2CAD8A3C" w14:textId="409050AE" w:rsidR="00AD55DE" w:rsidRDefault="004475AB" w:rsidP="001211C1">
      <w:pPr>
        <w:pStyle w:val="ANOTACION"/>
        <w:spacing w:after="0" w:line="240" w:lineRule="auto"/>
        <w:rPr>
          <w:rFonts w:ascii="ITC Avant Garde" w:hAnsi="ITC Avant Garde" w:cs="Arial"/>
          <w:sz w:val="22"/>
          <w:szCs w:val="22"/>
          <w:lang w:val="es-MX"/>
        </w:rPr>
      </w:pPr>
      <w:r w:rsidRPr="00AE1C09">
        <w:rPr>
          <w:rFonts w:ascii="ITC Avant Garde" w:hAnsi="ITC Avant Garde" w:cs="Arial"/>
          <w:sz w:val="22"/>
          <w:szCs w:val="22"/>
          <w:lang w:val="es-MX"/>
        </w:rPr>
        <w:t>A</w:t>
      </w:r>
      <w:r w:rsidR="00C331A1">
        <w:rPr>
          <w:rFonts w:ascii="ITC Avant Garde" w:hAnsi="ITC Avant Garde" w:cs="Arial"/>
          <w:sz w:val="22"/>
          <w:szCs w:val="22"/>
          <w:lang w:val="es-MX"/>
        </w:rPr>
        <w:t xml:space="preserve"> </w:t>
      </w:r>
      <w:r w:rsidRPr="00AE1C09">
        <w:rPr>
          <w:rFonts w:ascii="ITC Avant Garde" w:hAnsi="ITC Avant Garde" w:cs="Arial"/>
          <w:sz w:val="22"/>
          <w:szCs w:val="22"/>
          <w:lang w:val="es-MX"/>
        </w:rPr>
        <w:t>C</w:t>
      </w:r>
      <w:r w:rsidR="00C331A1">
        <w:rPr>
          <w:rFonts w:ascii="ITC Avant Garde" w:hAnsi="ITC Avant Garde" w:cs="Arial"/>
          <w:sz w:val="22"/>
          <w:szCs w:val="22"/>
          <w:lang w:val="es-MX"/>
        </w:rPr>
        <w:t xml:space="preserve"> </w:t>
      </w:r>
      <w:r w:rsidRPr="00AE1C09">
        <w:rPr>
          <w:rFonts w:ascii="ITC Avant Garde" w:hAnsi="ITC Avant Garde" w:cs="Arial"/>
          <w:sz w:val="22"/>
          <w:szCs w:val="22"/>
          <w:lang w:val="es-MX"/>
        </w:rPr>
        <w:t>U</w:t>
      </w:r>
      <w:r w:rsidR="00C331A1">
        <w:rPr>
          <w:rFonts w:ascii="ITC Avant Garde" w:hAnsi="ITC Avant Garde" w:cs="Arial"/>
          <w:sz w:val="22"/>
          <w:szCs w:val="22"/>
          <w:lang w:val="es-MX"/>
        </w:rPr>
        <w:t xml:space="preserve"> </w:t>
      </w:r>
      <w:r w:rsidRPr="00AE1C09">
        <w:rPr>
          <w:rFonts w:ascii="ITC Avant Garde" w:hAnsi="ITC Avant Garde" w:cs="Arial"/>
          <w:sz w:val="22"/>
          <w:szCs w:val="22"/>
          <w:lang w:val="es-MX"/>
        </w:rPr>
        <w:t>E</w:t>
      </w:r>
      <w:r w:rsidR="00C331A1">
        <w:rPr>
          <w:rFonts w:ascii="ITC Avant Garde" w:hAnsi="ITC Avant Garde" w:cs="Arial"/>
          <w:sz w:val="22"/>
          <w:szCs w:val="22"/>
          <w:lang w:val="es-MX"/>
        </w:rPr>
        <w:t xml:space="preserve"> </w:t>
      </w:r>
      <w:r w:rsidRPr="00AE1C09">
        <w:rPr>
          <w:rFonts w:ascii="ITC Avant Garde" w:hAnsi="ITC Avant Garde" w:cs="Arial"/>
          <w:sz w:val="22"/>
          <w:szCs w:val="22"/>
          <w:lang w:val="es-MX"/>
        </w:rPr>
        <w:t>R</w:t>
      </w:r>
      <w:r w:rsidR="00C331A1">
        <w:rPr>
          <w:rFonts w:ascii="ITC Avant Garde" w:hAnsi="ITC Avant Garde" w:cs="Arial"/>
          <w:sz w:val="22"/>
          <w:szCs w:val="22"/>
          <w:lang w:val="es-MX"/>
        </w:rPr>
        <w:t xml:space="preserve"> </w:t>
      </w:r>
      <w:r w:rsidRPr="00AE1C09">
        <w:rPr>
          <w:rFonts w:ascii="ITC Avant Garde" w:hAnsi="ITC Avant Garde" w:cs="Arial"/>
          <w:sz w:val="22"/>
          <w:szCs w:val="22"/>
          <w:lang w:val="es-MX"/>
        </w:rPr>
        <w:t>D</w:t>
      </w:r>
      <w:r w:rsidR="00C331A1">
        <w:rPr>
          <w:rFonts w:ascii="ITC Avant Garde" w:hAnsi="ITC Avant Garde" w:cs="Arial"/>
          <w:sz w:val="22"/>
          <w:szCs w:val="22"/>
          <w:lang w:val="es-MX"/>
        </w:rPr>
        <w:t xml:space="preserve"> </w:t>
      </w:r>
      <w:r w:rsidRPr="00AE1C09">
        <w:rPr>
          <w:rFonts w:ascii="ITC Avant Garde" w:hAnsi="ITC Avant Garde" w:cs="Arial"/>
          <w:sz w:val="22"/>
          <w:szCs w:val="22"/>
          <w:lang w:val="es-MX"/>
        </w:rPr>
        <w:t>O</w:t>
      </w:r>
    </w:p>
    <w:p w14:paraId="189CFC7C" w14:textId="77777777" w:rsidR="00AD55DE" w:rsidRDefault="00AD55DE" w:rsidP="001211C1">
      <w:pPr>
        <w:pStyle w:val="Texto"/>
        <w:spacing w:after="0" w:line="240" w:lineRule="auto"/>
        <w:ind w:firstLine="0"/>
        <w:rPr>
          <w:rFonts w:ascii="ITC Avant Garde" w:hAnsi="ITC Avant Garde"/>
          <w:sz w:val="22"/>
          <w:szCs w:val="22"/>
        </w:rPr>
      </w:pPr>
    </w:p>
    <w:p w14:paraId="18118A40" w14:textId="4C437140" w:rsidR="00560FD2" w:rsidRDefault="00AD55DE" w:rsidP="001211C1">
      <w:pPr>
        <w:pStyle w:val="Texto"/>
        <w:spacing w:after="0" w:line="240" w:lineRule="auto"/>
        <w:ind w:firstLine="0"/>
        <w:rPr>
          <w:rFonts w:ascii="ITC Avant Garde" w:hAnsi="ITC Avant Garde"/>
          <w:sz w:val="22"/>
          <w:szCs w:val="22"/>
        </w:rPr>
      </w:pPr>
      <w:r w:rsidRPr="00A84A8A">
        <w:rPr>
          <w:rFonts w:ascii="ITC Avant Garde" w:hAnsi="ITC Avant Garde"/>
          <w:b/>
          <w:sz w:val="22"/>
          <w:szCs w:val="22"/>
        </w:rPr>
        <w:t>PRIMERO</w:t>
      </w:r>
      <w:r w:rsidRPr="00137D65">
        <w:rPr>
          <w:rFonts w:ascii="ITC Avant Garde" w:hAnsi="ITC Avant Garde"/>
          <w:sz w:val="22"/>
          <w:szCs w:val="22"/>
        </w:rPr>
        <w:t xml:space="preserve">.- Se </w:t>
      </w:r>
      <w:r w:rsidR="006909B8">
        <w:rPr>
          <w:rFonts w:ascii="ITC Avant Garde" w:hAnsi="ITC Avant Garde"/>
          <w:sz w:val="22"/>
          <w:szCs w:val="22"/>
        </w:rPr>
        <w:t xml:space="preserve">determina </w:t>
      </w:r>
      <w:r w:rsidR="00FD0F65">
        <w:rPr>
          <w:rFonts w:ascii="ITC Avant Garde" w:hAnsi="ITC Avant Garde"/>
          <w:sz w:val="22"/>
          <w:szCs w:val="22"/>
        </w:rPr>
        <w:t xml:space="preserve">someter a consulta </w:t>
      </w:r>
      <w:r w:rsidR="001E7E83">
        <w:rPr>
          <w:rFonts w:ascii="ITC Avant Garde" w:hAnsi="ITC Avant Garde"/>
          <w:sz w:val="22"/>
          <w:szCs w:val="22"/>
        </w:rPr>
        <w:t>pública el</w:t>
      </w:r>
      <w:r w:rsidR="00FD0F65">
        <w:rPr>
          <w:rFonts w:ascii="ITC Avant Garde" w:hAnsi="ITC Avant Garde"/>
          <w:sz w:val="22"/>
          <w:szCs w:val="22"/>
        </w:rPr>
        <w:t xml:space="preserve"> </w:t>
      </w:r>
      <w:r w:rsidR="006909B8">
        <w:rPr>
          <w:rFonts w:ascii="ITC Avant Garde" w:hAnsi="ITC Avant Garde"/>
          <w:sz w:val="22"/>
          <w:szCs w:val="22"/>
        </w:rPr>
        <w:t>“</w:t>
      </w:r>
      <w:r w:rsidR="00FC794C" w:rsidRPr="00093A21">
        <w:rPr>
          <w:rFonts w:ascii="ITC Avant Garde" w:hAnsi="ITC Avant Garde"/>
          <w:i/>
          <w:sz w:val="22"/>
          <w:szCs w:val="22"/>
        </w:rPr>
        <w:t xml:space="preserve">Anteproyecto de </w:t>
      </w:r>
      <w:r w:rsidR="00926AA9" w:rsidRPr="00560FD2">
        <w:rPr>
          <w:rFonts w:ascii="ITC Avant Garde" w:hAnsi="ITC Avant Garde"/>
          <w:i/>
          <w:sz w:val="22"/>
          <w:szCs w:val="22"/>
        </w:rPr>
        <w:t>P</w:t>
      </w:r>
      <w:r w:rsidR="00FC794C" w:rsidRPr="00F34EC1">
        <w:rPr>
          <w:rFonts w:ascii="ITC Avant Garde" w:hAnsi="ITC Avant Garde"/>
          <w:i/>
          <w:sz w:val="22"/>
          <w:szCs w:val="22"/>
        </w:rPr>
        <w:t>l</w:t>
      </w:r>
      <w:r w:rsidR="00FC794C" w:rsidRPr="00560FD2">
        <w:rPr>
          <w:rFonts w:ascii="ITC Avant Garde" w:hAnsi="ITC Avant Garde"/>
          <w:i/>
          <w:sz w:val="22"/>
          <w:szCs w:val="22"/>
        </w:rPr>
        <w:t xml:space="preserve">anes </w:t>
      </w:r>
      <w:r w:rsidR="00560FD2">
        <w:rPr>
          <w:rFonts w:ascii="ITC Avant Garde" w:hAnsi="ITC Avant Garde"/>
          <w:i/>
          <w:sz w:val="22"/>
          <w:szCs w:val="22"/>
        </w:rPr>
        <w:t>Técnicos F</w:t>
      </w:r>
      <w:r w:rsidR="00FC794C" w:rsidRPr="00560FD2">
        <w:rPr>
          <w:rFonts w:ascii="ITC Avant Garde" w:hAnsi="ITC Avant Garde"/>
          <w:i/>
          <w:sz w:val="22"/>
          <w:szCs w:val="22"/>
        </w:rPr>
        <w:t xml:space="preserve">undamentales de </w:t>
      </w:r>
      <w:r w:rsidR="00560FD2">
        <w:rPr>
          <w:rFonts w:ascii="ITC Avant Garde" w:hAnsi="ITC Avant Garde"/>
          <w:i/>
          <w:sz w:val="22"/>
          <w:szCs w:val="22"/>
        </w:rPr>
        <w:t>N</w:t>
      </w:r>
      <w:r w:rsidR="00FC794C" w:rsidRPr="00560FD2">
        <w:rPr>
          <w:rFonts w:ascii="ITC Avant Garde" w:hAnsi="ITC Avant Garde"/>
          <w:i/>
          <w:sz w:val="22"/>
          <w:szCs w:val="22"/>
        </w:rPr>
        <w:t xml:space="preserve">umeración y </w:t>
      </w:r>
      <w:r w:rsidR="00560FD2">
        <w:rPr>
          <w:rFonts w:ascii="ITC Avant Garde" w:hAnsi="ITC Avant Garde"/>
          <w:i/>
          <w:sz w:val="22"/>
          <w:szCs w:val="22"/>
        </w:rPr>
        <w:t>S</w:t>
      </w:r>
      <w:r w:rsidR="00FC794C" w:rsidRPr="00560FD2">
        <w:rPr>
          <w:rFonts w:ascii="ITC Avant Garde" w:hAnsi="ITC Avant Garde"/>
          <w:i/>
          <w:sz w:val="22"/>
          <w:szCs w:val="22"/>
        </w:rPr>
        <w:t xml:space="preserve">eñalización y la consecuente modificación a las </w:t>
      </w:r>
      <w:r w:rsidR="00560FD2">
        <w:rPr>
          <w:rFonts w:ascii="ITC Avant Garde" w:hAnsi="ITC Avant Garde"/>
          <w:i/>
          <w:sz w:val="22"/>
          <w:szCs w:val="22"/>
        </w:rPr>
        <w:t>R</w:t>
      </w:r>
      <w:r w:rsidR="00FC794C" w:rsidRPr="00560FD2">
        <w:rPr>
          <w:rFonts w:ascii="ITC Avant Garde" w:hAnsi="ITC Avant Garde"/>
          <w:i/>
          <w:sz w:val="22"/>
          <w:szCs w:val="22"/>
        </w:rPr>
        <w:t xml:space="preserve">eglas de </w:t>
      </w:r>
      <w:r w:rsidR="00560FD2">
        <w:rPr>
          <w:rFonts w:ascii="ITC Avant Garde" w:hAnsi="ITC Avant Garde"/>
          <w:i/>
          <w:sz w:val="22"/>
          <w:szCs w:val="22"/>
        </w:rPr>
        <w:t>P</w:t>
      </w:r>
      <w:r w:rsidR="00FC794C" w:rsidRPr="00560FD2">
        <w:rPr>
          <w:rFonts w:ascii="ITC Avant Garde" w:hAnsi="ITC Avant Garde"/>
          <w:i/>
          <w:sz w:val="22"/>
          <w:szCs w:val="22"/>
        </w:rPr>
        <w:t>ortabilidad</w:t>
      </w:r>
      <w:r w:rsidR="00560FD2">
        <w:rPr>
          <w:rFonts w:ascii="ITC Avant Garde" w:hAnsi="ITC Avant Garde"/>
          <w:i/>
          <w:sz w:val="22"/>
          <w:szCs w:val="22"/>
        </w:rPr>
        <w:t xml:space="preserve"> Numérica</w:t>
      </w:r>
      <w:r w:rsidR="002367EE" w:rsidRPr="00F34EC1">
        <w:rPr>
          <w:rFonts w:ascii="ITC Avant Garde" w:hAnsi="ITC Avant Garde"/>
          <w:i/>
          <w:sz w:val="22"/>
          <w:szCs w:val="22"/>
        </w:rPr>
        <w:t>”</w:t>
      </w:r>
      <w:r w:rsidR="002367EE">
        <w:rPr>
          <w:rFonts w:ascii="ITC Avant Garde" w:hAnsi="ITC Avant Garde"/>
          <w:sz w:val="22"/>
          <w:szCs w:val="22"/>
        </w:rPr>
        <w:t xml:space="preserve">, </w:t>
      </w:r>
      <w:r w:rsidR="002367EE" w:rsidRPr="00137D65">
        <w:rPr>
          <w:rFonts w:ascii="ITC Avant Garde" w:hAnsi="ITC Avant Garde"/>
          <w:sz w:val="22"/>
          <w:szCs w:val="22"/>
        </w:rPr>
        <w:t>mism</w:t>
      </w:r>
      <w:r w:rsidR="002367EE">
        <w:rPr>
          <w:rFonts w:ascii="ITC Avant Garde" w:hAnsi="ITC Avant Garde"/>
          <w:sz w:val="22"/>
          <w:szCs w:val="22"/>
        </w:rPr>
        <w:t>o</w:t>
      </w:r>
      <w:r w:rsidR="002367EE" w:rsidRPr="00137D65">
        <w:rPr>
          <w:rFonts w:ascii="ITC Avant Garde" w:hAnsi="ITC Avant Garde"/>
          <w:sz w:val="22"/>
          <w:szCs w:val="22"/>
        </w:rPr>
        <w:t xml:space="preserve"> que </w:t>
      </w:r>
      <w:r w:rsidR="00560FD2">
        <w:rPr>
          <w:rFonts w:ascii="ITC Avant Garde" w:hAnsi="ITC Avant Garde"/>
          <w:sz w:val="22"/>
          <w:szCs w:val="22"/>
        </w:rPr>
        <w:t xml:space="preserve">como Anexo Único forma parte del presente Acuerdo. </w:t>
      </w:r>
    </w:p>
    <w:p w14:paraId="598EEEF9" w14:textId="7398645D" w:rsidR="002367EE" w:rsidRPr="00137D65" w:rsidRDefault="00560FD2" w:rsidP="00560FD2">
      <w:pPr>
        <w:pStyle w:val="Texto"/>
        <w:spacing w:after="0" w:line="240" w:lineRule="auto"/>
        <w:ind w:firstLine="0"/>
        <w:rPr>
          <w:rFonts w:ascii="ITC Avant Garde" w:hAnsi="ITC Avant Garde"/>
          <w:sz w:val="22"/>
          <w:szCs w:val="22"/>
        </w:rPr>
      </w:pPr>
      <w:r>
        <w:rPr>
          <w:rFonts w:ascii="ITC Avant Garde" w:hAnsi="ITC Avant Garde"/>
          <w:sz w:val="22"/>
          <w:szCs w:val="22"/>
        </w:rPr>
        <w:t>Para efectos de lo anterior, se ordena la publicación del presente Acuerdo y su Anexo Único en la página de Internet del Instituto Federal de Telecomunicaciones, por un periodo de 20 (</w:t>
      </w:r>
      <w:r w:rsidR="002367EE" w:rsidRPr="0014291C">
        <w:rPr>
          <w:rFonts w:ascii="ITC Avant Garde" w:hAnsi="ITC Avant Garde"/>
          <w:sz w:val="22"/>
          <w:szCs w:val="22"/>
        </w:rPr>
        <w:t>veinte</w:t>
      </w:r>
      <w:r>
        <w:rPr>
          <w:rFonts w:ascii="ITC Avant Garde" w:hAnsi="ITC Avant Garde"/>
          <w:sz w:val="22"/>
          <w:szCs w:val="22"/>
        </w:rPr>
        <w:t>)</w:t>
      </w:r>
      <w:r w:rsidR="002367EE" w:rsidRPr="0014291C">
        <w:rPr>
          <w:rFonts w:ascii="ITC Avant Garde" w:hAnsi="ITC Avant Garde"/>
          <w:sz w:val="22"/>
          <w:szCs w:val="22"/>
        </w:rPr>
        <w:t xml:space="preserve"> días hábiles,</w:t>
      </w:r>
      <w:r w:rsidR="002367EE">
        <w:rPr>
          <w:rFonts w:ascii="ITC Avant Garde" w:hAnsi="ITC Avant Garde"/>
          <w:sz w:val="22"/>
          <w:szCs w:val="22"/>
        </w:rPr>
        <w:t xml:space="preserve"> contados </w:t>
      </w:r>
      <w:r w:rsidR="002367EE" w:rsidRPr="009026F6">
        <w:rPr>
          <w:rFonts w:ascii="ITC Avant Garde" w:hAnsi="ITC Avant Garde"/>
          <w:sz w:val="22"/>
          <w:szCs w:val="22"/>
        </w:rPr>
        <w:t xml:space="preserve">a partir de </w:t>
      </w:r>
      <w:r>
        <w:rPr>
          <w:rFonts w:ascii="ITC Avant Garde" w:hAnsi="ITC Avant Garde"/>
          <w:sz w:val="22"/>
          <w:szCs w:val="22"/>
        </w:rPr>
        <w:t xml:space="preserve">la </w:t>
      </w:r>
      <w:r w:rsidR="002367EE" w:rsidRPr="009026F6">
        <w:rPr>
          <w:rFonts w:ascii="ITC Avant Garde" w:hAnsi="ITC Avant Garde"/>
          <w:sz w:val="22"/>
          <w:szCs w:val="22"/>
        </w:rPr>
        <w:t xml:space="preserve">publicación </w:t>
      </w:r>
      <w:r>
        <w:rPr>
          <w:rFonts w:ascii="ITC Avant Garde" w:hAnsi="ITC Avant Garde"/>
          <w:sz w:val="22"/>
          <w:szCs w:val="22"/>
        </w:rPr>
        <w:t>respectiva.</w:t>
      </w:r>
    </w:p>
    <w:p w14:paraId="5B729CB3" w14:textId="77777777" w:rsidR="00AD55DE" w:rsidRDefault="00AD55DE" w:rsidP="001211C1">
      <w:pPr>
        <w:pStyle w:val="Texto"/>
        <w:spacing w:after="0" w:line="240" w:lineRule="auto"/>
        <w:ind w:firstLine="0"/>
        <w:rPr>
          <w:rFonts w:ascii="ITC Avant Garde" w:hAnsi="ITC Avant Garde"/>
          <w:sz w:val="22"/>
          <w:szCs w:val="22"/>
        </w:rPr>
      </w:pPr>
    </w:p>
    <w:p w14:paraId="56F25B7D" w14:textId="384F4663" w:rsidR="00F51400" w:rsidRDefault="00A84A8A" w:rsidP="001211C1">
      <w:pPr>
        <w:autoSpaceDE w:val="0"/>
        <w:autoSpaceDN w:val="0"/>
        <w:adjustRightInd w:val="0"/>
        <w:jc w:val="both"/>
        <w:rPr>
          <w:rFonts w:ascii="ITC Avant Garde" w:hAnsi="ITC Avant Garde" w:cs="Arial"/>
          <w:sz w:val="22"/>
          <w:szCs w:val="22"/>
        </w:rPr>
      </w:pPr>
      <w:r w:rsidRPr="00A84A8A">
        <w:rPr>
          <w:rFonts w:ascii="ITC Avant Garde" w:hAnsi="ITC Avant Garde" w:cs="Arial"/>
          <w:b/>
          <w:sz w:val="22"/>
          <w:szCs w:val="22"/>
        </w:rPr>
        <w:t>SEGUNDO</w:t>
      </w:r>
      <w:r w:rsidR="00AD55DE" w:rsidRPr="00137D65">
        <w:rPr>
          <w:rFonts w:ascii="ITC Avant Garde" w:hAnsi="ITC Avant Garde" w:cs="Arial"/>
          <w:sz w:val="22"/>
          <w:szCs w:val="22"/>
        </w:rPr>
        <w:t xml:space="preserve">.- </w:t>
      </w:r>
      <w:r w:rsidR="00F51400">
        <w:rPr>
          <w:rFonts w:ascii="ITC Avant Garde" w:hAnsi="ITC Avant Garde" w:cs="Arial"/>
          <w:sz w:val="22"/>
          <w:szCs w:val="22"/>
        </w:rPr>
        <w:t xml:space="preserve">Se instruye a la Unidad de </w:t>
      </w:r>
      <w:r w:rsidR="00FC794C">
        <w:rPr>
          <w:rFonts w:ascii="ITC Avant Garde" w:hAnsi="ITC Avant Garde" w:cs="Arial"/>
          <w:sz w:val="22"/>
          <w:szCs w:val="22"/>
        </w:rPr>
        <w:t>Concesiones y Servicios</w:t>
      </w:r>
      <w:r w:rsidR="00F51400">
        <w:rPr>
          <w:rFonts w:ascii="ITC Avant Garde" w:hAnsi="ITC Avant Garde" w:cs="Arial"/>
          <w:sz w:val="22"/>
          <w:szCs w:val="22"/>
        </w:rPr>
        <w:t xml:space="preserve">, por conducto de la Dirección General de </w:t>
      </w:r>
      <w:r w:rsidR="00FC794C">
        <w:rPr>
          <w:rFonts w:ascii="ITC Avant Garde" w:hAnsi="ITC Avant Garde" w:cs="Arial"/>
          <w:sz w:val="22"/>
          <w:szCs w:val="22"/>
        </w:rPr>
        <w:t xml:space="preserve">Autorizaciones y </w:t>
      </w:r>
      <w:r w:rsidR="00560FD2">
        <w:rPr>
          <w:rFonts w:ascii="ITC Avant Garde" w:hAnsi="ITC Avant Garde" w:cs="Arial"/>
          <w:sz w:val="22"/>
          <w:szCs w:val="22"/>
        </w:rPr>
        <w:t>S</w:t>
      </w:r>
      <w:r w:rsidR="00FC794C">
        <w:rPr>
          <w:rFonts w:ascii="ITC Avant Garde" w:hAnsi="ITC Avant Garde" w:cs="Arial"/>
          <w:sz w:val="22"/>
          <w:szCs w:val="22"/>
        </w:rPr>
        <w:t>ervicios</w:t>
      </w:r>
      <w:r w:rsidR="00EF3852">
        <w:rPr>
          <w:rFonts w:ascii="ITC Avant Garde" w:hAnsi="ITC Avant Garde" w:cs="Arial"/>
          <w:sz w:val="22"/>
          <w:szCs w:val="22"/>
        </w:rPr>
        <w:t>,</w:t>
      </w:r>
      <w:r w:rsidR="00EB228E">
        <w:rPr>
          <w:rFonts w:ascii="ITC Avant Garde" w:hAnsi="ITC Avant Garde" w:cs="Arial"/>
          <w:sz w:val="22"/>
          <w:szCs w:val="22"/>
        </w:rPr>
        <w:t xml:space="preserve"> </w:t>
      </w:r>
      <w:r w:rsidR="00EF3852">
        <w:rPr>
          <w:rFonts w:ascii="ITC Avant Garde" w:hAnsi="ITC Avant Garde" w:cs="Arial"/>
          <w:sz w:val="22"/>
          <w:szCs w:val="22"/>
        </w:rPr>
        <w:t xml:space="preserve">en su calidad de área proponente, </w:t>
      </w:r>
      <w:r w:rsidR="00560FD2">
        <w:rPr>
          <w:rFonts w:ascii="ITC Avant Garde" w:hAnsi="ITC Avant Garde" w:cs="Arial"/>
          <w:sz w:val="22"/>
          <w:szCs w:val="22"/>
        </w:rPr>
        <w:t xml:space="preserve">que </w:t>
      </w:r>
      <w:r w:rsidR="00EF3852">
        <w:rPr>
          <w:rFonts w:ascii="ITC Avant Garde" w:hAnsi="ITC Avant Garde" w:cs="Arial"/>
          <w:sz w:val="22"/>
          <w:szCs w:val="22"/>
        </w:rPr>
        <w:t>ejecute la con</w:t>
      </w:r>
      <w:r w:rsidR="00F529BA">
        <w:rPr>
          <w:rFonts w:ascii="ITC Avant Garde" w:hAnsi="ITC Avant Garde" w:cs="Arial"/>
          <w:sz w:val="22"/>
          <w:szCs w:val="22"/>
        </w:rPr>
        <w:t>s</w:t>
      </w:r>
      <w:r w:rsidR="00EF3852">
        <w:rPr>
          <w:rFonts w:ascii="ITC Avant Garde" w:hAnsi="ITC Avant Garde" w:cs="Arial"/>
          <w:sz w:val="22"/>
          <w:szCs w:val="22"/>
        </w:rPr>
        <w:t xml:space="preserve">ulta pública </w:t>
      </w:r>
      <w:r w:rsidR="00560FD2">
        <w:rPr>
          <w:rFonts w:ascii="ITC Avant Garde" w:hAnsi="ITC Avant Garde" w:cs="Arial"/>
          <w:sz w:val="22"/>
          <w:szCs w:val="22"/>
        </w:rPr>
        <w:t>referida en el Resolutivo inmediato anterior</w:t>
      </w:r>
      <w:r w:rsidR="00EF3852">
        <w:rPr>
          <w:rFonts w:ascii="ITC Avant Garde" w:hAnsi="ITC Avant Garde" w:cs="Arial"/>
          <w:sz w:val="22"/>
          <w:szCs w:val="22"/>
        </w:rPr>
        <w:t>, incluyendo</w:t>
      </w:r>
      <w:r w:rsidR="00F51400">
        <w:rPr>
          <w:rFonts w:ascii="ITC Avant Garde" w:hAnsi="ITC Avant Garde" w:cs="Arial"/>
          <w:sz w:val="22"/>
          <w:szCs w:val="22"/>
        </w:rPr>
        <w:t xml:space="preserve"> </w:t>
      </w:r>
      <w:r w:rsidR="00EF3852">
        <w:rPr>
          <w:rFonts w:ascii="ITC Avant Garde" w:hAnsi="ITC Avant Garde" w:cs="Arial"/>
          <w:sz w:val="22"/>
          <w:szCs w:val="22"/>
        </w:rPr>
        <w:t>l</w:t>
      </w:r>
      <w:r w:rsidR="00F51400">
        <w:rPr>
          <w:rFonts w:ascii="ITC Avant Garde" w:hAnsi="ITC Avant Garde" w:cs="Arial"/>
          <w:sz w:val="22"/>
          <w:szCs w:val="22"/>
        </w:rPr>
        <w:t>a rec</w:t>
      </w:r>
      <w:r w:rsidR="00EF3852">
        <w:rPr>
          <w:rFonts w:ascii="ITC Avant Garde" w:hAnsi="ITC Avant Garde" w:cs="Arial"/>
          <w:sz w:val="22"/>
          <w:szCs w:val="22"/>
        </w:rPr>
        <w:t>epción</w:t>
      </w:r>
      <w:r w:rsidR="00F51400">
        <w:rPr>
          <w:rFonts w:ascii="ITC Avant Garde" w:hAnsi="ITC Avant Garde" w:cs="Arial"/>
          <w:sz w:val="22"/>
          <w:szCs w:val="22"/>
        </w:rPr>
        <w:t xml:space="preserve"> y</w:t>
      </w:r>
      <w:r w:rsidR="00EF3852">
        <w:rPr>
          <w:rFonts w:ascii="ITC Avant Garde" w:hAnsi="ITC Avant Garde" w:cs="Arial"/>
          <w:sz w:val="22"/>
          <w:szCs w:val="22"/>
        </w:rPr>
        <w:t xml:space="preserve"> </w:t>
      </w:r>
      <w:r w:rsidR="00F51400">
        <w:rPr>
          <w:rFonts w:ascii="ITC Avant Garde" w:hAnsi="ITC Avant Garde" w:cs="Arial"/>
          <w:sz w:val="22"/>
          <w:szCs w:val="22"/>
        </w:rPr>
        <w:t>la atención que corresponda a las opiniones que sean vertidas de la consulta pública materia del presente Acuerdo.</w:t>
      </w:r>
    </w:p>
    <w:p w14:paraId="5FF902D1" w14:textId="77777777" w:rsidR="001211C1" w:rsidRDefault="001211C1" w:rsidP="001211C1">
      <w:pPr>
        <w:rPr>
          <w:rFonts w:ascii="ITC Avant Garde" w:hAnsi="ITC Avant Garde"/>
          <w:sz w:val="21"/>
          <w:szCs w:val="21"/>
        </w:rPr>
      </w:pPr>
    </w:p>
    <w:p w14:paraId="6EEDFB31" w14:textId="77777777" w:rsidR="001211C1" w:rsidRDefault="001211C1" w:rsidP="001211C1">
      <w:pPr>
        <w:rPr>
          <w:rFonts w:ascii="ITC Avant Garde" w:hAnsi="ITC Avant Garde"/>
          <w:sz w:val="21"/>
          <w:szCs w:val="21"/>
        </w:rPr>
      </w:pPr>
    </w:p>
    <w:p w14:paraId="535921FB" w14:textId="77777777" w:rsidR="005C2E78" w:rsidRDefault="005C2E78" w:rsidP="001211C1">
      <w:pPr>
        <w:rPr>
          <w:rFonts w:ascii="ITC Avant Garde" w:hAnsi="ITC Avant Garde"/>
          <w:sz w:val="21"/>
          <w:szCs w:val="21"/>
        </w:rPr>
      </w:pPr>
    </w:p>
    <w:p w14:paraId="1D7985EF" w14:textId="77777777" w:rsidR="005C2E78" w:rsidRDefault="005C2E78" w:rsidP="001211C1">
      <w:pPr>
        <w:rPr>
          <w:rFonts w:ascii="ITC Avant Garde" w:hAnsi="ITC Avant Garde"/>
          <w:sz w:val="21"/>
          <w:szCs w:val="21"/>
        </w:rPr>
      </w:pPr>
    </w:p>
    <w:p w14:paraId="5A13DCF1" w14:textId="77777777" w:rsidR="005C2E78" w:rsidRDefault="005C2E78" w:rsidP="001211C1">
      <w:pPr>
        <w:rPr>
          <w:rFonts w:ascii="ITC Avant Garde" w:hAnsi="ITC Avant Garde"/>
          <w:sz w:val="21"/>
          <w:szCs w:val="21"/>
        </w:rPr>
      </w:pPr>
    </w:p>
    <w:p w14:paraId="470FEF74" w14:textId="77777777" w:rsidR="005C2E78" w:rsidRDefault="005C2E78" w:rsidP="001211C1">
      <w:pPr>
        <w:rPr>
          <w:rFonts w:ascii="ITC Avant Garde" w:hAnsi="ITC Avant Garde"/>
          <w:sz w:val="21"/>
          <w:szCs w:val="21"/>
        </w:rPr>
      </w:pPr>
    </w:p>
    <w:p w14:paraId="3ACA7CE3" w14:textId="77777777" w:rsidR="001211C1" w:rsidRDefault="001211C1" w:rsidP="001211C1">
      <w:pPr>
        <w:rPr>
          <w:rFonts w:ascii="ITC Avant Garde" w:hAnsi="ITC Avant Garde"/>
          <w:sz w:val="21"/>
          <w:szCs w:val="21"/>
        </w:rPr>
      </w:pPr>
    </w:p>
    <w:p w14:paraId="0091E14F" w14:textId="77777777" w:rsidR="00EF5071" w:rsidRDefault="00EF5071" w:rsidP="001211C1">
      <w:pPr>
        <w:rPr>
          <w:rFonts w:ascii="ITC Avant Garde" w:hAnsi="ITC Avant Garde"/>
          <w:sz w:val="21"/>
          <w:szCs w:val="21"/>
        </w:rPr>
      </w:pPr>
    </w:p>
    <w:p w14:paraId="3B547025" w14:textId="77777777" w:rsidR="005C2E78" w:rsidRDefault="005C2E78" w:rsidP="005C2E78">
      <w:pPr>
        <w:jc w:val="both"/>
        <w:rPr>
          <w:rFonts w:ascii="ITC Avant Garde" w:hAnsi="ITC Avant Garde"/>
          <w:bCs/>
          <w:lang w:eastAsia="es-MX"/>
        </w:rPr>
      </w:pPr>
    </w:p>
    <w:p w14:paraId="315F1548" w14:textId="77777777" w:rsidR="005C2E78" w:rsidRPr="00B86413" w:rsidRDefault="005C2E78" w:rsidP="005C2E78">
      <w:pPr>
        <w:jc w:val="center"/>
        <w:rPr>
          <w:rFonts w:ascii="ITC Avant Garde" w:hAnsi="ITC Avant Garde" w:cs="Arial"/>
          <w:b/>
          <w:bCs/>
          <w:sz w:val="22"/>
          <w:szCs w:val="22"/>
        </w:rPr>
      </w:pPr>
      <w:r w:rsidRPr="00B86413">
        <w:rPr>
          <w:rFonts w:ascii="ITC Avant Garde" w:hAnsi="ITC Avant Garde" w:cs="Arial"/>
          <w:b/>
          <w:bCs/>
          <w:sz w:val="22"/>
          <w:szCs w:val="22"/>
        </w:rPr>
        <w:t>Gabriel Oswaldo Contreras Saldívar</w:t>
      </w:r>
    </w:p>
    <w:p w14:paraId="27C03CD4" w14:textId="77777777" w:rsidR="005C2E78" w:rsidRPr="00B86413" w:rsidRDefault="005C2E78" w:rsidP="005C2E78">
      <w:pPr>
        <w:jc w:val="center"/>
        <w:rPr>
          <w:rFonts w:ascii="ITC Avant Garde" w:hAnsi="ITC Avant Garde" w:cs="Arial"/>
          <w:b/>
          <w:bCs/>
          <w:sz w:val="22"/>
          <w:szCs w:val="22"/>
        </w:rPr>
      </w:pPr>
      <w:r w:rsidRPr="00B86413">
        <w:rPr>
          <w:rFonts w:ascii="ITC Avant Garde" w:hAnsi="ITC Avant Garde" w:cs="Arial"/>
          <w:b/>
          <w:bCs/>
          <w:sz w:val="22"/>
          <w:szCs w:val="22"/>
        </w:rPr>
        <w:t>Comisionado Presidente</w:t>
      </w:r>
    </w:p>
    <w:p w14:paraId="14EA6A68" w14:textId="77777777" w:rsidR="005C2E78" w:rsidRPr="00B86413" w:rsidRDefault="005C2E78" w:rsidP="005C2E78">
      <w:pPr>
        <w:jc w:val="center"/>
        <w:rPr>
          <w:rFonts w:ascii="ITC Avant Garde" w:hAnsi="ITC Avant Garde" w:cs="Arial"/>
          <w:b/>
          <w:bCs/>
          <w:sz w:val="22"/>
          <w:szCs w:val="22"/>
        </w:rPr>
      </w:pPr>
    </w:p>
    <w:p w14:paraId="0000E603" w14:textId="77777777" w:rsidR="005C2E78" w:rsidRPr="00B86413" w:rsidRDefault="005C2E78" w:rsidP="005C2E78">
      <w:pPr>
        <w:jc w:val="center"/>
        <w:rPr>
          <w:rFonts w:ascii="ITC Avant Garde" w:hAnsi="ITC Avant Garde" w:cs="Arial"/>
          <w:b/>
          <w:bCs/>
          <w:sz w:val="22"/>
          <w:szCs w:val="22"/>
        </w:rPr>
      </w:pPr>
    </w:p>
    <w:p w14:paraId="3D84A67B" w14:textId="77777777" w:rsidR="005C2E78" w:rsidRPr="00B86413" w:rsidRDefault="005C2E78" w:rsidP="005C2E78">
      <w:pPr>
        <w:jc w:val="center"/>
        <w:rPr>
          <w:rFonts w:ascii="ITC Avant Garde" w:hAnsi="ITC Avant Garde" w:cs="Arial"/>
          <w:b/>
          <w:bCs/>
          <w:sz w:val="22"/>
          <w:szCs w:val="22"/>
        </w:rPr>
      </w:pPr>
    </w:p>
    <w:p w14:paraId="24F388AA" w14:textId="77777777" w:rsidR="005C2E78" w:rsidRPr="00B86413" w:rsidRDefault="005C2E78" w:rsidP="005C2E78">
      <w:pPr>
        <w:jc w:val="center"/>
        <w:rPr>
          <w:rFonts w:ascii="ITC Avant Garde" w:hAnsi="ITC Avant Garde" w:cs="Arial"/>
          <w:b/>
          <w:bCs/>
          <w:sz w:val="22"/>
          <w:szCs w:val="22"/>
        </w:rPr>
      </w:pPr>
    </w:p>
    <w:tbl>
      <w:tblPr>
        <w:tblW w:w="4849" w:type="pct"/>
        <w:jc w:val="center"/>
        <w:tblCellMar>
          <w:left w:w="70" w:type="dxa"/>
          <w:right w:w="70" w:type="dxa"/>
        </w:tblCellMar>
        <w:tblLook w:val="04A0" w:firstRow="1" w:lastRow="0" w:firstColumn="1" w:lastColumn="0" w:noHBand="0" w:noVBand="1"/>
      </w:tblPr>
      <w:tblGrid>
        <w:gridCol w:w="3543"/>
        <w:gridCol w:w="1986"/>
        <w:gridCol w:w="3591"/>
      </w:tblGrid>
      <w:tr w:rsidR="005C2E78" w:rsidRPr="00B86413" w14:paraId="52F1B64B" w14:textId="77777777" w:rsidTr="00CF24F7">
        <w:trPr>
          <w:trHeight w:val="1539"/>
          <w:jc w:val="center"/>
        </w:trPr>
        <w:tc>
          <w:tcPr>
            <w:tcW w:w="1942" w:type="pct"/>
            <w:hideMark/>
          </w:tcPr>
          <w:p w14:paraId="2DCEAA11" w14:textId="77777777" w:rsidR="005C2E78" w:rsidRPr="00B86413" w:rsidRDefault="005C2E78" w:rsidP="00CF24F7">
            <w:pPr>
              <w:jc w:val="center"/>
              <w:rPr>
                <w:rFonts w:ascii="ITC Avant Garde" w:hAnsi="ITC Avant Garde" w:cs="Arial"/>
                <w:b/>
                <w:bCs/>
                <w:sz w:val="22"/>
                <w:szCs w:val="22"/>
              </w:rPr>
            </w:pPr>
            <w:r w:rsidRPr="00B86413">
              <w:rPr>
                <w:rFonts w:ascii="ITC Avant Garde" w:hAnsi="ITC Avant Garde" w:cs="Arial"/>
                <w:b/>
                <w:bCs/>
                <w:sz w:val="22"/>
                <w:szCs w:val="22"/>
              </w:rPr>
              <w:t>Ernesto Estrada González</w:t>
            </w:r>
          </w:p>
          <w:p w14:paraId="6C5F0C84" w14:textId="77777777" w:rsidR="005C2E78" w:rsidRPr="00B86413" w:rsidRDefault="005C2E78" w:rsidP="00CF24F7">
            <w:pPr>
              <w:jc w:val="center"/>
              <w:rPr>
                <w:rFonts w:ascii="ITC Avant Garde" w:hAnsi="ITC Avant Garde" w:cs="Arial"/>
                <w:b/>
                <w:bCs/>
                <w:sz w:val="22"/>
                <w:szCs w:val="22"/>
              </w:rPr>
            </w:pPr>
            <w:r w:rsidRPr="00B86413">
              <w:rPr>
                <w:rFonts w:ascii="ITC Avant Garde" w:hAnsi="ITC Avant Garde" w:cs="Arial"/>
                <w:b/>
                <w:bCs/>
                <w:sz w:val="22"/>
                <w:szCs w:val="22"/>
              </w:rPr>
              <w:t>Comisionado</w:t>
            </w:r>
          </w:p>
        </w:tc>
        <w:tc>
          <w:tcPr>
            <w:tcW w:w="1089" w:type="pct"/>
          </w:tcPr>
          <w:p w14:paraId="15700297" w14:textId="77777777" w:rsidR="005C2E78" w:rsidRPr="00B86413" w:rsidRDefault="005C2E78" w:rsidP="00CF24F7">
            <w:pPr>
              <w:spacing w:before="200"/>
              <w:jc w:val="center"/>
              <w:rPr>
                <w:rFonts w:ascii="ITC Avant Garde" w:hAnsi="ITC Avant Garde" w:cs="Arial"/>
                <w:b/>
                <w:bCs/>
                <w:sz w:val="22"/>
                <w:szCs w:val="22"/>
              </w:rPr>
            </w:pPr>
          </w:p>
        </w:tc>
        <w:tc>
          <w:tcPr>
            <w:tcW w:w="1968" w:type="pct"/>
          </w:tcPr>
          <w:p w14:paraId="05201E38" w14:textId="77777777" w:rsidR="005C2E78" w:rsidRPr="00B86413" w:rsidRDefault="005C2E78" w:rsidP="00CF24F7">
            <w:pPr>
              <w:jc w:val="center"/>
              <w:rPr>
                <w:rFonts w:ascii="ITC Avant Garde" w:hAnsi="ITC Avant Garde" w:cs="Arial"/>
                <w:b/>
                <w:bCs/>
                <w:sz w:val="22"/>
                <w:szCs w:val="22"/>
              </w:rPr>
            </w:pPr>
            <w:r w:rsidRPr="00B86413">
              <w:rPr>
                <w:rFonts w:ascii="ITC Avant Garde" w:hAnsi="ITC Avant Garde" w:cs="Arial"/>
                <w:b/>
                <w:bCs/>
                <w:sz w:val="22"/>
                <w:szCs w:val="22"/>
              </w:rPr>
              <w:t>Adriana Sofía Labardini Inzunza</w:t>
            </w:r>
          </w:p>
          <w:p w14:paraId="3C340922" w14:textId="77777777" w:rsidR="005C2E78" w:rsidRPr="00B86413" w:rsidRDefault="005C2E78" w:rsidP="00CF24F7">
            <w:pPr>
              <w:jc w:val="center"/>
              <w:rPr>
                <w:rFonts w:ascii="ITC Avant Garde" w:hAnsi="ITC Avant Garde" w:cs="Arial"/>
                <w:b/>
                <w:bCs/>
                <w:sz w:val="22"/>
                <w:szCs w:val="22"/>
              </w:rPr>
            </w:pPr>
            <w:r w:rsidRPr="00B86413">
              <w:rPr>
                <w:rFonts w:ascii="ITC Avant Garde" w:hAnsi="ITC Avant Garde" w:cs="Arial"/>
                <w:b/>
                <w:bCs/>
                <w:sz w:val="22"/>
                <w:szCs w:val="22"/>
              </w:rPr>
              <w:t>Comisionada</w:t>
            </w:r>
          </w:p>
          <w:p w14:paraId="334F3F6F" w14:textId="77777777" w:rsidR="005C2E78" w:rsidRPr="00B86413" w:rsidRDefault="005C2E78" w:rsidP="00CF24F7">
            <w:pPr>
              <w:jc w:val="center"/>
              <w:rPr>
                <w:rFonts w:ascii="ITC Avant Garde" w:hAnsi="ITC Avant Garde" w:cs="Arial"/>
                <w:b/>
                <w:bCs/>
                <w:sz w:val="22"/>
                <w:szCs w:val="22"/>
              </w:rPr>
            </w:pPr>
          </w:p>
          <w:p w14:paraId="02415640" w14:textId="77777777" w:rsidR="005C2E78" w:rsidRPr="00B86413" w:rsidRDefault="005C2E78" w:rsidP="00CF24F7">
            <w:pPr>
              <w:jc w:val="center"/>
              <w:rPr>
                <w:rFonts w:ascii="ITC Avant Garde" w:hAnsi="ITC Avant Garde" w:cs="Arial"/>
                <w:b/>
                <w:bCs/>
                <w:sz w:val="22"/>
                <w:szCs w:val="22"/>
              </w:rPr>
            </w:pPr>
          </w:p>
          <w:p w14:paraId="1F968F52" w14:textId="77777777" w:rsidR="005C2E78" w:rsidRPr="00B86413" w:rsidRDefault="005C2E78" w:rsidP="00CF24F7">
            <w:pPr>
              <w:jc w:val="center"/>
              <w:rPr>
                <w:rFonts w:ascii="ITC Avant Garde" w:hAnsi="ITC Avant Garde" w:cs="Arial"/>
                <w:b/>
                <w:bCs/>
                <w:sz w:val="22"/>
                <w:szCs w:val="22"/>
              </w:rPr>
            </w:pPr>
          </w:p>
          <w:p w14:paraId="6E050DDD" w14:textId="77777777" w:rsidR="005C2E78" w:rsidRPr="00B86413" w:rsidRDefault="005C2E78" w:rsidP="00CF24F7">
            <w:pPr>
              <w:jc w:val="center"/>
              <w:rPr>
                <w:rFonts w:ascii="ITC Avant Garde" w:hAnsi="ITC Avant Garde" w:cs="Arial"/>
                <w:b/>
                <w:bCs/>
                <w:sz w:val="22"/>
                <w:szCs w:val="22"/>
              </w:rPr>
            </w:pPr>
          </w:p>
        </w:tc>
      </w:tr>
      <w:tr w:rsidR="005C2E78" w:rsidRPr="00B86413" w14:paraId="68BD4E62" w14:textId="77777777" w:rsidTr="00CF24F7">
        <w:trPr>
          <w:trHeight w:val="1445"/>
          <w:jc w:val="center"/>
        </w:trPr>
        <w:tc>
          <w:tcPr>
            <w:tcW w:w="1942" w:type="pct"/>
            <w:hideMark/>
          </w:tcPr>
          <w:p w14:paraId="1DEB4160" w14:textId="77777777" w:rsidR="005C2E78" w:rsidRPr="00B86413" w:rsidRDefault="005C2E78" w:rsidP="00CF24F7">
            <w:pPr>
              <w:jc w:val="center"/>
              <w:rPr>
                <w:rFonts w:ascii="ITC Avant Garde" w:hAnsi="ITC Avant Garde" w:cs="Arial"/>
                <w:b/>
                <w:bCs/>
                <w:sz w:val="22"/>
                <w:szCs w:val="22"/>
              </w:rPr>
            </w:pPr>
            <w:r w:rsidRPr="00B86413">
              <w:rPr>
                <w:rFonts w:ascii="ITC Avant Garde" w:hAnsi="ITC Avant Garde" w:cs="Arial"/>
                <w:b/>
                <w:bCs/>
                <w:sz w:val="22"/>
                <w:szCs w:val="22"/>
              </w:rPr>
              <w:t>María Elena Estavillo Flores</w:t>
            </w:r>
          </w:p>
          <w:p w14:paraId="6537C974" w14:textId="77777777" w:rsidR="005C2E78" w:rsidRPr="00B86413" w:rsidRDefault="005C2E78" w:rsidP="00CF24F7">
            <w:pPr>
              <w:jc w:val="center"/>
              <w:rPr>
                <w:rFonts w:ascii="ITC Avant Garde" w:hAnsi="ITC Avant Garde" w:cs="Arial"/>
                <w:b/>
                <w:bCs/>
                <w:sz w:val="22"/>
                <w:szCs w:val="22"/>
              </w:rPr>
            </w:pPr>
            <w:r w:rsidRPr="00B86413">
              <w:rPr>
                <w:rFonts w:ascii="ITC Avant Garde" w:hAnsi="ITC Avant Garde" w:cs="Arial"/>
                <w:b/>
                <w:bCs/>
                <w:sz w:val="22"/>
                <w:szCs w:val="22"/>
              </w:rPr>
              <w:t>Comisionada</w:t>
            </w:r>
          </w:p>
          <w:p w14:paraId="28384F38" w14:textId="77777777" w:rsidR="005C2E78" w:rsidRPr="00B86413" w:rsidRDefault="005C2E78" w:rsidP="00CF24F7">
            <w:pPr>
              <w:jc w:val="center"/>
              <w:rPr>
                <w:rFonts w:ascii="ITC Avant Garde" w:hAnsi="ITC Avant Garde" w:cs="Arial"/>
                <w:b/>
                <w:bCs/>
                <w:sz w:val="22"/>
                <w:szCs w:val="22"/>
              </w:rPr>
            </w:pPr>
          </w:p>
          <w:p w14:paraId="1343D649" w14:textId="77777777" w:rsidR="005C2E78" w:rsidRPr="00B86413" w:rsidRDefault="005C2E78" w:rsidP="00CF24F7">
            <w:pPr>
              <w:jc w:val="center"/>
              <w:rPr>
                <w:rFonts w:ascii="ITC Avant Garde" w:hAnsi="ITC Avant Garde" w:cs="Arial"/>
                <w:b/>
                <w:bCs/>
                <w:sz w:val="22"/>
                <w:szCs w:val="22"/>
              </w:rPr>
            </w:pPr>
          </w:p>
          <w:p w14:paraId="2C80782D" w14:textId="77777777" w:rsidR="005C2E78" w:rsidRPr="00B86413" w:rsidRDefault="005C2E78" w:rsidP="00CF24F7">
            <w:pPr>
              <w:jc w:val="center"/>
              <w:rPr>
                <w:rFonts w:ascii="ITC Avant Garde" w:hAnsi="ITC Avant Garde" w:cs="Arial"/>
                <w:b/>
                <w:bCs/>
                <w:sz w:val="22"/>
                <w:szCs w:val="22"/>
              </w:rPr>
            </w:pPr>
          </w:p>
          <w:p w14:paraId="578F1F07" w14:textId="77777777" w:rsidR="005C2E78" w:rsidRPr="00B86413" w:rsidRDefault="005C2E78" w:rsidP="00CF24F7">
            <w:pPr>
              <w:jc w:val="center"/>
              <w:rPr>
                <w:rFonts w:ascii="ITC Avant Garde" w:hAnsi="ITC Avant Garde" w:cs="Arial"/>
                <w:b/>
                <w:bCs/>
                <w:sz w:val="22"/>
                <w:szCs w:val="22"/>
              </w:rPr>
            </w:pPr>
          </w:p>
        </w:tc>
        <w:tc>
          <w:tcPr>
            <w:tcW w:w="1089" w:type="pct"/>
          </w:tcPr>
          <w:p w14:paraId="28A630BA" w14:textId="77777777" w:rsidR="005C2E78" w:rsidRPr="00B86413" w:rsidRDefault="005C2E78" w:rsidP="00CF24F7">
            <w:pPr>
              <w:spacing w:before="200"/>
              <w:jc w:val="center"/>
              <w:rPr>
                <w:rFonts w:ascii="ITC Avant Garde" w:hAnsi="ITC Avant Garde" w:cs="Arial"/>
                <w:b/>
                <w:bCs/>
                <w:sz w:val="22"/>
                <w:szCs w:val="22"/>
              </w:rPr>
            </w:pPr>
          </w:p>
        </w:tc>
        <w:tc>
          <w:tcPr>
            <w:tcW w:w="1968" w:type="pct"/>
          </w:tcPr>
          <w:p w14:paraId="0AA8199A" w14:textId="77777777" w:rsidR="005C2E78" w:rsidRPr="00B86413" w:rsidRDefault="005C2E78" w:rsidP="00CF24F7">
            <w:pPr>
              <w:jc w:val="center"/>
              <w:rPr>
                <w:rFonts w:ascii="ITC Avant Garde" w:hAnsi="ITC Avant Garde" w:cs="Arial"/>
                <w:b/>
                <w:bCs/>
                <w:sz w:val="22"/>
                <w:szCs w:val="22"/>
              </w:rPr>
            </w:pPr>
            <w:r w:rsidRPr="00B86413">
              <w:rPr>
                <w:rFonts w:ascii="ITC Avant Garde" w:hAnsi="ITC Avant Garde" w:cs="Arial"/>
                <w:b/>
                <w:bCs/>
                <w:sz w:val="22"/>
                <w:szCs w:val="22"/>
              </w:rPr>
              <w:t>Mario Germán Fromow Rangel</w:t>
            </w:r>
          </w:p>
          <w:p w14:paraId="6DEAEE1A" w14:textId="77777777" w:rsidR="005C2E78" w:rsidRPr="00B86413" w:rsidRDefault="005C2E78" w:rsidP="00CF24F7">
            <w:pPr>
              <w:jc w:val="center"/>
              <w:rPr>
                <w:rFonts w:ascii="ITC Avant Garde" w:hAnsi="ITC Avant Garde" w:cs="Arial"/>
                <w:b/>
                <w:bCs/>
                <w:sz w:val="22"/>
                <w:szCs w:val="22"/>
              </w:rPr>
            </w:pPr>
            <w:r w:rsidRPr="00B86413">
              <w:rPr>
                <w:rFonts w:ascii="ITC Avant Garde" w:hAnsi="ITC Avant Garde" w:cs="Arial"/>
                <w:b/>
                <w:bCs/>
                <w:sz w:val="22"/>
                <w:szCs w:val="22"/>
              </w:rPr>
              <w:t>Comisionado</w:t>
            </w:r>
          </w:p>
        </w:tc>
      </w:tr>
      <w:tr w:rsidR="005C2E78" w:rsidRPr="00B86413" w14:paraId="381515BC" w14:textId="77777777" w:rsidTr="00CF24F7">
        <w:trPr>
          <w:trHeight w:val="470"/>
          <w:jc w:val="center"/>
        </w:trPr>
        <w:tc>
          <w:tcPr>
            <w:tcW w:w="5000" w:type="pct"/>
            <w:gridSpan w:val="3"/>
            <w:hideMark/>
          </w:tcPr>
          <w:p w14:paraId="4174F804" w14:textId="77777777" w:rsidR="005C2E78" w:rsidRPr="00B86413" w:rsidRDefault="005C2E78" w:rsidP="00CF24F7">
            <w:pPr>
              <w:jc w:val="center"/>
              <w:rPr>
                <w:rFonts w:ascii="ITC Avant Garde" w:hAnsi="ITC Avant Garde" w:cs="Arial"/>
                <w:b/>
                <w:bCs/>
                <w:sz w:val="22"/>
                <w:szCs w:val="22"/>
              </w:rPr>
            </w:pPr>
            <w:r w:rsidRPr="00B86413">
              <w:rPr>
                <w:rFonts w:ascii="ITC Avant Garde" w:hAnsi="ITC Avant Garde" w:cs="Arial"/>
                <w:b/>
                <w:bCs/>
                <w:sz w:val="22"/>
                <w:szCs w:val="22"/>
              </w:rPr>
              <w:t>Adolfo Cuevas Teja</w:t>
            </w:r>
          </w:p>
          <w:p w14:paraId="3F5B994E" w14:textId="77777777" w:rsidR="005C2E78" w:rsidRPr="00B86413" w:rsidRDefault="005C2E78" w:rsidP="00CF24F7">
            <w:pPr>
              <w:jc w:val="center"/>
              <w:rPr>
                <w:rFonts w:ascii="ITC Avant Garde" w:hAnsi="ITC Avant Garde" w:cs="Arial"/>
                <w:b/>
                <w:bCs/>
                <w:sz w:val="22"/>
                <w:szCs w:val="22"/>
              </w:rPr>
            </w:pPr>
            <w:r w:rsidRPr="00B86413">
              <w:rPr>
                <w:rFonts w:ascii="ITC Avant Garde" w:hAnsi="ITC Avant Garde" w:cs="Arial"/>
                <w:b/>
                <w:bCs/>
                <w:sz w:val="22"/>
                <w:szCs w:val="22"/>
              </w:rPr>
              <w:t>Comisionado</w:t>
            </w:r>
          </w:p>
        </w:tc>
      </w:tr>
    </w:tbl>
    <w:p w14:paraId="1BEFA351" w14:textId="77777777" w:rsidR="005C2E78" w:rsidRPr="000F376D" w:rsidRDefault="005C2E78" w:rsidP="005C2E78">
      <w:pPr>
        <w:jc w:val="both"/>
        <w:rPr>
          <w:rFonts w:ascii="ITC Avant Garde" w:hAnsi="ITC Avant Garde"/>
          <w:bCs/>
          <w:lang w:eastAsia="es-MX"/>
        </w:rPr>
      </w:pPr>
    </w:p>
    <w:p w14:paraId="012C2D40" w14:textId="77777777" w:rsidR="00EF5071" w:rsidRPr="00EF5071" w:rsidRDefault="00EF5071" w:rsidP="00EF5071">
      <w:pPr>
        <w:pStyle w:val="Sinespaciado"/>
        <w:jc w:val="both"/>
        <w:rPr>
          <w:rFonts w:ascii="ITC Avant Garde" w:hAnsi="ITC Avant Garde"/>
          <w:sz w:val="13"/>
          <w:szCs w:val="13"/>
        </w:rPr>
      </w:pPr>
      <w:bookmarkStart w:id="0" w:name="_GoBack"/>
      <w:bookmarkEnd w:id="0"/>
      <w:r w:rsidRPr="00EF5071">
        <w:rPr>
          <w:rFonts w:ascii="ITC Avant Garde" w:hAnsi="ITC Avant Garde"/>
          <w:sz w:val="13"/>
          <w:szCs w:val="13"/>
        </w:rPr>
        <w:t>El presente Acuerdo fue aprobado por el Pleno del Instituto Federal de Telecomunicaciones en su XVII Sesión Ordinaria celebrada el 16 de junio de 2016, por unanimidad de votos de los Comisionados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P/IFT/160616/314.</w:t>
      </w:r>
    </w:p>
    <w:p w14:paraId="16D0A3CE" w14:textId="77777777" w:rsidR="00EF5071" w:rsidRPr="00EF5071" w:rsidRDefault="00EF5071" w:rsidP="00EF5071">
      <w:pPr>
        <w:pStyle w:val="Normal1"/>
        <w:spacing w:after="0" w:line="240" w:lineRule="auto"/>
        <w:ind w:right="38"/>
        <w:jc w:val="both"/>
        <w:rPr>
          <w:rFonts w:ascii="ITC Avant Garde" w:hAnsi="ITC Avant Garde"/>
          <w:b/>
          <w:bCs/>
          <w:sz w:val="13"/>
          <w:szCs w:val="13"/>
        </w:rPr>
      </w:pPr>
    </w:p>
    <w:p w14:paraId="5D28C81D" w14:textId="77777777" w:rsidR="00EF5071" w:rsidRPr="00EF5071" w:rsidRDefault="00EF5071" w:rsidP="00EF5071">
      <w:pPr>
        <w:pStyle w:val="Sinespaciado"/>
        <w:jc w:val="both"/>
        <w:rPr>
          <w:rFonts w:ascii="ITC Avant Garde" w:hAnsi="ITC Avant Garde"/>
          <w:sz w:val="13"/>
          <w:szCs w:val="13"/>
        </w:rPr>
      </w:pPr>
      <w:r w:rsidRPr="00EF5071">
        <w:rPr>
          <w:rFonts w:ascii="ITC Avant Garde" w:hAnsi="ITC Avant Garde"/>
          <w:sz w:val="13"/>
          <w:szCs w:val="13"/>
        </w:rPr>
        <w:t>El Comisionado Ernesto Estrada González, previendo su ausencia justificada a la sesión, emitió su voto razonado por escrito, de conformidad con el artículo 45, tercer párrafo, de la Ley Federal de Telecomunicaciones y Radiodifusión; y artículo 8, segundo párrafo, del Estatuto Orgánico del Instituto Federal de Telecomunicaciones.</w:t>
      </w:r>
    </w:p>
    <w:p w14:paraId="0525F47F" w14:textId="77777777" w:rsidR="001211C1" w:rsidRDefault="001211C1" w:rsidP="001211C1">
      <w:pPr>
        <w:rPr>
          <w:rFonts w:ascii="ITC Avant Garde" w:hAnsi="ITC Avant Garde"/>
          <w:sz w:val="21"/>
          <w:szCs w:val="21"/>
        </w:rPr>
      </w:pPr>
    </w:p>
    <w:sectPr w:rsidR="001211C1" w:rsidSect="005C2E78">
      <w:footerReference w:type="default" r:id="rId8"/>
      <w:pgSz w:w="12240" w:h="15840"/>
      <w:pgMar w:top="1985" w:right="1418" w:bottom="1134" w:left="1418" w:header="709" w:footer="56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7A892" w14:textId="77777777" w:rsidR="00030D9F" w:rsidRDefault="00030D9F">
      <w:r>
        <w:separator/>
      </w:r>
    </w:p>
  </w:endnote>
  <w:endnote w:type="continuationSeparator" w:id="0">
    <w:p w14:paraId="006FC846" w14:textId="77777777" w:rsidR="00030D9F" w:rsidRDefault="0003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altName w:val="System Font Heavy"/>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201925"/>
      <w:docPartObj>
        <w:docPartGallery w:val="Page Numbers (Bottom of Page)"/>
        <w:docPartUnique/>
      </w:docPartObj>
    </w:sdtPr>
    <w:sdtEndPr>
      <w:rPr>
        <w:rFonts w:ascii="ITC Avant Garde" w:hAnsi="ITC Avant Garde"/>
        <w:sz w:val="20"/>
        <w:szCs w:val="20"/>
      </w:rPr>
    </w:sdtEndPr>
    <w:sdtContent>
      <w:p w14:paraId="09234847" w14:textId="77777777" w:rsidR="00F529BA" w:rsidRPr="00F529BA" w:rsidRDefault="00F529BA">
        <w:pPr>
          <w:pStyle w:val="Piedepgina"/>
          <w:jc w:val="center"/>
          <w:rPr>
            <w:rFonts w:ascii="ITC Avant Garde" w:hAnsi="ITC Avant Garde"/>
            <w:sz w:val="20"/>
            <w:szCs w:val="20"/>
          </w:rPr>
        </w:pPr>
        <w:r w:rsidRPr="00F529BA">
          <w:rPr>
            <w:rFonts w:ascii="ITC Avant Garde" w:hAnsi="ITC Avant Garde"/>
            <w:sz w:val="20"/>
            <w:szCs w:val="20"/>
          </w:rPr>
          <w:fldChar w:fldCharType="begin"/>
        </w:r>
        <w:r w:rsidRPr="00F529BA">
          <w:rPr>
            <w:rFonts w:ascii="ITC Avant Garde" w:hAnsi="ITC Avant Garde"/>
            <w:sz w:val="20"/>
            <w:szCs w:val="20"/>
          </w:rPr>
          <w:instrText>PAGE   \* MERGEFORMAT</w:instrText>
        </w:r>
        <w:r w:rsidRPr="00F529BA">
          <w:rPr>
            <w:rFonts w:ascii="ITC Avant Garde" w:hAnsi="ITC Avant Garde"/>
            <w:sz w:val="20"/>
            <w:szCs w:val="20"/>
          </w:rPr>
          <w:fldChar w:fldCharType="separate"/>
        </w:r>
        <w:r w:rsidR="00EF113E" w:rsidRPr="00EF113E">
          <w:rPr>
            <w:rFonts w:ascii="ITC Avant Garde" w:hAnsi="ITC Avant Garde"/>
            <w:noProof/>
            <w:sz w:val="20"/>
            <w:szCs w:val="20"/>
            <w:lang w:val="es-ES"/>
          </w:rPr>
          <w:t>4</w:t>
        </w:r>
        <w:r w:rsidRPr="00F529BA">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E1CD3" w14:textId="77777777" w:rsidR="00030D9F" w:rsidRDefault="00030D9F">
      <w:r>
        <w:separator/>
      </w:r>
    </w:p>
  </w:footnote>
  <w:footnote w:type="continuationSeparator" w:id="0">
    <w:p w14:paraId="74665916" w14:textId="77777777" w:rsidR="00030D9F" w:rsidRDefault="00030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3701"/>
    <w:multiLevelType w:val="hybridMultilevel"/>
    <w:tmpl w:val="8A1CF972"/>
    <w:lvl w:ilvl="0" w:tplc="4D4E41D0">
      <w:start w:val="1"/>
      <w:numFmt w:val="upperRoman"/>
      <w:lvlText w:val="%1."/>
      <w:lvlJc w:val="right"/>
      <w:pPr>
        <w:ind w:left="720" w:hanging="360"/>
      </w:pPr>
      <w:rPr>
        <w:rFonts w:ascii="ITC Avant Garde" w:hAnsi="ITC Avant Garde"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145DA"/>
    <w:multiLevelType w:val="hybridMultilevel"/>
    <w:tmpl w:val="7FC072CC"/>
    <w:lvl w:ilvl="0" w:tplc="8DBCFA1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02F7314"/>
    <w:multiLevelType w:val="hybridMultilevel"/>
    <w:tmpl w:val="36862C0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FC0198"/>
    <w:multiLevelType w:val="hybridMultilevel"/>
    <w:tmpl w:val="1CCE6D66"/>
    <w:lvl w:ilvl="0" w:tplc="D7764FF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49AC033A"/>
    <w:multiLevelType w:val="hybridMultilevel"/>
    <w:tmpl w:val="9E1E68C4"/>
    <w:lvl w:ilvl="0" w:tplc="91CCBE5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60A780C"/>
    <w:multiLevelType w:val="hybridMultilevel"/>
    <w:tmpl w:val="7B142B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7876BB"/>
    <w:multiLevelType w:val="hybridMultilevel"/>
    <w:tmpl w:val="ED545A9E"/>
    <w:lvl w:ilvl="0" w:tplc="F6D6191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63C30321"/>
    <w:multiLevelType w:val="hybridMultilevel"/>
    <w:tmpl w:val="699628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1994FE2"/>
    <w:multiLevelType w:val="hybridMultilevel"/>
    <w:tmpl w:val="F01E2EB4"/>
    <w:lvl w:ilvl="0" w:tplc="22B28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8E6E27"/>
    <w:multiLevelType w:val="hybridMultilevel"/>
    <w:tmpl w:val="0FAA73FC"/>
    <w:lvl w:ilvl="0" w:tplc="0310BB6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749D0125"/>
    <w:multiLevelType w:val="hybridMultilevel"/>
    <w:tmpl w:val="5058C3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9"/>
  </w:num>
  <w:num w:numId="5">
    <w:abstractNumId w:val="4"/>
  </w:num>
  <w:num w:numId="6">
    <w:abstractNumId w:val="10"/>
  </w:num>
  <w:num w:numId="7">
    <w:abstractNumId w:val="7"/>
  </w:num>
  <w:num w:numId="8">
    <w:abstractNumId w:val="6"/>
  </w:num>
  <w:num w:numId="9">
    <w:abstractNumId w:val="11"/>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BE"/>
    <w:rsid w:val="00000C5D"/>
    <w:rsid w:val="00001CC1"/>
    <w:rsid w:val="00005B2B"/>
    <w:rsid w:val="00014BB7"/>
    <w:rsid w:val="00020680"/>
    <w:rsid w:val="00025B73"/>
    <w:rsid w:val="00030D9F"/>
    <w:rsid w:val="00032CE8"/>
    <w:rsid w:val="00051C56"/>
    <w:rsid w:val="00093A21"/>
    <w:rsid w:val="000B2E4B"/>
    <w:rsid w:val="000B3169"/>
    <w:rsid w:val="000D51BE"/>
    <w:rsid w:val="000E45A5"/>
    <w:rsid w:val="000E62F0"/>
    <w:rsid w:val="000F6509"/>
    <w:rsid w:val="000F70A1"/>
    <w:rsid w:val="000F7B64"/>
    <w:rsid w:val="00110A96"/>
    <w:rsid w:val="00114DEA"/>
    <w:rsid w:val="00115406"/>
    <w:rsid w:val="001211C1"/>
    <w:rsid w:val="00121FDF"/>
    <w:rsid w:val="00122663"/>
    <w:rsid w:val="00137D65"/>
    <w:rsid w:val="0014291C"/>
    <w:rsid w:val="00143654"/>
    <w:rsid w:val="00151463"/>
    <w:rsid w:val="00161065"/>
    <w:rsid w:val="00170158"/>
    <w:rsid w:val="00183EBB"/>
    <w:rsid w:val="001A4ACD"/>
    <w:rsid w:val="001A621F"/>
    <w:rsid w:val="001A6D56"/>
    <w:rsid w:val="001B5B23"/>
    <w:rsid w:val="001C31F6"/>
    <w:rsid w:val="001D206B"/>
    <w:rsid w:val="001D3E86"/>
    <w:rsid w:val="001E26AF"/>
    <w:rsid w:val="001E272C"/>
    <w:rsid w:val="001E2765"/>
    <w:rsid w:val="001E7E83"/>
    <w:rsid w:val="001F18DD"/>
    <w:rsid w:val="001F59CB"/>
    <w:rsid w:val="00220DA4"/>
    <w:rsid w:val="002367EE"/>
    <w:rsid w:val="00245EB0"/>
    <w:rsid w:val="002517B0"/>
    <w:rsid w:val="002601F8"/>
    <w:rsid w:val="00266B27"/>
    <w:rsid w:val="00282A20"/>
    <w:rsid w:val="0029702A"/>
    <w:rsid w:val="002A5D8F"/>
    <w:rsid w:val="002B0CE5"/>
    <w:rsid w:val="002B2594"/>
    <w:rsid w:val="002B336B"/>
    <w:rsid w:val="002C3AAE"/>
    <w:rsid w:val="002C4704"/>
    <w:rsid w:val="002C5BB6"/>
    <w:rsid w:val="00317CE8"/>
    <w:rsid w:val="00321952"/>
    <w:rsid w:val="003274A9"/>
    <w:rsid w:val="00340DDC"/>
    <w:rsid w:val="003522C6"/>
    <w:rsid w:val="003605C6"/>
    <w:rsid w:val="00395AA3"/>
    <w:rsid w:val="003B1B1B"/>
    <w:rsid w:val="003C0915"/>
    <w:rsid w:val="003D7511"/>
    <w:rsid w:val="003F0842"/>
    <w:rsid w:val="003F1808"/>
    <w:rsid w:val="003F7998"/>
    <w:rsid w:val="00402396"/>
    <w:rsid w:val="00412C90"/>
    <w:rsid w:val="00443596"/>
    <w:rsid w:val="004475AB"/>
    <w:rsid w:val="004625B3"/>
    <w:rsid w:val="004813C6"/>
    <w:rsid w:val="004978D9"/>
    <w:rsid w:val="004A50B3"/>
    <w:rsid w:val="004D176E"/>
    <w:rsid w:val="004D66A4"/>
    <w:rsid w:val="004F0470"/>
    <w:rsid w:val="0052277A"/>
    <w:rsid w:val="00531DEE"/>
    <w:rsid w:val="00541D4A"/>
    <w:rsid w:val="00546892"/>
    <w:rsid w:val="0054691A"/>
    <w:rsid w:val="00553DC3"/>
    <w:rsid w:val="00560FD2"/>
    <w:rsid w:val="00565825"/>
    <w:rsid w:val="00565E88"/>
    <w:rsid w:val="00570518"/>
    <w:rsid w:val="0057263A"/>
    <w:rsid w:val="005810AF"/>
    <w:rsid w:val="00587EC5"/>
    <w:rsid w:val="005A25F1"/>
    <w:rsid w:val="005A62AA"/>
    <w:rsid w:val="005B41C5"/>
    <w:rsid w:val="005C2E78"/>
    <w:rsid w:val="005D387D"/>
    <w:rsid w:val="005E5830"/>
    <w:rsid w:val="005E7BEB"/>
    <w:rsid w:val="00633649"/>
    <w:rsid w:val="0064104D"/>
    <w:rsid w:val="00644117"/>
    <w:rsid w:val="006469B8"/>
    <w:rsid w:val="006520A1"/>
    <w:rsid w:val="00660800"/>
    <w:rsid w:val="006659C0"/>
    <w:rsid w:val="00666883"/>
    <w:rsid w:val="006909B8"/>
    <w:rsid w:val="006948E9"/>
    <w:rsid w:val="006C1BAE"/>
    <w:rsid w:val="006E0437"/>
    <w:rsid w:val="00722C39"/>
    <w:rsid w:val="0073665B"/>
    <w:rsid w:val="00744EC1"/>
    <w:rsid w:val="00751213"/>
    <w:rsid w:val="0077173D"/>
    <w:rsid w:val="007816F1"/>
    <w:rsid w:val="00783846"/>
    <w:rsid w:val="00784F2B"/>
    <w:rsid w:val="00791D6B"/>
    <w:rsid w:val="007B578D"/>
    <w:rsid w:val="007E04F7"/>
    <w:rsid w:val="00807195"/>
    <w:rsid w:val="0082434B"/>
    <w:rsid w:val="00825E44"/>
    <w:rsid w:val="00834C44"/>
    <w:rsid w:val="00847359"/>
    <w:rsid w:val="00847624"/>
    <w:rsid w:val="0085185B"/>
    <w:rsid w:val="00852002"/>
    <w:rsid w:val="0086699E"/>
    <w:rsid w:val="008808B5"/>
    <w:rsid w:val="00882E9E"/>
    <w:rsid w:val="008906E5"/>
    <w:rsid w:val="00891385"/>
    <w:rsid w:val="008A1123"/>
    <w:rsid w:val="008A5F01"/>
    <w:rsid w:val="008B1A87"/>
    <w:rsid w:val="008B54F1"/>
    <w:rsid w:val="008B6CD1"/>
    <w:rsid w:val="008C5731"/>
    <w:rsid w:val="008C6C31"/>
    <w:rsid w:val="008C721F"/>
    <w:rsid w:val="008D1966"/>
    <w:rsid w:val="008F3699"/>
    <w:rsid w:val="008F5F00"/>
    <w:rsid w:val="008F7933"/>
    <w:rsid w:val="00900463"/>
    <w:rsid w:val="009026F6"/>
    <w:rsid w:val="0090463B"/>
    <w:rsid w:val="00910588"/>
    <w:rsid w:val="00926AA9"/>
    <w:rsid w:val="00935532"/>
    <w:rsid w:val="00964F33"/>
    <w:rsid w:val="0096647C"/>
    <w:rsid w:val="009944FE"/>
    <w:rsid w:val="009D6690"/>
    <w:rsid w:val="009E74B3"/>
    <w:rsid w:val="009F53ED"/>
    <w:rsid w:val="00A00BFA"/>
    <w:rsid w:val="00A0258C"/>
    <w:rsid w:val="00A05366"/>
    <w:rsid w:val="00A06EBB"/>
    <w:rsid w:val="00A15D79"/>
    <w:rsid w:val="00A27745"/>
    <w:rsid w:val="00A80479"/>
    <w:rsid w:val="00A809F7"/>
    <w:rsid w:val="00A84A8A"/>
    <w:rsid w:val="00A86AD9"/>
    <w:rsid w:val="00A9437E"/>
    <w:rsid w:val="00AC1CAC"/>
    <w:rsid w:val="00AC56A0"/>
    <w:rsid w:val="00AD486C"/>
    <w:rsid w:val="00AD55DE"/>
    <w:rsid w:val="00AD676E"/>
    <w:rsid w:val="00AE1C09"/>
    <w:rsid w:val="00AF3ACD"/>
    <w:rsid w:val="00AF50FF"/>
    <w:rsid w:val="00B004CA"/>
    <w:rsid w:val="00B02B73"/>
    <w:rsid w:val="00B07204"/>
    <w:rsid w:val="00B173DF"/>
    <w:rsid w:val="00B3204E"/>
    <w:rsid w:val="00B60197"/>
    <w:rsid w:val="00B76DDC"/>
    <w:rsid w:val="00B86413"/>
    <w:rsid w:val="00BA7259"/>
    <w:rsid w:val="00BC1BA3"/>
    <w:rsid w:val="00BC64C2"/>
    <w:rsid w:val="00BD1096"/>
    <w:rsid w:val="00BD5B2E"/>
    <w:rsid w:val="00BF4B40"/>
    <w:rsid w:val="00C26F2C"/>
    <w:rsid w:val="00C30790"/>
    <w:rsid w:val="00C331A1"/>
    <w:rsid w:val="00C445DE"/>
    <w:rsid w:val="00C52E5B"/>
    <w:rsid w:val="00C63986"/>
    <w:rsid w:val="00C67095"/>
    <w:rsid w:val="00C90116"/>
    <w:rsid w:val="00C933B7"/>
    <w:rsid w:val="00C94EC7"/>
    <w:rsid w:val="00C95170"/>
    <w:rsid w:val="00CC6ED5"/>
    <w:rsid w:val="00CE0202"/>
    <w:rsid w:val="00CF3F00"/>
    <w:rsid w:val="00D00E71"/>
    <w:rsid w:val="00D15C4C"/>
    <w:rsid w:val="00D259BD"/>
    <w:rsid w:val="00D35DCB"/>
    <w:rsid w:val="00D54247"/>
    <w:rsid w:val="00D661D2"/>
    <w:rsid w:val="00D9006E"/>
    <w:rsid w:val="00DA38A4"/>
    <w:rsid w:val="00DA5C47"/>
    <w:rsid w:val="00DA660C"/>
    <w:rsid w:val="00DD0FD4"/>
    <w:rsid w:val="00DD2AA8"/>
    <w:rsid w:val="00DD4071"/>
    <w:rsid w:val="00DF3236"/>
    <w:rsid w:val="00DF3748"/>
    <w:rsid w:val="00E11CB5"/>
    <w:rsid w:val="00E13407"/>
    <w:rsid w:val="00E14990"/>
    <w:rsid w:val="00E3101F"/>
    <w:rsid w:val="00E3650A"/>
    <w:rsid w:val="00E42B4D"/>
    <w:rsid w:val="00E55F50"/>
    <w:rsid w:val="00E729A4"/>
    <w:rsid w:val="00E803F7"/>
    <w:rsid w:val="00E84CAC"/>
    <w:rsid w:val="00E92887"/>
    <w:rsid w:val="00E92F0A"/>
    <w:rsid w:val="00E966D5"/>
    <w:rsid w:val="00EB228E"/>
    <w:rsid w:val="00EC14B1"/>
    <w:rsid w:val="00EC6A45"/>
    <w:rsid w:val="00EE072C"/>
    <w:rsid w:val="00EE1F5E"/>
    <w:rsid w:val="00EF113E"/>
    <w:rsid w:val="00EF3852"/>
    <w:rsid w:val="00EF5071"/>
    <w:rsid w:val="00F05404"/>
    <w:rsid w:val="00F33F91"/>
    <w:rsid w:val="00F34EC1"/>
    <w:rsid w:val="00F4282C"/>
    <w:rsid w:val="00F51400"/>
    <w:rsid w:val="00F51A9F"/>
    <w:rsid w:val="00F529BA"/>
    <w:rsid w:val="00F63269"/>
    <w:rsid w:val="00F669BE"/>
    <w:rsid w:val="00F71D0E"/>
    <w:rsid w:val="00F7525F"/>
    <w:rsid w:val="00F75521"/>
    <w:rsid w:val="00F80866"/>
    <w:rsid w:val="00F8432C"/>
    <w:rsid w:val="00F86A8E"/>
    <w:rsid w:val="00F90030"/>
    <w:rsid w:val="00F94C41"/>
    <w:rsid w:val="00F95C41"/>
    <w:rsid w:val="00F96725"/>
    <w:rsid w:val="00FC794C"/>
    <w:rsid w:val="00FD0F65"/>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D5547AB"/>
  <w15:docId w15:val="{CCC0450F-9382-47F5-9089-814C681E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D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D55DE"/>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AD55DE"/>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AD55DE"/>
    <w:pPr>
      <w:spacing w:before="101" w:after="101" w:line="216" w:lineRule="atLeast"/>
      <w:jc w:val="center"/>
    </w:pPr>
    <w:rPr>
      <w:b/>
      <w:sz w:val="18"/>
      <w:szCs w:val="20"/>
      <w:lang w:val="es-ES_tradnl"/>
    </w:rPr>
  </w:style>
  <w:style w:type="character" w:customStyle="1" w:styleId="TextoCar">
    <w:name w:val="Texto Car"/>
    <w:link w:val="Texto"/>
    <w:locked/>
    <w:rsid w:val="00AD55DE"/>
    <w:rPr>
      <w:rFonts w:ascii="Arial" w:eastAsia="Times New Roman" w:hAnsi="Arial" w:cs="Arial"/>
      <w:sz w:val="18"/>
      <w:szCs w:val="20"/>
      <w:lang w:eastAsia="es-ES"/>
    </w:rPr>
  </w:style>
  <w:style w:type="character" w:customStyle="1" w:styleId="ROMANOSCar">
    <w:name w:val="ROMANOS Car"/>
    <w:link w:val="ROMANOS"/>
    <w:locked/>
    <w:rsid w:val="00AD55DE"/>
    <w:rPr>
      <w:rFonts w:ascii="Arial" w:eastAsia="Times New Roman" w:hAnsi="Arial" w:cs="Arial"/>
      <w:sz w:val="18"/>
      <w:szCs w:val="18"/>
      <w:lang w:eastAsia="es-ES"/>
    </w:rPr>
  </w:style>
  <w:style w:type="character" w:customStyle="1" w:styleId="ANOTACIONCar">
    <w:name w:val="ANOTACION Car"/>
    <w:link w:val="ANOTACION"/>
    <w:locked/>
    <w:rsid w:val="00AD55DE"/>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AD55DE"/>
    <w:pPr>
      <w:tabs>
        <w:tab w:val="center" w:pos="4419"/>
        <w:tab w:val="right" w:pos="8838"/>
      </w:tabs>
    </w:pPr>
  </w:style>
  <w:style w:type="character" w:customStyle="1" w:styleId="PiedepginaCar">
    <w:name w:val="Pie de página Car"/>
    <w:basedOn w:val="Fuentedeprrafopredeter"/>
    <w:link w:val="Piedepgina"/>
    <w:uiPriority w:val="99"/>
    <w:rsid w:val="00AD55DE"/>
    <w:rPr>
      <w:rFonts w:ascii="Times New Roman" w:eastAsia="Times New Roman" w:hAnsi="Times New Roman" w:cs="Times New Roman"/>
      <w:sz w:val="24"/>
      <w:szCs w:val="24"/>
      <w:lang w:eastAsia="es-ES"/>
    </w:rPr>
  </w:style>
  <w:style w:type="character" w:customStyle="1" w:styleId="Listavistosa-nfasis1Car">
    <w:name w:val="Lista vistosa - Énfasis 1 Car"/>
    <w:link w:val="Listavistosa-nfasis1"/>
    <w:uiPriority w:val="34"/>
    <w:locked/>
    <w:rsid w:val="00AD55DE"/>
    <w:rPr>
      <w:rFonts w:ascii="Arial" w:hAnsi="Arial" w:cs="Arial"/>
      <w:sz w:val="24"/>
      <w:lang w:val="es-MX" w:eastAsia="es-MX"/>
    </w:rPr>
  </w:style>
  <w:style w:type="paragraph" w:styleId="Prrafodelista">
    <w:name w:val="List Paragraph"/>
    <w:basedOn w:val="Normal"/>
    <w:uiPriority w:val="34"/>
    <w:qFormat/>
    <w:rsid w:val="00AD55DE"/>
    <w:pPr>
      <w:ind w:left="708"/>
    </w:pPr>
  </w:style>
  <w:style w:type="table" w:styleId="Listavistosa-nfasis1">
    <w:name w:val="Colorful List Accent 1"/>
    <w:basedOn w:val="Tablanormal"/>
    <w:link w:val="Listavistosa-nfasis1Car"/>
    <w:uiPriority w:val="34"/>
    <w:semiHidden/>
    <w:unhideWhenUsed/>
    <w:rsid w:val="00AD55DE"/>
    <w:pPr>
      <w:spacing w:after="0" w:line="240" w:lineRule="auto"/>
    </w:pPr>
    <w:rPr>
      <w:rFonts w:ascii="Arial" w:hAnsi="Arial" w:cs="Arial"/>
      <w:sz w:val="24"/>
      <w:lang w:eastAsia="es-MX"/>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Refdecomentario">
    <w:name w:val="annotation reference"/>
    <w:basedOn w:val="Fuentedeprrafopredeter"/>
    <w:uiPriority w:val="99"/>
    <w:unhideWhenUsed/>
    <w:rsid w:val="00A809F7"/>
    <w:rPr>
      <w:sz w:val="16"/>
      <w:szCs w:val="16"/>
    </w:rPr>
  </w:style>
  <w:style w:type="paragraph" w:styleId="Textocomentario">
    <w:name w:val="annotation text"/>
    <w:basedOn w:val="Normal"/>
    <w:link w:val="TextocomentarioCar"/>
    <w:uiPriority w:val="99"/>
    <w:unhideWhenUsed/>
    <w:rsid w:val="00A809F7"/>
    <w:rPr>
      <w:sz w:val="20"/>
      <w:szCs w:val="20"/>
    </w:rPr>
  </w:style>
  <w:style w:type="character" w:customStyle="1" w:styleId="TextocomentarioCar">
    <w:name w:val="Texto comentario Car"/>
    <w:basedOn w:val="Fuentedeprrafopredeter"/>
    <w:link w:val="Textocomentario"/>
    <w:uiPriority w:val="99"/>
    <w:rsid w:val="00A809F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809F7"/>
    <w:rPr>
      <w:b/>
      <w:bCs/>
    </w:rPr>
  </w:style>
  <w:style w:type="character" w:customStyle="1" w:styleId="AsuntodelcomentarioCar">
    <w:name w:val="Asunto del comentario Car"/>
    <w:basedOn w:val="TextocomentarioCar"/>
    <w:link w:val="Asuntodelcomentario"/>
    <w:uiPriority w:val="99"/>
    <w:semiHidden/>
    <w:rsid w:val="00A809F7"/>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809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09F7"/>
    <w:rPr>
      <w:rFonts w:ascii="Segoe UI" w:eastAsia="Times New Roman" w:hAnsi="Segoe UI" w:cs="Segoe UI"/>
      <w:sz w:val="18"/>
      <w:szCs w:val="18"/>
      <w:lang w:eastAsia="es-ES"/>
    </w:rPr>
  </w:style>
  <w:style w:type="paragraph" w:styleId="Revisin">
    <w:name w:val="Revision"/>
    <w:hidden/>
    <w:uiPriority w:val="99"/>
    <w:semiHidden/>
    <w:rsid w:val="00143654"/>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A06EB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styleId="Encabezado">
    <w:name w:val="header"/>
    <w:basedOn w:val="Normal"/>
    <w:link w:val="EncabezadoCar"/>
    <w:uiPriority w:val="99"/>
    <w:unhideWhenUsed/>
    <w:rsid w:val="00F529BA"/>
    <w:pPr>
      <w:tabs>
        <w:tab w:val="center" w:pos="4419"/>
        <w:tab w:val="right" w:pos="8838"/>
      </w:tabs>
    </w:pPr>
  </w:style>
  <w:style w:type="character" w:customStyle="1" w:styleId="EncabezadoCar">
    <w:name w:val="Encabezado Car"/>
    <w:basedOn w:val="Fuentedeprrafopredeter"/>
    <w:link w:val="Encabezado"/>
    <w:uiPriority w:val="99"/>
    <w:rsid w:val="00F529BA"/>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DD4071"/>
    <w:rPr>
      <w:rFonts w:ascii="Calibri" w:hAnsi="Calibri"/>
    </w:rPr>
  </w:style>
  <w:style w:type="paragraph" w:styleId="Sinespaciado">
    <w:name w:val="No Spacing"/>
    <w:basedOn w:val="Normal"/>
    <w:link w:val="SinespaciadoCar"/>
    <w:uiPriority w:val="1"/>
    <w:qFormat/>
    <w:rsid w:val="00DD4071"/>
    <w:rPr>
      <w:rFonts w:ascii="Calibri" w:eastAsiaTheme="minorHAnsi" w:hAnsi="Calibri" w:cstheme="minorBidi"/>
      <w:sz w:val="22"/>
      <w:szCs w:val="22"/>
      <w:lang w:eastAsia="en-US"/>
    </w:rPr>
  </w:style>
  <w:style w:type="paragraph" w:customStyle="1" w:styleId="Normal1">
    <w:name w:val="Normal1"/>
    <w:rsid w:val="00EF5071"/>
    <w:pPr>
      <w:spacing w:line="256" w:lineRule="auto"/>
    </w:pPr>
    <w:rPr>
      <w:rFonts w:ascii="Calibri" w:eastAsia="Calibri" w:hAnsi="Calibri" w:cs="Calibri"/>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1319">
      <w:bodyDiv w:val="1"/>
      <w:marLeft w:val="0"/>
      <w:marRight w:val="0"/>
      <w:marTop w:val="0"/>
      <w:marBottom w:val="0"/>
      <w:divBdr>
        <w:top w:val="none" w:sz="0" w:space="0" w:color="auto"/>
        <w:left w:val="none" w:sz="0" w:space="0" w:color="auto"/>
        <w:bottom w:val="none" w:sz="0" w:space="0" w:color="auto"/>
        <w:right w:val="none" w:sz="0" w:space="0" w:color="auto"/>
      </w:divBdr>
    </w:div>
    <w:div w:id="746264293">
      <w:bodyDiv w:val="1"/>
      <w:marLeft w:val="0"/>
      <w:marRight w:val="0"/>
      <w:marTop w:val="0"/>
      <w:marBottom w:val="0"/>
      <w:divBdr>
        <w:top w:val="none" w:sz="0" w:space="0" w:color="auto"/>
        <w:left w:val="none" w:sz="0" w:space="0" w:color="auto"/>
        <w:bottom w:val="none" w:sz="0" w:space="0" w:color="auto"/>
        <w:right w:val="none" w:sz="0" w:space="0" w:color="auto"/>
      </w:divBdr>
      <w:divsChild>
        <w:div w:id="764422325">
          <w:marLeft w:val="1080"/>
          <w:marRight w:val="0"/>
          <w:marTop w:val="0"/>
          <w:marBottom w:val="90"/>
          <w:divBdr>
            <w:top w:val="none" w:sz="0" w:space="0" w:color="auto"/>
            <w:left w:val="none" w:sz="0" w:space="0" w:color="auto"/>
            <w:bottom w:val="none" w:sz="0" w:space="0" w:color="auto"/>
            <w:right w:val="none" w:sz="0" w:space="0" w:color="auto"/>
          </w:divBdr>
        </w:div>
        <w:div w:id="986781242">
          <w:marLeft w:val="1080"/>
          <w:marRight w:val="0"/>
          <w:marTop w:val="0"/>
          <w:marBottom w:val="90"/>
          <w:divBdr>
            <w:top w:val="none" w:sz="0" w:space="0" w:color="auto"/>
            <w:left w:val="none" w:sz="0" w:space="0" w:color="auto"/>
            <w:bottom w:val="none" w:sz="0" w:space="0" w:color="auto"/>
            <w:right w:val="none" w:sz="0" w:space="0" w:color="auto"/>
          </w:divBdr>
        </w:div>
      </w:divsChild>
    </w:div>
    <w:div w:id="865218465">
      <w:bodyDiv w:val="1"/>
      <w:marLeft w:val="0"/>
      <w:marRight w:val="0"/>
      <w:marTop w:val="0"/>
      <w:marBottom w:val="0"/>
      <w:divBdr>
        <w:top w:val="none" w:sz="0" w:space="0" w:color="auto"/>
        <w:left w:val="none" w:sz="0" w:space="0" w:color="auto"/>
        <w:bottom w:val="none" w:sz="0" w:space="0" w:color="auto"/>
        <w:right w:val="none" w:sz="0" w:space="0" w:color="auto"/>
      </w:divBdr>
    </w:div>
    <w:div w:id="1445003718">
      <w:bodyDiv w:val="1"/>
      <w:marLeft w:val="0"/>
      <w:marRight w:val="0"/>
      <w:marTop w:val="0"/>
      <w:marBottom w:val="0"/>
      <w:divBdr>
        <w:top w:val="none" w:sz="0" w:space="0" w:color="auto"/>
        <w:left w:val="none" w:sz="0" w:space="0" w:color="auto"/>
        <w:bottom w:val="none" w:sz="0" w:space="0" w:color="auto"/>
        <w:right w:val="none" w:sz="0" w:space="0" w:color="auto"/>
      </w:divBdr>
    </w:div>
    <w:div w:id="1897163082">
      <w:bodyDiv w:val="1"/>
      <w:marLeft w:val="0"/>
      <w:marRight w:val="0"/>
      <w:marTop w:val="0"/>
      <w:marBottom w:val="0"/>
      <w:divBdr>
        <w:top w:val="none" w:sz="0" w:space="0" w:color="auto"/>
        <w:left w:val="none" w:sz="0" w:space="0" w:color="auto"/>
        <w:bottom w:val="none" w:sz="0" w:space="0" w:color="auto"/>
        <w:right w:val="none" w:sz="0" w:space="0" w:color="auto"/>
      </w:divBdr>
      <w:divsChild>
        <w:div w:id="1261447349">
          <w:marLeft w:val="1080"/>
          <w:marRight w:val="0"/>
          <w:marTop w:val="0"/>
          <w:marBottom w:val="90"/>
          <w:divBdr>
            <w:top w:val="none" w:sz="0" w:space="0" w:color="auto"/>
            <w:left w:val="none" w:sz="0" w:space="0" w:color="auto"/>
            <w:bottom w:val="none" w:sz="0" w:space="0" w:color="auto"/>
            <w:right w:val="none" w:sz="0" w:space="0" w:color="auto"/>
          </w:divBdr>
        </w:div>
        <w:div w:id="1119834868">
          <w:marLeft w:val="108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E467E513-7EBA-435B-AE15-DA2FDC25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1992</Words>
  <Characters>10958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Normatividad Técnica</dc:creator>
  <cp:lastModifiedBy>Karen Beatriz Martinez Munguia</cp:lastModifiedBy>
  <cp:revision>6</cp:revision>
  <cp:lastPrinted>2016-06-30T14:49:00Z</cp:lastPrinted>
  <dcterms:created xsi:type="dcterms:W3CDTF">2016-06-29T21:40:00Z</dcterms:created>
  <dcterms:modified xsi:type="dcterms:W3CDTF">2016-06-30T14:51:00Z</dcterms:modified>
</cp:coreProperties>
</file>