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07CF" w14:textId="77777777" w:rsidR="002773C7" w:rsidRPr="002773C7" w:rsidRDefault="002773C7" w:rsidP="002773C7">
      <w:pPr>
        <w:pStyle w:val="Ttulo1"/>
        <w:spacing w:before="0" w:line="276" w:lineRule="auto"/>
        <w:jc w:val="center"/>
        <w:rPr>
          <w:rFonts w:ascii="Arial" w:hAnsi="Arial" w:cs="Arial"/>
          <w:b/>
          <w:color w:val="auto"/>
          <w:sz w:val="26"/>
          <w:szCs w:val="26"/>
        </w:rPr>
      </w:pPr>
      <w:r w:rsidRPr="002773C7">
        <w:rPr>
          <w:rFonts w:ascii="Arial" w:hAnsi="Arial" w:cs="Arial"/>
          <w:b/>
          <w:color w:val="auto"/>
          <w:sz w:val="26"/>
          <w:szCs w:val="26"/>
        </w:rPr>
        <w:t>Anexo Único</w:t>
      </w:r>
    </w:p>
    <w:p w14:paraId="03B96F24" w14:textId="77777777" w:rsidR="002773C7" w:rsidRPr="002773C7" w:rsidRDefault="002773C7" w:rsidP="002773C7">
      <w:pPr>
        <w:spacing w:line="276" w:lineRule="auto"/>
        <w:rPr>
          <w:rFonts w:ascii="Arial" w:hAnsi="Arial" w:cs="Arial"/>
          <w:b/>
          <w:sz w:val="26"/>
          <w:szCs w:val="26"/>
        </w:rPr>
      </w:pPr>
    </w:p>
    <w:p w14:paraId="7BE96183" w14:textId="77777777" w:rsidR="002773C7" w:rsidRPr="002773C7" w:rsidRDefault="002773C7" w:rsidP="002773C7">
      <w:pPr>
        <w:pStyle w:val="Ttulo2"/>
        <w:spacing w:before="0" w:line="276" w:lineRule="auto"/>
        <w:jc w:val="both"/>
        <w:rPr>
          <w:rFonts w:ascii="Arial" w:hAnsi="Arial" w:cs="Arial"/>
          <w:b/>
          <w:color w:val="auto"/>
        </w:rPr>
      </w:pPr>
      <w:r w:rsidRPr="002773C7">
        <w:rPr>
          <w:rFonts w:ascii="Arial" w:hAnsi="Arial" w:cs="Arial"/>
          <w:b/>
          <w:color w:val="auto"/>
        </w:rPr>
        <w:t>Anteproyecto de “Acuerdo mediante el cual el Pleno del Instituto Federal de Telecomunicaciones actualiza las condiciones técnicas de operación para el uso de la banda de frecuencias 57-64 GHz, clasificada como espectro libre”</w:t>
      </w:r>
    </w:p>
    <w:p w14:paraId="434EC996" w14:textId="77777777" w:rsidR="002773C7" w:rsidRPr="002773C7" w:rsidRDefault="002773C7" w:rsidP="002773C7">
      <w:pPr>
        <w:spacing w:line="276" w:lineRule="auto"/>
        <w:rPr>
          <w:rFonts w:ascii="Arial" w:hAnsi="Arial" w:cs="Arial"/>
          <w:b/>
          <w:sz w:val="26"/>
          <w:szCs w:val="26"/>
        </w:rPr>
      </w:pPr>
    </w:p>
    <w:p w14:paraId="40986804" w14:textId="77777777" w:rsidR="002773C7" w:rsidRPr="002773C7" w:rsidRDefault="002773C7" w:rsidP="002773C7">
      <w:pPr>
        <w:pStyle w:val="Ttulo3"/>
        <w:numPr>
          <w:ilvl w:val="0"/>
          <w:numId w:val="0"/>
        </w:numPr>
        <w:spacing w:line="276" w:lineRule="auto"/>
        <w:contextualSpacing w:val="0"/>
        <w:rPr>
          <w:rFonts w:ascii="Arial" w:hAnsi="Arial" w:cs="Arial"/>
          <w:color w:val="auto"/>
          <w:sz w:val="26"/>
          <w:szCs w:val="26"/>
        </w:rPr>
      </w:pPr>
      <w:r w:rsidRPr="002773C7">
        <w:rPr>
          <w:rFonts w:ascii="Arial" w:hAnsi="Arial" w:cs="Arial"/>
          <w:color w:val="auto"/>
          <w:sz w:val="26"/>
          <w:szCs w:val="26"/>
        </w:rPr>
        <w:t>Antecedentes</w:t>
      </w:r>
    </w:p>
    <w:p w14:paraId="31DB4A34" w14:textId="77777777" w:rsidR="002773C7" w:rsidRPr="002773C7" w:rsidRDefault="002773C7" w:rsidP="002773C7">
      <w:pPr>
        <w:spacing w:line="276" w:lineRule="auto"/>
        <w:rPr>
          <w:rFonts w:ascii="Arial" w:hAnsi="Arial" w:cs="Arial"/>
        </w:rPr>
      </w:pPr>
    </w:p>
    <w:p w14:paraId="44BA842F"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El 11 de junio de 2013 se publicó en el Diario Oficial de la Federación (“DOF”) el “</w:t>
      </w:r>
      <w:r w:rsidRPr="002773C7">
        <w:rPr>
          <w:rFonts w:ascii="Arial" w:hAnsi="Arial"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2773C7">
        <w:rPr>
          <w:rFonts w:ascii="Arial" w:hAnsi="Arial" w:cs="Arial"/>
          <w:kern w:val="1"/>
          <w:sz w:val="22"/>
          <w:szCs w:val="22"/>
          <w:lang w:eastAsia="ar-SA"/>
        </w:rPr>
        <w:t>, mediante el cual se creó al Instituto Federal de Telecomunicaciones (“Instituto”) como un órgano autónomo, con personalidad jurídica y patrimonio propio.</w:t>
      </w:r>
    </w:p>
    <w:p w14:paraId="426DCA01" w14:textId="77777777" w:rsidR="002773C7" w:rsidRPr="002773C7" w:rsidRDefault="002773C7" w:rsidP="002773C7">
      <w:pPr>
        <w:pStyle w:val="Prrafodelista"/>
        <w:suppressAutoHyphens/>
        <w:spacing w:line="276" w:lineRule="auto"/>
        <w:ind w:left="0" w:right="49"/>
        <w:contextualSpacing w:val="0"/>
        <w:jc w:val="both"/>
        <w:rPr>
          <w:rFonts w:ascii="Arial" w:hAnsi="Arial" w:cs="Arial"/>
          <w:kern w:val="1"/>
          <w:sz w:val="22"/>
          <w:szCs w:val="22"/>
          <w:lang w:eastAsia="ar-SA"/>
        </w:rPr>
      </w:pPr>
    </w:p>
    <w:p w14:paraId="08EB546B"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El 14 de julio de 2014 se publicó en el DOF el “</w:t>
      </w:r>
      <w:r w:rsidRPr="002773C7">
        <w:rPr>
          <w:rFonts w:ascii="Arial" w:hAnsi="Arial" w:cs="Arial"/>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773C7">
        <w:rPr>
          <w:rFonts w:ascii="Arial" w:hAnsi="Arial" w:cs="Arial"/>
          <w:kern w:val="1"/>
          <w:sz w:val="22"/>
          <w:szCs w:val="22"/>
          <w:lang w:eastAsia="ar-SA"/>
        </w:rPr>
        <w:t>, entrando en vigor la Ley Federal de Telecomunicaciones y Radiodifusión (“Ley”) el 13 de agosto de 2014.</w:t>
      </w:r>
    </w:p>
    <w:p w14:paraId="47124E5C" w14:textId="77777777" w:rsidR="002773C7" w:rsidRPr="002773C7" w:rsidRDefault="002773C7" w:rsidP="002773C7">
      <w:pPr>
        <w:spacing w:line="276" w:lineRule="auto"/>
        <w:jc w:val="both"/>
        <w:rPr>
          <w:rFonts w:ascii="Arial" w:eastAsia="Calibri" w:hAnsi="Arial" w:cs="Arial"/>
          <w:sz w:val="22"/>
          <w:szCs w:val="22"/>
          <w:lang w:eastAsia="es-MX"/>
        </w:rPr>
      </w:pPr>
    </w:p>
    <w:p w14:paraId="2454EFD2"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eastAsia="Calibri" w:hAnsi="Arial" w:cs="Arial"/>
          <w:sz w:val="22"/>
          <w:szCs w:val="22"/>
          <w:lang w:eastAsia="es-MX"/>
        </w:rPr>
        <w:t>El 4 de septiembre de 2014 se publicó en el DOF el “</w:t>
      </w:r>
      <w:r w:rsidRPr="002773C7">
        <w:rPr>
          <w:rFonts w:ascii="Arial" w:eastAsia="Calibri" w:hAnsi="Arial" w:cs="Arial"/>
          <w:i/>
          <w:sz w:val="22"/>
          <w:szCs w:val="22"/>
          <w:lang w:eastAsia="es-MX"/>
        </w:rPr>
        <w:t>Estatuto Orgánico del Instituto Federal de Telecomunicaciones</w:t>
      </w:r>
      <w:r w:rsidRPr="002773C7">
        <w:rPr>
          <w:rFonts w:ascii="Arial" w:eastAsia="Calibri" w:hAnsi="Arial" w:cs="Arial"/>
          <w:sz w:val="22"/>
          <w:szCs w:val="22"/>
          <w:lang w:eastAsia="es-MX"/>
        </w:rPr>
        <w:t xml:space="preserve"> (“Estatuto Orgánico”), el cual entró en vigor el 26 de septiembre de 2014.</w:t>
      </w:r>
    </w:p>
    <w:p w14:paraId="6981214E" w14:textId="77777777" w:rsidR="002773C7" w:rsidRPr="002773C7" w:rsidRDefault="002773C7" w:rsidP="002773C7">
      <w:pPr>
        <w:spacing w:line="276" w:lineRule="auto"/>
        <w:jc w:val="both"/>
        <w:rPr>
          <w:rFonts w:ascii="Arial" w:hAnsi="Arial" w:cs="Arial"/>
          <w:kern w:val="1"/>
          <w:sz w:val="22"/>
          <w:szCs w:val="22"/>
          <w:lang w:eastAsia="ar-SA"/>
        </w:rPr>
      </w:pPr>
    </w:p>
    <w:p w14:paraId="19E79B42"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El 20 de octubre de 2015 se publicó en el DOF el “</w:t>
      </w:r>
      <w:r w:rsidRPr="002773C7">
        <w:rPr>
          <w:rFonts w:ascii="Arial" w:hAnsi="Arial" w:cs="Arial"/>
          <w:i/>
          <w:kern w:val="1"/>
          <w:sz w:val="22"/>
          <w:szCs w:val="22"/>
          <w:lang w:eastAsia="ar-SA"/>
        </w:rPr>
        <w:t>Acuerdo mediante el cual el Pleno del Instituto Federal de Telecomunicaciones aprueba el Cuadro Nacional de Atribución de Frecuencias”</w:t>
      </w:r>
      <w:r w:rsidRPr="002773C7">
        <w:rPr>
          <w:rStyle w:val="Refdenotaalpie"/>
          <w:rFonts w:ascii="Arial" w:hAnsi="Arial" w:cs="Arial"/>
          <w:i/>
          <w:kern w:val="1"/>
          <w:sz w:val="22"/>
          <w:szCs w:val="22"/>
          <w:lang w:eastAsia="ar-SA"/>
        </w:rPr>
        <w:footnoteReference w:id="2"/>
      </w:r>
      <w:r w:rsidRPr="002773C7">
        <w:rPr>
          <w:rFonts w:ascii="Arial" w:hAnsi="Arial" w:cs="Arial"/>
          <w:kern w:val="1"/>
          <w:sz w:val="22"/>
          <w:szCs w:val="22"/>
          <w:lang w:eastAsia="ar-SA"/>
        </w:rPr>
        <w:t xml:space="preserve"> (“CNAF”) el cual entró en vigor el 20 de octubre de 2015 y cuya última actualización fue publicada en el medio de difusión citado el 30 de diciembre de 2021.</w:t>
      </w:r>
    </w:p>
    <w:p w14:paraId="653BF85C" w14:textId="77777777" w:rsidR="002773C7" w:rsidRPr="002773C7" w:rsidRDefault="002773C7" w:rsidP="002773C7">
      <w:pPr>
        <w:spacing w:line="276" w:lineRule="auto"/>
        <w:jc w:val="both"/>
        <w:rPr>
          <w:rFonts w:ascii="Arial" w:hAnsi="Arial" w:cs="Arial"/>
          <w:kern w:val="1"/>
          <w:sz w:val="22"/>
          <w:szCs w:val="22"/>
          <w:lang w:eastAsia="ar-SA"/>
        </w:rPr>
      </w:pPr>
    </w:p>
    <w:p w14:paraId="48B3C2E7"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 xml:space="preserve">El 9 de mayo de 2017 se publicó en el DOF el </w:t>
      </w:r>
      <w:r w:rsidRPr="002773C7">
        <w:rPr>
          <w:rFonts w:ascii="Arial" w:hAnsi="Arial" w:cs="Arial"/>
          <w:i/>
          <w:kern w:val="1"/>
          <w:sz w:val="22"/>
          <w:szCs w:val="22"/>
          <w:lang w:eastAsia="ar-SA"/>
        </w:rPr>
        <w:t>“Acuerdo mediante el cual el Pleno del Instituto Federal de Telecomunicaciones clasifica la banda de frecuencias 57-64 GHz como espectro libre y expide las condiciones técnicas de operación”</w:t>
      </w:r>
      <w:r w:rsidRPr="002773C7">
        <w:rPr>
          <w:rStyle w:val="Refdenotaalpie"/>
          <w:rFonts w:ascii="Arial" w:hAnsi="Arial" w:cs="Arial"/>
          <w:i/>
          <w:kern w:val="1"/>
          <w:sz w:val="22"/>
          <w:szCs w:val="22"/>
          <w:lang w:eastAsia="ar-SA"/>
        </w:rPr>
        <w:footnoteReference w:id="3"/>
      </w:r>
      <w:r w:rsidRPr="002773C7">
        <w:rPr>
          <w:rFonts w:ascii="Arial" w:hAnsi="Arial" w:cs="Arial"/>
          <w:kern w:val="1"/>
          <w:sz w:val="22"/>
          <w:szCs w:val="22"/>
          <w:lang w:eastAsia="ar-SA"/>
        </w:rPr>
        <w:t xml:space="preserve"> (“Acuerdo que clasifica la banda 57-64 GHz”) el cual entró en vigor el 10 de mayo de 2017.</w:t>
      </w:r>
    </w:p>
    <w:p w14:paraId="3348FDD2" w14:textId="77777777" w:rsidR="002773C7" w:rsidRPr="002773C7" w:rsidRDefault="002773C7" w:rsidP="002773C7">
      <w:pPr>
        <w:spacing w:line="276" w:lineRule="auto"/>
        <w:jc w:val="both"/>
        <w:rPr>
          <w:rFonts w:ascii="Arial" w:hAnsi="Arial" w:cs="Arial"/>
          <w:kern w:val="1"/>
          <w:sz w:val="22"/>
          <w:szCs w:val="22"/>
          <w:lang w:eastAsia="ar-SA"/>
        </w:rPr>
      </w:pPr>
    </w:p>
    <w:p w14:paraId="123E3C54"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 xml:space="preserve">El 8 de noviembre de 2017 se publicó en el DOF el </w:t>
      </w:r>
      <w:r w:rsidRPr="002773C7">
        <w:rPr>
          <w:rFonts w:ascii="Arial" w:hAnsi="Arial" w:cs="Arial"/>
          <w:i/>
          <w:kern w:val="1"/>
          <w:sz w:val="22"/>
          <w:szCs w:val="22"/>
          <w:lang w:eastAsia="ar-SA"/>
        </w:rPr>
        <w:t>“Acuerdo mediante el cual el Pleno del Instituto Federal de Telecomunicaciones aprueba y emite los Lineamientos de Consulta Pública y Análisis de Impacto Regulatorio del Instituto Federal de Telecomunicaciones”</w:t>
      </w:r>
      <w:r w:rsidRPr="002773C7">
        <w:rPr>
          <w:rFonts w:ascii="Arial" w:hAnsi="Arial" w:cs="Arial"/>
          <w:kern w:val="1"/>
          <w:sz w:val="22"/>
          <w:szCs w:val="22"/>
          <w:lang w:eastAsia="ar-SA"/>
        </w:rPr>
        <w:t xml:space="preserve"> (“Lineamientos de Consulta Pública”), mismos que entraron en vigor el 1 de enero de 2018.</w:t>
      </w:r>
    </w:p>
    <w:p w14:paraId="789D3096" w14:textId="77777777" w:rsidR="002773C7" w:rsidRPr="002773C7" w:rsidRDefault="002773C7" w:rsidP="002773C7">
      <w:pPr>
        <w:spacing w:line="276" w:lineRule="auto"/>
        <w:jc w:val="both"/>
        <w:rPr>
          <w:rFonts w:ascii="Arial" w:hAnsi="Arial" w:cs="Arial"/>
          <w:kern w:val="1"/>
          <w:sz w:val="22"/>
          <w:szCs w:val="22"/>
          <w:lang w:eastAsia="ar-SA"/>
        </w:rPr>
      </w:pPr>
    </w:p>
    <w:p w14:paraId="415DF509" w14:textId="04ABEB22"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 xml:space="preserve">El 10 de marzo de 2021, mediante Acuerdo P/IFT/100321/102, aprobado en su V Sesión Ordinaria, el Pleno del Instituto determinó someter a Consulta Pública por un período de 20 días hábiles el </w:t>
      </w:r>
      <w:r w:rsidRPr="002773C7">
        <w:rPr>
          <w:rFonts w:ascii="Arial" w:hAnsi="Arial" w:cs="Arial"/>
          <w:i/>
          <w:iCs/>
          <w:kern w:val="1"/>
          <w:sz w:val="22"/>
          <w:szCs w:val="22"/>
          <w:lang w:eastAsia="ar-SA"/>
        </w:rPr>
        <w:t>“Anteproyecto de Acuerdo mediante el cual el Pleno del Instituto Federal de Telecomunicaciones actualiza las condiciones técnicas de operación de la banda de frecuencias 57-64 GHz, clasificada como espectro libre”</w:t>
      </w:r>
      <w:r w:rsidRPr="002773C7">
        <w:rPr>
          <w:rFonts w:ascii="Arial" w:hAnsi="Arial" w:cs="Arial"/>
          <w:kern w:val="1"/>
          <w:sz w:val="22"/>
          <w:szCs w:val="22"/>
          <w:lang w:eastAsia="ar-SA"/>
        </w:rPr>
        <w:t>.</w:t>
      </w:r>
    </w:p>
    <w:p w14:paraId="4C8E2E90" w14:textId="77777777" w:rsidR="002773C7" w:rsidRPr="002773C7" w:rsidRDefault="002773C7" w:rsidP="002773C7">
      <w:pPr>
        <w:spacing w:line="276" w:lineRule="auto"/>
        <w:jc w:val="both"/>
        <w:rPr>
          <w:rFonts w:ascii="Arial" w:hAnsi="Arial" w:cs="Arial"/>
          <w:kern w:val="1"/>
          <w:sz w:val="22"/>
          <w:szCs w:val="22"/>
          <w:lang w:eastAsia="ar-SA"/>
        </w:rPr>
      </w:pPr>
    </w:p>
    <w:p w14:paraId="059D316B"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Del 17 de marzo al 20 de abril de 2021 se llevó a cabo, por un periodo de 20 días hábiles, un primer proceso de Consulta Pública, respecto del “</w:t>
      </w:r>
      <w:r w:rsidRPr="002773C7">
        <w:rPr>
          <w:rFonts w:ascii="Arial" w:hAnsi="Arial" w:cs="Arial"/>
          <w:i/>
          <w:kern w:val="1"/>
          <w:sz w:val="22"/>
          <w:szCs w:val="22"/>
          <w:lang w:eastAsia="ar-SA"/>
        </w:rPr>
        <w:t xml:space="preserve">Anteproyecto de </w:t>
      </w:r>
      <w:r w:rsidRPr="002773C7">
        <w:rPr>
          <w:rFonts w:ascii="Arial" w:hAnsi="Arial" w:cs="Arial"/>
          <w:i/>
          <w:kern w:val="2"/>
          <w:sz w:val="22"/>
          <w:szCs w:val="22"/>
          <w:lang w:val="es-ES_tradnl" w:eastAsia="ar-SA"/>
        </w:rPr>
        <w:t>Acuerdo mediante el cual el Pleno del Instituto Federal de Telecomunicaciones actualiza las condiciones técnicas de operación de la banda de frecuencias 57-64 GHz, clasificada como espectro libre”,</w:t>
      </w:r>
      <w:r w:rsidRPr="002773C7">
        <w:rPr>
          <w:rFonts w:ascii="Arial" w:hAnsi="Arial" w:cs="Arial"/>
          <w:kern w:val="1"/>
          <w:sz w:val="22"/>
          <w:szCs w:val="22"/>
          <w:lang w:eastAsia="ar-SA"/>
        </w:rPr>
        <w:t xml:space="preserve"> con el objeto de transparentar y dar a conocer la propuesta regulatoria del Instituto.</w:t>
      </w:r>
    </w:p>
    <w:p w14:paraId="7A7D86F2" w14:textId="77777777" w:rsidR="002773C7" w:rsidRPr="002773C7" w:rsidRDefault="002773C7" w:rsidP="002773C7">
      <w:pPr>
        <w:spacing w:line="276" w:lineRule="auto"/>
        <w:jc w:val="both"/>
        <w:rPr>
          <w:rFonts w:ascii="Arial" w:hAnsi="Arial" w:cs="Arial"/>
        </w:rPr>
      </w:pPr>
    </w:p>
    <w:p w14:paraId="3CAEF125" w14:textId="77777777" w:rsidR="002773C7" w:rsidRPr="002773C7" w:rsidRDefault="002773C7" w:rsidP="002773C7">
      <w:pPr>
        <w:pStyle w:val="Prrafodelista"/>
        <w:suppressAutoHyphens/>
        <w:spacing w:line="276" w:lineRule="auto"/>
        <w:ind w:left="0" w:right="49"/>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Durante dicho período fueron recibidos 3 (tres) escritos con comentarios, información, opiniones, aportaciones u otros elementos de análisis, mismos que fueron publicados, analizados y tomados en consideración en la elaboración de la presente disposición administrativa de carácter general.</w:t>
      </w:r>
    </w:p>
    <w:p w14:paraId="1E65DC67" w14:textId="77777777" w:rsidR="002773C7" w:rsidRPr="002773C7" w:rsidRDefault="002773C7" w:rsidP="002773C7">
      <w:pPr>
        <w:pStyle w:val="Prrafodelista"/>
        <w:suppressAutoHyphens/>
        <w:spacing w:line="276" w:lineRule="auto"/>
        <w:ind w:left="0" w:right="49"/>
        <w:contextualSpacing w:val="0"/>
        <w:jc w:val="both"/>
        <w:rPr>
          <w:rFonts w:ascii="Arial" w:hAnsi="Arial" w:cs="Arial"/>
          <w:kern w:val="1"/>
          <w:sz w:val="22"/>
          <w:szCs w:val="22"/>
          <w:lang w:eastAsia="ar-SA"/>
        </w:rPr>
      </w:pPr>
    </w:p>
    <w:p w14:paraId="44C52B97"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 xml:space="preserve">Mediante oficio IFT/222/UER/DG-PLES/246/2021 de fecha 23 de noviembre de 2021, la Unidad de Espectro Radioeléctrico (“UER”) remitió a la Coordinación General de Mejora Regulatoria (“CGMR”) de este Instituto, el Análisis de Impacto Regulatorio (“AIR”) respecto al </w:t>
      </w:r>
      <w:r w:rsidRPr="002773C7">
        <w:rPr>
          <w:rFonts w:ascii="Arial" w:hAnsi="Arial" w:cs="Arial"/>
          <w:i/>
          <w:kern w:val="1"/>
          <w:sz w:val="22"/>
          <w:szCs w:val="22"/>
          <w:lang w:eastAsia="ar-SA"/>
        </w:rPr>
        <w:t>“Anteproyecto de</w:t>
      </w:r>
      <w:r w:rsidRPr="002773C7">
        <w:rPr>
          <w:rFonts w:ascii="Arial" w:hAnsi="Arial" w:cs="Arial"/>
          <w:kern w:val="1"/>
          <w:sz w:val="22"/>
          <w:szCs w:val="22"/>
          <w:lang w:eastAsia="ar-SA"/>
        </w:rPr>
        <w:t xml:space="preserve"> </w:t>
      </w:r>
      <w:r w:rsidRPr="002773C7">
        <w:rPr>
          <w:rFonts w:ascii="Arial" w:hAnsi="Arial" w:cs="Arial"/>
          <w:i/>
          <w:kern w:val="2"/>
          <w:sz w:val="22"/>
          <w:szCs w:val="22"/>
          <w:lang w:val="es-ES_tradnl" w:eastAsia="ar-SA"/>
        </w:rPr>
        <w:t>Acuerdo mediante el cual el Pleno del Instituto Federal de Telecomunicaciones actualiza las condiciones técnicas de operación de la banda de frecuencias 57-64 GHz, clasificada como espectro libre”,</w:t>
      </w:r>
      <w:r w:rsidRPr="002773C7">
        <w:rPr>
          <w:rFonts w:ascii="Arial" w:hAnsi="Arial" w:cs="Arial"/>
          <w:kern w:val="1"/>
          <w:sz w:val="22"/>
          <w:szCs w:val="22"/>
          <w:lang w:eastAsia="ar-SA"/>
        </w:rPr>
        <w:t xml:space="preserve"> para que la CGMR emitiera su opinión no vinculante, con relación a dicho documento.</w:t>
      </w:r>
    </w:p>
    <w:p w14:paraId="5B262755" w14:textId="77777777" w:rsidR="002773C7" w:rsidRPr="002773C7" w:rsidRDefault="002773C7" w:rsidP="002773C7">
      <w:pPr>
        <w:pStyle w:val="Prrafodelista"/>
        <w:suppressAutoHyphens/>
        <w:spacing w:line="276" w:lineRule="auto"/>
        <w:ind w:left="0" w:right="49"/>
        <w:contextualSpacing w:val="0"/>
        <w:jc w:val="both"/>
        <w:rPr>
          <w:rFonts w:ascii="Arial" w:hAnsi="Arial" w:cs="Arial"/>
          <w:kern w:val="1"/>
          <w:sz w:val="22"/>
          <w:szCs w:val="22"/>
          <w:lang w:eastAsia="ar-SA"/>
        </w:rPr>
      </w:pPr>
    </w:p>
    <w:p w14:paraId="61BFBBCC" w14:textId="77777777" w:rsidR="002773C7" w:rsidRPr="002773C7" w:rsidRDefault="002773C7" w:rsidP="002773C7">
      <w:pPr>
        <w:pStyle w:val="Prrafodelista"/>
        <w:numPr>
          <w:ilvl w:val="0"/>
          <w:numId w:val="49"/>
        </w:numPr>
        <w:suppressAutoHyphens/>
        <w:spacing w:line="276" w:lineRule="auto"/>
        <w:ind w:left="0" w:right="49" w:firstLine="0"/>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 xml:space="preserve">Con oficio IFT/211/CGMR/207/2021 de fecha 7 de diciembre de 2021, la CGMR emitió opinión no vinculante, en relación con el AIR del </w:t>
      </w:r>
      <w:r w:rsidRPr="002773C7">
        <w:rPr>
          <w:rFonts w:ascii="Arial" w:hAnsi="Arial" w:cs="Arial"/>
          <w:i/>
          <w:kern w:val="1"/>
          <w:sz w:val="22"/>
          <w:szCs w:val="22"/>
          <w:lang w:eastAsia="ar-SA"/>
        </w:rPr>
        <w:t>“Anteproyecto de</w:t>
      </w:r>
      <w:r w:rsidRPr="002773C7">
        <w:rPr>
          <w:rFonts w:ascii="Arial" w:hAnsi="Arial" w:cs="Arial"/>
          <w:i/>
          <w:kern w:val="2"/>
          <w:sz w:val="22"/>
          <w:szCs w:val="22"/>
          <w:lang w:val="es-ES_tradnl" w:eastAsia="ar-SA"/>
        </w:rPr>
        <w:t xml:space="preserve"> Acuerdo mediante el cual el Pleno del Instituto Federal de Telecomunicaciones actualiza las condiciones técnicas de operación de la banda de frecuencias 57-64 GHz, clasificada como espectro libre”.</w:t>
      </w:r>
    </w:p>
    <w:p w14:paraId="13946BBC" w14:textId="77777777" w:rsidR="002773C7" w:rsidRPr="002773C7" w:rsidRDefault="002773C7" w:rsidP="002773C7">
      <w:pPr>
        <w:spacing w:line="276" w:lineRule="auto"/>
        <w:jc w:val="both"/>
        <w:rPr>
          <w:rFonts w:ascii="Arial" w:hAnsi="Arial" w:cs="Arial"/>
          <w:lang w:val="es-ES_tradnl"/>
        </w:rPr>
      </w:pPr>
    </w:p>
    <w:p w14:paraId="3FF5D0FB" w14:textId="02E9458D" w:rsidR="002773C7" w:rsidRPr="002773C7" w:rsidRDefault="002773C7" w:rsidP="00D8142B">
      <w:pPr>
        <w:pStyle w:val="Prrafodelista"/>
        <w:suppressAutoHyphens/>
        <w:spacing w:line="276" w:lineRule="auto"/>
        <w:ind w:left="0" w:right="49"/>
        <w:contextualSpacing w:val="0"/>
        <w:jc w:val="both"/>
        <w:rPr>
          <w:rFonts w:ascii="Arial" w:hAnsi="Arial" w:cs="Arial"/>
          <w:sz w:val="22"/>
          <w:lang w:val="es-ES_tradnl"/>
        </w:rPr>
      </w:pPr>
      <w:r w:rsidRPr="002773C7">
        <w:rPr>
          <w:rFonts w:ascii="Arial" w:hAnsi="Arial" w:cs="Arial"/>
          <w:b/>
          <w:sz w:val="22"/>
          <w:lang w:val="es-ES_tradnl"/>
        </w:rPr>
        <w:t xml:space="preserve">Décimo </w:t>
      </w:r>
      <w:proofErr w:type="gramStart"/>
      <w:r w:rsidRPr="002773C7">
        <w:rPr>
          <w:rFonts w:ascii="Arial" w:hAnsi="Arial" w:cs="Arial"/>
          <w:b/>
          <w:sz w:val="22"/>
          <w:lang w:val="es-ES_tradnl"/>
        </w:rPr>
        <w:t>Primero.-</w:t>
      </w:r>
      <w:proofErr w:type="gramEnd"/>
      <w:r w:rsidRPr="002773C7">
        <w:rPr>
          <w:rFonts w:ascii="Arial" w:hAnsi="Arial" w:cs="Arial"/>
          <w:b/>
          <w:sz w:val="22"/>
          <w:lang w:val="es-ES_tradnl"/>
        </w:rPr>
        <w:tab/>
      </w:r>
      <w:r w:rsidRPr="002773C7">
        <w:rPr>
          <w:rFonts w:ascii="Arial" w:hAnsi="Arial" w:cs="Arial"/>
          <w:sz w:val="22"/>
          <w:lang w:val="es-ES_tradnl"/>
        </w:rPr>
        <w:t>El ____ de febrero de 2022, la CGMR en coordinación con la UER publicó en el portal de internet del Instituto, el informe de consideraciones que contempla las respuestas a los comentarios, información, opiniones, aportaciones u otros elementos de análisis recibidos durante el primer proceso de Consulta Pública indicado en el Antecedente Octavo del presente Acuerdo.</w:t>
      </w:r>
    </w:p>
    <w:p w14:paraId="545F042D" w14:textId="77777777" w:rsidR="002773C7" w:rsidRPr="002773C7" w:rsidRDefault="002773C7" w:rsidP="002773C7">
      <w:pPr>
        <w:spacing w:line="276" w:lineRule="auto"/>
        <w:jc w:val="both"/>
        <w:rPr>
          <w:rFonts w:ascii="Arial" w:hAnsi="Arial" w:cs="Arial"/>
          <w:kern w:val="1"/>
          <w:sz w:val="22"/>
          <w:szCs w:val="22"/>
          <w:lang w:eastAsia="ar-SA"/>
        </w:rPr>
      </w:pPr>
    </w:p>
    <w:p w14:paraId="5C3007C4" w14:textId="78860FC0" w:rsidR="002773C7" w:rsidRPr="002773C7" w:rsidRDefault="002773C7" w:rsidP="00D8142B">
      <w:pPr>
        <w:pStyle w:val="Prrafodelista"/>
        <w:suppressAutoHyphens/>
        <w:spacing w:line="276" w:lineRule="auto"/>
        <w:ind w:left="0" w:right="49"/>
        <w:contextualSpacing w:val="0"/>
        <w:jc w:val="both"/>
        <w:rPr>
          <w:rFonts w:ascii="Arial" w:hAnsi="Arial" w:cs="Arial"/>
          <w:lang w:val="es-ES_tradnl"/>
        </w:rPr>
      </w:pPr>
      <w:r w:rsidRPr="002773C7">
        <w:rPr>
          <w:rFonts w:ascii="Arial" w:hAnsi="Arial" w:cs="Arial"/>
          <w:b/>
          <w:sz w:val="22"/>
          <w:lang w:val="es-ES_tradnl"/>
        </w:rPr>
        <w:t xml:space="preserve">Décimo </w:t>
      </w:r>
      <w:proofErr w:type="gramStart"/>
      <w:r w:rsidRPr="002773C7">
        <w:rPr>
          <w:rFonts w:ascii="Arial" w:hAnsi="Arial" w:cs="Arial"/>
          <w:b/>
          <w:sz w:val="22"/>
          <w:lang w:val="es-ES_tradnl"/>
        </w:rPr>
        <w:t>Segundo.-</w:t>
      </w:r>
      <w:proofErr w:type="gramEnd"/>
      <w:r w:rsidRPr="002773C7">
        <w:rPr>
          <w:rFonts w:ascii="Arial" w:hAnsi="Arial" w:cs="Arial"/>
          <w:b/>
          <w:sz w:val="22"/>
          <w:lang w:val="es-ES_tradnl"/>
        </w:rPr>
        <w:tab/>
      </w:r>
      <w:r w:rsidRPr="002773C7">
        <w:rPr>
          <w:rFonts w:ascii="Arial" w:hAnsi="Arial" w:cs="Arial"/>
          <w:kern w:val="1"/>
          <w:sz w:val="22"/>
          <w:szCs w:val="22"/>
          <w:lang w:eastAsia="ar-SA"/>
        </w:rPr>
        <w:t xml:space="preserve">El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de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w:t>
      </w:r>
      <w:proofErr w:type="spellStart"/>
      <w:r w:rsidRPr="002773C7">
        <w:rPr>
          <w:rFonts w:ascii="Arial" w:hAnsi="Arial" w:cs="Arial"/>
          <w:kern w:val="1"/>
          <w:sz w:val="22"/>
          <w:szCs w:val="22"/>
          <w:lang w:eastAsia="ar-SA"/>
        </w:rPr>
        <w:t>de</w:t>
      </w:r>
      <w:proofErr w:type="spellEnd"/>
      <w:r w:rsidRPr="002773C7">
        <w:rPr>
          <w:rFonts w:ascii="Arial" w:hAnsi="Arial" w:cs="Arial"/>
          <w:kern w:val="1"/>
          <w:sz w:val="22"/>
          <w:szCs w:val="22"/>
          <w:lang w:eastAsia="ar-SA"/>
        </w:rPr>
        <w:t xml:space="preserve"> 2022, el Pleno del Instituto determinó someter a Consulta Pública, por un período de 20 días hábiles, el </w:t>
      </w:r>
      <w:r w:rsidRPr="002773C7">
        <w:rPr>
          <w:rFonts w:ascii="Arial" w:hAnsi="Arial" w:cs="Arial"/>
          <w:i/>
          <w:iCs/>
          <w:kern w:val="1"/>
          <w:sz w:val="22"/>
          <w:szCs w:val="22"/>
          <w:lang w:eastAsia="ar-SA"/>
        </w:rPr>
        <w:t>“Anteproyecto de Acuerdo mediante el cual el Pleno del Instituto Federal de Telecomunicaciones actualiza las condiciones técnicas de operación para el uso de la banda de frecuencias 57-64 GHz, clasificada como espectro libre”</w:t>
      </w:r>
      <w:r w:rsidRPr="002773C7">
        <w:rPr>
          <w:rFonts w:ascii="Arial" w:hAnsi="Arial" w:cs="Arial"/>
          <w:kern w:val="1"/>
          <w:sz w:val="22"/>
          <w:szCs w:val="22"/>
          <w:lang w:eastAsia="ar-SA"/>
        </w:rPr>
        <w:t>, mediante Acuerdo P/IFT/</w:t>
      </w:r>
      <w:r w:rsidRPr="002773C7">
        <w:rPr>
          <w:rFonts w:ascii="Arial" w:hAnsi="Arial" w:cs="Arial"/>
          <w:kern w:val="1"/>
          <w:sz w:val="22"/>
          <w:szCs w:val="22"/>
          <w:u w:val="single"/>
          <w:lang w:eastAsia="ar-SA"/>
        </w:rPr>
        <w:t xml:space="preserve">     / ,</w:t>
      </w:r>
      <w:r w:rsidRPr="002773C7">
        <w:rPr>
          <w:rFonts w:ascii="Arial" w:hAnsi="Arial" w:cs="Arial"/>
          <w:kern w:val="1"/>
          <w:sz w:val="22"/>
          <w:szCs w:val="22"/>
          <w:lang w:eastAsia="ar-SA"/>
        </w:rPr>
        <w:t xml:space="preserve"> aprobado en su __ Sesión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w:t>
      </w:r>
    </w:p>
    <w:p w14:paraId="39A6C6BE" w14:textId="77777777" w:rsidR="002773C7" w:rsidRPr="002773C7" w:rsidRDefault="002773C7" w:rsidP="002773C7">
      <w:pPr>
        <w:spacing w:line="276" w:lineRule="auto"/>
        <w:jc w:val="both"/>
        <w:rPr>
          <w:rFonts w:ascii="Arial" w:hAnsi="Arial" w:cs="Arial"/>
          <w:kern w:val="1"/>
          <w:sz w:val="22"/>
          <w:szCs w:val="22"/>
          <w:lang w:eastAsia="ar-SA"/>
        </w:rPr>
      </w:pPr>
    </w:p>
    <w:p w14:paraId="4E232703" w14:textId="75E871DE" w:rsidR="002773C7" w:rsidRPr="002773C7" w:rsidRDefault="002773C7" w:rsidP="00D8142B">
      <w:pPr>
        <w:pStyle w:val="Prrafodelista"/>
        <w:suppressAutoHyphens/>
        <w:spacing w:line="276" w:lineRule="auto"/>
        <w:ind w:left="0" w:right="49"/>
        <w:contextualSpacing w:val="0"/>
        <w:jc w:val="both"/>
        <w:rPr>
          <w:rFonts w:ascii="Arial" w:hAnsi="Arial" w:cs="Arial"/>
          <w:lang w:val="es-ES_tradnl"/>
        </w:rPr>
      </w:pPr>
      <w:r w:rsidRPr="002773C7">
        <w:rPr>
          <w:rFonts w:ascii="Arial" w:hAnsi="Arial" w:cs="Arial"/>
          <w:b/>
          <w:sz w:val="22"/>
          <w:lang w:val="es-ES_tradnl"/>
        </w:rPr>
        <w:lastRenderedPageBreak/>
        <w:t xml:space="preserve">Décimo </w:t>
      </w:r>
      <w:proofErr w:type="gramStart"/>
      <w:r w:rsidRPr="002773C7">
        <w:rPr>
          <w:rFonts w:ascii="Arial" w:hAnsi="Arial" w:cs="Arial"/>
          <w:b/>
          <w:sz w:val="22"/>
          <w:lang w:val="es-ES_tradnl"/>
        </w:rPr>
        <w:t>Tercero.-</w:t>
      </w:r>
      <w:proofErr w:type="gramEnd"/>
      <w:r w:rsidRPr="002773C7">
        <w:rPr>
          <w:rFonts w:ascii="Arial" w:hAnsi="Arial" w:cs="Arial"/>
          <w:b/>
          <w:sz w:val="22"/>
          <w:lang w:val="es-ES_tradnl"/>
        </w:rPr>
        <w:tab/>
      </w:r>
      <w:r w:rsidRPr="002773C7">
        <w:rPr>
          <w:rFonts w:ascii="Arial" w:hAnsi="Arial" w:cs="Arial"/>
          <w:kern w:val="1"/>
          <w:sz w:val="22"/>
          <w:szCs w:val="22"/>
          <w:lang w:eastAsia="ar-SA"/>
        </w:rPr>
        <w:t xml:space="preserve">Del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de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al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de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w:t>
      </w:r>
      <w:proofErr w:type="spellStart"/>
      <w:r w:rsidRPr="002773C7">
        <w:rPr>
          <w:rFonts w:ascii="Arial" w:hAnsi="Arial" w:cs="Arial"/>
          <w:kern w:val="1"/>
          <w:sz w:val="22"/>
          <w:szCs w:val="22"/>
          <w:lang w:eastAsia="ar-SA"/>
        </w:rPr>
        <w:t>de</w:t>
      </w:r>
      <w:proofErr w:type="spellEnd"/>
      <w:r w:rsidRPr="002773C7">
        <w:rPr>
          <w:rFonts w:ascii="Arial" w:hAnsi="Arial" w:cs="Arial"/>
          <w:kern w:val="1"/>
          <w:sz w:val="22"/>
          <w:szCs w:val="22"/>
          <w:lang w:eastAsia="ar-SA"/>
        </w:rPr>
        <w:t xml:space="preserve"> 2022 se llevó a cabo el proceso de Consulta Pública, respecto del </w:t>
      </w:r>
      <w:r w:rsidRPr="002773C7">
        <w:rPr>
          <w:rFonts w:ascii="Arial" w:hAnsi="Arial" w:cs="Arial"/>
          <w:i/>
          <w:kern w:val="1"/>
          <w:sz w:val="22"/>
          <w:szCs w:val="22"/>
          <w:lang w:eastAsia="ar-SA"/>
        </w:rPr>
        <w:t>“Anteproyecto de</w:t>
      </w:r>
      <w:r w:rsidRPr="002773C7">
        <w:rPr>
          <w:rFonts w:ascii="Arial" w:hAnsi="Arial" w:cs="Arial"/>
          <w:kern w:val="1"/>
          <w:sz w:val="22"/>
          <w:szCs w:val="22"/>
          <w:lang w:eastAsia="ar-SA"/>
        </w:rPr>
        <w:t xml:space="preserve"> </w:t>
      </w:r>
      <w:r w:rsidRPr="002773C7">
        <w:rPr>
          <w:rFonts w:ascii="Arial" w:hAnsi="Arial" w:cs="Arial"/>
          <w:i/>
          <w:kern w:val="1"/>
          <w:sz w:val="22"/>
          <w:szCs w:val="22"/>
          <w:lang w:eastAsia="ar-SA"/>
        </w:rPr>
        <w:t>Acuerdo mediante el cual el Pleno del Instituto Federal de Telecomunicaciones actualiza las condiciones técnicas de operación para el uso de la banda de frecuencias 57-64 GHz, clasificada como espectro libre”</w:t>
      </w:r>
      <w:r w:rsidRPr="002773C7">
        <w:rPr>
          <w:rFonts w:ascii="Arial" w:hAnsi="Arial" w:cs="Arial"/>
          <w:i/>
          <w:kern w:val="2"/>
          <w:sz w:val="22"/>
          <w:szCs w:val="22"/>
          <w:lang w:val="es-ES_tradnl" w:eastAsia="ar-SA"/>
        </w:rPr>
        <w:t>,</w:t>
      </w:r>
      <w:r w:rsidRPr="002773C7">
        <w:rPr>
          <w:rFonts w:ascii="Arial" w:hAnsi="Arial" w:cs="Arial"/>
          <w:kern w:val="1"/>
          <w:sz w:val="22"/>
          <w:szCs w:val="22"/>
          <w:lang w:eastAsia="ar-SA"/>
        </w:rPr>
        <w:t xml:space="preserve"> con el objeto de transparentar y dar a conocer la propuesta regulatoria del Instituto.</w:t>
      </w:r>
    </w:p>
    <w:p w14:paraId="359C7C93" w14:textId="77777777" w:rsidR="002773C7" w:rsidRPr="002773C7" w:rsidRDefault="002773C7" w:rsidP="002773C7">
      <w:pPr>
        <w:spacing w:line="276" w:lineRule="auto"/>
        <w:jc w:val="both"/>
        <w:rPr>
          <w:rFonts w:ascii="Arial" w:hAnsi="Arial" w:cs="Arial"/>
          <w:kern w:val="1"/>
          <w:sz w:val="22"/>
          <w:szCs w:val="22"/>
          <w:lang w:eastAsia="ar-SA"/>
        </w:rPr>
      </w:pPr>
    </w:p>
    <w:p w14:paraId="4F63EF1D" w14:textId="77777777" w:rsidR="002773C7" w:rsidRPr="002773C7" w:rsidRDefault="002773C7" w:rsidP="002773C7">
      <w:pPr>
        <w:pStyle w:val="Prrafodelista"/>
        <w:suppressAutoHyphens/>
        <w:spacing w:line="276" w:lineRule="auto"/>
        <w:ind w:left="0" w:right="49"/>
        <w:contextualSpacing w:val="0"/>
        <w:jc w:val="both"/>
        <w:rPr>
          <w:rFonts w:ascii="Arial" w:hAnsi="Arial" w:cs="Arial"/>
          <w:lang w:val="es-ES_tradnl"/>
        </w:rPr>
      </w:pPr>
      <w:r w:rsidRPr="002773C7">
        <w:rPr>
          <w:rFonts w:ascii="Arial" w:hAnsi="Arial" w:cs="Arial"/>
          <w:kern w:val="1"/>
          <w:sz w:val="22"/>
          <w:szCs w:val="22"/>
          <w:lang w:eastAsia="ar-SA"/>
        </w:rPr>
        <w:t xml:space="preserve">Durante dicho período fueron recibidos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escritos con comentarios, información, opiniones, aportaciones u otros elementos de análisis, mismos que fueron publicados, analizados y tomados en consideración en la elaboración de la presente disposición administrativa de carácter general.</w:t>
      </w:r>
    </w:p>
    <w:p w14:paraId="47D911F6" w14:textId="77777777" w:rsidR="002773C7" w:rsidRPr="002773C7" w:rsidRDefault="002773C7" w:rsidP="002773C7">
      <w:pPr>
        <w:spacing w:line="276" w:lineRule="auto"/>
        <w:jc w:val="both"/>
        <w:rPr>
          <w:rFonts w:ascii="Arial" w:hAnsi="Arial" w:cs="Arial"/>
          <w:kern w:val="1"/>
          <w:sz w:val="22"/>
          <w:szCs w:val="22"/>
          <w:lang w:eastAsia="ar-SA"/>
        </w:rPr>
      </w:pPr>
    </w:p>
    <w:p w14:paraId="6D92EFD1" w14:textId="77777777" w:rsidR="002773C7" w:rsidRPr="002773C7" w:rsidRDefault="002773C7" w:rsidP="00D8142B">
      <w:pPr>
        <w:pStyle w:val="Prrafodelista"/>
        <w:suppressAutoHyphens/>
        <w:spacing w:line="276" w:lineRule="auto"/>
        <w:ind w:left="0" w:right="49"/>
        <w:contextualSpacing w:val="0"/>
        <w:jc w:val="both"/>
        <w:rPr>
          <w:rFonts w:ascii="Arial" w:hAnsi="Arial" w:cs="Arial"/>
          <w:lang w:val="es-ES_tradnl"/>
        </w:rPr>
      </w:pPr>
      <w:r w:rsidRPr="002773C7">
        <w:rPr>
          <w:rFonts w:ascii="Arial" w:hAnsi="Arial" w:cs="Arial"/>
          <w:b/>
          <w:sz w:val="22"/>
          <w:lang w:val="es-ES_tradnl"/>
        </w:rPr>
        <w:t xml:space="preserve">Décimo </w:t>
      </w:r>
      <w:proofErr w:type="gramStart"/>
      <w:r w:rsidRPr="002773C7">
        <w:rPr>
          <w:rFonts w:ascii="Arial" w:hAnsi="Arial" w:cs="Arial"/>
          <w:b/>
          <w:sz w:val="22"/>
          <w:lang w:val="es-ES_tradnl"/>
        </w:rPr>
        <w:t>Cuarto.-</w:t>
      </w:r>
      <w:proofErr w:type="gramEnd"/>
      <w:r w:rsidRPr="002773C7">
        <w:rPr>
          <w:rFonts w:ascii="Arial" w:hAnsi="Arial" w:cs="Arial"/>
          <w:b/>
          <w:sz w:val="22"/>
          <w:lang w:val="es-ES_tradnl"/>
        </w:rPr>
        <w:tab/>
      </w:r>
      <w:r w:rsidRPr="002773C7">
        <w:rPr>
          <w:rFonts w:ascii="Arial" w:hAnsi="Arial" w:cs="Arial"/>
          <w:kern w:val="1"/>
          <w:sz w:val="22"/>
          <w:szCs w:val="22"/>
          <w:lang w:eastAsia="ar-SA"/>
        </w:rPr>
        <w:t>Mediante oficio IFT/222/UER/</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/2022 de fecha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de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w:t>
      </w:r>
      <w:proofErr w:type="spellStart"/>
      <w:r w:rsidRPr="002773C7">
        <w:rPr>
          <w:rFonts w:ascii="Arial" w:hAnsi="Arial" w:cs="Arial"/>
          <w:kern w:val="1"/>
          <w:sz w:val="22"/>
          <w:szCs w:val="22"/>
          <w:lang w:eastAsia="ar-SA"/>
        </w:rPr>
        <w:t>de</w:t>
      </w:r>
      <w:proofErr w:type="spellEnd"/>
      <w:r w:rsidRPr="002773C7">
        <w:rPr>
          <w:rFonts w:ascii="Arial" w:hAnsi="Arial" w:cs="Arial"/>
          <w:kern w:val="1"/>
          <w:sz w:val="22"/>
          <w:szCs w:val="22"/>
          <w:lang w:eastAsia="ar-SA"/>
        </w:rPr>
        <w:t xml:space="preserve"> 2022, la UER remitió a la CGMR de este Instituto, el AIR respecto al “</w:t>
      </w:r>
      <w:r w:rsidRPr="002773C7">
        <w:rPr>
          <w:rFonts w:ascii="Arial" w:hAnsi="Arial" w:cs="Arial"/>
          <w:i/>
          <w:kern w:val="1"/>
          <w:sz w:val="22"/>
          <w:szCs w:val="22"/>
          <w:lang w:eastAsia="ar-SA"/>
        </w:rPr>
        <w:t>Anteproyecto de</w:t>
      </w:r>
      <w:r w:rsidRPr="002773C7">
        <w:rPr>
          <w:rFonts w:ascii="Arial" w:hAnsi="Arial" w:cs="Arial"/>
          <w:kern w:val="1"/>
          <w:sz w:val="22"/>
          <w:szCs w:val="22"/>
          <w:lang w:eastAsia="ar-SA"/>
        </w:rPr>
        <w:t xml:space="preserve"> </w:t>
      </w:r>
      <w:r w:rsidRPr="002773C7">
        <w:rPr>
          <w:rFonts w:ascii="Arial" w:hAnsi="Arial" w:cs="Arial"/>
          <w:i/>
          <w:iCs/>
          <w:kern w:val="1"/>
          <w:sz w:val="22"/>
          <w:szCs w:val="22"/>
          <w:lang w:eastAsia="ar-SA"/>
        </w:rPr>
        <w:t>Acuerdo mediante el cual el Pleno del Instituto Federal de Telecomunicaciones actualiza las condiciones técnicas de operación para el uso de la banda de frecuencias 57-64 GHz, clasificada como espectro libre”</w:t>
      </w:r>
      <w:r w:rsidRPr="002773C7">
        <w:rPr>
          <w:rFonts w:ascii="Arial" w:hAnsi="Arial" w:cs="Arial"/>
          <w:iCs/>
          <w:kern w:val="2"/>
          <w:sz w:val="22"/>
          <w:szCs w:val="22"/>
          <w:lang w:val="es-ES_tradnl" w:eastAsia="ar-SA"/>
        </w:rPr>
        <w:t>,</w:t>
      </w:r>
      <w:r w:rsidRPr="002773C7">
        <w:rPr>
          <w:rFonts w:ascii="Arial" w:hAnsi="Arial" w:cs="Arial"/>
          <w:kern w:val="1"/>
          <w:sz w:val="22"/>
          <w:szCs w:val="22"/>
          <w:lang w:eastAsia="ar-SA"/>
        </w:rPr>
        <w:t xml:space="preserve"> para que la CGMR emitiera su opinión no vinculante, con relación a dicho documento.</w:t>
      </w:r>
    </w:p>
    <w:p w14:paraId="390722E2" w14:textId="77777777" w:rsidR="002773C7" w:rsidRPr="002773C7" w:rsidRDefault="002773C7" w:rsidP="002773C7">
      <w:pPr>
        <w:pStyle w:val="Prrafodelista"/>
        <w:suppressAutoHyphens/>
        <w:spacing w:line="276" w:lineRule="auto"/>
        <w:ind w:left="0" w:right="49"/>
        <w:contextualSpacing w:val="0"/>
        <w:jc w:val="both"/>
        <w:rPr>
          <w:rFonts w:ascii="Arial" w:hAnsi="Arial" w:cs="Arial"/>
          <w:lang w:val="es-ES_tradnl"/>
        </w:rPr>
      </w:pPr>
    </w:p>
    <w:p w14:paraId="61D1F89D" w14:textId="77777777" w:rsidR="002773C7" w:rsidRPr="002773C7" w:rsidRDefault="002773C7" w:rsidP="00D8142B">
      <w:pPr>
        <w:pStyle w:val="Prrafodelista"/>
        <w:suppressAutoHyphens/>
        <w:spacing w:line="276" w:lineRule="auto"/>
        <w:ind w:left="0" w:right="49"/>
        <w:contextualSpacing w:val="0"/>
        <w:jc w:val="both"/>
        <w:rPr>
          <w:rFonts w:ascii="Arial" w:hAnsi="Arial" w:cs="Arial"/>
          <w:lang w:val="es-ES_tradnl"/>
        </w:rPr>
      </w:pPr>
      <w:r w:rsidRPr="002773C7">
        <w:rPr>
          <w:rFonts w:ascii="Arial" w:hAnsi="Arial" w:cs="Arial"/>
          <w:b/>
          <w:sz w:val="22"/>
          <w:lang w:val="es-ES_tradnl"/>
        </w:rPr>
        <w:t xml:space="preserve">Décimo </w:t>
      </w:r>
      <w:proofErr w:type="gramStart"/>
      <w:r w:rsidRPr="002773C7">
        <w:rPr>
          <w:rFonts w:ascii="Arial" w:hAnsi="Arial" w:cs="Arial"/>
          <w:b/>
          <w:sz w:val="22"/>
          <w:lang w:val="es-ES_tradnl"/>
        </w:rPr>
        <w:t>Quinto.-</w:t>
      </w:r>
      <w:proofErr w:type="gramEnd"/>
      <w:r w:rsidRPr="002773C7">
        <w:rPr>
          <w:rFonts w:ascii="Arial" w:hAnsi="Arial" w:cs="Arial"/>
          <w:b/>
          <w:sz w:val="22"/>
          <w:lang w:val="es-ES_tradnl"/>
        </w:rPr>
        <w:tab/>
      </w:r>
      <w:r w:rsidRPr="002773C7">
        <w:rPr>
          <w:rFonts w:ascii="Arial" w:hAnsi="Arial" w:cs="Arial"/>
          <w:kern w:val="1"/>
          <w:sz w:val="22"/>
          <w:szCs w:val="22"/>
          <w:lang w:eastAsia="ar-SA"/>
        </w:rPr>
        <w:t>Con oficio IFT/211/CGMR/</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/2022 de fecha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de </w:t>
      </w:r>
      <w:r w:rsidRPr="002773C7">
        <w:rPr>
          <w:rFonts w:ascii="Arial" w:hAnsi="Arial" w:cs="Arial"/>
          <w:kern w:val="1"/>
          <w:sz w:val="22"/>
          <w:szCs w:val="22"/>
          <w:u w:val="single"/>
          <w:lang w:eastAsia="ar-SA"/>
        </w:rPr>
        <w:t xml:space="preserve">       </w:t>
      </w:r>
      <w:r w:rsidRPr="002773C7">
        <w:rPr>
          <w:rFonts w:ascii="Arial" w:hAnsi="Arial" w:cs="Arial"/>
          <w:kern w:val="1"/>
          <w:sz w:val="22"/>
          <w:szCs w:val="22"/>
          <w:lang w:eastAsia="ar-SA"/>
        </w:rPr>
        <w:t xml:space="preserve"> </w:t>
      </w:r>
      <w:proofErr w:type="spellStart"/>
      <w:r w:rsidRPr="002773C7">
        <w:rPr>
          <w:rFonts w:ascii="Arial" w:hAnsi="Arial" w:cs="Arial"/>
          <w:kern w:val="1"/>
          <w:sz w:val="22"/>
          <w:szCs w:val="22"/>
          <w:lang w:eastAsia="ar-SA"/>
        </w:rPr>
        <w:t>de</w:t>
      </w:r>
      <w:proofErr w:type="spellEnd"/>
      <w:r w:rsidRPr="002773C7">
        <w:rPr>
          <w:rFonts w:ascii="Arial" w:hAnsi="Arial" w:cs="Arial"/>
          <w:kern w:val="1"/>
          <w:sz w:val="22"/>
          <w:szCs w:val="22"/>
          <w:lang w:eastAsia="ar-SA"/>
        </w:rPr>
        <w:t xml:space="preserve"> 2022, la CGMR emitió opinión no vinculante, en relación con el Análisis de Impacto Regulatorio del </w:t>
      </w:r>
      <w:r w:rsidRPr="002773C7">
        <w:rPr>
          <w:rFonts w:ascii="Arial" w:hAnsi="Arial" w:cs="Arial"/>
          <w:i/>
          <w:kern w:val="1"/>
          <w:sz w:val="22"/>
          <w:szCs w:val="22"/>
          <w:lang w:eastAsia="ar-SA"/>
        </w:rPr>
        <w:t>“Anteproyecto de Acuerdo mediante el cual el Pleno del Instituto Federal de Telecomunicaciones actualiza las condiciones técnicas de operación para el uso de la banda de frecuencias 57-64 GHz, clasificada como espectro libre”.</w:t>
      </w:r>
    </w:p>
    <w:p w14:paraId="4F3B87EF" w14:textId="77777777" w:rsidR="002773C7" w:rsidRPr="002773C7" w:rsidRDefault="002773C7" w:rsidP="002773C7">
      <w:pPr>
        <w:spacing w:line="276" w:lineRule="auto"/>
        <w:jc w:val="both"/>
        <w:rPr>
          <w:rFonts w:ascii="Arial" w:hAnsi="Arial" w:cs="Arial"/>
          <w:lang w:val="es-ES_tradnl"/>
        </w:rPr>
      </w:pPr>
    </w:p>
    <w:p w14:paraId="39DAC10E" w14:textId="55D41798" w:rsidR="002773C7" w:rsidRPr="002773C7" w:rsidRDefault="002773C7" w:rsidP="00D8142B">
      <w:pPr>
        <w:pStyle w:val="Prrafodelista"/>
        <w:suppressAutoHyphens/>
        <w:spacing w:line="276" w:lineRule="auto"/>
        <w:ind w:left="0" w:right="49"/>
        <w:contextualSpacing w:val="0"/>
        <w:jc w:val="both"/>
        <w:rPr>
          <w:rFonts w:ascii="Arial" w:hAnsi="Arial" w:cs="Arial"/>
          <w:sz w:val="22"/>
          <w:lang w:val="es-ES_tradnl"/>
        </w:rPr>
      </w:pPr>
      <w:r w:rsidRPr="002773C7">
        <w:rPr>
          <w:rFonts w:ascii="Arial" w:hAnsi="Arial" w:cs="Arial"/>
          <w:b/>
          <w:sz w:val="22"/>
          <w:lang w:val="es-ES_tradnl"/>
        </w:rPr>
        <w:t xml:space="preserve">Décimo </w:t>
      </w:r>
      <w:proofErr w:type="gramStart"/>
      <w:r w:rsidRPr="002773C7">
        <w:rPr>
          <w:rFonts w:ascii="Arial" w:hAnsi="Arial" w:cs="Arial"/>
          <w:b/>
          <w:sz w:val="22"/>
          <w:lang w:val="es-ES_tradnl"/>
        </w:rPr>
        <w:t>Sexto.-</w:t>
      </w:r>
      <w:proofErr w:type="gramEnd"/>
      <w:r w:rsidRPr="002773C7">
        <w:rPr>
          <w:rFonts w:ascii="Arial" w:hAnsi="Arial" w:cs="Arial"/>
          <w:b/>
          <w:sz w:val="22"/>
          <w:lang w:val="es-ES_tradnl"/>
        </w:rPr>
        <w:tab/>
      </w:r>
      <w:r w:rsidRPr="002773C7">
        <w:rPr>
          <w:rFonts w:ascii="Arial" w:hAnsi="Arial" w:cs="Arial"/>
          <w:sz w:val="22"/>
          <w:lang w:val="es-ES_tradnl"/>
        </w:rPr>
        <w:t xml:space="preserve">El ____ de ____ </w:t>
      </w:r>
      <w:proofErr w:type="spellStart"/>
      <w:r w:rsidRPr="002773C7">
        <w:rPr>
          <w:rFonts w:ascii="Arial" w:hAnsi="Arial" w:cs="Arial"/>
          <w:sz w:val="22"/>
          <w:lang w:val="es-ES_tradnl"/>
        </w:rPr>
        <w:t>de</w:t>
      </w:r>
      <w:proofErr w:type="spellEnd"/>
      <w:r w:rsidRPr="002773C7">
        <w:rPr>
          <w:rFonts w:ascii="Arial" w:hAnsi="Arial" w:cs="Arial"/>
          <w:sz w:val="22"/>
          <w:lang w:val="es-ES_tradnl"/>
        </w:rPr>
        <w:t xml:space="preserve"> 2022, la CGMR en coordinación con la UER publicó en el portal de internet del Instituto, el informe de consideraciones que contempla las respuestas a los comentarios, información, opiniones, aportaciones u otros elementos de análisis recibidos durante el segundo proceso de Consulta Pública indicado en el Antecedente Decimotercero del presente Acuerdo.</w:t>
      </w:r>
    </w:p>
    <w:p w14:paraId="182CF8C6" w14:textId="77777777" w:rsidR="002773C7" w:rsidRPr="002773C7" w:rsidRDefault="002773C7" w:rsidP="002773C7">
      <w:pPr>
        <w:pStyle w:val="Default"/>
        <w:tabs>
          <w:tab w:val="left" w:pos="0"/>
        </w:tabs>
        <w:spacing w:line="276" w:lineRule="auto"/>
        <w:ind w:left="426" w:hanging="426"/>
        <w:rPr>
          <w:rFonts w:ascii="Arial" w:hAnsi="Arial" w:cs="Arial"/>
          <w:color w:val="auto"/>
          <w:sz w:val="22"/>
          <w:szCs w:val="22"/>
          <w:lang w:val="es-ES_tradnl"/>
        </w:rPr>
      </w:pPr>
    </w:p>
    <w:p w14:paraId="105090BC" w14:textId="77777777" w:rsidR="002773C7" w:rsidRPr="002773C7" w:rsidRDefault="002773C7" w:rsidP="002773C7">
      <w:pPr>
        <w:pStyle w:val="Default"/>
        <w:tabs>
          <w:tab w:val="left" w:pos="0"/>
        </w:tabs>
        <w:spacing w:line="276" w:lineRule="auto"/>
        <w:ind w:left="426" w:hanging="426"/>
        <w:rPr>
          <w:rFonts w:ascii="Arial" w:hAnsi="Arial" w:cs="Arial"/>
          <w:color w:val="auto"/>
          <w:sz w:val="22"/>
          <w:szCs w:val="22"/>
        </w:rPr>
      </w:pPr>
      <w:r w:rsidRPr="002773C7">
        <w:rPr>
          <w:rFonts w:ascii="Arial" w:hAnsi="Arial" w:cs="Arial"/>
          <w:color w:val="auto"/>
          <w:sz w:val="22"/>
          <w:szCs w:val="22"/>
        </w:rPr>
        <w:t>En virtud de los Antecedentes señalados y,</w:t>
      </w:r>
    </w:p>
    <w:p w14:paraId="7DCD36BD" w14:textId="77777777" w:rsidR="002773C7" w:rsidRPr="002773C7" w:rsidRDefault="002773C7" w:rsidP="002773C7">
      <w:pPr>
        <w:pStyle w:val="Default"/>
        <w:tabs>
          <w:tab w:val="left" w:pos="0"/>
        </w:tabs>
        <w:spacing w:line="276" w:lineRule="auto"/>
        <w:ind w:left="426" w:hanging="426"/>
        <w:rPr>
          <w:rFonts w:ascii="Arial" w:hAnsi="Arial" w:cs="Arial"/>
          <w:color w:val="auto"/>
          <w:sz w:val="22"/>
          <w:szCs w:val="22"/>
          <w:lang w:val="es-ES_tradnl"/>
        </w:rPr>
      </w:pPr>
    </w:p>
    <w:p w14:paraId="44B9E493" w14:textId="77777777" w:rsidR="002773C7" w:rsidRPr="00BA7B62" w:rsidRDefault="002773C7" w:rsidP="002773C7">
      <w:pPr>
        <w:pStyle w:val="Ttulo3"/>
        <w:numPr>
          <w:ilvl w:val="0"/>
          <w:numId w:val="0"/>
        </w:numPr>
        <w:spacing w:line="276" w:lineRule="auto"/>
        <w:contextualSpacing w:val="0"/>
        <w:rPr>
          <w:rFonts w:ascii="Arial" w:hAnsi="Arial" w:cs="Arial"/>
          <w:color w:val="auto"/>
          <w:sz w:val="26"/>
          <w:szCs w:val="26"/>
        </w:rPr>
      </w:pPr>
      <w:r w:rsidRPr="00BA7B62">
        <w:rPr>
          <w:rFonts w:ascii="Arial" w:hAnsi="Arial" w:cs="Arial"/>
          <w:color w:val="auto"/>
          <w:sz w:val="26"/>
          <w:szCs w:val="26"/>
        </w:rPr>
        <w:t>Considerando</w:t>
      </w:r>
    </w:p>
    <w:p w14:paraId="2A82B53E" w14:textId="77777777" w:rsidR="002773C7" w:rsidRPr="002773C7" w:rsidRDefault="002773C7" w:rsidP="002773C7">
      <w:pPr>
        <w:pStyle w:val="Default"/>
        <w:tabs>
          <w:tab w:val="left" w:pos="0"/>
        </w:tabs>
        <w:spacing w:line="276" w:lineRule="auto"/>
        <w:ind w:left="426" w:hanging="426"/>
        <w:rPr>
          <w:rFonts w:ascii="Arial" w:hAnsi="Arial" w:cs="Arial"/>
          <w:color w:val="auto"/>
          <w:sz w:val="22"/>
          <w:szCs w:val="22"/>
          <w:lang w:val="es-ES_tradnl"/>
        </w:rPr>
      </w:pPr>
    </w:p>
    <w:p w14:paraId="736FDD31" w14:textId="449A1456" w:rsidR="002773C7" w:rsidRPr="002773C7" w:rsidRDefault="002773C7" w:rsidP="002773C7">
      <w:pPr>
        <w:spacing w:line="276" w:lineRule="auto"/>
        <w:jc w:val="both"/>
        <w:rPr>
          <w:rFonts w:ascii="Arial" w:hAnsi="Arial" w:cs="Arial"/>
          <w:sz w:val="22"/>
          <w:szCs w:val="22"/>
        </w:rPr>
      </w:pPr>
      <w:proofErr w:type="gramStart"/>
      <w:r w:rsidRPr="002773C7">
        <w:rPr>
          <w:rFonts w:ascii="Arial" w:hAnsi="Arial" w:cs="Arial"/>
          <w:b/>
          <w:sz w:val="22"/>
          <w:szCs w:val="22"/>
        </w:rPr>
        <w:t>Primero.-</w:t>
      </w:r>
      <w:proofErr w:type="gramEnd"/>
      <w:r w:rsidRPr="002773C7">
        <w:rPr>
          <w:rFonts w:ascii="Arial" w:hAnsi="Arial" w:cs="Arial"/>
          <w:b/>
          <w:sz w:val="22"/>
          <w:szCs w:val="22"/>
        </w:rPr>
        <w:t xml:space="preserve"> Competencia del Instituto.</w:t>
      </w:r>
      <w:r w:rsidRPr="002773C7">
        <w:rPr>
          <w:rFonts w:ascii="Arial" w:hAnsi="Arial" w:cs="Arial"/>
          <w:sz w:val="22"/>
          <w:szCs w:val="22"/>
        </w:rPr>
        <w:t xml:space="preserve"> De conformidad con lo dispuesto en los artículos 6o., párrafo tercero y apartado B, fracción II; 27, párrafos cuarto y sexto y 28, párrafos décimo quinto y décimo sexto de la Constitución Política de los Estados Unidos Mexicanos (“Constitución”); y 7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2585A08E" w14:textId="77777777" w:rsidR="002773C7" w:rsidRPr="002773C7" w:rsidRDefault="002773C7" w:rsidP="002773C7">
      <w:pPr>
        <w:spacing w:line="276" w:lineRule="auto"/>
        <w:jc w:val="both"/>
        <w:rPr>
          <w:rFonts w:ascii="Arial" w:hAnsi="Arial" w:cs="Arial"/>
          <w:sz w:val="22"/>
          <w:szCs w:val="22"/>
          <w:lang w:eastAsia="es-MX"/>
        </w:rPr>
      </w:pPr>
    </w:p>
    <w:p w14:paraId="126D35E4" w14:textId="77777777" w:rsidR="002773C7" w:rsidRPr="002773C7" w:rsidRDefault="002773C7" w:rsidP="002773C7">
      <w:pPr>
        <w:pStyle w:val="ANOTACION"/>
        <w:spacing w:before="0" w:after="0" w:line="276" w:lineRule="auto"/>
        <w:jc w:val="both"/>
        <w:rPr>
          <w:rFonts w:ascii="Arial" w:hAnsi="Arial" w:cs="Arial"/>
          <w:sz w:val="22"/>
          <w:szCs w:val="22"/>
          <w:lang w:eastAsia="es-MX"/>
        </w:rPr>
      </w:pPr>
      <w:r w:rsidRPr="002773C7">
        <w:rPr>
          <w:rFonts w:ascii="Arial" w:hAnsi="Arial" w:cs="Arial"/>
          <w:b w:val="0"/>
          <w:sz w:val="22"/>
          <w:szCs w:val="22"/>
          <w:lang w:eastAsia="es-MX"/>
        </w:rPr>
        <w:t xml:space="preserve">Para tal efecto, tiene a su cargo la regulación, promoción y supervisión del uso, aprovechamiento y explotación del espectro radioeléctrico, los recursos orbitales, los servicios satelitales, las redes </w:t>
      </w:r>
      <w:r w:rsidRPr="002773C7">
        <w:rPr>
          <w:rFonts w:ascii="Arial" w:hAnsi="Arial" w:cs="Arial"/>
          <w:b w:val="0"/>
          <w:sz w:val="22"/>
          <w:szCs w:val="22"/>
          <w:lang w:eastAsia="es-MX"/>
        </w:rPr>
        <w:lastRenderedPageBreak/>
        <w:t>públicas de telecomunicaciones y la prestación de los servicios de radiodifusión y de telecomunicaciones, así como del acceso a la infraestructura activa y pasiva y otros insumos esenciales.</w:t>
      </w:r>
    </w:p>
    <w:p w14:paraId="02B91831" w14:textId="77777777" w:rsidR="002773C7" w:rsidRPr="002773C7" w:rsidRDefault="002773C7" w:rsidP="002773C7">
      <w:pPr>
        <w:spacing w:line="276" w:lineRule="auto"/>
        <w:jc w:val="both"/>
        <w:rPr>
          <w:rFonts w:ascii="Arial" w:hAnsi="Arial" w:cs="Arial"/>
          <w:sz w:val="22"/>
          <w:szCs w:val="22"/>
        </w:rPr>
      </w:pPr>
    </w:p>
    <w:p w14:paraId="11E1B14C" w14:textId="77777777" w:rsidR="002773C7" w:rsidRPr="002773C7" w:rsidRDefault="002773C7" w:rsidP="002773C7">
      <w:pPr>
        <w:pStyle w:val="ANOTACION"/>
        <w:spacing w:before="0" w:after="0" w:line="276" w:lineRule="auto"/>
        <w:jc w:val="both"/>
        <w:rPr>
          <w:rFonts w:ascii="Arial" w:hAnsi="Arial" w:cs="Arial"/>
          <w:b w:val="0"/>
          <w:sz w:val="22"/>
          <w:szCs w:val="22"/>
          <w:lang w:eastAsia="es-MX"/>
        </w:rPr>
      </w:pPr>
      <w:r w:rsidRPr="002773C7">
        <w:rPr>
          <w:rFonts w:ascii="Arial" w:hAnsi="Arial" w:cs="Arial"/>
          <w:b w:val="0"/>
          <w:sz w:val="22"/>
          <w:szCs w:val="22"/>
          <w:lang w:eastAsia="es-MX"/>
        </w:rPr>
        <w:t xml:space="preserve">Ahora bien, de conformidad con los artículos 28, párrafo vigésimo, fracción IV de la Constitución y 15, fracciones I y LVI de la Ley, el Pleno del Instituto tiene la facultad de emitir disposiciones administrativas de carácter general para el cumplimiento de su función de regulación, para la promoción, supervisión y administración del uso, aprovechamiento y explotación del espectro radioeléctrico. Asimismo, de conformidad con los artículos 54, 55 fracción II, 56 y 64 de la Ley, la administración del espectro radioeléctrico incluye la elaboración y aprobación de planes y programas de uso, así como, el establecimiento de las condiciones para la atribución de una banda de frecuencias. </w:t>
      </w:r>
    </w:p>
    <w:p w14:paraId="1A5B6B82" w14:textId="77777777" w:rsidR="002773C7" w:rsidRPr="002773C7" w:rsidRDefault="002773C7" w:rsidP="002773C7">
      <w:pPr>
        <w:spacing w:line="276" w:lineRule="auto"/>
        <w:jc w:val="both"/>
        <w:rPr>
          <w:rFonts w:ascii="Arial" w:hAnsi="Arial" w:cs="Arial"/>
          <w:sz w:val="22"/>
          <w:szCs w:val="22"/>
          <w:lang w:eastAsia="es-MX"/>
        </w:rPr>
      </w:pPr>
    </w:p>
    <w:p w14:paraId="40381BDD" w14:textId="77777777" w:rsidR="002773C7" w:rsidRPr="002773C7" w:rsidRDefault="002773C7" w:rsidP="002773C7">
      <w:pPr>
        <w:pStyle w:val="ANOTACION"/>
        <w:spacing w:before="0" w:after="0" w:line="276" w:lineRule="auto"/>
        <w:jc w:val="both"/>
        <w:rPr>
          <w:rFonts w:ascii="Arial" w:hAnsi="Arial" w:cs="Arial"/>
          <w:sz w:val="22"/>
          <w:szCs w:val="22"/>
          <w:lang w:eastAsia="es-MX"/>
        </w:rPr>
      </w:pPr>
      <w:r w:rsidRPr="002773C7">
        <w:rPr>
          <w:rFonts w:ascii="Arial" w:hAnsi="Arial" w:cs="Arial"/>
          <w:b w:val="0"/>
          <w:sz w:val="22"/>
          <w:szCs w:val="22"/>
          <w:lang w:eastAsia="es-MX"/>
        </w:rPr>
        <w:t>En ese sentido, el Pleno del Instituto, como órgano máximo de gobierno del Instituto, es competente para emitir el presente Acuerdo, con fundamento en los artículos 16 y 17, fracción I de la Ley, y</w:t>
      </w:r>
      <w:r w:rsidRPr="002773C7" w:rsidDel="00422A84">
        <w:rPr>
          <w:rFonts w:ascii="Arial" w:hAnsi="Arial" w:cs="Arial"/>
          <w:b w:val="0"/>
          <w:sz w:val="22"/>
          <w:szCs w:val="22"/>
          <w:lang w:eastAsia="es-MX"/>
        </w:rPr>
        <w:t xml:space="preserve"> 4</w:t>
      </w:r>
      <w:r w:rsidRPr="002773C7">
        <w:rPr>
          <w:rFonts w:ascii="Arial" w:hAnsi="Arial" w:cs="Arial"/>
          <w:b w:val="0"/>
          <w:sz w:val="22"/>
          <w:szCs w:val="22"/>
          <w:lang w:eastAsia="es-MX"/>
        </w:rPr>
        <w:t>,</w:t>
      </w:r>
      <w:r w:rsidRPr="002773C7" w:rsidDel="00422A84">
        <w:rPr>
          <w:rFonts w:ascii="Arial" w:hAnsi="Arial" w:cs="Arial"/>
          <w:b w:val="0"/>
          <w:sz w:val="22"/>
          <w:szCs w:val="22"/>
          <w:lang w:eastAsia="es-MX"/>
        </w:rPr>
        <w:t xml:space="preserve"> fracción I y 6</w:t>
      </w:r>
      <w:r w:rsidRPr="002773C7">
        <w:rPr>
          <w:rFonts w:ascii="Arial" w:hAnsi="Arial" w:cs="Arial"/>
          <w:b w:val="0"/>
          <w:sz w:val="22"/>
          <w:szCs w:val="22"/>
          <w:lang w:eastAsia="es-MX"/>
        </w:rPr>
        <w:t xml:space="preserve">, fracciones I </w:t>
      </w:r>
      <w:r w:rsidRPr="002773C7" w:rsidDel="00422A84">
        <w:rPr>
          <w:rFonts w:ascii="Arial" w:hAnsi="Arial" w:cs="Arial"/>
          <w:b w:val="0"/>
          <w:sz w:val="22"/>
          <w:szCs w:val="22"/>
          <w:lang w:eastAsia="es-MX"/>
        </w:rPr>
        <w:t>y XXXVIII del Estatuto Orgánico</w:t>
      </w:r>
      <w:r w:rsidRPr="002773C7">
        <w:rPr>
          <w:rFonts w:ascii="Arial" w:hAnsi="Arial" w:cs="Arial"/>
          <w:b w:val="0"/>
          <w:sz w:val="22"/>
          <w:szCs w:val="22"/>
          <w:lang w:eastAsia="es-MX"/>
        </w:rPr>
        <w:t>.</w:t>
      </w:r>
    </w:p>
    <w:p w14:paraId="4391CB9F" w14:textId="77777777" w:rsidR="002773C7" w:rsidRPr="002773C7" w:rsidRDefault="002773C7" w:rsidP="002773C7">
      <w:pPr>
        <w:spacing w:line="276" w:lineRule="auto"/>
        <w:jc w:val="both"/>
        <w:rPr>
          <w:rFonts w:ascii="Arial" w:hAnsi="Arial" w:cs="Arial"/>
          <w:sz w:val="22"/>
          <w:szCs w:val="22"/>
          <w:lang w:eastAsia="es-MX"/>
        </w:rPr>
      </w:pPr>
    </w:p>
    <w:p w14:paraId="4B3D6089" w14:textId="77777777" w:rsidR="002773C7" w:rsidRPr="002773C7" w:rsidRDefault="002773C7" w:rsidP="002773C7">
      <w:pPr>
        <w:spacing w:line="276" w:lineRule="auto"/>
        <w:jc w:val="both"/>
        <w:rPr>
          <w:rFonts w:ascii="Arial" w:hAnsi="Arial" w:cs="Arial"/>
          <w:sz w:val="22"/>
          <w:szCs w:val="22"/>
        </w:rPr>
      </w:pPr>
      <w:proofErr w:type="gramStart"/>
      <w:r w:rsidRPr="002773C7">
        <w:rPr>
          <w:rFonts w:ascii="Arial" w:hAnsi="Arial" w:cs="Arial"/>
          <w:b/>
          <w:sz w:val="22"/>
          <w:szCs w:val="22"/>
        </w:rPr>
        <w:t>Segundo.-</w:t>
      </w:r>
      <w:proofErr w:type="gramEnd"/>
      <w:r w:rsidRPr="002773C7">
        <w:rPr>
          <w:rFonts w:ascii="Arial" w:hAnsi="Arial" w:cs="Arial"/>
          <w:b/>
          <w:sz w:val="22"/>
          <w:szCs w:val="22"/>
        </w:rPr>
        <w:t xml:space="preserve"> Clasificación de bandas como espectro libre.</w:t>
      </w:r>
      <w:r w:rsidRPr="002773C7">
        <w:rPr>
          <w:rFonts w:ascii="Arial" w:hAnsi="Arial" w:cs="Arial"/>
          <w:sz w:val="22"/>
          <w:szCs w:val="22"/>
        </w:rPr>
        <w:t xml:space="preserve"> El artículo 27, párrafos cuarto y sexto de la Constitución establecen, respectivamente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que, en el caso de las ondas electromagnéticas del espectro radioeléctrico que se propagan en dicho espacio, serán otorgadas por el Instituto.</w:t>
      </w:r>
    </w:p>
    <w:p w14:paraId="0CAD5671" w14:textId="77777777" w:rsidR="002773C7" w:rsidRPr="002773C7" w:rsidRDefault="002773C7" w:rsidP="002773C7">
      <w:pPr>
        <w:spacing w:line="276" w:lineRule="auto"/>
        <w:jc w:val="both"/>
        <w:rPr>
          <w:rFonts w:ascii="Arial" w:hAnsi="Arial" w:cs="Arial"/>
          <w:sz w:val="22"/>
          <w:szCs w:val="22"/>
        </w:rPr>
      </w:pPr>
    </w:p>
    <w:p w14:paraId="70D9EB63" w14:textId="77777777" w:rsidR="002773C7" w:rsidRPr="002773C7" w:rsidRDefault="002773C7" w:rsidP="002773C7">
      <w:pPr>
        <w:suppressAutoHyphens/>
        <w:spacing w:line="276" w:lineRule="auto"/>
        <w:ind w:right="51"/>
        <w:jc w:val="both"/>
        <w:rPr>
          <w:rFonts w:ascii="Arial" w:eastAsia="Times New Roman" w:hAnsi="Arial" w:cs="Arial"/>
          <w:kern w:val="1"/>
          <w:sz w:val="22"/>
          <w:szCs w:val="22"/>
          <w:lang w:eastAsia="ar-SA"/>
        </w:rPr>
      </w:pPr>
      <w:r w:rsidRPr="002773C7">
        <w:rPr>
          <w:rFonts w:ascii="Arial" w:eastAsia="Times New Roman" w:hAnsi="Arial" w:cs="Arial"/>
          <w:kern w:val="1"/>
          <w:sz w:val="22"/>
          <w:szCs w:val="22"/>
          <w:lang w:eastAsia="ar-SA"/>
        </w:rPr>
        <w:t>Así también, los artículos 2, cuarto párrafo y 5 de la Ley disponen que en todo momento el Estado mantendrá el dominio originario, inalienable e imprescriptible sobre el espectro radioeléctrico, otorgándole a este bien el carácter de vías generales de comunicación.</w:t>
      </w:r>
    </w:p>
    <w:p w14:paraId="732839F6" w14:textId="77777777" w:rsidR="002773C7" w:rsidRPr="002773C7" w:rsidRDefault="002773C7" w:rsidP="002773C7">
      <w:pPr>
        <w:pStyle w:val="Prrafodelista"/>
        <w:suppressAutoHyphens/>
        <w:spacing w:line="276" w:lineRule="auto"/>
        <w:ind w:left="0" w:right="48"/>
        <w:contextualSpacing w:val="0"/>
        <w:jc w:val="both"/>
        <w:rPr>
          <w:rFonts w:ascii="Arial" w:hAnsi="Arial" w:cs="Arial"/>
          <w:kern w:val="1"/>
          <w:sz w:val="22"/>
          <w:szCs w:val="22"/>
          <w:lang w:eastAsia="ar-SA"/>
        </w:rPr>
      </w:pPr>
    </w:p>
    <w:p w14:paraId="69447C17" w14:textId="77777777" w:rsidR="002773C7" w:rsidRPr="002773C7" w:rsidRDefault="002773C7" w:rsidP="002773C7">
      <w:pPr>
        <w:pStyle w:val="Prrafodelista"/>
        <w:suppressAutoHyphens/>
        <w:spacing w:line="276" w:lineRule="auto"/>
        <w:ind w:left="0" w:right="48"/>
        <w:contextualSpacing w:val="0"/>
        <w:jc w:val="both"/>
        <w:rPr>
          <w:rFonts w:ascii="Arial" w:hAnsi="Arial" w:cs="Arial"/>
          <w:kern w:val="1"/>
          <w:sz w:val="22"/>
          <w:szCs w:val="22"/>
          <w:lang w:eastAsia="ar-SA"/>
        </w:rPr>
      </w:pPr>
      <w:r w:rsidRPr="002773C7">
        <w:rPr>
          <w:rFonts w:ascii="Arial" w:hAnsi="Arial" w:cs="Arial"/>
          <w:kern w:val="1"/>
          <w:sz w:val="22"/>
          <w:szCs w:val="22"/>
          <w:lang w:eastAsia="ar-SA"/>
        </w:rPr>
        <w:t>Por su parte, el artículo 3, fracción XXI de la Ley, define espectro radioeléctrico como se señala a continuación:</w:t>
      </w:r>
    </w:p>
    <w:p w14:paraId="03596396" w14:textId="77777777" w:rsidR="002773C7" w:rsidRPr="002773C7" w:rsidRDefault="002773C7" w:rsidP="002773C7">
      <w:pPr>
        <w:spacing w:line="276" w:lineRule="auto"/>
        <w:ind w:left="1134" w:right="1253"/>
        <w:jc w:val="both"/>
        <w:rPr>
          <w:rFonts w:ascii="Arial" w:hAnsi="Arial" w:cs="Arial"/>
          <w:i/>
          <w:sz w:val="22"/>
          <w:szCs w:val="22"/>
        </w:rPr>
      </w:pPr>
    </w:p>
    <w:p w14:paraId="174E342E" w14:textId="77777777" w:rsidR="002773C7" w:rsidRPr="002773C7" w:rsidRDefault="002773C7" w:rsidP="002773C7">
      <w:pPr>
        <w:spacing w:line="276" w:lineRule="auto"/>
        <w:ind w:left="851" w:right="899"/>
        <w:jc w:val="both"/>
        <w:rPr>
          <w:rFonts w:ascii="Arial" w:hAnsi="Arial" w:cs="Arial"/>
          <w:i/>
          <w:sz w:val="22"/>
          <w:szCs w:val="22"/>
        </w:rPr>
      </w:pPr>
      <w:r w:rsidRPr="002773C7">
        <w:rPr>
          <w:rFonts w:ascii="Arial" w:hAnsi="Arial" w:cs="Arial"/>
          <w:i/>
          <w:sz w:val="22"/>
          <w:szCs w:val="22"/>
        </w:rPr>
        <w:t>“</w:t>
      </w:r>
      <w:r w:rsidRPr="002773C7">
        <w:rPr>
          <w:rFonts w:ascii="Arial" w:hAnsi="Arial" w:cs="Arial"/>
          <w:b/>
          <w:i/>
          <w:sz w:val="22"/>
          <w:szCs w:val="22"/>
        </w:rPr>
        <w:t>Artículo 3</w:t>
      </w:r>
      <w:r w:rsidRPr="002773C7">
        <w:rPr>
          <w:rFonts w:ascii="Arial" w:hAnsi="Arial" w:cs="Arial"/>
          <w:i/>
          <w:sz w:val="22"/>
          <w:szCs w:val="22"/>
        </w:rPr>
        <w:t xml:space="preserve">. Para los efectos de esta Ley se entenderá por: </w:t>
      </w:r>
    </w:p>
    <w:p w14:paraId="2E349584" w14:textId="77777777" w:rsidR="002773C7" w:rsidRPr="002773C7" w:rsidRDefault="002773C7" w:rsidP="002773C7">
      <w:pPr>
        <w:spacing w:line="276" w:lineRule="auto"/>
        <w:ind w:left="851" w:right="899"/>
        <w:jc w:val="both"/>
        <w:rPr>
          <w:rFonts w:ascii="Arial" w:hAnsi="Arial" w:cs="Arial"/>
          <w:i/>
          <w:sz w:val="22"/>
          <w:szCs w:val="22"/>
        </w:rPr>
      </w:pPr>
      <w:r w:rsidRPr="002773C7">
        <w:rPr>
          <w:rFonts w:ascii="Arial" w:hAnsi="Arial" w:cs="Arial"/>
          <w:i/>
          <w:sz w:val="22"/>
          <w:szCs w:val="22"/>
        </w:rPr>
        <w:t>(...)</w:t>
      </w:r>
    </w:p>
    <w:p w14:paraId="3258A366" w14:textId="77777777" w:rsidR="002773C7" w:rsidRPr="002773C7" w:rsidRDefault="002773C7" w:rsidP="002773C7">
      <w:pPr>
        <w:spacing w:line="276" w:lineRule="auto"/>
        <w:ind w:left="851" w:right="899"/>
        <w:jc w:val="both"/>
        <w:rPr>
          <w:rFonts w:ascii="Arial" w:hAnsi="Arial" w:cs="Arial"/>
          <w:i/>
          <w:sz w:val="22"/>
          <w:szCs w:val="22"/>
        </w:rPr>
      </w:pPr>
      <w:r w:rsidRPr="002773C7">
        <w:rPr>
          <w:rFonts w:ascii="Arial" w:hAnsi="Arial" w:cs="Arial"/>
          <w:b/>
          <w:i/>
          <w:sz w:val="22"/>
          <w:szCs w:val="22"/>
        </w:rPr>
        <w:t>XXI.</w:t>
      </w:r>
      <w:r w:rsidRPr="002773C7">
        <w:rPr>
          <w:rFonts w:ascii="Arial" w:hAnsi="Arial" w:cs="Arial"/>
          <w:i/>
          <w:sz w:val="22"/>
          <w:szCs w:val="22"/>
        </w:rPr>
        <w:t xml:space="preserve"> </w:t>
      </w:r>
      <w:r w:rsidRPr="002773C7">
        <w:rPr>
          <w:rFonts w:ascii="Arial" w:hAnsi="Arial" w:cs="Arial"/>
          <w:b/>
          <w:i/>
          <w:sz w:val="22"/>
          <w:szCs w:val="22"/>
        </w:rPr>
        <w:t>Espectro radioeléctrico</w:t>
      </w:r>
      <w:r w:rsidRPr="002773C7">
        <w:rPr>
          <w:rFonts w:ascii="Arial" w:hAnsi="Arial" w:cs="Arial"/>
          <w:i/>
          <w:sz w:val="22"/>
          <w:szCs w:val="22"/>
        </w:rPr>
        <w:t xml:space="preserve">: Espacio que permite la propagación, sin guía artificial, de ondas electromagnéticas cuyas bandas de frecuencias se fijan convencionalmente por debajo de los 3,000 </w:t>
      </w:r>
      <w:proofErr w:type="spellStart"/>
      <w:r w:rsidRPr="002773C7">
        <w:rPr>
          <w:rFonts w:ascii="Arial" w:hAnsi="Arial" w:cs="Arial"/>
          <w:i/>
          <w:sz w:val="22"/>
          <w:szCs w:val="22"/>
        </w:rPr>
        <w:t>gigahertz</w:t>
      </w:r>
      <w:proofErr w:type="spellEnd"/>
      <w:r w:rsidRPr="002773C7">
        <w:rPr>
          <w:rFonts w:ascii="Arial" w:hAnsi="Arial" w:cs="Arial"/>
          <w:i/>
          <w:sz w:val="22"/>
          <w:szCs w:val="22"/>
        </w:rPr>
        <w:t>;</w:t>
      </w:r>
    </w:p>
    <w:p w14:paraId="0D814D9C" w14:textId="77777777" w:rsidR="002773C7" w:rsidRPr="002773C7" w:rsidRDefault="002773C7" w:rsidP="002773C7">
      <w:pPr>
        <w:spacing w:line="276" w:lineRule="auto"/>
        <w:ind w:left="851" w:right="899"/>
        <w:jc w:val="both"/>
        <w:rPr>
          <w:rFonts w:ascii="Arial" w:hAnsi="Arial" w:cs="Arial"/>
          <w:i/>
          <w:sz w:val="22"/>
          <w:szCs w:val="22"/>
        </w:rPr>
      </w:pPr>
      <w:r w:rsidRPr="002773C7">
        <w:rPr>
          <w:rFonts w:ascii="Arial" w:hAnsi="Arial" w:cs="Arial"/>
          <w:i/>
          <w:sz w:val="22"/>
          <w:szCs w:val="22"/>
        </w:rPr>
        <w:t>(...)”</w:t>
      </w:r>
    </w:p>
    <w:p w14:paraId="348B0D13" w14:textId="77777777" w:rsidR="002773C7" w:rsidRPr="002773C7" w:rsidRDefault="002773C7" w:rsidP="002773C7">
      <w:pPr>
        <w:spacing w:line="276" w:lineRule="auto"/>
        <w:jc w:val="both"/>
        <w:rPr>
          <w:rFonts w:ascii="Arial" w:hAnsi="Arial" w:cs="Arial"/>
          <w:i/>
          <w:sz w:val="22"/>
          <w:szCs w:val="22"/>
        </w:rPr>
      </w:pPr>
    </w:p>
    <w:p w14:paraId="55815C9B" w14:textId="77777777" w:rsidR="002773C7" w:rsidRPr="002773C7" w:rsidRDefault="002773C7" w:rsidP="002773C7">
      <w:pPr>
        <w:spacing w:line="276" w:lineRule="auto"/>
        <w:ind w:right="48"/>
        <w:jc w:val="both"/>
        <w:rPr>
          <w:rFonts w:ascii="Arial" w:eastAsiaTheme="majorEastAsia" w:hAnsi="Arial" w:cs="Arial"/>
          <w:b/>
          <w:sz w:val="22"/>
          <w:szCs w:val="22"/>
          <w:lang w:val="es-ES" w:eastAsia="es-MX"/>
        </w:rPr>
      </w:pPr>
      <w:r w:rsidRPr="002773C7">
        <w:rPr>
          <w:rFonts w:ascii="Arial" w:hAnsi="Arial" w:cs="Arial"/>
          <w:sz w:val="22"/>
          <w:szCs w:val="22"/>
        </w:rPr>
        <w:t xml:space="preserve">En esta tesitura, debe considerarse que el espectro radioeléctrico es un bien finito, pero reutilizable, por lo que, desde la iniciativa de la Ley presentada por el Ejecutivo Federal ante la Cámara de Senadores, que posteriormente fue aprobada por el Congreso de la Unión, se consideró que la planificación del espectro radioeléctrico constituye una de las tareas más </w:t>
      </w:r>
      <w:r w:rsidRPr="002773C7">
        <w:rPr>
          <w:rFonts w:ascii="Arial" w:hAnsi="Arial" w:cs="Arial"/>
          <w:sz w:val="22"/>
          <w:szCs w:val="22"/>
        </w:rPr>
        <w:lastRenderedPageBreak/>
        <w:t>relevantes del Estado en materia de telecomunicaciones y radiodifusión, toda vez que este recurso es el elemento primario e indispensable de las comunicaciones inalámbricas, por lo que se convierte en un recurso extremadamente escaso y de gran valor</w:t>
      </w:r>
      <w:r w:rsidRPr="002773C7">
        <w:rPr>
          <w:rFonts w:ascii="Arial" w:eastAsia="Times New Roman" w:hAnsi="Arial" w:cs="Arial"/>
          <w:sz w:val="22"/>
          <w:szCs w:val="22"/>
          <w:vertAlign w:val="superscript"/>
          <w:lang w:val="es-ES" w:eastAsia="es-ES"/>
        </w:rPr>
        <w:footnoteReference w:id="4"/>
      </w:r>
      <w:r w:rsidRPr="002773C7">
        <w:rPr>
          <w:rFonts w:ascii="Arial" w:eastAsia="Arial Unicode MS" w:hAnsi="Arial" w:cs="Arial"/>
          <w:sz w:val="22"/>
          <w:szCs w:val="22"/>
          <w:lang w:val="es-ES" w:eastAsia="es-MX"/>
        </w:rPr>
        <w:t>.</w:t>
      </w:r>
    </w:p>
    <w:p w14:paraId="5ECA83D1" w14:textId="77777777" w:rsidR="002773C7" w:rsidRPr="002773C7" w:rsidRDefault="002773C7" w:rsidP="002773C7">
      <w:pPr>
        <w:spacing w:line="276" w:lineRule="auto"/>
        <w:jc w:val="both"/>
        <w:rPr>
          <w:rFonts w:ascii="Arial" w:hAnsi="Arial" w:cs="Arial"/>
          <w:sz w:val="22"/>
          <w:szCs w:val="22"/>
          <w:lang w:val="es-ES"/>
        </w:rPr>
      </w:pPr>
    </w:p>
    <w:p w14:paraId="1A2FDD24" w14:textId="77777777" w:rsidR="002773C7" w:rsidRPr="002773C7" w:rsidRDefault="002773C7" w:rsidP="002773C7">
      <w:pPr>
        <w:pStyle w:val="Prrafodelista"/>
        <w:spacing w:line="276" w:lineRule="auto"/>
        <w:ind w:left="0"/>
        <w:contextualSpacing w:val="0"/>
        <w:jc w:val="both"/>
        <w:rPr>
          <w:rFonts w:ascii="Arial" w:hAnsi="Arial" w:cs="Arial"/>
          <w:sz w:val="22"/>
          <w:szCs w:val="22"/>
        </w:rPr>
      </w:pPr>
      <w:r w:rsidRPr="002773C7">
        <w:rPr>
          <w:rFonts w:ascii="Arial" w:hAnsi="Arial" w:cs="Arial"/>
          <w:sz w:val="22"/>
          <w:szCs w:val="22"/>
        </w:rPr>
        <w:t xml:space="preserve">Además, se previó que el espectro radioeléctrico, como un bien de dominio público de la Nación y de naturaleza limitada, se debe aprovechar al máximo a través de una regulación eficiente e idónea, que permita el uso, aprovechamiento y explotación de dicho bien en beneficio de la sociedad. </w:t>
      </w:r>
    </w:p>
    <w:p w14:paraId="39437D5A" w14:textId="77777777" w:rsidR="002773C7" w:rsidRPr="002773C7" w:rsidRDefault="002773C7" w:rsidP="002773C7">
      <w:pPr>
        <w:spacing w:line="276" w:lineRule="auto"/>
        <w:ind w:right="-23"/>
        <w:jc w:val="both"/>
        <w:rPr>
          <w:rFonts w:ascii="Arial" w:hAnsi="Arial" w:cs="Arial"/>
          <w:sz w:val="22"/>
          <w:szCs w:val="22"/>
        </w:rPr>
      </w:pPr>
    </w:p>
    <w:p w14:paraId="6D2CC647" w14:textId="77777777" w:rsidR="002773C7" w:rsidRPr="002773C7" w:rsidRDefault="002773C7" w:rsidP="002773C7">
      <w:pPr>
        <w:spacing w:line="276" w:lineRule="auto"/>
        <w:ind w:right="-23"/>
        <w:jc w:val="both"/>
        <w:rPr>
          <w:rFonts w:ascii="Arial" w:hAnsi="Arial" w:cs="Arial"/>
          <w:sz w:val="22"/>
          <w:szCs w:val="22"/>
        </w:rPr>
      </w:pPr>
      <w:r w:rsidRPr="002773C7">
        <w:rPr>
          <w:rFonts w:ascii="Arial" w:hAnsi="Arial" w:cs="Arial"/>
          <w:sz w:val="22"/>
          <w:szCs w:val="22"/>
        </w:rPr>
        <w:t>Por su parte, los artículos 54, 55, fracción II y 56 de la Ley, en la parte aplicable, indican respectivamente, lo siguiente:</w:t>
      </w:r>
    </w:p>
    <w:p w14:paraId="69BF70CD" w14:textId="77777777" w:rsidR="002773C7" w:rsidRPr="002773C7" w:rsidRDefault="002773C7" w:rsidP="002773C7">
      <w:pPr>
        <w:spacing w:line="276" w:lineRule="auto"/>
        <w:ind w:right="-23"/>
        <w:jc w:val="both"/>
        <w:rPr>
          <w:rFonts w:ascii="Arial" w:hAnsi="Arial" w:cs="Arial"/>
          <w:sz w:val="22"/>
          <w:szCs w:val="22"/>
        </w:rPr>
      </w:pPr>
    </w:p>
    <w:p w14:paraId="70574E99" w14:textId="77777777" w:rsidR="002773C7" w:rsidRPr="002773C7" w:rsidRDefault="002773C7" w:rsidP="002773C7">
      <w:pPr>
        <w:spacing w:line="276" w:lineRule="auto"/>
        <w:ind w:left="851" w:right="899"/>
        <w:jc w:val="both"/>
        <w:rPr>
          <w:rFonts w:ascii="Arial" w:eastAsia="Arial Unicode MS" w:hAnsi="Arial" w:cs="Arial"/>
          <w:b/>
          <w:i/>
          <w:sz w:val="22"/>
          <w:szCs w:val="22"/>
          <w:lang w:eastAsia="es-MX"/>
        </w:rPr>
      </w:pPr>
      <w:r w:rsidRPr="002773C7">
        <w:rPr>
          <w:rFonts w:ascii="Arial" w:eastAsia="Arial Unicode MS" w:hAnsi="Arial" w:cs="Arial"/>
          <w:i/>
          <w:sz w:val="22"/>
          <w:szCs w:val="22"/>
          <w:lang w:eastAsia="es-MX"/>
        </w:rPr>
        <w:t>“</w:t>
      </w:r>
      <w:r w:rsidRPr="002773C7">
        <w:rPr>
          <w:rFonts w:ascii="Arial" w:eastAsia="Arial Unicode MS" w:hAnsi="Arial" w:cs="Arial"/>
          <w:b/>
          <w:i/>
          <w:sz w:val="22"/>
          <w:szCs w:val="22"/>
          <w:lang w:eastAsia="es-MX"/>
        </w:rPr>
        <w:t>Artículo 54. El espectro radioeléctrico y los recursos orbitales son bienes del dominio público de la Nación, cuya titularidad y administración corresponden al Estado.</w:t>
      </w:r>
    </w:p>
    <w:p w14:paraId="606F3386" w14:textId="77777777" w:rsidR="002773C7" w:rsidRPr="002773C7" w:rsidRDefault="002773C7" w:rsidP="002773C7">
      <w:pPr>
        <w:spacing w:line="276" w:lineRule="auto"/>
        <w:ind w:left="851" w:right="899"/>
        <w:jc w:val="both"/>
        <w:rPr>
          <w:rFonts w:ascii="Arial" w:eastAsia="Arial Unicode MS" w:hAnsi="Arial" w:cs="Arial"/>
          <w:b/>
          <w:i/>
          <w:sz w:val="22"/>
          <w:szCs w:val="22"/>
          <w:lang w:eastAsia="es-MX"/>
        </w:rPr>
      </w:pPr>
    </w:p>
    <w:p w14:paraId="251883E8" w14:textId="77777777" w:rsidR="002773C7" w:rsidRPr="002773C7" w:rsidRDefault="002773C7" w:rsidP="002773C7">
      <w:pPr>
        <w:spacing w:line="276" w:lineRule="auto"/>
        <w:ind w:left="851" w:right="899"/>
        <w:jc w:val="both"/>
        <w:rPr>
          <w:rFonts w:ascii="Arial" w:eastAsia="Arial Unicode MS" w:hAnsi="Arial" w:cs="Arial"/>
          <w:b/>
          <w:i/>
          <w:sz w:val="22"/>
          <w:szCs w:val="22"/>
          <w:lang w:eastAsia="es-MX"/>
        </w:rPr>
      </w:pPr>
      <w:r w:rsidRPr="002773C7">
        <w:rPr>
          <w:rFonts w:ascii="Arial" w:eastAsia="Arial Unicode MS" w:hAnsi="Arial" w:cs="Arial"/>
          <w:b/>
          <w:i/>
          <w:sz w:val="22"/>
          <w:szCs w:val="22"/>
          <w:lang w:eastAsia="es-MX"/>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38892829"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p>
    <w:p w14:paraId="00D66E50"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3D529621"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p>
    <w:p w14:paraId="24564A21"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r w:rsidRPr="002773C7">
        <w:rPr>
          <w:rFonts w:ascii="Arial" w:eastAsia="Arial Unicode MS" w:hAnsi="Arial" w:cs="Arial"/>
          <w:b/>
          <w:i/>
          <w:sz w:val="22"/>
          <w:szCs w:val="22"/>
          <w:lang w:eastAsia="es-MX"/>
        </w:rPr>
        <w:t>Al administrar el espectro, el Instituto perseguirá</w:t>
      </w:r>
      <w:r w:rsidRPr="002773C7">
        <w:rPr>
          <w:rFonts w:ascii="Arial" w:eastAsia="Arial Unicode MS" w:hAnsi="Arial" w:cs="Arial"/>
          <w:i/>
          <w:sz w:val="22"/>
          <w:szCs w:val="22"/>
          <w:lang w:eastAsia="es-MX"/>
        </w:rPr>
        <w:t xml:space="preserve"> los siguientes objetivos generales en beneficio de los usuarios:</w:t>
      </w:r>
    </w:p>
    <w:p w14:paraId="1D66A6A3"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p>
    <w:p w14:paraId="06137C1B" w14:textId="77777777" w:rsidR="002773C7" w:rsidRPr="002773C7" w:rsidRDefault="002773C7" w:rsidP="002773C7">
      <w:pPr>
        <w:numPr>
          <w:ilvl w:val="0"/>
          <w:numId w:val="40"/>
        </w:numPr>
        <w:pBdr>
          <w:top w:val="nil"/>
          <w:left w:val="nil"/>
          <w:bottom w:val="nil"/>
          <w:right w:val="nil"/>
          <w:between w:val="nil"/>
          <w:bar w:val="nil"/>
        </w:pBdr>
        <w:tabs>
          <w:tab w:val="left" w:pos="1134"/>
        </w:tabs>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t>La seguridad de la vida;</w:t>
      </w:r>
    </w:p>
    <w:p w14:paraId="348CD6D3" w14:textId="77777777" w:rsidR="002773C7" w:rsidRPr="002773C7" w:rsidRDefault="002773C7" w:rsidP="002773C7">
      <w:pPr>
        <w:numPr>
          <w:ilvl w:val="0"/>
          <w:numId w:val="40"/>
        </w:numPr>
        <w:pBdr>
          <w:top w:val="nil"/>
          <w:left w:val="nil"/>
          <w:bottom w:val="nil"/>
          <w:right w:val="nil"/>
          <w:between w:val="nil"/>
          <w:bar w:val="nil"/>
        </w:pBdr>
        <w:tabs>
          <w:tab w:val="left" w:pos="1134"/>
        </w:tabs>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t>La promoción de la cohesión social, regional o territorial;</w:t>
      </w:r>
    </w:p>
    <w:p w14:paraId="1A1A2D47" w14:textId="77777777" w:rsidR="002773C7" w:rsidRPr="002773C7" w:rsidRDefault="002773C7" w:rsidP="002773C7">
      <w:pPr>
        <w:numPr>
          <w:ilvl w:val="0"/>
          <w:numId w:val="40"/>
        </w:numPr>
        <w:tabs>
          <w:tab w:val="left" w:pos="1134"/>
        </w:tabs>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t>La competencia efectiva en los mercados convergentes de los sectores de telecomunicaciones y radiodifusión;</w:t>
      </w:r>
    </w:p>
    <w:p w14:paraId="7947C159" w14:textId="77777777" w:rsidR="002773C7" w:rsidRPr="002773C7" w:rsidRDefault="002773C7" w:rsidP="002773C7">
      <w:pPr>
        <w:numPr>
          <w:ilvl w:val="0"/>
          <w:numId w:val="40"/>
        </w:numPr>
        <w:tabs>
          <w:tab w:val="left" w:pos="1134"/>
        </w:tabs>
        <w:spacing w:line="276" w:lineRule="auto"/>
        <w:ind w:left="851" w:right="899" w:firstLine="0"/>
        <w:jc w:val="both"/>
        <w:rPr>
          <w:rFonts w:ascii="Arial" w:eastAsia="Arial Unicode MS" w:hAnsi="Arial" w:cs="Arial"/>
          <w:b/>
          <w:i/>
          <w:sz w:val="22"/>
          <w:szCs w:val="22"/>
          <w:lang w:eastAsia="es-MX"/>
        </w:rPr>
      </w:pPr>
      <w:r w:rsidRPr="002773C7">
        <w:rPr>
          <w:rFonts w:ascii="Arial" w:eastAsia="Arial Unicode MS" w:hAnsi="Arial" w:cs="Arial"/>
          <w:b/>
          <w:i/>
          <w:sz w:val="22"/>
          <w:szCs w:val="22"/>
          <w:lang w:eastAsia="es-MX"/>
        </w:rPr>
        <w:t>El uso eficaz del espectro y su protección;</w:t>
      </w:r>
    </w:p>
    <w:p w14:paraId="50D17B40" w14:textId="77777777" w:rsidR="002773C7" w:rsidRPr="002773C7" w:rsidRDefault="002773C7" w:rsidP="002773C7">
      <w:pPr>
        <w:numPr>
          <w:ilvl w:val="0"/>
          <w:numId w:val="40"/>
        </w:numPr>
        <w:tabs>
          <w:tab w:val="left" w:pos="1134"/>
        </w:tabs>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t>La garantía del espectro necesario para los fines y funciones del Ejecutivo Federal;</w:t>
      </w:r>
    </w:p>
    <w:p w14:paraId="0F723346" w14:textId="77777777" w:rsidR="002773C7" w:rsidRPr="002773C7" w:rsidRDefault="002773C7" w:rsidP="002773C7">
      <w:pPr>
        <w:numPr>
          <w:ilvl w:val="0"/>
          <w:numId w:val="40"/>
        </w:numPr>
        <w:tabs>
          <w:tab w:val="left" w:pos="1134"/>
        </w:tabs>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lastRenderedPageBreak/>
        <w:t>La inversión eficiente en infraestructuras, la innovación y el desarrollo de la industria de productos y servicios convergentes;</w:t>
      </w:r>
    </w:p>
    <w:p w14:paraId="2B25C2EC" w14:textId="77777777" w:rsidR="002773C7" w:rsidRPr="002773C7" w:rsidRDefault="002773C7" w:rsidP="002773C7">
      <w:pPr>
        <w:numPr>
          <w:ilvl w:val="0"/>
          <w:numId w:val="40"/>
        </w:numPr>
        <w:tabs>
          <w:tab w:val="left" w:pos="1134"/>
        </w:tabs>
        <w:spacing w:line="276" w:lineRule="auto"/>
        <w:ind w:left="851" w:right="899" w:firstLine="0"/>
        <w:jc w:val="both"/>
        <w:rPr>
          <w:rFonts w:ascii="Arial" w:eastAsia="Arial Unicode MS" w:hAnsi="Arial" w:cs="Arial"/>
          <w:b/>
          <w:i/>
          <w:sz w:val="22"/>
          <w:szCs w:val="22"/>
          <w:lang w:eastAsia="es-MX"/>
        </w:rPr>
      </w:pPr>
      <w:r w:rsidRPr="002773C7">
        <w:rPr>
          <w:rFonts w:ascii="Arial" w:eastAsia="Arial Unicode MS" w:hAnsi="Arial" w:cs="Arial"/>
          <w:b/>
          <w:i/>
          <w:sz w:val="22"/>
          <w:szCs w:val="22"/>
          <w:lang w:eastAsia="es-MX"/>
        </w:rPr>
        <w:t>El fomento de la neutralidad tecnológica, y</w:t>
      </w:r>
    </w:p>
    <w:p w14:paraId="62B39DF1" w14:textId="77777777" w:rsidR="002773C7" w:rsidRPr="002773C7" w:rsidRDefault="002773C7" w:rsidP="002773C7">
      <w:pPr>
        <w:numPr>
          <w:ilvl w:val="0"/>
          <w:numId w:val="40"/>
        </w:numPr>
        <w:tabs>
          <w:tab w:val="left" w:pos="1134"/>
        </w:tabs>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i/>
          <w:sz w:val="22"/>
          <w:szCs w:val="22"/>
          <w:lang w:eastAsia="es-MX"/>
        </w:rPr>
        <w:t>El cumplimiento de lo dispuesto por los artículos 2o., 6o., 7o. y 28 de la Constitución.</w:t>
      </w:r>
    </w:p>
    <w:p w14:paraId="1FBF07F6"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p>
    <w:p w14:paraId="7EA120EF" w14:textId="77777777" w:rsidR="002773C7" w:rsidRPr="002773C7" w:rsidRDefault="002773C7" w:rsidP="002773C7">
      <w:pPr>
        <w:spacing w:line="276" w:lineRule="auto"/>
        <w:ind w:left="851" w:right="899"/>
        <w:jc w:val="both"/>
        <w:rPr>
          <w:rFonts w:ascii="Arial" w:eastAsia="Arial Unicode MS" w:hAnsi="Arial" w:cs="Arial"/>
          <w:b/>
          <w:sz w:val="22"/>
          <w:szCs w:val="22"/>
          <w:lang w:eastAsia="es-MX"/>
        </w:rPr>
      </w:pPr>
      <w:r w:rsidRPr="002773C7">
        <w:rPr>
          <w:rFonts w:ascii="Arial" w:eastAsia="Arial Unicode MS" w:hAnsi="Arial" w:cs="Arial"/>
          <w:b/>
          <w:i/>
          <w:sz w:val="22"/>
          <w:szCs w:val="22"/>
          <w:lang w:eastAsia="es-MX"/>
        </w:rPr>
        <w:t>Para la atribución de una banda de frecuencias y la concesión del espectro y recursos orbitales, el Instituto se basará en criterios objetivos, transparentes, no discriminatorios y proporcionales.”</w:t>
      </w:r>
    </w:p>
    <w:p w14:paraId="0679765A"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p>
    <w:p w14:paraId="7CBE022E" w14:textId="77777777" w:rsidR="002773C7" w:rsidRPr="002773C7" w:rsidRDefault="002773C7" w:rsidP="002773C7">
      <w:pPr>
        <w:spacing w:line="276" w:lineRule="auto"/>
        <w:ind w:left="851" w:right="899"/>
        <w:jc w:val="both"/>
        <w:rPr>
          <w:rFonts w:ascii="Arial" w:eastAsiaTheme="majorEastAsia" w:hAnsi="Arial" w:cs="Arial"/>
          <w:b/>
          <w:i/>
          <w:sz w:val="22"/>
          <w:szCs w:val="22"/>
          <w:lang w:val="es-ES" w:eastAsia="es-MX"/>
        </w:rPr>
      </w:pPr>
      <w:r w:rsidRPr="002773C7">
        <w:rPr>
          <w:rFonts w:ascii="Arial" w:eastAsiaTheme="majorEastAsia" w:hAnsi="Arial" w:cs="Arial"/>
          <w:b/>
          <w:i/>
          <w:sz w:val="22"/>
          <w:szCs w:val="22"/>
          <w:lang w:val="es-ES" w:eastAsia="es-MX"/>
        </w:rPr>
        <w:t>“Artículo 55. Las bandas de frecuencia del espectro radioeléctrico se clasificarán de acuerdo con lo siguiente:</w:t>
      </w:r>
    </w:p>
    <w:p w14:paraId="2066945A" w14:textId="77777777" w:rsidR="002773C7" w:rsidRPr="002773C7" w:rsidRDefault="002773C7" w:rsidP="002773C7">
      <w:pPr>
        <w:spacing w:line="276" w:lineRule="auto"/>
        <w:ind w:left="851" w:right="899"/>
        <w:jc w:val="both"/>
        <w:rPr>
          <w:rFonts w:ascii="Arial" w:eastAsiaTheme="majorEastAsia" w:hAnsi="Arial" w:cs="Arial"/>
          <w:i/>
          <w:sz w:val="22"/>
          <w:szCs w:val="22"/>
          <w:lang w:val="es-ES" w:eastAsia="es-MX"/>
        </w:rPr>
      </w:pPr>
    </w:p>
    <w:p w14:paraId="1A55FB11" w14:textId="77777777" w:rsidR="002773C7" w:rsidRPr="002773C7" w:rsidRDefault="002773C7" w:rsidP="002773C7">
      <w:pPr>
        <w:spacing w:line="276" w:lineRule="auto"/>
        <w:ind w:left="851" w:right="899"/>
        <w:jc w:val="both"/>
        <w:rPr>
          <w:rFonts w:ascii="Arial" w:eastAsiaTheme="majorEastAsia" w:hAnsi="Arial" w:cs="Arial"/>
          <w:i/>
          <w:sz w:val="22"/>
          <w:szCs w:val="22"/>
          <w:lang w:val="es-ES" w:eastAsia="es-MX"/>
        </w:rPr>
      </w:pPr>
      <w:r w:rsidRPr="002773C7">
        <w:rPr>
          <w:rFonts w:ascii="Arial" w:eastAsiaTheme="majorEastAsia" w:hAnsi="Arial" w:cs="Arial"/>
          <w:i/>
          <w:sz w:val="22"/>
          <w:szCs w:val="22"/>
          <w:lang w:val="es-ES" w:eastAsia="es-MX"/>
        </w:rPr>
        <w:t>(…)</w:t>
      </w:r>
    </w:p>
    <w:p w14:paraId="6F8D81C1" w14:textId="77777777" w:rsidR="002773C7" w:rsidRPr="002773C7" w:rsidRDefault="002773C7" w:rsidP="002773C7">
      <w:pPr>
        <w:spacing w:line="276" w:lineRule="auto"/>
        <w:ind w:left="851" w:right="899"/>
        <w:jc w:val="both"/>
        <w:rPr>
          <w:rFonts w:ascii="Arial" w:eastAsiaTheme="majorEastAsia" w:hAnsi="Arial" w:cs="Arial"/>
          <w:i/>
          <w:sz w:val="22"/>
          <w:szCs w:val="22"/>
          <w:lang w:val="es-ES" w:eastAsia="es-MX"/>
        </w:rPr>
      </w:pPr>
    </w:p>
    <w:p w14:paraId="22B7CD5D" w14:textId="77777777" w:rsidR="002773C7" w:rsidRPr="002773C7" w:rsidRDefault="002773C7" w:rsidP="002773C7">
      <w:pPr>
        <w:numPr>
          <w:ilvl w:val="0"/>
          <w:numId w:val="42"/>
        </w:numPr>
        <w:pBdr>
          <w:top w:val="nil"/>
          <w:left w:val="nil"/>
          <w:bottom w:val="nil"/>
          <w:right w:val="nil"/>
          <w:between w:val="nil"/>
          <w:bar w:val="nil"/>
        </w:pBdr>
        <w:spacing w:line="276" w:lineRule="auto"/>
        <w:ind w:left="851" w:right="899" w:firstLine="0"/>
        <w:jc w:val="both"/>
        <w:rPr>
          <w:rFonts w:ascii="Arial" w:eastAsia="Arial Unicode MS" w:hAnsi="Arial" w:cs="Arial"/>
          <w:i/>
          <w:sz w:val="22"/>
          <w:szCs w:val="22"/>
          <w:lang w:eastAsia="es-MX"/>
        </w:rPr>
      </w:pPr>
      <w:r w:rsidRPr="002773C7">
        <w:rPr>
          <w:rFonts w:ascii="Arial" w:eastAsia="Arial Unicode MS" w:hAnsi="Arial" w:cs="Arial"/>
          <w:b/>
          <w:i/>
          <w:sz w:val="22"/>
          <w:szCs w:val="22"/>
          <w:lang w:eastAsia="es-MX"/>
        </w:rPr>
        <w:t>Espectro libre:</w:t>
      </w:r>
      <w:r w:rsidRPr="002773C7">
        <w:rPr>
          <w:rFonts w:ascii="Arial" w:eastAsia="Arial Unicode MS" w:hAnsi="Arial" w:cs="Arial"/>
          <w:i/>
          <w:sz w:val="22"/>
          <w:szCs w:val="22"/>
          <w:lang w:eastAsia="es-MX"/>
        </w:rPr>
        <w:t xml:space="preserve"> Son aquellas bandas de frecuencia de acceso libre, que pueden ser utilizadas por el público en general, bajo los lineamientos o especificaciones que establezca el Instituto, sin necesidad de concesión o autorización;</w:t>
      </w:r>
    </w:p>
    <w:p w14:paraId="004E3331" w14:textId="77777777" w:rsidR="002773C7" w:rsidRPr="002773C7" w:rsidRDefault="002773C7" w:rsidP="002773C7">
      <w:pPr>
        <w:pBdr>
          <w:top w:val="nil"/>
          <w:left w:val="nil"/>
          <w:bottom w:val="nil"/>
          <w:right w:val="nil"/>
          <w:between w:val="nil"/>
          <w:bar w:val="nil"/>
        </w:pBdr>
        <w:spacing w:line="276" w:lineRule="auto"/>
        <w:ind w:left="851" w:right="899"/>
        <w:jc w:val="both"/>
        <w:rPr>
          <w:rFonts w:ascii="Arial" w:eastAsia="Arial Unicode MS" w:hAnsi="Arial" w:cs="Arial"/>
          <w:i/>
          <w:sz w:val="22"/>
          <w:szCs w:val="22"/>
          <w:lang w:eastAsia="es-MX"/>
        </w:rPr>
      </w:pPr>
    </w:p>
    <w:p w14:paraId="530EA070" w14:textId="77777777" w:rsidR="002773C7" w:rsidRPr="002773C7" w:rsidRDefault="002773C7" w:rsidP="002773C7">
      <w:pPr>
        <w:spacing w:line="276" w:lineRule="auto"/>
        <w:ind w:left="851" w:right="899"/>
        <w:jc w:val="both"/>
        <w:rPr>
          <w:rFonts w:ascii="Arial" w:eastAsiaTheme="majorEastAsia" w:hAnsi="Arial" w:cs="Arial"/>
          <w:i/>
          <w:sz w:val="22"/>
          <w:szCs w:val="22"/>
          <w:lang w:val="es-ES" w:eastAsia="es-MX"/>
        </w:rPr>
      </w:pPr>
      <w:r w:rsidRPr="002773C7">
        <w:rPr>
          <w:rFonts w:ascii="Arial" w:eastAsiaTheme="majorEastAsia" w:hAnsi="Arial" w:cs="Arial"/>
          <w:i/>
          <w:sz w:val="22"/>
          <w:szCs w:val="22"/>
          <w:lang w:val="es-ES" w:eastAsia="es-MX"/>
        </w:rPr>
        <w:t>(…)”</w:t>
      </w:r>
    </w:p>
    <w:p w14:paraId="732DC705" w14:textId="77777777" w:rsidR="002773C7" w:rsidRPr="002773C7" w:rsidRDefault="002773C7" w:rsidP="002773C7">
      <w:pPr>
        <w:spacing w:line="276" w:lineRule="auto"/>
        <w:ind w:left="851" w:right="899"/>
        <w:jc w:val="both"/>
        <w:rPr>
          <w:rFonts w:ascii="Arial" w:eastAsia="Arial Unicode MS" w:hAnsi="Arial" w:cs="Arial"/>
          <w:i/>
          <w:sz w:val="22"/>
          <w:szCs w:val="22"/>
          <w:lang w:eastAsia="es-MX"/>
        </w:rPr>
      </w:pPr>
    </w:p>
    <w:p w14:paraId="3E390D58" w14:textId="77777777" w:rsidR="002773C7" w:rsidRPr="002773C7" w:rsidRDefault="002773C7" w:rsidP="002773C7">
      <w:pPr>
        <w:tabs>
          <w:tab w:val="left" w:pos="8080"/>
        </w:tabs>
        <w:spacing w:line="276" w:lineRule="auto"/>
        <w:ind w:left="851" w:right="899"/>
        <w:jc w:val="both"/>
        <w:rPr>
          <w:rFonts w:ascii="Arial" w:hAnsi="Arial" w:cs="Arial"/>
          <w:i/>
          <w:sz w:val="22"/>
          <w:szCs w:val="22"/>
        </w:rPr>
      </w:pPr>
      <w:r w:rsidRPr="002773C7">
        <w:rPr>
          <w:rFonts w:ascii="Arial" w:hAnsi="Arial" w:cs="Arial"/>
          <w:i/>
          <w:sz w:val="22"/>
          <w:szCs w:val="22"/>
        </w:rPr>
        <w:t>“</w:t>
      </w:r>
      <w:r w:rsidRPr="002773C7">
        <w:rPr>
          <w:rFonts w:ascii="Arial" w:hAnsi="Arial" w:cs="Arial"/>
          <w:b/>
          <w:i/>
          <w:sz w:val="22"/>
          <w:szCs w:val="22"/>
        </w:rPr>
        <w:t>Artículo 56</w:t>
      </w:r>
      <w:r w:rsidRPr="002773C7">
        <w:rPr>
          <w:rFonts w:ascii="Arial" w:hAnsi="Arial" w:cs="Arial"/>
          <w:i/>
          <w:sz w:val="22"/>
          <w:szCs w:val="22"/>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2DC1ACA1" w14:textId="77777777" w:rsidR="002773C7" w:rsidRPr="002773C7" w:rsidRDefault="002773C7" w:rsidP="002773C7">
      <w:pPr>
        <w:tabs>
          <w:tab w:val="left" w:pos="8080"/>
        </w:tabs>
        <w:spacing w:line="276" w:lineRule="auto"/>
        <w:ind w:left="851" w:right="899"/>
        <w:jc w:val="both"/>
        <w:rPr>
          <w:rFonts w:ascii="Arial" w:hAnsi="Arial" w:cs="Arial"/>
          <w:i/>
          <w:sz w:val="22"/>
          <w:szCs w:val="22"/>
        </w:rPr>
      </w:pPr>
      <w:r w:rsidRPr="002773C7">
        <w:rPr>
          <w:rFonts w:ascii="Arial" w:hAnsi="Arial" w:cs="Arial"/>
          <w:i/>
          <w:sz w:val="22"/>
          <w:szCs w:val="22"/>
        </w:rPr>
        <w:t>(...)</w:t>
      </w:r>
    </w:p>
    <w:p w14:paraId="7A087726" w14:textId="77777777" w:rsidR="002773C7" w:rsidRPr="002773C7" w:rsidRDefault="002773C7" w:rsidP="002773C7">
      <w:pPr>
        <w:tabs>
          <w:tab w:val="left" w:pos="8080"/>
        </w:tabs>
        <w:spacing w:line="276" w:lineRule="auto"/>
        <w:ind w:left="851" w:right="899"/>
        <w:jc w:val="both"/>
        <w:rPr>
          <w:rFonts w:ascii="Arial" w:hAnsi="Arial" w:cs="Arial"/>
          <w:i/>
          <w:sz w:val="22"/>
          <w:szCs w:val="22"/>
        </w:rPr>
      </w:pPr>
      <w:r w:rsidRPr="002773C7">
        <w:rPr>
          <w:rFonts w:ascii="Arial" w:hAnsi="Arial" w:cs="Arial"/>
          <w:i/>
          <w:sz w:val="22"/>
          <w:szCs w:val="22"/>
        </w:rPr>
        <w:t>Todo uso, aprovechamiento o explotación de bandas de frecuencias deberá realizarse de conformidad con lo establecido en el Cuadro Nacional de Atribución de Frecuencias y demás disposiciones aplicables.”</w:t>
      </w:r>
    </w:p>
    <w:p w14:paraId="31CFE4C4" w14:textId="77777777" w:rsidR="002773C7" w:rsidRPr="002773C7" w:rsidRDefault="002773C7" w:rsidP="002773C7">
      <w:pPr>
        <w:spacing w:line="276" w:lineRule="auto"/>
        <w:ind w:left="851" w:right="899"/>
        <w:jc w:val="both"/>
        <w:rPr>
          <w:rFonts w:ascii="Arial" w:eastAsiaTheme="majorEastAsia" w:hAnsi="Arial" w:cs="Arial"/>
          <w:i/>
          <w:sz w:val="22"/>
          <w:szCs w:val="22"/>
          <w:lang w:val="es-ES" w:eastAsia="es-MX"/>
        </w:rPr>
      </w:pPr>
    </w:p>
    <w:p w14:paraId="0F8805B4" w14:textId="77777777" w:rsidR="002773C7" w:rsidRPr="002773C7" w:rsidRDefault="002773C7" w:rsidP="002773C7">
      <w:pPr>
        <w:pStyle w:val="ANOTACION"/>
        <w:spacing w:before="0" w:after="0" w:line="276" w:lineRule="auto"/>
        <w:jc w:val="both"/>
        <w:rPr>
          <w:rFonts w:ascii="Arial" w:hAnsi="Arial" w:cs="Arial"/>
          <w:b w:val="0"/>
          <w:kern w:val="2"/>
          <w:sz w:val="22"/>
          <w:szCs w:val="22"/>
          <w:lang w:val="es-ES" w:eastAsia="ar-SA"/>
        </w:rPr>
      </w:pPr>
      <w:r w:rsidRPr="002773C7">
        <w:rPr>
          <w:rFonts w:ascii="Arial" w:hAnsi="Arial" w:cs="Arial"/>
          <w:b w:val="0"/>
          <w:kern w:val="2"/>
          <w:sz w:val="22"/>
          <w:szCs w:val="22"/>
          <w:lang w:val="es-ES" w:eastAsia="ar-SA"/>
        </w:rPr>
        <w:t>De lo anterior, se advierte con claridad, en cuanto a la administración del espectro radioeléctrico, lo siguiente:</w:t>
      </w:r>
    </w:p>
    <w:p w14:paraId="704F7D57" w14:textId="77777777" w:rsidR="002773C7" w:rsidRPr="002773C7" w:rsidRDefault="002773C7" w:rsidP="002773C7">
      <w:pPr>
        <w:spacing w:line="276" w:lineRule="auto"/>
        <w:jc w:val="both"/>
        <w:rPr>
          <w:rFonts w:ascii="Arial" w:hAnsi="Arial" w:cs="Arial"/>
          <w:sz w:val="22"/>
          <w:szCs w:val="22"/>
        </w:rPr>
      </w:pPr>
    </w:p>
    <w:p w14:paraId="3488603A" w14:textId="77777777" w:rsidR="002773C7" w:rsidRPr="002773C7" w:rsidRDefault="002773C7" w:rsidP="002773C7">
      <w:pPr>
        <w:pStyle w:val="Prrafodelista"/>
        <w:numPr>
          <w:ilvl w:val="0"/>
          <w:numId w:val="46"/>
        </w:numPr>
        <w:spacing w:line="276" w:lineRule="auto"/>
        <w:contextualSpacing w:val="0"/>
        <w:jc w:val="both"/>
        <w:rPr>
          <w:rFonts w:ascii="Arial" w:hAnsi="Arial" w:cs="Arial"/>
          <w:sz w:val="22"/>
          <w:szCs w:val="22"/>
        </w:rPr>
      </w:pPr>
      <w:r w:rsidRPr="002773C7">
        <w:rPr>
          <w:rFonts w:ascii="Arial" w:hAnsi="Arial" w:cs="Arial"/>
          <w:sz w:val="22"/>
          <w:szCs w:val="22"/>
        </w:rPr>
        <w:t xml:space="preserve">La administración del espectro radioeléctrico como </w:t>
      </w:r>
      <w:bookmarkStart w:id="1" w:name="_Hlk95818101"/>
      <w:r w:rsidRPr="002773C7">
        <w:rPr>
          <w:rFonts w:ascii="Arial" w:hAnsi="Arial" w:cs="Arial"/>
          <w:sz w:val="22"/>
          <w:szCs w:val="22"/>
        </w:rPr>
        <w:t>bien de dominio público de la Nación se ejercerá por el Instituto, según lo dispuesto por la Constitución, la Ley, los tratados y acuerdos internacionales firmados por México y, en lo aplicable, siguiendo las recomendaciones de la Unión Internacional de Telecomunicaciones (“UIT”) y otros organismos internacionales.</w:t>
      </w:r>
    </w:p>
    <w:bookmarkEnd w:id="1"/>
    <w:p w14:paraId="6EE06104" w14:textId="77777777" w:rsidR="002773C7" w:rsidRPr="002773C7" w:rsidRDefault="002773C7" w:rsidP="002773C7">
      <w:pPr>
        <w:pStyle w:val="Prrafodelista"/>
        <w:spacing w:line="276" w:lineRule="auto"/>
        <w:contextualSpacing w:val="0"/>
        <w:jc w:val="both"/>
        <w:rPr>
          <w:rFonts w:ascii="Arial" w:hAnsi="Arial" w:cs="Arial"/>
          <w:sz w:val="22"/>
          <w:szCs w:val="22"/>
        </w:rPr>
      </w:pPr>
    </w:p>
    <w:p w14:paraId="30F6CF63" w14:textId="77777777" w:rsidR="002773C7" w:rsidRPr="002773C7" w:rsidRDefault="002773C7" w:rsidP="002773C7">
      <w:pPr>
        <w:pStyle w:val="Prrafodelista"/>
        <w:numPr>
          <w:ilvl w:val="0"/>
          <w:numId w:val="46"/>
        </w:numPr>
        <w:spacing w:line="276" w:lineRule="auto"/>
        <w:contextualSpacing w:val="0"/>
        <w:jc w:val="both"/>
        <w:rPr>
          <w:rFonts w:ascii="Arial" w:hAnsi="Arial" w:cs="Arial"/>
          <w:sz w:val="22"/>
          <w:szCs w:val="22"/>
        </w:rPr>
      </w:pPr>
      <w:r w:rsidRPr="002773C7">
        <w:rPr>
          <w:rFonts w:ascii="Arial" w:hAnsi="Arial" w:cs="Arial"/>
          <w:sz w:val="22"/>
          <w:szCs w:val="22"/>
        </w:rPr>
        <w:lastRenderedPageBreak/>
        <w:t xml:space="preserve">Dicha administración comprende la elaboración y aprobación de planes y programas de uso, </w:t>
      </w:r>
      <w:r w:rsidRPr="002773C7">
        <w:rPr>
          <w:rFonts w:ascii="Arial" w:hAnsi="Arial" w:cs="Arial"/>
          <w:b/>
          <w:sz w:val="22"/>
          <w:szCs w:val="22"/>
        </w:rPr>
        <w:t>el establecimiento de las condiciones para la atribución de una banda de frecuencias,</w:t>
      </w:r>
      <w:r w:rsidRPr="002773C7">
        <w:rPr>
          <w:rFonts w:ascii="Arial" w:hAnsi="Arial" w:cs="Arial"/>
          <w:sz w:val="22"/>
          <w:szCs w:val="22"/>
        </w:rPr>
        <w:t xml:space="preserve"> el otorgamiento de concesiones, la supervisión de emisiones radioeléctricas y la aplicación del régimen de sanciones, sin menoscabo de las atribuciones que corresponden al Ejecutivo Federal. </w:t>
      </w:r>
    </w:p>
    <w:p w14:paraId="077EE967" w14:textId="77777777" w:rsidR="002773C7" w:rsidRPr="002773C7" w:rsidRDefault="002773C7" w:rsidP="002773C7">
      <w:pPr>
        <w:pStyle w:val="Prrafodelista"/>
        <w:spacing w:line="276" w:lineRule="auto"/>
        <w:contextualSpacing w:val="0"/>
        <w:jc w:val="both"/>
        <w:rPr>
          <w:rFonts w:ascii="Arial" w:hAnsi="Arial" w:cs="Arial"/>
          <w:sz w:val="22"/>
          <w:szCs w:val="22"/>
        </w:rPr>
      </w:pPr>
    </w:p>
    <w:p w14:paraId="2ACCBF21" w14:textId="77777777" w:rsidR="002773C7" w:rsidRPr="002773C7" w:rsidRDefault="002773C7" w:rsidP="002773C7">
      <w:pPr>
        <w:pStyle w:val="Prrafodelista"/>
        <w:numPr>
          <w:ilvl w:val="0"/>
          <w:numId w:val="46"/>
        </w:numPr>
        <w:spacing w:line="276" w:lineRule="auto"/>
        <w:contextualSpacing w:val="0"/>
        <w:jc w:val="both"/>
        <w:rPr>
          <w:rFonts w:ascii="Arial" w:hAnsi="Arial" w:cs="Arial"/>
          <w:sz w:val="22"/>
          <w:szCs w:val="22"/>
        </w:rPr>
      </w:pPr>
      <w:r w:rsidRPr="002773C7">
        <w:rPr>
          <w:rFonts w:ascii="Arial" w:hAnsi="Arial" w:cs="Arial"/>
          <w:sz w:val="22"/>
          <w:szCs w:val="22"/>
        </w:rPr>
        <w:t xml:space="preserve">Para una mejor administración y aprovechamiento del uso del espectro radioeléctrico, las bandas de frecuencias, atenderán la clasificación establecida en la Ley, ya sea como espectro determinado, </w:t>
      </w:r>
      <w:r w:rsidRPr="002773C7">
        <w:rPr>
          <w:rFonts w:ascii="Arial" w:hAnsi="Arial" w:cs="Arial"/>
          <w:b/>
          <w:sz w:val="22"/>
          <w:szCs w:val="22"/>
        </w:rPr>
        <w:t>espectro libre</w:t>
      </w:r>
      <w:r w:rsidRPr="002773C7">
        <w:rPr>
          <w:rFonts w:ascii="Arial" w:hAnsi="Arial" w:cs="Arial"/>
          <w:sz w:val="22"/>
          <w:szCs w:val="22"/>
        </w:rPr>
        <w:t>, espectro protegido o espectro reservado.</w:t>
      </w:r>
    </w:p>
    <w:p w14:paraId="0BCD1CFF" w14:textId="77777777" w:rsidR="002773C7" w:rsidRPr="002773C7" w:rsidRDefault="002773C7" w:rsidP="002773C7">
      <w:pPr>
        <w:pStyle w:val="Prrafodelista"/>
        <w:spacing w:line="276" w:lineRule="auto"/>
        <w:contextualSpacing w:val="0"/>
        <w:jc w:val="both"/>
        <w:rPr>
          <w:rFonts w:ascii="Arial" w:hAnsi="Arial" w:cs="Arial"/>
          <w:sz w:val="22"/>
          <w:szCs w:val="22"/>
        </w:rPr>
      </w:pPr>
    </w:p>
    <w:p w14:paraId="56DE2B77" w14:textId="77777777" w:rsidR="002773C7" w:rsidRPr="002773C7" w:rsidRDefault="002773C7" w:rsidP="002773C7">
      <w:pPr>
        <w:pStyle w:val="Prrafodelista"/>
        <w:numPr>
          <w:ilvl w:val="0"/>
          <w:numId w:val="46"/>
        </w:numPr>
        <w:spacing w:line="276" w:lineRule="auto"/>
        <w:contextualSpacing w:val="0"/>
        <w:jc w:val="both"/>
        <w:rPr>
          <w:rFonts w:ascii="Arial" w:hAnsi="Arial" w:cs="Arial"/>
          <w:sz w:val="22"/>
          <w:szCs w:val="22"/>
        </w:rPr>
      </w:pPr>
      <w:r w:rsidRPr="002773C7">
        <w:rPr>
          <w:rFonts w:ascii="Arial" w:hAnsi="Arial" w:cs="Arial"/>
          <w:sz w:val="22"/>
          <w:szCs w:val="22"/>
        </w:rPr>
        <w:t>El Instituto debe perseguir diversos objetivos generales en beneficio de los usuarios de servicios de telecomunicaciones. Para el caso de la actualización de las condiciones técnicas de operación de alguna banda de frecuencias clasificada como espectro libre, resultan aplicables: el uso eficaz del espectro radioeléctrico y su protección y el cumplimiento de lo dispuesto por los artículos 2o., 6o., 7o., y 28 de la Constitución.</w:t>
      </w:r>
    </w:p>
    <w:p w14:paraId="2436635A" w14:textId="77777777" w:rsidR="002773C7" w:rsidRPr="002773C7" w:rsidRDefault="002773C7" w:rsidP="002773C7">
      <w:pPr>
        <w:pStyle w:val="Prrafodelista"/>
        <w:spacing w:line="276" w:lineRule="auto"/>
        <w:contextualSpacing w:val="0"/>
        <w:rPr>
          <w:rFonts w:ascii="Arial" w:hAnsi="Arial" w:cs="Arial"/>
          <w:sz w:val="22"/>
          <w:szCs w:val="22"/>
        </w:rPr>
      </w:pPr>
    </w:p>
    <w:p w14:paraId="558E357B" w14:textId="77777777" w:rsidR="002773C7" w:rsidRPr="002773C7" w:rsidRDefault="002773C7" w:rsidP="002773C7">
      <w:pPr>
        <w:pStyle w:val="Prrafodelista"/>
        <w:numPr>
          <w:ilvl w:val="0"/>
          <w:numId w:val="46"/>
        </w:numPr>
        <w:spacing w:line="276" w:lineRule="auto"/>
        <w:contextualSpacing w:val="0"/>
        <w:jc w:val="both"/>
        <w:rPr>
          <w:rFonts w:ascii="Arial" w:hAnsi="Arial" w:cs="Arial"/>
          <w:kern w:val="2"/>
          <w:sz w:val="22"/>
          <w:szCs w:val="22"/>
          <w:lang w:val="es-ES" w:eastAsia="ar-SA"/>
        </w:rPr>
      </w:pPr>
      <w:r w:rsidRPr="002773C7">
        <w:rPr>
          <w:rFonts w:ascii="Arial" w:hAnsi="Arial" w:cs="Arial"/>
          <w:sz w:val="22"/>
          <w:szCs w:val="22"/>
        </w:rPr>
        <w:t>Las bandas de frecuencias clasificadas como espectro libre son aquellas bandas de frecuencias que pueden ser empleadas por cualquier persona, sin necesidad de que se haya otorgado una concesión o autorización, siempre que se atiendan las condiciones establecidas por el Instituto para el uso de las mismas. Para lo anterior, el Instituto dictará las medidas necesarias a efecto de evitar interferencias perjudiciales.</w:t>
      </w:r>
    </w:p>
    <w:p w14:paraId="4BA69BF4" w14:textId="77777777" w:rsidR="002773C7" w:rsidRPr="002773C7" w:rsidRDefault="002773C7" w:rsidP="002773C7">
      <w:pPr>
        <w:pStyle w:val="Prrafodelista"/>
        <w:spacing w:line="276" w:lineRule="auto"/>
        <w:contextualSpacing w:val="0"/>
        <w:jc w:val="both"/>
        <w:rPr>
          <w:rFonts w:ascii="Arial" w:hAnsi="Arial" w:cs="Arial"/>
          <w:kern w:val="1"/>
          <w:sz w:val="22"/>
          <w:szCs w:val="22"/>
          <w:lang w:val="es-ES" w:eastAsia="ar-SA"/>
        </w:rPr>
      </w:pPr>
    </w:p>
    <w:p w14:paraId="51B9CB89" w14:textId="77777777" w:rsidR="002773C7" w:rsidRPr="002773C7" w:rsidRDefault="002773C7" w:rsidP="002773C7">
      <w:pPr>
        <w:pStyle w:val="ANOTACION"/>
        <w:spacing w:before="0" w:after="0" w:line="276" w:lineRule="auto"/>
        <w:jc w:val="both"/>
        <w:rPr>
          <w:rFonts w:ascii="Arial" w:hAnsi="Arial" w:cs="Arial"/>
          <w:b w:val="0"/>
          <w:kern w:val="2"/>
          <w:sz w:val="22"/>
          <w:szCs w:val="22"/>
          <w:lang w:val="es-ES" w:eastAsia="ar-SA"/>
        </w:rPr>
      </w:pPr>
      <w:r w:rsidRPr="002773C7">
        <w:rPr>
          <w:rFonts w:ascii="Arial" w:hAnsi="Arial" w:cs="Arial"/>
          <w:b w:val="0"/>
          <w:kern w:val="2"/>
          <w:sz w:val="22"/>
          <w:szCs w:val="22"/>
          <w:lang w:val="es-ES" w:eastAsia="ar-SA"/>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p>
    <w:p w14:paraId="5FC23630" w14:textId="77777777" w:rsidR="002773C7" w:rsidRPr="002773C7" w:rsidRDefault="002773C7" w:rsidP="002773C7">
      <w:pPr>
        <w:spacing w:line="276" w:lineRule="auto"/>
        <w:jc w:val="both"/>
        <w:rPr>
          <w:rFonts w:ascii="Arial" w:hAnsi="Arial" w:cs="Arial"/>
          <w:sz w:val="22"/>
          <w:szCs w:val="22"/>
        </w:rPr>
      </w:pPr>
    </w:p>
    <w:p w14:paraId="38A5AD19" w14:textId="77777777" w:rsidR="002773C7" w:rsidRPr="002773C7" w:rsidRDefault="002773C7" w:rsidP="002773C7">
      <w:pPr>
        <w:spacing w:line="276" w:lineRule="auto"/>
        <w:jc w:val="both"/>
        <w:rPr>
          <w:rFonts w:ascii="Arial" w:hAnsi="Arial" w:cs="Arial"/>
          <w:sz w:val="22"/>
          <w:szCs w:val="22"/>
        </w:rPr>
      </w:pPr>
      <w:r w:rsidRPr="002773C7">
        <w:rPr>
          <w:rFonts w:ascii="Arial" w:hAnsi="Arial" w:cs="Arial"/>
          <w:sz w:val="22"/>
          <w:szCs w:val="22"/>
        </w:rPr>
        <w:t>Adicionalmente, los equipos que operen en las diferentes bandas de frecuencias, incluidas aquellas clasificadas como espectro libre, deberán sujetarse a las condiciones y especificaciones determinadas por el Instituto, en cumplimiento al artículo 64, primer párrafo de la Ley, al tenor de lo siguiente:</w:t>
      </w:r>
    </w:p>
    <w:p w14:paraId="46EE73DE" w14:textId="77777777" w:rsidR="002773C7" w:rsidRPr="002773C7" w:rsidRDefault="002773C7" w:rsidP="002773C7">
      <w:pPr>
        <w:spacing w:line="276" w:lineRule="auto"/>
        <w:jc w:val="both"/>
        <w:rPr>
          <w:rFonts w:ascii="Arial" w:hAnsi="Arial" w:cs="Arial"/>
          <w:sz w:val="22"/>
          <w:szCs w:val="22"/>
        </w:rPr>
      </w:pPr>
    </w:p>
    <w:p w14:paraId="44DFF90B" w14:textId="77777777" w:rsidR="002773C7" w:rsidRPr="002773C7" w:rsidRDefault="002773C7" w:rsidP="002773C7">
      <w:pPr>
        <w:spacing w:line="276" w:lineRule="auto"/>
        <w:ind w:left="851" w:right="899"/>
        <w:jc w:val="both"/>
        <w:rPr>
          <w:rFonts w:ascii="Arial" w:hAnsi="Arial" w:cs="Arial"/>
          <w:i/>
          <w:sz w:val="22"/>
          <w:szCs w:val="22"/>
          <w:shd w:val="clear" w:color="auto" w:fill="FFFFFF"/>
        </w:rPr>
      </w:pPr>
      <w:r w:rsidRPr="002773C7">
        <w:rPr>
          <w:rFonts w:ascii="Arial" w:eastAsia="Times New Roman" w:hAnsi="Arial" w:cs="Arial"/>
          <w:b/>
          <w:i/>
          <w:sz w:val="22"/>
          <w:szCs w:val="22"/>
          <w:lang w:eastAsia="es-MX"/>
        </w:rPr>
        <w:t>"Artículo 64</w:t>
      </w:r>
      <w:r w:rsidRPr="002773C7">
        <w:rPr>
          <w:rFonts w:ascii="Arial" w:eastAsia="Times New Roman" w:hAnsi="Arial" w:cs="Arial"/>
          <w:i/>
          <w:sz w:val="22"/>
          <w:szCs w:val="22"/>
          <w:lang w:eastAsia="es-MX"/>
        </w:rPr>
        <w:t xml:space="preserve">. </w:t>
      </w:r>
      <w:r w:rsidRPr="002773C7">
        <w:rPr>
          <w:rFonts w:ascii="Arial" w:hAnsi="Arial" w:cs="Arial"/>
          <w:i/>
          <w:sz w:val="22"/>
          <w:szCs w:val="22"/>
          <w:shd w:val="clear" w:color="auto" w:fill="FFFFFF"/>
        </w:rPr>
        <w:t>El Instituto buscará evitar las interferencias perjudiciales entre sistemas de radiocomunicaciones nacionales e internacionales y dictará las medidas convenientes, a fin de que dichos sistemas operen libres de interferencias perjudiciales en su zona autorizada de servicio.</w:t>
      </w:r>
    </w:p>
    <w:p w14:paraId="5F61FC54" w14:textId="77777777" w:rsidR="002773C7" w:rsidRPr="002773C7" w:rsidRDefault="002773C7" w:rsidP="002773C7">
      <w:pPr>
        <w:spacing w:line="276" w:lineRule="auto"/>
        <w:ind w:left="851"/>
        <w:jc w:val="both"/>
        <w:rPr>
          <w:rFonts w:ascii="Arial" w:eastAsia="Times New Roman" w:hAnsi="Arial" w:cs="Arial"/>
          <w:kern w:val="1"/>
          <w:sz w:val="22"/>
          <w:szCs w:val="22"/>
          <w:lang w:val="es-ES" w:eastAsia="ar-SA"/>
        </w:rPr>
      </w:pPr>
      <w:r w:rsidRPr="002773C7">
        <w:rPr>
          <w:rFonts w:ascii="Arial" w:eastAsia="Times New Roman" w:hAnsi="Arial" w:cs="Arial"/>
          <w:i/>
          <w:sz w:val="22"/>
          <w:szCs w:val="22"/>
          <w:lang w:eastAsia="es-MX"/>
        </w:rPr>
        <w:t>(…)"</w:t>
      </w:r>
    </w:p>
    <w:p w14:paraId="4D19FA7B" w14:textId="77777777" w:rsidR="002773C7" w:rsidRPr="002773C7" w:rsidRDefault="002773C7" w:rsidP="002773C7">
      <w:pPr>
        <w:pStyle w:val="ANOTACION"/>
        <w:spacing w:before="0" w:after="0" w:line="276" w:lineRule="auto"/>
        <w:jc w:val="both"/>
        <w:rPr>
          <w:rFonts w:ascii="Arial" w:hAnsi="Arial" w:cs="Arial"/>
          <w:b w:val="0"/>
          <w:kern w:val="2"/>
          <w:sz w:val="22"/>
          <w:szCs w:val="22"/>
          <w:lang w:val="es-ES" w:eastAsia="ar-SA"/>
        </w:rPr>
      </w:pPr>
    </w:p>
    <w:p w14:paraId="78AB23F6" w14:textId="77777777" w:rsidR="002773C7" w:rsidRPr="002773C7" w:rsidRDefault="002773C7" w:rsidP="002773C7">
      <w:pPr>
        <w:pStyle w:val="ANOTACION"/>
        <w:spacing w:before="0" w:after="0" w:line="276" w:lineRule="auto"/>
        <w:jc w:val="both"/>
        <w:rPr>
          <w:rFonts w:ascii="Arial" w:hAnsi="Arial" w:cs="Arial"/>
          <w:b w:val="0"/>
          <w:kern w:val="2"/>
          <w:sz w:val="22"/>
          <w:szCs w:val="22"/>
          <w:lang w:val="es-ES" w:eastAsia="ar-SA"/>
        </w:rPr>
      </w:pPr>
      <w:r w:rsidRPr="002773C7">
        <w:rPr>
          <w:rFonts w:ascii="Arial" w:hAnsi="Arial" w:cs="Arial"/>
          <w:b w:val="0"/>
          <w:kern w:val="2"/>
          <w:sz w:val="22"/>
          <w:szCs w:val="22"/>
          <w:lang w:val="es-ES" w:eastAsia="ar-SA"/>
        </w:rPr>
        <w:t>Ahora bien, en el ámbito internacional, el sector de Radiocomunicaciones de la UIT (“UIT-R”) a través de su Manual sobre la Gestión nacional de espectro (“Manual”), edición 2015</w:t>
      </w:r>
      <w:r w:rsidRPr="002773C7">
        <w:rPr>
          <w:rStyle w:val="Refdenotaalpie"/>
          <w:rFonts w:ascii="Arial" w:hAnsi="Arial" w:cs="Arial"/>
          <w:b w:val="0"/>
          <w:kern w:val="2"/>
          <w:sz w:val="22"/>
          <w:szCs w:val="22"/>
          <w:lang w:val="es-ES" w:eastAsia="ar-SA"/>
        </w:rPr>
        <w:footnoteReference w:id="5"/>
      </w:r>
      <w:r w:rsidRPr="002773C7">
        <w:rPr>
          <w:rFonts w:ascii="Arial" w:hAnsi="Arial" w:cs="Arial"/>
          <w:b w:val="0"/>
          <w:kern w:val="2"/>
          <w:sz w:val="22"/>
          <w:szCs w:val="22"/>
          <w:lang w:val="es-ES" w:eastAsia="ar-SA"/>
        </w:rPr>
        <w:t>, en su Capítulo 2, “Planificación espectral”, indica lo siguiente:</w:t>
      </w:r>
    </w:p>
    <w:p w14:paraId="588F880E" w14:textId="77777777" w:rsidR="002773C7" w:rsidRPr="002773C7" w:rsidRDefault="002773C7" w:rsidP="002773C7">
      <w:pPr>
        <w:pStyle w:val="ANOTACION"/>
        <w:spacing w:before="0" w:after="0" w:line="276" w:lineRule="auto"/>
        <w:jc w:val="both"/>
        <w:rPr>
          <w:rFonts w:ascii="Arial" w:hAnsi="Arial" w:cs="Arial"/>
          <w:b w:val="0"/>
          <w:kern w:val="2"/>
          <w:sz w:val="22"/>
          <w:szCs w:val="22"/>
          <w:lang w:val="es-ES" w:eastAsia="ar-SA"/>
        </w:rPr>
      </w:pPr>
    </w:p>
    <w:p w14:paraId="15636C50" w14:textId="77777777" w:rsidR="002773C7" w:rsidRPr="002773C7" w:rsidRDefault="002773C7" w:rsidP="002773C7">
      <w:pPr>
        <w:pStyle w:val="ANOTACION"/>
        <w:spacing w:before="0" w:after="0" w:line="276" w:lineRule="auto"/>
        <w:ind w:left="851" w:right="899"/>
        <w:jc w:val="both"/>
        <w:rPr>
          <w:rFonts w:ascii="Arial" w:hAnsi="Arial" w:cs="Arial"/>
          <w:sz w:val="22"/>
          <w:szCs w:val="22"/>
        </w:rPr>
      </w:pPr>
      <w:r w:rsidRPr="002773C7">
        <w:rPr>
          <w:rFonts w:ascii="Arial" w:hAnsi="Arial" w:cs="Arial"/>
          <w:b w:val="0"/>
          <w:i/>
          <w:kern w:val="2"/>
          <w:sz w:val="22"/>
          <w:szCs w:val="22"/>
          <w:lang w:val="es-ES" w:eastAsia="ar-SA"/>
        </w:rPr>
        <w:t>“</w:t>
      </w:r>
      <w:r w:rsidRPr="002773C7">
        <w:rPr>
          <w:rFonts w:ascii="Arial" w:hAnsi="Arial" w:cs="Arial"/>
          <w:i/>
          <w:kern w:val="2"/>
          <w:sz w:val="22"/>
          <w:szCs w:val="22"/>
          <w:lang w:val="es-ES" w:eastAsia="ar-SA"/>
        </w:rPr>
        <w:t xml:space="preserve">2.3.1 </w:t>
      </w:r>
      <w:r w:rsidRPr="002773C7">
        <w:rPr>
          <w:rFonts w:ascii="Arial" w:hAnsi="Arial" w:cs="Arial"/>
          <w:i/>
          <w:sz w:val="22"/>
          <w:szCs w:val="22"/>
        </w:rPr>
        <w:t>Definición de los objetivos de la planificación espectral</w:t>
      </w:r>
    </w:p>
    <w:p w14:paraId="223EE9C5"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p>
    <w:p w14:paraId="629AE097"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r w:rsidRPr="002773C7">
        <w:rPr>
          <w:rFonts w:ascii="Arial" w:hAnsi="Arial" w:cs="Arial"/>
          <w:b w:val="0"/>
          <w:i/>
          <w:kern w:val="2"/>
          <w:sz w:val="22"/>
          <w:szCs w:val="22"/>
          <w:lang w:val="es-ES" w:eastAsia="ar-SA"/>
        </w:rPr>
        <w:t xml:space="preserve">La </w:t>
      </w:r>
      <w:r w:rsidRPr="002773C7">
        <w:rPr>
          <w:rFonts w:ascii="Arial" w:hAnsi="Arial" w:cs="Arial"/>
          <w:i/>
          <w:kern w:val="2"/>
          <w:sz w:val="22"/>
          <w:szCs w:val="22"/>
          <w:lang w:val="es-ES" w:eastAsia="ar-SA"/>
        </w:rPr>
        <w:t>identificación</w:t>
      </w:r>
      <w:r w:rsidRPr="002773C7">
        <w:rPr>
          <w:rFonts w:ascii="Arial" w:hAnsi="Arial" w:cs="Arial"/>
          <w:b w:val="0"/>
          <w:i/>
          <w:kern w:val="2"/>
          <w:sz w:val="22"/>
          <w:szCs w:val="22"/>
          <w:lang w:val="es-ES" w:eastAsia="ar-SA"/>
        </w:rPr>
        <w:t xml:space="preserve"> y </w:t>
      </w:r>
      <w:r w:rsidRPr="002773C7">
        <w:rPr>
          <w:rFonts w:ascii="Arial" w:hAnsi="Arial" w:cs="Arial"/>
          <w:i/>
          <w:kern w:val="2"/>
          <w:sz w:val="22"/>
          <w:szCs w:val="22"/>
          <w:lang w:val="es-ES" w:eastAsia="ar-SA"/>
        </w:rPr>
        <w:t>definición</w:t>
      </w:r>
      <w:r w:rsidRPr="002773C7">
        <w:rPr>
          <w:rFonts w:ascii="Arial" w:hAnsi="Arial" w:cs="Arial"/>
          <w:b w:val="0"/>
          <w:i/>
          <w:kern w:val="2"/>
          <w:sz w:val="22"/>
          <w:szCs w:val="22"/>
          <w:lang w:val="es-ES" w:eastAsia="ar-SA"/>
        </w:rPr>
        <w:t xml:space="preserve"> de los objetivos de </w:t>
      </w:r>
      <w:r w:rsidRPr="002773C7">
        <w:rPr>
          <w:rFonts w:ascii="Arial" w:hAnsi="Arial" w:cs="Arial"/>
          <w:i/>
          <w:kern w:val="2"/>
          <w:sz w:val="22"/>
          <w:szCs w:val="22"/>
          <w:lang w:val="es-ES" w:eastAsia="ar-SA"/>
        </w:rPr>
        <w:t>la planificación espectral</w:t>
      </w:r>
      <w:r w:rsidRPr="002773C7">
        <w:rPr>
          <w:rFonts w:ascii="Arial" w:hAnsi="Arial" w:cs="Arial"/>
          <w:b w:val="0"/>
          <w:i/>
          <w:kern w:val="2"/>
          <w:sz w:val="22"/>
          <w:szCs w:val="22"/>
          <w:lang w:val="es-ES" w:eastAsia="ar-SA"/>
        </w:rPr>
        <w:t xml:space="preserve"> es una parte necesaria del proceso de planificación y requiere el estudio de la optimización de los usos del espectro radioeléctrico. Dicho estudio </w:t>
      </w:r>
      <w:r w:rsidRPr="002773C7">
        <w:rPr>
          <w:rFonts w:ascii="Arial" w:hAnsi="Arial" w:cs="Arial"/>
          <w:i/>
          <w:kern w:val="2"/>
          <w:sz w:val="22"/>
          <w:szCs w:val="22"/>
          <w:lang w:val="es-ES" w:eastAsia="ar-SA"/>
        </w:rPr>
        <w:t>debe considerar el crecimiento potencial de los servicios de radiocomunicaciones existentes y la introducción y crecimiento de nuevos servicios y aplicaciones.</w:t>
      </w:r>
      <w:r w:rsidRPr="002773C7">
        <w:rPr>
          <w:rFonts w:ascii="Arial" w:hAnsi="Arial" w:cs="Arial"/>
          <w:b w:val="0"/>
          <w:i/>
          <w:kern w:val="2"/>
          <w:sz w:val="22"/>
          <w:szCs w:val="22"/>
          <w:lang w:val="es-ES" w:eastAsia="ar-SA"/>
        </w:rPr>
        <w:t xml:space="preserve"> Además, deben considerarse los cambios en la utilización del espectro por parte de las industrias, empresas, administración y los ciudadanos en general. </w:t>
      </w:r>
    </w:p>
    <w:p w14:paraId="6AA6D945"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r w:rsidRPr="002773C7">
        <w:rPr>
          <w:rFonts w:ascii="Arial" w:hAnsi="Arial" w:cs="Arial"/>
          <w:b w:val="0"/>
          <w:i/>
          <w:kern w:val="2"/>
          <w:sz w:val="22"/>
          <w:szCs w:val="22"/>
          <w:lang w:val="es-ES" w:eastAsia="ar-SA"/>
        </w:rPr>
        <w:t>(…)”</w:t>
      </w:r>
    </w:p>
    <w:p w14:paraId="1DEA12CC"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p>
    <w:p w14:paraId="37DFD0B6" w14:textId="77777777" w:rsidR="002773C7" w:rsidRPr="002773C7" w:rsidRDefault="002773C7" w:rsidP="002773C7">
      <w:pPr>
        <w:pStyle w:val="ANOTACION"/>
        <w:spacing w:before="0" w:after="0" w:line="276" w:lineRule="auto"/>
        <w:ind w:left="851" w:right="899"/>
        <w:jc w:val="both"/>
        <w:rPr>
          <w:rFonts w:ascii="Arial" w:hAnsi="Arial" w:cs="Arial"/>
          <w:i/>
          <w:sz w:val="22"/>
          <w:szCs w:val="22"/>
        </w:rPr>
      </w:pPr>
      <w:r w:rsidRPr="002773C7">
        <w:rPr>
          <w:rFonts w:ascii="Arial" w:hAnsi="Arial" w:cs="Arial"/>
          <w:b w:val="0"/>
          <w:kern w:val="2"/>
          <w:sz w:val="22"/>
          <w:szCs w:val="22"/>
          <w:lang w:val="es-ES" w:eastAsia="ar-SA"/>
        </w:rPr>
        <w:t>“</w:t>
      </w:r>
      <w:r w:rsidRPr="002773C7">
        <w:rPr>
          <w:rFonts w:ascii="Arial" w:hAnsi="Arial" w:cs="Arial"/>
          <w:i/>
          <w:sz w:val="22"/>
          <w:szCs w:val="22"/>
        </w:rPr>
        <w:t>2.3.2 Elementos a considerar</w:t>
      </w:r>
    </w:p>
    <w:p w14:paraId="20569D3A"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p>
    <w:p w14:paraId="35DA7C02"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r w:rsidRPr="002773C7">
        <w:rPr>
          <w:rFonts w:ascii="Arial" w:hAnsi="Arial" w:cs="Arial"/>
          <w:b w:val="0"/>
          <w:i/>
          <w:kern w:val="2"/>
          <w:sz w:val="22"/>
          <w:szCs w:val="22"/>
          <w:lang w:val="es-ES" w:eastAsia="ar-SA"/>
        </w:rPr>
        <w:t xml:space="preserve">La </w:t>
      </w:r>
      <w:r w:rsidRPr="002773C7">
        <w:rPr>
          <w:rFonts w:ascii="Arial" w:hAnsi="Arial" w:cs="Arial"/>
          <w:i/>
          <w:kern w:val="2"/>
          <w:sz w:val="22"/>
          <w:szCs w:val="22"/>
          <w:lang w:val="es-ES" w:eastAsia="ar-SA"/>
        </w:rPr>
        <w:t>planificación espectral</w:t>
      </w:r>
      <w:r w:rsidRPr="002773C7">
        <w:rPr>
          <w:rFonts w:ascii="Arial" w:hAnsi="Arial" w:cs="Arial"/>
          <w:b w:val="0"/>
          <w:i/>
          <w:kern w:val="2"/>
          <w:sz w:val="22"/>
          <w:szCs w:val="22"/>
          <w:lang w:val="es-ES" w:eastAsia="ar-SA"/>
        </w:rPr>
        <w:t xml:space="preserve"> (…) puede </w:t>
      </w:r>
      <w:r w:rsidRPr="002773C7">
        <w:rPr>
          <w:rFonts w:ascii="Arial" w:hAnsi="Arial" w:cs="Arial"/>
          <w:i/>
          <w:kern w:val="2"/>
          <w:sz w:val="22"/>
          <w:szCs w:val="22"/>
          <w:lang w:val="es-ES" w:eastAsia="ar-SA"/>
        </w:rPr>
        <w:t>determinar las futuras necesidades de espectro nacional,</w:t>
      </w:r>
      <w:r w:rsidRPr="002773C7">
        <w:rPr>
          <w:rFonts w:ascii="Arial" w:hAnsi="Arial" w:cs="Arial"/>
          <w:b w:val="0"/>
          <w:i/>
          <w:kern w:val="2"/>
          <w:sz w:val="22"/>
          <w:szCs w:val="22"/>
          <w:lang w:val="es-ES" w:eastAsia="ar-SA"/>
        </w:rPr>
        <w:t xml:space="preserve"> a grandes rasgos, para los servicios de radiocomunicaciones en función de factores tecnológicos, jurídicos, sociales, ecológicos, políticos y económicos, que pueden influir en la utilización del espectro. Para satisfacer las necesidades de utilización del espectro, sus gestores deben identificar en primer lugar las necesidades actuales y futuras, y el espectro disponible, antes de determinar la mejor manera de acomodar dichas necesidades.</w:t>
      </w:r>
    </w:p>
    <w:p w14:paraId="19D42C93"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r w:rsidRPr="002773C7">
        <w:rPr>
          <w:rFonts w:ascii="Arial" w:hAnsi="Arial" w:cs="Arial"/>
          <w:b w:val="0"/>
          <w:i/>
          <w:kern w:val="2"/>
          <w:sz w:val="22"/>
          <w:szCs w:val="22"/>
          <w:lang w:val="es-ES" w:eastAsia="ar-SA"/>
        </w:rPr>
        <w:t>(…)”</w:t>
      </w:r>
    </w:p>
    <w:p w14:paraId="7BBEC0B1" w14:textId="77777777" w:rsidR="002773C7" w:rsidRPr="002773C7" w:rsidRDefault="002773C7" w:rsidP="002773C7">
      <w:pPr>
        <w:pStyle w:val="ANOTACION"/>
        <w:spacing w:before="0" w:after="0" w:line="276" w:lineRule="auto"/>
        <w:ind w:left="851" w:right="899"/>
        <w:jc w:val="left"/>
        <w:rPr>
          <w:rFonts w:ascii="Arial" w:hAnsi="Arial" w:cs="Arial"/>
          <w:b w:val="0"/>
          <w:i/>
          <w:kern w:val="2"/>
          <w:sz w:val="22"/>
          <w:szCs w:val="22"/>
          <w:lang w:val="es-ES" w:eastAsia="ar-SA"/>
        </w:rPr>
      </w:pPr>
    </w:p>
    <w:p w14:paraId="5FF33678" w14:textId="77777777" w:rsidR="002773C7" w:rsidRPr="002773C7" w:rsidRDefault="002773C7" w:rsidP="002773C7">
      <w:pPr>
        <w:pStyle w:val="ANOTACION"/>
        <w:spacing w:before="0" w:after="0" w:line="276" w:lineRule="auto"/>
        <w:ind w:left="851" w:right="899"/>
        <w:jc w:val="left"/>
        <w:rPr>
          <w:rFonts w:ascii="Arial" w:hAnsi="Arial" w:cs="Arial"/>
          <w:i/>
          <w:kern w:val="2"/>
          <w:sz w:val="22"/>
          <w:szCs w:val="22"/>
          <w:lang w:val="es-ES" w:eastAsia="ar-SA"/>
        </w:rPr>
      </w:pPr>
      <w:r w:rsidRPr="002773C7">
        <w:rPr>
          <w:rFonts w:ascii="Arial" w:hAnsi="Arial" w:cs="Arial"/>
          <w:i/>
          <w:kern w:val="2"/>
          <w:sz w:val="22"/>
          <w:szCs w:val="22"/>
          <w:lang w:val="es-ES" w:eastAsia="ar-SA"/>
        </w:rPr>
        <w:t>“2.11.8 Utilización del espectro no utilizado</w:t>
      </w:r>
    </w:p>
    <w:p w14:paraId="107D704A"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p>
    <w:p w14:paraId="3749806E"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r w:rsidRPr="002773C7">
        <w:rPr>
          <w:rFonts w:ascii="Arial" w:hAnsi="Arial" w:cs="Arial"/>
          <w:b w:val="0"/>
          <w:i/>
          <w:kern w:val="2"/>
          <w:sz w:val="22"/>
          <w:szCs w:val="22"/>
          <w:lang w:val="es-ES" w:eastAsia="ar-SA"/>
        </w:rPr>
        <w:t xml:space="preserve">Las políticas, reglamentos y programas de espectro deben </w:t>
      </w:r>
      <w:r w:rsidRPr="002773C7">
        <w:rPr>
          <w:rFonts w:ascii="Arial" w:hAnsi="Arial" w:cs="Arial"/>
          <w:i/>
          <w:kern w:val="2"/>
          <w:sz w:val="22"/>
          <w:szCs w:val="22"/>
          <w:lang w:val="es-ES" w:eastAsia="ar-SA"/>
        </w:rPr>
        <w:t>fomentar la utilización del espectro por encima de 40 GHz</w:t>
      </w:r>
      <w:r w:rsidRPr="002773C7">
        <w:rPr>
          <w:rFonts w:ascii="Arial" w:hAnsi="Arial" w:cs="Arial"/>
          <w:b w:val="0"/>
          <w:i/>
          <w:kern w:val="2"/>
          <w:sz w:val="22"/>
          <w:szCs w:val="22"/>
          <w:lang w:val="es-ES" w:eastAsia="ar-SA"/>
        </w:rPr>
        <w:t xml:space="preserve">, sobre todo para servicios que necesitan exclusividad en el espectro y para las </w:t>
      </w:r>
      <w:r w:rsidRPr="002773C7">
        <w:rPr>
          <w:rFonts w:ascii="Arial" w:hAnsi="Arial" w:cs="Arial"/>
          <w:i/>
          <w:kern w:val="2"/>
          <w:sz w:val="22"/>
          <w:szCs w:val="22"/>
          <w:lang w:val="es-ES" w:eastAsia="ar-SA"/>
        </w:rPr>
        <w:t>aplicaciones de</w:t>
      </w:r>
      <w:r w:rsidRPr="002773C7">
        <w:rPr>
          <w:rFonts w:ascii="Arial" w:hAnsi="Arial" w:cs="Arial"/>
          <w:b w:val="0"/>
          <w:i/>
          <w:kern w:val="2"/>
          <w:sz w:val="22"/>
          <w:szCs w:val="22"/>
          <w:lang w:val="es-ES" w:eastAsia="ar-SA"/>
        </w:rPr>
        <w:t xml:space="preserve"> </w:t>
      </w:r>
      <w:r w:rsidRPr="002773C7">
        <w:rPr>
          <w:rFonts w:ascii="Arial" w:hAnsi="Arial" w:cs="Arial"/>
          <w:i/>
          <w:kern w:val="2"/>
          <w:sz w:val="22"/>
          <w:szCs w:val="22"/>
          <w:lang w:val="es-ES" w:eastAsia="ar-SA"/>
        </w:rPr>
        <w:t>banda ancha.</w:t>
      </w:r>
      <w:r w:rsidRPr="002773C7">
        <w:rPr>
          <w:rFonts w:ascii="Arial" w:hAnsi="Arial" w:cs="Arial"/>
          <w:b w:val="0"/>
          <w:i/>
          <w:kern w:val="2"/>
          <w:sz w:val="22"/>
          <w:szCs w:val="22"/>
          <w:lang w:val="es-ES" w:eastAsia="ar-SA"/>
        </w:rPr>
        <w:t xml:space="preserve"> Por lo general, el espectro por encima de 40 GHz se utiliza poco. Este segmento del espectro puede soportar servicios de banda muy ancha y se puede recurrir a la reutilización a gran escala dado el pequeño tamaño de las células, la estrechez del ancho de haz y la excesiva pérdida de propagación.</w:t>
      </w:r>
    </w:p>
    <w:p w14:paraId="19D0C29F" w14:textId="77777777" w:rsidR="002773C7" w:rsidRPr="002773C7" w:rsidRDefault="002773C7" w:rsidP="002773C7">
      <w:pPr>
        <w:pStyle w:val="ANOTACION"/>
        <w:spacing w:before="0" w:after="0" w:line="276" w:lineRule="auto"/>
        <w:ind w:left="851" w:right="899"/>
        <w:jc w:val="both"/>
        <w:rPr>
          <w:rFonts w:ascii="Arial" w:hAnsi="Arial" w:cs="Arial"/>
          <w:b w:val="0"/>
          <w:i/>
          <w:kern w:val="2"/>
          <w:sz w:val="22"/>
          <w:szCs w:val="22"/>
          <w:lang w:val="es-ES" w:eastAsia="ar-SA"/>
        </w:rPr>
      </w:pPr>
      <w:r w:rsidRPr="002773C7">
        <w:rPr>
          <w:rFonts w:ascii="Arial" w:hAnsi="Arial" w:cs="Arial"/>
          <w:b w:val="0"/>
          <w:i/>
          <w:kern w:val="2"/>
          <w:sz w:val="22"/>
          <w:szCs w:val="22"/>
          <w:lang w:val="es-ES" w:eastAsia="ar-SA"/>
        </w:rPr>
        <w:t>(…)”</w:t>
      </w:r>
    </w:p>
    <w:p w14:paraId="78C70C40" w14:textId="77777777" w:rsidR="002773C7" w:rsidRPr="002773C7" w:rsidRDefault="002773C7" w:rsidP="002773C7">
      <w:pPr>
        <w:spacing w:line="276" w:lineRule="auto"/>
        <w:jc w:val="both"/>
        <w:rPr>
          <w:rFonts w:ascii="Arial" w:eastAsia="Times New Roman" w:hAnsi="Arial" w:cs="Arial"/>
          <w:kern w:val="1"/>
          <w:sz w:val="22"/>
          <w:szCs w:val="22"/>
          <w:lang w:val="es-ES" w:eastAsia="ar-SA"/>
        </w:rPr>
      </w:pPr>
    </w:p>
    <w:p w14:paraId="072DDFD3" w14:textId="77777777" w:rsidR="002773C7" w:rsidRPr="002773C7" w:rsidRDefault="002773C7" w:rsidP="002773C7">
      <w:pPr>
        <w:spacing w:line="276" w:lineRule="auto"/>
        <w:jc w:val="both"/>
        <w:rPr>
          <w:rFonts w:ascii="Arial" w:eastAsia="Times New Roman" w:hAnsi="Arial" w:cs="Arial"/>
          <w:i/>
          <w:kern w:val="1"/>
          <w:sz w:val="22"/>
          <w:szCs w:val="22"/>
          <w:lang w:val="es-ES" w:eastAsia="ar-SA"/>
        </w:rPr>
      </w:pPr>
      <w:r w:rsidRPr="002773C7">
        <w:rPr>
          <w:rFonts w:ascii="Arial" w:eastAsia="Times New Roman" w:hAnsi="Arial" w:cs="Arial"/>
          <w:kern w:val="1"/>
          <w:sz w:val="22"/>
          <w:szCs w:val="22"/>
          <w:lang w:val="es-ES" w:eastAsia="ar-SA"/>
        </w:rPr>
        <w:t>Adicionalmente, en el Capítulo 3</w:t>
      </w:r>
      <w:r w:rsidRPr="002773C7">
        <w:rPr>
          <w:rFonts w:ascii="Arial" w:eastAsia="Times New Roman" w:hAnsi="Arial" w:cs="Arial"/>
          <w:i/>
          <w:kern w:val="1"/>
          <w:sz w:val="22"/>
          <w:szCs w:val="22"/>
          <w:lang w:val="es-ES" w:eastAsia="ar-SA"/>
        </w:rPr>
        <w:t xml:space="preserve"> “</w:t>
      </w:r>
      <w:r w:rsidRPr="002773C7">
        <w:rPr>
          <w:rFonts w:ascii="Arial" w:eastAsia="Times New Roman" w:hAnsi="Arial" w:cs="Arial"/>
          <w:kern w:val="1"/>
          <w:sz w:val="22"/>
          <w:szCs w:val="22"/>
          <w:lang w:val="es-ES" w:eastAsia="ar-SA"/>
        </w:rPr>
        <w:t>Concesión de licencias y asignaciones de frecuencias”</w:t>
      </w:r>
      <w:r w:rsidRPr="002773C7">
        <w:rPr>
          <w:rFonts w:ascii="Arial" w:eastAsia="Times New Roman" w:hAnsi="Arial" w:cs="Arial"/>
          <w:i/>
          <w:kern w:val="1"/>
          <w:sz w:val="22"/>
          <w:szCs w:val="22"/>
          <w:lang w:val="es-ES" w:eastAsia="ar-SA"/>
        </w:rPr>
        <w:t xml:space="preserve"> </w:t>
      </w:r>
      <w:r w:rsidRPr="002773C7">
        <w:rPr>
          <w:rFonts w:ascii="Arial" w:eastAsia="Times New Roman" w:hAnsi="Arial" w:cs="Arial"/>
          <w:kern w:val="1"/>
          <w:sz w:val="22"/>
          <w:szCs w:val="22"/>
          <w:lang w:val="es-ES" w:eastAsia="ar-SA"/>
        </w:rPr>
        <w:t>indica lo subsecuente:</w:t>
      </w:r>
    </w:p>
    <w:p w14:paraId="05F05CC6" w14:textId="77777777" w:rsidR="002773C7" w:rsidRPr="002773C7" w:rsidRDefault="002773C7" w:rsidP="002773C7">
      <w:pPr>
        <w:pStyle w:val="ANOTACION"/>
        <w:spacing w:before="0" w:after="0" w:line="276" w:lineRule="auto"/>
        <w:jc w:val="both"/>
        <w:rPr>
          <w:rFonts w:ascii="Arial" w:hAnsi="Arial" w:cs="Arial"/>
          <w:b w:val="0"/>
          <w:sz w:val="22"/>
          <w:szCs w:val="22"/>
          <w:lang w:val="es-ES" w:eastAsia="es-MX"/>
        </w:rPr>
      </w:pPr>
    </w:p>
    <w:p w14:paraId="7123D777" w14:textId="77777777" w:rsidR="002773C7" w:rsidRPr="002773C7" w:rsidRDefault="002773C7" w:rsidP="002773C7">
      <w:pPr>
        <w:pStyle w:val="ANOTACION"/>
        <w:spacing w:before="0" w:after="0" w:line="276" w:lineRule="auto"/>
        <w:ind w:left="851" w:right="1324"/>
        <w:jc w:val="both"/>
        <w:rPr>
          <w:rFonts w:ascii="Arial" w:hAnsi="Arial" w:cs="Arial"/>
          <w:b w:val="0"/>
          <w:bCs/>
          <w:i/>
          <w:sz w:val="22"/>
          <w:szCs w:val="22"/>
          <w:lang w:eastAsia="es-MX"/>
        </w:rPr>
      </w:pPr>
      <w:r w:rsidRPr="002773C7">
        <w:rPr>
          <w:rFonts w:ascii="Arial" w:hAnsi="Arial" w:cs="Arial"/>
          <w:b w:val="0"/>
          <w:bCs/>
          <w:i/>
          <w:sz w:val="22"/>
          <w:szCs w:val="22"/>
          <w:lang w:eastAsia="es-MX"/>
        </w:rPr>
        <w:t>"(…)</w:t>
      </w:r>
    </w:p>
    <w:p w14:paraId="070DF1A3" w14:textId="77777777" w:rsidR="002773C7" w:rsidRPr="002773C7" w:rsidRDefault="002773C7" w:rsidP="002773C7">
      <w:pPr>
        <w:pStyle w:val="ANOTACION"/>
        <w:spacing w:before="0" w:after="0" w:line="276" w:lineRule="auto"/>
        <w:ind w:left="851" w:right="1324"/>
        <w:jc w:val="both"/>
        <w:rPr>
          <w:rFonts w:ascii="Arial" w:hAnsi="Arial" w:cs="Arial"/>
          <w:b w:val="0"/>
          <w:bCs/>
          <w:i/>
          <w:sz w:val="22"/>
          <w:szCs w:val="22"/>
          <w:lang w:eastAsia="es-MX"/>
        </w:rPr>
      </w:pPr>
      <w:r w:rsidRPr="002773C7">
        <w:rPr>
          <w:rFonts w:ascii="Arial" w:hAnsi="Arial" w:cs="Arial"/>
          <w:b w:val="0"/>
          <w:bCs/>
          <w:i/>
          <w:sz w:val="22"/>
          <w:szCs w:val="22"/>
          <w:lang w:eastAsia="es-MX"/>
        </w:rPr>
        <w:t xml:space="preserve">Además de los procedimientos para la concesión de licencias y asignación de frecuencias descritos en este Capítulo, en algunos casos </w:t>
      </w:r>
      <w:r w:rsidRPr="002773C7">
        <w:rPr>
          <w:rFonts w:ascii="Arial" w:hAnsi="Arial" w:cs="Arial"/>
          <w:bCs/>
          <w:i/>
          <w:sz w:val="22"/>
          <w:szCs w:val="22"/>
          <w:u w:val="single"/>
          <w:lang w:eastAsia="es-MX"/>
        </w:rPr>
        <w:t xml:space="preserve">los responsables de la gestión del espectro podrían adoptar </w:t>
      </w:r>
      <w:r w:rsidRPr="002773C7">
        <w:rPr>
          <w:rFonts w:ascii="Arial" w:hAnsi="Arial" w:cs="Arial"/>
          <w:bCs/>
          <w:i/>
          <w:sz w:val="22"/>
          <w:szCs w:val="22"/>
          <w:u w:val="single"/>
          <w:lang w:eastAsia="es-MX"/>
        </w:rPr>
        <w:lastRenderedPageBreak/>
        <w:t xml:space="preserve">procedimientos exentos de licencias </w:t>
      </w:r>
      <w:r w:rsidRPr="002773C7">
        <w:rPr>
          <w:rFonts w:ascii="Arial" w:hAnsi="Arial" w:cs="Arial"/>
          <w:b w:val="0"/>
          <w:bCs/>
          <w:i/>
          <w:sz w:val="22"/>
          <w:szCs w:val="22"/>
          <w:lang w:eastAsia="es-MX"/>
        </w:rPr>
        <w:t xml:space="preserve">para algunas tecnologías, como por ejemplo </w:t>
      </w:r>
      <w:proofErr w:type="spellStart"/>
      <w:r w:rsidRPr="002773C7">
        <w:rPr>
          <w:rFonts w:ascii="Arial" w:hAnsi="Arial" w:cs="Arial"/>
          <w:b w:val="0"/>
          <w:bCs/>
          <w:i/>
          <w:sz w:val="22"/>
          <w:szCs w:val="22"/>
          <w:lang w:eastAsia="es-MX"/>
        </w:rPr>
        <w:t>Wi</w:t>
      </w:r>
      <w:proofErr w:type="spellEnd"/>
      <w:r w:rsidRPr="002773C7">
        <w:rPr>
          <w:rFonts w:ascii="Arial" w:hAnsi="Arial" w:cs="Arial"/>
          <w:b w:val="0"/>
          <w:bCs/>
          <w:i/>
          <w:sz w:val="22"/>
          <w:szCs w:val="22"/>
          <w:lang w:eastAsia="es-MX"/>
        </w:rPr>
        <w:t xml:space="preserve">-Fi, </w:t>
      </w:r>
      <w:proofErr w:type="spellStart"/>
      <w:r w:rsidRPr="002773C7">
        <w:rPr>
          <w:rFonts w:ascii="Arial" w:hAnsi="Arial" w:cs="Arial"/>
          <w:b w:val="0"/>
          <w:bCs/>
          <w:i/>
          <w:sz w:val="22"/>
          <w:szCs w:val="22"/>
          <w:lang w:eastAsia="es-MX"/>
        </w:rPr>
        <w:t>Wi</w:t>
      </w:r>
      <w:proofErr w:type="spellEnd"/>
      <w:r w:rsidRPr="002773C7">
        <w:rPr>
          <w:rFonts w:ascii="Arial" w:hAnsi="Arial" w:cs="Arial"/>
          <w:b w:val="0"/>
          <w:bCs/>
          <w:i/>
          <w:sz w:val="22"/>
          <w:szCs w:val="22"/>
          <w:lang w:eastAsia="es-MX"/>
        </w:rPr>
        <w:t>-Max, RFID, ultra banda ancha (UWB) y otros sistemas de corto alcance."</w:t>
      </w:r>
    </w:p>
    <w:p w14:paraId="3CFBA201" w14:textId="77777777" w:rsidR="002773C7" w:rsidRPr="002773C7" w:rsidRDefault="002773C7" w:rsidP="002773C7">
      <w:pPr>
        <w:pStyle w:val="ANOTACION"/>
        <w:spacing w:before="0" w:after="0" w:line="276" w:lineRule="auto"/>
        <w:jc w:val="both"/>
        <w:rPr>
          <w:rFonts w:ascii="Arial" w:hAnsi="Arial" w:cs="Arial"/>
          <w:b w:val="0"/>
          <w:bCs/>
          <w:sz w:val="22"/>
          <w:szCs w:val="22"/>
          <w:lang w:eastAsia="es-MX"/>
        </w:rPr>
      </w:pPr>
    </w:p>
    <w:p w14:paraId="1C82C526" w14:textId="77777777" w:rsidR="002773C7" w:rsidRPr="002773C7" w:rsidRDefault="002773C7" w:rsidP="002773C7">
      <w:pPr>
        <w:pStyle w:val="ANOTACION"/>
        <w:spacing w:before="0" w:after="0" w:line="276" w:lineRule="auto"/>
        <w:jc w:val="both"/>
        <w:rPr>
          <w:rFonts w:ascii="Arial" w:hAnsi="Arial" w:cs="Arial"/>
          <w:b w:val="0"/>
          <w:sz w:val="22"/>
          <w:szCs w:val="22"/>
          <w:lang w:eastAsia="es-MX"/>
        </w:rPr>
      </w:pPr>
      <w:r w:rsidRPr="002773C7">
        <w:rPr>
          <w:rFonts w:ascii="Arial" w:hAnsi="Arial" w:cs="Arial"/>
          <w:b w:val="0"/>
          <w:sz w:val="22"/>
          <w:szCs w:val="22"/>
          <w:lang w:eastAsia="es-MX"/>
        </w:rPr>
        <w:t>Finalmente, en el Manual, específicamente, en la sección Parámetros técnicos del Capítulo 5 “Práctica de la ingeniería del espectro”, se encuentra lo siguiente:</w:t>
      </w:r>
    </w:p>
    <w:p w14:paraId="5FD212E7" w14:textId="77777777" w:rsidR="002773C7" w:rsidRPr="002773C7" w:rsidRDefault="002773C7" w:rsidP="002773C7">
      <w:pPr>
        <w:pStyle w:val="ANOTACION"/>
        <w:spacing w:before="0" w:after="0" w:line="276" w:lineRule="auto"/>
        <w:jc w:val="both"/>
        <w:rPr>
          <w:rFonts w:ascii="Arial" w:hAnsi="Arial" w:cs="Arial"/>
          <w:b w:val="0"/>
          <w:bCs/>
          <w:sz w:val="22"/>
          <w:szCs w:val="22"/>
          <w:lang w:eastAsia="es-MX"/>
        </w:rPr>
      </w:pPr>
    </w:p>
    <w:p w14:paraId="192C086E" w14:textId="77777777" w:rsidR="002773C7" w:rsidRPr="002773C7" w:rsidRDefault="002773C7" w:rsidP="002773C7">
      <w:pPr>
        <w:spacing w:line="276" w:lineRule="auto"/>
        <w:ind w:left="851" w:right="899"/>
        <w:jc w:val="both"/>
        <w:rPr>
          <w:rFonts w:ascii="Arial" w:hAnsi="Arial" w:cs="Arial"/>
          <w:i/>
          <w:kern w:val="2"/>
          <w:sz w:val="22"/>
          <w:szCs w:val="22"/>
          <w:lang w:val="es-ES" w:eastAsia="ar-SA"/>
        </w:rPr>
      </w:pPr>
      <w:r w:rsidRPr="002773C7">
        <w:rPr>
          <w:rFonts w:ascii="Arial" w:hAnsi="Arial" w:cs="Arial"/>
          <w:kern w:val="2"/>
          <w:sz w:val="22"/>
          <w:szCs w:val="22"/>
          <w:lang w:val="es-ES" w:eastAsia="ar-SA"/>
        </w:rPr>
        <w:t>“</w:t>
      </w:r>
      <w:r w:rsidRPr="002773C7">
        <w:rPr>
          <w:rFonts w:ascii="Arial" w:hAnsi="Arial" w:cs="Arial"/>
          <w:b/>
          <w:i/>
          <w:kern w:val="2"/>
          <w:sz w:val="22"/>
          <w:szCs w:val="22"/>
          <w:u w:val="single"/>
          <w:lang w:val="es-ES" w:eastAsia="ar-SA"/>
        </w:rPr>
        <w:t>(…) Hay dos categorías de especificaciones de equipos</w:t>
      </w:r>
      <w:r w:rsidRPr="002773C7">
        <w:rPr>
          <w:rFonts w:ascii="Arial" w:hAnsi="Arial" w:cs="Arial"/>
          <w:i/>
          <w:kern w:val="2"/>
          <w:sz w:val="22"/>
          <w:szCs w:val="22"/>
          <w:u w:val="single"/>
          <w:lang w:val="es-ES" w:eastAsia="ar-SA"/>
        </w:rPr>
        <w:t>.</w:t>
      </w:r>
      <w:r w:rsidRPr="002773C7">
        <w:rPr>
          <w:rFonts w:ascii="Arial" w:hAnsi="Arial" w:cs="Arial"/>
          <w:i/>
          <w:kern w:val="2"/>
          <w:sz w:val="22"/>
          <w:szCs w:val="22"/>
          <w:lang w:val="es-ES" w:eastAsia="ar-SA"/>
        </w:rPr>
        <w:t xml:space="preserve"> La primera corresponde a las estaciones radioeléctricas con licencia, mientras que</w:t>
      </w:r>
      <w:r w:rsidRPr="002773C7">
        <w:rPr>
          <w:rFonts w:ascii="Arial" w:hAnsi="Arial" w:cs="Arial"/>
          <w:b/>
          <w:i/>
          <w:kern w:val="2"/>
          <w:sz w:val="22"/>
          <w:szCs w:val="22"/>
          <w:lang w:val="es-ES" w:eastAsia="ar-SA"/>
        </w:rPr>
        <w:t xml:space="preserve"> </w:t>
      </w:r>
      <w:r w:rsidRPr="002773C7">
        <w:rPr>
          <w:rFonts w:ascii="Arial" w:hAnsi="Arial" w:cs="Arial"/>
          <w:b/>
          <w:i/>
          <w:kern w:val="2"/>
          <w:sz w:val="22"/>
          <w:szCs w:val="22"/>
          <w:u w:val="single"/>
          <w:lang w:val="es-ES" w:eastAsia="ar-SA"/>
        </w:rPr>
        <w:t>la segunda corresponde a los equipos radioeléctricos exentos de licencia</w:t>
      </w:r>
      <w:r w:rsidRPr="002773C7">
        <w:rPr>
          <w:rFonts w:ascii="Arial" w:hAnsi="Arial" w:cs="Arial"/>
          <w:i/>
          <w:kern w:val="2"/>
          <w:sz w:val="22"/>
          <w:szCs w:val="22"/>
          <w:u w:val="single"/>
          <w:lang w:val="es-ES" w:eastAsia="ar-SA"/>
        </w:rPr>
        <w:t>.</w:t>
      </w:r>
      <w:r w:rsidRPr="002773C7">
        <w:rPr>
          <w:rFonts w:ascii="Arial" w:hAnsi="Arial" w:cs="Arial"/>
          <w:i/>
          <w:kern w:val="2"/>
          <w:sz w:val="22"/>
          <w:szCs w:val="22"/>
          <w:lang w:val="es-ES" w:eastAsia="ar-SA"/>
        </w:rPr>
        <w:t xml:space="preserve"> Las especificaciones de equipos se refieren casi exclusivamente a los parámetros técnicos mínimos que deben satisfacer estrictamente los equipos desde el punto de vista de la utilización eficaz del espectro y de la reducción de la interferencia en transmisores y receptores. Normalmente no guardan relación con la calidad de servicio, ya que ésta se deja a discreción del usuario, lo que da pie a que exista una diversidad de calidades de equipos para satisfacer las distintas necesidades.</w:t>
      </w:r>
    </w:p>
    <w:p w14:paraId="494C15A3" w14:textId="77777777" w:rsidR="002773C7" w:rsidRPr="002773C7" w:rsidRDefault="002773C7" w:rsidP="002773C7">
      <w:pPr>
        <w:spacing w:line="276" w:lineRule="auto"/>
        <w:ind w:left="851" w:right="899"/>
        <w:jc w:val="both"/>
        <w:rPr>
          <w:rFonts w:ascii="Arial" w:hAnsi="Arial" w:cs="Arial"/>
          <w:i/>
          <w:kern w:val="2"/>
          <w:sz w:val="22"/>
          <w:szCs w:val="22"/>
          <w:lang w:val="es-ES" w:eastAsia="ar-SA"/>
        </w:rPr>
      </w:pPr>
    </w:p>
    <w:p w14:paraId="06E6F878" w14:textId="77777777" w:rsidR="002773C7" w:rsidRPr="002773C7" w:rsidRDefault="002773C7" w:rsidP="002773C7">
      <w:pPr>
        <w:spacing w:line="276" w:lineRule="auto"/>
        <w:ind w:left="851" w:right="899"/>
        <w:jc w:val="both"/>
        <w:rPr>
          <w:rFonts w:ascii="Arial" w:hAnsi="Arial" w:cs="Arial"/>
          <w:i/>
          <w:kern w:val="2"/>
          <w:sz w:val="22"/>
          <w:szCs w:val="22"/>
          <w:lang w:val="es-ES" w:eastAsia="ar-SA"/>
        </w:rPr>
      </w:pPr>
      <w:r w:rsidRPr="002773C7">
        <w:rPr>
          <w:rFonts w:ascii="Arial" w:hAnsi="Arial" w:cs="Arial"/>
          <w:b/>
          <w:i/>
          <w:kern w:val="2"/>
          <w:sz w:val="22"/>
          <w:szCs w:val="22"/>
          <w:u w:val="single"/>
          <w:lang w:val="es-ES" w:eastAsia="ar-SA"/>
        </w:rPr>
        <w:t xml:space="preserve">La segunda categoría de especificaciones de equipos suele relacionarse con los equipos de baja potencia exentos de licencia por lo limitado de su alcance. El funcionamiento de estos equipos se permite en determinadas bandas de frecuencias. </w:t>
      </w:r>
      <w:r w:rsidRPr="002773C7">
        <w:rPr>
          <w:rFonts w:ascii="Arial" w:hAnsi="Arial" w:cs="Arial"/>
          <w:i/>
          <w:kern w:val="2"/>
          <w:sz w:val="22"/>
          <w:szCs w:val="22"/>
          <w:lang w:val="es-ES" w:eastAsia="ar-SA"/>
        </w:rPr>
        <w:t>Además de los dispositivos de apertura de puertas de garajes, de los dispositivos de alarma y control de los juguetes y de los teléfonos inalámbricos, hay muchos otros ejemplos de este tipo de equipos que se utilizan cada vez más en el sector comercial, por ejemplo,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p>
    <w:p w14:paraId="65D6B66F" w14:textId="77777777" w:rsidR="002773C7" w:rsidRPr="002773C7" w:rsidRDefault="002773C7" w:rsidP="002773C7">
      <w:pPr>
        <w:spacing w:line="276" w:lineRule="auto"/>
        <w:ind w:left="851" w:right="899"/>
        <w:jc w:val="both"/>
        <w:rPr>
          <w:rFonts w:ascii="Arial" w:hAnsi="Arial" w:cs="Arial"/>
          <w:i/>
          <w:kern w:val="2"/>
          <w:sz w:val="22"/>
          <w:szCs w:val="22"/>
          <w:lang w:val="es-ES" w:eastAsia="ar-SA"/>
        </w:rPr>
      </w:pPr>
    </w:p>
    <w:p w14:paraId="7921ABEB" w14:textId="77777777" w:rsidR="002773C7" w:rsidRPr="002773C7" w:rsidRDefault="002773C7" w:rsidP="002773C7">
      <w:pPr>
        <w:spacing w:line="276" w:lineRule="auto"/>
        <w:jc w:val="both"/>
        <w:rPr>
          <w:rFonts w:ascii="Arial" w:eastAsia="Times New Roman" w:hAnsi="Arial" w:cs="Arial"/>
          <w:kern w:val="1"/>
          <w:sz w:val="22"/>
          <w:szCs w:val="22"/>
          <w:lang w:val="es-ES" w:eastAsia="ar-SA"/>
        </w:rPr>
      </w:pPr>
      <w:r w:rsidRPr="002773C7">
        <w:rPr>
          <w:rFonts w:ascii="Arial" w:eastAsia="Times New Roman" w:hAnsi="Arial" w:cs="Arial"/>
          <w:kern w:val="1"/>
          <w:sz w:val="22"/>
          <w:szCs w:val="22"/>
          <w:lang w:val="es-ES" w:eastAsia="ar-SA"/>
        </w:rPr>
        <w:t xml:space="preserve">De lo anterior se observa que, como parte de la administración del espectro radioeléctrico, una buena práctica es la habilitación de ciertas bandas de frecuencias para su uso sin concesión y/o autorización por parte del público en general, así como el establecimiento de parámetros técnicos que reduzcan interferencias perjudiciales para dicho uso. Lo anterior, observando lo dispuesto en la Constitución, la </w:t>
      </w:r>
      <w:r w:rsidRPr="002773C7">
        <w:rPr>
          <w:rFonts w:ascii="Arial" w:hAnsi="Arial" w:cs="Arial"/>
          <w:sz w:val="22"/>
          <w:szCs w:val="22"/>
        </w:rPr>
        <w:t>Ley, así como las recomendaciones de la UIT y otros organismos internacionales.</w:t>
      </w:r>
    </w:p>
    <w:p w14:paraId="1BCD5048" w14:textId="77777777" w:rsidR="002773C7" w:rsidRPr="00716764" w:rsidRDefault="002773C7" w:rsidP="002773C7">
      <w:pPr>
        <w:spacing w:line="276" w:lineRule="auto"/>
        <w:jc w:val="both"/>
        <w:rPr>
          <w:rFonts w:ascii="Arial" w:eastAsia="Times New Roman" w:hAnsi="Arial" w:cs="Arial"/>
          <w:kern w:val="1"/>
          <w:sz w:val="22"/>
          <w:szCs w:val="22"/>
          <w:lang w:eastAsia="ar-SA"/>
        </w:rPr>
      </w:pPr>
    </w:p>
    <w:p w14:paraId="2E8DA204" w14:textId="77777777" w:rsidR="002773C7" w:rsidRPr="00716764" w:rsidRDefault="002773C7" w:rsidP="002773C7">
      <w:pPr>
        <w:spacing w:line="276" w:lineRule="auto"/>
        <w:jc w:val="both"/>
        <w:rPr>
          <w:rFonts w:ascii="Arial" w:hAnsi="Arial" w:cs="Arial"/>
          <w:sz w:val="22"/>
          <w:szCs w:val="22"/>
        </w:rPr>
      </w:pPr>
      <w:proofErr w:type="gramStart"/>
      <w:r w:rsidRPr="00716764">
        <w:rPr>
          <w:rFonts w:ascii="Arial" w:hAnsi="Arial" w:cs="Arial"/>
          <w:b/>
          <w:kern w:val="1"/>
          <w:sz w:val="22"/>
          <w:szCs w:val="22"/>
          <w:lang w:eastAsia="ar-SA"/>
        </w:rPr>
        <w:t>Tercero.-</w:t>
      </w:r>
      <w:proofErr w:type="gramEnd"/>
      <w:r w:rsidRPr="00716764">
        <w:rPr>
          <w:rFonts w:ascii="Arial" w:hAnsi="Arial" w:cs="Arial"/>
          <w:b/>
          <w:kern w:val="1"/>
          <w:sz w:val="22"/>
          <w:szCs w:val="22"/>
          <w:lang w:eastAsia="ar-SA"/>
        </w:rPr>
        <w:t xml:space="preserve"> Sensores de movimiento en la banda de frecuencias 57-64 GHz.</w:t>
      </w:r>
      <w:r w:rsidRPr="00716764">
        <w:rPr>
          <w:rFonts w:ascii="Arial" w:hAnsi="Arial" w:cs="Arial"/>
          <w:sz w:val="22"/>
          <w:szCs w:val="22"/>
        </w:rPr>
        <w:t xml:space="preserve"> En la actualidad, la demanda para el uso del espectro radioeléctrico se ha incrementado considerablemente, debido a la evolución de las Tecnologías de la información y la comunicación (TIC), así como al aumento de la población mundial que requiere contar con nuevas tecnologías que permitan establecer comunicación entre los usuarios o entre la tecnología y el usuario. En particular, se ha </w:t>
      </w:r>
      <w:r w:rsidRPr="00716764">
        <w:rPr>
          <w:rFonts w:ascii="Arial" w:hAnsi="Arial" w:cs="Arial"/>
          <w:sz w:val="22"/>
          <w:szCs w:val="22"/>
        </w:rPr>
        <w:lastRenderedPageBreak/>
        <w:t>avanzado en la capacidad con la que cuentan los dispositivos de radiocomunicación para que su uso sea más fácil, intuitivo y práctico, particularmente para usuarios con problemas de movilidad, del habla o de tacto, facilitando así, al usuario final la manipulación de los dispositivos. De lo anterior se desprende que la disponibilidad de espectro radioeléctrico es primordial para cubrir las necesidades de comunicación inalámbrica ante la rápida evolución tecnológica, el aumento significativo en el uso de dispositivos inteligentes, portátiles o personales, la creación de dispositivos de corto alcance, la interacción con otros dispositivos o equipos de comunicación, entre otras.</w:t>
      </w:r>
    </w:p>
    <w:p w14:paraId="0A8D2E5A" w14:textId="77777777" w:rsidR="002773C7" w:rsidRPr="00716764" w:rsidRDefault="002773C7" w:rsidP="002773C7">
      <w:pPr>
        <w:spacing w:line="276" w:lineRule="auto"/>
        <w:jc w:val="both"/>
        <w:rPr>
          <w:rFonts w:ascii="Arial" w:hAnsi="Arial" w:cs="Arial"/>
          <w:kern w:val="1"/>
          <w:sz w:val="22"/>
          <w:szCs w:val="22"/>
          <w:lang w:eastAsia="ar-SA"/>
        </w:rPr>
      </w:pPr>
    </w:p>
    <w:p w14:paraId="6537DD54" w14:textId="77777777" w:rsidR="002773C7" w:rsidRPr="00716764" w:rsidRDefault="002773C7" w:rsidP="002773C7">
      <w:pPr>
        <w:spacing w:line="276" w:lineRule="auto"/>
        <w:jc w:val="both"/>
        <w:rPr>
          <w:rFonts w:ascii="Arial" w:hAnsi="Arial" w:cs="Arial"/>
          <w:sz w:val="22"/>
          <w:szCs w:val="22"/>
        </w:rPr>
      </w:pPr>
      <w:r w:rsidRPr="00716764">
        <w:rPr>
          <w:rFonts w:ascii="Arial" w:hAnsi="Arial" w:cs="Arial"/>
          <w:sz w:val="22"/>
          <w:szCs w:val="22"/>
        </w:rPr>
        <w:t>Por otra parte, en la Región de las Américas existen regulaciones, lineamientos de operación y normas técnicas respecto del uso de la banda 57-64 GHz que han implementado diversos reguladores en sus respectivos países con el objeto de habilitar la operación de sistemas de radiocomunicación sin necesidad de contar con una licencia, concesión, autorización o cualquier otro instrumento habilitante. Tal es el caso de nuestro país, que en mayo del 2017 se clasificó la banda de frecuencias 57-64 GHz como espectro libre y se expidieron las condiciones técnicas de operación para la misma.</w:t>
      </w:r>
    </w:p>
    <w:p w14:paraId="2B32C6EB" w14:textId="77777777" w:rsidR="002773C7" w:rsidRPr="00716764" w:rsidRDefault="002773C7" w:rsidP="002773C7">
      <w:pPr>
        <w:spacing w:line="276" w:lineRule="auto"/>
        <w:jc w:val="both"/>
        <w:rPr>
          <w:rFonts w:ascii="Arial" w:hAnsi="Arial" w:cs="Arial"/>
          <w:sz w:val="22"/>
          <w:szCs w:val="22"/>
        </w:rPr>
      </w:pPr>
    </w:p>
    <w:p w14:paraId="5605F252" w14:textId="77777777" w:rsidR="002773C7" w:rsidRPr="00716764" w:rsidRDefault="002773C7" w:rsidP="002773C7">
      <w:pPr>
        <w:spacing w:line="276" w:lineRule="auto"/>
        <w:jc w:val="both"/>
        <w:rPr>
          <w:rFonts w:ascii="Arial" w:hAnsi="Arial" w:cs="Arial"/>
          <w:kern w:val="1"/>
          <w:sz w:val="22"/>
          <w:szCs w:val="22"/>
          <w:lang w:val="es-ES" w:eastAsia="ar-SA"/>
        </w:rPr>
      </w:pPr>
      <w:r w:rsidRPr="00716764">
        <w:rPr>
          <w:rFonts w:ascii="Arial" w:hAnsi="Arial" w:cs="Arial"/>
          <w:sz w:val="22"/>
          <w:szCs w:val="22"/>
        </w:rPr>
        <w:t>Sin embargo, con el desarrollo de nuevas tecnologías se han emitido consideraciones adicionales con el objeto de permitir la operación de sensores de movimiento (dispositivos de radiocomunicación de corto alcance para la detección de movimiento) en diferentes países. A continuación, se presentan algunas de estas consideraciones adicionales para la banda 57-64 GHz emitidas por algunos reguladores, tal es el caso de la</w:t>
      </w:r>
      <w:r w:rsidRPr="00716764">
        <w:rPr>
          <w:rFonts w:ascii="Arial" w:hAnsi="Arial" w:cs="Arial"/>
          <w:kern w:val="1"/>
          <w:sz w:val="22"/>
          <w:szCs w:val="22"/>
          <w:lang w:val="es-ES" w:eastAsia="ar-SA"/>
        </w:rPr>
        <w:t xml:space="preserve"> </w:t>
      </w:r>
      <w:r w:rsidRPr="00716764">
        <w:rPr>
          <w:rFonts w:ascii="Arial" w:hAnsi="Arial" w:cs="Arial"/>
          <w:kern w:val="1"/>
          <w:sz w:val="22"/>
          <w:szCs w:val="22"/>
          <w:lang w:eastAsia="ar-SA"/>
        </w:rPr>
        <w:t xml:space="preserve">Comisión Federal de Comunicaciones (“FCC”, por las siglas en inglés de </w:t>
      </w:r>
      <w:r w:rsidRPr="00716764">
        <w:rPr>
          <w:rFonts w:ascii="Arial" w:hAnsi="Arial" w:cs="Arial"/>
          <w:i/>
          <w:kern w:val="1"/>
          <w:sz w:val="22"/>
          <w:szCs w:val="22"/>
          <w:lang w:eastAsia="ar-SA"/>
        </w:rPr>
        <w:t xml:space="preserve">Federal </w:t>
      </w:r>
      <w:proofErr w:type="spellStart"/>
      <w:r w:rsidRPr="00716764">
        <w:rPr>
          <w:rFonts w:ascii="Arial" w:hAnsi="Arial" w:cs="Arial"/>
          <w:i/>
          <w:kern w:val="1"/>
          <w:sz w:val="22"/>
          <w:szCs w:val="22"/>
          <w:lang w:eastAsia="ar-SA"/>
        </w:rPr>
        <w:t>Communications</w:t>
      </w:r>
      <w:proofErr w:type="spellEnd"/>
      <w:r w:rsidRPr="00716764">
        <w:rPr>
          <w:rFonts w:ascii="Arial" w:hAnsi="Arial" w:cs="Arial"/>
          <w:i/>
          <w:kern w:val="1"/>
          <w:sz w:val="22"/>
          <w:szCs w:val="22"/>
          <w:lang w:eastAsia="ar-SA"/>
        </w:rPr>
        <w:t xml:space="preserve"> </w:t>
      </w:r>
      <w:proofErr w:type="spellStart"/>
      <w:r w:rsidRPr="00716764">
        <w:rPr>
          <w:rFonts w:ascii="Arial" w:hAnsi="Arial" w:cs="Arial"/>
          <w:i/>
          <w:kern w:val="1"/>
          <w:sz w:val="22"/>
          <w:szCs w:val="22"/>
          <w:lang w:eastAsia="ar-SA"/>
        </w:rPr>
        <w:t>Commission</w:t>
      </w:r>
      <w:proofErr w:type="spellEnd"/>
      <w:r w:rsidRPr="00716764">
        <w:rPr>
          <w:rFonts w:ascii="Arial" w:hAnsi="Arial" w:cs="Arial"/>
          <w:kern w:val="1"/>
          <w:sz w:val="22"/>
          <w:szCs w:val="22"/>
          <w:lang w:eastAsia="ar-SA"/>
        </w:rPr>
        <w:t>)</w:t>
      </w:r>
      <w:r w:rsidRPr="00716764">
        <w:rPr>
          <w:rFonts w:ascii="Arial" w:hAnsi="Arial" w:cs="Arial"/>
          <w:kern w:val="1"/>
          <w:sz w:val="22"/>
          <w:szCs w:val="22"/>
          <w:lang w:val="es-ES" w:eastAsia="ar-SA"/>
        </w:rPr>
        <w:t xml:space="preserve"> en Estados Unidos</w:t>
      </w:r>
      <w:r w:rsidRPr="00716764" w:rsidDel="00A14238">
        <w:rPr>
          <w:rFonts w:ascii="Arial" w:hAnsi="Arial" w:cs="Arial"/>
          <w:kern w:val="1"/>
          <w:sz w:val="22"/>
          <w:szCs w:val="22"/>
          <w:lang w:val="es-ES" w:eastAsia="ar-SA"/>
        </w:rPr>
        <w:t xml:space="preserve"> </w:t>
      </w:r>
      <w:r w:rsidRPr="00716764">
        <w:rPr>
          <w:rFonts w:ascii="Arial" w:hAnsi="Arial" w:cs="Arial"/>
          <w:kern w:val="1"/>
          <w:sz w:val="22"/>
          <w:szCs w:val="22"/>
          <w:lang w:val="es-ES" w:eastAsia="ar-SA"/>
        </w:rPr>
        <w:t>(“</w:t>
      </w:r>
      <w:r w:rsidRPr="00716764">
        <w:rPr>
          <w:rFonts w:ascii="Arial" w:hAnsi="Arial" w:cs="Arial"/>
          <w:kern w:val="1"/>
          <w:sz w:val="22"/>
          <w:szCs w:val="22"/>
          <w:lang w:eastAsia="ar-SA"/>
        </w:rPr>
        <w:t>EE.UU.”)</w:t>
      </w:r>
      <w:r w:rsidRPr="00716764">
        <w:rPr>
          <w:rFonts w:ascii="Arial" w:hAnsi="Arial" w:cs="Arial"/>
          <w:kern w:val="1"/>
          <w:sz w:val="22"/>
          <w:szCs w:val="22"/>
          <w:lang w:val="es-ES" w:eastAsia="ar-SA"/>
        </w:rPr>
        <w:t xml:space="preserve">, </w:t>
      </w:r>
      <w:r w:rsidRPr="00716764">
        <w:rPr>
          <w:rFonts w:ascii="Arial" w:hAnsi="Arial" w:cs="Arial"/>
          <w:kern w:val="1"/>
          <w:sz w:val="22"/>
          <w:szCs w:val="22"/>
          <w:lang w:eastAsia="ar-SA"/>
        </w:rPr>
        <w:t xml:space="preserve">Innovación, Ciencia y Desarrollo Económico (“ISED”, por las siglas en inglés de </w:t>
      </w:r>
      <w:proofErr w:type="spellStart"/>
      <w:r w:rsidRPr="00716764">
        <w:rPr>
          <w:rFonts w:ascii="Arial" w:hAnsi="Arial" w:cs="Arial"/>
          <w:i/>
          <w:kern w:val="1"/>
          <w:sz w:val="22"/>
          <w:szCs w:val="22"/>
          <w:lang w:eastAsia="ar-SA"/>
        </w:rPr>
        <w:t>Innovation</w:t>
      </w:r>
      <w:proofErr w:type="spellEnd"/>
      <w:r w:rsidRPr="00716764">
        <w:rPr>
          <w:rFonts w:ascii="Arial" w:hAnsi="Arial" w:cs="Arial"/>
          <w:i/>
          <w:kern w:val="1"/>
          <w:sz w:val="22"/>
          <w:szCs w:val="22"/>
          <w:lang w:eastAsia="ar-SA"/>
        </w:rPr>
        <w:t xml:space="preserve">, </w:t>
      </w:r>
      <w:proofErr w:type="spellStart"/>
      <w:r w:rsidRPr="00716764">
        <w:rPr>
          <w:rFonts w:ascii="Arial" w:hAnsi="Arial" w:cs="Arial"/>
          <w:i/>
          <w:kern w:val="1"/>
          <w:sz w:val="22"/>
          <w:szCs w:val="22"/>
          <w:lang w:eastAsia="ar-SA"/>
        </w:rPr>
        <w:t>Science</w:t>
      </w:r>
      <w:proofErr w:type="spellEnd"/>
      <w:r w:rsidRPr="00716764">
        <w:rPr>
          <w:rFonts w:ascii="Arial" w:hAnsi="Arial" w:cs="Arial"/>
          <w:i/>
          <w:kern w:val="1"/>
          <w:sz w:val="22"/>
          <w:szCs w:val="22"/>
          <w:lang w:eastAsia="ar-SA"/>
        </w:rPr>
        <w:t xml:space="preserve"> and </w:t>
      </w:r>
      <w:proofErr w:type="spellStart"/>
      <w:r w:rsidRPr="00716764">
        <w:rPr>
          <w:rFonts w:ascii="Arial" w:hAnsi="Arial" w:cs="Arial"/>
          <w:i/>
          <w:kern w:val="1"/>
          <w:sz w:val="22"/>
          <w:szCs w:val="22"/>
          <w:lang w:eastAsia="ar-SA"/>
        </w:rPr>
        <w:t>Economic</w:t>
      </w:r>
      <w:proofErr w:type="spellEnd"/>
      <w:r w:rsidRPr="00716764">
        <w:rPr>
          <w:rFonts w:ascii="Arial" w:hAnsi="Arial" w:cs="Arial"/>
          <w:i/>
          <w:kern w:val="1"/>
          <w:sz w:val="22"/>
          <w:szCs w:val="22"/>
          <w:lang w:eastAsia="ar-SA"/>
        </w:rPr>
        <w:t xml:space="preserve"> </w:t>
      </w:r>
      <w:proofErr w:type="spellStart"/>
      <w:r w:rsidRPr="00716764">
        <w:rPr>
          <w:rFonts w:ascii="Arial" w:hAnsi="Arial" w:cs="Arial"/>
          <w:i/>
          <w:kern w:val="1"/>
          <w:sz w:val="22"/>
          <w:szCs w:val="22"/>
          <w:lang w:eastAsia="ar-SA"/>
        </w:rPr>
        <w:t>Development</w:t>
      </w:r>
      <w:proofErr w:type="spellEnd"/>
      <w:r w:rsidRPr="00716764">
        <w:rPr>
          <w:rFonts w:ascii="Arial" w:hAnsi="Arial" w:cs="Arial"/>
          <w:kern w:val="1"/>
          <w:sz w:val="22"/>
          <w:szCs w:val="22"/>
          <w:lang w:eastAsia="ar-SA"/>
        </w:rPr>
        <w:t>)</w:t>
      </w:r>
      <w:r w:rsidRPr="00716764">
        <w:rPr>
          <w:rFonts w:ascii="Arial" w:hAnsi="Arial" w:cs="Arial"/>
          <w:kern w:val="1"/>
          <w:sz w:val="22"/>
          <w:szCs w:val="22"/>
          <w:lang w:val="es-ES" w:eastAsia="ar-SA"/>
        </w:rPr>
        <w:t xml:space="preserve"> en Canadá, así como en otros países.</w:t>
      </w:r>
    </w:p>
    <w:p w14:paraId="3D2E2289" w14:textId="77777777" w:rsidR="002773C7" w:rsidRPr="00716764" w:rsidRDefault="002773C7" w:rsidP="002773C7">
      <w:pPr>
        <w:spacing w:line="276" w:lineRule="auto"/>
        <w:jc w:val="both"/>
        <w:rPr>
          <w:rFonts w:ascii="Arial" w:hAnsi="Arial" w:cs="Arial"/>
          <w:kern w:val="1"/>
          <w:sz w:val="22"/>
          <w:szCs w:val="22"/>
          <w:lang w:val="es-ES" w:eastAsia="ar-SA"/>
        </w:rPr>
      </w:pPr>
    </w:p>
    <w:p w14:paraId="2DEFA714" w14:textId="77777777" w:rsidR="002773C7" w:rsidRPr="00716764" w:rsidRDefault="002773C7" w:rsidP="002773C7">
      <w:pPr>
        <w:spacing w:line="276" w:lineRule="auto"/>
        <w:jc w:val="both"/>
        <w:rPr>
          <w:rFonts w:ascii="Arial" w:hAnsi="Arial" w:cs="Arial"/>
          <w:sz w:val="22"/>
          <w:szCs w:val="22"/>
          <w:u w:val="single"/>
        </w:rPr>
      </w:pPr>
      <w:r w:rsidRPr="00716764">
        <w:rPr>
          <w:rFonts w:ascii="Arial" w:hAnsi="Arial" w:cs="Arial"/>
          <w:sz w:val="22"/>
          <w:szCs w:val="22"/>
          <w:u w:val="single"/>
        </w:rPr>
        <w:t>Estados Unidos de América – FCC</w:t>
      </w:r>
    </w:p>
    <w:p w14:paraId="5DE984C7" w14:textId="77777777" w:rsidR="002773C7" w:rsidRPr="00716764" w:rsidRDefault="002773C7" w:rsidP="002773C7">
      <w:pPr>
        <w:spacing w:line="276" w:lineRule="auto"/>
        <w:ind w:right="-94"/>
        <w:jc w:val="both"/>
        <w:rPr>
          <w:rFonts w:ascii="Arial" w:hAnsi="Arial" w:cs="Arial"/>
          <w:sz w:val="22"/>
          <w:szCs w:val="22"/>
        </w:rPr>
      </w:pPr>
    </w:p>
    <w:p w14:paraId="6297B051"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 xml:space="preserve">En los EE.UU., la responsabilidad regulatoria del espectro radioeléctrico se divide entre la FCC y la Administración Nacional de Telecomunicaciones e Información, (“NTIA”, por las siglas en inglés de </w:t>
      </w:r>
      <w:proofErr w:type="spellStart"/>
      <w:r w:rsidRPr="00716764">
        <w:rPr>
          <w:rFonts w:ascii="Arial" w:hAnsi="Arial" w:cs="Arial"/>
          <w:i/>
          <w:sz w:val="22"/>
          <w:szCs w:val="22"/>
        </w:rPr>
        <w:t>National</w:t>
      </w:r>
      <w:proofErr w:type="spellEnd"/>
      <w:r w:rsidRPr="00716764">
        <w:rPr>
          <w:rFonts w:ascii="Arial" w:hAnsi="Arial" w:cs="Arial"/>
          <w:i/>
          <w:sz w:val="22"/>
          <w:szCs w:val="22"/>
        </w:rPr>
        <w:t xml:space="preserve"> </w:t>
      </w:r>
      <w:proofErr w:type="spellStart"/>
      <w:r w:rsidRPr="00716764">
        <w:rPr>
          <w:rFonts w:ascii="Arial" w:hAnsi="Arial" w:cs="Arial"/>
          <w:i/>
          <w:sz w:val="22"/>
          <w:szCs w:val="22"/>
        </w:rPr>
        <w:t>Telecommunications</w:t>
      </w:r>
      <w:proofErr w:type="spellEnd"/>
      <w:r w:rsidRPr="00716764">
        <w:rPr>
          <w:rFonts w:ascii="Arial" w:hAnsi="Arial" w:cs="Arial"/>
          <w:i/>
          <w:sz w:val="22"/>
          <w:szCs w:val="22"/>
        </w:rPr>
        <w:t xml:space="preserve"> and </w:t>
      </w:r>
      <w:proofErr w:type="spellStart"/>
      <w:r w:rsidRPr="00716764">
        <w:rPr>
          <w:rFonts w:ascii="Arial" w:hAnsi="Arial" w:cs="Arial"/>
          <w:i/>
          <w:sz w:val="22"/>
          <w:szCs w:val="22"/>
        </w:rPr>
        <w:t>Information</w:t>
      </w:r>
      <w:proofErr w:type="spellEnd"/>
      <w:r w:rsidRPr="00716764">
        <w:rPr>
          <w:rFonts w:ascii="Arial" w:hAnsi="Arial" w:cs="Arial"/>
          <w:i/>
          <w:sz w:val="22"/>
          <w:szCs w:val="22"/>
        </w:rPr>
        <w:t xml:space="preserve"> </w:t>
      </w:r>
      <w:proofErr w:type="spellStart"/>
      <w:r w:rsidRPr="00716764">
        <w:rPr>
          <w:rFonts w:ascii="Arial" w:hAnsi="Arial" w:cs="Arial"/>
          <w:i/>
          <w:sz w:val="22"/>
          <w:szCs w:val="22"/>
        </w:rPr>
        <w:t>Administration</w:t>
      </w:r>
      <w:proofErr w:type="spellEnd"/>
      <w:r w:rsidRPr="00716764">
        <w:rPr>
          <w:rFonts w:ascii="Arial" w:hAnsi="Arial" w:cs="Arial"/>
          <w:sz w:val="22"/>
          <w:szCs w:val="22"/>
        </w:rPr>
        <w:t>). La FCC es quien administra el espectro para uso no federal, es decir, para el gobierno local y estatal, y uso comercial, privado interno y personal, y la NTIA es la que administra el espectro para uso federal, es decir, para el ejército, la Administración Federal de Aviación y la Oficina Federal de Investigación.</w:t>
      </w:r>
    </w:p>
    <w:p w14:paraId="7053EE16" w14:textId="77777777" w:rsidR="002773C7" w:rsidRPr="00716764" w:rsidRDefault="002773C7" w:rsidP="002773C7">
      <w:pPr>
        <w:spacing w:line="276" w:lineRule="auto"/>
        <w:ind w:right="-94"/>
        <w:jc w:val="both"/>
        <w:rPr>
          <w:rFonts w:ascii="Arial" w:hAnsi="Arial" w:cs="Arial"/>
          <w:sz w:val="22"/>
          <w:szCs w:val="22"/>
        </w:rPr>
      </w:pPr>
    </w:p>
    <w:p w14:paraId="5EE1B9F3"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 xml:space="preserve">Uno de los instrumentos regulatorios con los que cuenta la FCC es el Código Federal de Regulaciones (“CFR”, por las siglas en inglés de </w:t>
      </w:r>
      <w:proofErr w:type="spellStart"/>
      <w:r w:rsidRPr="00716764">
        <w:rPr>
          <w:rFonts w:ascii="Arial" w:hAnsi="Arial" w:cs="Arial"/>
          <w:i/>
          <w:sz w:val="22"/>
          <w:szCs w:val="22"/>
        </w:rPr>
        <w:t>Code</w:t>
      </w:r>
      <w:proofErr w:type="spellEnd"/>
      <w:r w:rsidRPr="00716764">
        <w:rPr>
          <w:rFonts w:ascii="Arial" w:hAnsi="Arial" w:cs="Arial"/>
          <w:i/>
          <w:sz w:val="22"/>
          <w:szCs w:val="22"/>
        </w:rPr>
        <w:t xml:space="preserve"> </w:t>
      </w:r>
      <w:proofErr w:type="spellStart"/>
      <w:r w:rsidRPr="00716764">
        <w:rPr>
          <w:rFonts w:ascii="Arial" w:hAnsi="Arial" w:cs="Arial"/>
          <w:i/>
          <w:sz w:val="22"/>
          <w:szCs w:val="22"/>
        </w:rPr>
        <w:t>of</w:t>
      </w:r>
      <w:proofErr w:type="spellEnd"/>
      <w:r w:rsidRPr="00716764">
        <w:rPr>
          <w:rFonts w:ascii="Arial" w:hAnsi="Arial" w:cs="Arial"/>
          <w:i/>
          <w:sz w:val="22"/>
          <w:szCs w:val="22"/>
        </w:rPr>
        <w:t xml:space="preserve"> Federal </w:t>
      </w:r>
      <w:proofErr w:type="spellStart"/>
      <w:r w:rsidRPr="00716764">
        <w:rPr>
          <w:rFonts w:ascii="Arial" w:hAnsi="Arial" w:cs="Arial"/>
          <w:i/>
          <w:sz w:val="22"/>
          <w:szCs w:val="22"/>
        </w:rPr>
        <w:t>Regulations</w:t>
      </w:r>
      <w:proofErr w:type="spellEnd"/>
      <w:r w:rsidRPr="00716764">
        <w:rPr>
          <w:rFonts w:ascii="Arial" w:hAnsi="Arial" w:cs="Arial"/>
          <w:sz w:val="22"/>
          <w:szCs w:val="22"/>
        </w:rPr>
        <w:t xml:space="preserve">) en el que se establecen las reglas de cada una de las partes que integran el Título 47 “Telecomunicaciones”. La Parte 15 del Título 47 del CFR, establece las condiciones técnicas generales para la operación de dispositivos de radiofrecuencia de baja potencia sin licencia, dentro de la cual se encuentran </w:t>
      </w:r>
      <w:r w:rsidRPr="00716764">
        <w:rPr>
          <w:rFonts w:ascii="Arial" w:hAnsi="Arial" w:cs="Arial"/>
          <w:sz w:val="22"/>
          <w:szCs w:val="22"/>
        </w:rPr>
        <w:lastRenderedPageBreak/>
        <w:t>identificados los sistemas de transmisión exentos de licencia que operan en la banda 57-64 GHz y figuran en la sección §15.255</w:t>
      </w:r>
      <w:r w:rsidRPr="00716764">
        <w:rPr>
          <w:rStyle w:val="Refdenotaalpie"/>
          <w:rFonts w:ascii="Arial" w:hAnsi="Arial" w:cs="Arial"/>
          <w:sz w:val="22"/>
          <w:szCs w:val="22"/>
        </w:rPr>
        <w:footnoteReference w:id="6"/>
      </w:r>
      <w:r w:rsidRPr="00716764">
        <w:rPr>
          <w:rFonts w:ascii="Arial" w:hAnsi="Arial" w:cs="Arial"/>
          <w:sz w:val="22"/>
          <w:szCs w:val="22"/>
        </w:rPr>
        <w:t xml:space="preserve"> del CFR.</w:t>
      </w:r>
    </w:p>
    <w:p w14:paraId="14A79824" w14:textId="77777777" w:rsidR="002773C7" w:rsidRPr="00716764" w:rsidRDefault="002773C7" w:rsidP="002773C7">
      <w:pPr>
        <w:spacing w:line="276" w:lineRule="auto"/>
        <w:ind w:right="-94"/>
        <w:jc w:val="both"/>
        <w:rPr>
          <w:rFonts w:ascii="Arial" w:hAnsi="Arial" w:cs="Arial"/>
          <w:sz w:val="22"/>
          <w:szCs w:val="22"/>
        </w:rPr>
      </w:pPr>
    </w:p>
    <w:p w14:paraId="7C845007"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 xml:space="preserve">No obstante, el 14 de julio de 2021 la FCC por medio de la Oficina de Ingeniería y Tecnología emitió el </w:t>
      </w:r>
      <w:proofErr w:type="spellStart"/>
      <w:r w:rsidRPr="00716764">
        <w:rPr>
          <w:rFonts w:ascii="Arial" w:hAnsi="Arial" w:cs="Arial"/>
          <w:i/>
          <w:iCs/>
          <w:sz w:val="22"/>
          <w:szCs w:val="22"/>
        </w:rPr>
        <w:t>Notice</w:t>
      </w:r>
      <w:proofErr w:type="spellEnd"/>
      <w:r w:rsidRPr="00716764">
        <w:rPr>
          <w:rFonts w:ascii="Arial" w:hAnsi="Arial" w:cs="Arial"/>
          <w:i/>
          <w:iCs/>
          <w:sz w:val="22"/>
          <w:szCs w:val="22"/>
        </w:rPr>
        <w:t xml:space="preserve"> </w:t>
      </w:r>
      <w:proofErr w:type="spellStart"/>
      <w:r w:rsidRPr="00716764">
        <w:rPr>
          <w:rFonts w:ascii="Arial" w:hAnsi="Arial" w:cs="Arial"/>
          <w:i/>
          <w:iCs/>
          <w:sz w:val="22"/>
          <w:szCs w:val="22"/>
        </w:rPr>
        <w:t>of</w:t>
      </w:r>
      <w:proofErr w:type="spellEnd"/>
      <w:r w:rsidRPr="00716764">
        <w:rPr>
          <w:rFonts w:ascii="Arial" w:hAnsi="Arial" w:cs="Arial"/>
          <w:i/>
          <w:iCs/>
          <w:sz w:val="22"/>
          <w:szCs w:val="22"/>
        </w:rPr>
        <w:t xml:space="preserve"> </w:t>
      </w:r>
      <w:proofErr w:type="spellStart"/>
      <w:r w:rsidRPr="00716764">
        <w:rPr>
          <w:rFonts w:ascii="Arial" w:hAnsi="Arial" w:cs="Arial"/>
          <w:i/>
          <w:iCs/>
          <w:sz w:val="22"/>
          <w:szCs w:val="22"/>
        </w:rPr>
        <w:t>Proposed</w:t>
      </w:r>
      <w:proofErr w:type="spellEnd"/>
      <w:r w:rsidRPr="00716764">
        <w:rPr>
          <w:rFonts w:ascii="Arial" w:hAnsi="Arial" w:cs="Arial"/>
          <w:i/>
          <w:iCs/>
          <w:sz w:val="22"/>
          <w:szCs w:val="22"/>
        </w:rPr>
        <w:t xml:space="preserve"> </w:t>
      </w:r>
      <w:proofErr w:type="spellStart"/>
      <w:r w:rsidRPr="00716764">
        <w:rPr>
          <w:rFonts w:ascii="Arial" w:hAnsi="Arial" w:cs="Arial"/>
          <w:i/>
          <w:iCs/>
          <w:sz w:val="22"/>
          <w:szCs w:val="22"/>
        </w:rPr>
        <w:t>Rulemaking</w:t>
      </w:r>
      <w:proofErr w:type="spellEnd"/>
      <w:r w:rsidRPr="00716764">
        <w:rPr>
          <w:rFonts w:ascii="Arial" w:hAnsi="Arial" w:cs="Arial"/>
          <w:sz w:val="22"/>
          <w:szCs w:val="22"/>
        </w:rPr>
        <w:t xml:space="preserve"> (“</w:t>
      </w:r>
      <w:r w:rsidRPr="00716764">
        <w:rPr>
          <w:rFonts w:ascii="Arial" w:hAnsi="Arial" w:cs="Arial"/>
          <w:i/>
          <w:sz w:val="22"/>
          <w:szCs w:val="22"/>
        </w:rPr>
        <w:t>NPRM</w:t>
      </w:r>
      <w:r w:rsidRPr="00716764">
        <w:rPr>
          <w:rFonts w:ascii="Arial" w:hAnsi="Arial" w:cs="Arial"/>
          <w:sz w:val="22"/>
          <w:szCs w:val="22"/>
        </w:rPr>
        <w:t>”) para la sección §15.255 del CFR y el 19 de agosto de 2021 la FCC emitió una propuesta de modificación a la sección §15.255 con el fin de brindar mayor flexibilidad operativa a los dispositivos de sensores de perturbación de campo (“</w:t>
      </w:r>
      <w:r w:rsidRPr="00716764">
        <w:rPr>
          <w:rFonts w:ascii="Arial" w:hAnsi="Arial" w:cs="Arial"/>
          <w:i/>
          <w:iCs/>
          <w:sz w:val="22"/>
          <w:szCs w:val="22"/>
        </w:rPr>
        <w:t>FDS”</w:t>
      </w:r>
      <w:r w:rsidRPr="00716764">
        <w:rPr>
          <w:rFonts w:ascii="Arial" w:hAnsi="Arial" w:cs="Arial"/>
          <w:sz w:val="22"/>
          <w:szCs w:val="22"/>
        </w:rPr>
        <w:t>, por sus siglas en inglés) que puedan operar en la banda 57-64 GHz</w:t>
      </w:r>
      <w:r w:rsidRPr="00716764">
        <w:rPr>
          <w:rStyle w:val="Refdenotaalpie"/>
          <w:rFonts w:ascii="Arial" w:hAnsi="Arial" w:cs="Arial"/>
          <w:sz w:val="22"/>
          <w:szCs w:val="22"/>
        </w:rPr>
        <w:footnoteReference w:id="7"/>
      </w:r>
      <w:r w:rsidRPr="00716764">
        <w:rPr>
          <w:rFonts w:ascii="Arial" w:hAnsi="Arial" w:cs="Arial"/>
          <w:sz w:val="22"/>
          <w:szCs w:val="22"/>
        </w:rPr>
        <w:t xml:space="preserve">. </w:t>
      </w:r>
    </w:p>
    <w:p w14:paraId="7AFF0A29" w14:textId="77777777" w:rsidR="002773C7" w:rsidRPr="00716764" w:rsidRDefault="002773C7" w:rsidP="002773C7">
      <w:pPr>
        <w:spacing w:line="276" w:lineRule="auto"/>
        <w:ind w:right="-94"/>
        <w:jc w:val="both"/>
        <w:rPr>
          <w:rFonts w:ascii="Arial" w:hAnsi="Arial" w:cs="Arial"/>
          <w:sz w:val="22"/>
          <w:szCs w:val="22"/>
        </w:rPr>
      </w:pPr>
    </w:p>
    <w:p w14:paraId="2535BD35" w14:textId="77777777" w:rsidR="002773C7" w:rsidRPr="00716764" w:rsidRDefault="002773C7" w:rsidP="002773C7">
      <w:pPr>
        <w:spacing w:line="276" w:lineRule="auto"/>
        <w:ind w:right="-96"/>
        <w:jc w:val="both"/>
        <w:rPr>
          <w:rFonts w:ascii="Arial" w:hAnsi="Arial" w:cs="Arial"/>
          <w:sz w:val="22"/>
          <w:szCs w:val="22"/>
        </w:rPr>
      </w:pPr>
      <w:r w:rsidRPr="00716764">
        <w:rPr>
          <w:rFonts w:ascii="Arial" w:hAnsi="Arial" w:cs="Arial"/>
          <w:sz w:val="22"/>
          <w:szCs w:val="22"/>
        </w:rPr>
        <w:t xml:space="preserve">En el </w:t>
      </w:r>
      <w:r w:rsidRPr="00716764">
        <w:rPr>
          <w:rFonts w:ascii="Arial" w:hAnsi="Arial" w:cs="Arial"/>
          <w:i/>
          <w:iCs/>
          <w:sz w:val="22"/>
          <w:szCs w:val="22"/>
        </w:rPr>
        <w:t>NPRM</w:t>
      </w:r>
      <w:r w:rsidRPr="00716764">
        <w:rPr>
          <w:rFonts w:ascii="Arial" w:hAnsi="Arial" w:cs="Arial"/>
          <w:sz w:val="22"/>
          <w:szCs w:val="22"/>
        </w:rPr>
        <w:t xml:space="preserve"> se propusieron cambios para la sección §15.255 del CFR, consistentes en: a) todos los dispositivos </w:t>
      </w:r>
      <w:r w:rsidRPr="00716764">
        <w:rPr>
          <w:rFonts w:ascii="Arial" w:hAnsi="Arial" w:cs="Arial"/>
          <w:i/>
          <w:iCs/>
          <w:sz w:val="22"/>
          <w:szCs w:val="22"/>
        </w:rPr>
        <w:t>FDS</w:t>
      </w:r>
      <w:r w:rsidRPr="00716764">
        <w:rPr>
          <w:rFonts w:ascii="Arial" w:hAnsi="Arial" w:cs="Arial"/>
          <w:sz w:val="22"/>
          <w:szCs w:val="22"/>
        </w:rPr>
        <w:t xml:space="preserve"> que operan en la banda de 57-64 GHz podrían transmitir con un nivel máximo de PIRE de </w:t>
      </w:r>
      <w:r w:rsidRPr="00716764">
        <w:rPr>
          <w:rFonts w:ascii="Arial" w:hAnsi="Arial" w:cs="Arial"/>
          <w:b/>
          <w:sz w:val="22"/>
          <w:szCs w:val="22"/>
        </w:rPr>
        <w:t>20 dBm</w:t>
      </w:r>
      <w:r w:rsidRPr="00716764">
        <w:rPr>
          <w:rFonts w:ascii="Arial" w:hAnsi="Arial" w:cs="Arial"/>
          <w:sz w:val="22"/>
          <w:szCs w:val="22"/>
        </w:rPr>
        <w:t>, densidad espectral de potencia máxima (</w:t>
      </w:r>
      <w:r w:rsidRPr="00716764">
        <w:rPr>
          <w:rFonts w:ascii="Arial" w:hAnsi="Arial" w:cs="Arial"/>
          <w:i/>
          <w:iCs/>
          <w:sz w:val="22"/>
          <w:szCs w:val="22"/>
        </w:rPr>
        <w:t>PSD</w:t>
      </w:r>
      <w:r w:rsidRPr="00716764">
        <w:rPr>
          <w:rFonts w:ascii="Arial" w:hAnsi="Arial" w:cs="Arial"/>
          <w:sz w:val="22"/>
          <w:szCs w:val="22"/>
        </w:rPr>
        <w:t xml:space="preserve">) de </w:t>
      </w:r>
      <w:r w:rsidRPr="00716764">
        <w:rPr>
          <w:rFonts w:ascii="Arial" w:hAnsi="Arial" w:cs="Arial"/>
          <w:b/>
          <w:sz w:val="22"/>
          <w:szCs w:val="22"/>
        </w:rPr>
        <w:t>13 dBm / MHz</w:t>
      </w:r>
      <w:r w:rsidRPr="00716764">
        <w:rPr>
          <w:rFonts w:ascii="Arial" w:hAnsi="Arial" w:cs="Arial"/>
          <w:sz w:val="22"/>
          <w:szCs w:val="22"/>
        </w:rPr>
        <w:t xml:space="preserve"> y potencia máxima de salida del transmisor de </w:t>
      </w:r>
      <w:r w:rsidRPr="00716764">
        <w:rPr>
          <w:rFonts w:ascii="Arial" w:hAnsi="Arial" w:cs="Arial"/>
          <w:b/>
          <w:sz w:val="22"/>
          <w:szCs w:val="22"/>
        </w:rPr>
        <w:t>10 dBm</w:t>
      </w:r>
      <w:r w:rsidRPr="00716764">
        <w:rPr>
          <w:rFonts w:ascii="Arial" w:hAnsi="Arial" w:cs="Arial"/>
          <w:sz w:val="22"/>
          <w:szCs w:val="22"/>
        </w:rPr>
        <w:t xml:space="preserve">, lo anterior con la consideración que el ciclo de trabajo deberá ser del 10% dentro de cualquier intervalo de 33 ms; b) los dispositivos </w:t>
      </w:r>
      <w:r w:rsidRPr="00716764">
        <w:rPr>
          <w:rFonts w:ascii="Arial" w:hAnsi="Arial" w:cs="Arial"/>
          <w:i/>
          <w:iCs/>
          <w:sz w:val="22"/>
          <w:szCs w:val="22"/>
        </w:rPr>
        <w:t>FDS</w:t>
      </w:r>
      <w:r w:rsidRPr="00716764">
        <w:rPr>
          <w:rFonts w:ascii="Arial" w:hAnsi="Arial" w:cs="Arial"/>
          <w:sz w:val="22"/>
          <w:szCs w:val="22"/>
        </w:rPr>
        <w:t xml:space="preserve"> que operen en la banda 64-71 GHz podrán continuar operando en toda la banda de 57-71 GHz con los límites establecidos en las reglas existentes de la FCC. Lo anterior, con el objeto de revisar las características técnicas de la banda 57-64 GHz y así proporcionar mayor flexibilidad en la operación de los dispositivos que hacen uso de la banda 57-64 GHz, tales como sensores de movimiento que realizan funciones innovadoras como salvar vidas, control de gestos, detección de infantes en vehículos y monitoreo de pacientes médicos vulnerables e incentivar al desarrollo de nuevos productos que puedan ser empleados en sectores como el de seguridad, el automotriz, la domótica, entre otros, asegurando la coexistencia entre dispositivos </w:t>
      </w:r>
      <w:r w:rsidRPr="00716764">
        <w:rPr>
          <w:rFonts w:ascii="Arial" w:hAnsi="Arial" w:cs="Arial"/>
          <w:i/>
          <w:sz w:val="22"/>
          <w:szCs w:val="22"/>
        </w:rPr>
        <w:t xml:space="preserve">FDS </w:t>
      </w:r>
      <w:r w:rsidRPr="00716764">
        <w:rPr>
          <w:rFonts w:ascii="Arial" w:hAnsi="Arial" w:cs="Arial"/>
          <w:sz w:val="22"/>
          <w:szCs w:val="22"/>
        </w:rPr>
        <w:t>actuales y futuros que no requieran obtener una licencia.</w:t>
      </w:r>
    </w:p>
    <w:p w14:paraId="19A86CE7" w14:textId="77777777" w:rsidR="002773C7" w:rsidRPr="00716764" w:rsidRDefault="002773C7" w:rsidP="002773C7">
      <w:pPr>
        <w:spacing w:line="276" w:lineRule="auto"/>
        <w:ind w:right="-94"/>
        <w:jc w:val="both"/>
        <w:rPr>
          <w:rFonts w:ascii="Arial" w:hAnsi="Arial" w:cs="Arial"/>
          <w:sz w:val="22"/>
          <w:szCs w:val="22"/>
        </w:rPr>
      </w:pPr>
    </w:p>
    <w:p w14:paraId="6D669ACE"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 xml:space="preserve">Por otra parte, la FCC solicitó comentarios sobre métodos para mejorar la coexistencia entre los dispositivos </w:t>
      </w:r>
      <w:r w:rsidRPr="00716764">
        <w:rPr>
          <w:rFonts w:ascii="Arial" w:hAnsi="Arial" w:cs="Arial"/>
          <w:i/>
          <w:iCs/>
          <w:sz w:val="22"/>
          <w:szCs w:val="22"/>
        </w:rPr>
        <w:t xml:space="preserve">FDS </w:t>
      </w:r>
      <w:r w:rsidRPr="00716764">
        <w:rPr>
          <w:rFonts w:ascii="Arial" w:hAnsi="Arial" w:cs="Arial"/>
          <w:sz w:val="22"/>
          <w:szCs w:val="22"/>
        </w:rPr>
        <w:t xml:space="preserve">y los dispositivos existentes como </w:t>
      </w:r>
      <w:proofErr w:type="spellStart"/>
      <w:r w:rsidRPr="00716764">
        <w:rPr>
          <w:rFonts w:ascii="Arial" w:hAnsi="Arial" w:cs="Arial"/>
          <w:sz w:val="22"/>
          <w:szCs w:val="22"/>
        </w:rPr>
        <w:t>WiGig</w:t>
      </w:r>
      <w:proofErr w:type="spellEnd"/>
      <w:r w:rsidRPr="00716764">
        <w:rPr>
          <w:rFonts w:ascii="Arial" w:hAnsi="Arial" w:cs="Arial"/>
          <w:sz w:val="22"/>
          <w:szCs w:val="22"/>
        </w:rPr>
        <w:t xml:space="preserve"> WLAN o enlaces inalámbricos punto a punto que actualmente operan en la banda 57-71 GHz. </w:t>
      </w:r>
    </w:p>
    <w:p w14:paraId="144DB638" w14:textId="77777777" w:rsidR="002773C7" w:rsidRPr="00716764" w:rsidRDefault="002773C7" w:rsidP="002773C7">
      <w:pPr>
        <w:spacing w:line="276" w:lineRule="auto"/>
        <w:ind w:right="-96"/>
        <w:jc w:val="both"/>
        <w:rPr>
          <w:rFonts w:ascii="Arial" w:hAnsi="Arial" w:cs="Arial"/>
          <w:sz w:val="22"/>
          <w:szCs w:val="22"/>
        </w:rPr>
      </w:pPr>
    </w:p>
    <w:p w14:paraId="04542CAF" w14:textId="77777777" w:rsidR="002773C7" w:rsidRPr="00716764" w:rsidRDefault="002773C7" w:rsidP="002773C7">
      <w:pPr>
        <w:spacing w:line="276" w:lineRule="auto"/>
        <w:ind w:right="-96"/>
        <w:jc w:val="both"/>
        <w:rPr>
          <w:rFonts w:ascii="Arial" w:hAnsi="Arial" w:cs="Arial"/>
          <w:sz w:val="22"/>
          <w:szCs w:val="22"/>
        </w:rPr>
      </w:pPr>
      <w:r w:rsidRPr="00716764">
        <w:rPr>
          <w:rFonts w:ascii="Arial" w:hAnsi="Arial" w:cs="Arial"/>
          <w:sz w:val="22"/>
          <w:szCs w:val="22"/>
        </w:rPr>
        <w:t>El proceso consultivo se llevó a cabo del 19 de agosto al 20 de septiembre de 2021 y la fecha para la emisión de respuesta a los comentarios fue hasta el 18 de octubre de 2021. Cabe señalar que la FCC, a la fecha de emisión del presente, no ha emitido una decisión final respecto de su propuesta de modificación de la sección §15.255 del CFR.</w:t>
      </w:r>
    </w:p>
    <w:p w14:paraId="2C42DABD" w14:textId="77777777" w:rsidR="002773C7" w:rsidRPr="00716764" w:rsidRDefault="002773C7" w:rsidP="002773C7">
      <w:pPr>
        <w:spacing w:line="276" w:lineRule="auto"/>
        <w:ind w:right="-96"/>
        <w:jc w:val="both"/>
        <w:rPr>
          <w:rFonts w:ascii="Arial" w:hAnsi="Arial" w:cs="Arial"/>
          <w:sz w:val="22"/>
          <w:szCs w:val="22"/>
        </w:rPr>
      </w:pPr>
    </w:p>
    <w:p w14:paraId="1BCE6219"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u w:val="single"/>
        </w:rPr>
        <w:t>Canadá – ISED</w:t>
      </w:r>
    </w:p>
    <w:p w14:paraId="57961FF7" w14:textId="77777777" w:rsidR="002773C7" w:rsidRPr="00716764" w:rsidRDefault="002773C7" w:rsidP="002773C7">
      <w:pPr>
        <w:spacing w:line="276" w:lineRule="auto"/>
        <w:ind w:right="-94"/>
        <w:jc w:val="both"/>
        <w:rPr>
          <w:rFonts w:ascii="Arial" w:hAnsi="Arial" w:cs="Arial"/>
          <w:sz w:val="22"/>
          <w:szCs w:val="22"/>
        </w:rPr>
      </w:pPr>
    </w:p>
    <w:p w14:paraId="35551A20"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 xml:space="preserve">En Canadá, la responsabilidad de administrar los recursos del espectro radioeléctrico está a cargo de la ISED. Dentro del Marco de Políticas Canadienses relacionadas con el uso del espectro radioeléctrico, existen algunas relacionadas con la distribución de este recurso entre diferentes servicios de radiocomunicaciones (políticas de asignación de espectro), así como con el uso </w:t>
      </w:r>
      <w:r w:rsidRPr="00716764">
        <w:rPr>
          <w:rFonts w:ascii="Arial" w:hAnsi="Arial" w:cs="Arial"/>
          <w:sz w:val="22"/>
          <w:szCs w:val="22"/>
        </w:rPr>
        <w:lastRenderedPageBreak/>
        <w:t>particular para una banda asignada (políticas de utilización del espectro) y con los tipos de sistemas de radio que son comercializados en Canadá (políticas de sistemas de radio).</w:t>
      </w:r>
    </w:p>
    <w:p w14:paraId="1CD81DD6" w14:textId="77777777" w:rsidR="002773C7" w:rsidRPr="00716764" w:rsidRDefault="002773C7" w:rsidP="002773C7">
      <w:pPr>
        <w:spacing w:line="276" w:lineRule="auto"/>
        <w:ind w:right="-94"/>
        <w:jc w:val="both"/>
        <w:rPr>
          <w:rFonts w:ascii="Arial" w:hAnsi="Arial" w:cs="Arial"/>
          <w:sz w:val="22"/>
          <w:szCs w:val="22"/>
        </w:rPr>
      </w:pPr>
    </w:p>
    <w:p w14:paraId="29FD56E9"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En las políticas de utilización del espectro (“SP”) correspondientes a la banda 57-64 GHz, existe un apartado dentro de la política SP-47 GHz que se enfoca en facilitar, en mayor medida, la operación de dispositivos y sistemas de radio exentos de licencia, los cuales se rigen por las especificaciones del estándar de radio RSS-210</w:t>
      </w:r>
      <w:r w:rsidRPr="00716764">
        <w:rPr>
          <w:rStyle w:val="Refdenotaalpie"/>
          <w:rFonts w:ascii="Arial" w:hAnsi="Arial" w:cs="Arial"/>
          <w:sz w:val="22"/>
          <w:szCs w:val="22"/>
        </w:rPr>
        <w:footnoteReference w:id="8"/>
      </w:r>
      <w:r w:rsidRPr="00716764">
        <w:rPr>
          <w:rFonts w:ascii="Arial" w:hAnsi="Arial" w:cs="Arial"/>
          <w:sz w:val="22"/>
          <w:szCs w:val="22"/>
        </w:rPr>
        <w:t>, particularmente del Anexo J para aquellos dispositivos que operan en la banda 57-64 GHz.</w:t>
      </w:r>
    </w:p>
    <w:p w14:paraId="76FBFD03" w14:textId="77777777" w:rsidR="002773C7" w:rsidRPr="00716764" w:rsidRDefault="002773C7" w:rsidP="002773C7">
      <w:pPr>
        <w:spacing w:line="276" w:lineRule="auto"/>
        <w:ind w:right="-94"/>
        <w:jc w:val="both"/>
        <w:rPr>
          <w:rFonts w:ascii="Arial" w:hAnsi="Arial" w:cs="Arial"/>
          <w:sz w:val="22"/>
          <w:szCs w:val="22"/>
        </w:rPr>
      </w:pPr>
    </w:p>
    <w:p w14:paraId="3C264A29"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Aunado a lo anterior, ISED otorgó una licencia especial para habilitar la operación de los dispositivos que contengan sensores de movimiento dentro de la banda de frecuencias 57-64 GHz, los cuales podrán operar bajo las mismas condiciones técnicas que fueron establecidas en la exención DA-18-1308 de la FCC, es decir, con una potencia máxima de salida del transmisor de 10 dBm y un nivel máximo de PIRE de 13 dBm, así como un nivel de densidad espectral de potencia máxima de 13 dBm/MHz. Adicional a la limitante respecto del ciclo de trabajo de transmisión al 10%</w:t>
      </w:r>
      <w:r w:rsidRPr="00716764" w:rsidDel="00930B8E">
        <w:rPr>
          <w:rFonts w:ascii="Arial" w:hAnsi="Arial" w:cs="Arial"/>
          <w:sz w:val="22"/>
          <w:szCs w:val="22"/>
        </w:rPr>
        <w:t xml:space="preserve"> </w:t>
      </w:r>
      <w:r w:rsidRPr="00716764">
        <w:rPr>
          <w:rFonts w:ascii="Arial" w:hAnsi="Arial" w:cs="Arial"/>
          <w:sz w:val="22"/>
          <w:szCs w:val="22"/>
        </w:rPr>
        <w:t>en cualquier intervalo de 33 milisegundos.</w:t>
      </w:r>
    </w:p>
    <w:p w14:paraId="23F7DA4B" w14:textId="77777777" w:rsidR="002773C7" w:rsidRPr="00716764" w:rsidRDefault="002773C7" w:rsidP="002773C7">
      <w:pPr>
        <w:spacing w:line="276" w:lineRule="auto"/>
        <w:ind w:right="-94"/>
        <w:jc w:val="both"/>
        <w:rPr>
          <w:rFonts w:ascii="Arial" w:hAnsi="Arial" w:cs="Arial"/>
          <w:sz w:val="22"/>
          <w:szCs w:val="22"/>
        </w:rPr>
      </w:pPr>
    </w:p>
    <w:p w14:paraId="767E2916" w14:textId="77777777" w:rsidR="002773C7" w:rsidRPr="00716764" w:rsidRDefault="002773C7" w:rsidP="002773C7">
      <w:pPr>
        <w:spacing w:line="276" w:lineRule="auto"/>
        <w:ind w:right="-94"/>
        <w:jc w:val="both"/>
        <w:rPr>
          <w:rFonts w:ascii="Arial" w:hAnsi="Arial" w:cs="Arial"/>
          <w:sz w:val="22"/>
          <w:szCs w:val="22"/>
          <w:u w:val="single"/>
        </w:rPr>
      </w:pPr>
      <w:r w:rsidRPr="00716764">
        <w:rPr>
          <w:rFonts w:ascii="Arial" w:hAnsi="Arial" w:cs="Arial"/>
          <w:sz w:val="22"/>
          <w:szCs w:val="22"/>
          <w:u w:val="single"/>
        </w:rPr>
        <w:t>Otros países</w:t>
      </w:r>
    </w:p>
    <w:p w14:paraId="60FB39E2" w14:textId="77777777" w:rsidR="002773C7" w:rsidRPr="00716764" w:rsidRDefault="002773C7" w:rsidP="002773C7">
      <w:pPr>
        <w:spacing w:line="276" w:lineRule="auto"/>
        <w:ind w:right="-94"/>
        <w:jc w:val="both"/>
        <w:rPr>
          <w:rFonts w:ascii="Arial" w:hAnsi="Arial" w:cs="Arial"/>
          <w:sz w:val="22"/>
          <w:szCs w:val="22"/>
        </w:rPr>
      </w:pPr>
    </w:p>
    <w:p w14:paraId="20E88DE9"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 xml:space="preserve">En algunos otros países de las Regiones 1 y 2 de la UIT, se realizaron adecuaciones similares a las mencionadas anteriormente, a efecto de habilitar la operación de sensores de movimiento en la banda 57-64 GHz con niveles máximos de PIRE de 13 dBm, potencia máxima de salida de 10 dBm y densidad espectral de potencia máxima de 13 </w:t>
      </w:r>
      <w:proofErr w:type="spellStart"/>
      <w:r w:rsidRPr="00716764">
        <w:rPr>
          <w:rFonts w:ascii="Arial" w:hAnsi="Arial" w:cs="Arial"/>
          <w:sz w:val="22"/>
          <w:szCs w:val="22"/>
        </w:rPr>
        <w:t>dBW</w:t>
      </w:r>
      <w:proofErr w:type="spellEnd"/>
      <w:r w:rsidRPr="00716764">
        <w:rPr>
          <w:rFonts w:ascii="Arial" w:hAnsi="Arial" w:cs="Arial"/>
          <w:sz w:val="22"/>
          <w:szCs w:val="22"/>
        </w:rPr>
        <w:t>/MHz, como es el caso de Japón, donde el Ministerio del Interior y Comunicaciones (“MIC”) publicó el Informe referente a condiciones técnicas para la actualización de equipos inalámbricos que utilizan la banda de 60 GHz y dentro de la Tabla 2-3-1 “Normas técnicas del equipo inalámbrico en la banda de 60 GHz”</w:t>
      </w:r>
      <w:r w:rsidRPr="00716764">
        <w:rPr>
          <w:rFonts w:ascii="Arial" w:hAnsi="Arial" w:cs="Arial"/>
          <w:i/>
          <w:sz w:val="22"/>
          <w:szCs w:val="22"/>
        </w:rPr>
        <w:t xml:space="preserve"> </w:t>
      </w:r>
      <w:r w:rsidRPr="00716764">
        <w:rPr>
          <w:rFonts w:ascii="Arial" w:hAnsi="Arial" w:cs="Arial"/>
          <w:sz w:val="22"/>
          <w:szCs w:val="22"/>
        </w:rPr>
        <w:t>se</w:t>
      </w:r>
      <w:r w:rsidRPr="00716764">
        <w:rPr>
          <w:rFonts w:ascii="Arial" w:hAnsi="Arial" w:cs="Arial"/>
          <w:i/>
          <w:sz w:val="22"/>
          <w:szCs w:val="22"/>
        </w:rPr>
        <w:t xml:space="preserve"> </w:t>
      </w:r>
      <w:r w:rsidRPr="00716764">
        <w:rPr>
          <w:rFonts w:ascii="Arial" w:hAnsi="Arial" w:cs="Arial"/>
          <w:sz w:val="22"/>
          <w:szCs w:val="22"/>
        </w:rPr>
        <w:t>especifican dichas condiciones técnicas.</w:t>
      </w:r>
    </w:p>
    <w:p w14:paraId="1498F252" w14:textId="77777777" w:rsidR="002773C7" w:rsidRPr="00716764" w:rsidRDefault="002773C7" w:rsidP="002773C7">
      <w:pPr>
        <w:spacing w:line="276" w:lineRule="auto"/>
        <w:ind w:right="-94"/>
        <w:jc w:val="both"/>
        <w:rPr>
          <w:rFonts w:ascii="Arial" w:hAnsi="Arial" w:cs="Arial"/>
          <w:sz w:val="22"/>
          <w:szCs w:val="22"/>
        </w:rPr>
      </w:pPr>
    </w:p>
    <w:p w14:paraId="4A9502FD" w14:textId="77777777" w:rsidR="002773C7" w:rsidRPr="00716764" w:rsidRDefault="002773C7" w:rsidP="002773C7">
      <w:pPr>
        <w:spacing w:line="276" w:lineRule="auto"/>
        <w:ind w:right="-94"/>
        <w:jc w:val="both"/>
        <w:rPr>
          <w:rFonts w:ascii="Arial" w:hAnsi="Arial" w:cs="Arial"/>
          <w:sz w:val="22"/>
          <w:szCs w:val="22"/>
          <w:u w:val="single"/>
        </w:rPr>
      </w:pPr>
      <w:r w:rsidRPr="00716764">
        <w:rPr>
          <w:rFonts w:ascii="Arial" w:hAnsi="Arial" w:cs="Arial"/>
          <w:sz w:val="22"/>
          <w:szCs w:val="22"/>
          <w:u w:val="single"/>
        </w:rPr>
        <w:t>Recomendaciones, Informes y Resoluciones del UIT-R</w:t>
      </w:r>
    </w:p>
    <w:p w14:paraId="51A07D86" w14:textId="77777777" w:rsidR="002773C7" w:rsidRPr="00716764" w:rsidRDefault="002773C7" w:rsidP="002773C7">
      <w:pPr>
        <w:spacing w:line="276" w:lineRule="auto"/>
        <w:ind w:right="-94"/>
        <w:jc w:val="both"/>
        <w:rPr>
          <w:rFonts w:ascii="Arial" w:hAnsi="Arial" w:cs="Arial"/>
          <w:sz w:val="22"/>
          <w:szCs w:val="22"/>
        </w:rPr>
      </w:pPr>
    </w:p>
    <w:p w14:paraId="14FC60D0"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Por otro lado, el UIT-R se ha enfocado en establecer reglas o directrices con el objeto de alcanzar un mayor grado de armonización de los dispositivos de radiocomunicaciones de corto alcance (“DRCA”), incluidos los sensores de movimiento. Es así que, a través de la Recomendación UIT-R SM-2103-0 “Armonización mundial de categorías de dispositivos de corto alcance”</w:t>
      </w:r>
      <w:r w:rsidRPr="00716764">
        <w:rPr>
          <w:rStyle w:val="Refdenotaalpie"/>
          <w:rFonts w:ascii="Arial" w:hAnsi="Arial" w:cs="Arial"/>
          <w:sz w:val="22"/>
          <w:szCs w:val="22"/>
        </w:rPr>
        <w:footnoteReference w:id="9"/>
      </w:r>
      <w:r w:rsidRPr="00716764">
        <w:rPr>
          <w:rFonts w:ascii="Arial" w:hAnsi="Arial" w:cs="Arial"/>
          <w:sz w:val="22"/>
          <w:szCs w:val="22"/>
        </w:rPr>
        <w:t xml:space="preserve"> se muestran diversas categorías, aplicaciones y normas técnicas implementadas en diversos países y regiones a nivel mundial, con el fin de orientar a otros países respecto de la armonización de las categorías, reglamentación y las bandas de frecuencias empleadas para equipos DRCA.</w:t>
      </w:r>
    </w:p>
    <w:p w14:paraId="311ACAF4" w14:textId="77777777" w:rsidR="002773C7" w:rsidRPr="00716764" w:rsidRDefault="002773C7" w:rsidP="002773C7">
      <w:pPr>
        <w:spacing w:line="276" w:lineRule="auto"/>
        <w:ind w:right="-94"/>
        <w:jc w:val="both"/>
        <w:rPr>
          <w:rFonts w:ascii="Arial" w:hAnsi="Arial" w:cs="Arial"/>
          <w:sz w:val="22"/>
          <w:szCs w:val="22"/>
        </w:rPr>
      </w:pPr>
    </w:p>
    <w:p w14:paraId="6BE8BFBD"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A este respecto, el Informe UIT-R SM-2153-8 “Parámetros técnicos y de funcionamiento de los dispositivos de radiocomunicaciones de corto alcance y utilización del espectro por los mismos”</w:t>
      </w:r>
      <w:r w:rsidRPr="00716764">
        <w:rPr>
          <w:rStyle w:val="Refdenotaalpie"/>
          <w:rFonts w:ascii="Arial" w:hAnsi="Arial" w:cs="Arial"/>
          <w:sz w:val="22"/>
          <w:szCs w:val="22"/>
        </w:rPr>
        <w:footnoteReference w:id="10"/>
      </w:r>
      <w:r w:rsidRPr="00716764">
        <w:rPr>
          <w:rFonts w:ascii="Arial" w:hAnsi="Arial" w:cs="Arial"/>
          <w:sz w:val="22"/>
          <w:szCs w:val="22"/>
        </w:rPr>
        <w:t xml:space="preserve"> , </w:t>
      </w:r>
      <w:r w:rsidRPr="00716764">
        <w:rPr>
          <w:rFonts w:ascii="Arial" w:hAnsi="Arial" w:cs="Arial"/>
          <w:sz w:val="22"/>
          <w:szCs w:val="22"/>
        </w:rPr>
        <w:lastRenderedPageBreak/>
        <w:t>se observa que existen bandas de frecuencias armonizadas y recomendadas para el despliegue de los DRCA, incluyendo la banda 57-64 GHz, en donde se indican parámetros técnicos y de utilización de las bandas consideradas, con base en las normas y reglamentación técnica adoptada por cada país, o a nivel regional, por grupos, comisiones u organizaciones particulares.</w:t>
      </w:r>
    </w:p>
    <w:p w14:paraId="5B10B257" w14:textId="77777777" w:rsidR="002773C7" w:rsidRPr="00716764" w:rsidRDefault="002773C7" w:rsidP="002773C7">
      <w:pPr>
        <w:spacing w:line="276" w:lineRule="auto"/>
        <w:ind w:right="-94"/>
        <w:jc w:val="both"/>
        <w:rPr>
          <w:rFonts w:ascii="Arial" w:hAnsi="Arial" w:cs="Arial"/>
          <w:sz w:val="22"/>
          <w:szCs w:val="22"/>
        </w:rPr>
      </w:pPr>
    </w:p>
    <w:p w14:paraId="2A969709" w14:textId="77777777" w:rsidR="002773C7" w:rsidRPr="00716764" w:rsidRDefault="002773C7" w:rsidP="002773C7">
      <w:pPr>
        <w:spacing w:line="276" w:lineRule="auto"/>
        <w:ind w:right="-94"/>
        <w:jc w:val="both"/>
        <w:rPr>
          <w:rFonts w:ascii="Arial" w:hAnsi="Arial" w:cs="Arial"/>
          <w:sz w:val="22"/>
          <w:szCs w:val="22"/>
        </w:rPr>
      </w:pPr>
      <w:r w:rsidRPr="00716764">
        <w:rPr>
          <w:rFonts w:ascii="Arial" w:hAnsi="Arial" w:cs="Arial"/>
          <w:sz w:val="22"/>
          <w:szCs w:val="22"/>
        </w:rPr>
        <w:t>Finalmente, la UIT-R en su proyecto de revisión de la Resolución UIT-R 54-3 “Estudios para lograr la armonización de los dispositivos de corto alcance”</w:t>
      </w:r>
      <w:r w:rsidRPr="00716764">
        <w:rPr>
          <w:rStyle w:val="Refdenotaalpie"/>
          <w:rFonts w:ascii="Arial" w:hAnsi="Arial" w:cs="Arial"/>
          <w:sz w:val="22"/>
          <w:szCs w:val="22"/>
        </w:rPr>
        <w:footnoteReference w:id="11"/>
      </w:r>
      <w:r w:rsidRPr="00716764">
        <w:rPr>
          <w:rFonts w:ascii="Arial" w:hAnsi="Arial" w:cs="Arial"/>
          <w:sz w:val="22"/>
          <w:szCs w:val="22"/>
        </w:rPr>
        <w:t xml:space="preserve">, reconoce, entre otras cosas, que las ventajas de la armonización del espectro podrían materializarse en: i) mayores posibilidades de interoperabilidad entre equipos; </w:t>
      </w:r>
      <w:proofErr w:type="spellStart"/>
      <w:r w:rsidRPr="00716764">
        <w:rPr>
          <w:rFonts w:ascii="Arial" w:hAnsi="Arial" w:cs="Arial"/>
          <w:sz w:val="22"/>
          <w:szCs w:val="22"/>
        </w:rPr>
        <w:t>ii</w:t>
      </w:r>
      <w:proofErr w:type="spellEnd"/>
      <w:r w:rsidRPr="00716764">
        <w:rPr>
          <w:rFonts w:ascii="Arial" w:hAnsi="Arial" w:cs="Arial"/>
          <w:sz w:val="22"/>
          <w:szCs w:val="22"/>
        </w:rPr>
        <w:t xml:space="preserve">) economías de escala y disponibilidad de equipos; </w:t>
      </w:r>
      <w:proofErr w:type="spellStart"/>
      <w:r w:rsidRPr="00716764">
        <w:rPr>
          <w:rFonts w:ascii="Arial" w:hAnsi="Arial" w:cs="Arial"/>
          <w:sz w:val="22"/>
          <w:szCs w:val="22"/>
        </w:rPr>
        <w:t>iii</w:t>
      </w:r>
      <w:proofErr w:type="spellEnd"/>
      <w:r w:rsidRPr="00716764">
        <w:rPr>
          <w:rFonts w:ascii="Arial" w:hAnsi="Arial" w:cs="Arial"/>
          <w:sz w:val="22"/>
          <w:szCs w:val="22"/>
        </w:rPr>
        <w:t xml:space="preserve">) mejor gestión del espectro, y </w:t>
      </w:r>
      <w:proofErr w:type="spellStart"/>
      <w:r w:rsidRPr="00716764">
        <w:rPr>
          <w:rFonts w:ascii="Arial" w:hAnsi="Arial" w:cs="Arial"/>
          <w:sz w:val="22"/>
          <w:szCs w:val="22"/>
        </w:rPr>
        <w:t>iv</w:t>
      </w:r>
      <w:proofErr w:type="spellEnd"/>
      <w:r w:rsidRPr="00716764">
        <w:rPr>
          <w:rFonts w:ascii="Arial" w:hAnsi="Arial" w:cs="Arial"/>
          <w:sz w:val="22"/>
          <w:szCs w:val="22"/>
        </w:rPr>
        <w:t>) mejora de la distribución de equipos en los diversos países.</w:t>
      </w:r>
    </w:p>
    <w:p w14:paraId="6E2D0F88" w14:textId="77777777" w:rsidR="002773C7" w:rsidRPr="00716764" w:rsidRDefault="002773C7" w:rsidP="002773C7">
      <w:pPr>
        <w:spacing w:line="276" w:lineRule="auto"/>
        <w:ind w:right="-94"/>
        <w:jc w:val="both"/>
        <w:rPr>
          <w:rFonts w:ascii="Arial" w:hAnsi="Arial" w:cs="Arial"/>
          <w:sz w:val="22"/>
          <w:szCs w:val="22"/>
        </w:rPr>
      </w:pPr>
    </w:p>
    <w:p w14:paraId="51B9B763"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proofErr w:type="gramStart"/>
      <w:r w:rsidRPr="00716764">
        <w:rPr>
          <w:rFonts w:ascii="Arial" w:hAnsi="Arial" w:cs="Arial"/>
          <w:b/>
          <w:sz w:val="22"/>
          <w:szCs w:val="22"/>
          <w:lang w:eastAsia="ar-SA"/>
        </w:rPr>
        <w:t>Cuarto.-</w:t>
      </w:r>
      <w:proofErr w:type="gramEnd"/>
      <w:r w:rsidRPr="00716764">
        <w:rPr>
          <w:rFonts w:ascii="Arial" w:hAnsi="Arial" w:cs="Arial"/>
          <w:b/>
          <w:sz w:val="22"/>
          <w:szCs w:val="22"/>
          <w:lang w:eastAsia="ar-SA"/>
        </w:rPr>
        <w:t xml:space="preserve"> Actualización de las condiciones técnicas de operación para el uso de la banda de frecuencias 57-64 GHz</w:t>
      </w:r>
      <w:r w:rsidRPr="00716764">
        <w:rPr>
          <w:rFonts w:ascii="Arial" w:hAnsi="Arial" w:cs="Arial"/>
          <w:b/>
          <w:kern w:val="1"/>
          <w:sz w:val="22"/>
          <w:szCs w:val="22"/>
          <w:lang w:eastAsia="ar-SA"/>
        </w:rPr>
        <w:t>.</w:t>
      </w:r>
      <w:r w:rsidRPr="00716764">
        <w:rPr>
          <w:rFonts w:ascii="Arial" w:hAnsi="Arial" w:cs="Arial"/>
          <w:kern w:val="1"/>
          <w:sz w:val="22"/>
          <w:szCs w:val="22"/>
          <w:lang w:eastAsia="ar-SA"/>
        </w:rPr>
        <w:t xml:space="preserve"> En virtud de que el espectro radioeléctrico es un recurso finito pero reutilizable, se hace inminente implementar una adecuada gestión del mismo que propicie su uso eficiente. Es así que, como parte de la administración del espectro radioeléctrico efectuada por el Instituto, se encuentra la clasificación de una banda de frecuencias como espectro libre, así como el establecimiento de condiciones técnicas para el uso de la misma. </w:t>
      </w:r>
    </w:p>
    <w:p w14:paraId="5CBD28DB"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p>
    <w:p w14:paraId="5FD535DE"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En este sentido, en mayo de 2017 se clasificó la banda 57-64 GHz como espectro libre para que pudiera ser utilizada para diversos servicios de telecomunicaciones, sin necesidad de contar con una concesión o autorización y se establecieron condiciones de operación de la misma. Sin embargo, con el desarrollo tecnológico y los cambios en la regulación internacional, se observa que algunos parámetros técnicos establecidos originalmente han sido actualizados.</w:t>
      </w:r>
    </w:p>
    <w:p w14:paraId="11807D76" w14:textId="77777777" w:rsidR="002773C7" w:rsidRPr="00716764" w:rsidRDefault="002773C7" w:rsidP="002773C7">
      <w:pPr>
        <w:pStyle w:val="Prrafodelista"/>
        <w:spacing w:line="276" w:lineRule="auto"/>
        <w:contextualSpacing w:val="0"/>
        <w:jc w:val="both"/>
        <w:rPr>
          <w:rFonts w:ascii="Arial" w:hAnsi="Arial" w:cs="Arial"/>
          <w:kern w:val="1"/>
          <w:sz w:val="22"/>
          <w:szCs w:val="22"/>
          <w:lang w:eastAsia="ar-SA"/>
        </w:rPr>
      </w:pPr>
    </w:p>
    <w:p w14:paraId="0959DC5B"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Es así que el Instituto, como regulador en el sector de las telecomunicaciones en México, llevó a cabo una revisión de las condiciones técnicas de operación de la banda 57-64 GHz, tomando en consideración diversos factores relacionados con la administración y planificación del espectro radioeléctrico, tales como la utilización actual de esta banda de frecuencias, los parámetros técnicos de operación de los dispositivos o equipos transmisores y receptores, los estándares técnicos, las diferentes aplicaciones y tecnologías nuevas o mejoradas que se encuentran disponibles, así como los métodos de gestión del espectro radioeléctrico que permitan el uso eficiente del mismo.</w:t>
      </w:r>
    </w:p>
    <w:p w14:paraId="57674348"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p>
    <w:p w14:paraId="2F8D1226"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Adicionalmente, en el marco de las actividades que se realizan actualmente en el Comité Técnico en materia de Espectro Radioeléctrico (“CTER”) del Instituto, específicamente en el Grupo de Trabajo de Aspectos Generales del espectro radioeléctrico, la industria (proveedores de servicios y fabricantes de equipos) mostró interés respecto de la actualización del Anexo 1 del Acuerdo que clasifica la banda 57-64 GHz como espectro libre, con el objeto de adicionar un numeral en las condiciones técnicas de operación de la banda 57-64 GHz. La sugerencia recibida en el CTER por parte de la industria toma de referencia las actividades que se llevaron a cabo por la FCC en </w:t>
      </w:r>
      <w:r w:rsidRPr="00716764">
        <w:rPr>
          <w:rFonts w:ascii="Arial" w:hAnsi="Arial" w:cs="Arial"/>
          <w:kern w:val="1"/>
          <w:sz w:val="22"/>
          <w:szCs w:val="22"/>
          <w:lang w:eastAsia="ar-SA"/>
        </w:rPr>
        <w:lastRenderedPageBreak/>
        <w:t xml:space="preserve">EE.UU. (la exención DA 18-1308), la ISED en Canadá (el estándar de radio RSS-210), el Gobierno de Nueva Zelanda (Regulación 9- </w:t>
      </w:r>
      <w:proofErr w:type="spellStart"/>
      <w:r w:rsidRPr="00716764">
        <w:rPr>
          <w:rFonts w:ascii="Arial" w:hAnsi="Arial" w:cs="Arial"/>
          <w:kern w:val="1"/>
          <w:sz w:val="22"/>
          <w:szCs w:val="22"/>
          <w:lang w:eastAsia="ar-SA"/>
        </w:rPr>
        <w:t>SRDs</w:t>
      </w:r>
      <w:proofErr w:type="spellEnd"/>
      <w:r w:rsidRPr="00716764">
        <w:rPr>
          <w:rFonts w:ascii="Arial" w:hAnsi="Arial" w:cs="Arial"/>
          <w:kern w:val="1"/>
          <w:sz w:val="22"/>
          <w:szCs w:val="22"/>
          <w:lang w:eastAsia="ar-SA"/>
        </w:rPr>
        <w:t>) y el MIC en Japón.</w:t>
      </w:r>
    </w:p>
    <w:p w14:paraId="51FE1259" w14:textId="77777777" w:rsidR="002773C7" w:rsidRPr="00716764" w:rsidRDefault="002773C7" w:rsidP="002773C7">
      <w:pPr>
        <w:pStyle w:val="Prrafodelista"/>
        <w:spacing w:line="276" w:lineRule="auto"/>
        <w:contextualSpacing w:val="0"/>
        <w:jc w:val="both"/>
        <w:rPr>
          <w:rFonts w:ascii="Arial" w:hAnsi="Arial" w:cs="Arial"/>
          <w:kern w:val="1"/>
          <w:sz w:val="22"/>
          <w:szCs w:val="22"/>
          <w:lang w:eastAsia="ar-SA"/>
        </w:rPr>
      </w:pPr>
    </w:p>
    <w:p w14:paraId="1B12B24E"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Con base en lo anterior, el Instituto llevó a cabo un análisis acerca de las condiciones técnicas establecidas para la operación de sensores de movimiento en la banda 57-64 GHz, determinando procedente la adición de condiciones técnicas de operación como parte de un nuevo numeral 2.1.5 bis y la modificación del numeral 2.1.6 del Anexo 1 del Acuerdo que clasifica la banda 57-64 GHz, lo que permitirá el uso eficiente de dichos sensores, así como la adecuada</w:t>
      </w:r>
      <w:r w:rsidRPr="00716764" w:rsidDel="009058BB">
        <w:rPr>
          <w:rFonts w:ascii="Arial" w:hAnsi="Arial" w:cs="Arial"/>
          <w:kern w:val="1"/>
          <w:sz w:val="22"/>
          <w:szCs w:val="22"/>
          <w:lang w:eastAsia="ar-SA"/>
        </w:rPr>
        <w:t xml:space="preserve"> </w:t>
      </w:r>
      <w:r w:rsidRPr="00716764">
        <w:rPr>
          <w:rFonts w:ascii="Arial" w:hAnsi="Arial" w:cs="Arial"/>
          <w:kern w:val="1"/>
          <w:sz w:val="22"/>
          <w:szCs w:val="22"/>
          <w:lang w:eastAsia="ar-SA"/>
        </w:rPr>
        <w:t>operación de los dispositivos y equipos que hagan uso de la banda.</w:t>
      </w:r>
    </w:p>
    <w:p w14:paraId="374F293C"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p>
    <w:p w14:paraId="72EDC6E6"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Como se indicó en el considerando Tercero, los sensores de movimiento que podrían hacer uso de la banda 57-64 GHz como parte de equipos de radiocomunicación a ser utilizados sin necesidad de concesión u autorización, permitirá armonizar el uso de la banda, además de aprovechar los beneficios de las nuevas tecnologías, como los sensores de movimiento, y fomentar el desarrollo de dispositivos que utilicen estas tecnologías. A este respecto, es de precisar que también se analizaron las regulaciones que han dado pie a que los sensores de movimiento operen en la banda 57-64 GHz con base en estudios de no interferencia y coexistencia.</w:t>
      </w:r>
    </w:p>
    <w:p w14:paraId="26F4592C" w14:textId="77777777" w:rsidR="002773C7" w:rsidRPr="00716764" w:rsidRDefault="002773C7" w:rsidP="002773C7">
      <w:pPr>
        <w:pStyle w:val="Prrafodelista"/>
        <w:spacing w:line="276" w:lineRule="auto"/>
        <w:ind w:left="0"/>
        <w:contextualSpacing w:val="0"/>
        <w:jc w:val="both"/>
        <w:rPr>
          <w:rFonts w:ascii="Arial" w:hAnsi="Arial" w:cs="Arial"/>
          <w:kern w:val="1"/>
          <w:sz w:val="22"/>
          <w:szCs w:val="22"/>
          <w:lang w:eastAsia="ar-SA"/>
        </w:rPr>
      </w:pPr>
    </w:p>
    <w:p w14:paraId="070DAAF4" w14:textId="77777777" w:rsidR="002773C7" w:rsidRPr="00716764" w:rsidRDefault="002773C7" w:rsidP="002773C7">
      <w:pPr>
        <w:pStyle w:val="Prrafodelista"/>
        <w:spacing w:line="276" w:lineRule="auto"/>
        <w:ind w:left="0"/>
        <w:contextualSpacing w:val="0"/>
        <w:jc w:val="both"/>
        <w:rPr>
          <w:rFonts w:ascii="Arial" w:hAnsi="Arial" w:cs="Arial"/>
          <w:sz w:val="22"/>
          <w:szCs w:val="22"/>
        </w:rPr>
      </w:pPr>
      <w:r w:rsidRPr="00716764">
        <w:rPr>
          <w:rFonts w:ascii="Arial" w:hAnsi="Arial" w:cs="Arial"/>
          <w:kern w:val="1"/>
          <w:sz w:val="22"/>
          <w:szCs w:val="22"/>
          <w:lang w:eastAsia="ar-SA"/>
        </w:rPr>
        <w:t>En este sentido</w:t>
      </w:r>
      <w:r w:rsidRPr="00716764">
        <w:rPr>
          <w:rFonts w:ascii="Arial" w:hAnsi="Arial" w:cs="Arial"/>
          <w:sz w:val="22"/>
          <w:szCs w:val="22"/>
        </w:rPr>
        <w:t>, se propone actualizar el Anexo 1 del Acuerdo que clasifica la banda 57-64 GHz, en los términos siguientes:</w:t>
      </w:r>
    </w:p>
    <w:p w14:paraId="32640E6F" w14:textId="77777777" w:rsidR="002773C7" w:rsidRPr="00716764" w:rsidRDefault="002773C7" w:rsidP="002773C7">
      <w:pPr>
        <w:spacing w:line="276" w:lineRule="auto"/>
        <w:ind w:right="-94"/>
        <w:jc w:val="both"/>
        <w:rPr>
          <w:rFonts w:ascii="Arial" w:hAnsi="Arial" w:cs="Arial"/>
          <w:sz w:val="22"/>
          <w:szCs w:val="22"/>
        </w:rPr>
      </w:pPr>
    </w:p>
    <w:p w14:paraId="438A9037" w14:textId="77777777" w:rsidR="002773C7" w:rsidRPr="00716764" w:rsidRDefault="002773C7" w:rsidP="002773C7">
      <w:pPr>
        <w:pStyle w:val="Prrafodelista"/>
        <w:numPr>
          <w:ilvl w:val="0"/>
          <w:numId w:val="47"/>
        </w:numPr>
        <w:spacing w:line="276" w:lineRule="auto"/>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Se </w:t>
      </w:r>
      <w:r w:rsidRPr="00716764">
        <w:rPr>
          <w:rFonts w:ascii="Arial" w:hAnsi="Arial" w:cs="Arial"/>
          <w:b/>
          <w:bCs/>
          <w:i/>
          <w:iCs/>
          <w:kern w:val="1"/>
          <w:sz w:val="22"/>
          <w:szCs w:val="22"/>
          <w:lang w:eastAsia="ar-SA"/>
        </w:rPr>
        <w:t>ADICIONA</w:t>
      </w:r>
      <w:r w:rsidRPr="00716764">
        <w:rPr>
          <w:rFonts w:ascii="Arial" w:hAnsi="Arial" w:cs="Arial"/>
          <w:i/>
          <w:iCs/>
          <w:kern w:val="1"/>
          <w:sz w:val="22"/>
          <w:szCs w:val="22"/>
          <w:lang w:eastAsia="ar-SA"/>
        </w:rPr>
        <w:t xml:space="preserve"> </w:t>
      </w:r>
      <w:r w:rsidRPr="00716764">
        <w:rPr>
          <w:rFonts w:ascii="Arial" w:hAnsi="Arial" w:cs="Arial"/>
          <w:kern w:val="1"/>
          <w:sz w:val="22"/>
          <w:szCs w:val="22"/>
          <w:lang w:eastAsia="ar-SA"/>
        </w:rPr>
        <w:t xml:space="preserve">el título del </w:t>
      </w:r>
      <w:r w:rsidRPr="00716764">
        <w:rPr>
          <w:rFonts w:ascii="Arial" w:hAnsi="Arial" w:cs="Arial"/>
          <w:b/>
          <w:bCs/>
          <w:kern w:val="1"/>
          <w:sz w:val="22"/>
          <w:szCs w:val="22"/>
          <w:lang w:eastAsia="ar-SA"/>
        </w:rPr>
        <w:t>Anexo 1</w:t>
      </w:r>
      <w:r w:rsidRPr="00716764">
        <w:rPr>
          <w:rFonts w:ascii="Arial" w:hAnsi="Arial" w:cs="Arial"/>
          <w:kern w:val="1"/>
          <w:sz w:val="22"/>
          <w:szCs w:val="22"/>
          <w:lang w:eastAsia="ar-SA"/>
        </w:rPr>
        <w:t>.</w:t>
      </w:r>
    </w:p>
    <w:p w14:paraId="35CB6A4B" w14:textId="77777777" w:rsidR="002773C7" w:rsidRPr="00716764" w:rsidRDefault="002773C7" w:rsidP="002773C7">
      <w:pPr>
        <w:pStyle w:val="Prrafodelista"/>
        <w:numPr>
          <w:ilvl w:val="0"/>
          <w:numId w:val="47"/>
        </w:numPr>
        <w:spacing w:line="276" w:lineRule="auto"/>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Se </w:t>
      </w:r>
      <w:r w:rsidRPr="00716764">
        <w:rPr>
          <w:rFonts w:ascii="Arial" w:hAnsi="Arial" w:cs="Arial"/>
          <w:b/>
          <w:bCs/>
          <w:kern w:val="1"/>
          <w:sz w:val="22"/>
          <w:szCs w:val="22"/>
          <w:lang w:eastAsia="ar-SA"/>
        </w:rPr>
        <w:t>ADICIONAN</w:t>
      </w:r>
      <w:r w:rsidRPr="00716764">
        <w:rPr>
          <w:rFonts w:ascii="Arial" w:hAnsi="Arial" w:cs="Arial"/>
          <w:kern w:val="1"/>
          <w:sz w:val="22"/>
          <w:szCs w:val="22"/>
          <w:lang w:eastAsia="ar-SA"/>
        </w:rPr>
        <w:t xml:space="preserve"> los numerales </w:t>
      </w:r>
      <w:r w:rsidRPr="00716764">
        <w:rPr>
          <w:rFonts w:ascii="Arial" w:hAnsi="Arial" w:cs="Arial"/>
          <w:b/>
          <w:bCs/>
          <w:i/>
          <w:iCs/>
          <w:kern w:val="1"/>
          <w:sz w:val="22"/>
          <w:szCs w:val="22"/>
          <w:lang w:eastAsia="ar-SA"/>
        </w:rPr>
        <w:t>1.1.3 bis</w:t>
      </w:r>
      <w:r w:rsidRPr="00716764">
        <w:rPr>
          <w:rFonts w:ascii="Arial" w:hAnsi="Arial" w:cs="Arial"/>
          <w:kern w:val="1"/>
          <w:sz w:val="22"/>
          <w:szCs w:val="22"/>
          <w:lang w:eastAsia="ar-SA"/>
        </w:rPr>
        <w:t xml:space="preserve">, </w:t>
      </w:r>
      <w:r w:rsidRPr="00716764">
        <w:rPr>
          <w:rFonts w:ascii="Arial" w:hAnsi="Arial" w:cs="Arial"/>
          <w:b/>
          <w:bCs/>
          <w:i/>
          <w:iCs/>
          <w:kern w:val="1"/>
          <w:sz w:val="22"/>
          <w:szCs w:val="22"/>
          <w:lang w:eastAsia="ar-SA"/>
        </w:rPr>
        <w:t>1.1.6 bis</w:t>
      </w:r>
      <w:r w:rsidRPr="00716764">
        <w:rPr>
          <w:rFonts w:ascii="Arial" w:hAnsi="Arial" w:cs="Arial"/>
          <w:kern w:val="1"/>
          <w:sz w:val="22"/>
          <w:szCs w:val="22"/>
          <w:lang w:eastAsia="ar-SA"/>
        </w:rPr>
        <w:t xml:space="preserve"> y </w:t>
      </w:r>
      <w:r w:rsidRPr="00716764">
        <w:rPr>
          <w:rFonts w:ascii="Arial" w:hAnsi="Arial" w:cs="Arial"/>
          <w:b/>
          <w:bCs/>
          <w:i/>
          <w:iCs/>
          <w:kern w:val="1"/>
          <w:sz w:val="22"/>
          <w:szCs w:val="22"/>
          <w:lang w:eastAsia="ar-SA"/>
        </w:rPr>
        <w:t>1.1.11 bis</w:t>
      </w:r>
      <w:r w:rsidRPr="00716764">
        <w:rPr>
          <w:rFonts w:ascii="Arial" w:hAnsi="Arial" w:cs="Arial"/>
          <w:bCs/>
          <w:iCs/>
          <w:kern w:val="1"/>
          <w:sz w:val="22"/>
          <w:szCs w:val="22"/>
          <w:lang w:eastAsia="ar-SA"/>
        </w:rPr>
        <w:t>, los cuales corresponden a las</w:t>
      </w:r>
      <w:r w:rsidRPr="00716764">
        <w:rPr>
          <w:rFonts w:ascii="Arial" w:hAnsi="Arial" w:cs="Arial"/>
          <w:kern w:val="1"/>
          <w:sz w:val="22"/>
          <w:szCs w:val="22"/>
          <w:lang w:eastAsia="ar-SA"/>
        </w:rPr>
        <w:t xml:space="preserve"> definiciones de </w:t>
      </w:r>
      <w:r w:rsidRPr="00716764">
        <w:rPr>
          <w:rFonts w:ascii="Arial" w:hAnsi="Arial" w:cs="Arial"/>
          <w:b/>
          <w:bCs/>
          <w:kern w:val="1"/>
          <w:sz w:val="22"/>
          <w:szCs w:val="22"/>
          <w:lang w:eastAsia="ar-SA"/>
        </w:rPr>
        <w:t>Densidad espectral de potencia</w:t>
      </w:r>
      <w:r w:rsidRPr="00716764">
        <w:rPr>
          <w:rFonts w:ascii="Arial" w:hAnsi="Arial" w:cs="Arial"/>
          <w:kern w:val="1"/>
          <w:sz w:val="22"/>
          <w:szCs w:val="22"/>
          <w:lang w:eastAsia="ar-SA"/>
        </w:rPr>
        <w:t xml:space="preserve">, </w:t>
      </w:r>
      <w:r w:rsidRPr="00716764">
        <w:rPr>
          <w:rFonts w:ascii="Arial" w:hAnsi="Arial" w:cs="Arial"/>
          <w:b/>
          <w:bCs/>
          <w:kern w:val="1"/>
          <w:sz w:val="22"/>
          <w:szCs w:val="22"/>
          <w:lang w:eastAsia="ar-SA"/>
        </w:rPr>
        <w:t>Ganancia de la antena</w:t>
      </w:r>
      <w:r w:rsidRPr="00716764">
        <w:rPr>
          <w:rFonts w:ascii="Arial" w:hAnsi="Arial" w:cs="Arial"/>
          <w:kern w:val="1"/>
          <w:sz w:val="22"/>
          <w:szCs w:val="22"/>
          <w:lang w:eastAsia="ar-SA"/>
        </w:rPr>
        <w:t xml:space="preserve"> y </w:t>
      </w:r>
      <w:r w:rsidRPr="00716764">
        <w:rPr>
          <w:rFonts w:ascii="Arial" w:hAnsi="Arial" w:cs="Arial"/>
          <w:b/>
          <w:bCs/>
          <w:kern w:val="1"/>
          <w:sz w:val="22"/>
          <w:szCs w:val="22"/>
          <w:lang w:eastAsia="ar-SA"/>
        </w:rPr>
        <w:t>Sensor de movimiento</w:t>
      </w:r>
      <w:r w:rsidRPr="00716764">
        <w:rPr>
          <w:rFonts w:ascii="Arial" w:hAnsi="Arial" w:cs="Arial"/>
          <w:kern w:val="1"/>
          <w:sz w:val="22"/>
          <w:szCs w:val="22"/>
          <w:lang w:eastAsia="ar-SA"/>
        </w:rPr>
        <w:t>, respectivamente.</w:t>
      </w:r>
    </w:p>
    <w:p w14:paraId="57B990B1" w14:textId="77777777" w:rsidR="002773C7" w:rsidRPr="00716764" w:rsidRDefault="002773C7" w:rsidP="002773C7">
      <w:pPr>
        <w:pStyle w:val="Prrafodelista"/>
        <w:numPr>
          <w:ilvl w:val="0"/>
          <w:numId w:val="47"/>
        </w:numPr>
        <w:spacing w:line="276" w:lineRule="auto"/>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Se </w:t>
      </w:r>
      <w:r w:rsidRPr="00716764">
        <w:rPr>
          <w:rFonts w:ascii="Arial" w:hAnsi="Arial" w:cs="Arial"/>
          <w:b/>
          <w:bCs/>
          <w:i/>
          <w:iCs/>
          <w:kern w:val="1"/>
          <w:sz w:val="22"/>
          <w:szCs w:val="22"/>
          <w:lang w:eastAsia="ar-SA"/>
        </w:rPr>
        <w:t>MODIFICAN</w:t>
      </w:r>
      <w:r w:rsidRPr="00716764">
        <w:rPr>
          <w:rFonts w:ascii="Arial" w:hAnsi="Arial" w:cs="Arial"/>
          <w:i/>
          <w:iCs/>
          <w:kern w:val="1"/>
          <w:sz w:val="22"/>
          <w:szCs w:val="22"/>
          <w:lang w:eastAsia="ar-SA"/>
        </w:rPr>
        <w:t xml:space="preserve"> los numerales </w:t>
      </w:r>
      <w:r w:rsidRPr="00716764">
        <w:rPr>
          <w:rFonts w:ascii="Arial" w:hAnsi="Arial" w:cs="Arial"/>
          <w:b/>
          <w:i/>
          <w:iCs/>
          <w:kern w:val="1"/>
          <w:sz w:val="22"/>
          <w:szCs w:val="22"/>
          <w:lang w:eastAsia="ar-SA"/>
        </w:rPr>
        <w:t>1.1.4</w:t>
      </w:r>
      <w:r w:rsidRPr="00716764">
        <w:rPr>
          <w:rFonts w:ascii="Arial" w:hAnsi="Arial" w:cs="Arial"/>
          <w:i/>
          <w:iCs/>
          <w:kern w:val="1"/>
          <w:sz w:val="22"/>
          <w:szCs w:val="22"/>
          <w:lang w:eastAsia="ar-SA"/>
        </w:rPr>
        <w:t xml:space="preserve"> y </w:t>
      </w:r>
      <w:r w:rsidRPr="00716764">
        <w:rPr>
          <w:rFonts w:ascii="Arial" w:hAnsi="Arial" w:cs="Arial"/>
          <w:b/>
          <w:i/>
          <w:iCs/>
          <w:kern w:val="1"/>
          <w:sz w:val="22"/>
          <w:szCs w:val="22"/>
          <w:lang w:eastAsia="ar-SA"/>
        </w:rPr>
        <w:t>1.1.10</w:t>
      </w:r>
      <w:r w:rsidRPr="00716764">
        <w:rPr>
          <w:rFonts w:ascii="Arial" w:hAnsi="Arial" w:cs="Arial"/>
          <w:bCs/>
          <w:iCs/>
          <w:kern w:val="1"/>
          <w:sz w:val="22"/>
          <w:szCs w:val="22"/>
          <w:lang w:eastAsia="ar-SA"/>
        </w:rPr>
        <w:t>, los cuales corresponden a las</w:t>
      </w:r>
      <w:r w:rsidRPr="00716764">
        <w:rPr>
          <w:rFonts w:ascii="Arial" w:hAnsi="Arial" w:cs="Arial"/>
          <w:i/>
          <w:iCs/>
          <w:kern w:val="1"/>
          <w:sz w:val="22"/>
          <w:szCs w:val="22"/>
          <w:lang w:eastAsia="ar-SA"/>
        </w:rPr>
        <w:t xml:space="preserve"> </w:t>
      </w:r>
      <w:r w:rsidRPr="00716764">
        <w:rPr>
          <w:rFonts w:ascii="Arial" w:hAnsi="Arial" w:cs="Arial"/>
          <w:kern w:val="1"/>
          <w:sz w:val="22"/>
          <w:szCs w:val="22"/>
          <w:lang w:eastAsia="ar-SA"/>
        </w:rPr>
        <w:t xml:space="preserve">definiciones de </w:t>
      </w:r>
      <w:r w:rsidRPr="00716764">
        <w:rPr>
          <w:rFonts w:ascii="Arial" w:hAnsi="Arial" w:cs="Arial"/>
          <w:b/>
          <w:bCs/>
          <w:i/>
          <w:iCs/>
          <w:kern w:val="1"/>
          <w:sz w:val="22"/>
          <w:szCs w:val="22"/>
          <w:lang w:eastAsia="ar-SA"/>
        </w:rPr>
        <w:t xml:space="preserve">Dispositivos de radiocomunicaciones de corto alcance (DRCA) </w:t>
      </w:r>
      <w:r w:rsidRPr="00716764">
        <w:rPr>
          <w:rFonts w:ascii="Arial" w:hAnsi="Arial" w:cs="Arial"/>
          <w:i/>
          <w:iCs/>
          <w:kern w:val="1"/>
          <w:sz w:val="22"/>
          <w:szCs w:val="22"/>
          <w:lang w:eastAsia="ar-SA"/>
        </w:rPr>
        <w:t>y</w:t>
      </w:r>
      <w:r w:rsidRPr="00716764">
        <w:rPr>
          <w:rFonts w:ascii="Arial" w:hAnsi="Arial" w:cs="Arial"/>
          <w:b/>
          <w:bCs/>
          <w:i/>
          <w:iCs/>
          <w:kern w:val="1"/>
          <w:sz w:val="22"/>
          <w:szCs w:val="22"/>
          <w:lang w:eastAsia="ar-SA"/>
        </w:rPr>
        <w:t xml:space="preserve"> Potencia pico de salida</w:t>
      </w:r>
      <w:r w:rsidRPr="00716764">
        <w:rPr>
          <w:rFonts w:ascii="Arial" w:hAnsi="Arial" w:cs="Arial"/>
          <w:bCs/>
          <w:iCs/>
          <w:kern w:val="1"/>
          <w:sz w:val="22"/>
          <w:szCs w:val="22"/>
          <w:lang w:eastAsia="ar-SA"/>
        </w:rPr>
        <w:t>, respectivamente</w:t>
      </w:r>
      <w:r w:rsidRPr="00716764">
        <w:rPr>
          <w:rFonts w:ascii="Arial" w:hAnsi="Arial" w:cs="Arial"/>
          <w:kern w:val="1"/>
          <w:sz w:val="22"/>
          <w:szCs w:val="22"/>
          <w:lang w:eastAsia="ar-SA"/>
        </w:rPr>
        <w:t>.</w:t>
      </w:r>
    </w:p>
    <w:p w14:paraId="04F0C127" w14:textId="77777777" w:rsidR="002773C7" w:rsidRPr="00716764" w:rsidRDefault="002773C7" w:rsidP="002773C7">
      <w:pPr>
        <w:pStyle w:val="Prrafodelista"/>
        <w:numPr>
          <w:ilvl w:val="0"/>
          <w:numId w:val="47"/>
        </w:numPr>
        <w:spacing w:line="276" w:lineRule="auto"/>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Se </w:t>
      </w:r>
      <w:r w:rsidRPr="00716764">
        <w:rPr>
          <w:rFonts w:ascii="Arial" w:hAnsi="Arial" w:cs="Arial"/>
          <w:b/>
          <w:bCs/>
          <w:i/>
          <w:iCs/>
          <w:kern w:val="1"/>
          <w:sz w:val="22"/>
          <w:szCs w:val="22"/>
          <w:lang w:eastAsia="ar-SA"/>
        </w:rPr>
        <w:t>MODIFICA</w:t>
      </w:r>
      <w:r w:rsidRPr="00716764">
        <w:rPr>
          <w:rFonts w:ascii="Arial" w:hAnsi="Arial" w:cs="Arial"/>
          <w:i/>
          <w:iCs/>
          <w:kern w:val="1"/>
          <w:sz w:val="22"/>
          <w:szCs w:val="22"/>
          <w:lang w:eastAsia="ar-SA"/>
        </w:rPr>
        <w:t xml:space="preserve"> el título del </w:t>
      </w:r>
      <w:r w:rsidRPr="00716764">
        <w:rPr>
          <w:rFonts w:ascii="Arial" w:hAnsi="Arial" w:cs="Arial"/>
          <w:b/>
          <w:i/>
          <w:iCs/>
          <w:kern w:val="1"/>
          <w:sz w:val="22"/>
          <w:szCs w:val="22"/>
          <w:lang w:eastAsia="ar-SA"/>
        </w:rPr>
        <w:t>numeral 2</w:t>
      </w:r>
      <w:r w:rsidRPr="00716764">
        <w:rPr>
          <w:rFonts w:ascii="Arial" w:hAnsi="Arial" w:cs="Arial"/>
          <w:b/>
          <w:bCs/>
          <w:i/>
          <w:iCs/>
          <w:kern w:val="1"/>
          <w:sz w:val="22"/>
          <w:szCs w:val="22"/>
          <w:lang w:eastAsia="ar-SA"/>
        </w:rPr>
        <w:t>.</w:t>
      </w:r>
    </w:p>
    <w:p w14:paraId="232EA965" w14:textId="77777777" w:rsidR="002773C7" w:rsidRPr="00716764" w:rsidRDefault="002773C7" w:rsidP="002773C7">
      <w:pPr>
        <w:pStyle w:val="Prrafodelista"/>
        <w:numPr>
          <w:ilvl w:val="0"/>
          <w:numId w:val="47"/>
        </w:numPr>
        <w:spacing w:line="276" w:lineRule="auto"/>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Se </w:t>
      </w:r>
      <w:r w:rsidRPr="00716764">
        <w:rPr>
          <w:rFonts w:ascii="Arial" w:hAnsi="Arial" w:cs="Arial"/>
          <w:b/>
          <w:bCs/>
          <w:i/>
          <w:iCs/>
          <w:kern w:val="1"/>
          <w:sz w:val="22"/>
          <w:szCs w:val="22"/>
          <w:lang w:eastAsia="ar-SA"/>
        </w:rPr>
        <w:t>ADICIONA</w:t>
      </w:r>
      <w:r w:rsidRPr="00716764">
        <w:rPr>
          <w:rFonts w:ascii="Arial" w:hAnsi="Arial" w:cs="Arial"/>
          <w:i/>
          <w:iCs/>
          <w:kern w:val="1"/>
          <w:sz w:val="22"/>
          <w:szCs w:val="22"/>
          <w:lang w:eastAsia="ar-SA"/>
        </w:rPr>
        <w:t xml:space="preserve"> </w:t>
      </w:r>
      <w:r w:rsidRPr="00716764">
        <w:rPr>
          <w:rFonts w:ascii="Arial" w:hAnsi="Arial" w:cs="Arial"/>
          <w:kern w:val="1"/>
          <w:sz w:val="22"/>
          <w:szCs w:val="22"/>
          <w:lang w:eastAsia="ar-SA"/>
        </w:rPr>
        <w:t xml:space="preserve">el numeral </w:t>
      </w:r>
      <w:r w:rsidRPr="00716764">
        <w:rPr>
          <w:rFonts w:ascii="Arial" w:hAnsi="Arial" w:cs="Arial"/>
          <w:b/>
          <w:bCs/>
          <w:i/>
          <w:iCs/>
          <w:kern w:val="1"/>
          <w:sz w:val="22"/>
          <w:szCs w:val="22"/>
          <w:lang w:eastAsia="ar-SA"/>
        </w:rPr>
        <w:t>2.1.5 bis</w:t>
      </w:r>
      <w:r w:rsidRPr="00716764">
        <w:rPr>
          <w:rFonts w:ascii="Arial" w:hAnsi="Arial" w:cs="Arial"/>
          <w:bCs/>
          <w:iCs/>
          <w:kern w:val="1"/>
          <w:sz w:val="22"/>
          <w:szCs w:val="22"/>
          <w:lang w:eastAsia="ar-SA"/>
        </w:rPr>
        <w:t>,</w:t>
      </w:r>
      <w:r w:rsidRPr="00716764">
        <w:rPr>
          <w:rFonts w:ascii="Arial" w:hAnsi="Arial" w:cs="Arial"/>
          <w:bCs/>
          <w:kern w:val="1"/>
          <w:sz w:val="22"/>
          <w:szCs w:val="22"/>
          <w:lang w:eastAsia="ar-SA"/>
        </w:rPr>
        <w:t xml:space="preserve"> para indicar las condiciones técnicas de operación de </w:t>
      </w:r>
      <w:r w:rsidRPr="00716764">
        <w:rPr>
          <w:rFonts w:ascii="Arial" w:hAnsi="Arial" w:cs="Arial"/>
          <w:b/>
          <w:bCs/>
          <w:kern w:val="1"/>
          <w:sz w:val="22"/>
          <w:szCs w:val="22"/>
          <w:lang w:eastAsia="ar-SA"/>
        </w:rPr>
        <w:t>l</w:t>
      </w:r>
      <w:r w:rsidRPr="00716764">
        <w:rPr>
          <w:rFonts w:ascii="Arial" w:hAnsi="Arial" w:cs="Arial"/>
          <w:b/>
          <w:iCs/>
          <w:sz w:val="22"/>
          <w:szCs w:val="22"/>
        </w:rPr>
        <w:t>os sensores de movimiento</w:t>
      </w:r>
      <w:r w:rsidRPr="00716764">
        <w:rPr>
          <w:rFonts w:ascii="Arial" w:hAnsi="Arial" w:cs="Arial"/>
          <w:iCs/>
          <w:sz w:val="22"/>
          <w:szCs w:val="22"/>
        </w:rPr>
        <w:t xml:space="preserve"> con ciclo de trabajo.</w:t>
      </w:r>
    </w:p>
    <w:p w14:paraId="50255252" w14:textId="77777777" w:rsidR="002773C7" w:rsidRPr="00716764" w:rsidRDefault="002773C7" w:rsidP="002773C7">
      <w:pPr>
        <w:pStyle w:val="Prrafodelista"/>
        <w:numPr>
          <w:ilvl w:val="0"/>
          <w:numId w:val="47"/>
        </w:numPr>
        <w:spacing w:line="276" w:lineRule="auto"/>
        <w:contextualSpacing w:val="0"/>
        <w:jc w:val="both"/>
        <w:rPr>
          <w:rFonts w:ascii="Arial" w:hAnsi="Arial" w:cs="Arial"/>
          <w:kern w:val="1"/>
          <w:sz w:val="22"/>
          <w:szCs w:val="22"/>
          <w:lang w:eastAsia="ar-SA"/>
        </w:rPr>
      </w:pPr>
      <w:r w:rsidRPr="00716764">
        <w:rPr>
          <w:rFonts w:ascii="Arial" w:hAnsi="Arial" w:cs="Arial"/>
          <w:kern w:val="1"/>
          <w:sz w:val="22"/>
          <w:szCs w:val="22"/>
          <w:lang w:eastAsia="ar-SA"/>
        </w:rPr>
        <w:t xml:space="preserve">Se </w:t>
      </w:r>
      <w:r w:rsidRPr="00716764">
        <w:rPr>
          <w:rFonts w:ascii="Arial" w:hAnsi="Arial" w:cs="Arial"/>
          <w:b/>
          <w:bCs/>
          <w:i/>
          <w:iCs/>
          <w:kern w:val="1"/>
          <w:sz w:val="22"/>
          <w:szCs w:val="22"/>
          <w:lang w:eastAsia="ar-SA"/>
        </w:rPr>
        <w:t>MODIFICA</w:t>
      </w:r>
      <w:r w:rsidRPr="00716764">
        <w:rPr>
          <w:rFonts w:ascii="Arial" w:hAnsi="Arial" w:cs="Arial"/>
          <w:i/>
          <w:iCs/>
          <w:kern w:val="1"/>
          <w:sz w:val="22"/>
          <w:szCs w:val="22"/>
          <w:lang w:eastAsia="ar-SA"/>
        </w:rPr>
        <w:t xml:space="preserve"> </w:t>
      </w:r>
      <w:r w:rsidRPr="00716764">
        <w:rPr>
          <w:rFonts w:ascii="Arial" w:hAnsi="Arial" w:cs="Arial"/>
          <w:kern w:val="1"/>
          <w:sz w:val="22"/>
          <w:szCs w:val="22"/>
          <w:lang w:eastAsia="ar-SA"/>
        </w:rPr>
        <w:t xml:space="preserve">el numeral </w:t>
      </w:r>
      <w:r w:rsidRPr="00716764">
        <w:rPr>
          <w:rFonts w:ascii="Arial" w:hAnsi="Arial" w:cs="Arial"/>
          <w:b/>
          <w:bCs/>
          <w:i/>
          <w:iCs/>
          <w:kern w:val="1"/>
          <w:sz w:val="22"/>
          <w:szCs w:val="22"/>
          <w:lang w:eastAsia="ar-SA"/>
        </w:rPr>
        <w:t>2.1.6</w:t>
      </w:r>
      <w:r w:rsidRPr="00716764">
        <w:rPr>
          <w:rFonts w:ascii="Arial" w:hAnsi="Arial" w:cs="Arial"/>
          <w:bCs/>
          <w:iCs/>
          <w:kern w:val="1"/>
          <w:sz w:val="22"/>
          <w:szCs w:val="22"/>
          <w:lang w:eastAsia="ar-SA"/>
        </w:rPr>
        <w:t>,</w:t>
      </w:r>
      <w:r w:rsidRPr="00716764">
        <w:rPr>
          <w:rFonts w:ascii="Arial" w:hAnsi="Arial" w:cs="Arial"/>
          <w:bCs/>
          <w:kern w:val="1"/>
          <w:sz w:val="22"/>
          <w:szCs w:val="22"/>
          <w:lang w:eastAsia="ar-SA"/>
        </w:rPr>
        <w:t xml:space="preserve"> para indicar las condiciones técnicas de operación de </w:t>
      </w:r>
      <w:r w:rsidRPr="00716764">
        <w:rPr>
          <w:rFonts w:ascii="Arial" w:hAnsi="Arial" w:cs="Arial"/>
          <w:b/>
          <w:bCs/>
          <w:kern w:val="1"/>
          <w:sz w:val="22"/>
          <w:szCs w:val="22"/>
          <w:lang w:eastAsia="ar-SA"/>
        </w:rPr>
        <w:t>l</w:t>
      </w:r>
      <w:r w:rsidRPr="00716764">
        <w:rPr>
          <w:rFonts w:ascii="Arial" w:hAnsi="Arial" w:cs="Arial"/>
          <w:b/>
          <w:iCs/>
          <w:kern w:val="1"/>
          <w:sz w:val="22"/>
          <w:szCs w:val="22"/>
          <w:lang w:eastAsia="ar-SA"/>
        </w:rPr>
        <w:t>os sensores de perturbación</w:t>
      </w:r>
      <w:r w:rsidRPr="00716764">
        <w:rPr>
          <w:rFonts w:ascii="Arial" w:hAnsi="Arial" w:cs="Arial"/>
          <w:b/>
          <w:bCs/>
          <w:iCs/>
          <w:kern w:val="1"/>
          <w:sz w:val="22"/>
          <w:szCs w:val="22"/>
          <w:lang w:eastAsia="ar-SA"/>
        </w:rPr>
        <w:t xml:space="preserve"> de campo fijo</w:t>
      </w:r>
      <w:r w:rsidRPr="00716764">
        <w:rPr>
          <w:rFonts w:ascii="Arial" w:hAnsi="Arial" w:cs="Arial"/>
          <w:bCs/>
          <w:iCs/>
          <w:kern w:val="1"/>
          <w:sz w:val="22"/>
          <w:szCs w:val="22"/>
          <w:lang w:eastAsia="ar-SA"/>
        </w:rPr>
        <w:t xml:space="preserve"> diferentes en los indicados en los incisos 2.1.4 y 2.1.5, así como a los sensores de movimiento indicados en el 2.1.5 bis</w:t>
      </w:r>
      <w:r w:rsidRPr="00716764">
        <w:rPr>
          <w:rFonts w:ascii="Arial" w:hAnsi="Arial" w:cs="Arial"/>
          <w:b/>
          <w:bCs/>
          <w:i/>
          <w:iCs/>
          <w:kern w:val="1"/>
          <w:sz w:val="22"/>
          <w:szCs w:val="22"/>
          <w:lang w:eastAsia="ar-SA"/>
        </w:rPr>
        <w:t>.</w:t>
      </w:r>
    </w:p>
    <w:p w14:paraId="42D3EA55" w14:textId="77777777" w:rsidR="002773C7" w:rsidRPr="00716764" w:rsidRDefault="002773C7" w:rsidP="002773C7">
      <w:pPr>
        <w:spacing w:line="276" w:lineRule="auto"/>
        <w:jc w:val="both"/>
        <w:rPr>
          <w:rFonts w:ascii="Arial" w:eastAsia="Times New Roman" w:hAnsi="Arial" w:cs="Arial"/>
          <w:kern w:val="1"/>
          <w:sz w:val="22"/>
          <w:szCs w:val="22"/>
          <w:lang w:eastAsia="ar-SA"/>
        </w:rPr>
      </w:pPr>
    </w:p>
    <w:p w14:paraId="56D190D9" w14:textId="77777777" w:rsidR="002773C7" w:rsidRPr="00716764" w:rsidRDefault="002773C7" w:rsidP="002773C7">
      <w:pPr>
        <w:spacing w:line="276" w:lineRule="auto"/>
        <w:jc w:val="both"/>
        <w:rPr>
          <w:rFonts w:ascii="Arial" w:eastAsia="Times New Roman" w:hAnsi="Arial" w:cs="Arial"/>
          <w:kern w:val="1"/>
          <w:sz w:val="22"/>
          <w:szCs w:val="22"/>
          <w:lang w:eastAsia="ar-SA"/>
        </w:rPr>
      </w:pPr>
      <w:r w:rsidRPr="00716764">
        <w:rPr>
          <w:rFonts w:ascii="Arial" w:eastAsia="Times New Roman" w:hAnsi="Arial" w:cs="Arial"/>
          <w:kern w:val="1"/>
          <w:sz w:val="22"/>
          <w:szCs w:val="22"/>
          <w:lang w:eastAsia="ar-SA"/>
        </w:rPr>
        <w:t>Cabe señalar que, l</w:t>
      </w:r>
      <w:r w:rsidRPr="00716764">
        <w:rPr>
          <w:rFonts w:ascii="Arial" w:hAnsi="Arial" w:cs="Arial"/>
          <w:sz w:val="22"/>
          <w:szCs w:val="22"/>
          <w:shd w:val="clear" w:color="auto" w:fill="FFFFFF"/>
        </w:rPr>
        <w:t xml:space="preserve">os sistemas, dispositivos o productos que han venido utilizando </w:t>
      </w:r>
      <w:r w:rsidRPr="00716764">
        <w:rPr>
          <w:rFonts w:ascii="Arial" w:eastAsia="Times New Roman" w:hAnsi="Arial" w:cs="Arial"/>
          <w:kern w:val="1"/>
          <w:sz w:val="22"/>
          <w:szCs w:val="22"/>
          <w:lang w:eastAsia="ar-SA"/>
        </w:rPr>
        <w:t xml:space="preserve">la banda de frecuencias 57-64 GHz conforme a las condiciones técnicas de operación señaladas en el Anexo 1 del Acuerdo que clasifica la banda 57-64 GHz podrán continuar haciendo uso de esta bajo las condiciones previamente establecidas </w:t>
      </w:r>
      <w:r w:rsidRPr="00716764" w:rsidDel="00051985">
        <w:rPr>
          <w:rFonts w:ascii="Arial" w:eastAsia="Times New Roman" w:hAnsi="Arial" w:cs="Arial"/>
          <w:kern w:val="1"/>
          <w:sz w:val="22"/>
          <w:szCs w:val="22"/>
          <w:lang w:eastAsia="ar-SA"/>
        </w:rPr>
        <w:t xml:space="preserve">en el </w:t>
      </w:r>
      <w:r w:rsidRPr="00716764">
        <w:rPr>
          <w:rFonts w:ascii="Arial" w:eastAsia="Times New Roman" w:hAnsi="Arial" w:cs="Arial"/>
          <w:kern w:val="1"/>
          <w:sz w:val="22"/>
          <w:szCs w:val="22"/>
          <w:lang w:eastAsia="ar-SA"/>
        </w:rPr>
        <w:t>mismo, buscando no causar interferencias perjudiciales a servicios de telecomunicaciones y no reclamar protección por interferencias perjudiciales.</w:t>
      </w:r>
    </w:p>
    <w:p w14:paraId="3BF97787" w14:textId="77777777" w:rsidR="00FA2132" w:rsidRDefault="00FA2132" w:rsidP="002773C7">
      <w:pPr>
        <w:spacing w:line="276" w:lineRule="auto"/>
        <w:jc w:val="both"/>
        <w:rPr>
          <w:rFonts w:ascii="Arial" w:eastAsia="Times New Roman" w:hAnsi="Arial" w:cs="Arial"/>
          <w:kern w:val="1"/>
          <w:sz w:val="22"/>
          <w:szCs w:val="22"/>
          <w:lang w:val="es-ES" w:eastAsia="ar-SA"/>
        </w:rPr>
      </w:pPr>
    </w:p>
    <w:p w14:paraId="40AECA18" w14:textId="0D2E1572" w:rsidR="002773C7" w:rsidRPr="00716764" w:rsidRDefault="002773C7" w:rsidP="002773C7">
      <w:pPr>
        <w:spacing w:line="276" w:lineRule="auto"/>
        <w:jc w:val="both"/>
        <w:rPr>
          <w:rFonts w:ascii="Arial" w:eastAsia="Times New Roman" w:hAnsi="Arial" w:cs="Arial"/>
          <w:kern w:val="1"/>
          <w:sz w:val="22"/>
          <w:szCs w:val="22"/>
          <w:lang w:val="es-ES" w:eastAsia="ar-SA"/>
        </w:rPr>
      </w:pPr>
      <w:r w:rsidRPr="00716764">
        <w:rPr>
          <w:rFonts w:ascii="Arial" w:eastAsia="Times New Roman" w:hAnsi="Arial" w:cs="Arial"/>
          <w:kern w:val="1"/>
          <w:sz w:val="22"/>
          <w:szCs w:val="22"/>
          <w:lang w:val="es-ES" w:eastAsia="ar-SA"/>
        </w:rPr>
        <w:t>En este orden de ideas, como resultado del análisis realizado, el presente Acuerdo pretende alcanzar los objetivos siguientes:</w:t>
      </w:r>
    </w:p>
    <w:p w14:paraId="0C8BDED4" w14:textId="77777777" w:rsidR="002773C7" w:rsidRPr="00716764" w:rsidRDefault="002773C7" w:rsidP="002773C7">
      <w:pPr>
        <w:spacing w:line="276" w:lineRule="auto"/>
        <w:jc w:val="both"/>
        <w:rPr>
          <w:rFonts w:ascii="Arial" w:eastAsia="Times New Roman" w:hAnsi="Arial" w:cs="Arial"/>
          <w:kern w:val="1"/>
          <w:sz w:val="22"/>
          <w:szCs w:val="22"/>
          <w:lang w:val="es-ES" w:eastAsia="ar-SA"/>
        </w:rPr>
      </w:pPr>
    </w:p>
    <w:p w14:paraId="6CF011E7" w14:textId="77777777" w:rsidR="002773C7" w:rsidRPr="00716764" w:rsidRDefault="002773C7" w:rsidP="00BA7B62">
      <w:pPr>
        <w:numPr>
          <w:ilvl w:val="0"/>
          <w:numId w:val="61"/>
        </w:numPr>
        <w:spacing w:line="276" w:lineRule="auto"/>
        <w:ind w:left="851" w:hanging="284"/>
        <w:jc w:val="both"/>
        <w:rPr>
          <w:rFonts w:ascii="Arial" w:eastAsia="Times New Roman" w:hAnsi="Arial" w:cs="Arial"/>
          <w:kern w:val="1"/>
          <w:sz w:val="22"/>
          <w:szCs w:val="22"/>
          <w:lang w:eastAsia="ar-SA"/>
        </w:rPr>
      </w:pPr>
      <w:r w:rsidRPr="00716764">
        <w:rPr>
          <w:rFonts w:ascii="Arial" w:eastAsia="Times New Roman" w:hAnsi="Arial" w:cs="Arial"/>
          <w:kern w:val="1"/>
          <w:sz w:val="22"/>
          <w:szCs w:val="22"/>
          <w:lang w:eastAsia="ar-SA"/>
        </w:rPr>
        <w:t>Actualizar el Anexo 1 del Acuerdo que clasifica la banda 57-64 GHz.</w:t>
      </w:r>
    </w:p>
    <w:p w14:paraId="50EBAF2C"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bookmarkStart w:id="2" w:name="_Hlk93937247"/>
      <w:r w:rsidRPr="00716764">
        <w:rPr>
          <w:rFonts w:ascii="Arial" w:eastAsia="Times New Roman" w:hAnsi="Arial" w:cs="Arial"/>
          <w:kern w:val="1"/>
          <w:sz w:val="22"/>
          <w:szCs w:val="22"/>
          <w:lang w:eastAsia="ar-SA"/>
        </w:rPr>
        <w:t>Actualizar términos y definiciones relevantes para el mejor entendimiento de las condiciones técnicas de operación.</w:t>
      </w:r>
    </w:p>
    <w:p w14:paraId="7CAC0652"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r w:rsidRPr="00716764">
        <w:rPr>
          <w:rFonts w:ascii="Arial" w:eastAsia="Times New Roman" w:hAnsi="Arial" w:cs="Arial"/>
          <w:kern w:val="1"/>
          <w:sz w:val="22"/>
          <w:szCs w:val="22"/>
          <w:lang w:eastAsia="ar-SA"/>
        </w:rPr>
        <w:t>Establecer condiciones técnicas de operación para sensores de movimiento que podrían hacer uso de la banda 57-64 GHz con el fin de propiciar el despliegue de nueva tecnología referente a sensores de movimiento en nuestro país y en beneficio del usuario final</w:t>
      </w:r>
      <w:bookmarkEnd w:id="2"/>
      <w:r w:rsidRPr="00716764">
        <w:rPr>
          <w:rFonts w:ascii="Arial" w:eastAsia="Times New Roman" w:hAnsi="Arial" w:cs="Arial"/>
          <w:kern w:val="1"/>
          <w:sz w:val="22"/>
          <w:szCs w:val="22"/>
          <w:lang w:eastAsia="ar-SA"/>
        </w:rPr>
        <w:t>.</w:t>
      </w:r>
    </w:p>
    <w:p w14:paraId="6E7B61BC"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bookmarkStart w:id="3" w:name="_Hlk93937266"/>
      <w:r w:rsidRPr="00716764">
        <w:rPr>
          <w:rFonts w:ascii="Arial" w:eastAsia="Times New Roman" w:hAnsi="Arial" w:cs="Arial"/>
          <w:kern w:val="1"/>
          <w:sz w:val="22"/>
          <w:szCs w:val="22"/>
          <w:lang w:eastAsia="ar-SA"/>
        </w:rPr>
        <w:t>Actualizar las condiciones técnicas de operación de la banda de frecuencias 57-64 GHz, clasificada como espectro libre, con el objeto de incluir condiciones técnicas de operación para sensores de movimiento</w:t>
      </w:r>
      <w:bookmarkEnd w:id="3"/>
      <w:r w:rsidRPr="00716764">
        <w:rPr>
          <w:rFonts w:ascii="Arial" w:eastAsia="Times New Roman" w:hAnsi="Arial" w:cs="Arial"/>
          <w:kern w:val="1"/>
          <w:sz w:val="22"/>
          <w:szCs w:val="22"/>
          <w:lang w:eastAsia="ar-SA"/>
        </w:rPr>
        <w:t>.</w:t>
      </w:r>
    </w:p>
    <w:p w14:paraId="0E616382"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bookmarkStart w:id="4" w:name="_Hlk93937286"/>
      <w:r w:rsidRPr="00716764">
        <w:rPr>
          <w:rFonts w:ascii="Arial" w:eastAsia="Times New Roman" w:hAnsi="Arial" w:cs="Arial"/>
          <w:kern w:val="1"/>
          <w:sz w:val="22"/>
          <w:szCs w:val="22"/>
          <w:lang w:eastAsia="ar-SA"/>
        </w:rPr>
        <w:t>Administrar y fomentar el uso eficiente del espectro radioeléctrico a través de la banda 57-64 GHz para el sector de las telecomunicaciones.</w:t>
      </w:r>
    </w:p>
    <w:p w14:paraId="49332F98"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bookmarkStart w:id="5" w:name="_Hlk93937318"/>
      <w:bookmarkEnd w:id="4"/>
      <w:r w:rsidRPr="00716764">
        <w:rPr>
          <w:rFonts w:ascii="Arial" w:eastAsia="Times New Roman" w:hAnsi="Arial" w:cs="Arial"/>
          <w:kern w:val="1"/>
          <w:sz w:val="22"/>
          <w:szCs w:val="22"/>
          <w:lang w:eastAsia="ar-SA"/>
        </w:rPr>
        <w:t>Promover e impulsar condiciones para que el público en general tenga acceso a nuevas tecnologías y servicios de telecomunicaciones mediante el uso de la banda 57-64 GHz</w:t>
      </w:r>
      <w:bookmarkEnd w:id="5"/>
      <w:r w:rsidRPr="00716764">
        <w:rPr>
          <w:rFonts w:ascii="Arial" w:eastAsia="Times New Roman" w:hAnsi="Arial" w:cs="Arial"/>
          <w:kern w:val="1"/>
          <w:sz w:val="22"/>
          <w:szCs w:val="22"/>
          <w:lang w:eastAsia="ar-SA"/>
        </w:rPr>
        <w:t>.</w:t>
      </w:r>
    </w:p>
    <w:p w14:paraId="4BB5AAFE"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r w:rsidRPr="00716764">
        <w:rPr>
          <w:rFonts w:ascii="Arial" w:eastAsia="Times New Roman" w:hAnsi="Arial" w:cs="Arial"/>
          <w:kern w:val="1"/>
          <w:sz w:val="22"/>
          <w:szCs w:val="22"/>
          <w:lang w:eastAsia="ar-SA"/>
        </w:rPr>
        <w:t>Acrecentar la armonización en el uso del espectro radioeléctrico para los sensores de movimiento en la banda 57-64 GHz, con base en las mejores prácticas internacionales y los avances tecnológicos existentes.</w:t>
      </w:r>
    </w:p>
    <w:p w14:paraId="136DA4C6"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r w:rsidRPr="00716764">
        <w:rPr>
          <w:rFonts w:ascii="Arial" w:eastAsia="Times New Roman" w:hAnsi="Arial" w:cs="Arial"/>
          <w:kern w:val="1"/>
          <w:sz w:val="22"/>
          <w:szCs w:val="22"/>
          <w:lang w:eastAsia="ar-SA"/>
        </w:rPr>
        <w:t>Incentivar la innovación tecnológica en el país al adicionar el acceso al espectro radioeléctrico para pruebas y experimentación de nuevos equipos o tecnologías relacionados con sensores de movimiento en la banda 57-64 GHz, sin necesidad de contar con una concesión para estos fines, y</w:t>
      </w:r>
    </w:p>
    <w:p w14:paraId="7056F2E1" w14:textId="77777777" w:rsidR="002773C7" w:rsidRPr="00716764" w:rsidRDefault="002773C7" w:rsidP="00716764">
      <w:pPr>
        <w:numPr>
          <w:ilvl w:val="0"/>
          <w:numId w:val="61"/>
        </w:numPr>
        <w:spacing w:line="276" w:lineRule="auto"/>
        <w:ind w:left="851" w:hanging="284"/>
        <w:jc w:val="both"/>
        <w:rPr>
          <w:rFonts w:ascii="Arial" w:eastAsia="Times New Roman" w:hAnsi="Arial" w:cs="Arial"/>
          <w:kern w:val="1"/>
          <w:sz w:val="22"/>
          <w:szCs w:val="22"/>
          <w:lang w:eastAsia="ar-SA"/>
        </w:rPr>
      </w:pPr>
      <w:r w:rsidRPr="00716764">
        <w:rPr>
          <w:rFonts w:ascii="Arial" w:eastAsia="Times New Roman" w:hAnsi="Arial" w:cs="Arial"/>
          <w:kern w:val="1"/>
          <w:sz w:val="22"/>
          <w:szCs w:val="22"/>
          <w:lang w:eastAsia="ar-SA"/>
        </w:rPr>
        <w:t>Fomentar la competencia en el mercado de las telecomunicaciones para la banda 57-64 GHz, con el objeto de lograr un mayor desarrollo en el sector.</w:t>
      </w:r>
    </w:p>
    <w:p w14:paraId="52B08F5C" w14:textId="77777777" w:rsidR="002773C7" w:rsidRPr="00BA7B62" w:rsidRDefault="002773C7" w:rsidP="002773C7">
      <w:pPr>
        <w:spacing w:line="276" w:lineRule="auto"/>
        <w:jc w:val="both"/>
        <w:rPr>
          <w:rFonts w:ascii="Arial" w:eastAsia="Times New Roman" w:hAnsi="Arial" w:cs="Arial"/>
          <w:kern w:val="1"/>
          <w:sz w:val="22"/>
          <w:szCs w:val="22"/>
          <w:lang w:eastAsia="ar-SA"/>
        </w:rPr>
      </w:pPr>
    </w:p>
    <w:p w14:paraId="5A788C5E" w14:textId="77777777" w:rsidR="002773C7" w:rsidRPr="00BA7B62" w:rsidRDefault="002773C7" w:rsidP="002773C7">
      <w:pPr>
        <w:spacing w:line="276" w:lineRule="auto"/>
        <w:jc w:val="both"/>
        <w:rPr>
          <w:rFonts w:ascii="Arial" w:eastAsia="Times New Roman" w:hAnsi="Arial" w:cs="Arial"/>
          <w:kern w:val="1"/>
          <w:sz w:val="22"/>
          <w:szCs w:val="22"/>
          <w:lang w:val="es-ES" w:eastAsia="ar-SA"/>
        </w:rPr>
      </w:pPr>
      <w:r w:rsidRPr="00BA7B62">
        <w:rPr>
          <w:rFonts w:ascii="Arial" w:eastAsia="Times New Roman" w:hAnsi="Arial" w:cs="Arial"/>
          <w:kern w:val="1"/>
          <w:sz w:val="22"/>
          <w:szCs w:val="22"/>
          <w:lang w:val="es-ES" w:eastAsia="ar-SA"/>
        </w:rPr>
        <w:t xml:space="preserve">Por consiguiente, </w:t>
      </w:r>
      <w:r w:rsidRPr="00BA7B62">
        <w:rPr>
          <w:rFonts w:ascii="Arial" w:eastAsia="Times New Roman" w:hAnsi="Arial" w:cs="Arial"/>
          <w:bCs/>
          <w:sz w:val="22"/>
          <w:szCs w:val="22"/>
        </w:rPr>
        <w:t>este Pleno estima indispensable actualizar el Anexo 1 del Acuerdo que clasifica la banda 57-64 GHz,</w:t>
      </w:r>
      <w:r w:rsidRPr="00BA7B62">
        <w:rPr>
          <w:rFonts w:ascii="Arial" w:eastAsia="Times New Roman" w:hAnsi="Arial" w:cs="Arial"/>
          <w:kern w:val="1"/>
          <w:sz w:val="22"/>
          <w:szCs w:val="22"/>
          <w:lang w:val="es-ES" w:eastAsia="ar-SA"/>
        </w:rPr>
        <w:t xml:space="preserve"> </w:t>
      </w:r>
      <w:r w:rsidRPr="00BA7B62">
        <w:rPr>
          <w:rFonts w:ascii="Arial" w:eastAsia="Times New Roman" w:hAnsi="Arial" w:cs="Arial"/>
          <w:bCs/>
          <w:sz w:val="22"/>
          <w:szCs w:val="22"/>
        </w:rPr>
        <w:t xml:space="preserve">a efecto de incluir las condiciones técnicas con las que deberán operar los sensores de movimiento dentro de la banda 57-64 GHz clasificada como espectro libre, </w:t>
      </w:r>
      <w:r w:rsidRPr="00BA7B62">
        <w:rPr>
          <w:rFonts w:ascii="Arial" w:eastAsia="Times New Roman" w:hAnsi="Arial" w:cs="Arial"/>
          <w:kern w:val="1"/>
          <w:sz w:val="22"/>
          <w:szCs w:val="22"/>
          <w:lang w:val="es-ES" w:eastAsia="ar-SA"/>
        </w:rPr>
        <w:t>que permita la utilización de la tecnología actual y, de la misma manera, de nuevas tecnologías, equipos y dispositivos relacionados con sensores de movimiento bajo normas y estándares internacionales, así también, que permitan la coexistencia de diferentes aplicaciones o servicios en la banda 57-64 GHz, en beneficio del público en general y procurando su uso libre de interferencias perjudiciales.</w:t>
      </w:r>
    </w:p>
    <w:p w14:paraId="5DADEB15" w14:textId="77777777" w:rsidR="002773C7" w:rsidRPr="00BA7B62" w:rsidRDefault="002773C7" w:rsidP="002773C7">
      <w:pPr>
        <w:spacing w:line="276" w:lineRule="auto"/>
        <w:jc w:val="both"/>
        <w:rPr>
          <w:rFonts w:ascii="Arial" w:eastAsia="Times New Roman" w:hAnsi="Arial" w:cs="Arial"/>
          <w:kern w:val="1"/>
          <w:sz w:val="22"/>
          <w:szCs w:val="22"/>
          <w:lang w:val="es-ES" w:eastAsia="ar-SA"/>
        </w:rPr>
      </w:pPr>
    </w:p>
    <w:p w14:paraId="742064E9" w14:textId="77777777" w:rsidR="002773C7" w:rsidRPr="00BA7B62" w:rsidRDefault="002773C7" w:rsidP="002773C7">
      <w:pPr>
        <w:spacing w:line="276" w:lineRule="auto"/>
        <w:jc w:val="both"/>
        <w:rPr>
          <w:rFonts w:ascii="Arial" w:eastAsia="Times New Roman" w:hAnsi="Arial" w:cs="Arial"/>
          <w:kern w:val="1"/>
          <w:sz w:val="22"/>
          <w:szCs w:val="22"/>
          <w:lang w:val="es-ES" w:eastAsia="ar-SA"/>
        </w:rPr>
      </w:pPr>
      <w:r w:rsidRPr="00BA7B62">
        <w:rPr>
          <w:rFonts w:ascii="Arial" w:eastAsia="Times New Roman" w:hAnsi="Arial" w:cs="Arial"/>
          <w:kern w:val="1"/>
          <w:sz w:val="22"/>
          <w:szCs w:val="22"/>
          <w:lang w:val="es-ES" w:eastAsia="ar-SA"/>
        </w:rPr>
        <w:t>En este mismo sentido,</w:t>
      </w:r>
      <w:r w:rsidRPr="00BA7B62" w:rsidDel="00421643">
        <w:rPr>
          <w:rFonts w:ascii="Arial" w:eastAsia="Times New Roman" w:hAnsi="Arial" w:cs="Arial"/>
          <w:kern w:val="1"/>
          <w:sz w:val="22"/>
          <w:szCs w:val="22"/>
          <w:lang w:val="es-ES" w:eastAsia="ar-SA"/>
        </w:rPr>
        <w:t xml:space="preserve"> </w:t>
      </w:r>
      <w:r w:rsidRPr="00BA7B62">
        <w:rPr>
          <w:rFonts w:ascii="Arial" w:eastAsia="Times New Roman" w:hAnsi="Arial" w:cs="Arial"/>
          <w:kern w:val="1"/>
          <w:sz w:val="22"/>
          <w:szCs w:val="22"/>
          <w:lang w:val="es-ES" w:eastAsia="ar-SA"/>
        </w:rPr>
        <w:t xml:space="preserve">cabe precisar que derivado de los avances tecnológicos, el Instituto continuará estudiando las posibilidades de operación de nuevos o mejores sistemas de radiocomunicaciones en esta banda de frecuencias, por lo que, de encontrarse necesario se tendrán que revisar o actualizar las condiciones técnicas de operación según sea apropiado a efecto de promover un uso eficiente del espectro radioeléctrico que permita la coexistencia de </w:t>
      </w:r>
      <w:r w:rsidRPr="00BA7B62">
        <w:rPr>
          <w:rFonts w:ascii="Arial" w:eastAsia="Times New Roman" w:hAnsi="Arial" w:cs="Arial"/>
          <w:kern w:val="1"/>
          <w:sz w:val="22"/>
          <w:szCs w:val="22"/>
          <w:lang w:val="es-ES" w:eastAsia="ar-SA"/>
        </w:rPr>
        <w:lastRenderedPageBreak/>
        <w:t xml:space="preserve">diferentes sistemas, dispositivos, equipos o estaciones de radiocomunicaciones en la banda de frecuencias. </w:t>
      </w:r>
    </w:p>
    <w:p w14:paraId="19CC2825" w14:textId="77777777" w:rsidR="002773C7" w:rsidRPr="00BA7B62" w:rsidRDefault="002773C7" w:rsidP="002773C7">
      <w:pPr>
        <w:spacing w:line="276" w:lineRule="auto"/>
        <w:jc w:val="both"/>
        <w:rPr>
          <w:rFonts w:ascii="Arial" w:eastAsia="Times New Roman" w:hAnsi="Arial" w:cs="Arial"/>
          <w:kern w:val="1"/>
          <w:sz w:val="22"/>
          <w:szCs w:val="22"/>
          <w:lang w:val="es-ES" w:eastAsia="ar-SA"/>
        </w:rPr>
      </w:pPr>
    </w:p>
    <w:p w14:paraId="482CE3B0" w14:textId="77777777" w:rsidR="002773C7" w:rsidRPr="00BA7B62" w:rsidRDefault="002773C7" w:rsidP="002773C7">
      <w:pPr>
        <w:spacing w:line="276" w:lineRule="auto"/>
        <w:jc w:val="both"/>
        <w:rPr>
          <w:rFonts w:ascii="Arial" w:eastAsia="Times New Roman" w:hAnsi="Arial" w:cs="Arial"/>
          <w:kern w:val="1"/>
          <w:sz w:val="22"/>
          <w:szCs w:val="22"/>
          <w:lang w:val="es-ES" w:eastAsia="ar-SA"/>
        </w:rPr>
      </w:pPr>
      <w:r w:rsidRPr="00BA7B62">
        <w:rPr>
          <w:rFonts w:ascii="Arial" w:eastAsia="Times New Roman" w:hAnsi="Arial" w:cs="Arial"/>
          <w:kern w:val="1"/>
          <w:sz w:val="22"/>
          <w:szCs w:val="22"/>
          <w:lang w:val="es-ES" w:eastAsia="ar-SA"/>
        </w:rPr>
        <w:t>A este respecto, el Instituto cuenta con diversos canales de comunicación en los cuales este y otros temas relacionados con el uso del espectro radioeléctrico pueden ser tratados, tal es el caso del CTER, el cual fue un elemento fundamental en la identificación de la necesidad de revisión de las condiciones técnicas de operación de esta banda de frecuencias, lo que eventualmente derivó en la propuesta de actualización contenida en este Acuerdo para hacer un uso más eficiente del espectro radioeléctrico, así como para habilitar nuevos sistemas de radiocomunicación en esta banda de frecuencias clasificada como espectro libre.</w:t>
      </w:r>
    </w:p>
    <w:p w14:paraId="7D27C561" w14:textId="77777777" w:rsidR="002773C7" w:rsidRPr="00BA7B62" w:rsidRDefault="002773C7" w:rsidP="002773C7">
      <w:pPr>
        <w:spacing w:line="276" w:lineRule="auto"/>
        <w:jc w:val="both"/>
        <w:rPr>
          <w:rFonts w:ascii="Arial" w:eastAsia="Times New Roman" w:hAnsi="Arial" w:cs="Arial"/>
          <w:kern w:val="1"/>
          <w:sz w:val="22"/>
          <w:szCs w:val="22"/>
          <w:lang w:val="es-ES" w:eastAsia="ar-SA"/>
        </w:rPr>
      </w:pPr>
    </w:p>
    <w:p w14:paraId="79CC1066" w14:textId="1B0D6198" w:rsidR="002773C7" w:rsidRPr="00BA7B62" w:rsidRDefault="002773C7" w:rsidP="002773C7">
      <w:pPr>
        <w:pStyle w:val="Prrafodelista"/>
        <w:spacing w:line="276" w:lineRule="auto"/>
        <w:ind w:left="0"/>
        <w:contextualSpacing w:val="0"/>
        <w:jc w:val="both"/>
        <w:rPr>
          <w:rFonts w:ascii="Arial" w:hAnsi="Arial" w:cs="Arial"/>
          <w:kern w:val="1"/>
          <w:sz w:val="22"/>
          <w:szCs w:val="22"/>
          <w:lang w:eastAsia="ar-SA"/>
        </w:rPr>
      </w:pPr>
      <w:proofErr w:type="gramStart"/>
      <w:r w:rsidRPr="00BA7B62">
        <w:rPr>
          <w:rFonts w:ascii="Arial" w:hAnsi="Arial" w:cs="Arial"/>
          <w:b/>
          <w:kern w:val="1"/>
          <w:sz w:val="22"/>
          <w:szCs w:val="22"/>
          <w:lang w:eastAsia="ar-SA"/>
        </w:rPr>
        <w:t>Quinto.-</w:t>
      </w:r>
      <w:proofErr w:type="gramEnd"/>
      <w:r w:rsidRPr="00BA7B62">
        <w:rPr>
          <w:rFonts w:ascii="Arial" w:hAnsi="Arial" w:cs="Arial"/>
          <w:b/>
          <w:kern w:val="1"/>
          <w:sz w:val="22"/>
          <w:szCs w:val="22"/>
          <w:lang w:eastAsia="ar-SA"/>
        </w:rPr>
        <w:t xml:space="preserve"> Consulta Pública.</w:t>
      </w:r>
      <w:r w:rsidRPr="00BA7B62">
        <w:rPr>
          <w:rFonts w:ascii="Arial" w:hAnsi="Arial" w:cs="Arial"/>
          <w:kern w:val="1"/>
          <w:sz w:val="22"/>
          <w:szCs w:val="22"/>
          <w:lang w:eastAsia="ar-SA"/>
        </w:rPr>
        <w:t xml:space="preserve"> En cumplimiento a lo dispuesto en el artículo 51 de la Ley, conforme se señala en los Antecedentes Séptimo, Octavo, Duodécimo y Decimotercero del presente Acuerdo, el Instituto llevó a cabo dos procesos de Consulta Pública, del 17 de marzo al 20 de abril de 2021 y del ____ de ____ al ____ de ____ </w:t>
      </w:r>
      <w:proofErr w:type="spellStart"/>
      <w:r w:rsidRPr="00BA7B62">
        <w:rPr>
          <w:rFonts w:ascii="Arial" w:hAnsi="Arial" w:cs="Arial"/>
          <w:kern w:val="1"/>
          <w:sz w:val="22"/>
          <w:szCs w:val="22"/>
          <w:lang w:eastAsia="ar-SA"/>
        </w:rPr>
        <w:t>de</w:t>
      </w:r>
      <w:proofErr w:type="spellEnd"/>
      <w:r w:rsidRPr="00BA7B62">
        <w:rPr>
          <w:rFonts w:ascii="Arial" w:hAnsi="Arial" w:cs="Arial"/>
          <w:kern w:val="1"/>
          <w:sz w:val="22"/>
          <w:szCs w:val="22"/>
          <w:lang w:eastAsia="ar-SA"/>
        </w:rPr>
        <w:t xml:space="preserve"> ____2022, respectivamente, sobre el </w:t>
      </w:r>
      <w:r w:rsidRPr="00BA7B62">
        <w:rPr>
          <w:rFonts w:ascii="Arial" w:hAnsi="Arial" w:cs="Arial"/>
          <w:i/>
          <w:kern w:val="1"/>
          <w:sz w:val="22"/>
          <w:szCs w:val="22"/>
          <w:lang w:eastAsia="ar-SA"/>
        </w:rPr>
        <w:t>“</w:t>
      </w:r>
      <w:r w:rsidRPr="00BA7B62">
        <w:rPr>
          <w:rFonts w:ascii="Arial" w:hAnsi="Arial" w:cs="Arial"/>
          <w:i/>
          <w:kern w:val="2"/>
          <w:sz w:val="22"/>
          <w:szCs w:val="22"/>
          <w:lang w:val="es-ES_tradnl" w:eastAsia="ar-SA"/>
        </w:rPr>
        <w:t>Anteproyecto de Acuerdo mediante el cual el Pleno del Instituto Federal de Telecomunicaciones actualiza las condiciones técnicas de operación para el uso de la banda de frecuencias 57-64 GHz, clasificada como espectro libre”</w:t>
      </w:r>
      <w:r w:rsidRPr="00BA7B62">
        <w:rPr>
          <w:rFonts w:ascii="Arial" w:hAnsi="Arial" w:cs="Arial"/>
          <w:i/>
          <w:kern w:val="1"/>
          <w:sz w:val="22"/>
          <w:szCs w:val="22"/>
          <w:lang w:eastAsia="ar-SA"/>
        </w:rPr>
        <w:t xml:space="preserve">, </w:t>
      </w:r>
      <w:r w:rsidRPr="00BA7B62">
        <w:rPr>
          <w:rFonts w:ascii="Arial" w:hAnsi="Arial" w:cs="Arial"/>
          <w:kern w:val="1"/>
          <w:sz w:val="22"/>
          <w:szCs w:val="22"/>
          <w:lang w:eastAsia="ar-SA"/>
        </w:rPr>
        <w:t>bajo los principios de transparencia y participación ciudadana, con el objeto de obtener, recabar y analizar los comentarios, información, opiniones, aportaciones u otros elementos de análisis de los interesados respecto al anteproyecto.</w:t>
      </w:r>
      <w:r w:rsidRPr="00BA7B62">
        <w:rPr>
          <w:rFonts w:ascii="Arial" w:hAnsi="Arial" w:cs="Arial"/>
          <w:i/>
          <w:kern w:val="1"/>
          <w:sz w:val="22"/>
          <w:szCs w:val="22"/>
          <w:lang w:eastAsia="ar-SA"/>
        </w:rPr>
        <w:t xml:space="preserve"> </w:t>
      </w:r>
    </w:p>
    <w:p w14:paraId="249E0421" w14:textId="77777777" w:rsidR="002773C7" w:rsidRPr="00BA7B62" w:rsidRDefault="002773C7" w:rsidP="002773C7">
      <w:pPr>
        <w:spacing w:line="276" w:lineRule="auto"/>
        <w:jc w:val="both"/>
        <w:rPr>
          <w:rFonts w:ascii="Arial" w:hAnsi="Arial" w:cs="Arial"/>
          <w:kern w:val="1"/>
          <w:sz w:val="22"/>
          <w:szCs w:val="22"/>
          <w:lang w:eastAsia="ar-SA"/>
        </w:rPr>
      </w:pPr>
    </w:p>
    <w:p w14:paraId="5D112F31" w14:textId="77777777" w:rsidR="002773C7" w:rsidRPr="00BA7B62" w:rsidRDefault="002773C7" w:rsidP="002773C7">
      <w:pPr>
        <w:spacing w:line="276" w:lineRule="auto"/>
        <w:jc w:val="both"/>
        <w:rPr>
          <w:rFonts w:ascii="Arial" w:eastAsia="Times New Roman" w:hAnsi="Arial" w:cs="Arial"/>
          <w:kern w:val="2"/>
          <w:sz w:val="22"/>
          <w:szCs w:val="22"/>
          <w:bdr w:val="nil"/>
          <w:lang w:val="es-ES" w:eastAsia="ar-SA"/>
        </w:rPr>
      </w:pPr>
      <w:r w:rsidRPr="00BA7B62">
        <w:rPr>
          <w:rFonts w:ascii="Arial" w:eastAsia="Times New Roman" w:hAnsi="Arial" w:cs="Arial"/>
          <w:kern w:val="2"/>
          <w:sz w:val="22"/>
          <w:szCs w:val="22"/>
          <w:bdr w:val="nil"/>
          <w:lang w:val="es-ES" w:eastAsia="ar-SA"/>
        </w:rPr>
        <w:t>Las consultas públicas se efectuaron por un período de 20 (veinte) días hábiles, respectivamente, en los cuales el Instituto puso a disposición, a través de su portal de Internet, un formulario para recibir los comentarios, información, opiniones, aportaciones u otros elementos de análisis concretos en relación con el multicitado anteproyecto.</w:t>
      </w:r>
    </w:p>
    <w:p w14:paraId="774C5665" w14:textId="77777777" w:rsidR="002773C7" w:rsidRPr="00BA7B62" w:rsidRDefault="002773C7" w:rsidP="002773C7">
      <w:pPr>
        <w:spacing w:line="276" w:lineRule="auto"/>
        <w:jc w:val="both"/>
        <w:rPr>
          <w:rFonts w:ascii="Arial" w:eastAsia="Times New Roman" w:hAnsi="Arial" w:cs="Arial"/>
          <w:sz w:val="22"/>
          <w:szCs w:val="22"/>
          <w:lang w:val="es-ES" w:eastAsia="ar-SA"/>
        </w:rPr>
      </w:pPr>
    </w:p>
    <w:p w14:paraId="469B5A9A" w14:textId="37A40094" w:rsidR="002773C7" w:rsidRPr="00BA7B62" w:rsidRDefault="002773C7" w:rsidP="002773C7">
      <w:pPr>
        <w:spacing w:line="276" w:lineRule="auto"/>
        <w:jc w:val="both"/>
        <w:rPr>
          <w:rFonts w:ascii="Arial" w:eastAsia="Times New Roman" w:hAnsi="Arial" w:cs="Arial"/>
          <w:kern w:val="2"/>
          <w:sz w:val="22"/>
          <w:szCs w:val="22"/>
          <w:bdr w:val="nil"/>
          <w:lang w:val="es-ES" w:eastAsia="ar-SA"/>
        </w:rPr>
      </w:pPr>
      <w:r w:rsidRPr="00BA7B62">
        <w:rPr>
          <w:rFonts w:ascii="Arial" w:eastAsia="Times New Roman" w:hAnsi="Arial" w:cs="Arial"/>
          <w:kern w:val="2"/>
          <w:sz w:val="22"/>
          <w:szCs w:val="22"/>
          <w:bdr w:val="nil"/>
          <w:lang w:val="es-ES" w:eastAsia="ar-SA"/>
        </w:rPr>
        <w:t>En este contexto, la Consulta Pública del anteproyecto de referencia persiguió los objetivos siguientes:</w:t>
      </w:r>
    </w:p>
    <w:p w14:paraId="50EF8DCD" w14:textId="77777777" w:rsidR="002773C7" w:rsidRPr="00BA7B62" w:rsidRDefault="002773C7" w:rsidP="002773C7">
      <w:pPr>
        <w:spacing w:line="276" w:lineRule="auto"/>
        <w:jc w:val="both"/>
        <w:rPr>
          <w:rFonts w:ascii="Arial" w:hAnsi="Arial" w:cs="Arial"/>
          <w:sz w:val="22"/>
          <w:szCs w:val="22"/>
          <w:lang w:val="es-ES" w:eastAsia="ar-SA"/>
        </w:rPr>
      </w:pPr>
    </w:p>
    <w:p w14:paraId="111FD2BC" w14:textId="77777777" w:rsidR="002773C7" w:rsidRPr="00BA7B62" w:rsidRDefault="002773C7" w:rsidP="002773C7">
      <w:pPr>
        <w:spacing w:line="276" w:lineRule="auto"/>
        <w:ind w:left="704" w:hanging="420"/>
        <w:jc w:val="both"/>
        <w:rPr>
          <w:rFonts w:ascii="Arial" w:hAnsi="Arial" w:cs="Arial"/>
          <w:kern w:val="2"/>
          <w:sz w:val="22"/>
          <w:szCs w:val="22"/>
          <w:lang w:val="es-ES" w:eastAsia="ar-SA"/>
        </w:rPr>
      </w:pPr>
      <w:r w:rsidRPr="00BA7B62">
        <w:rPr>
          <w:rFonts w:ascii="Arial" w:hAnsi="Arial" w:cs="Arial"/>
          <w:kern w:val="2"/>
          <w:sz w:val="22"/>
          <w:szCs w:val="22"/>
          <w:lang w:val="es-ES" w:eastAsia="ar-SA"/>
        </w:rPr>
        <w:t>a)</w:t>
      </w:r>
      <w:r w:rsidRPr="00BA7B62">
        <w:rPr>
          <w:rFonts w:ascii="Arial" w:hAnsi="Arial" w:cs="Arial"/>
          <w:kern w:val="2"/>
          <w:sz w:val="22"/>
          <w:szCs w:val="22"/>
          <w:lang w:val="es-ES" w:eastAsia="ar-SA"/>
        </w:rPr>
        <w:tab/>
        <w:t>Generar un espacio abierto e incluyente, con la intención de involucrar al público y fomentar en la sociedad el conocimiento del uso del espectro radioeléctrico y de las atribuciones del Instituto, fortaleciendo así la relación entre ésta y el Instituto, y</w:t>
      </w:r>
    </w:p>
    <w:p w14:paraId="0CE420EF" w14:textId="77777777" w:rsidR="002773C7" w:rsidRPr="00BA7B62" w:rsidRDefault="002773C7" w:rsidP="002773C7">
      <w:pPr>
        <w:spacing w:line="276" w:lineRule="auto"/>
        <w:ind w:left="284"/>
        <w:jc w:val="both"/>
        <w:rPr>
          <w:rFonts w:ascii="Arial" w:hAnsi="Arial" w:cs="Arial"/>
          <w:sz w:val="22"/>
          <w:szCs w:val="22"/>
          <w:lang w:val="es-ES" w:eastAsia="ar-SA"/>
        </w:rPr>
      </w:pPr>
    </w:p>
    <w:p w14:paraId="26D031DD" w14:textId="77777777" w:rsidR="002773C7" w:rsidRPr="00BA7B62" w:rsidRDefault="002773C7" w:rsidP="002773C7">
      <w:pPr>
        <w:spacing w:line="276" w:lineRule="auto"/>
        <w:ind w:left="704" w:hanging="420"/>
        <w:jc w:val="both"/>
        <w:rPr>
          <w:rFonts w:ascii="Arial" w:hAnsi="Arial" w:cs="Arial"/>
          <w:kern w:val="2"/>
          <w:sz w:val="22"/>
          <w:szCs w:val="22"/>
          <w:lang w:val="es-ES" w:eastAsia="ar-SA"/>
        </w:rPr>
      </w:pPr>
      <w:r w:rsidRPr="00BA7B62">
        <w:rPr>
          <w:rFonts w:ascii="Arial" w:hAnsi="Arial" w:cs="Arial"/>
          <w:kern w:val="2"/>
          <w:sz w:val="22"/>
          <w:szCs w:val="22"/>
          <w:lang w:val="es-ES" w:eastAsia="ar-SA"/>
        </w:rPr>
        <w:t>b)</w:t>
      </w:r>
      <w:r w:rsidRPr="00BA7B62">
        <w:rPr>
          <w:rFonts w:ascii="Arial" w:hAnsi="Arial" w:cs="Arial"/>
          <w:kern w:val="2"/>
          <w:sz w:val="22"/>
          <w:szCs w:val="22"/>
          <w:lang w:val="es-ES" w:eastAsia="ar-SA"/>
        </w:rPr>
        <w:tab/>
        <w:t>Obtener la opinión de los interesados acerca de la actualización de la banda 57</w:t>
      </w:r>
      <w:r w:rsidRPr="00BA7B62">
        <w:rPr>
          <w:rFonts w:ascii="Arial" w:eastAsia="Times New Roman" w:hAnsi="Arial" w:cs="Arial"/>
          <w:kern w:val="1"/>
          <w:sz w:val="22"/>
          <w:szCs w:val="22"/>
          <w:lang w:val="es-ES" w:eastAsia="ar-SA"/>
        </w:rPr>
        <w:t xml:space="preserve">-64 GHz </w:t>
      </w:r>
      <w:r w:rsidRPr="00BA7B62">
        <w:rPr>
          <w:rFonts w:ascii="Arial" w:hAnsi="Arial" w:cs="Arial"/>
          <w:kern w:val="2"/>
          <w:sz w:val="22"/>
          <w:szCs w:val="22"/>
          <w:lang w:val="es-ES" w:eastAsia="ar-SA"/>
        </w:rPr>
        <w:t>en México, como lo son la industria, la academia, las instituciones de investigación, los operadores comerciales o los fabricantes de tecnología, por mencionar algunos.</w:t>
      </w:r>
    </w:p>
    <w:p w14:paraId="1C15B83D" w14:textId="77777777" w:rsidR="002773C7" w:rsidRPr="00BA7B62" w:rsidRDefault="002773C7" w:rsidP="002773C7">
      <w:pPr>
        <w:spacing w:line="276" w:lineRule="auto"/>
        <w:jc w:val="both"/>
        <w:rPr>
          <w:rFonts w:ascii="Arial" w:hAnsi="Arial" w:cs="Arial"/>
          <w:sz w:val="22"/>
          <w:szCs w:val="22"/>
          <w:lang w:val="es-ES" w:eastAsia="ar-SA"/>
        </w:rPr>
      </w:pPr>
    </w:p>
    <w:p w14:paraId="0849C48B" w14:textId="77777777" w:rsidR="002773C7" w:rsidRPr="00BA7B62" w:rsidRDefault="002773C7" w:rsidP="002773C7">
      <w:pPr>
        <w:spacing w:line="276" w:lineRule="auto"/>
        <w:jc w:val="both"/>
        <w:rPr>
          <w:rFonts w:ascii="Arial" w:hAnsi="Arial" w:cs="Arial"/>
          <w:kern w:val="2"/>
          <w:sz w:val="22"/>
          <w:szCs w:val="22"/>
          <w:lang w:val="es-ES" w:eastAsia="ar-SA"/>
        </w:rPr>
      </w:pPr>
      <w:r w:rsidRPr="00BA7B62">
        <w:rPr>
          <w:rFonts w:ascii="Arial" w:hAnsi="Arial" w:cs="Arial"/>
          <w:kern w:val="2"/>
          <w:sz w:val="22"/>
          <w:szCs w:val="22"/>
          <w:lang w:val="es-ES" w:eastAsia="ar-SA"/>
        </w:rPr>
        <w:t xml:space="preserve">Una vez concluidos los plazos respectivos de cada consulta, se publicaron en el portal de Internet del Instituto todos y cada uno de los comentarios, información, aportaciones, opiniones u otros elementos de análisis concretos recibidos respecto del anteproyecto materia de dichas consultas. </w:t>
      </w:r>
    </w:p>
    <w:p w14:paraId="1105CDCF" w14:textId="77777777" w:rsidR="002773C7" w:rsidRPr="00BA7B62" w:rsidRDefault="002773C7" w:rsidP="002773C7">
      <w:pPr>
        <w:spacing w:line="276" w:lineRule="auto"/>
        <w:jc w:val="both"/>
        <w:rPr>
          <w:rFonts w:ascii="Arial" w:hAnsi="Arial" w:cs="Arial"/>
          <w:kern w:val="2"/>
          <w:sz w:val="22"/>
          <w:szCs w:val="22"/>
          <w:lang w:val="es-ES" w:eastAsia="ar-SA"/>
        </w:rPr>
      </w:pPr>
    </w:p>
    <w:p w14:paraId="26B5325A" w14:textId="77777777" w:rsidR="002773C7" w:rsidRPr="00BA7B62" w:rsidRDefault="002773C7" w:rsidP="002773C7">
      <w:pPr>
        <w:spacing w:line="276" w:lineRule="auto"/>
        <w:jc w:val="both"/>
        <w:rPr>
          <w:rFonts w:ascii="Arial" w:hAnsi="Arial" w:cs="Arial"/>
          <w:kern w:val="2"/>
          <w:sz w:val="22"/>
          <w:szCs w:val="22"/>
          <w:lang w:val="es-ES" w:eastAsia="ar-SA"/>
        </w:rPr>
      </w:pPr>
      <w:r w:rsidRPr="00BA7B62">
        <w:rPr>
          <w:rFonts w:ascii="Arial" w:hAnsi="Arial" w:cs="Arial"/>
          <w:kern w:val="2"/>
          <w:sz w:val="22"/>
          <w:szCs w:val="22"/>
          <w:lang w:val="es-ES" w:eastAsia="ar-SA"/>
        </w:rPr>
        <w:t xml:space="preserve">En relación con lo anterior, la UER recibió y atendió un total de (___) participaciones efectivas para realizar modificaciones al Anteproyecto. En consecuencia, la UER elaboró los informes de </w:t>
      </w:r>
      <w:r w:rsidRPr="00BA7B62">
        <w:rPr>
          <w:rFonts w:ascii="Arial" w:hAnsi="Arial" w:cs="Arial"/>
          <w:kern w:val="2"/>
          <w:sz w:val="22"/>
          <w:szCs w:val="22"/>
          <w:lang w:val="es-ES" w:eastAsia="ar-SA"/>
        </w:rPr>
        <w:lastRenderedPageBreak/>
        <w:t>consideraciones que atienden las participaciones recibidas, los cuales se publicaron en el portal de Internet del Instituto, en el apartado correspondiente de las consultas públicas. Derivado de las participaciones recibidas, se consideraron las propuestas siguientes:</w:t>
      </w:r>
    </w:p>
    <w:p w14:paraId="10596A5C" w14:textId="77777777" w:rsidR="002773C7" w:rsidRPr="00BA7B62" w:rsidRDefault="002773C7" w:rsidP="002773C7">
      <w:pPr>
        <w:spacing w:line="276" w:lineRule="auto"/>
        <w:jc w:val="both"/>
        <w:rPr>
          <w:rFonts w:ascii="Arial" w:hAnsi="Arial" w:cs="Arial"/>
          <w:kern w:val="2"/>
          <w:sz w:val="22"/>
          <w:szCs w:val="22"/>
          <w:lang w:val="es-ES" w:eastAsia="ar-SA"/>
        </w:rPr>
      </w:pPr>
    </w:p>
    <w:p w14:paraId="5151FFB9" w14:textId="77777777" w:rsidR="002773C7" w:rsidRPr="00BA7B62" w:rsidRDefault="002773C7" w:rsidP="002773C7">
      <w:pPr>
        <w:spacing w:line="276" w:lineRule="auto"/>
        <w:jc w:val="both"/>
        <w:rPr>
          <w:rFonts w:ascii="Arial" w:hAnsi="Arial" w:cs="Arial"/>
          <w:kern w:val="2"/>
          <w:sz w:val="22"/>
          <w:szCs w:val="22"/>
          <w:lang w:val="es-ES" w:eastAsia="ar-SA"/>
        </w:rPr>
      </w:pPr>
      <w:r w:rsidRPr="00BA7B62">
        <w:rPr>
          <w:rFonts w:ascii="Arial" w:hAnsi="Arial" w:cs="Arial"/>
          <w:kern w:val="2"/>
          <w:sz w:val="22"/>
          <w:szCs w:val="22"/>
          <w:lang w:val="es-ES" w:eastAsia="ar-SA"/>
        </w:rPr>
        <w:t>(___</w:t>
      </w:r>
      <w:r w:rsidRPr="00BA7B62">
        <w:rPr>
          <w:rFonts w:ascii="Arial" w:hAnsi="Arial" w:cs="Arial"/>
          <w:kern w:val="1"/>
          <w:sz w:val="22"/>
          <w:szCs w:val="22"/>
          <w:lang w:eastAsia="ar-SA"/>
        </w:rPr>
        <w:t>)</w:t>
      </w:r>
    </w:p>
    <w:p w14:paraId="51CC2DCE" w14:textId="77777777" w:rsidR="002773C7" w:rsidRPr="00BA7B62" w:rsidRDefault="002773C7" w:rsidP="002773C7">
      <w:pPr>
        <w:spacing w:line="276" w:lineRule="auto"/>
        <w:jc w:val="both"/>
        <w:rPr>
          <w:rFonts w:ascii="Arial" w:hAnsi="Arial" w:cs="Arial"/>
          <w:kern w:val="1"/>
          <w:sz w:val="22"/>
          <w:szCs w:val="22"/>
          <w:lang w:eastAsia="ar-SA"/>
        </w:rPr>
      </w:pPr>
    </w:p>
    <w:p w14:paraId="21060A42" w14:textId="77777777" w:rsidR="002773C7" w:rsidRPr="00BA7B62" w:rsidRDefault="002773C7" w:rsidP="002773C7">
      <w:pPr>
        <w:spacing w:line="276" w:lineRule="auto"/>
        <w:jc w:val="both"/>
        <w:rPr>
          <w:rFonts w:ascii="Arial" w:hAnsi="Arial" w:cs="Arial"/>
          <w:kern w:val="2"/>
          <w:sz w:val="22"/>
          <w:szCs w:val="22"/>
          <w:lang w:val="es-ES" w:eastAsia="ar-SA"/>
        </w:rPr>
      </w:pPr>
      <w:r w:rsidRPr="00BA7B62">
        <w:rPr>
          <w:rFonts w:ascii="Arial" w:hAnsi="Arial" w:cs="Arial"/>
          <w:kern w:val="2"/>
          <w:sz w:val="22"/>
          <w:szCs w:val="22"/>
          <w:lang w:val="es-ES" w:eastAsia="ar-SA"/>
        </w:rPr>
        <w:t>Las participaciones recibidas permitieron que el Instituto contara con mayores elementos de análisis para la emisión de la disposición administrativa de carácter general objeto del presente Acuerdo.</w:t>
      </w:r>
    </w:p>
    <w:p w14:paraId="7FC45852" w14:textId="77777777" w:rsidR="002773C7" w:rsidRPr="00BA7B62" w:rsidRDefault="002773C7" w:rsidP="002773C7">
      <w:pPr>
        <w:spacing w:line="276" w:lineRule="auto"/>
        <w:jc w:val="both"/>
        <w:rPr>
          <w:rFonts w:ascii="Arial" w:hAnsi="Arial" w:cs="Arial"/>
          <w:kern w:val="2"/>
          <w:sz w:val="22"/>
          <w:szCs w:val="22"/>
          <w:lang w:val="es-ES" w:eastAsia="ar-SA"/>
        </w:rPr>
      </w:pPr>
    </w:p>
    <w:p w14:paraId="2A7D3388" w14:textId="29B707E8" w:rsidR="002773C7" w:rsidRPr="00BA7B62" w:rsidRDefault="002773C7" w:rsidP="002773C7">
      <w:pPr>
        <w:pStyle w:val="Prrafodelista"/>
        <w:spacing w:line="276" w:lineRule="auto"/>
        <w:ind w:left="0"/>
        <w:contextualSpacing w:val="0"/>
        <w:jc w:val="both"/>
        <w:rPr>
          <w:rFonts w:ascii="Arial" w:hAnsi="Arial" w:cs="Arial"/>
          <w:sz w:val="22"/>
          <w:szCs w:val="22"/>
          <w:lang w:eastAsia="es-MX"/>
        </w:rPr>
      </w:pPr>
      <w:proofErr w:type="gramStart"/>
      <w:r w:rsidRPr="00BA7B62">
        <w:rPr>
          <w:rFonts w:ascii="Arial" w:hAnsi="Arial" w:cs="Arial"/>
          <w:b/>
          <w:sz w:val="22"/>
          <w:szCs w:val="22"/>
          <w:lang w:eastAsia="es-MX"/>
        </w:rPr>
        <w:t>Sexto.-</w:t>
      </w:r>
      <w:proofErr w:type="gramEnd"/>
      <w:r w:rsidRPr="00BA7B62">
        <w:rPr>
          <w:rFonts w:ascii="Arial" w:hAnsi="Arial" w:cs="Arial"/>
          <w:b/>
          <w:sz w:val="22"/>
          <w:szCs w:val="22"/>
          <w:lang w:eastAsia="es-MX"/>
        </w:rPr>
        <w:t xml:space="preserve"> Análisis de Impacto Regulatorio. </w:t>
      </w:r>
      <w:r w:rsidRPr="00BA7B62">
        <w:rPr>
          <w:rFonts w:ascii="Arial" w:hAnsi="Arial" w:cs="Arial"/>
          <w:kern w:val="2"/>
          <w:sz w:val="22"/>
          <w:szCs w:val="22"/>
          <w:lang w:val="es-ES" w:eastAsia="ar-SA"/>
        </w:rPr>
        <w:t xml:space="preserve">El </w:t>
      </w:r>
      <w:r w:rsidRPr="00BA7B62">
        <w:rPr>
          <w:rFonts w:ascii="Arial" w:hAnsi="Arial" w:cs="Arial"/>
          <w:sz w:val="22"/>
          <w:szCs w:val="22"/>
        </w:rPr>
        <w:t xml:space="preserve">artículo 51, segundo párrafo de la Ley establece que, previo a la emisión de reglas, lineamientos o disposiciones administrativas de carácter general, </w:t>
      </w:r>
      <w:r w:rsidRPr="00BA7B62">
        <w:rPr>
          <w:rFonts w:ascii="Arial" w:hAnsi="Arial" w:cs="Arial"/>
          <w:bCs/>
          <w:sz w:val="22"/>
          <w:szCs w:val="22"/>
        </w:rPr>
        <w:t xml:space="preserve">el Instituto deberá realizar y hacer público un análisis de impacto regulatorio </w:t>
      </w:r>
      <w:r w:rsidRPr="00BA7B62">
        <w:rPr>
          <w:rFonts w:ascii="Arial" w:hAnsi="Arial" w:cs="Arial"/>
          <w:sz w:val="22"/>
          <w:szCs w:val="22"/>
        </w:rPr>
        <w:t>o, en su caso, solicitar el apoyo de la Comisión Federal de Mejora Regulatoria</w:t>
      </w:r>
      <w:r w:rsidRPr="00BA7B62">
        <w:rPr>
          <w:rFonts w:ascii="Arial" w:hAnsi="Arial" w:cs="Arial"/>
          <w:kern w:val="2"/>
          <w:sz w:val="22"/>
          <w:szCs w:val="22"/>
          <w:lang w:val="es-ES" w:eastAsia="ar-SA"/>
        </w:rPr>
        <w:t>.</w:t>
      </w:r>
    </w:p>
    <w:p w14:paraId="202EB80F" w14:textId="77777777" w:rsidR="002773C7" w:rsidRPr="00BA7B62" w:rsidRDefault="002773C7" w:rsidP="002773C7">
      <w:pPr>
        <w:spacing w:line="276" w:lineRule="auto"/>
        <w:jc w:val="both"/>
        <w:rPr>
          <w:rFonts w:ascii="Arial" w:hAnsi="Arial" w:cs="Arial"/>
          <w:kern w:val="1"/>
          <w:sz w:val="22"/>
          <w:szCs w:val="22"/>
          <w:lang w:eastAsia="ar-SA"/>
        </w:rPr>
      </w:pPr>
    </w:p>
    <w:p w14:paraId="3B57CE26" w14:textId="77777777" w:rsidR="002773C7" w:rsidRPr="00BA7B62" w:rsidRDefault="002773C7" w:rsidP="002773C7">
      <w:pPr>
        <w:spacing w:line="276" w:lineRule="auto"/>
        <w:jc w:val="both"/>
        <w:rPr>
          <w:rFonts w:ascii="Arial" w:hAnsi="Arial" w:cs="Arial"/>
          <w:bCs/>
          <w:sz w:val="22"/>
          <w:szCs w:val="22"/>
          <w:lang w:val="es-ES_tradnl"/>
        </w:rPr>
      </w:pPr>
      <w:r w:rsidRPr="00BA7B62">
        <w:rPr>
          <w:rFonts w:ascii="Arial" w:hAnsi="Arial" w:cs="Arial"/>
          <w:bCs/>
          <w:sz w:val="22"/>
          <w:szCs w:val="22"/>
          <w:lang w:val="es-ES_tradnl"/>
        </w:rPr>
        <w:t>Por su parte, el Lineamiento Vigésimo Primero de los Lineamientos de Consulta Pública establece que, si a la entrada en vigor de un anteproyecto este genera nuevos costos de cumplimiento, deberá ir acompañado de un AIR, como acontece en la especie.</w:t>
      </w:r>
    </w:p>
    <w:p w14:paraId="328C5236" w14:textId="77777777" w:rsidR="002773C7" w:rsidRPr="00BA7B62" w:rsidRDefault="002773C7" w:rsidP="002773C7">
      <w:pPr>
        <w:spacing w:line="276" w:lineRule="auto"/>
        <w:jc w:val="both"/>
        <w:rPr>
          <w:rFonts w:ascii="Arial" w:hAnsi="Arial" w:cs="Arial"/>
          <w:bCs/>
          <w:sz w:val="22"/>
          <w:szCs w:val="22"/>
          <w:lang w:val="es-ES_tradnl"/>
        </w:rPr>
      </w:pPr>
    </w:p>
    <w:p w14:paraId="4C3AA341" w14:textId="77777777" w:rsidR="002773C7" w:rsidRPr="00BA7B62" w:rsidRDefault="002773C7" w:rsidP="002773C7">
      <w:pPr>
        <w:spacing w:line="276" w:lineRule="auto"/>
        <w:jc w:val="both"/>
        <w:rPr>
          <w:rFonts w:ascii="Arial" w:eastAsia="Times New Roman" w:hAnsi="Arial" w:cs="Arial"/>
          <w:sz w:val="22"/>
          <w:szCs w:val="22"/>
          <w:lang w:eastAsia="ar-SA"/>
        </w:rPr>
      </w:pPr>
      <w:r w:rsidRPr="00BA7B62">
        <w:rPr>
          <w:rFonts w:ascii="Arial" w:eastAsia="Times New Roman" w:hAnsi="Arial" w:cs="Arial"/>
          <w:sz w:val="22"/>
          <w:szCs w:val="22"/>
          <w:lang w:eastAsia="ar-SA"/>
        </w:rPr>
        <w:t>Por ello, en cumplimiento a las disposiciones indicadas, la UER remitió a la CGMR el AIR respecto al “</w:t>
      </w:r>
      <w:r w:rsidRPr="00BA7B62">
        <w:rPr>
          <w:rFonts w:ascii="Arial" w:eastAsia="Times New Roman" w:hAnsi="Arial" w:cs="Arial"/>
          <w:i/>
          <w:sz w:val="22"/>
          <w:szCs w:val="22"/>
          <w:lang w:eastAsia="ar-SA"/>
        </w:rPr>
        <w:t>Anteproyecto de</w:t>
      </w:r>
      <w:r w:rsidRPr="00BA7B62">
        <w:rPr>
          <w:rFonts w:ascii="Arial" w:eastAsia="Times New Roman" w:hAnsi="Arial" w:cs="Arial"/>
          <w:sz w:val="22"/>
          <w:szCs w:val="22"/>
          <w:lang w:eastAsia="ar-SA"/>
        </w:rPr>
        <w:t xml:space="preserve"> </w:t>
      </w:r>
      <w:r w:rsidRPr="00BA7B62">
        <w:rPr>
          <w:rFonts w:ascii="Arial" w:hAnsi="Arial" w:cs="Arial"/>
          <w:i/>
          <w:kern w:val="2"/>
          <w:sz w:val="22"/>
          <w:szCs w:val="22"/>
          <w:lang w:val="es-ES_tradnl" w:eastAsia="ar-SA"/>
        </w:rPr>
        <w:t>Acuerdo mediante el cual el Pleno del Instituto Federal de Telecomunicaciones actualiza las condiciones técnicas de operación para el uso de la banda de frecuencias 57-64 GHz, clasificada como espectro libre”</w:t>
      </w:r>
      <w:r w:rsidRPr="00BA7B62">
        <w:rPr>
          <w:rFonts w:ascii="Arial" w:eastAsia="Times New Roman" w:hAnsi="Arial" w:cs="Arial"/>
          <w:i/>
          <w:sz w:val="22"/>
          <w:szCs w:val="22"/>
          <w:lang w:eastAsia="ar-SA"/>
        </w:rPr>
        <w:t xml:space="preserve"> </w:t>
      </w:r>
      <w:r w:rsidRPr="00BA7B62">
        <w:rPr>
          <w:rFonts w:ascii="Arial" w:eastAsia="Times New Roman" w:hAnsi="Arial" w:cs="Arial"/>
          <w:sz w:val="22"/>
          <w:szCs w:val="22"/>
          <w:lang w:eastAsia="ar-SA"/>
        </w:rPr>
        <w:t>para que esta emitiera su opinión no vinculante, con relación a dicho documento, tal como se indicó en los Antecedentes Noveno y Decimocuarto del presente Acuerdo, con la finalidad de observar el proceso de mejora regulatoria previsto en el marco jurídico vigente, para la emisión de disposiciones administrativas de carácter general.</w:t>
      </w:r>
    </w:p>
    <w:p w14:paraId="0095D2F4" w14:textId="77777777" w:rsidR="002773C7" w:rsidRPr="00BA7B62" w:rsidRDefault="002773C7" w:rsidP="002773C7">
      <w:pPr>
        <w:spacing w:line="276" w:lineRule="auto"/>
        <w:jc w:val="both"/>
        <w:rPr>
          <w:rFonts w:ascii="Arial" w:eastAsia="Times New Roman" w:hAnsi="Arial" w:cs="Arial"/>
          <w:sz w:val="22"/>
          <w:szCs w:val="22"/>
          <w:lang w:eastAsia="ar-SA"/>
        </w:rPr>
      </w:pPr>
    </w:p>
    <w:p w14:paraId="0ECA820E" w14:textId="77777777" w:rsidR="002773C7" w:rsidRPr="00BA7B62" w:rsidRDefault="002773C7" w:rsidP="002773C7">
      <w:pPr>
        <w:spacing w:line="276" w:lineRule="auto"/>
        <w:jc w:val="both"/>
        <w:rPr>
          <w:rFonts w:ascii="Arial" w:hAnsi="Arial" w:cs="Arial"/>
          <w:i/>
          <w:kern w:val="2"/>
          <w:sz w:val="22"/>
          <w:szCs w:val="22"/>
          <w:lang w:val="es-ES_tradnl" w:eastAsia="ar-SA"/>
        </w:rPr>
      </w:pPr>
      <w:r w:rsidRPr="00BA7B62">
        <w:rPr>
          <w:rFonts w:ascii="Arial" w:eastAsia="Times New Roman" w:hAnsi="Arial" w:cs="Arial"/>
          <w:sz w:val="22"/>
          <w:szCs w:val="22"/>
          <w:lang w:eastAsia="ar-SA"/>
        </w:rPr>
        <w:t xml:space="preserve">Como consecuencia de lo anterior, mediante los oficios indicados en los Antecedentes Décimo y Decimoquinto del presente Acuerdo, la CGMR envió a la UER la opinión no vinculante sobre el AIR del anteproyecto. </w:t>
      </w:r>
    </w:p>
    <w:p w14:paraId="09EC1B66" w14:textId="77777777" w:rsidR="002773C7" w:rsidRPr="00BA7B62" w:rsidRDefault="002773C7" w:rsidP="002773C7">
      <w:pPr>
        <w:spacing w:line="276" w:lineRule="auto"/>
        <w:jc w:val="both"/>
        <w:rPr>
          <w:rFonts w:ascii="Arial" w:eastAsia="Times New Roman" w:hAnsi="Arial" w:cs="Arial"/>
          <w:sz w:val="22"/>
          <w:szCs w:val="22"/>
          <w:lang w:eastAsia="ar-SA"/>
        </w:rPr>
      </w:pPr>
    </w:p>
    <w:p w14:paraId="41E3BB89" w14:textId="36371E97" w:rsidR="002773C7" w:rsidRPr="00BA7B62" w:rsidRDefault="002773C7" w:rsidP="002773C7">
      <w:pPr>
        <w:spacing w:line="276" w:lineRule="auto"/>
        <w:jc w:val="both"/>
        <w:rPr>
          <w:rFonts w:ascii="Arial" w:eastAsia="Times New Roman" w:hAnsi="Arial" w:cs="Arial"/>
          <w:sz w:val="22"/>
          <w:szCs w:val="22"/>
          <w:lang w:eastAsia="ar-SA"/>
        </w:rPr>
      </w:pPr>
      <w:r w:rsidRPr="00BA7B62">
        <w:rPr>
          <w:rFonts w:ascii="Arial" w:eastAsia="Times New Roman" w:hAnsi="Arial" w:cs="Arial"/>
          <w:sz w:val="22"/>
          <w:szCs w:val="22"/>
          <w:lang w:eastAsia="ar-SA"/>
        </w:rPr>
        <w:t>Asimismo, se manifiesta que, respecto al presente proyecto de disposición administrativa de carácter general, el Instituto puso a disposición de los interesados en participar en la Consulta Pública, el AIR, mismo que ______ modificaciones sustanciales a razón de la Consulta Pública referida en el numeral anterior, ni en virtud de las adecuaciones realizadas al presente Acuerdo.</w:t>
      </w:r>
    </w:p>
    <w:p w14:paraId="589E3DB0" w14:textId="77777777" w:rsidR="002773C7" w:rsidRPr="00BA7B62" w:rsidRDefault="002773C7" w:rsidP="002773C7">
      <w:pPr>
        <w:spacing w:line="276" w:lineRule="auto"/>
        <w:jc w:val="both"/>
        <w:rPr>
          <w:rFonts w:ascii="Arial" w:eastAsia="Times New Roman" w:hAnsi="Arial" w:cs="Arial"/>
          <w:sz w:val="22"/>
          <w:szCs w:val="22"/>
          <w:lang w:eastAsia="ar-SA"/>
        </w:rPr>
      </w:pPr>
    </w:p>
    <w:p w14:paraId="49B17309" w14:textId="77777777" w:rsidR="002773C7" w:rsidRPr="00BA7B62" w:rsidRDefault="002773C7" w:rsidP="002773C7">
      <w:pPr>
        <w:spacing w:line="276" w:lineRule="auto"/>
        <w:jc w:val="both"/>
        <w:rPr>
          <w:rFonts w:ascii="Arial" w:eastAsia="Times New Roman" w:hAnsi="Arial" w:cs="Arial"/>
          <w:sz w:val="22"/>
          <w:szCs w:val="22"/>
          <w:lang w:eastAsia="ar-SA"/>
        </w:rPr>
      </w:pPr>
      <w:r w:rsidRPr="00BA7B62">
        <w:rPr>
          <w:rFonts w:ascii="Arial" w:eastAsia="Times New Roman" w:hAnsi="Arial" w:cs="Arial"/>
          <w:sz w:val="22"/>
          <w:szCs w:val="22"/>
          <w:lang w:eastAsia="ar-SA"/>
        </w:rPr>
        <w:t>Por lo anterior, con fundamento en los artículos 6o., párrafo tercero y apartado B, fracción II; 27, párrafos cuarto y sexto y 28, párrafos décimo quinto, décimo sexto y vigésimo, fracción IV de la Constitución Política de los Estados Unidos Mexicanos; 7, 15, fracciones I, LVI y LVII, 16, 17 fracción I, 54, 55, fracción II, 56 y 64 de la Ley Federal de Telecomunicaciones y Radiodifusión; 1, 4, fracción I y 6, fracciones I, XVIII, XXV y XXXVIII del Estatuto Orgánico del Instituto Federal de Telecomunicaciones, el Pleno de este Instituto expide el siguiente:</w:t>
      </w:r>
    </w:p>
    <w:p w14:paraId="379701E7" w14:textId="77777777" w:rsidR="002773C7" w:rsidRPr="00BA7B62" w:rsidRDefault="002773C7" w:rsidP="002773C7">
      <w:pPr>
        <w:spacing w:line="276" w:lineRule="auto"/>
        <w:jc w:val="both"/>
        <w:rPr>
          <w:rFonts w:ascii="Arial" w:eastAsia="Times New Roman" w:hAnsi="Arial" w:cs="Arial"/>
          <w:sz w:val="22"/>
          <w:szCs w:val="22"/>
          <w:lang w:eastAsia="ar-SA"/>
        </w:rPr>
      </w:pPr>
    </w:p>
    <w:p w14:paraId="3730C865" w14:textId="77777777" w:rsidR="002773C7" w:rsidRPr="00BA7B62" w:rsidRDefault="002773C7" w:rsidP="002773C7">
      <w:pPr>
        <w:spacing w:line="276" w:lineRule="auto"/>
        <w:jc w:val="both"/>
        <w:rPr>
          <w:rFonts w:ascii="Arial" w:eastAsia="Times New Roman" w:hAnsi="Arial" w:cs="Arial"/>
          <w:sz w:val="22"/>
          <w:szCs w:val="22"/>
          <w:lang w:eastAsia="ar-SA"/>
        </w:rPr>
      </w:pPr>
    </w:p>
    <w:p w14:paraId="65849D7C" w14:textId="77777777" w:rsidR="002773C7" w:rsidRPr="00BA7B62" w:rsidRDefault="002773C7" w:rsidP="002773C7">
      <w:pPr>
        <w:pStyle w:val="Ttulo3"/>
        <w:numPr>
          <w:ilvl w:val="0"/>
          <w:numId w:val="0"/>
        </w:numPr>
        <w:spacing w:line="276" w:lineRule="auto"/>
        <w:contextualSpacing w:val="0"/>
        <w:rPr>
          <w:rFonts w:ascii="Arial" w:hAnsi="Arial" w:cs="Arial"/>
          <w:color w:val="auto"/>
          <w:sz w:val="26"/>
          <w:szCs w:val="26"/>
          <w:lang w:val="es-ES"/>
        </w:rPr>
      </w:pPr>
      <w:r w:rsidRPr="00BA7B62">
        <w:rPr>
          <w:rFonts w:ascii="Arial" w:hAnsi="Arial" w:cs="Arial"/>
          <w:color w:val="auto"/>
          <w:sz w:val="26"/>
          <w:szCs w:val="26"/>
          <w:lang w:val="es-ES"/>
        </w:rPr>
        <w:t>Acuerdo</w:t>
      </w:r>
    </w:p>
    <w:p w14:paraId="2B9A933C" w14:textId="77777777" w:rsidR="002773C7" w:rsidRPr="002773C7" w:rsidRDefault="002773C7" w:rsidP="002773C7">
      <w:pPr>
        <w:spacing w:line="276" w:lineRule="auto"/>
        <w:jc w:val="both"/>
        <w:rPr>
          <w:rFonts w:ascii="Arial" w:eastAsia="Times New Roman" w:hAnsi="Arial" w:cs="Arial"/>
          <w:kern w:val="1"/>
          <w:lang w:eastAsia="ar-SA"/>
        </w:rPr>
      </w:pPr>
    </w:p>
    <w:p w14:paraId="640F41EE" w14:textId="77777777" w:rsidR="002773C7" w:rsidRPr="002773C7" w:rsidRDefault="002773C7" w:rsidP="002773C7">
      <w:pPr>
        <w:pStyle w:val="Ttulo4"/>
        <w:numPr>
          <w:ilvl w:val="0"/>
          <w:numId w:val="48"/>
        </w:numPr>
        <w:spacing w:line="276" w:lineRule="auto"/>
        <w:ind w:left="0" w:hanging="11"/>
        <w:rPr>
          <w:b w:val="0"/>
          <w:iCs w:val="0"/>
          <w:kern w:val="1"/>
          <w:lang w:eastAsia="ar-SA"/>
        </w:rPr>
      </w:pPr>
      <w:r w:rsidRPr="002773C7">
        <w:rPr>
          <w:b w:val="0"/>
          <w:iCs w:val="0"/>
        </w:rPr>
        <w:t xml:space="preserve">Se actualizan las condiciones técnicas de operación contenidas en </w:t>
      </w:r>
      <w:r w:rsidRPr="002773C7">
        <w:rPr>
          <w:b w:val="0"/>
          <w:iCs w:val="0"/>
          <w:kern w:val="1"/>
          <w:lang w:eastAsia="ar-SA"/>
        </w:rPr>
        <w:t xml:space="preserve">el Anexo 1 del </w:t>
      </w:r>
      <w:r w:rsidRPr="002773C7">
        <w:rPr>
          <w:b w:val="0"/>
          <w:i/>
          <w:kern w:val="1"/>
          <w:lang w:eastAsia="ar-SA"/>
        </w:rPr>
        <w:t>“Acuerdo mediante el cual el Pleno del Instituto Federal de Telecomunicaciones clasifica la banda de frecuencias 57-64 GHz como espectro libre y expide las condiciones técnicas de operación”</w:t>
      </w:r>
      <w:r w:rsidRPr="002773C7">
        <w:rPr>
          <w:b w:val="0"/>
          <w:iCs w:val="0"/>
          <w:kern w:val="1"/>
          <w:lang w:eastAsia="ar-SA"/>
        </w:rPr>
        <w:t>, para quedar como sigue:</w:t>
      </w:r>
    </w:p>
    <w:p w14:paraId="38613F32" w14:textId="6C6B49F6" w:rsidR="002773C7" w:rsidRDefault="002773C7" w:rsidP="00FA2132">
      <w:pPr>
        <w:spacing w:line="276" w:lineRule="auto"/>
        <w:jc w:val="both"/>
        <w:rPr>
          <w:rFonts w:ascii="Arial" w:hAnsi="Arial" w:cs="Arial"/>
          <w:iCs/>
          <w:lang w:eastAsia="ar-SA"/>
        </w:rPr>
      </w:pPr>
    </w:p>
    <w:p w14:paraId="6B014CFD" w14:textId="2BF37209" w:rsidR="00FA2132" w:rsidRDefault="00FA2132" w:rsidP="00FA2132">
      <w:pPr>
        <w:spacing w:line="276" w:lineRule="auto"/>
        <w:jc w:val="both"/>
        <w:rPr>
          <w:rFonts w:ascii="Arial" w:hAnsi="Arial" w:cs="Arial"/>
          <w:iCs/>
          <w:lang w:eastAsia="ar-SA"/>
        </w:rPr>
      </w:pPr>
    </w:p>
    <w:p w14:paraId="356A7AF1" w14:textId="77777777" w:rsidR="00FA2132" w:rsidRPr="002773C7" w:rsidRDefault="00FA2132" w:rsidP="00FA2132">
      <w:pPr>
        <w:spacing w:line="276" w:lineRule="auto"/>
        <w:jc w:val="both"/>
        <w:rPr>
          <w:rFonts w:ascii="Arial" w:hAnsi="Arial" w:cs="Arial"/>
          <w:iCs/>
          <w:lang w:eastAsia="ar-SA"/>
        </w:rPr>
      </w:pPr>
    </w:p>
    <w:p w14:paraId="05C2450C" w14:textId="77777777" w:rsidR="002773C7" w:rsidRPr="00FA2132" w:rsidRDefault="002773C7" w:rsidP="002773C7">
      <w:pPr>
        <w:pStyle w:val="Ttulo3"/>
        <w:numPr>
          <w:ilvl w:val="0"/>
          <w:numId w:val="0"/>
        </w:numPr>
        <w:spacing w:line="276" w:lineRule="auto"/>
        <w:contextualSpacing w:val="0"/>
        <w:rPr>
          <w:rFonts w:ascii="Arial" w:hAnsi="Arial" w:cs="Arial"/>
          <w:sz w:val="26"/>
          <w:szCs w:val="26"/>
        </w:rPr>
      </w:pPr>
      <w:r w:rsidRPr="00FA2132">
        <w:rPr>
          <w:rFonts w:ascii="Arial" w:hAnsi="Arial" w:cs="Arial"/>
          <w:sz w:val="26"/>
          <w:szCs w:val="26"/>
        </w:rPr>
        <w:t>ANEXO 1</w:t>
      </w:r>
    </w:p>
    <w:p w14:paraId="08DF95B6" w14:textId="77777777" w:rsidR="002773C7" w:rsidRPr="00FA2132" w:rsidRDefault="002773C7" w:rsidP="002773C7">
      <w:pPr>
        <w:pStyle w:val="Ttulo3"/>
        <w:numPr>
          <w:ilvl w:val="0"/>
          <w:numId w:val="0"/>
        </w:numPr>
        <w:spacing w:line="276" w:lineRule="auto"/>
        <w:contextualSpacing w:val="0"/>
        <w:jc w:val="both"/>
        <w:rPr>
          <w:rFonts w:ascii="Arial" w:hAnsi="Arial" w:cs="Arial"/>
          <w:color w:val="auto"/>
          <w:sz w:val="26"/>
          <w:szCs w:val="26"/>
        </w:rPr>
      </w:pPr>
      <w:r w:rsidRPr="00FA2132">
        <w:rPr>
          <w:rFonts w:ascii="Arial" w:hAnsi="Arial" w:cs="Arial"/>
          <w:color w:val="auto"/>
          <w:sz w:val="26"/>
          <w:szCs w:val="26"/>
        </w:rPr>
        <w:t>CONDICIONES TÉCNICAS DE OPERACIÓN PARA EL USO DE LA BANDA DE FRECUENCIAS 57-64 GHz</w:t>
      </w:r>
    </w:p>
    <w:p w14:paraId="047F0B03" w14:textId="77777777" w:rsidR="002773C7" w:rsidRPr="002773C7" w:rsidRDefault="002773C7" w:rsidP="002773C7">
      <w:pPr>
        <w:pStyle w:val="ANOTACION"/>
        <w:spacing w:before="0" w:after="0" w:line="276" w:lineRule="auto"/>
        <w:jc w:val="right"/>
        <w:rPr>
          <w:rFonts w:ascii="Arial" w:hAnsi="Arial" w:cs="Arial"/>
          <w:color w:val="FF0000"/>
          <w:sz w:val="22"/>
          <w:szCs w:val="22"/>
          <w:lang w:eastAsia="es-MX"/>
        </w:rPr>
      </w:pPr>
      <w:r w:rsidRPr="002773C7">
        <w:rPr>
          <w:rFonts w:ascii="Arial" w:eastAsiaTheme="minorHAnsi" w:hAnsi="Arial" w:cs="Arial"/>
          <w:i/>
          <w:color w:val="FF0000"/>
          <w:sz w:val="22"/>
          <w:szCs w:val="22"/>
        </w:rPr>
        <w:t>Adición</w:t>
      </w:r>
    </w:p>
    <w:p w14:paraId="18D625CB" w14:textId="77777777" w:rsidR="002773C7" w:rsidRPr="002773C7" w:rsidRDefault="002773C7" w:rsidP="002773C7">
      <w:pPr>
        <w:pStyle w:val="Prrafodelista"/>
        <w:spacing w:line="276" w:lineRule="auto"/>
        <w:ind w:left="0"/>
        <w:contextualSpacing w:val="0"/>
        <w:jc w:val="both"/>
        <w:rPr>
          <w:rFonts w:ascii="Arial" w:hAnsi="Arial" w:cs="Arial"/>
          <w:b/>
          <w:sz w:val="22"/>
          <w:szCs w:val="22"/>
        </w:rPr>
      </w:pPr>
      <w:r w:rsidRPr="002773C7">
        <w:rPr>
          <w:rFonts w:ascii="Arial" w:hAnsi="Arial" w:cs="Arial"/>
          <w:b/>
          <w:sz w:val="22"/>
          <w:szCs w:val="22"/>
        </w:rPr>
        <w:t>1.</w:t>
      </w:r>
      <w:r w:rsidRPr="002773C7">
        <w:rPr>
          <w:rFonts w:ascii="Arial" w:hAnsi="Arial" w:cs="Arial"/>
          <w:b/>
          <w:sz w:val="22"/>
          <w:szCs w:val="22"/>
        </w:rPr>
        <w:tab/>
      </w:r>
      <w:r w:rsidRPr="002773C7">
        <w:rPr>
          <w:rFonts w:ascii="Arial" w:hAnsi="Arial" w:cs="Arial"/>
          <w:sz w:val="22"/>
          <w:szCs w:val="22"/>
        </w:rPr>
        <w:t>…</w:t>
      </w:r>
    </w:p>
    <w:p w14:paraId="6A749CF5" w14:textId="77777777" w:rsidR="002773C7" w:rsidRPr="002773C7" w:rsidRDefault="002773C7" w:rsidP="002773C7">
      <w:pPr>
        <w:pStyle w:val="Prrafodelista"/>
        <w:spacing w:line="276" w:lineRule="auto"/>
        <w:ind w:left="1418" w:hanging="992"/>
        <w:contextualSpacing w:val="0"/>
        <w:jc w:val="both"/>
        <w:rPr>
          <w:rFonts w:ascii="Arial" w:hAnsi="Arial" w:cs="Arial"/>
          <w:b/>
          <w:sz w:val="22"/>
          <w:szCs w:val="22"/>
        </w:rPr>
      </w:pPr>
      <w:r w:rsidRPr="002773C7">
        <w:rPr>
          <w:rFonts w:ascii="Arial" w:hAnsi="Arial" w:cs="Arial"/>
          <w:b/>
          <w:sz w:val="22"/>
          <w:szCs w:val="22"/>
        </w:rPr>
        <w:t>1.1</w:t>
      </w:r>
      <w:r w:rsidRPr="002773C7">
        <w:rPr>
          <w:rFonts w:ascii="Arial" w:hAnsi="Arial" w:cs="Arial"/>
          <w:b/>
          <w:sz w:val="22"/>
          <w:szCs w:val="22"/>
        </w:rPr>
        <w:tab/>
      </w:r>
      <w:r w:rsidRPr="002773C7">
        <w:rPr>
          <w:rFonts w:ascii="Arial" w:hAnsi="Arial" w:cs="Arial"/>
          <w:sz w:val="22"/>
          <w:szCs w:val="22"/>
        </w:rPr>
        <w:t>…</w:t>
      </w:r>
    </w:p>
    <w:p w14:paraId="16B65665"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 xml:space="preserve">1.1.1 </w:t>
      </w:r>
      <w:r w:rsidRPr="002773C7">
        <w:rPr>
          <w:rFonts w:ascii="Arial" w:hAnsi="Arial" w:cs="Arial"/>
          <w:b/>
          <w:sz w:val="22"/>
          <w:szCs w:val="22"/>
        </w:rPr>
        <w:tab/>
      </w:r>
      <w:r w:rsidRPr="002773C7">
        <w:rPr>
          <w:rFonts w:ascii="Arial" w:hAnsi="Arial" w:cs="Arial"/>
          <w:sz w:val="22"/>
          <w:szCs w:val="22"/>
        </w:rPr>
        <w:t>…</w:t>
      </w:r>
    </w:p>
    <w:p w14:paraId="6C1D300A"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1.1.2</w:t>
      </w:r>
      <w:r w:rsidRPr="002773C7">
        <w:rPr>
          <w:rFonts w:ascii="Arial" w:hAnsi="Arial" w:cs="Arial"/>
          <w:b/>
          <w:sz w:val="22"/>
          <w:szCs w:val="22"/>
        </w:rPr>
        <w:tab/>
      </w:r>
      <w:r w:rsidRPr="002773C7">
        <w:rPr>
          <w:rFonts w:ascii="Arial" w:hAnsi="Arial" w:cs="Arial"/>
          <w:sz w:val="22"/>
          <w:szCs w:val="22"/>
        </w:rPr>
        <w:t>…</w:t>
      </w:r>
    </w:p>
    <w:p w14:paraId="36C8D72F"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 xml:space="preserve">1.1.3 </w:t>
      </w:r>
      <w:r w:rsidRPr="002773C7">
        <w:rPr>
          <w:rFonts w:ascii="Arial" w:hAnsi="Arial" w:cs="Arial"/>
          <w:b/>
          <w:sz w:val="22"/>
          <w:szCs w:val="22"/>
        </w:rPr>
        <w:tab/>
      </w:r>
      <w:r w:rsidRPr="002773C7">
        <w:rPr>
          <w:rFonts w:ascii="Arial" w:hAnsi="Arial" w:cs="Arial"/>
          <w:sz w:val="22"/>
          <w:szCs w:val="22"/>
        </w:rPr>
        <w:t>…</w:t>
      </w:r>
    </w:p>
    <w:p w14:paraId="18DB839D"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 xml:space="preserve">1.1.3 bis </w:t>
      </w:r>
      <w:r w:rsidRPr="002773C7">
        <w:rPr>
          <w:rFonts w:ascii="Arial" w:hAnsi="Arial" w:cs="Arial"/>
          <w:b/>
          <w:sz w:val="22"/>
          <w:szCs w:val="22"/>
        </w:rPr>
        <w:tab/>
        <w:t>Densidad espectral de potencia: es la potencia media en el ancho de banda de referencia.</w:t>
      </w:r>
    </w:p>
    <w:p w14:paraId="3854DBDA" w14:textId="77777777" w:rsidR="002773C7" w:rsidRPr="002773C7" w:rsidRDefault="002773C7" w:rsidP="002773C7">
      <w:pPr>
        <w:pStyle w:val="ANOTACION"/>
        <w:spacing w:before="0" w:after="0" w:line="276" w:lineRule="auto"/>
        <w:jc w:val="right"/>
        <w:rPr>
          <w:rFonts w:ascii="Arial" w:hAnsi="Arial" w:cs="Arial"/>
          <w:color w:val="FF0000"/>
          <w:sz w:val="22"/>
          <w:szCs w:val="22"/>
          <w:lang w:eastAsia="es-MX"/>
        </w:rPr>
      </w:pPr>
      <w:r w:rsidRPr="002773C7">
        <w:rPr>
          <w:rFonts w:ascii="Arial" w:eastAsiaTheme="minorHAnsi" w:hAnsi="Arial" w:cs="Arial"/>
          <w:i/>
          <w:color w:val="FF0000"/>
          <w:sz w:val="22"/>
          <w:szCs w:val="22"/>
        </w:rPr>
        <w:t>Adición</w:t>
      </w:r>
    </w:p>
    <w:p w14:paraId="00CCD8A5"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1.1.4</w:t>
      </w:r>
      <w:r w:rsidRPr="002773C7">
        <w:rPr>
          <w:rFonts w:ascii="Arial" w:hAnsi="Arial" w:cs="Arial"/>
          <w:b/>
          <w:sz w:val="22"/>
          <w:szCs w:val="22"/>
        </w:rPr>
        <w:tab/>
        <w:t>Dispositivos de radiocomunicaciones de corto alcance (DRCA): transmisores radioeléctricos que operan con baja potencia para proporcionar comunicaciones unidireccionales o bidireccionales y que tienen baja capacidad de producir interferencias a otros equipos radioeléctricos utilizando antenas integradas, específicas o externas.</w:t>
      </w:r>
    </w:p>
    <w:p w14:paraId="4D9FE724" w14:textId="77777777" w:rsidR="002773C7" w:rsidRPr="002773C7" w:rsidRDefault="002773C7" w:rsidP="002773C7">
      <w:pPr>
        <w:pStyle w:val="Texto"/>
        <w:spacing w:after="0" w:line="276" w:lineRule="auto"/>
        <w:ind w:left="1560" w:hanging="851"/>
        <w:jc w:val="right"/>
        <w:rPr>
          <w:b/>
          <w:bCs/>
          <w:color w:val="FF0000"/>
          <w:sz w:val="22"/>
          <w:szCs w:val="22"/>
          <w:lang w:eastAsia="es-MX"/>
        </w:rPr>
      </w:pPr>
      <w:r w:rsidRPr="002773C7">
        <w:rPr>
          <w:rFonts w:eastAsiaTheme="minorHAnsi"/>
          <w:b/>
          <w:bCs/>
          <w:i/>
          <w:color w:val="FF0000"/>
          <w:sz w:val="22"/>
          <w:szCs w:val="22"/>
        </w:rPr>
        <w:t>Modificación</w:t>
      </w:r>
    </w:p>
    <w:p w14:paraId="0A732893"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1.1.5</w:t>
      </w:r>
      <w:r w:rsidRPr="002773C7">
        <w:rPr>
          <w:rFonts w:ascii="Arial" w:hAnsi="Arial" w:cs="Arial"/>
          <w:b/>
          <w:sz w:val="22"/>
          <w:szCs w:val="22"/>
        </w:rPr>
        <w:tab/>
      </w:r>
      <w:r w:rsidRPr="002773C7">
        <w:rPr>
          <w:rFonts w:ascii="Arial" w:hAnsi="Arial" w:cs="Arial"/>
          <w:sz w:val="22"/>
          <w:szCs w:val="22"/>
        </w:rPr>
        <w:t>…</w:t>
      </w:r>
    </w:p>
    <w:p w14:paraId="7EE83BD5"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1.1.6</w:t>
      </w:r>
      <w:r w:rsidRPr="002773C7">
        <w:rPr>
          <w:rFonts w:ascii="Arial" w:hAnsi="Arial" w:cs="Arial"/>
          <w:b/>
          <w:sz w:val="22"/>
          <w:szCs w:val="22"/>
        </w:rPr>
        <w:tab/>
      </w:r>
      <w:r w:rsidRPr="002773C7">
        <w:rPr>
          <w:rFonts w:ascii="Arial" w:hAnsi="Arial" w:cs="Arial"/>
          <w:sz w:val="22"/>
          <w:szCs w:val="22"/>
        </w:rPr>
        <w:t>…</w:t>
      </w:r>
    </w:p>
    <w:p w14:paraId="2E4C4F91"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1.1.6 bis</w:t>
      </w:r>
      <w:r w:rsidRPr="002773C7">
        <w:rPr>
          <w:rFonts w:ascii="Arial" w:hAnsi="Arial" w:cs="Arial"/>
          <w:b/>
          <w:sz w:val="22"/>
          <w:szCs w:val="22"/>
        </w:rPr>
        <w:tab/>
        <w:t>Ganancia de la antena: relación generalmente expresada en dB,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w:t>
      </w:r>
    </w:p>
    <w:p w14:paraId="40954AD0" w14:textId="77777777" w:rsidR="002773C7" w:rsidRPr="002773C7" w:rsidRDefault="002773C7" w:rsidP="002773C7">
      <w:pPr>
        <w:pStyle w:val="ANOTACION"/>
        <w:spacing w:before="0" w:after="0" w:line="276" w:lineRule="auto"/>
        <w:jc w:val="right"/>
        <w:rPr>
          <w:rFonts w:ascii="Arial" w:hAnsi="Arial" w:cs="Arial"/>
          <w:color w:val="FF0000"/>
          <w:sz w:val="22"/>
          <w:szCs w:val="22"/>
          <w:lang w:eastAsia="es-MX"/>
        </w:rPr>
      </w:pPr>
      <w:r w:rsidRPr="002773C7">
        <w:rPr>
          <w:rFonts w:ascii="Arial" w:eastAsiaTheme="minorHAnsi" w:hAnsi="Arial" w:cs="Arial"/>
          <w:i/>
          <w:color w:val="FF0000"/>
          <w:sz w:val="22"/>
          <w:szCs w:val="22"/>
        </w:rPr>
        <w:t>Adición</w:t>
      </w:r>
    </w:p>
    <w:p w14:paraId="3A63DEEF"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1.1.7</w:t>
      </w:r>
      <w:r w:rsidRPr="002773C7">
        <w:rPr>
          <w:rFonts w:ascii="Arial" w:hAnsi="Arial" w:cs="Arial"/>
          <w:b/>
          <w:sz w:val="22"/>
          <w:szCs w:val="22"/>
        </w:rPr>
        <w:tab/>
      </w:r>
      <w:r w:rsidRPr="002773C7">
        <w:rPr>
          <w:rFonts w:ascii="Arial" w:hAnsi="Arial" w:cs="Arial"/>
          <w:sz w:val="22"/>
          <w:szCs w:val="22"/>
        </w:rPr>
        <w:t>…</w:t>
      </w:r>
    </w:p>
    <w:p w14:paraId="246C5AB5"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1.1.8</w:t>
      </w:r>
      <w:r w:rsidRPr="002773C7">
        <w:rPr>
          <w:rFonts w:ascii="Arial" w:hAnsi="Arial" w:cs="Arial"/>
          <w:b/>
          <w:sz w:val="22"/>
          <w:szCs w:val="22"/>
        </w:rPr>
        <w:tab/>
      </w:r>
      <w:r w:rsidRPr="002773C7">
        <w:rPr>
          <w:rFonts w:ascii="Arial" w:hAnsi="Arial" w:cs="Arial"/>
          <w:sz w:val="22"/>
          <w:szCs w:val="22"/>
        </w:rPr>
        <w:t>…</w:t>
      </w:r>
    </w:p>
    <w:p w14:paraId="6BE08A19"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1.1.9</w:t>
      </w:r>
      <w:r w:rsidRPr="002773C7">
        <w:rPr>
          <w:rFonts w:ascii="Arial" w:hAnsi="Arial" w:cs="Arial"/>
          <w:b/>
          <w:sz w:val="22"/>
          <w:szCs w:val="22"/>
        </w:rPr>
        <w:tab/>
      </w:r>
      <w:r w:rsidRPr="002773C7">
        <w:rPr>
          <w:rFonts w:ascii="Arial" w:hAnsi="Arial" w:cs="Arial"/>
          <w:sz w:val="22"/>
          <w:szCs w:val="22"/>
        </w:rPr>
        <w:t>…</w:t>
      </w:r>
    </w:p>
    <w:p w14:paraId="201ED1B4"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lastRenderedPageBreak/>
        <w:t>1.1.10</w:t>
      </w:r>
      <w:r w:rsidRPr="002773C7">
        <w:rPr>
          <w:rFonts w:ascii="Arial" w:hAnsi="Arial" w:cs="Arial"/>
          <w:b/>
          <w:sz w:val="22"/>
          <w:szCs w:val="22"/>
        </w:rPr>
        <w:tab/>
        <w:t>Potencia pico de salida:</w:t>
      </w:r>
      <w:r w:rsidRPr="002773C7">
        <w:rPr>
          <w:rFonts w:ascii="Arial" w:hAnsi="Arial" w:cs="Arial"/>
          <w:sz w:val="22"/>
          <w:szCs w:val="22"/>
        </w:rPr>
        <w:t xml:space="preserve"> cantidad de energía máxima a la salida del transmisor</w:t>
      </w:r>
      <w:r w:rsidRPr="002773C7">
        <w:rPr>
          <w:rFonts w:ascii="Arial" w:hAnsi="Arial" w:cs="Arial"/>
          <w:b/>
          <w:sz w:val="22"/>
          <w:szCs w:val="22"/>
        </w:rPr>
        <w:t xml:space="preserve"> en un instante de tiempo.</w:t>
      </w:r>
    </w:p>
    <w:p w14:paraId="595F9A2A" w14:textId="77777777" w:rsidR="002773C7" w:rsidRPr="002773C7" w:rsidRDefault="002773C7" w:rsidP="002773C7">
      <w:pPr>
        <w:pStyle w:val="Texto"/>
        <w:spacing w:after="0" w:line="276" w:lineRule="auto"/>
        <w:ind w:left="1560" w:hanging="851"/>
        <w:jc w:val="right"/>
        <w:rPr>
          <w:b/>
          <w:bCs/>
          <w:color w:val="FF0000"/>
          <w:sz w:val="22"/>
          <w:szCs w:val="22"/>
          <w:lang w:eastAsia="es-MX"/>
        </w:rPr>
      </w:pPr>
      <w:r w:rsidRPr="002773C7">
        <w:rPr>
          <w:rFonts w:eastAsiaTheme="minorHAnsi"/>
          <w:b/>
          <w:bCs/>
          <w:i/>
          <w:color w:val="FF0000"/>
          <w:sz w:val="22"/>
          <w:szCs w:val="22"/>
        </w:rPr>
        <w:t>Modificación</w:t>
      </w:r>
    </w:p>
    <w:p w14:paraId="7238E9BD"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1.1.11</w:t>
      </w:r>
      <w:r w:rsidRPr="002773C7">
        <w:rPr>
          <w:rFonts w:ascii="Arial" w:hAnsi="Arial" w:cs="Arial"/>
          <w:b/>
          <w:sz w:val="22"/>
          <w:szCs w:val="22"/>
        </w:rPr>
        <w:tab/>
      </w:r>
      <w:r w:rsidRPr="002773C7">
        <w:rPr>
          <w:rFonts w:ascii="Arial" w:hAnsi="Arial" w:cs="Arial"/>
          <w:sz w:val="22"/>
          <w:szCs w:val="22"/>
        </w:rPr>
        <w:t>…</w:t>
      </w:r>
    </w:p>
    <w:p w14:paraId="0C6BEDC0"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1.1.11 bis</w:t>
      </w:r>
      <w:r w:rsidRPr="002773C7">
        <w:rPr>
          <w:rFonts w:ascii="Arial" w:hAnsi="Arial" w:cs="Arial"/>
          <w:b/>
          <w:sz w:val="22"/>
          <w:szCs w:val="22"/>
        </w:rPr>
        <w:tab/>
        <w:t>Sensor de movimiento: sensor de perturbación de campo utilizado como dispositivo de radiocomunicación de corto alcance para detección de movimiento.</w:t>
      </w:r>
    </w:p>
    <w:p w14:paraId="238C9C6B" w14:textId="77777777" w:rsidR="002773C7" w:rsidRPr="002773C7" w:rsidRDefault="002773C7" w:rsidP="002773C7">
      <w:pPr>
        <w:pStyle w:val="ANOTACION"/>
        <w:spacing w:before="0" w:after="0" w:line="276" w:lineRule="auto"/>
        <w:jc w:val="right"/>
        <w:rPr>
          <w:rFonts w:ascii="Arial" w:eastAsiaTheme="minorHAnsi" w:hAnsi="Arial" w:cs="Arial"/>
          <w:i/>
          <w:color w:val="FF0000"/>
          <w:sz w:val="22"/>
          <w:szCs w:val="22"/>
        </w:rPr>
      </w:pPr>
      <w:r w:rsidRPr="002773C7">
        <w:rPr>
          <w:rFonts w:ascii="Arial" w:eastAsiaTheme="minorHAnsi" w:hAnsi="Arial" w:cs="Arial"/>
          <w:i/>
          <w:color w:val="FF0000"/>
          <w:sz w:val="22"/>
          <w:szCs w:val="22"/>
        </w:rPr>
        <w:t>Adición</w:t>
      </w:r>
    </w:p>
    <w:p w14:paraId="57D66F8B"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1.1.12</w:t>
      </w:r>
      <w:r w:rsidRPr="002773C7">
        <w:rPr>
          <w:rFonts w:ascii="Arial" w:hAnsi="Arial" w:cs="Arial"/>
          <w:b/>
          <w:sz w:val="22"/>
          <w:szCs w:val="22"/>
        </w:rPr>
        <w:tab/>
      </w:r>
      <w:r w:rsidRPr="002773C7">
        <w:rPr>
          <w:rFonts w:ascii="Arial" w:hAnsi="Arial" w:cs="Arial"/>
          <w:sz w:val="22"/>
          <w:szCs w:val="22"/>
        </w:rPr>
        <w:t>…</w:t>
      </w:r>
    </w:p>
    <w:p w14:paraId="5882024F"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1.1.13</w:t>
      </w:r>
      <w:r w:rsidRPr="002773C7">
        <w:rPr>
          <w:rFonts w:ascii="Arial" w:hAnsi="Arial" w:cs="Arial"/>
          <w:b/>
          <w:sz w:val="22"/>
          <w:szCs w:val="22"/>
        </w:rPr>
        <w:tab/>
      </w:r>
      <w:r w:rsidRPr="002773C7">
        <w:rPr>
          <w:rFonts w:ascii="Arial" w:hAnsi="Arial" w:cs="Arial"/>
          <w:sz w:val="22"/>
          <w:szCs w:val="22"/>
        </w:rPr>
        <w:t>…</w:t>
      </w:r>
    </w:p>
    <w:p w14:paraId="0E9F703C"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1.1.14</w:t>
      </w:r>
      <w:r w:rsidRPr="002773C7">
        <w:rPr>
          <w:rFonts w:ascii="Arial" w:hAnsi="Arial" w:cs="Arial"/>
          <w:b/>
          <w:sz w:val="22"/>
          <w:szCs w:val="22"/>
        </w:rPr>
        <w:tab/>
      </w:r>
      <w:r w:rsidRPr="002773C7">
        <w:rPr>
          <w:rFonts w:ascii="Arial" w:hAnsi="Arial" w:cs="Arial"/>
          <w:sz w:val="22"/>
          <w:szCs w:val="22"/>
        </w:rPr>
        <w:t>…</w:t>
      </w:r>
    </w:p>
    <w:p w14:paraId="15A177FB" w14:textId="77777777" w:rsidR="002773C7" w:rsidRPr="002773C7" w:rsidRDefault="002773C7" w:rsidP="002773C7">
      <w:pPr>
        <w:pStyle w:val="Prrafodelista"/>
        <w:spacing w:line="276" w:lineRule="auto"/>
        <w:ind w:left="1418" w:hanging="992"/>
        <w:contextualSpacing w:val="0"/>
        <w:jc w:val="both"/>
        <w:rPr>
          <w:rFonts w:ascii="Arial" w:hAnsi="Arial" w:cs="Arial"/>
          <w:b/>
          <w:sz w:val="22"/>
          <w:szCs w:val="22"/>
        </w:rPr>
      </w:pPr>
      <w:r w:rsidRPr="002773C7">
        <w:rPr>
          <w:rFonts w:ascii="Arial" w:hAnsi="Arial" w:cs="Arial"/>
          <w:b/>
          <w:sz w:val="22"/>
          <w:szCs w:val="22"/>
        </w:rPr>
        <w:t>1.2</w:t>
      </w:r>
      <w:r w:rsidRPr="002773C7">
        <w:rPr>
          <w:rFonts w:ascii="Arial" w:hAnsi="Arial" w:cs="Arial"/>
          <w:b/>
          <w:sz w:val="22"/>
          <w:szCs w:val="22"/>
        </w:rPr>
        <w:tab/>
        <w:t>…</w:t>
      </w:r>
    </w:p>
    <w:p w14:paraId="6E8484EA" w14:textId="77777777" w:rsidR="002773C7" w:rsidRPr="002773C7" w:rsidRDefault="002773C7" w:rsidP="002773C7">
      <w:pPr>
        <w:pStyle w:val="Prrafodelista"/>
        <w:spacing w:line="276" w:lineRule="auto"/>
        <w:ind w:left="1418" w:hanging="992"/>
        <w:contextualSpacing w:val="0"/>
        <w:jc w:val="both"/>
        <w:rPr>
          <w:rFonts w:ascii="Arial" w:hAnsi="Arial" w:cs="Arial"/>
          <w:b/>
          <w:sz w:val="22"/>
          <w:szCs w:val="22"/>
        </w:rPr>
      </w:pPr>
    </w:p>
    <w:p w14:paraId="6CEBEFB4" w14:textId="77777777" w:rsidR="002773C7" w:rsidRPr="002773C7" w:rsidRDefault="002773C7" w:rsidP="002773C7">
      <w:pPr>
        <w:spacing w:line="276" w:lineRule="auto"/>
        <w:jc w:val="both"/>
        <w:rPr>
          <w:rFonts w:ascii="Arial" w:hAnsi="Arial" w:cs="Arial"/>
          <w:b/>
        </w:rPr>
      </w:pPr>
      <w:r w:rsidRPr="002773C7">
        <w:rPr>
          <w:rFonts w:ascii="Arial" w:hAnsi="Arial" w:cs="Arial"/>
          <w:b/>
        </w:rPr>
        <w:t>2.</w:t>
      </w:r>
      <w:r w:rsidRPr="002773C7">
        <w:rPr>
          <w:rFonts w:ascii="Arial" w:hAnsi="Arial" w:cs="Arial"/>
          <w:b/>
        </w:rPr>
        <w:tab/>
        <w:t>CONDICIONES TÉCNICAS</w:t>
      </w:r>
    </w:p>
    <w:p w14:paraId="3257BF68" w14:textId="77777777" w:rsidR="002773C7" w:rsidRPr="002773C7" w:rsidRDefault="002773C7" w:rsidP="002773C7">
      <w:pPr>
        <w:pStyle w:val="Texto"/>
        <w:spacing w:after="0" w:line="276" w:lineRule="auto"/>
        <w:ind w:left="1560" w:hanging="851"/>
        <w:jc w:val="right"/>
        <w:rPr>
          <w:b/>
          <w:bCs/>
          <w:color w:val="FF0000"/>
          <w:sz w:val="22"/>
          <w:szCs w:val="22"/>
          <w:lang w:eastAsia="es-MX"/>
        </w:rPr>
      </w:pPr>
      <w:r w:rsidRPr="002773C7">
        <w:rPr>
          <w:rFonts w:eastAsiaTheme="minorHAnsi"/>
          <w:b/>
          <w:bCs/>
          <w:i/>
          <w:color w:val="FF0000"/>
          <w:sz w:val="22"/>
          <w:szCs w:val="22"/>
        </w:rPr>
        <w:t>Modificación</w:t>
      </w:r>
    </w:p>
    <w:p w14:paraId="6B56CBB9" w14:textId="77777777" w:rsidR="002773C7" w:rsidRPr="002773C7" w:rsidRDefault="002773C7" w:rsidP="002773C7">
      <w:pPr>
        <w:spacing w:line="276" w:lineRule="auto"/>
        <w:jc w:val="both"/>
        <w:rPr>
          <w:rFonts w:ascii="Arial" w:hAnsi="Arial" w:cs="Arial"/>
          <w:b/>
        </w:rPr>
      </w:pPr>
    </w:p>
    <w:p w14:paraId="7BD27B54" w14:textId="77777777" w:rsidR="002773C7" w:rsidRPr="002773C7" w:rsidRDefault="002773C7" w:rsidP="002773C7">
      <w:pPr>
        <w:pStyle w:val="Prrafodelista"/>
        <w:spacing w:line="276" w:lineRule="auto"/>
        <w:ind w:left="1418" w:hanging="992"/>
        <w:contextualSpacing w:val="0"/>
        <w:jc w:val="both"/>
        <w:rPr>
          <w:rFonts w:ascii="Arial" w:hAnsi="Arial" w:cs="Arial"/>
          <w:b/>
          <w:sz w:val="22"/>
          <w:szCs w:val="22"/>
        </w:rPr>
      </w:pPr>
      <w:r w:rsidRPr="002773C7">
        <w:rPr>
          <w:rFonts w:ascii="Arial" w:hAnsi="Arial" w:cs="Arial"/>
          <w:b/>
          <w:sz w:val="22"/>
          <w:szCs w:val="22"/>
        </w:rPr>
        <w:t>2.1</w:t>
      </w:r>
      <w:r w:rsidRPr="002773C7">
        <w:rPr>
          <w:rFonts w:ascii="Arial" w:hAnsi="Arial" w:cs="Arial"/>
          <w:b/>
          <w:sz w:val="22"/>
          <w:szCs w:val="22"/>
        </w:rPr>
        <w:tab/>
        <w:t>…</w:t>
      </w:r>
    </w:p>
    <w:p w14:paraId="54D240EC" w14:textId="77777777" w:rsidR="002773C7" w:rsidRPr="002773C7" w:rsidRDefault="002773C7" w:rsidP="00FA2132">
      <w:pPr>
        <w:pStyle w:val="Prrafodelista"/>
        <w:spacing w:line="276" w:lineRule="auto"/>
        <w:ind w:left="2268" w:hanging="1134"/>
        <w:contextualSpacing w:val="0"/>
        <w:jc w:val="left"/>
        <w:rPr>
          <w:rFonts w:ascii="Arial" w:hAnsi="Arial" w:cs="Arial"/>
          <w:sz w:val="22"/>
          <w:szCs w:val="22"/>
        </w:rPr>
      </w:pPr>
      <w:r w:rsidRPr="002773C7">
        <w:rPr>
          <w:rFonts w:ascii="Arial" w:hAnsi="Arial" w:cs="Arial"/>
          <w:b/>
          <w:sz w:val="22"/>
          <w:szCs w:val="22"/>
        </w:rPr>
        <w:t>2.1.1</w:t>
      </w:r>
      <w:r w:rsidRPr="002773C7">
        <w:rPr>
          <w:rFonts w:ascii="Arial" w:hAnsi="Arial" w:cs="Arial"/>
          <w:b/>
          <w:sz w:val="22"/>
          <w:szCs w:val="22"/>
        </w:rPr>
        <w:tab/>
      </w:r>
      <w:r w:rsidRPr="002773C7">
        <w:rPr>
          <w:rFonts w:ascii="Arial" w:hAnsi="Arial" w:cs="Arial"/>
          <w:sz w:val="22"/>
          <w:szCs w:val="22"/>
        </w:rPr>
        <w:t>…</w:t>
      </w:r>
    </w:p>
    <w:p w14:paraId="21117DDF" w14:textId="77777777" w:rsidR="002773C7" w:rsidRPr="002773C7" w:rsidRDefault="002773C7" w:rsidP="00FA2132">
      <w:pPr>
        <w:pStyle w:val="Prrafodelista"/>
        <w:spacing w:line="276" w:lineRule="auto"/>
        <w:ind w:left="2268" w:hanging="1134"/>
        <w:contextualSpacing w:val="0"/>
        <w:jc w:val="left"/>
        <w:rPr>
          <w:rFonts w:ascii="Arial" w:hAnsi="Arial" w:cs="Arial"/>
          <w:sz w:val="22"/>
          <w:szCs w:val="22"/>
        </w:rPr>
      </w:pPr>
      <w:r w:rsidRPr="002773C7">
        <w:rPr>
          <w:rFonts w:ascii="Arial" w:hAnsi="Arial" w:cs="Arial"/>
          <w:b/>
          <w:sz w:val="22"/>
          <w:szCs w:val="22"/>
        </w:rPr>
        <w:t>2.1.2</w:t>
      </w:r>
      <w:r w:rsidRPr="002773C7">
        <w:rPr>
          <w:rFonts w:ascii="Arial" w:hAnsi="Arial" w:cs="Arial"/>
          <w:b/>
          <w:sz w:val="22"/>
          <w:szCs w:val="22"/>
        </w:rPr>
        <w:tab/>
      </w:r>
      <w:r w:rsidRPr="002773C7">
        <w:rPr>
          <w:rFonts w:ascii="Arial" w:hAnsi="Arial" w:cs="Arial"/>
          <w:sz w:val="22"/>
          <w:szCs w:val="22"/>
        </w:rPr>
        <w:t>…</w:t>
      </w:r>
    </w:p>
    <w:p w14:paraId="37168936" w14:textId="77777777" w:rsidR="002773C7" w:rsidRPr="002773C7" w:rsidRDefault="002773C7" w:rsidP="00FA2132">
      <w:pPr>
        <w:pStyle w:val="Prrafodelista"/>
        <w:spacing w:line="276" w:lineRule="auto"/>
        <w:ind w:left="2268" w:hanging="1134"/>
        <w:contextualSpacing w:val="0"/>
        <w:jc w:val="left"/>
        <w:rPr>
          <w:rFonts w:ascii="Arial" w:hAnsi="Arial" w:cs="Arial"/>
          <w:sz w:val="22"/>
          <w:szCs w:val="22"/>
        </w:rPr>
      </w:pPr>
      <w:r w:rsidRPr="002773C7">
        <w:rPr>
          <w:rFonts w:ascii="Arial" w:hAnsi="Arial" w:cs="Arial"/>
          <w:b/>
          <w:sz w:val="22"/>
          <w:szCs w:val="22"/>
        </w:rPr>
        <w:t>2.1.3</w:t>
      </w:r>
      <w:r w:rsidRPr="002773C7">
        <w:rPr>
          <w:rFonts w:ascii="Arial" w:hAnsi="Arial" w:cs="Arial"/>
          <w:b/>
          <w:sz w:val="22"/>
          <w:szCs w:val="22"/>
        </w:rPr>
        <w:tab/>
      </w:r>
      <w:r w:rsidRPr="002773C7">
        <w:rPr>
          <w:rFonts w:ascii="Arial" w:hAnsi="Arial" w:cs="Arial"/>
          <w:sz w:val="22"/>
          <w:szCs w:val="22"/>
        </w:rPr>
        <w:t>…</w:t>
      </w:r>
    </w:p>
    <w:p w14:paraId="769AB51B" w14:textId="77777777" w:rsidR="002773C7" w:rsidRPr="002773C7" w:rsidRDefault="002773C7" w:rsidP="00FA2132">
      <w:pPr>
        <w:pStyle w:val="Prrafodelista"/>
        <w:spacing w:line="276" w:lineRule="auto"/>
        <w:ind w:left="2268" w:hanging="1134"/>
        <w:contextualSpacing w:val="0"/>
        <w:jc w:val="left"/>
        <w:rPr>
          <w:rFonts w:ascii="Arial" w:hAnsi="Arial" w:cs="Arial"/>
          <w:sz w:val="22"/>
          <w:szCs w:val="22"/>
        </w:rPr>
      </w:pPr>
      <w:r w:rsidRPr="002773C7">
        <w:rPr>
          <w:rFonts w:ascii="Arial" w:hAnsi="Arial" w:cs="Arial"/>
          <w:b/>
          <w:sz w:val="22"/>
          <w:szCs w:val="22"/>
        </w:rPr>
        <w:t>2.1.4</w:t>
      </w:r>
      <w:r w:rsidRPr="002773C7">
        <w:rPr>
          <w:rFonts w:ascii="Arial" w:hAnsi="Arial" w:cs="Arial"/>
          <w:b/>
          <w:sz w:val="22"/>
          <w:szCs w:val="22"/>
        </w:rPr>
        <w:tab/>
      </w:r>
      <w:r w:rsidRPr="002773C7">
        <w:rPr>
          <w:rFonts w:ascii="Arial" w:hAnsi="Arial" w:cs="Arial"/>
          <w:sz w:val="22"/>
          <w:szCs w:val="22"/>
        </w:rPr>
        <w:t>…</w:t>
      </w:r>
    </w:p>
    <w:p w14:paraId="2822BA81" w14:textId="77777777" w:rsidR="002773C7" w:rsidRPr="002773C7" w:rsidRDefault="002773C7" w:rsidP="00FA2132">
      <w:pPr>
        <w:pStyle w:val="Prrafodelista"/>
        <w:spacing w:line="276" w:lineRule="auto"/>
        <w:ind w:left="2268" w:hanging="1134"/>
        <w:contextualSpacing w:val="0"/>
        <w:jc w:val="left"/>
        <w:rPr>
          <w:rFonts w:ascii="Arial" w:hAnsi="Arial" w:cs="Arial"/>
          <w:sz w:val="22"/>
          <w:szCs w:val="22"/>
        </w:rPr>
      </w:pPr>
      <w:r w:rsidRPr="002773C7">
        <w:rPr>
          <w:rFonts w:ascii="Arial" w:hAnsi="Arial" w:cs="Arial"/>
          <w:b/>
          <w:sz w:val="22"/>
          <w:szCs w:val="22"/>
        </w:rPr>
        <w:t>2.1.5</w:t>
      </w:r>
      <w:r w:rsidRPr="002773C7">
        <w:rPr>
          <w:rFonts w:ascii="Arial" w:hAnsi="Arial" w:cs="Arial"/>
          <w:b/>
          <w:sz w:val="22"/>
          <w:szCs w:val="22"/>
        </w:rPr>
        <w:tab/>
      </w:r>
      <w:r w:rsidRPr="002773C7">
        <w:rPr>
          <w:rFonts w:ascii="Arial" w:hAnsi="Arial" w:cs="Arial"/>
          <w:sz w:val="22"/>
          <w:szCs w:val="22"/>
        </w:rPr>
        <w:t>…</w:t>
      </w:r>
    </w:p>
    <w:p w14:paraId="5759BDB4" w14:textId="2C53EEBF" w:rsidR="002773C7" w:rsidRPr="002773C7" w:rsidRDefault="002773C7" w:rsidP="002773C7">
      <w:pPr>
        <w:pStyle w:val="Prrafodelista"/>
        <w:spacing w:line="276" w:lineRule="auto"/>
        <w:ind w:left="2268" w:hanging="1134"/>
        <w:contextualSpacing w:val="0"/>
        <w:jc w:val="both"/>
        <w:rPr>
          <w:rFonts w:ascii="Arial" w:hAnsi="Arial" w:cs="Arial"/>
          <w:b/>
          <w:bCs/>
          <w:sz w:val="22"/>
          <w:szCs w:val="22"/>
        </w:rPr>
      </w:pPr>
      <w:r w:rsidRPr="002773C7">
        <w:rPr>
          <w:rFonts w:ascii="Arial" w:hAnsi="Arial" w:cs="Arial"/>
          <w:b/>
          <w:sz w:val="22"/>
          <w:szCs w:val="22"/>
        </w:rPr>
        <w:t>2.1.5 bis</w:t>
      </w:r>
      <w:r w:rsidRPr="002773C7">
        <w:rPr>
          <w:rFonts w:ascii="Arial" w:hAnsi="Arial" w:cs="Arial"/>
          <w:b/>
          <w:sz w:val="22"/>
          <w:szCs w:val="22"/>
        </w:rPr>
        <w:tab/>
      </w:r>
      <w:r w:rsidRPr="002773C7">
        <w:rPr>
          <w:rFonts w:ascii="Arial" w:hAnsi="Arial" w:cs="Arial"/>
          <w:b/>
          <w:bCs/>
          <w:sz w:val="22"/>
          <w:szCs w:val="22"/>
        </w:rPr>
        <w:t>Los sensores de movimiento que operen con un ciclo de trabajo máximo del 10% en cualquier intervalo de 33 milisegundos (transmisión máxima de 3.3 milisegundos en cualquier periodo de 33 milisegundos), no deberán exceder una potencia pico de salida del transmisor de 10 dBm, una PIRE máxima de 13 dBm y una densidad espectral de potencia de 13 dBm/MHz.</w:t>
      </w:r>
      <w:r w:rsidRPr="002773C7">
        <w:rPr>
          <w:rFonts w:ascii="Arial" w:eastAsia="Calibri" w:hAnsi="Arial" w:cs="Arial"/>
          <w:sz w:val="22"/>
          <w:szCs w:val="22"/>
        </w:rPr>
        <w:t xml:space="preserve"> </w:t>
      </w:r>
      <w:r w:rsidRPr="002773C7">
        <w:rPr>
          <w:rFonts w:ascii="Arial" w:hAnsi="Arial" w:cs="Arial"/>
          <w:b/>
          <w:bCs/>
          <w:sz w:val="22"/>
          <w:szCs w:val="22"/>
        </w:rPr>
        <w:t>Este tipo de sensores deberán dejar de transmitir un tiempo continuo de al menos 26.4 milisegundos en cualquier intervalo de 33 milisegundos, o en su caso, deberán dejar de transmitir un tiempo continuo de al menos 2 milisegundos entre dos pulsos de transmisión sucesivos.</w:t>
      </w:r>
    </w:p>
    <w:p w14:paraId="28CF903D" w14:textId="77777777" w:rsidR="002773C7" w:rsidRPr="002773C7" w:rsidRDefault="002773C7" w:rsidP="002773C7">
      <w:pPr>
        <w:pStyle w:val="ANOTACION"/>
        <w:spacing w:before="0" w:after="0" w:line="276" w:lineRule="auto"/>
        <w:jc w:val="right"/>
        <w:rPr>
          <w:rFonts w:ascii="Arial" w:eastAsiaTheme="minorHAnsi" w:hAnsi="Arial" w:cs="Arial"/>
          <w:i/>
          <w:color w:val="FF0000"/>
          <w:sz w:val="22"/>
          <w:szCs w:val="22"/>
        </w:rPr>
      </w:pPr>
      <w:r w:rsidRPr="002773C7">
        <w:rPr>
          <w:rFonts w:ascii="Arial" w:eastAsiaTheme="minorHAnsi" w:hAnsi="Arial" w:cs="Arial"/>
          <w:i/>
          <w:color w:val="FF0000"/>
          <w:sz w:val="22"/>
          <w:szCs w:val="22"/>
        </w:rPr>
        <w:t>Adición</w:t>
      </w:r>
    </w:p>
    <w:p w14:paraId="69EA1701"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 xml:space="preserve">2.1.6 </w:t>
      </w:r>
      <w:r w:rsidRPr="002773C7">
        <w:rPr>
          <w:rFonts w:ascii="Arial" w:hAnsi="Arial" w:cs="Arial"/>
          <w:b/>
          <w:sz w:val="22"/>
          <w:szCs w:val="22"/>
        </w:rPr>
        <w:tab/>
      </w:r>
      <w:r w:rsidRPr="002773C7">
        <w:rPr>
          <w:rFonts w:ascii="Arial" w:hAnsi="Arial" w:cs="Arial"/>
          <w:sz w:val="22"/>
          <w:szCs w:val="22"/>
        </w:rPr>
        <w:t xml:space="preserve">Los sensores de perturbación de campo fijo diferentes a los mencionados en los incisos 2.1.4 y 2.1.5, así como los sensores de movimiento </w:t>
      </w:r>
      <w:r w:rsidRPr="002773C7">
        <w:rPr>
          <w:rFonts w:ascii="Arial" w:hAnsi="Arial" w:cs="Arial"/>
          <w:b/>
          <w:bCs/>
          <w:sz w:val="22"/>
          <w:szCs w:val="22"/>
        </w:rPr>
        <w:t>diferentes a los indicados en el inciso 2.1.5 bis</w:t>
      </w:r>
      <w:r w:rsidRPr="002773C7">
        <w:rPr>
          <w:rFonts w:ascii="Arial" w:hAnsi="Arial" w:cs="Arial"/>
          <w:sz w:val="22"/>
          <w:szCs w:val="22"/>
        </w:rPr>
        <w:t xml:space="preserve"> </w:t>
      </w:r>
      <w:r w:rsidRPr="002773C7">
        <w:rPr>
          <w:rFonts w:ascii="Arial" w:hAnsi="Arial" w:cs="Arial"/>
          <w:b/>
          <w:sz w:val="22"/>
          <w:szCs w:val="22"/>
        </w:rPr>
        <w:t>(incluyendo aquellos sin limitación en el ciclo de trabajo)</w:t>
      </w:r>
      <w:r w:rsidRPr="002773C7">
        <w:rPr>
          <w:rFonts w:ascii="Arial" w:hAnsi="Arial" w:cs="Arial"/>
          <w:sz w:val="22"/>
          <w:szCs w:val="22"/>
        </w:rPr>
        <w:t>, no deberán exceder una potencia pico de salida del transmisor de -10 dBm y una PIRE máxima de 10 dBm</w:t>
      </w:r>
      <w:r w:rsidRPr="002773C7">
        <w:rPr>
          <w:rFonts w:ascii="Arial" w:hAnsi="Arial" w:cs="Arial"/>
          <w:b/>
          <w:sz w:val="22"/>
          <w:szCs w:val="22"/>
        </w:rPr>
        <w:t>.</w:t>
      </w:r>
    </w:p>
    <w:p w14:paraId="548166E4" w14:textId="77777777" w:rsidR="002773C7" w:rsidRPr="002773C7" w:rsidRDefault="002773C7" w:rsidP="002773C7">
      <w:pPr>
        <w:pStyle w:val="Texto"/>
        <w:spacing w:after="0" w:line="276" w:lineRule="auto"/>
        <w:ind w:left="1560" w:hanging="851"/>
        <w:jc w:val="right"/>
        <w:rPr>
          <w:b/>
          <w:bCs/>
          <w:color w:val="FF0000"/>
          <w:sz w:val="22"/>
          <w:szCs w:val="22"/>
          <w:lang w:eastAsia="es-MX"/>
        </w:rPr>
      </w:pPr>
      <w:r w:rsidRPr="002773C7">
        <w:rPr>
          <w:rFonts w:eastAsiaTheme="minorHAnsi"/>
          <w:b/>
          <w:bCs/>
          <w:i/>
          <w:color w:val="FF0000"/>
          <w:sz w:val="22"/>
          <w:szCs w:val="22"/>
        </w:rPr>
        <w:t>Modificación</w:t>
      </w:r>
    </w:p>
    <w:p w14:paraId="726F13A5"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lang w:eastAsia="es-MX"/>
        </w:rPr>
      </w:pPr>
      <w:r w:rsidRPr="002773C7">
        <w:rPr>
          <w:rFonts w:ascii="Arial" w:hAnsi="Arial" w:cs="Arial"/>
          <w:b/>
          <w:sz w:val="22"/>
          <w:szCs w:val="22"/>
        </w:rPr>
        <w:t>2.1.7</w:t>
      </w:r>
      <w:r w:rsidRPr="002773C7">
        <w:rPr>
          <w:rFonts w:ascii="Arial" w:hAnsi="Arial" w:cs="Arial"/>
          <w:b/>
          <w:sz w:val="22"/>
          <w:szCs w:val="22"/>
        </w:rPr>
        <w:tab/>
      </w:r>
      <w:r w:rsidRPr="002773C7">
        <w:rPr>
          <w:rFonts w:ascii="Arial" w:hAnsi="Arial" w:cs="Arial"/>
          <w:sz w:val="22"/>
          <w:szCs w:val="22"/>
          <w:lang w:eastAsia="es-MX"/>
        </w:rPr>
        <w:t>…</w:t>
      </w:r>
    </w:p>
    <w:p w14:paraId="2A518340"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lang w:eastAsia="es-MX"/>
        </w:rPr>
      </w:pPr>
      <w:r w:rsidRPr="002773C7">
        <w:rPr>
          <w:rFonts w:ascii="Arial" w:hAnsi="Arial" w:cs="Arial"/>
          <w:b/>
          <w:sz w:val="22"/>
          <w:szCs w:val="22"/>
        </w:rPr>
        <w:t>2.1.8</w:t>
      </w:r>
      <w:r w:rsidRPr="002773C7">
        <w:rPr>
          <w:rFonts w:ascii="Arial" w:hAnsi="Arial" w:cs="Arial"/>
          <w:b/>
          <w:sz w:val="22"/>
          <w:szCs w:val="22"/>
        </w:rPr>
        <w:tab/>
      </w:r>
      <w:r w:rsidRPr="002773C7">
        <w:rPr>
          <w:rFonts w:ascii="Arial" w:hAnsi="Arial" w:cs="Arial"/>
          <w:sz w:val="22"/>
          <w:szCs w:val="22"/>
          <w:lang w:eastAsia="es-MX"/>
        </w:rPr>
        <w:t>…</w:t>
      </w:r>
    </w:p>
    <w:p w14:paraId="142504CC"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2.1.9</w:t>
      </w:r>
      <w:r w:rsidRPr="002773C7">
        <w:rPr>
          <w:rFonts w:ascii="Arial" w:hAnsi="Arial" w:cs="Arial"/>
          <w:b/>
          <w:sz w:val="22"/>
          <w:szCs w:val="22"/>
        </w:rPr>
        <w:tab/>
      </w:r>
      <w:r w:rsidRPr="002773C7">
        <w:rPr>
          <w:rFonts w:ascii="Arial" w:hAnsi="Arial" w:cs="Arial"/>
          <w:sz w:val="22"/>
          <w:szCs w:val="22"/>
        </w:rPr>
        <w:t>…</w:t>
      </w:r>
    </w:p>
    <w:p w14:paraId="6B35B1B7" w14:textId="77777777" w:rsidR="002773C7" w:rsidRPr="002773C7" w:rsidRDefault="002773C7" w:rsidP="002773C7">
      <w:pPr>
        <w:pStyle w:val="Prrafodelista"/>
        <w:spacing w:line="276" w:lineRule="auto"/>
        <w:ind w:left="2268" w:hanging="1134"/>
        <w:contextualSpacing w:val="0"/>
        <w:jc w:val="both"/>
        <w:rPr>
          <w:rFonts w:ascii="Arial" w:hAnsi="Arial" w:cs="Arial"/>
          <w:sz w:val="22"/>
          <w:szCs w:val="22"/>
        </w:rPr>
      </w:pPr>
      <w:r w:rsidRPr="002773C7">
        <w:rPr>
          <w:rFonts w:ascii="Arial" w:hAnsi="Arial" w:cs="Arial"/>
          <w:b/>
          <w:sz w:val="22"/>
          <w:szCs w:val="22"/>
        </w:rPr>
        <w:t>2.1.10</w:t>
      </w:r>
      <w:r w:rsidRPr="002773C7">
        <w:rPr>
          <w:rFonts w:ascii="Arial" w:hAnsi="Arial" w:cs="Arial"/>
          <w:b/>
          <w:sz w:val="22"/>
          <w:szCs w:val="22"/>
        </w:rPr>
        <w:tab/>
      </w:r>
      <w:r w:rsidRPr="002773C7">
        <w:rPr>
          <w:rFonts w:ascii="Arial" w:hAnsi="Arial" w:cs="Arial"/>
          <w:sz w:val="22"/>
          <w:szCs w:val="22"/>
        </w:rPr>
        <w:t>…</w:t>
      </w:r>
    </w:p>
    <w:p w14:paraId="05EFAEBF" w14:textId="77777777" w:rsidR="002773C7" w:rsidRPr="002773C7" w:rsidRDefault="002773C7" w:rsidP="002773C7">
      <w:pPr>
        <w:pStyle w:val="Prrafodelista"/>
        <w:spacing w:line="276" w:lineRule="auto"/>
        <w:ind w:left="1418" w:hanging="992"/>
        <w:contextualSpacing w:val="0"/>
        <w:jc w:val="both"/>
        <w:rPr>
          <w:rFonts w:ascii="Arial" w:hAnsi="Arial" w:cs="Arial"/>
          <w:b/>
          <w:sz w:val="22"/>
          <w:szCs w:val="22"/>
        </w:rPr>
      </w:pPr>
      <w:r w:rsidRPr="002773C7">
        <w:rPr>
          <w:rFonts w:ascii="Arial" w:hAnsi="Arial" w:cs="Arial"/>
          <w:b/>
          <w:sz w:val="22"/>
          <w:szCs w:val="22"/>
        </w:rPr>
        <w:lastRenderedPageBreak/>
        <w:t>2.2</w:t>
      </w:r>
      <w:r w:rsidRPr="002773C7">
        <w:rPr>
          <w:rFonts w:ascii="Arial" w:hAnsi="Arial" w:cs="Arial"/>
          <w:b/>
          <w:sz w:val="22"/>
          <w:szCs w:val="22"/>
        </w:rPr>
        <w:tab/>
      </w:r>
      <w:r w:rsidRPr="002773C7">
        <w:rPr>
          <w:rFonts w:ascii="Arial" w:hAnsi="Arial" w:cs="Arial"/>
          <w:sz w:val="22"/>
          <w:szCs w:val="22"/>
        </w:rPr>
        <w:t>…</w:t>
      </w:r>
    </w:p>
    <w:p w14:paraId="570F9334"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 xml:space="preserve">2.2.1 a 2.2.5 </w:t>
      </w:r>
      <w:r w:rsidRPr="002773C7">
        <w:rPr>
          <w:rFonts w:ascii="Arial" w:hAnsi="Arial" w:cs="Arial"/>
          <w:sz w:val="22"/>
          <w:szCs w:val="22"/>
        </w:rPr>
        <w:t>…</w:t>
      </w:r>
    </w:p>
    <w:p w14:paraId="0B8F061D" w14:textId="77777777" w:rsidR="002773C7" w:rsidRPr="002773C7" w:rsidRDefault="002773C7" w:rsidP="002773C7">
      <w:pPr>
        <w:pStyle w:val="Prrafodelista"/>
        <w:spacing w:line="276" w:lineRule="auto"/>
        <w:ind w:left="1418" w:hanging="992"/>
        <w:contextualSpacing w:val="0"/>
        <w:jc w:val="both"/>
        <w:rPr>
          <w:rFonts w:ascii="Arial" w:hAnsi="Arial" w:cs="Arial"/>
          <w:b/>
          <w:sz w:val="22"/>
          <w:szCs w:val="22"/>
        </w:rPr>
      </w:pPr>
      <w:r w:rsidRPr="002773C7">
        <w:rPr>
          <w:rFonts w:ascii="Arial" w:hAnsi="Arial" w:cs="Arial"/>
          <w:b/>
          <w:sz w:val="22"/>
          <w:szCs w:val="22"/>
        </w:rPr>
        <w:t>2.3</w:t>
      </w:r>
      <w:r w:rsidRPr="002773C7">
        <w:rPr>
          <w:rFonts w:ascii="Arial" w:hAnsi="Arial" w:cs="Arial"/>
          <w:b/>
          <w:sz w:val="22"/>
          <w:szCs w:val="22"/>
        </w:rPr>
        <w:tab/>
      </w:r>
      <w:r w:rsidRPr="002773C7">
        <w:rPr>
          <w:rFonts w:ascii="Arial" w:hAnsi="Arial" w:cs="Arial"/>
          <w:sz w:val="22"/>
          <w:szCs w:val="22"/>
        </w:rPr>
        <w:t>…</w:t>
      </w:r>
    </w:p>
    <w:p w14:paraId="08EA404F" w14:textId="77777777" w:rsidR="002773C7" w:rsidRPr="002773C7" w:rsidRDefault="002773C7" w:rsidP="002773C7">
      <w:pPr>
        <w:pStyle w:val="Prrafodelista"/>
        <w:spacing w:line="276" w:lineRule="auto"/>
        <w:ind w:left="2268" w:hanging="1134"/>
        <w:contextualSpacing w:val="0"/>
        <w:jc w:val="both"/>
        <w:rPr>
          <w:rFonts w:ascii="Arial" w:hAnsi="Arial" w:cs="Arial"/>
          <w:b/>
          <w:sz w:val="22"/>
          <w:szCs w:val="22"/>
        </w:rPr>
      </w:pPr>
      <w:r w:rsidRPr="002773C7">
        <w:rPr>
          <w:rFonts w:ascii="Arial" w:hAnsi="Arial" w:cs="Arial"/>
          <w:b/>
          <w:sz w:val="22"/>
          <w:szCs w:val="22"/>
        </w:rPr>
        <w:t xml:space="preserve">2.3.1 a 2.3.4 </w:t>
      </w:r>
      <w:r w:rsidRPr="002773C7">
        <w:rPr>
          <w:rFonts w:ascii="Arial" w:hAnsi="Arial" w:cs="Arial"/>
          <w:sz w:val="22"/>
          <w:szCs w:val="22"/>
        </w:rPr>
        <w:t>…</w:t>
      </w:r>
    </w:p>
    <w:p w14:paraId="1DB1CBE7" w14:textId="77777777" w:rsidR="002773C7" w:rsidRPr="002773C7" w:rsidRDefault="002773C7" w:rsidP="002773C7">
      <w:pPr>
        <w:pStyle w:val="Prrafodelista"/>
        <w:spacing w:line="276" w:lineRule="auto"/>
        <w:ind w:left="1418" w:hanging="992"/>
        <w:contextualSpacing w:val="0"/>
        <w:jc w:val="both"/>
        <w:rPr>
          <w:rFonts w:ascii="Arial" w:hAnsi="Arial" w:cs="Arial"/>
          <w:sz w:val="22"/>
          <w:szCs w:val="22"/>
          <w:lang w:eastAsia="es-MX"/>
        </w:rPr>
      </w:pPr>
    </w:p>
    <w:p w14:paraId="48E80F0B" w14:textId="77777777" w:rsidR="002773C7" w:rsidRPr="002773C7" w:rsidRDefault="002773C7" w:rsidP="002773C7">
      <w:pPr>
        <w:pStyle w:val="Prrafodelista"/>
        <w:spacing w:line="276" w:lineRule="auto"/>
        <w:ind w:left="0"/>
        <w:contextualSpacing w:val="0"/>
        <w:jc w:val="both"/>
        <w:rPr>
          <w:rFonts w:ascii="Arial" w:hAnsi="Arial" w:cs="Arial"/>
          <w:sz w:val="22"/>
          <w:szCs w:val="22"/>
        </w:rPr>
      </w:pPr>
    </w:p>
    <w:p w14:paraId="099606B2" w14:textId="77777777" w:rsidR="002773C7" w:rsidRPr="002773C7" w:rsidRDefault="002773C7" w:rsidP="00D8142B">
      <w:pPr>
        <w:pStyle w:val="Ttulo4"/>
        <w:spacing w:line="276" w:lineRule="auto"/>
        <w:rPr>
          <w:b w:val="0"/>
          <w:iCs w:val="0"/>
        </w:rPr>
      </w:pPr>
      <w:proofErr w:type="gramStart"/>
      <w:r w:rsidRPr="002773C7">
        <w:rPr>
          <w:iCs w:val="0"/>
        </w:rPr>
        <w:t>Segundo.-</w:t>
      </w:r>
      <w:proofErr w:type="gramEnd"/>
      <w:r w:rsidRPr="002773C7">
        <w:rPr>
          <w:b w:val="0"/>
          <w:iCs w:val="0"/>
        </w:rPr>
        <w:tab/>
        <w:t>Publíquese el presente Acuerdo en el Diario Oficial de la Federación, de conformidad con lo establecido en el artículo 46 de la Ley Federal de Telecomunicaciones y Radiodifusión, así como en el portal de Internet del Instituto.</w:t>
      </w:r>
    </w:p>
    <w:p w14:paraId="5B8B8B24" w14:textId="77777777" w:rsidR="002773C7" w:rsidRPr="00FA2132" w:rsidRDefault="002773C7" w:rsidP="002773C7">
      <w:pPr>
        <w:pStyle w:val="Prrafodelista"/>
        <w:spacing w:line="276" w:lineRule="auto"/>
        <w:ind w:left="0"/>
        <w:contextualSpacing w:val="0"/>
        <w:jc w:val="both"/>
        <w:rPr>
          <w:rFonts w:ascii="Arial" w:hAnsi="Arial" w:cs="Arial"/>
          <w:sz w:val="22"/>
          <w:szCs w:val="22"/>
        </w:rPr>
      </w:pPr>
    </w:p>
    <w:p w14:paraId="1365D1ED" w14:textId="77777777" w:rsidR="002773C7" w:rsidRPr="00FA2132" w:rsidRDefault="002773C7" w:rsidP="002773C7">
      <w:pPr>
        <w:pStyle w:val="Ttulo3"/>
        <w:numPr>
          <w:ilvl w:val="0"/>
          <w:numId w:val="0"/>
        </w:numPr>
        <w:spacing w:line="276" w:lineRule="auto"/>
        <w:contextualSpacing w:val="0"/>
        <w:rPr>
          <w:rFonts w:ascii="Arial" w:hAnsi="Arial" w:cs="Arial"/>
          <w:color w:val="auto"/>
          <w:sz w:val="26"/>
          <w:szCs w:val="26"/>
          <w:lang w:val="es-ES"/>
        </w:rPr>
      </w:pPr>
      <w:r w:rsidRPr="00FA2132">
        <w:rPr>
          <w:rFonts w:ascii="Arial" w:hAnsi="Arial" w:cs="Arial"/>
          <w:color w:val="auto"/>
          <w:sz w:val="26"/>
          <w:szCs w:val="26"/>
          <w:lang w:val="es-ES"/>
        </w:rPr>
        <w:t>Transitorio</w:t>
      </w:r>
    </w:p>
    <w:p w14:paraId="44332F83" w14:textId="77777777" w:rsidR="002773C7" w:rsidRPr="00FA2132" w:rsidRDefault="002773C7" w:rsidP="002773C7">
      <w:pPr>
        <w:pStyle w:val="Prrafodelista"/>
        <w:spacing w:line="276" w:lineRule="auto"/>
        <w:ind w:left="0"/>
        <w:contextualSpacing w:val="0"/>
        <w:jc w:val="both"/>
        <w:rPr>
          <w:rFonts w:ascii="Arial" w:hAnsi="Arial" w:cs="Arial"/>
          <w:sz w:val="22"/>
          <w:szCs w:val="22"/>
        </w:rPr>
      </w:pPr>
    </w:p>
    <w:p w14:paraId="7AB29A30" w14:textId="77777777" w:rsidR="002773C7" w:rsidRPr="00FA2132" w:rsidRDefault="002773C7" w:rsidP="002773C7">
      <w:pPr>
        <w:spacing w:line="276" w:lineRule="auto"/>
        <w:jc w:val="both"/>
        <w:rPr>
          <w:rFonts w:ascii="Arial" w:hAnsi="Arial" w:cs="Arial"/>
          <w:sz w:val="22"/>
          <w:szCs w:val="22"/>
          <w:lang w:eastAsia="es-MX"/>
        </w:rPr>
      </w:pPr>
      <w:proofErr w:type="gramStart"/>
      <w:r w:rsidRPr="00FA2132">
        <w:rPr>
          <w:rFonts w:ascii="Arial" w:hAnsi="Arial" w:cs="Arial"/>
          <w:b/>
          <w:sz w:val="22"/>
          <w:szCs w:val="22"/>
          <w:lang w:eastAsia="es-MX"/>
        </w:rPr>
        <w:t>Único.-</w:t>
      </w:r>
      <w:proofErr w:type="gramEnd"/>
      <w:r w:rsidRPr="00FA2132">
        <w:rPr>
          <w:rFonts w:ascii="Arial" w:hAnsi="Arial" w:cs="Arial"/>
          <w:sz w:val="22"/>
          <w:szCs w:val="22"/>
          <w:lang w:eastAsia="es-MX"/>
        </w:rPr>
        <w:tab/>
        <w:t xml:space="preserve">El presente Acuerdo, junto con su Anexo 1, entrarán en vigor al día siguiente de su publicación en el Diario Oficial de la Federación. </w:t>
      </w:r>
    </w:p>
    <w:p w14:paraId="20787587" w14:textId="77777777" w:rsidR="00F57298" w:rsidRPr="00FA2132" w:rsidRDefault="00F57298" w:rsidP="002773C7">
      <w:pPr>
        <w:spacing w:line="276" w:lineRule="auto"/>
        <w:jc w:val="both"/>
        <w:rPr>
          <w:rFonts w:ascii="Arial" w:eastAsia="Times New Roman" w:hAnsi="Arial" w:cs="Arial"/>
          <w:kern w:val="1"/>
          <w:sz w:val="22"/>
          <w:szCs w:val="22"/>
          <w:lang w:eastAsia="ar-SA"/>
        </w:rPr>
      </w:pPr>
    </w:p>
    <w:sectPr w:rsidR="00F57298" w:rsidRPr="00FA2132" w:rsidSect="006E45E5">
      <w:headerReference w:type="even" r:id="rId13"/>
      <w:headerReference w:type="default" r:id="rId14"/>
      <w:footerReference w:type="default" r:id="rId15"/>
      <w:headerReference w:type="first" r:id="rId16"/>
      <w:pgSz w:w="12240" w:h="15840"/>
      <w:pgMar w:top="1985" w:right="1418" w:bottom="1134"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A1E0" w14:textId="77777777" w:rsidR="0068251C" w:rsidRDefault="0068251C" w:rsidP="009F523F">
      <w:r>
        <w:separator/>
      </w:r>
    </w:p>
  </w:endnote>
  <w:endnote w:type="continuationSeparator" w:id="0">
    <w:p w14:paraId="6C7ACA9B" w14:textId="77777777" w:rsidR="0068251C" w:rsidRDefault="0068251C" w:rsidP="009F523F">
      <w:r>
        <w:continuationSeparator/>
      </w:r>
    </w:p>
  </w:endnote>
  <w:endnote w:type="continuationNotice" w:id="1">
    <w:p w14:paraId="5D7C4CDC" w14:textId="77777777" w:rsidR="0068251C" w:rsidRDefault="00682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szCs w:val="16"/>
      </w:rPr>
      <w:id w:val="330949732"/>
      <w:docPartObj>
        <w:docPartGallery w:val="Page Numbers (Bottom of Page)"/>
        <w:docPartUnique/>
      </w:docPartObj>
    </w:sdtPr>
    <w:sdtEndPr/>
    <w:sdtContent>
      <w:sdt>
        <w:sdtPr>
          <w:rPr>
            <w:rFonts w:ascii="ITC Avant Garde" w:hAnsi="ITC Avant Garde"/>
            <w:sz w:val="18"/>
            <w:szCs w:val="16"/>
          </w:rPr>
          <w:id w:val="-1769616900"/>
          <w:docPartObj>
            <w:docPartGallery w:val="Page Numbers (Top of Page)"/>
            <w:docPartUnique/>
          </w:docPartObj>
        </w:sdtPr>
        <w:sdtEndPr/>
        <w:sdtContent>
          <w:p w14:paraId="14FA227B" w14:textId="77777777" w:rsidR="00A80893" w:rsidRDefault="00A80893" w:rsidP="009A6E0C">
            <w:pPr>
              <w:pStyle w:val="Piedepgina"/>
              <w:jc w:val="right"/>
              <w:rPr>
                <w:rFonts w:ascii="ITC Avant Garde" w:hAnsi="ITC Avant Garde"/>
                <w:sz w:val="18"/>
                <w:szCs w:val="16"/>
              </w:rPr>
            </w:pPr>
          </w:p>
          <w:p w14:paraId="618BA11A" w14:textId="04E1A36F" w:rsidR="00A80893" w:rsidRPr="00DA5ADA" w:rsidRDefault="00A80893" w:rsidP="009A6E0C">
            <w:pPr>
              <w:pStyle w:val="Piedepgina"/>
              <w:jc w:val="right"/>
              <w:rPr>
                <w:rFonts w:ascii="Arial" w:hAnsi="Arial" w:cs="Arial"/>
                <w:bCs/>
                <w:sz w:val="18"/>
                <w:szCs w:val="16"/>
              </w:rPr>
            </w:pPr>
            <w:r w:rsidRPr="00DA5ADA">
              <w:rPr>
                <w:rFonts w:ascii="Arial" w:hAnsi="Arial" w:cs="Arial"/>
                <w:sz w:val="18"/>
                <w:szCs w:val="16"/>
                <w:lang w:val="es-ES"/>
              </w:rPr>
              <w:t xml:space="preserve">Página </w:t>
            </w:r>
            <w:r w:rsidRPr="00DA5ADA">
              <w:rPr>
                <w:rFonts w:ascii="Arial" w:hAnsi="Arial" w:cs="Arial"/>
                <w:bCs/>
                <w:sz w:val="18"/>
                <w:szCs w:val="16"/>
              </w:rPr>
              <w:fldChar w:fldCharType="begin"/>
            </w:r>
            <w:r w:rsidRPr="00DA5ADA">
              <w:rPr>
                <w:rFonts w:ascii="Arial" w:hAnsi="Arial" w:cs="Arial"/>
                <w:bCs/>
                <w:sz w:val="18"/>
                <w:szCs w:val="16"/>
              </w:rPr>
              <w:instrText>PAGE</w:instrText>
            </w:r>
            <w:r w:rsidRPr="00DA5ADA">
              <w:rPr>
                <w:rFonts w:ascii="Arial" w:hAnsi="Arial" w:cs="Arial"/>
                <w:bCs/>
                <w:sz w:val="18"/>
                <w:szCs w:val="16"/>
              </w:rPr>
              <w:fldChar w:fldCharType="separate"/>
            </w:r>
            <w:r>
              <w:rPr>
                <w:rFonts w:ascii="Arial" w:hAnsi="Arial" w:cs="Arial"/>
                <w:bCs/>
                <w:noProof/>
                <w:sz w:val="18"/>
                <w:szCs w:val="16"/>
              </w:rPr>
              <w:t>6</w:t>
            </w:r>
            <w:r w:rsidRPr="00DA5ADA">
              <w:rPr>
                <w:rFonts w:ascii="Arial" w:hAnsi="Arial" w:cs="Arial"/>
                <w:bCs/>
                <w:sz w:val="18"/>
                <w:szCs w:val="16"/>
              </w:rPr>
              <w:fldChar w:fldCharType="end"/>
            </w:r>
            <w:r w:rsidRPr="00DA5ADA">
              <w:rPr>
                <w:rFonts w:ascii="Arial" w:hAnsi="Arial" w:cs="Arial"/>
                <w:sz w:val="18"/>
                <w:szCs w:val="16"/>
                <w:lang w:val="es-ES"/>
              </w:rPr>
              <w:t xml:space="preserve"> de </w:t>
            </w:r>
            <w:r w:rsidR="006E45E5">
              <w:rPr>
                <w:rFonts w:ascii="Arial" w:hAnsi="Arial" w:cs="Arial"/>
                <w:sz w:val="18"/>
                <w:szCs w:val="16"/>
                <w:lang w:val="es-ES"/>
              </w:rPr>
              <w:t>2</w:t>
            </w:r>
            <w:r w:rsidR="006E45E5">
              <w:rPr>
                <w:rFonts w:ascii="Arial" w:hAnsi="Arial" w:cs="Arial"/>
                <w:bCs/>
                <w:sz w:val="18"/>
                <w:szCs w:val="16"/>
              </w:rPr>
              <w:t>6</w:t>
            </w:r>
          </w:p>
          <w:p w14:paraId="6F81C62A" w14:textId="036C01BF" w:rsidR="00A80893" w:rsidRPr="009A6E0C" w:rsidRDefault="0068251C" w:rsidP="009A6E0C">
            <w:pPr>
              <w:pStyle w:val="Piedepgina"/>
              <w:jc w:val="right"/>
              <w:rPr>
                <w:rFonts w:ascii="ITC Avant Garde" w:hAnsi="ITC Avant Garde"/>
                <w:sz w:val="18"/>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B85D" w14:textId="77777777" w:rsidR="0068251C" w:rsidRDefault="0068251C" w:rsidP="000A7A88">
      <w:pPr>
        <w:jc w:val="both"/>
      </w:pPr>
      <w:r>
        <w:separator/>
      </w:r>
    </w:p>
  </w:footnote>
  <w:footnote w:type="continuationSeparator" w:id="0">
    <w:p w14:paraId="58624DF8" w14:textId="77777777" w:rsidR="0068251C" w:rsidRDefault="0068251C" w:rsidP="009F523F">
      <w:r>
        <w:continuationSeparator/>
      </w:r>
    </w:p>
  </w:footnote>
  <w:footnote w:type="continuationNotice" w:id="1">
    <w:p w14:paraId="5578DB9D" w14:textId="77777777" w:rsidR="0068251C" w:rsidRDefault="0068251C"/>
  </w:footnote>
  <w:footnote w:id="2">
    <w:p w14:paraId="2A8D1E44" w14:textId="77777777" w:rsidR="002773C7" w:rsidRPr="006820B1" w:rsidRDefault="002773C7" w:rsidP="002773C7">
      <w:pPr>
        <w:shd w:val="clear" w:color="auto" w:fill="FFFFFF"/>
        <w:ind w:left="142" w:hanging="142"/>
        <w:jc w:val="both"/>
        <w:rPr>
          <w:rFonts w:ascii="Arial" w:hAnsi="Arial" w:cs="Arial"/>
          <w:sz w:val="14"/>
          <w:szCs w:val="14"/>
        </w:rPr>
      </w:pPr>
      <w:r w:rsidRPr="006820B1">
        <w:rPr>
          <w:rStyle w:val="Refdenotaalpie"/>
          <w:rFonts w:ascii="Arial" w:hAnsi="Arial" w:cs="Arial"/>
          <w:sz w:val="14"/>
          <w:szCs w:val="14"/>
        </w:rPr>
        <w:footnoteRef/>
      </w:r>
      <w:r w:rsidRPr="006820B1">
        <w:rPr>
          <w:rFonts w:ascii="Arial" w:hAnsi="Arial" w:cs="Arial"/>
          <w:sz w:val="14"/>
          <w:szCs w:val="14"/>
        </w:rPr>
        <w:t xml:space="preserve"> El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Consultable en: </w:t>
      </w:r>
      <w:r w:rsidRPr="006820B1">
        <w:rPr>
          <w:rStyle w:val="Hipervnculo"/>
          <w:rFonts w:ascii="Arial" w:hAnsi="Arial" w:cs="Arial"/>
          <w:sz w:val="14"/>
          <w:szCs w:val="14"/>
        </w:rPr>
        <w:t xml:space="preserve"> </w:t>
      </w:r>
      <w:hyperlink r:id="rId1" w:anchor="overlay-context=espectro-radioelectrico/cuadro-nacional-de-atribucion-de-frecuencias-cnaf" w:history="1">
        <w:r w:rsidRPr="006820B1">
          <w:rPr>
            <w:rStyle w:val="Hipervnculo"/>
            <w:rFonts w:ascii="Arial" w:hAnsi="Arial" w:cs="Arial"/>
            <w:sz w:val="14"/>
            <w:szCs w:val="14"/>
          </w:rPr>
          <w:t>http://www.ift.org.mx/sites/default/files/contenidogeneral/espectro-radioelectrico/dofcnaf-2021accesible.pdf#overlay-context=espectro-radioelectrico/cuadro-nacional-de-atribucion-de-frecuencias-cnaf</w:t>
        </w:r>
      </w:hyperlink>
      <w:r w:rsidRPr="006820B1">
        <w:rPr>
          <w:rStyle w:val="Hipervnculo"/>
          <w:rFonts w:ascii="Arial" w:hAnsi="Arial" w:cs="Arial"/>
          <w:sz w:val="14"/>
          <w:szCs w:val="14"/>
        </w:rPr>
        <w:t xml:space="preserve"> </w:t>
      </w:r>
    </w:p>
  </w:footnote>
  <w:footnote w:id="3">
    <w:p w14:paraId="02CED606" w14:textId="77777777" w:rsidR="002773C7" w:rsidRPr="00D8142B" w:rsidRDefault="002773C7" w:rsidP="002773C7">
      <w:pPr>
        <w:pStyle w:val="Textonotapie"/>
        <w:rPr>
          <w:rFonts w:ascii="Arial" w:hAnsi="Arial" w:cs="Arial"/>
          <w:sz w:val="14"/>
          <w:szCs w:val="14"/>
        </w:rPr>
      </w:pPr>
      <w:r w:rsidRPr="006820B1">
        <w:rPr>
          <w:rStyle w:val="Refdenotaalpie"/>
          <w:rFonts w:ascii="Arial" w:hAnsi="Arial" w:cs="Arial"/>
          <w:sz w:val="14"/>
          <w:szCs w:val="14"/>
        </w:rPr>
        <w:footnoteRef/>
      </w:r>
      <w:r w:rsidRPr="006820B1">
        <w:rPr>
          <w:rFonts w:ascii="Arial" w:hAnsi="Arial" w:cs="Arial"/>
          <w:sz w:val="14"/>
          <w:szCs w:val="14"/>
        </w:rPr>
        <w:t xml:space="preserve"> Acuerdo</w:t>
      </w:r>
      <w:r w:rsidRPr="006820B1">
        <w:rPr>
          <w:rFonts w:ascii="Arial" w:hAnsi="Arial" w:cs="Arial"/>
          <w:kern w:val="1"/>
          <w:sz w:val="14"/>
          <w:szCs w:val="14"/>
          <w:lang w:eastAsia="ar-SA"/>
        </w:rPr>
        <w:t xml:space="preserve"> que clasifica la banda 57-64 GHz</w:t>
      </w:r>
      <w:r w:rsidRPr="006820B1">
        <w:rPr>
          <w:rFonts w:ascii="Arial" w:hAnsi="Arial" w:cs="Arial"/>
          <w:sz w:val="14"/>
          <w:szCs w:val="14"/>
        </w:rPr>
        <w:t xml:space="preserve">, disponible para consulta en: </w:t>
      </w:r>
      <w:hyperlink r:id="rId2" w:history="1">
        <w:r w:rsidRPr="006820B1">
          <w:rPr>
            <w:rStyle w:val="Hipervnculo"/>
            <w:rFonts w:ascii="Arial" w:hAnsi="Arial" w:cs="Arial"/>
            <w:sz w:val="14"/>
            <w:szCs w:val="14"/>
          </w:rPr>
          <w:t>http://www.dof.gob.mx/nota_detalle.php?codigo=5481920&amp;fecha=0</w:t>
        </w:r>
        <w:bookmarkStart w:id="0" w:name="_GoBack"/>
        <w:bookmarkEnd w:id="0"/>
        <w:r w:rsidRPr="006820B1">
          <w:rPr>
            <w:rStyle w:val="Hipervnculo"/>
            <w:rFonts w:ascii="Arial" w:hAnsi="Arial" w:cs="Arial"/>
            <w:sz w:val="14"/>
            <w:szCs w:val="14"/>
          </w:rPr>
          <w:t>9/05/2017</w:t>
        </w:r>
      </w:hyperlink>
    </w:p>
  </w:footnote>
  <w:footnote w:id="4">
    <w:p w14:paraId="53F543F3" w14:textId="77777777" w:rsidR="002773C7" w:rsidRPr="006820B1" w:rsidRDefault="002773C7" w:rsidP="002773C7">
      <w:pPr>
        <w:pStyle w:val="Textonotapie"/>
        <w:jc w:val="both"/>
        <w:rPr>
          <w:rFonts w:ascii="Arial" w:hAnsi="Arial" w:cs="Arial"/>
          <w:color w:val="000000"/>
          <w:sz w:val="14"/>
          <w:szCs w:val="14"/>
        </w:rPr>
      </w:pPr>
      <w:r w:rsidRPr="006820B1">
        <w:rPr>
          <w:rStyle w:val="Refdenotaalpie"/>
          <w:rFonts w:ascii="Arial" w:hAnsi="Arial" w:cs="Arial"/>
          <w:sz w:val="14"/>
          <w:szCs w:val="14"/>
        </w:rPr>
        <w:footnoteRef/>
      </w:r>
      <w:r w:rsidRPr="006820B1">
        <w:rPr>
          <w:rFonts w:ascii="Arial" w:hAnsi="Arial" w:cs="Arial"/>
          <w:color w:val="000000"/>
          <w:sz w:val="14"/>
          <w:szCs w:val="14"/>
        </w:rPr>
        <w:t>“</w:t>
      </w:r>
      <w:r w:rsidRPr="006820B1">
        <w:rPr>
          <w:rFonts w:ascii="Arial" w:hAnsi="Arial" w:cs="Arial"/>
          <w:i/>
          <w:color w:val="000000"/>
          <w:sz w:val="14"/>
          <w:szCs w:val="14"/>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6820B1">
        <w:rPr>
          <w:rFonts w:ascii="Arial" w:hAnsi="Arial" w:cs="Arial"/>
          <w:color w:val="000000"/>
          <w:sz w:val="14"/>
          <w:szCs w:val="14"/>
        </w:rPr>
        <w:t>”, 25 de marzo de 2014, pág. 10. Consultable en el enlace electrónico siguiente</w:t>
      </w:r>
      <w:r w:rsidRPr="006820B1">
        <w:rPr>
          <w:rFonts w:ascii="Arial" w:hAnsi="Arial" w:cs="Arial"/>
          <w:sz w:val="14"/>
          <w:szCs w:val="14"/>
        </w:rPr>
        <w:t>:</w:t>
      </w:r>
      <w:r w:rsidRPr="00D8142B">
        <w:rPr>
          <w:rFonts w:ascii="Arial" w:hAnsi="Arial" w:cs="Arial"/>
          <w:sz w:val="14"/>
          <w:szCs w:val="14"/>
        </w:rPr>
        <w:t xml:space="preserve"> </w:t>
      </w:r>
      <w:hyperlink r:id="rId3" w:history="1">
        <w:r w:rsidRPr="006820B1">
          <w:rPr>
            <w:rStyle w:val="Hipervnculo"/>
            <w:rFonts w:ascii="Arial" w:hAnsi="Arial" w:cs="Arial"/>
            <w:sz w:val="14"/>
            <w:szCs w:val="14"/>
          </w:rPr>
          <w:t>https://infosen.senado.gob.mx/sgsp/gaceta/62/2/2014-03-24-1/assets/documentos/Ini_Telecomunicaciones.pdf</w:t>
        </w:r>
      </w:hyperlink>
      <w:r w:rsidRPr="006820B1">
        <w:rPr>
          <w:rStyle w:val="Hipervnculo"/>
          <w:rFonts w:ascii="Arial" w:hAnsi="Arial" w:cs="Arial"/>
          <w:sz w:val="14"/>
          <w:szCs w:val="14"/>
        </w:rPr>
        <w:t xml:space="preserve"> </w:t>
      </w:r>
    </w:p>
  </w:footnote>
  <w:footnote w:id="5">
    <w:p w14:paraId="033C9BB9" w14:textId="77777777" w:rsidR="002773C7" w:rsidRPr="00D8142B" w:rsidRDefault="002773C7" w:rsidP="002773C7">
      <w:pPr>
        <w:pStyle w:val="Textonotapie"/>
        <w:rPr>
          <w:rFonts w:ascii="Arial" w:hAnsi="Arial" w:cs="Arial"/>
          <w:sz w:val="14"/>
          <w:szCs w:val="14"/>
        </w:rPr>
      </w:pPr>
      <w:r w:rsidRPr="006820B1">
        <w:rPr>
          <w:rStyle w:val="Refdenotaalpie"/>
          <w:rFonts w:ascii="Arial" w:hAnsi="Arial" w:cs="Arial"/>
          <w:sz w:val="14"/>
          <w:szCs w:val="14"/>
        </w:rPr>
        <w:footnoteRef/>
      </w:r>
      <w:r w:rsidRPr="006820B1">
        <w:rPr>
          <w:rFonts w:ascii="Arial" w:hAnsi="Arial" w:cs="Arial"/>
          <w:sz w:val="14"/>
          <w:szCs w:val="14"/>
        </w:rPr>
        <w:t xml:space="preserve"> Manual sobre la Gestión nacional de espectro, Ed. 2015. Consultable en: </w:t>
      </w:r>
      <w:hyperlink r:id="rId4" w:history="1">
        <w:r w:rsidRPr="006820B1">
          <w:rPr>
            <w:rStyle w:val="Hipervnculo"/>
            <w:rFonts w:ascii="Arial" w:hAnsi="Arial" w:cs="Arial"/>
            <w:sz w:val="14"/>
            <w:szCs w:val="14"/>
          </w:rPr>
          <w:t>https://www.itu.int/dms_pub/itu-r/opb/hdb/R-HDB-21-2015-PDF-S.pdf</w:t>
        </w:r>
      </w:hyperlink>
    </w:p>
  </w:footnote>
  <w:footnote w:id="6">
    <w:p w14:paraId="472EB58A" w14:textId="77777777" w:rsidR="002773C7" w:rsidRPr="006820B1" w:rsidRDefault="002773C7" w:rsidP="002773C7">
      <w:pPr>
        <w:pStyle w:val="Textonotapie"/>
        <w:ind w:left="142" w:hanging="142"/>
        <w:rPr>
          <w:rFonts w:ascii="Arial" w:hAnsi="Arial" w:cs="Arial"/>
          <w:sz w:val="14"/>
          <w:szCs w:val="14"/>
        </w:rPr>
      </w:pPr>
      <w:r w:rsidRPr="006820B1">
        <w:rPr>
          <w:rStyle w:val="Refdenotaalpie"/>
          <w:rFonts w:ascii="Arial" w:hAnsi="Arial" w:cs="Arial"/>
          <w:sz w:val="14"/>
          <w:szCs w:val="14"/>
        </w:rPr>
        <w:footnoteRef/>
      </w:r>
      <w:r w:rsidRPr="006820B1">
        <w:rPr>
          <w:rFonts w:ascii="Arial" w:hAnsi="Arial" w:cs="Arial"/>
          <w:sz w:val="14"/>
          <w:szCs w:val="14"/>
        </w:rPr>
        <w:t xml:space="preserve"> Disponible para consulta en: </w:t>
      </w:r>
      <w:hyperlink r:id="rId5" w:anchor="se47.1.15_1255" w:history="1">
        <w:r w:rsidRPr="006820B1">
          <w:rPr>
            <w:rStyle w:val="Hipervnculo"/>
            <w:rFonts w:ascii="Arial" w:hAnsi="Arial" w:cs="Arial"/>
            <w:sz w:val="14"/>
            <w:szCs w:val="14"/>
          </w:rPr>
          <w:t>https://www.ecfr.gov/cgi-bin/retrieveECFR?gp=&amp;SID=fa1c412166c55ad8782af2770f4df3b4&amp;mc=true&amp;n=sp47.1.15.c&amp;r=SUBPART&amp;ty=HTML#se47.1.15_1255</w:t>
        </w:r>
      </w:hyperlink>
    </w:p>
  </w:footnote>
  <w:footnote w:id="7">
    <w:p w14:paraId="65F744DA" w14:textId="77777777" w:rsidR="002773C7" w:rsidRPr="00D8142B" w:rsidRDefault="002773C7" w:rsidP="002773C7">
      <w:pPr>
        <w:pStyle w:val="Textonotapie"/>
        <w:rPr>
          <w:rFonts w:ascii="Arial" w:hAnsi="Arial" w:cs="Arial"/>
          <w:sz w:val="14"/>
          <w:szCs w:val="14"/>
        </w:rPr>
      </w:pPr>
      <w:r w:rsidRPr="00D8142B">
        <w:rPr>
          <w:rStyle w:val="Refdenotaalpie"/>
          <w:rFonts w:ascii="Arial" w:hAnsi="Arial" w:cs="Arial"/>
          <w:sz w:val="14"/>
          <w:szCs w:val="14"/>
        </w:rPr>
        <w:footnoteRef/>
      </w:r>
      <w:r w:rsidRPr="00D8142B">
        <w:rPr>
          <w:rFonts w:ascii="Arial" w:hAnsi="Arial" w:cs="Arial"/>
          <w:sz w:val="14"/>
          <w:szCs w:val="14"/>
        </w:rPr>
        <w:t xml:space="preserve"> </w:t>
      </w:r>
      <w:r w:rsidRPr="006820B1">
        <w:rPr>
          <w:rFonts w:ascii="Arial" w:hAnsi="Arial" w:cs="Arial"/>
          <w:sz w:val="14"/>
          <w:szCs w:val="14"/>
        </w:rPr>
        <w:t xml:space="preserve">Disponible para consulta en: </w:t>
      </w:r>
      <w:hyperlink r:id="rId6" w:history="1">
        <w:r w:rsidRPr="006820B1">
          <w:rPr>
            <w:rStyle w:val="Hipervnculo"/>
            <w:rFonts w:ascii="Arial" w:hAnsi="Arial" w:cs="Arial"/>
            <w:sz w:val="14"/>
            <w:szCs w:val="14"/>
          </w:rPr>
          <w:t>https://www.govinfo.gov/content/pkg/FR-2021-08-19/pdf/2021-16637.pdf</w:t>
        </w:r>
      </w:hyperlink>
      <w:r w:rsidRPr="00D8142B">
        <w:rPr>
          <w:rFonts w:ascii="Arial" w:hAnsi="Arial" w:cs="Arial"/>
          <w:sz w:val="14"/>
          <w:szCs w:val="14"/>
        </w:rPr>
        <w:t xml:space="preserve"> </w:t>
      </w:r>
    </w:p>
  </w:footnote>
  <w:footnote w:id="8">
    <w:p w14:paraId="5A19483E" w14:textId="77777777" w:rsidR="002773C7" w:rsidRPr="006820B1" w:rsidRDefault="002773C7" w:rsidP="002773C7">
      <w:pPr>
        <w:pStyle w:val="Textonotapie"/>
        <w:rPr>
          <w:rFonts w:ascii="Arial" w:hAnsi="Arial" w:cs="Arial"/>
          <w:sz w:val="14"/>
          <w:szCs w:val="14"/>
        </w:rPr>
      </w:pPr>
      <w:r w:rsidRPr="006820B1">
        <w:rPr>
          <w:rStyle w:val="Refdenotaalpie"/>
          <w:rFonts w:ascii="Arial" w:hAnsi="Arial" w:cs="Arial"/>
          <w:sz w:val="14"/>
          <w:szCs w:val="14"/>
        </w:rPr>
        <w:footnoteRef/>
      </w:r>
      <w:r w:rsidRPr="006820B1">
        <w:rPr>
          <w:rFonts w:ascii="Arial" w:hAnsi="Arial" w:cs="Arial"/>
          <w:sz w:val="14"/>
          <w:szCs w:val="14"/>
        </w:rPr>
        <w:t xml:space="preserve"> Disponible para consulta en: </w:t>
      </w:r>
      <w:hyperlink r:id="rId7" w:history="1">
        <w:r w:rsidRPr="006820B1">
          <w:rPr>
            <w:rStyle w:val="Hipervnculo"/>
            <w:rFonts w:ascii="Arial" w:hAnsi="Arial" w:cs="Arial"/>
            <w:sz w:val="14"/>
            <w:szCs w:val="14"/>
          </w:rPr>
          <w:t>https://www.ic.gc.ca/eic/site/smt-gst.nsf/eng/sf01320.html</w:t>
        </w:r>
      </w:hyperlink>
    </w:p>
  </w:footnote>
  <w:footnote w:id="9">
    <w:p w14:paraId="16F565B1" w14:textId="77777777" w:rsidR="002773C7" w:rsidRPr="00D8142B" w:rsidRDefault="002773C7" w:rsidP="002773C7">
      <w:pPr>
        <w:pStyle w:val="Textonotapie"/>
        <w:rPr>
          <w:rFonts w:ascii="Arial" w:hAnsi="Arial" w:cs="Arial"/>
          <w:sz w:val="14"/>
          <w:szCs w:val="14"/>
        </w:rPr>
      </w:pPr>
      <w:r w:rsidRPr="00D8142B">
        <w:rPr>
          <w:rStyle w:val="Refdenotaalpie"/>
          <w:rFonts w:ascii="Arial" w:hAnsi="Arial" w:cs="Arial"/>
          <w:sz w:val="14"/>
          <w:szCs w:val="14"/>
        </w:rPr>
        <w:footnoteRef/>
      </w:r>
      <w:r w:rsidRPr="00D8142B">
        <w:rPr>
          <w:rFonts w:ascii="Arial" w:hAnsi="Arial" w:cs="Arial"/>
          <w:sz w:val="14"/>
          <w:szCs w:val="14"/>
        </w:rPr>
        <w:t xml:space="preserve"> </w:t>
      </w:r>
      <w:r w:rsidRPr="006820B1">
        <w:rPr>
          <w:rFonts w:ascii="Arial" w:hAnsi="Arial" w:cs="Arial"/>
          <w:sz w:val="14"/>
          <w:szCs w:val="14"/>
        </w:rPr>
        <w:t xml:space="preserve">Recomendación UIT-R SM.2103-0, Ed. 2017. Consultable en: </w:t>
      </w:r>
      <w:hyperlink r:id="rId8" w:history="1">
        <w:r w:rsidRPr="006820B1">
          <w:rPr>
            <w:rStyle w:val="Hipervnculo"/>
            <w:rFonts w:ascii="Arial" w:hAnsi="Arial" w:cs="Arial"/>
            <w:sz w:val="14"/>
            <w:szCs w:val="14"/>
          </w:rPr>
          <w:t>https://www.itu.int/dms_pubrec/itu-r/rec/sm/R-REC-SM.2103-0-201709-I!!PDF-S.pdf</w:t>
        </w:r>
      </w:hyperlink>
      <w:r w:rsidRPr="006820B1">
        <w:rPr>
          <w:rFonts w:ascii="Arial" w:hAnsi="Arial" w:cs="Arial"/>
          <w:sz w:val="14"/>
          <w:szCs w:val="14"/>
        </w:rPr>
        <w:t xml:space="preserve"> </w:t>
      </w:r>
    </w:p>
  </w:footnote>
  <w:footnote w:id="10">
    <w:p w14:paraId="5F4AF1BE" w14:textId="77777777" w:rsidR="002773C7" w:rsidRPr="00D8142B" w:rsidRDefault="002773C7" w:rsidP="002773C7">
      <w:pPr>
        <w:pStyle w:val="Textonotapie"/>
        <w:rPr>
          <w:rFonts w:ascii="Arial" w:hAnsi="Arial" w:cs="Arial"/>
          <w:sz w:val="14"/>
          <w:szCs w:val="14"/>
        </w:rPr>
      </w:pPr>
      <w:r w:rsidRPr="00D8142B">
        <w:rPr>
          <w:rStyle w:val="Refdenotaalpie"/>
          <w:rFonts w:ascii="Arial" w:hAnsi="Arial" w:cs="Arial"/>
          <w:sz w:val="14"/>
          <w:szCs w:val="14"/>
        </w:rPr>
        <w:footnoteRef/>
      </w:r>
      <w:r w:rsidRPr="00D8142B">
        <w:rPr>
          <w:rFonts w:ascii="Arial" w:hAnsi="Arial" w:cs="Arial"/>
          <w:sz w:val="14"/>
          <w:szCs w:val="14"/>
        </w:rPr>
        <w:t xml:space="preserve"> </w:t>
      </w:r>
      <w:r w:rsidRPr="006820B1">
        <w:rPr>
          <w:rFonts w:ascii="Arial" w:hAnsi="Arial" w:cs="Arial"/>
          <w:sz w:val="14"/>
          <w:szCs w:val="14"/>
        </w:rPr>
        <w:t xml:space="preserve">Informe UITR- SM.2153-8, Ed. 2021. Consultable en: </w:t>
      </w:r>
      <w:hyperlink r:id="rId9" w:history="1">
        <w:r w:rsidRPr="006820B1">
          <w:rPr>
            <w:rStyle w:val="Hipervnculo"/>
            <w:rFonts w:ascii="Arial" w:hAnsi="Arial" w:cs="Arial"/>
            <w:sz w:val="14"/>
            <w:szCs w:val="14"/>
          </w:rPr>
          <w:t>https://www.itu.int/dms_pub/itu-r/opb/rep/R-REP-SM.2153-8-2021-PDF-S.pdf</w:t>
        </w:r>
      </w:hyperlink>
      <w:r w:rsidRPr="006820B1">
        <w:rPr>
          <w:rFonts w:ascii="Arial" w:hAnsi="Arial" w:cs="Arial"/>
          <w:sz w:val="14"/>
          <w:szCs w:val="14"/>
        </w:rPr>
        <w:t xml:space="preserve"> </w:t>
      </w:r>
    </w:p>
  </w:footnote>
  <w:footnote w:id="11">
    <w:p w14:paraId="5928F9F0" w14:textId="77777777" w:rsidR="002773C7" w:rsidRPr="00D8142B" w:rsidRDefault="002773C7" w:rsidP="002773C7">
      <w:pPr>
        <w:pStyle w:val="Textonotapie"/>
        <w:rPr>
          <w:rFonts w:ascii="Arial" w:hAnsi="Arial" w:cs="Arial"/>
          <w:sz w:val="14"/>
          <w:szCs w:val="14"/>
        </w:rPr>
      </w:pPr>
      <w:r w:rsidRPr="00D8142B">
        <w:rPr>
          <w:rStyle w:val="Refdenotaalpie"/>
          <w:rFonts w:ascii="Arial" w:hAnsi="Arial" w:cs="Arial"/>
          <w:sz w:val="14"/>
          <w:szCs w:val="14"/>
        </w:rPr>
        <w:footnoteRef/>
      </w:r>
      <w:r w:rsidRPr="00D8142B">
        <w:rPr>
          <w:rFonts w:ascii="Arial" w:hAnsi="Arial" w:cs="Arial"/>
          <w:sz w:val="14"/>
          <w:szCs w:val="14"/>
        </w:rPr>
        <w:t xml:space="preserve"> </w:t>
      </w:r>
      <w:r w:rsidRPr="006820B1">
        <w:rPr>
          <w:rFonts w:ascii="Arial" w:hAnsi="Arial" w:cs="Arial"/>
          <w:sz w:val="14"/>
          <w:szCs w:val="14"/>
        </w:rPr>
        <w:t xml:space="preserve">Resolución UIT-R 54-3, Ed. 2019. Consultable en: </w:t>
      </w:r>
      <w:hyperlink r:id="rId10" w:history="1">
        <w:r w:rsidRPr="006820B1">
          <w:rPr>
            <w:rStyle w:val="Hipervnculo"/>
            <w:rFonts w:ascii="Arial" w:hAnsi="Arial" w:cs="Arial"/>
            <w:sz w:val="14"/>
            <w:szCs w:val="14"/>
          </w:rPr>
          <w:t>https://www.itu.int/dms_pub/itu-r/opb/res/R-RES-R.54-3-2019-PDF-S.pdf</w:t>
        </w:r>
      </w:hyperlink>
      <w:r w:rsidRPr="006820B1">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C9B7" w14:textId="4409BE5B" w:rsidR="00A80893" w:rsidRDefault="006E45E5">
    <w:pPr>
      <w:pStyle w:val="Encabezado"/>
    </w:pPr>
    <w:r>
      <w:rPr>
        <w:noProof/>
      </w:rPr>
      <w:pict w14:anchorId="1E3A7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3096829" o:spid="_x0000_s2053" type="#_x0000_t136" style="position:absolute;left:0;text-align:left;margin-left:0;margin-top:0;width:530.35pt;height:132.55pt;rotation:315;z-index:-251654143;mso-position-horizontal:center;mso-position-horizontal-relative:margin;mso-position-vertical:center;mso-position-vertical-relative:margin" o:allowincell="f" fillcolor="silver" stroked="f">
          <v:fill opacity=".5"/>
          <v:textpath style="font-family:&quot;Calibri Light&quot;;font-size:1pt" string="Anteproyecto"/>
        </v:shape>
      </w:pict>
    </w:r>
    <w:r w:rsidR="0068251C">
      <w:rPr>
        <w:noProof/>
      </w:rPr>
      <w:pict w14:anchorId="51959252">
        <v:shape id="_x0000_s2050" type="#_x0000_t136" style="position:absolute;left:0;text-align:left;margin-left:0;margin-top:0;width:534.05pt;height:89pt;rotation:315;z-index:-251658239;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2CFA" w14:textId="41E95FC6" w:rsidR="00A80893" w:rsidRDefault="006E45E5" w:rsidP="0019279B">
    <w:pPr>
      <w:pStyle w:val="Encabezado"/>
      <w:jc w:val="both"/>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1pt;margin-top:-115.65pt;width:612pt;height:808pt;z-index:-251651071;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6C23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3096830" o:spid="_x0000_s2054" type="#_x0000_t136" style="position:absolute;left:0;text-align:left;margin-left:0;margin-top:0;width:530.35pt;height:132.55pt;rotation:315;z-index:-251652095;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E155" w14:textId="46E25DD0" w:rsidR="00A80893" w:rsidRDefault="006E45E5">
    <w:pPr>
      <w:pStyle w:val="Encabezado"/>
    </w:pPr>
    <w:r>
      <w:rPr>
        <w:noProof/>
      </w:rPr>
      <w:pict w14:anchorId="73E8D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3096828" o:spid="_x0000_s2052" type="#_x0000_t136" style="position:absolute;left:0;text-align:left;margin-left:0;margin-top:0;width:530.35pt;height:132.55pt;rotation:315;z-index:-251656191;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4FFE"/>
      </v:shape>
    </w:pict>
  </w:numPicBullet>
  <w:abstractNum w:abstractNumId="0" w15:restartNumberingAfterBreak="0">
    <w:nsid w:val="00B726D3"/>
    <w:multiLevelType w:val="hybridMultilevel"/>
    <w:tmpl w:val="50F64532"/>
    <w:lvl w:ilvl="0" w:tplc="080A0019">
      <w:start w:val="1"/>
      <w:numFmt w:val="lowerLetter"/>
      <w:lvlText w:val="%1."/>
      <w:lvlJc w:val="left"/>
      <w:pPr>
        <w:ind w:left="4188" w:hanging="360"/>
      </w:p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 w15:restartNumberingAfterBreak="0">
    <w:nsid w:val="05513701"/>
    <w:multiLevelType w:val="hybridMultilevel"/>
    <w:tmpl w:val="25CC7962"/>
    <w:lvl w:ilvl="0" w:tplc="22D2150C">
      <w:start w:val="1"/>
      <w:numFmt w:val="upperRoman"/>
      <w:lvlText w:val="%1."/>
      <w:lvlJc w:val="right"/>
      <w:pPr>
        <w:ind w:left="720" w:hanging="360"/>
      </w:pPr>
      <w:rPr>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C87246"/>
    <w:multiLevelType w:val="hybridMultilevel"/>
    <w:tmpl w:val="CACEF750"/>
    <w:lvl w:ilvl="0" w:tplc="8110D90C">
      <w:start w:val="1"/>
      <w:numFmt w:val="decimal"/>
      <w:lvlText w:val="(%1)"/>
      <w:lvlJc w:val="left"/>
      <w:pPr>
        <w:ind w:left="2487" w:hanging="360"/>
      </w:pPr>
      <w:rPr>
        <w:rFonts w:hint="default"/>
        <w:sz w:val="22"/>
        <w:szCs w:val="22"/>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3" w15:restartNumberingAfterBreak="0">
    <w:nsid w:val="072B1EAA"/>
    <w:multiLevelType w:val="hybridMultilevel"/>
    <w:tmpl w:val="C70221B6"/>
    <w:lvl w:ilvl="0" w:tplc="90269180">
      <w:start w:val="1"/>
      <w:numFmt w:val="ordinalText"/>
      <w:lvlText w:val="%1.-"/>
      <w:lvlJc w:val="left"/>
      <w:pPr>
        <w:ind w:left="2345" w:hanging="360"/>
      </w:pPr>
      <w:rPr>
        <w:rFonts w:hint="default"/>
        <w:b/>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129634E1"/>
    <w:multiLevelType w:val="hybridMultilevel"/>
    <w:tmpl w:val="CF163448"/>
    <w:lvl w:ilvl="0" w:tplc="9042B6C4">
      <w:start w:val="2"/>
      <w:numFmt w:val="ordinalText"/>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53D22"/>
    <w:multiLevelType w:val="hybridMultilevel"/>
    <w:tmpl w:val="075A50A0"/>
    <w:lvl w:ilvl="0" w:tplc="B3821968">
      <w:start w:val="5"/>
      <w:numFmt w:val="lowerLetter"/>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A0206"/>
    <w:multiLevelType w:val="hybridMultilevel"/>
    <w:tmpl w:val="FF40C890"/>
    <w:lvl w:ilvl="0" w:tplc="76A2B2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7AD7B7E"/>
    <w:multiLevelType w:val="hybridMultilevel"/>
    <w:tmpl w:val="B628BBC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22BB0"/>
    <w:multiLevelType w:val="hybridMultilevel"/>
    <w:tmpl w:val="FB720750"/>
    <w:lvl w:ilvl="0" w:tplc="4DBED92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C214E"/>
    <w:multiLevelType w:val="hybridMultilevel"/>
    <w:tmpl w:val="A0E038C0"/>
    <w:lvl w:ilvl="0" w:tplc="347858FC">
      <w:start w:val="1"/>
      <w:numFmt w:val="ordinalText"/>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B69F5"/>
    <w:multiLevelType w:val="hybridMultilevel"/>
    <w:tmpl w:val="37D686A6"/>
    <w:lvl w:ilvl="0" w:tplc="6054F768">
      <w:start w:val="1"/>
      <w:numFmt w:val="ordinal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D1918"/>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F473E"/>
    <w:multiLevelType w:val="hybridMultilevel"/>
    <w:tmpl w:val="E4CAB178"/>
    <w:lvl w:ilvl="0" w:tplc="21307D86">
      <w:start w:val="1"/>
      <w:numFmt w:val="ordinalText"/>
      <w:pStyle w:val="Ttulo3"/>
      <w:lvlText w:val="%1.-"/>
      <w:lvlJc w:val="left"/>
      <w:pPr>
        <w:ind w:left="786" w:hanging="360"/>
      </w:pPr>
      <w:rPr>
        <w:rFonts w:ascii="Arial" w:hAnsi="Arial" w:cs="Arial" w:hint="default"/>
        <w:b/>
        <w:i w:val="0"/>
        <w:caps w:val="0"/>
        <w:sz w:val="22"/>
        <w:szCs w:val="22"/>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2F4368A6"/>
    <w:multiLevelType w:val="hybridMultilevel"/>
    <w:tmpl w:val="F1E8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C10B1C"/>
    <w:multiLevelType w:val="hybridMultilevel"/>
    <w:tmpl w:val="A22E6DF4"/>
    <w:lvl w:ilvl="0" w:tplc="301E6B44">
      <w:start w:val="3"/>
      <w:numFmt w:val="lowerLetter"/>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6" w15:restartNumberingAfterBreak="0">
    <w:nsid w:val="35163D8C"/>
    <w:multiLevelType w:val="hybridMultilevel"/>
    <w:tmpl w:val="D7B8345E"/>
    <w:lvl w:ilvl="0" w:tplc="55ECBD9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39D84433"/>
    <w:multiLevelType w:val="multilevel"/>
    <w:tmpl w:val="37E6ED80"/>
    <w:lvl w:ilvl="0">
      <w:start w:val="2"/>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C7E6F5A"/>
    <w:multiLevelType w:val="hybridMultilevel"/>
    <w:tmpl w:val="C1F43D14"/>
    <w:lvl w:ilvl="0" w:tplc="080A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352E9"/>
    <w:multiLevelType w:val="hybridMultilevel"/>
    <w:tmpl w:val="1A6A99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1"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90B77"/>
    <w:multiLevelType w:val="multilevel"/>
    <w:tmpl w:val="9D52BE3C"/>
    <w:lvl w:ilvl="0">
      <w:start w:val="1"/>
      <w:numFmt w:val="decimal"/>
      <w:lvlText w:val="%1."/>
      <w:lvlJc w:val="left"/>
      <w:pPr>
        <w:ind w:left="720" w:hanging="360"/>
      </w:pPr>
      <w:rPr>
        <w:b/>
      </w:rPr>
    </w:lvl>
    <w:lvl w:ilvl="1">
      <w:start w:val="1"/>
      <w:numFmt w:val="decimal"/>
      <w:isLgl/>
      <w:lvlText w:val="%1.%2."/>
      <w:lvlJc w:val="left"/>
      <w:pPr>
        <w:ind w:left="1428" w:hanging="720"/>
      </w:pPr>
      <w:rPr>
        <w:rFonts w:eastAsiaTheme="minorHAnsi" w:hint="default"/>
        <w:b/>
        <w:color w:val="000000" w:themeColor="text1"/>
      </w:rPr>
    </w:lvl>
    <w:lvl w:ilvl="2">
      <w:start w:val="1"/>
      <w:numFmt w:val="decimal"/>
      <w:isLgl/>
      <w:lvlText w:val="%1.%2.%3."/>
      <w:lvlJc w:val="left"/>
      <w:pPr>
        <w:ind w:left="1776" w:hanging="720"/>
      </w:pPr>
      <w:rPr>
        <w:rFonts w:eastAsiaTheme="minorHAnsi" w:hint="default"/>
        <w:b w:val="0"/>
        <w:color w:val="000000" w:themeColor="text1"/>
      </w:rPr>
    </w:lvl>
    <w:lvl w:ilvl="3">
      <w:start w:val="1"/>
      <w:numFmt w:val="decimal"/>
      <w:isLgl/>
      <w:lvlText w:val="%1.%2.%3.%4."/>
      <w:lvlJc w:val="left"/>
      <w:pPr>
        <w:ind w:left="2484" w:hanging="1080"/>
      </w:pPr>
      <w:rPr>
        <w:rFonts w:eastAsiaTheme="minorHAnsi" w:hint="default"/>
        <w:b w:val="0"/>
        <w:color w:val="000000" w:themeColor="text1"/>
      </w:rPr>
    </w:lvl>
    <w:lvl w:ilvl="4">
      <w:start w:val="1"/>
      <w:numFmt w:val="decimal"/>
      <w:isLgl/>
      <w:lvlText w:val="%1.%2.%3.%4.%5."/>
      <w:lvlJc w:val="left"/>
      <w:pPr>
        <w:ind w:left="2832" w:hanging="1080"/>
      </w:pPr>
      <w:rPr>
        <w:rFonts w:eastAsiaTheme="minorHAnsi" w:hint="default"/>
        <w:b w:val="0"/>
        <w:color w:val="000000" w:themeColor="text1"/>
      </w:rPr>
    </w:lvl>
    <w:lvl w:ilvl="5">
      <w:start w:val="1"/>
      <w:numFmt w:val="decimal"/>
      <w:isLgl/>
      <w:lvlText w:val="%1.%2.%3.%4.%5.%6."/>
      <w:lvlJc w:val="left"/>
      <w:pPr>
        <w:ind w:left="3540" w:hanging="1440"/>
      </w:pPr>
      <w:rPr>
        <w:rFonts w:eastAsiaTheme="minorHAnsi" w:hint="default"/>
        <w:b w:val="0"/>
        <w:color w:val="000000" w:themeColor="text1"/>
      </w:rPr>
    </w:lvl>
    <w:lvl w:ilvl="6">
      <w:start w:val="1"/>
      <w:numFmt w:val="decimal"/>
      <w:isLgl/>
      <w:lvlText w:val="%1.%2.%3.%4.%5.%6.%7."/>
      <w:lvlJc w:val="left"/>
      <w:pPr>
        <w:ind w:left="3888" w:hanging="1440"/>
      </w:pPr>
      <w:rPr>
        <w:rFonts w:eastAsiaTheme="minorHAnsi" w:hint="default"/>
        <w:b w:val="0"/>
        <w:color w:val="000000" w:themeColor="text1"/>
      </w:rPr>
    </w:lvl>
    <w:lvl w:ilvl="7">
      <w:start w:val="1"/>
      <w:numFmt w:val="decimal"/>
      <w:isLgl/>
      <w:lvlText w:val="%1.%2.%3.%4.%5.%6.%7.%8."/>
      <w:lvlJc w:val="left"/>
      <w:pPr>
        <w:ind w:left="4596" w:hanging="1800"/>
      </w:pPr>
      <w:rPr>
        <w:rFonts w:eastAsiaTheme="minorHAnsi" w:hint="default"/>
        <w:b w:val="0"/>
        <w:color w:val="000000" w:themeColor="text1"/>
      </w:rPr>
    </w:lvl>
    <w:lvl w:ilvl="8">
      <w:start w:val="1"/>
      <w:numFmt w:val="decimal"/>
      <w:isLgl/>
      <w:lvlText w:val="%1.%2.%3.%4.%5.%6.%7.%8.%9."/>
      <w:lvlJc w:val="left"/>
      <w:pPr>
        <w:ind w:left="4944" w:hanging="1800"/>
      </w:pPr>
      <w:rPr>
        <w:rFonts w:eastAsiaTheme="minorHAnsi" w:hint="default"/>
        <w:b w:val="0"/>
        <w:color w:val="000000" w:themeColor="text1"/>
      </w:rPr>
    </w:lvl>
  </w:abstractNum>
  <w:abstractNum w:abstractNumId="23" w15:restartNumberingAfterBreak="0">
    <w:nsid w:val="47B81001"/>
    <w:multiLevelType w:val="hybridMultilevel"/>
    <w:tmpl w:val="C1F43D14"/>
    <w:lvl w:ilvl="0" w:tplc="080A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61D25"/>
    <w:multiLevelType w:val="hybridMultilevel"/>
    <w:tmpl w:val="7A601C06"/>
    <w:lvl w:ilvl="0" w:tplc="5750190C">
      <w:start w:val="1"/>
      <w:numFmt w:val="ordinalText"/>
      <w:lvlText w:val="%1."/>
      <w:lvlJc w:val="left"/>
      <w:pPr>
        <w:ind w:left="3479" w:hanging="360"/>
      </w:pPr>
      <w:rPr>
        <w:rFonts w:hint="default"/>
        <w:b/>
        <w:cap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FD6645"/>
    <w:multiLevelType w:val="hybridMultilevel"/>
    <w:tmpl w:val="47A8512A"/>
    <w:lvl w:ilvl="0" w:tplc="7CD0C972">
      <w:start w:val="4"/>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1C1A9A"/>
    <w:multiLevelType w:val="hybridMultilevel"/>
    <w:tmpl w:val="07AA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B93BD1"/>
    <w:multiLevelType w:val="hybridMultilevel"/>
    <w:tmpl w:val="05444094"/>
    <w:lvl w:ilvl="0" w:tplc="6054F768">
      <w:start w:val="1"/>
      <w:numFmt w:val="ordinalText"/>
      <w:lvlText w:val="%1.-"/>
      <w:lvlJc w:val="left"/>
      <w:pPr>
        <w:ind w:left="502" w:hanging="360"/>
      </w:pPr>
      <w:rPr>
        <w:rFonts w:hint="default"/>
        <w:b/>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28" w15:restartNumberingAfterBreak="0">
    <w:nsid w:val="52C930B5"/>
    <w:multiLevelType w:val="hybridMultilevel"/>
    <w:tmpl w:val="F9142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B45838"/>
    <w:multiLevelType w:val="hybridMultilevel"/>
    <w:tmpl w:val="481822A8"/>
    <w:lvl w:ilvl="0" w:tplc="347858FC">
      <w:start w:val="1"/>
      <w:numFmt w:val="ordinalText"/>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775BC2"/>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232571"/>
    <w:multiLevelType w:val="hybridMultilevel"/>
    <w:tmpl w:val="2C10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2C5129"/>
    <w:multiLevelType w:val="hybridMultilevel"/>
    <w:tmpl w:val="EC18EE54"/>
    <w:lvl w:ilvl="0" w:tplc="B540FA44">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611775"/>
    <w:multiLevelType w:val="hybridMultilevel"/>
    <w:tmpl w:val="62305E6A"/>
    <w:lvl w:ilvl="0" w:tplc="90269180">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BE79FA"/>
    <w:multiLevelType w:val="hybridMultilevel"/>
    <w:tmpl w:val="5FAA6212"/>
    <w:lvl w:ilvl="0" w:tplc="0A34DF36">
      <w:start w:val="3"/>
      <w:numFmt w:val="decimal"/>
      <w:lvlText w:val="(%1)"/>
      <w:lvlJc w:val="left"/>
      <w:pPr>
        <w:ind w:left="2487"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863BA2"/>
    <w:multiLevelType w:val="hybridMultilevel"/>
    <w:tmpl w:val="E36AE254"/>
    <w:lvl w:ilvl="0" w:tplc="90269180">
      <w:start w:val="1"/>
      <w:numFmt w:val="ordinal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B79B4"/>
    <w:multiLevelType w:val="hybridMultilevel"/>
    <w:tmpl w:val="31723B5A"/>
    <w:lvl w:ilvl="0" w:tplc="6054F768">
      <w:start w:val="1"/>
      <w:numFmt w:val="ordinalText"/>
      <w:lvlText w:val="%1.-"/>
      <w:lvlJc w:val="left"/>
      <w:pPr>
        <w:ind w:left="786" w:hanging="360"/>
      </w:pPr>
      <w:rPr>
        <w:rFonts w:hint="default"/>
        <w:b/>
      </w:rPr>
    </w:lvl>
    <w:lvl w:ilvl="1" w:tplc="51FA5882">
      <w:start w:val="1"/>
      <w:numFmt w:val="lowerLetter"/>
      <w:lvlText w:val="%2)"/>
      <w:lvlJc w:val="left"/>
      <w:pPr>
        <w:ind w:left="-763" w:hanging="567"/>
      </w:pPr>
      <w:rPr>
        <w:rFonts w:hint="default"/>
      </w:rPr>
    </w:lvl>
    <w:lvl w:ilvl="2" w:tplc="080A001B" w:tentative="1">
      <w:start w:val="1"/>
      <w:numFmt w:val="lowerRoman"/>
      <w:lvlText w:val="%3."/>
      <w:lvlJc w:val="right"/>
      <w:pPr>
        <w:ind w:left="-250" w:hanging="180"/>
      </w:pPr>
    </w:lvl>
    <w:lvl w:ilvl="3" w:tplc="080A000F" w:tentative="1">
      <w:start w:val="1"/>
      <w:numFmt w:val="decimal"/>
      <w:lvlText w:val="%4."/>
      <w:lvlJc w:val="left"/>
      <w:pPr>
        <w:ind w:left="470" w:hanging="360"/>
      </w:pPr>
    </w:lvl>
    <w:lvl w:ilvl="4" w:tplc="080A0019" w:tentative="1">
      <w:start w:val="1"/>
      <w:numFmt w:val="lowerLetter"/>
      <w:lvlText w:val="%5."/>
      <w:lvlJc w:val="left"/>
      <w:pPr>
        <w:ind w:left="1190" w:hanging="360"/>
      </w:pPr>
    </w:lvl>
    <w:lvl w:ilvl="5" w:tplc="080A001B" w:tentative="1">
      <w:start w:val="1"/>
      <w:numFmt w:val="lowerRoman"/>
      <w:lvlText w:val="%6."/>
      <w:lvlJc w:val="right"/>
      <w:pPr>
        <w:ind w:left="1910" w:hanging="180"/>
      </w:pPr>
    </w:lvl>
    <w:lvl w:ilvl="6" w:tplc="080A000F" w:tentative="1">
      <w:start w:val="1"/>
      <w:numFmt w:val="decimal"/>
      <w:lvlText w:val="%7."/>
      <w:lvlJc w:val="left"/>
      <w:pPr>
        <w:ind w:left="2630" w:hanging="360"/>
      </w:pPr>
    </w:lvl>
    <w:lvl w:ilvl="7" w:tplc="080A0019" w:tentative="1">
      <w:start w:val="1"/>
      <w:numFmt w:val="lowerLetter"/>
      <w:lvlText w:val="%8."/>
      <w:lvlJc w:val="left"/>
      <w:pPr>
        <w:ind w:left="3350" w:hanging="360"/>
      </w:pPr>
    </w:lvl>
    <w:lvl w:ilvl="8" w:tplc="080A001B" w:tentative="1">
      <w:start w:val="1"/>
      <w:numFmt w:val="lowerRoman"/>
      <w:lvlText w:val="%9."/>
      <w:lvlJc w:val="right"/>
      <w:pPr>
        <w:ind w:left="4070" w:hanging="180"/>
      </w:pPr>
    </w:lvl>
  </w:abstractNum>
  <w:abstractNum w:abstractNumId="38"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6CC7565D"/>
    <w:multiLevelType w:val="hybridMultilevel"/>
    <w:tmpl w:val="C93CA3B8"/>
    <w:lvl w:ilvl="0" w:tplc="6054F768">
      <w:start w:val="1"/>
      <w:numFmt w:val="ordinal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1A40A5"/>
    <w:multiLevelType w:val="hybridMultilevel"/>
    <w:tmpl w:val="DAEE8658"/>
    <w:lvl w:ilvl="0" w:tplc="6054F768">
      <w:start w:val="1"/>
      <w:numFmt w:val="ordinalText"/>
      <w:lvlText w:val="%1.-"/>
      <w:lvlJc w:val="left"/>
      <w:pPr>
        <w:ind w:left="5682"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3A6828"/>
    <w:multiLevelType w:val="hybridMultilevel"/>
    <w:tmpl w:val="DB4A435A"/>
    <w:lvl w:ilvl="0" w:tplc="5930F0F0">
      <w:start w:val="1"/>
      <w:numFmt w:val="ordinalText"/>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5A3EDB"/>
    <w:multiLevelType w:val="hybridMultilevel"/>
    <w:tmpl w:val="14AC7E70"/>
    <w:lvl w:ilvl="0" w:tplc="080A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E01A51"/>
    <w:multiLevelType w:val="multilevel"/>
    <w:tmpl w:val="9698E40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CD1C48"/>
    <w:multiLevelType w:val="hybridMultilevel"/>
    <w:tmpl w:val="EC18EE54"/>
    <w:lvl w:ilvl="0" w:tplc="B540FA44">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3E0675"/>
    <w:multiLevelType w:val="multilevel"/>
    <w:tmpl w:val="4EF224CC"/>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46" w15:restartNumberingAfterBreak="0">
    <w:nsid w:val="7AD75FC0"/>
    <w:multiLevelType w:val="hybridMultilevel"/>
    <w:tmpl w:val="2EEEB8E6"/>
    <w:lvl w:ilvl="0" w:tplc="C4D82402">
      <w:start w:val="1"/>
      <w:numFmt w:val="decimal"/>
      <w:lvlText w:val="%1."/>
      <w:lvlJc w:val="left"/>
      <w:pPr>
        <w:ind w:left="720" w:hanging="360"/>
      </w:pPr>
      <w:rPr>
        <w:rFonts w:ascii="ITC Avant Garde" w:eastAsiaTheme="minorEastAsia" w:hAnsi="ITC Avant Garde"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8D042D"/>
    <w:multiLevelType w:val="hybridMultilevel"/>
    <w:tmpl w:val="D7A2E336"/>
    <w:lvl w:ilvl="0" w:tplc="080A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6"/>
  </w:num>
  <w:num w:numId="3">
    <w:abstractNumId w:val="20"/>
  </w:num>
  <w:num w:numId="4">
    <w:abstractNumId w:val="13"/>
  </w:num>
  <w:num w:numId="5">
    <w:abstractNumId w:val="31"/>
  </w:num>
  <w:num w:numId="6">
    <w:abstractNumId w:val="21"/>
  </w:num>
  <w:num w:numId="7">
    <w:abstractNumId w:val="17"/>
  </w:num>
  <w:num w:numId="8">
    <w:abstractNumId w:val="16"/>
  </w:num>
  <w:num w:numId="9">
    <w:abstractNumId w:val="45"/>
  </w:num>
  <w:num w:numId="10">
    <w:abstractNumId w:val="34"/>
  </w:num>
  <w:num w:numId="11">
    <w:abstractNumId w:val="12"/>
  </w:num>
  <w:num w:numId="12">
    <w:abstractNumId w:val="12"/>
  </w:num>
  <w:num w:numId="13">
    <w:abstractNumId w:val="12"/>
  </w:num>
  <w:num w:numId="14">
    <w:abstractNumId w:val="12"/>
  </w:num>
  <w:num w:numId="15">
    <w:abstractNumId w:val="12"/>
    <w:lvlOverride w:ilvl="0">
      <w:startOverride w:val="1"/>
    </w:lvlOverride>
  </w:num>
  <w:num w:numId="16">
    <w:abstractNumId w:val="12"/>
  </w:num>
  <w:num w:numId="17">
    <w:abstractNumId w:val="12"/>
  </w:num>
  <w:num w:numId="18">
    <w:abstractNumId w:val="0"/>
  </w:num>
  <w:num w:numId="19">
    <w:abstractNumId w:val="33"/>
  </w:num>
  <w:num w:numId="20">
    <w:abstractNumId w:val="43"/>
  </w:num>
  <w:num w:numId="21">
    <w:abstractNumId w:val="2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1"/>
  </w:num>
  <w:num w:numId="30">
    <w:abstractNumId w:val="40"/>
  </w:num>
  <w:num w:numId="31">
    <w:abstractNumId w:val="37"/>
  </w:num>
  <w:num w:numId="32">
    <w:abstractNumId w:val="7"/>
  </w:num>
  <w:num w:numId="33">
    <w:abstractNumId w:val="27"/>
  </w:num>
  <w:num w:numId="34">
    <w:abstractNumId w:val="39"/>
  </w:num>
  <w:num w:numId="35">
    <w:abstractNumId w:val="36"/>
  </w:num>
  <w:num w:numId="36">
    <w:abstractNumId w:val="3"/>
  </w:num>
  <w:num w:numId="37">
    <w:abstractNumId w:val="19"/>
  </w:num>
  <w:num w:numId="38">
    <w:abstractNumId w:val="42"/>
  </w:num>
  <w:num w:numId="39">
    <w:abstractNumId w:val="41"/>
  </w:num>
  <w:num w:numId="40">
    <w:abstractNumId w:val="38"/>
  </w:num>
  <w:num w:numId="41">
    <w:abstractNumId w:val="30"/>
  </w:num>
  <w:num w:numId="42">
    <w:abstractNumId w:val="15"/>
  </w:num>
  <w:num w:numId="43">
    <w:abstractNumId w:val="24"/>
  </w:num>
  <w:num w:numId="44">
    <w:abstractNumId w:val="8"/>
  </w:num>
  <w:num w:numId="45">
    <w:abstractNumId w:val="47"/>
  </w:num>
  <w:num w:numId="46">
    <w:abstractNumId w:val="44"/>
  </w:num>
  <w:num w:numId="47">
    <w:abstractNumId w:val="26"/>
  </w:num>
  <w:num w:numId="48">
    <w:abstractNumId w:val="10"/>
  </w:num>
  <w:num w:numId="49">
    <w:abstractNumId w:val="9"/>
  </w:num>
  <w:num w:numId="50">
    <w:abstractNumId w:val="29"/>
  </w:num>
  <w:num w:numId="51">
    <w:abstractNumId w:val="4"/>
  </w:num>
  <w:num w:numId="52">
    <w:abstractNumId w:val="25"/>
  </w:num>
  <w:num w:numId="53">
    <w:abstractNumId w:val="28"/>
  </w:num>
  <w:num w:numId="54">
    <w:abstractNumId w:val="6"/>
  </w:num>
  <w:num w:numId="55">
    <w:abstractNumId w:val="2"/>
  </w:num>
  <w:num w:numId="56">
    <w:abstractNumId w:val="14"/>
  </w:num>
  <w:num w:numId="57">
    <w:abstractNumId w:val="35"/>
  </w:num>
  <w:num w:numId="58">
    <w:abstractNumId w:val="5"/>
  </w:num>
  <w:num w:numId="59">
    <w:abstractNumId w:val="32"/>
  </w:num>
  <w:num w:numId="60">
    <w:abstractNumId w:val="18"/>
  </w:num>
  <w:num w:numId="61">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EF"/>
    <w:rsid w:val="0000057B"/>
    <w:rsid w:val="00000D8F"/>
    <w:rsid w:val="00002C80"/>
    <w:rsid w:val="00005A28"/>
    <w:rsid w:val="000078E7"/>
    <w:rsid w:val="00011139"/>
    <w:rsid w:val="00011BBF"/>
    <w:rsid w:val="00017898"/>
    <w:rsid w:val="00024E50"/>
    <w:rsid w:val="0002504E"/>
    <w:rsid w:val="00026C4B"/>
    <w:rsid w:val="00033806"/>
    <w:rsid w:val="00033C0A"/>
    <w:rsid w:val="00035562"/>
    <w:rsid w:val="00036F64"/>
    <w:rsid w:val="0003745B"/>
    <w:rsid w:val="000378ED"/>
    <w:rsid w:val="00041164"/>
    <w:rsid w:val="00042044"/>
    <w:rsid w:val="0004384F"/>
    <w:rsid w:val="00050BAD"/>
    <w:rsid w:val="0005374F"/>
    <w:rsid w:val="000573B1"/>
    <w:rsid w:val="000612C7"/>
    <w:rsid w:val="00061DC8"/>
    <w:rsid w:val="000641C8"/>
    <w:rsid w:val="0006560C"/>
    <w:rsid w:val="00065A7C"/>
    <w:rsid w:val="00066496"/>
    <w:rsid w:val="000671D6"/>
    <w:rsid w:val="00067BBE"/>
    <w:rsid w:val="00070200"/>
    <w:rsid w:val="0007174F"/>
    <w:rsid w:val="00073DDE"/>
    <w:rsid w:val="000756BC"/>
    <w:rsid w:val="00081265"/>
    <w:rsid w:val="00083543"/>
    <w:rsid w:val="00084614"/>
    <w:rsid w:val="0008671B"/>
    <w:rsid w:val="0009680E"/>
    <w:rsid w:val="0009786B"/>
    <w:rsid w:val="00097DB6"/>
    <w:rsid w:val="000A0856"/>
    <w:rsid w:val="000A0D7F"/>
    <w:rsid w:val="000A0E28"/>
    <w:rsid w:val="000A142C"/>
    <w:rsid w:val="000A1B55"/>
    <w:rsid w:val="000A6640"/>
    <w:rsid w:val="000A683B"/>
    <w:rsid w:val="000A77DC"/>
    <w:rsid w:val="000A7A88"/>
    <w:rsid w:val="000B3030"/>
    <w:rsid w:val="000B425C"/>
    <w:rsid w:val="000C012C"/>
    <w:rsid w:val="000C0A24"/>
    <w:rsid w:val="000C2694"/>
    <w:rsid w:val="000C56A4"/>
    <w:rsid w:val="000C6D24"/>
    <w:rsid w:val="000D030A"/>
    <w:rsid w:val="000D23D1"/>
    <w:rsid w:val="000D3491"/>
    <w:rsid w:val="000D77CF"/>
    <w:rsid w:val="000E0CB5"/>
    <w:rsid w:val="000E3983"/>
    <w:rsid w:val="000E3DBA"/>
    <w:rsid w:val="000E6A27"/>
    <w:rsid w:val="000F0243"/>
    <w:rsid w:val="000F5252"/>
    <w:rsid w:val="000F553C"/>
    <w:rsid w:val="000F5923"/>
    <w:rsid w:val="000F737B"/>
    <w:rsid w:val="00101592"/>
    <w:rsid w:val="00104658"/>
    <w:rsid w:val="001075D8"/>
    <w:rsid w:val="00110A58"/>
    <w:rsid w:val="00112C5A"/>
    <w:rsid w:val="00113192"/>
    <w:rsid w:val="00113A0B"/>
    <w:rsid w:val="001152FF"/>
    <w:rsid w:val="001155E3"/>
    <w:rsid w:val="00115C6D"/>
    <w:rsid w:val="00121BD1"/>
    <w:rsid w:val="0012281F"/>
    <w:rsid w:val="00122A79"/>
    <w:rsid w:val="001240C0"/>
    <w:rsid w:val="00124A3C"/>
    <w:rsid w:val="00124ABF"/>
    <w:rsid w:val="001254C1"/>
    <w:rsid w:val="00126A24"/>
    <w:rsid w:val="001301BC"/>
    <w:rsid w:val="00130616"/>
    <w:rsid w:val="00132C26"/>
    <w:rsid w:val="001348E8"/>
    <w:rsid w:val="00135DD8"/>
    <w:rsid w:val="00141E08"/>
    <w:rsid w:val="001449C8"/>
    <w:rsid w:val="0015024B"/>
    <w:rsid w:val="0015075A"/>
    <w:rsid w:val="0015287E"/>
    <w:rsid w:val="00154594"/>
    <w:rsid w:val="001545D9"/>
    <w:rsid w:val="00160B32"/>
    <w:rsid w:val="001616F3"/>
    <w:rsid w:val="00162588"/>
    <w:rsid w:val="00163776"/>
    <w:rsid w:val="001638A8"/>
    <w:rsid w:val="00170F15"/>
    <w:rsid w:val="00173E0F"/>
    <w:rsid w:val="00174CEF"/>
    <w:rsid w:val="00175B47"/>
    <w:rsid w:val="001837A4"/>
    <w:rsid w:val="00183996"/>
    <w:rsid w:val="001858EA"/>
    <w:rsid w:val="001921BF"/>
    <w:rsid w:val="00192345"/>
    <w:rsid w:val="0019279B"/>
    <w:rsid w:val="00193540"/>
    <w:rsid w:val="001945E1"/>
    <w:rsid w:val="00194795"/>
    <w:rsid w:val="001966E4"/>
    <w:rsid w:val="00196E2D"/>
    <w:rsid w:val="001A0826"/>
    <w:rsid w:val="001A0D2E"/>
    <w:rsid w:val="001A203F"/>
    <w:rsid w:val="001A27C6"/>
    <w:rsid w:val="001A3048"/>
    <w:rsid w:val="001A6DDB"/>
    <w:rsid w:val="001B0B49"/>
    <w:rsid w:val="001B1B99"/>
    <w:rsid w:val="001B1E4C"/>
    <w:rsid w:val="001B2944"/>
    <w:rsid w:val="001B4000"/>
    <w:rsid w:val="001B4142"/>
    <w:rsid w:val="001C16C9"/>
    <w:rsid w:val="001C3448"/>
    <w:rsid w:val="001C3559"/>
    <w:rsid w:val="001C423C"/>
    <w:rsid w:val="001C49E3"/>
    <w:rsid w:val="001C49EF"/>
    <w:rsid w:val="001C4AF3"/>
    <w:rsid w:val="001D2353"/>
    <w:rsid w:val="001D4A83"/>
    <w:rsid w:val="001D4F3E"/>
    <w:rsid w:val="001D52C6"/>
    <w:rsid w:val="001D6479"/>
    <w:rsid w:val="001E18EE"/>
    <w:rsid w:val="001E607A"/>
    <w:rsid w:val="001E70C0"/>
    <w:rsid w:val="001F075D"/>
    <w:rsid w:val="001F24F4"/>
    <w:rsid w:val="001F2529"/>
    <w:rsid w:val="001F4E72"/>
    <w:rsid w:val="001F52E7"/>
    <w:rsid w:val="001F58F1"/>
    <w:rsid w:val="001F5C73"/>
    <w:rsid w:val="00201ABD"/>
    <w:rsid w:val="00211DAB"/>
    <w:rsid w:val="00216573"/>
    <w:rsid w:val="0021680D"/>
    <w:rsid w:val="0022009E"/>
    <w:rsid w:val="002200E4"/>
    <w:rsid w:val="00220A69"/>
    <w:rsid w:val="00222456"/>
    <w:rsid w:val="0022363E"/>
    <w:rsid w:val="00226CD6"/>
    <w:rsid w:val="00230C45"/>
    <w:rsid w:val="00232752"/>
    <w:rsid w:val="00234143"/>
    <w:rsid w:val="00236495"/>
    <w:rsid w:val="00236E5B"/>
    <w:rsid w:val="00237795"/>
    <w:rsid w:val="002410B4"/>
    <w:rsid w:val="0024336B"/>
    <w:rsid w:val="00243BF7"/>
    <w:rsid w:val="00243DD1"/>
    <w:rsid w:val="00247503"/>
    <w:rsid w:val="00250B23"/>
    <w:rsid w:val="00254FEE"/>
    <w:rsid w:val="00256282"/>
    <w:rsid w:val="00256664"/>
    <w:rsid w:val="00256C72"/>
    <w:rsid w:val="00256EF5"/>
    <w:rsid w:val="00260455"/>
    <w:rsid w:val="00260E60"/>
    <w:rsid w:val="00262C35"/>
    <w:rsid w:val="0026388B"/>
    <w:rsid w:val="00264A0C"/>
    <w:rsid w:val="002667F9"/>
    <w:rsid w:val="00267C32"/>
    <w:rsid w:val="00267D6B"/>
    <w:rsid w:val="002703E5"/>
    <w:rsid w:val="00271CAE"/>
    <w:rsid w:val="00275D1D"/>
    <w:rsid w:val="0027604C"/>
    <w:rsid w:val="002773C7"/>
    <w:rsid w:val="002807E5"/>
    <w:rsid w:val="002839CD"/>
    <w:rsid w:val="00292552"/>
    <w:rsid w:val="0029285F"/>
    <w:rsid w:val="00296187"/>
    <w:rsid w:val="00296A06"/>
    <w:rsid w:val="00296A8C"/>
    <w:rsid w:val="00296B68"/>
    <w:rsid w:val="002A2816"/>
    <w:rsid w:val="002A7664"/>
    <w:rsid w:val="002A7C09"/>
    <w:rsid w:val="002B570D"/>
    <w:rsid w:val="002C392F"/>
    <w:rsid w:val="002C4073"/>
    <w:rsid w:val="002C61A5"/>
    <w:rsid w:val="002C724D"/>
    <w:rsid w:val="002D31A2"/>
    <w:rsid w:val="002D4CE4"/>
    <w:rsid w:val="002D50EF"/>
    <w:rsid w:val="002D6C04"/>
    <w:rsid w:val="002D6E3D"/>
    <w:rsid w:val="002E1352"/>
    <w:rsid w:val="002E4E30"/>
    <w:rsid w:val="002F1FF0"/>
    <w:rsid w:val="002F2355"/>
    <w:rsid w:val="002F2553"/>
    <w:rsid w:val="002F2658"/>
    <w:rsid w:val="002F2FBF"/>
    <w:rsid w:val="002F4897"/>
    <w:rsid w:val="002F5085"/>
    <w:rsid w:val="002F5A21"/>
    <w:rsid w:val="002F64CD"/>
    <w:rsid w:val="00302282"/>
    <w:rsid w:val="003055AC"/>
    <w:rsid w:val="003061D8"/>
    <w:rsid w:val="00306AB2"/>
    <w:rsid w:val="00307538"/>
    <w:rsid w:val="00307B2F"/>
    <w:rsid w:val="003131FF"/>
    <w:rsid w:val="0031537E"/>
    <w:rsid w:val="003153BD"/>
    <w:rsid w:val="00316254"/>
    <w:rsid w:val="00316A84"/>
    <w:rsid w:val="00316DC0"/>
    <w:rsid w:val="0032112C"/>
    <w:rsid w:val="00323F81"/>
    <w:rsid w:val="00325E76"/>
    <w:rsid w:val="00326669"/>
    <w:rsid w:val="003267A3"/>
    <w:rsid w:val="00331AA8"/>
    <w:rsid w:val="00332381"/>
    <w:rsid w:val="00332562"/>
    <w:rsid w:val="003325A8"/>
    <w:rsid w:val="00334EF0"/>
    <w:rsid w:val="00336855"/>
    <w:rsid w:val="00337E55"/>
    <w:rsid w:val="003400ED"/>
    <w:rsid w:val="00340A9B"/>
    <w:rsid w:val="00341A62"/>
    <w:rsid w:val="00343624"/>
    <w:rsid w:val="003473D1"/>
    <w:rsid w:val="0035158E"/>
    <w:rsid w:val="00351EBE"/>
    <w:rsid w:val="00353E54"/>
    <w:rsid w:val="003552D1"/>
    <w:rsid w:val="00357496"/>
    <w:rsid w:val="00360AAC"/>
    <w:rsid w:val="00360F07"/>
    <w:rsid w:val="00362155"/>
    <w:rsid w:val="0036556C"/>
    <w:rsid w:val="0036753D"/>
    <w:rsid w:val="003708DE"/>
    <w:rsid w:val="00371B3F"/>
    <w:rsid w:val="00374354"/>
    <w:rsid w:val="00377609"/>
    <w:rsid w:val="0038391C"/>
    <w:rsid w:val="0038502C"/>
    <w:rsid w:val="003925C5"/>
    <w:rsid w:val="003928E7"/>
    <w:rsid w:val="00393D30"/>
    <w:rsid w:val="00397A89"/>
    <w:rsid w:val="003A0537"/>
    <w:rsid w:val="003A4B56"/>
    <w:rsid w:val="003A6136"/>
    <w:rsid w:val="003B0A08"/>
    <w:rsid w:val="003B2CDE"/>
    <w:rsid w:val="003B2DA2"/>
    <w:rsid w:val="003B65F4"/>
    <w:rsid w:val="003B66E6"/>
    <w:rsid w:val="003C4830"/>
    <w:rsid w:val="003D678A"/>
    <w:rsid w:val="003D6897"/>
    <w:rsid w:val="003D7725"/>
    <w:rsid w:val="003E2257"/>
    <w:rsid w:val="003E7A14"/>
    <w:rsid w:val="003F1A1A"/>
    <w:rsid w:val="003F5488"/>
    <w:rsid w:val="003F7399"/>
    <w:rsid w:val="003F75F1"/>
    <w:rsid w:val="00400F1D"/>
    <w:rsid w:val="004033B6"/>
    <w:rsid w:val="00404711"/>
    <w:rsid w:val="004051B4"/>
    <w:rsid w:val="00407E73"/>
    <w:rsid w:val="004108F0"/>
    <w:rsid w:val="00410C58"/>
    <w:rsid w:val="004168A8"/>
    <w:rsid w:val="00416998"/>
    <w:rsid w:val="00416E48"/>
    <w:rsid w:val="00417565"/>
    <w:rsid w:val="004213C7"/>
    <w:rsid w:val="00422EEE"/>
    <w:rsid w:val="00423D0B"/>
    <w:rsid w:val="00424448"/>
    <w:rsid w:val="004251E5"/>
    <w:rsid w:val="00427B81"/>
    <w:rsid w:val="00427FB9"/>
    <w:rsid w:val="004314AD"/>
    <w:rsid w:val="00431EBC"/>
    <w:rsid w:val="0043251F"/>
    <w:rsid w:val="00435657"/>
    <w:rsid w:val="00437A70"/>
    <w:rsid w:val="00437FFA"/>
    <w:rsid w:val="00441F99"/>
    <w:rsid w:val="0044303E"/>
    <w:rsid w:val="00443FBF"/>
    <w:rsid w:val="004459E7"/>
    <w:rsid w:val="00451F3D"/>
    <w:rsid w:val="00452CE4"/>
    <w:rsid w:val="004535DE"/>
    <w:rsid w:val="004540AA"/>
    <w:rsid w:val="004560FE"/>
    <w:rsid w:val="00457B1B"/>
    <w:rsid w:val="00462C37"/>
    <w:rsid w:val="00462CA8"/>
    <w:rsid w:val="00465889"/>
    <w:rsid w:val="00467575"/>
    <w:rsid w:val="004728DC"/>
    <w:rsid w:val="0047438C"/>
    <w:rsid w:val="00475CEE"/>
    <w:rsid w:val="0047640F"/>
    <w:rsid w:val="00477BA2"/>
    <w:rsid w:val="004800B3"/>
    <w:rsid w:val="00480930"/>
    <w:rsid w:val="00481991"/>
    <w:rsid w:val="00482F1E"/>
    <w:rsid w:val="00484BEE"/>
    <w:rsid w:val="00487A37"/>
    <w:rsid w:val="0049402A"/>
    <w:rsid w:val="00494C3C"/>
    <w:rsid w:val="00497613"/>
    <w:rsid w:val="004A0896"/>
    <w:rsid w:val="004A0A31"/>
    <w:rsid w:val="004A28B7"/>
    <w:rsid w:val="004A384F"/>
    <w:rsid w:val="004A43FC"/>
    <w:rsid w:val="004B0478"/>
    <w:rsid w:val="004B09DD"/>
    <w:rsid w:val="004B211F"/>
    <w:rsid w:val="004C09F8"/>
    <w:rsid w:val="004C2FA8"/>
    <w:rsid w:val="004C3176"/>
    <w:rsid w:val="004C3DE4"/>
    <w:rsid w:val="004C613F"/>
    <w:rsid w:val="004D0AB4"/>
    <w:rsid w:val="004D4F0A"/>
    <w:rsid w:val="004D574B"/>
    <w:rsid w:val="004D712A"/>
    <w:rsid w:val="004E259C"/>
    <w:rsid w:val="004E574D"/>
    <w:rsid w:val="004E7721"/>
    <w:rsid w:val="004F260A"/>
    <w:rsid w:val="004F6C28"/>
    <w:rsid w:val="004F73A8"/>
    <w:rsid w:val="00500436"/>
    <w:rsid w:val="005032FA"/>
    <w:rsid w:val="00503D9D"/>
    <w:rsid w:val="0050414F"/>
    <w:rsid w:val="00510853"/>
    <w:rsid w:val="005116C2"/>
    <w:rsid w:val="00511CB7"/>
    <w:rsid w:val="00513C38"/>
    <w:rsid w:val="005175FE"/>
    <w:rsid w:val="00521048"/>
    <w:rsid w:val="005220E0"/>
    <w:rsid w:val="005250EE"/>
    <w:rsid w:val="00527DDC"/>
    <w:rsid w:val="00532830"/>
    <w:rsid w:val="00534B70"/>
    <w:rsid w:val="00534DBF"/>
    <w:rsid w:val="0053554A"/>
    <w:rsid w:val="00536A76"/>
    <w:rsid w:val="0053754D"/>
    <w:rsid w:val="00540796"/>
    <w:rsid w:val="005444F0"/>
    <w:rsid w:val="00546051"/>
    <w:rsid w:val="0055065A"/>
    <w:rsid w:val="00553287"/>
    <w:rsid w:val="00554A6F"/>
    <w:rsid w:val="00557080"/>
    <w:rsid w:val="005571E0"/>
    <w:rsid w:val="0056424E"/>
    <w:rsid w:val="005673B2"/>
    <w:rsid w:val="005678A0"/>
    <w:rsid w:val="0057093B"/>
    <w:rsid w:val="005751D4"/>
    <w:rsid w:val="00576B70"/>
    <w:rsid w:val="0057741D"/>
    <w:rsid w:val="0058273C"/>
    <w:rsid w:val="00587A71"/>
    <w:rsid w:val="00590E32"/>
    <w:rsid w:val="00591A23"/>
    <w:rsid w:val="00591D70"/>
    <w:rsid w:val="00592B06"/>
    <w:rsid w:val="00594683"/>
    <w:rsid w:val="0059549F"/>
    <w:rsid w:val="005970F9"/>
    <w:rsid w:val="005972F2"/>
    <w:rsid w:val="005B0673"/>
    <w:rsid w:val="005B112B"/>
    <w:rsid w:val="005B25CF"/>
    <w:rsid w:val="005C2AB7"/>
    <w:rsid w:val="005C2B66"/>
    <w:rsid w:val="005C5306"/>
    <w:rsid w:val="005C719F"/>
    <w:rsid w:val="005D0580"/>
    <w:rsid w:val="005D071E"/>
    <w:rsid w:val="005D0CEE"/>
    <w:rsid w:val="005E1532"/>
    <w:rsid w:val="005E43F4"/>
    <w:rsid w:val="005E50FE"/>
    <w:rsid w:val="005E6C33"/>
    <w:rsid w:val="005F3636"/>
    <w:rsid w:val="005F4B63"/>
    <w:rsid w:val="00600ED4"/>
    <w:rsid w:val="00602A7F"/>
    <w:rsid w:val="00602E61"/>
    <w:rsid w:val="00605D63"/>
    <w:rsid w:val="00610EF4"/>
    <w:rsid w:val="00611D05"/>
    <w:rsid w:val="0061355A"/>
    <w:rsid w:val="006143F2"/>
    <w:rsid w:val="00620997"/>
    <w:rsid w:val="006215CE"/>
    <w:rsid w:val="006228A5"/>
    <w:rsid w:val="00625C6A"/>
    <w:rsid w:val="00630F82"/>
    <w:rsid w:val="006311C6"/>
    <w:rsid w:val="006324D3"/>
    <w:rsid w:val="006333B9"/>
    <w:rsid w:val="0063442D"/>
    <w:rsid w:val="00636344"/>
    <w:rsid w:val="00636F88"/>
    <w:rsid w:val="00637270"/>
    <w:rsid w:val="006423D0"/>
    <w:rsid w:val="00643531"/>
    <w:rsid w:val="00644EDC"/>
    <w:rsid w:val="00646527"/>
    <w:rsid w:val="00647286"/>
    <w:rsid w:val="00647FBE"/>
    <w:rsid w:val="00651E64"/>
    <w:rsid w:val="00652493"/>
    <w:rsid w:val="00653787"/>
    <w:rsid w:val="00653953"/>
    <w:rsid w:val="00656ABB"/>
    <w:rsid w:val="00657F5D"/>
    <w:rsid w:val="006610DD"/>
    <w:rsid w:val="00666C76"/>
    <w:rsid w:val="00671406"/>
    <w:rsid w:val="00673E8C"/>
    <w:rsid w:val="0067474F"/>
    <w:rsid w:val="00674FE1"/>
    <w:rsid w:val="006760FD"/>
    <w:rsid w:val="006808F3"/>
    <w:rsid w:val="0068251C"/>
    <w:rsid w:val="006853B9"/>
    <w:rsid w:val="00686A6C"/>
    <w:rsid w:val="00690CE9"/>
    <w:rsid w:val="0069247D"/>
    <w:rsid w:val="00693C33"/>
    <w:rsid w:val="00694493"/>
    <w:rsid w:val="00695B09"/>
    <w:rsid w:val="006A4292"/>
    <w:rsid w:val="006A5D26"/>
    <w:rsid w:val="006A6325"/>
    <w:rsid w:val="006A740F"/>
    <w:rsid w:val="006B105C"/>
    <w:rsid w:val="006B1228"/>
    <w:rsid w:val="006B3F15"/>
    <w:rsid w:val="006B3F65"/>
    <w:rsid w:val="006B52FB"/>
    <w:rsid w:val="006B6F18"/>
    <w:rsid w:val="006C49CB"/>
    <w:rsid w:val="006C6BC5"/>
    <w:rsid w:val="006D0BCE"/>
    <w:rsid w:val="006D3028"/>
    <w:rsid w:val="006D5FE8"/>
    <w:rsid w:val="006E012A"/>
    <w:rsid w:val="006E0782"/>
    <w:rsid w:val="006E0C73"/>
    <w:rsid w:val="006E1A87"/>
    <w:rsid w:val="006E2AE5"/>
    <w:rsid w:val="006E45E5"/>
    <w:rsid w:val="006E598B"/>
    <w:rsid w:val="006E66E3"/>
    <w:rsid w:val="006F3F85"/>
    <w:rsid w:val="006F58A9"/>
    <w:rsid w:val="006F61E8"/>
    <w:rsid w:val="006F6C70"/>
    <w:rsid w:val="00701098"/>
    <w:rsid w:val="007027F2"/>
    <w:rsid w:val="007103C4"/>
    <w:rsid w:val="0071522C"/>
    <w:rsid w:val="0071608F"/>
    <w:rsid w:val="00716764"/>
    <w:rsid w:val="00717F2B"/>
    <w:rsid w:val="00721C8C"/>
    <w:rsid w:val="00724473"/>
    <w:rsid w:val="00724C2C"/>
    <w:rsid w:val="00724CA2"/>
    <w:rsid w:val="00725C14"/>
    <w:rsid w:val="00726FB7"/>
    <w:rsid w:val="00730A04"/>
    <w:rsid w:val="00731B30"/>
    <w:rsid w:val="007324BF"/>
    <w:rsid w:val="007328B0"/>
    <w:rsid w:val="007328D3"/>
    <w:rsid w:val="00734214"/>
    <w:rsid w:val="007349E2"/>
    <w:rsid w:val="00740B89"/>
    <w:rsid w:val="00742993"/>
    <w:rsid w:val="00742D30"/>
    <w:rsid w:val="00744A35"/>
    <w:rsid w:val="0074504B"/>
    <w:rsid w:val="00746649"/>
    <w:rsid w:val="00746B1D"/>
    <w:rsid w:val="00746E13"/>
    <w:rsid w:val="00752B72"/>
    <w:rsid w:val="007566F5"/>
    <w:rsid w:val="00756B03"/>
    <w:rsid w:val="0076221C"/>
    <w:rsid w:val="00763F95"/>
    <w:rsid w:val="00766D6E"/>
    <w:rsid w:val="00770EE3"/>
    <w:rsid w:val="00775370"/>
    <w:rsid w:val="00781C0A"/>
    <w:rsid w:val="00783ECD"/>
    <w:rsid w:val="00786368"/>
    <w:rsid w:val="007903F4"/>
    <w:rsid w:val="00790F58"/>
    <w:rsid w:val="00791FFC"/>
    <w:rsid w:val="007939A6"/>
    <w:rsid w:val="00794BA4"/>
    <w:rsid w:val="00797938"/>
    <w:rsid w:val="007A4247"/>
    <w:rsid w:val="007A59DD"/>
    <w:rsid w:val="007B3A97"/>
    <w:rsid w:val="007B6B67"/>
    <w:rsid w:val="007C42D0"/>
    <w:rsid w:val="007C5A4F"/>
    <w:rsid w:val="007C5DDB"/>
    <w:rsid w:val="007C6074"/>
    <w:rsid w:val="007C7DE2"/>
    <w:rsid w:val="007D338F"/>
    <w:rsid w:val="007D39C0"/>
    <w:rsid w:val="007D415C"/>
    <w:rsid w:val="007D6124"/>
    <w:rsid w:val="007D7B52"/>
    <w:rsid w:val="007E0146"/>
    <w:rsid w:val="007E2171"/>
    <w:rsid w:val="007E2730"/>
    <w:rsid w:val="007E6049"/>
    <w:rsid w:val="007E7DE5"/>
    <w:rsid w:val="007F01DB"/>
    <w:rsid w:val="007F2C87"/>
    <w:rsid w:val="007F3FFD"/>
    <w:rsid w:val="007F5A9B"/>
    <w:rsid w:val="007F7224"/>
    <w:rsid w:val="00800FB5"/>
    <w:rsid w:val="008018E6"/>
    <w:rsid w:val="00801F28"/>
    <w:rsid w:val="0080200D"/>
    <w:rsid w:val="00802F39"/>
    <w:rsid w:val="008030AA"/>
    <w:rsid w:val="008036DA"/>
    <w:rsid w:val="00803F7A"/>
    <w:rsid w:val="008040AC"/>
    <w:rsid w:val="00804B9D"/>
    <w:rsid w:val="00804DA7"/>
    <w:rsid w:val="008109FF"/>
    <w:rsid w:val="008144E4"/>
    <w:rsid w:val="008150CD"/>
    <w:rsid w:val="00817E1B"/>
    <w:rsid w:val="00820C2E"/>
    <w:rsid w:val="008218EA"/>
    <w:rsid w:val="0082309D"/>
    <w:rsid w:val="00825301"/>
    <w:rsid w:val="00825A8A"/>
    <w:rsid w:val="00826EFD"/>
    <w:rsid w:val="008302B2"/>
    <w:rsid w:val="00830C7B"/>
    <w:rsid w:val="008328F9"/>
    <w:rsid w:val="00832D8C"/>
    <w:rsid w:val="0083446C"/>
    <w:rsid w:val="008405F5"/>
    <w:rsid w:val="00842E73"/>
    <w:rsid w:val="00844CBE"/>
    <w:rsid w:val="00845485"/>
    <w:rsid w:val="008461AA"/>
    <w:rsid w:val="00850416"/>
    <w:rsid w:val="0085071B"/>
    <w:rsid w:val="0085104A"/>
    <w:rsid w:val="00851C96"/>
    <w:rsid w:val="008541CC"/>
    <w:rsid w:val="00854EFC"/>
    <w:rsid w:val="00855798"/>
    <w:rsid w:val="00855F31"/>
    <w:rsid w:val="00856EC2"/>
    <w:rsid w:val="00857617"/>
    <w:rsid w:val="00860308"/>
    <w:rsid w:val="00862AD1"/>
    <w:rsid w:val="00864A90"/>
    <w:rsid w:val="00871127"/>
    <w:rsid w:val="00871EA2"/>
    <w:rsid w:val="00872338"/>
    <w:rsid w:val="008752B2"/>
    <w:rsid w:val="00875495"/>
    <w:rsid w:val="00882E5C"/>
    <w:rsid w:val="00892F77"/>
    <w:rsid w:val="00893D42"/>
    <w:rsid w:val="008A2B93"/>
    <w:rsid w:val="008A73B3"/>
    <w:rsid w:val="008A7CF8"/>
    <w:rsid w:val="008B118E"/>
    <w:rsid w:val="008B1636"/>
    <w:rsid w:val="008B72A2"/>
    <w:rsid w:val="008B7A89"/>
    <w:rsid w:val="008C5597"/>
    <w:rsid w:val="008C6BBF"/>
    <w:rsid w:val="008C78E6"/>
    <w:rsid w:val="008D080E"/>
    <w:rsid w:val="008D23CA"/>
    <w:rsid w:val="008D2941"/>
    <w:rsid w:val="008D6F53"/>
    <w:rsid w:val="008E2AE9"/>
    <w:rsid w:val="008E4C6E"/>
    <w:rsid w:val="008E62F8"/>
    <w:rsid w:val="008E6803"/>
    <w:rsid w:val="008E6F7D"/>
    <w:rsid w:val="008F5275"/>
    <w:rsid w:val="008F675B"/>
    <w:rsid w:val="008F7622"/>
    <w:rsid w:val="009077A2"/>
    <w:rsid w:val="009128B8"/>
    <w:rsid w:val="0091389E"/>
    <w:rsid w:val="009209F6"/>
    <w:rsid w:val="0092250B"/>
    <w:rsid w:val="00922FD8"/>
    <w:rsid w:val="00923C72"/>
    <w:rsid w:val="0092400B"/>
    <w:rsid w:val="009259B5"/>
    <w:rsid w:val="00925B8E"/>
    <w:rsid w:val="00925E1C"/>
    <w:rsid w:val="00927219"/>
    <w:rsid w:val="00931229"/>
    <w:rsid w:val="00933815"/>
    <w:rsid w:val="0093503F"/>
    <w:rsid w:val="00935104"/>
    <w:rsid w:val="00936E5C"/>
    <w:rsid w:val="00937574"/>
    <w:rsid w:val="00941EDD"/>
    <w:rsid w:val="0094504F"/>
    <w:rsid w:val="009452AE"/>
    <w:rsid w:val="009477AD"/>
    <w:rsid w:val="0095021E"/>
    <w:rsid w:val="00951992"/>
    <w:rsid w:val="009521C6"/>
    <w:rsid w:val="00953089"/>
    <w:rsid w:val="00953464"/>
    <w:rsid w:val="009543C3"/>
    <w:rsid w:val="0095493F"/>
    <w:rsid w:val="00954A7F"/>
    <w:rsid w:val="009555EE"/>
    <w:rsid w:val="009556B2"/>
    <w:rsid w:val="00955FC7"/>
    <w:rsid w:val="00956862"/>
    <w:rsid w:val="0096222C"/>
    <w:rsid w:val="00965574"/>
    <w:rsid w:val="00966F70"/>
    <w:rsid w:val="0096729A"/>
    <w:rsid w:val="00967FD0"/>
    <w:rsid w:val="00970BA5"/>
    <w:rsid w:val="009727AD"/>
    <w:rsid w:val="0098206D"/>
    <w:rsid w:val="00982631"/>
    <w:rsid w:val="00982F84"/>
    <w:rsid w:val="00983071"/>
    <w:rsid w:val="009831EF"/>
    <w:rsid w:val="00983840"/>
    <w:rsid w:val="00985961"/>
    <w:rsid w:val="00993714"/>
    <w:rsid w:val="009968E4"/>
    <w:rsid w:val="009A09E9"/>
    <w:rsid w:val="009A19DC"/>
    <w:rsid w:val="009A2D60"/>
    <w:rsid w:val="009A56D2"/>
    <w:rsid w:val="009A6E0C"/>
    <w:rsid w:val="009B20C9"/>
    <w:rsid w:val="009B4CDC"/>
    <w:rsid w:val="009B6247"/>
    <w:rsid w:val="009B685F"/>
    <w:rsid w:val="009C04F8"/>
    <w:rsid w:val="009C292B"/>
    <w:rsid w:val="009C375F"/>
    <w:rsid w:val="009C5308"/>
    <w:rsid w:val="009C548F"/>
    <w:rsid w:val="009C54B4"/>
    <w:rsid w:val="009C647E"/>
    <w:rsid w:val="009C6BAE"/>
    <w:rsid w:val="009C76E8"/>
    <w:rsid w:val="009D04F4"/>
    <w:rsid w:val="009D0FF1"/>
    <w:rsid w:val="009D2A93"/>
    <w:rsid w:val="009D7098"/>
    <w:rsid w:val="009E1861"/>
    <w:rsid w:val="009E28CB"/>
    <w:rsid w:val="009E2FE8"/>
    <w:rsid w:val="009E3B5A"/>
    <w:rsid w:val="009E536B"/>
    <w:rsid w:val="009E5926"/>
    <w:rsid w:val="009E6C98"/>
    <w:rsid w:val="009F1BF7"/>
    <w:rsid w:val="009F4CC6"/>
    <w:rsid w:val="009F523F"/>
    <w:rsid w:val="009F720F"/>
    <w:rsid w:val="009F79AE"/>
    <w:rsid w:val="00A0246D"/>
    <w:rsid w:val="00A1090B"/>
    <w:rsid w:val="00A12039"/>
    <w:rsid w:val="00A129A3"/>
    <w:rsid w:val="00A13200"/>
    <w:rsid w:val="00A13BE8"/>
    <w:rsid w:val="00A13E9C"/>
    <w:rsid w:val="00A15CDE"/>
    <w:rsid w:val="00A16125"/>
    <w:rsid w:val="00A20B79"/>
    <w:rsid w:val="00A23A61"/>
    <w:rsid w:val="00A241EB"/>
    <w:rsid w:val="00A24C4A"/>
    <w:rsid w:val="00A304AD"/>
    <w:rsid w:val="00A31005"/>
    <w:rsid w:val="00A3214F"/>
    <w:rsid w:val="00A3245D"/>
    <w:rsid w:val="00A4223C"/>
    <w:rsid w:val="00A42A75"/>
    <w:rsid w:val="00A4481E"/>
    <w:rsid w:val="00A464F9"/>
    <w:rsid w:val="00A51308"/>
    <w:rsid w:val="00A53181"/>
    <w:rsid w:val="00A5330A"/>
    <w:rsid w:val="00A57463"/>
    <w:rsid w:val="00A57BC9"/>
    <w:rsid w:val="00A6019F"/>
    <w:rsid w:val="00A615C0"/>
    <w:rsid w:val="00A63628"/>
    <w:rsid w:val="00A70466"/>
    <w:rsid w:val="00A7098B"/>
    <w:rsid w:val="00A70B6E"/>
    <w:rsid w:val="00A733EF"/>
    <w:rsid w:val="00A752FC"/>
    <w:rsid w:val="00A77F60"/>
    <w:rsid w:val="00A80893"/>
    <w:rsid w:val="00A80AF0"/>
    <w:rsid w:val="00A80E3F"/>
    <w:rsid w:val="00A81913"/>
    <w:rsid w:val="00A8264F"/>
    <w:rsid w:val="00A85D1A"/>
    <w:rsid w:val="00A874AB"/>
    <w:rsid w:val="00A90CBC"/>
    <w:rsid w:val="00A91571"/>
    <w:rsid w:val="00A91F4F"/>
    <w:rsid w:val="00A96369"/>
    <w:rsid w:val="00A9730F"/>
    <w:rsid w:val="00A97AF5"/>
    <w:rsid w:val="00AA0138"/>
    <w:rsid w:val="00AA04EC"/>
    <w:rsid w:val="00AA1049"/>
    <w:rsid w:val="00AA19D5"/>
    <w:rsid w:val="00AA1B7E"/>
    <w:rsid w:val="00AA2CEB"/>
    <w:rsid w:val="00AA34FA"/>
    <w:rsid w:val="00AA486F"/>
    <w:rsid w:val="00AA4E8F"/>
    <w:rsid w:val="00AA54D1"/>
    <w:rsid w:val="00AB3F6A"/>
    <w:rsid w:val="00AB4554"/>
    <w:rsid w:val="00AB4BE0"/>
    <w:rsid w:val="00AB6888"/>
    <w:rsid w:val="00AB6E09"/>
    <w:rsid w:val="00AB7936"/>
    <w:rsid w:val="00AC217F"/>
    <w:rsid w:val="00AC2411"/>
    <w:rsid w:val="00AC2BB4"/>
    <w:rsid w:val="00AC6A5E"/>
    <w:rsid w:val="00AD0843"/>
    <w:rsid w:val="00AD7164"/>
    <w:rsid w:val="00AE031F"/>
    <w:rsid w:val="00AE1421"/>
    <w:rsid w:val="00AE2FE9"/>
    <w:rsid w:val="00AE5835"/>
    <w:rsid w:val="00AF33E7"/>
    <w:rsid w:val="00AF38E8"/>
    <w:rsid w:val="00AF4D75"/>
    <w:rsid w:val="00B00F2C"/>
    <w:rsid w:val="00B00FE2"/>
    <w:rsid w:val="00B02043"/>
    <w:rsid w:val="00B04042"/>
    <w:rsid w:val="00B04B16"/>
    <w:rsid w:val="00B149AA"/>
    <w:rsid w:val="00B173A6"/>
    <w:rsid w:val="00B264D1"/>
    <w:rsid w:val="00B324EC"/>
    <w:rsid w:val="00B35F26"/>
    <w:rsid w:val="00B37B27"/>
    <w:rsid w:val="00B456EA"/>
    <w:rsid w:val="00B4624C"/>
    <w:rsid w:val="00B46479"/>
    <w:rsid w:val="00B465B1"/>
    <w:rsid w:val="00B52244"/>
    <w:rsid w:val="00B53191"/>
    <w:rsid w:val="00B60AE3"/>
    <w:rsid w:val="00B6137F"/>
    <w:rsid w:val="00B6497F"/>
    <w:rsid w:val="00B7099D"/>
    <w:rsid w:val="00B727F7"/>
    <w:rsid w:val="00B7344E"/>
    <w:rsid w:val="00B73F76"/>
    <w:rsid w:val="00B75874"/>
    <w:rsid w:val="00B7689E"/>
    <w:rsid w:val="00B803D1"/>
    <w:rsid w:val="00B81A4A"/>
    <w:rsid w:val="00B85C6D"/>
    <w:rsid w:val="00B869D7"/>
    <w:rsid w:val="00B87B7B"/>
    <w:rsid w:val="00B87C2C"/>
    <w:rsid w:val="00B91157"/>
    <w:rsid w:val="00B92126"/>
    <w:rsid w:val="00B93D90"/>
    <w:rsid w:val="00B940F5"/>
    <w:rsid w:val="00B97FBC"/>
    <w:rsid w:val="00BA7B62"/>
    <w:rsid w:val="00BB3CA1"/>
    <w:rsid w:val="00BB56AF"/>
    <w:rsid w:val="00BC137B"/>
    <w:rsid w:val="00BC217C"/>
    <w:rsid w:val="00BC2D78"/>
    <w:rsid w:val="00BC3077"/>
    <w:rsid w:val="00BC6711"/>
    <w:rsid w:val="00BD342F"/>
    <w:rsid w:val="00BD53BB"/>
    <w:rsid w:val="00BD7838"/>
    <w:rsid w:val="00BE027D"/>
    <w:rsid w:val="00BE19FB"/>
    <w:rsid w:val="00BE24EA"/>
    <w:rsid w:val="00BE55C0"/>
    <w:rsid w:val="00BE6969"/>
    <w:rsid w:val="00BF16E5"/>
    <w:rsid w:val="00BF1991"/>
    <w:rsid w:val="00BF487B"/>
    <w:rsid w:val="00C03027"/>
    <w:rsid w:val="00C0432B"/>
    <w:rsid w:val="00C0458D"/>
    <w:rsid w:val="00C060F4"/>
    <w:rsid w:val="00C0669C"/>
    <w:rsid w:val="00C0797F"/>
    <w:rsid w:val="00C1414A"/>
    <w:rsid w:val="00C17C7C"/>
    <w:rsid w:val="00C23930"/>
    <w:rsid w:val="00C27F99"/>
    <w:rsid w:val="00C30308"/>
    <w:rsid w:val="00C364E8"/>
    <w:rsid w:val="00C3675E"/>
    <w:rsid w:val="00C418EF"/>
    <w:rsid w:val="00C42761"/>
    <w:rsid w:val="00C45A3C"/>
    <w:rsid w:val="00C46616"/>
    <w:rsid w:val="00C506CE"/>
    <w:rsid w:val="00C507C1"/>
    <w:rsid w:val="00C62756"/>
    <w:rsid w:val="00C65725"/>
    <w:rsid w:val="00C6610C"/>
    <w:rsid w:val="00C7137A"/>
    <w:rsid w:val="00C722A4"/>
    <w:rsid w:val="00C72FC6"/>
    <w:rsid w:val="00C8231A"/>
    <w:rsid w:val="00C83EE0"/>
    <w:rsid w:val="00C8404C"/>
    <w:rsid w:val="00C84625"/>
    <w:rsid w:val="00C85CC4"/>
    <w:rsid w:val="00C97F72"/>
    <w:rsid w:val="00CA13F8"/>
    <w:rsid w:val="00CA3454"/>
    <w:rsid w:val="00CA7240"/>
    <w:rsid w:val="00CB0F2D"/>
    <w:rsid w:val="00CB1A1A"/>
    <w:rsid w:val="00CB1D64"/>
    <w:rsid w:val="00CB30C3"/>
    <w:rsid w:val="00CB4EDD"/>
    <w:rsid w:val="00CB52D4"/>
    <w:rsid w:val="00CB5B82"/>
    <w:rsid w:val="00CB5C86"/>
    <w:rsid w:val="00CB5EAE"/>
    <w:rsid w:val="00CC1C08"/>
    <w:rsid w:val="00CC3EBD"/>
    <w:rsid w:val="00CC7E67"/>
    <w:rsid w:val="00CD01B4"/>
    <w:rsid w:val="00CD4E29"/>
    <w:rsid w:val="00CD6F2E"/>
    <w:rsid w:val="00CE043E"/>
    <w:rsid w:val="00CE07DF"/>
    <w:rsid w:val="00CE102A"/>
    <w:rsid w:val="00CE1740"/>
    <w:rsid w:val="00CE45FF"/>
    <w:rsid w:val="00CE4C02"/>
    <w:rsid w:val="00CF1033"/>
    <w:rsid w:val="00CF38CF"/>
    <w:rsid w:val="00CF4AF6"/>
    <w:rsid w:val="00CF6EFE"/>
    <w:rsid w:val="00CF7C44"/>
    <w:rsid w:val="00D0101C"/>
    <w:rsid w:val="00D0207F"/>
    <w:rsid w:val="00D03296"/>
    <w:rsid w:val="00D04266"/>
    <w:rsid w:val="00D04462"/>
    <w:rsid w:val="00D0505B"/>
    <w:rsid w:val="00D07B01"/>
    <w:rsid w:val="00D11C0F"/>
    <w:rsid w:val="00D12631"/>
    <w:rsid w:val="00D12DD5"/>
    <w:rsid w:val="00D13EC7"/>
    <w:rsid w:val="00D142D2"/>
    <w:rsid w:val="00D16721"/>
    <w:rsid w:val="00D23045"/>
    <w:rsid w:val="00D2397C"/>
    <w:rsid w:val="00D24694"/>
    <w:rsid w:val="00D27AD3"/>
    <w:rsid w:val="00D30AE0"/>
    <w:rsid w:val="00D3100F"/>
    <w:rsid w:val="00D32B75"/>
    <w:rsid w:val="00D33171"/>
    <w:rsid w:val="00D33257"/>
    <w:rsid w:val="00D3697D"/>
    <w:rsid w:val="00D41067"/>
    <w:rsid w:val="00D42AF4"/>
    <w:rsid w:val="00D42CEB"/>
    <w:rsid w:val="00D4369D"/>
    <w:rsid w:val="00D46408"/>
    <w:rsid w:val="00D509B0"/>
    <w:rsid w:val="00D512E3"/>
    <w:rsid w:val="00D51980"/>
    <w:rsid w:val="00D53E77"/>
    <w:rsid w:val="00D545DB"/>
    <w:rsid w:val="00D545F5"/>
    <w:rsid w:val="00D64CAB"/>
    <w:rsid w:val="00D6532C"/>
    <w:rsid w:val="00D654F6"/>
    <w:rsid w:val="00D72676"/>
    <w:rsid w:val="00D73639"/>
    <w:rsid w:val="00D73AB7"/>
    <w:rsid w:val="00D74EFA"/>
    <w:rsid w:val="00D75016"/>
    <w:rsid w:val="00D76593"/>
    <w:rsid w:val="00D807CC"/>
    <w:rsid w:val="00D8142B"/>
    <w:rsid w:val="00D8449E"/>
    <w:rsid w:val="00D8611B"/>
    <w:rsid w:val="00D86764"/>
    <w:rsid w:val="00D86A04"/>
    <w:rsid w:val="00D879F3"/>
    <w:rsid w:val="00D87FDF"/>
    <w:rsid w:val="00D91943"/>
    <w:rsid w:val="00D93095"/>
    <w:rsid w:val="00D95757"/>
    <w:rsid w:val="00D96C4D"/>
    <w:rsid w:val="00DA0700"/>
    <w:rsid w:val="00DA4331"/>
    <w:rsid w:val="00DA45CF"/>
    <w:rsid w:val="00DA5ADA"/>
    <w:rsid w:val="00DB03D8"/>
    <w:rsid w:val="00DB109C"/>
    <w:rsid w:val="00DB17ED"/>
    <w:rsid w:val="00DB2EF3"/>
    <w:rsid w:val="00DB3810"/>
    <w:rsid w:val="00DC41F8"/>
    <w:rsid w:val="00DD027A"/>
    <w:rsid w:val="00DD0A12"/>
    <w:rsid w:val="00DD1920"/>
    <w:rsid w:val="00DD4776"/>
    <w:rsid w:val="00DD4A8B"/>
    <w:rsid w:val="00DD536F"/>
    <w:rsid w:val="00DE33E2"/>
    <w:rsid w:val="00DE7165"/>
    <w:rsid w:val="00DE734F"/>
    <w:rsid w:val="00DE7925"/>
    <w:rsid w:val="00DF0E36"/>
    <w:rsid w:val="00E01395"/>
    <w:rsid w:val="00E0534E"/>
    <w:rsid w:val="00E11A04"/>
    <w:rsid w:val="00E11ABE"/>
    <w:rsid w:val="00E11E21"/>
    <w:rsid w:val="00E13F70"/>
    <w:rsid w:val="00E14901"/>
    <w:rsid w:val="00E15EB2"/>
    <w:rsid w:val="00E20A69"/>
    <w:rsid w:val="00E20D19"/>
    <w:rsid w:val="00E2471E"/>
    <w:rsid w:val="00E24DFB"/>
    <w:rsid w:val="00E25093"/>
    <w:rsid w:val="00E263CC"/>
    <w:rsid w:val="00E32137"/>
    <w:rsid w:val="00E34417"/>
    <w:rsid w:val="00E34D69"/>
    <w:rsid w:val="00E34DDB"/>
    <w:rsid w:val="00E3504B"/>
    <w:rsid w:val="00E351EF"/>
    <w:rsid w:val="00E37640"/>
    <w:rsid w:val="00E40BE1"/>
    <w:rsid w:val="00E411D6"/>
    <w:rsid w:val="00E4164B"/>
    <w:rsid w:val="00E41AA6"/>
    <w:rsid w:val="00E45EAB"/>
    <w:rsid w:val="00E460C9"/>
    <w:rsid w:val="00E504FE"/>
    <w:rsid w:val="00E56B49"/>
    <w:rsid w:val="00E573F8"/>
    <w:rsid w:val="00E60699"/>
    <w:rsid w:val="00E61B7C"/>
    <w:rsid w:val="00E6381F"/>
    <w:rsid w:val="00E70253"/>
    <w:rsid w:val="00E74958"/>
    <w:rsid w:val="00E7526C"/>
    <w:rsid w:val="00E75FCC"/>
    <w:rsid w:val="00E762C2"/>
    <w:rsid w:val="00E8418D"/>
    <w:rsid w:val="00E842A4"/>
    <w:rsid w:val="00E84D76"/>
    <w:rsid w:val="00E87DDC"/>
    <w:rsid w:val="00E924BE"/>
    <w:rsid w:val="00E936BC"/>
    <w:rsid w:val="00E94D46"/>
    <w:rsid w:val="00E95470"/>
    <w:rsid w:val="00E96C68"/>
    <w:rsid w:val="00E97215"/>
    <w:rsid w:val="00EA1407"/>
    <w:rsid w:val="00EA1C52"/>
    <w:rsid w:val="00EA2C72"/>
    <w:rsid w:val="00EA360B"/>
    <w:rsid w:val="00EA5AD5"/>
    <w:rsid w:val="00EA64B1"/>
    <w:rsid w:val="00EB2347"/>
    <w:rsid w:val="00EB2941"/>
    <w:rsid w:val="00EB4BDF"/>
    <w:rsid w:val="00EB560F"/>
    <w:rsid w:val="00EB76A3"/>
    <w:rsid w:val="00EC1FF6"/>
    <w:rsid w:val="00EC34FA"/>
    <w:rsid w:val="00EC4775"/>
    <w:rsid w:val="00EC4F0E"/>
    <w:rsid w:val="00EC72B1"/>
    <w:rsid w:val="00ED19EF"/>
    <w:rsid w:val="00ED2705"/>
    <w:rsid w:val="00ED63BA"/>
    <w:rsid w:val="00ED72CA"/>
    <w:rsid w:val="00EE240A"/>
    <w:rsid w:val="00EE26EB"/>
    <w:rsid w:val="00EE46D9"/>
    <w:rsid w:val="00EE6F33"/>
    <w:rsid w:val="00EE7320"/>
    <w:rsid w:val="00EF0047"/>
    <w:rsid w:val="00EF0779"/>
    <w:rsid w:val="00EF55F6"/>
    <w:rsid w:val="00EF68D6"/>
    <w:rsid w:val="00EF7CC1"/>
    <w:rsid w:val="00F00346"/>
    <w:rsid w:val="00F020F7"/>
    <w:rsid w:val="00F025F9"/>
    <w:rsid w:val="00F03020"/>
    <w:rsid w:val="00F03C5F"/>
    <w:rsid w:val="00F03D55"/>
    <w:rsid w:val="00F071C2"/>
    <w:rsid w:val="00F12C9B"/>
    <w:rsid w:val="00F14D22"/>
    <w:rsid w:val="00F16BCC"/>
    <w:rsid w:val="00F205DD"/>
    <w:rsid w:val="00F2317F"/>
    <w:rsid w:val="00F27C26"/>
    <w:rsid w:val="00F308EA"/>
    <w:rsid w:val="00F36475"/>
    <w:rsid w:val="00F36908"/>
    <w:rsid w:val="00F37C52"/>
    <w:rsid w:val="00F4051D"/>
    <w:rsid w:val="00F40634"/>
    <w:rsid w:val="00F417AD"/>
    <w:rsid w:val="00F4266D"/>
    <w:rsid w:val="00F435CC"/>
    <w:rsid w:val="00F44C02"/>
    <w:rsid w:val="00F456E3"/>
    <w:rsid w:val="00F502F1"/>
    <w:rsid w:val="00F50533"/>
    <w:rsid w:val="00F5261C"/>
    <w:rsid w:val="00F54587"/>
    <w:rsid w:val="00F560B4"/>
    <w:rsid w:val="00F57298"/>
    <w:rsid w:val="00F62D89"/>
    <w:rsid w:val="00F65A1C"/>
    <w:rsid w:val="00F72D6A"/>
    <w:rsid w:val="00F73F8A"/>
    <w:rsid w:val="00F82987"/>
    <w:rsid w:val="00F84ED8"/>
    <w:rsid w:val="00F867B2"/>
    <w:rsid w:val="00F94EBB"/>
    <w:rsid w:val="00F96DC2"/>
    <w:rsid w:val="00FA2132"/>
    <w:rsid w:val="00FA4033"/>
    <w:rsid w:val="00FA4EF7"/>
    <w:rsid w:val="00FA6345"/>
    <w:rsid w:val="00FB0C61"/>
    <w:rsid w:val="00FB39AD"/>
    <w:rsid w:val="00FB666A"/>
    <w:rsid w:val="00FC43E8"/>
    <w:rsid w:val="00FC4F73"/>
    <w:rsid w:val="00FD3AB1"/>
    <w:rsid w:val="00FD5D0B"/>
    <w:rsid w:val="00FD6682"/>
    <w:rsid w:val="00FD6E51"/>
    <w:rsid w:val="00FE26E3"/>
    <w:rsid w:val="00FE4545"/>
    <w:rsid w:val="00FE4B88"/>
    <w:rsid w:val="00FE634F"/>
    <w:rsid w:val="00FE6ACA"/>
    <w:rsid w:val="00FE76B5"/>
    <w:rsid w:val="00FF2A26"/>
    <w:rsid w:val="00FF47A8"/>
    <w:rsid w:val="00FF5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5C21BDE"/>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CEF"/>
    <w:pPr>
      <w:jc w:val="center"/>
    </w:pPr>
    <w:rPr>
      <w:rFonts w:eastAsiaTheme="minorEastAsia"/>
      <w:sz w:val="21"/>
      <w:szCs w:val="21"/>
    </w:rPr>
  </w:style>
  <w:style w:type="paragraph" w:styleId="Ttulo1">
    <w:name w:val="heading 1"/>
    <w:basedOn w:val="Normal"/>
    <w:next w:val="Normal"/>
    <w:link w:val="Ttulo1Car"/>
    <w:uiPriority w:val="9"/>
    <w:qFormat/>
    <w:rsid w:val="007C42D0"/>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0F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400F1D"/>
    <w:pPr>
      <w:keepNext w:val="0"/>
      <w:keepLines w:val="0"/>
      <w:numPr>
        <w:numId w:val="11"/>
      </w:numPr>
      <w:pBdr>
        <w:top w:val="nil"/>
        <w:left w:val="nil"/>
        <w:bottom w:val="nil"/>
        <w:right w:val="nil"/>
        <w:between w:val="nil"/>
        <w:bar w:val="nil"/>
      </w:pBdr>
      <w:spacing w:before="0"/>
      <w:contextualSpacing/>
      <w:outlineLvl w:val="2"/>
    </w:pPr>
    <w:rPr>
      <w:rFonts w:ascii="ITC Avant Garde" w:eastAsia="Times New Roman" w:hAnsi="ITC Avant Garde" w:cs="Times"/>
      <w:b/>
      <w:color w:val="2F2F2F"/>
      <w:sz w:val="24"/>
      <w:szCs w:val="24"/>
      <w:bdr w:val="nil"/>
      <w:lang w:eastAsia="es-MX"/>
    </w:rPr>
  </w:style>
  <w:style w:type="paragraph" w:styleId="Ttulo4">
    <w:name w:val="heading 4"/>
    <w:basedOn w:val="Normal"/>
    <w:next w:val="Normal"/>
    <w:link w:val="Ttulo4Car"/>
    <w:uiPriority w:val="9"/>
    <w:unhideWhenUsed/>
    <w:qFormat/>
    <w:rsid w:val="002773C7"/>
    <w:pPr>
      <w:keepNext/>
      <w:keepLines/>
      <w:jc w:val="both"/>
      <w:outlineLvl w:val="3"/>
    </w:pPr>
    <w:rPr>
      <w:rFonts w:ascii="Arial" w:eastAsiaTheme="majorEastAsia" w:hAnsi="Arial" w:cs="Arial"/>
      <w:b/>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ROMANOSCar">
    <w:name w:val="ROMANOS Car"/>
    <w:link w:val="ROMANOS"/>
    <w:locked/>
    <w:rsid w:val="00174CEF"/>
    <w:rPr>
      <w:rFonts w:ascii="Arial" w:eastAsiaTheme="minorEastAsia" w:hAnsi="Arial" w:cs="Arial"/>
      <w:sz w:val="18"/>
      <w:szCs w:val="18"/>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74CEF"/>
    <w:pPr>
      <w:ind w:left="720"/>
      <w:contextualSpacing/>
    </w:pPr>
  </w:style>
  <w:style w:type="paragraph" w:customStyle="1" w:styleId="Default">
    <w:name w:val="Default"/>
    <w:link w:val="DefaultCar"/>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174CEF"/>
    <w:rPr>
      <w:rFonts w:eastAsiaTheme="minorEastAsia"/>
      <w:sz w:val="21"/>
      <w:szCs w:val="21"/>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unhideWhenUsed/>
    <w:rsid w:val="00174CEF"/>
    <w:rPr>
      <w:sz w:val="20"/>
      <w:szCs w:val="20"/>
    </w:rPr>
  </w:style>
  <w:style w:type="character" w:customStyle="1" w:styleId="TextocomentarioCar">
    <w:name w:val="Texto comentario Car"/>
    <w:basedOn w:val="Fuentedeprrafopredeter"/>
    <w:link w:val="Textocomentario"/>
    <w:uiPriority w:val="99"/>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semiHidden/>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 w:type="character" w:customStyle="1" w:styleId="Ttulo3Car">
    <w:name w:val="Título 3 Car"/>
    <w:basedOn w:val="Fuentedeprrafopredeter"/>
    <w:link w:val="Ttulo3"/>
    <w:uiPriority w:val="9"/>
    <w:rsid w:val="00400F1D"/>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rsid w:val="00400F1D"/>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7C42D0"/>
    <w:rPr>
      <w:rFonts w:asciiTheme="majorHAnsi" w:eastAsiaTheme="majorEastAsia" w:hAnsiTheme="majorHAnsi" w:cstheme="majorBidi"/>
      <w:color w:val="2E74B5" w:themeColor="accent1" w:themeShade="BF"/>
      <w:sz w:val="32"/>
      <w:szCs w:val="32"/>
    </w:rPr>
  </w:style>
  <w:style w:type="paragraph" w:styleId="Descripcin">
    <w:name w:val="caption"/>
    <w:basedOn w:val="Normal"/>
    <w:next w:val="Normal"/>
    <w:uiPriority w:val="35"/>
    <w:unhideWhenUsed/>
    <w:qFormat/>
    <w:rsid w:val="000B3030"/>
    <w:pPr>
      <w:spacing w:after="200"/>
    </w:pPr>
    <w:rPr>
      <w:i/>
      <w:iCs/>
      <w:color w:val="44546A" w:themeColor="text2"/>
      <w:sz w:val="18"/>
      <w:szCs w:val="18"/>
    </w:rPr>
  </w:style>
  <w:style w:type="paragraph" w:styleId="Revisin">
    <w:name w:val="Revision"/>
    <w:hidden/>
    <w:uiPriority w:val="99"/>
    <w:semiHidden/>
    <w:rsid w:val="009D7098"/>
    <w:rPr>
      <w:rFonts w:eastAsiaTheme="minorEastAsia"/>
      <w:sz w:val="21"/>
      <w:szCs w:val="21"/>
    </w:rPr>
  </w:style>
  <w:style w:type="paragraph" w:styleId="NormalWeb">
    <w:name w:val="Normal (Web)"/>
    <w:basedOn w:val="Normal"/>
    <w:uiPriority w:val="99"/>
    <w:unhideWhenUsed/>
    <w:rsid w:val="00D30AE0"/>
    <w:pPr>
      <w:spacing w:before="100" w:beforeAutospacing="1" w:after="100" w:afterAutospacing="1"/>
      <w:jc w:val="left"/>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12631"/>
    <w:rPr>
      <w:color w:val="0563C1" w:themeColor="hyperlink"/>
      <w:u w:val="single"/>
    </w:rPr>
  </w:style>
  <w:style w:type="character" w:styleId="Hipervnculovisitado">
    <w:name w:val="FollowedHyperlink"/>
    <w:basedOn w:val="Fuentedeprrafopredeter"/>
    <w:uiPriority w:val="99"/>
    <w:semiHidden/>
    <w:unhideWhenUsed/>
    <w:rsid w:val="00511CB7"/>
    <w:rPr>
      <w:color w:val="954F72" w:themeColor="followedHyperlink"/>
      <w:u w:val="single"/>
    </w:rPr>
  </w:style>
  <w:style w:type="character" w:customStyle="1" w:styleId="DefaultCar">
    <w:name w:val="Default Car"/>
    <w:basedOn w:val="Fuentedeprrafopredeter"/>
    <w:link w:val="Default"/>
    <w:rsid w:val="0007174F"/>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DN"/>
    <w:basedOn w:val="Normal"/>
    <w:link w:val="TextonotapieCar"/>
    <w:uiPriority w:val="99"/>
    <w:unhideWhenUsed/>
    <w:qFormat/>
    <w:rsid w:val="00F4266D"/>
    <w:pPr>
      <w:pBdr>
        <w:top w:val="nil"/>
        <w:left w:val="nil"/>
        <w:bottom w:val="nil"/>
        <w:right w:val="nil"/>
        <w:between w:val="nil"/>
        <w:bar w:val="nil"/>
      </w:pBdr>
      <w:jc w:val="left"/>
    </w:pPr>
    <w:rPr>
      <w:rFonts w:ascii="Times New Roman" w:eastAsia="Arial Unicode MS" w:hAnsi="Times New Roman" w:cs="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DN Car"/>
    <w:basedOn w:val="Fuentedeprrafopredeter"/>
    <w:link w:val="Textonotapie"/>
    <w:uiPriority w:val="99"/>
    <w:rsid w:val="00F4266D"/>
    <w:rPr>
      <w:rFonts w:ascii="Times New Roman" w:eastAsia="Arial Unicode MS" w:hAnsi="Times New Roman" w:cs="Times New Roman"/>
      <w:sz w:val="24"/>
      <w:szCs w:val="24"/>
      <w:bdr w:val="nil"/>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F4266D"/>
    <w:rPr>
      <w:vertAlign w:val="superscript"/>
    </w:rPr>
  </w:style>
  <w:style w:type="character" w:customStyle="1" w:styleId="Ttulo4Car">
    <w:name w:val="Título 4 Car"/>
    <w:basedOn w:val="Fuentedeprrafopredeter"/>
    <w:link w:val="Ttulo4"/>
    <w:uiPriority w:val="9"/>
    <w:rsid w:val="002773C7"/>
    <w:rPr>
      <w:rFonts w:ascii="Arial" w:eastAsiaTheme="majorEastAsia" w:hAnsi="Arial" w:cs="Arial"/>
      <w:b/>
      <w:iCs/>
    </w:rPr>
  </w:style>
  <w:style w:type="paragraph" w:customStyle="1" w:styleId="estilo30">
    <w:name w:val="estilo30"/>
    <w:basedOn w:val="Normal"/>
    <w:rsid w:val="002773C7"/>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2773C7"/>
    <w:pPr>
      <w:spacing w:after="120" w:line="276" w:lineRule="auto"/>
      <w:jc w:val="left"/>
    </w:pPr>
    <w:rPr>
      <w:rFonts w:ascii="Calibri" w:eastAsia="Calibri" w:hAnsi="Calibri" w:cs="Times New Roman"/>
      <w:sz w:val="22"/>
      <w:szCs w:val="22"/>
    </w:rPr>
  </w:style>
  <w:style w:type="character" w:customStyle="1" w:styleId="TextoindependienteCar">
    <w:name w:val="Texto independiente Car"/>
    <w:basedOn w:val="Fuentedeprrafopredeter"/>
    <w:link w:val="Textoindependiente"/>
    <w:uiPriority w:val="99"/>
    <w:semiHidden/>
    <w:rsid w:val="002773C7"/>
    <w:rPr>
      <w:rFonts w:ascii="Calibri" w:eastAsia="Calibri" w:hAnsi="Calibri" w:cs="Times New Roman"/>
    </w:rPr>
  </w:style>
  <w:style w:type="character" w:customStyle="1" w:styleId="apple-converted-space">
    <w:name w:val="apple-converted-space"/>
    <w:basedOn w:val="Fuentedeprrafopredeter"/>
    <w:rsid w:val="002773C7"/>
  </w:style>
  <w:style w:type="paragraph" w:customStyle="1" w:styleId="Pa54">
    <w:name w:val="Pa5+4"/>
    <w:basedOn w:val="Default"/>
    <w:next w:val="Default"/>
    <w:uiPriority w:val="99"/>
    <w:rsid w:val="002773C7"/>
    <w:pPr>
      <w:spacing w:line="181" w:lineRule="atLeast"/>
    </w:pPr>
    <w:rPr>
      <w:rFonts w:ascii="Helvetica" w:eastAsiaTheme="minorHAnsi" w:hAnsi="Helvetica" w:cs="Helvetica"/>
      <w:color w:val="auto"/>
      <w:lang w:eastAsia="en-US"/>
    </w:rPr>
  </w:style>
  <w:style w:type="character" w:customStyle="1" w:styleId="A42">
    <w:name w:val="A4+2"/>
    <w:uiPriority w:val="99"/>
    <w:rsid w:val="002773C7"/>
    <w:rPr>
      <w:color w:val="000000"/>
    </w:rPr>
  </w:style>
  <w:style w:type="character" w:customStyle="1" w:styleId="FirmasDGDTRCar">
    <w:name w:val="Firmas DGDTR Car"/>
    <w:basedOn w:val="Fuentedeprrafopredeter"/>
    <w:link w:val="FirmasDGDTR"/>
    <w:locked/>
    <w:rsid w:val="002773C7"/>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2773C7"/>
    <w:rPr>
      <w:rFonts w:ascii="ITC Avant Garde" w:hAnsi="ITC Avant Garde" w:cs="Arial"/>
      <w:b/>
      <w:color w:val="000000"/>
      <w:sz w:val="22"/>
      <w:szCs w:val="22"/>
      <w:lang w:val="es-ES_tradnl" w:eastAsia="es-ES"/>
    </w:rPr>
  </w:style>
  <w:style w:type="table" w:styleId="Tablaconcuadrcula4-nfasis6">
    <w:name w:val="Grid Table 4 Accent 6"/>
    <w:basedOn w:val="Tablanormal"/>
    <w:uiPriority w:val="49"/>
    <w:rsid w:val="002773C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a">
    <w:name w:val="Tabla"/>
    <w:link w:val="TablaCar"/>
    <w:qFormat/>
    <w:rsid w:val="002773C7"/>
    <w:pPr>
      <w:spacing w:after="160" w:line="259" w:lineRule="auto"/>
    </w:pPr>
    <w:rPr>
      <w:rFonts w:ascii="ITC Avant Garde" w:eastAsia="Times New Roman" w:hAnsi="ITC Avant Garde" w:cs="Times New Roman"/>
      <w:b/>
      <w:bCs/>
      <w:i/>
      <w:color w:val="3B3838" w:themeColor="background2" w:themeShade="40"/>
      <w:sz w:val="18"/>
      <w:szCs w:val="16"/>
      <w:lang w:eastAsia="es-MX"/>
    </w:rPr>
  </w:style>
  <w:style w:type="character" w:customStyle="1" w:styleId="TablaCar">
    <w:name w:val="Tabla Car"/>
    <w:basedOn w:val="Fuentedeprrafopredeter"/>
    <w:link w:val="Tabla"/>
    <w:rsid w:val="002773C7"/>
    <w:rPr>
      <w:rFonts w:ascii="ITC Avant Garde" w:eastAsia="Times New Roman" w:hAnsi="ITC Avant Garde" w:cs="Times New Roman"/>
      <w:b/>
      <w:bCs/>
      <w:i/>
      <w:color w:val="3B3838" w:themeColor="background2" w:themeShade="40"/>
      <w:sz w:val="18"/>
      <w:szCs w:val="16"/>
      <w:lang w:eastAsia="es-MX"/>
    </w:rPr>
  </w:style>
  <w:style w:type="paragraph" w:customStyle="1" w:styleId="xl81">
    <w:name w:val="xl81"/>
    <w:basedOn w:val="Normal"/>
    <w:rsid w:val="002773C7"/>
    <w:pPr>
      <w:pBdr>
        <w:left w:val="single" w:sz="8" w:space="0" w:color="auto"/>
        <w:bottom w:val="single" w:sz="8" w:space="0" w:color="auto"/>
        <w:right w:val="single" w:sz="8" w:space="0" w:color="auto"/>
      </w:pBdr>
      <w:shd w:val="clear" w:color="000000" w:fill="95B3D7"/>
      <w:spacing w:before="100" w:beforeAutospacing="1" w:after="100" w:afterAutospacing="1"/>
      <w:jc w:val="right"/>
      <w:textAlignment w:val="center"/>
    </w:pPr>
    <w:rPr>
      <w:rFonts w:ascii="Times New Roman" w:eastAsia="Times New Roman" w:hAnsi="Times New Roman" w:cs="Times New Roman"/>
      <w:b/>
      <w:bCs/>
      <w:color w:val="000000" w:themeColor="text1"/>
      <w:sz w:val="16"/>
      <w:szCs w:val="16"/>
      <w:lang w:eastAsia="es-MX"/>
    </w:rPr>
  </w:style>
  <w:style w:type="paragraph" w:customStyle="1" w:styleId="Notasalpie">
    <w:name w:val="Notas al pie"/>
    <w:basedOn w:val="Textonotapie"/>
    <w:link w:val="NotasalpieCar"/>
    <w:qFormat/>
    <w:rsid w:val="002773C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14"/>
      <w:szCs w:val="14"/>
      <w:bdr w:val="none" w:sz="0" w:space="0" w:color="auto"/>
    </w:rPr>
  </w:style>
  <w:style w:type="character" w:customStyle="1" w:styleId="NotasalpieCar">
    <w:name w:val="Notas al pie Car"/>
    <w:basedOn w:val="Fuentedeprrafopredeter"/>
    <w:link w:val="Notasalpie"/>
    <w:rsid w:val="002773C7"/>
    <w:rPr>
      <w:rFonts w:ascii="Arial" w:hAnsi="Arial" w:cs="Arial"/>
      <w:sz w:val="14"/>
      <w:szCs w:val="14"/>
    </w:rPr>
  </w:style>
  <w:style w:type="character" w:styleId="Mencinsinresolver">
    <w:name w:val="Unresolved Mention"/>
    <w:basedOn w:val="Fuentedeprrafopredeter"/>
    <w:uiPriority w:val="99"/>
    <w:semiHidden/>
    <w:unhideWhenUsed/>
    <w:rsid w:val="0027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561258044">
      <w:bodyDiv w:val="1"/>
      <w:marLeft w:val="0"/>
      <w:marRight w:val="0"/>
      <w:marTop w:val="0"/>
      <w:marBottom w:val="0"/>
      <w:divBdr>
        <w:top w:val="none" w:sz="0" w:space="0" w:color="auto"/>
        <w:left w:val="none" w:sz="0" w:space="0" w:color="auto"/>
        <w:bottom w:val="none" w:sz="0" w:space="0" w:color="auto"/>
        <w:right w:val="none" w:sz="0" w:space="0" w:color="auto"/>
      </w:divBdr>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 w:id="1843205142">
      <w:bodyDiv w:val="1"/>
      <w:marLeft w:val="0"/>
      <w:marRight w:val="0"/>
      <w:marTop w:val="0"/>
      <w:marBottom w:val="0"/>
      <w:divBdr>
        <w:top w:val="none" w:sz="0" w:space="0" w:color="auto"/>
        <w:left w:val="none" w:sz="0" w:space="0" w:color="auto"/>
        <w:bottom w:val="none" w:sz="0" w:space="0" w:color="auto"/>
        <w:right w:val="none" w:sz="0" w:space="0" w:color="auto"/>
      </w:divBdr>
    </w:div>
    <w:div w:id="1986469312">
      <w:bodyDiv w:val="1"/>
      <w:marLeft w:val="0"/>
      <w:marRight w:val="0"/>
      <w:marTop w:val="0"/>
      <w:marBottom w:val="0"/>
      <w:divBdr>
        <w:top w:val="none" w:sz="0" w:space="0" w:color="auto"/>
        <w:left w:val="none" w:sz="0" w:space="0" w:color="auto"/>
        <w:bottom w:val="none" w:sz="0" w:space="0" w:color="auto"/>
        <w:right w:val="none" w:sz="0" w:space="0" w:color="auto"/>
      </w:divBdr>
    </w:div>
    <w:div w:id="2028361480">
      <w:bodyDiv w:val="1"/>
      <w:marLeft w:val="0"/>
      <w:marRight w:val="0"/>
      <w:marTop w:val="0"/>
      <w:marBottom w:val="0"/>
      <w:divBdr>
        <w:top w:val="none" w:sz="0" w:space="0" w:color="auto"/>
        <w:left w:val="none" w:sz="0" w:space="0" w:color="auto"/>
        <w:bottom w:val="none" w:sz="0" w:space="0" w:color="auto"/>
        <w:right w:val="none" w:sz="0" w:space="0" w:color="auto"/>
      </w:divBdr>
      <w:divsChild>
        <w:div w:id="1586189839">
          <w:marLeft w:val="720"/>
          <w:marRight w:val="0"/>
          <w:marTop w:val="0"/>
          <w:marBottom w:val="101"/>
          <w:divBdr>
            <w:top w:val="none" w:sz="0" w:space="0" w:color="auto"/>
            <w:left w:val="none" w:sz="0" w:space="0" w:color="auto"/>
            <w:bottom w:val="none" w:sz="0" w:space="0" w:color="auto"/>
            <w:right w:val="none" w:sz="0" w:space="0" w:color="auto"/>
          </w:divBdr>
        </w:div>
        <w:div w:id="496920400">
          <w:marLeft w:val="720"/>
          <w:marRight w:val="0"/>
          <w:marTop w:val="0"/>
          <w:marBottom w:val="101"/>
          <w:divBdr>
            <w:top w:val="none" w:sz="0" w:space="0" w:color="auto"/>
            <w:left w:val="none" w:sz="0" w:space="0" w:color="auto"/>
            <w:bottom w:val="none" w:sz="0" w:space="0" w:color="auto"/>
            <w:right w:val="none" w:sz="0" w:space="0" w:color="auto"/>
          </w:divBdr>
        </w:div>
        <w:div w:id="181167871">
          <w:marLeft w:val="720"/>
          <w:marRight w:val="0"/>
          <w:marTop w:val="0"/>
          <w:marBottom w:val="101"/>
          <w:divBdr>
            <w:top w:val="none" w:sz="0" w:space="0" w:color="auto"/>
            <w:left w:val="none" w:sz="0" w:space="0" w:color="auto"/>
            <w:bottom w:val="none" w:sz="0" w:space="0" w:color="auto"/>
            <w:right w:val="none" w:sz="0" w:space="0" w:color="auto"/>
          </w:divBdr>
        </w:div>
        <w:div w:id="1529833135">
          <w:marLeft w:val="720"/>
          <w:marRight w:val="0"/>
          <w:marTop w:val="0"/>
          <w:marBottom w:val="101"/>
          <w:divBdr>
            <w:top w:val="none" w:sz="0" w:space="0" w:color="auto"/>
            <w:left w:val="none" w:sz="0" w:space="0" w:color="auto"/>
            <w:bottom w:val="none" w:sz="0" w:space="0" w:color="auto"/>
            <w:right w:val="none" w:sz="0" w:space="0" w:color="auto"/>
          </w:divBdr>
        </w:div>
      </w:divsChild>
    </w:div>
    <w:div w:id="2076275948">
      <w:bodyDiv w:val="1"/>
      <w:marLeft w:val="0"/>
      <w:marRight w:val="0"/>
      <w:marTop w:val="0"/>
      <w:marBottom w:val="0"/>
      <w:divBdr>
        <w:top w:val="none" w:sz="0" w:space="0" w:color="auto"/>
        <w:left w:val="none" w:sz="0" w:space="0" w:color="auto"/>
        <w:bottom w:val="none" w:sz="0" w:space="0" w:color="auto"/>
        <w:right w:val="none" w:sz="0" w:space="0" w:color="auto"/>
      </w:divBdr>
      <w:divsChild>
        <w:div w:id="918294105">
          <w:marLeft w:val="720"/>
          <w:marRight w:val="0"/>
          <w:marTop w:val="0"/>
          <w:marBottom w:val="101"/>
          <w:divBdr>
            <w:top w:val="none" w:sz="0" w:space="0" w:color="auto"/>
            <w:left w:val="none" w:sz="0" w:space="0" w:color="auto"/>
            <w:bottom w:val="none" w:sz="0" w:space="0" w:color="auto"/>
            <w:right w:val="none" w:sz="0" w:space="0" w:color="auto"/>
          </w:divBdr>
        </w:div>
        <w:div w:id="189491982">
          <w:marLeft w:val="720"/>
          <w:marRight w:val="0"/>
          <w:marTop w:val="0"/>
          <w:marBottom w:val="101"/>
          <w:divBdr>
            <w:top w:val="none" w:sz="0" w:space="0" w:color="auto"/>
            <w:left w:val="none" w:sz="0" w:space="0" w:color="auto"/>
            <w:bottom w:val="none" w:sz="0" w:space="0" w:color="auto"/>
            <w:right w:val="none" w:sz="0" w:space="0" w:color="auto"/>
          </w:divBdr>
        </w:div>
        <w:div w:id="483592915">
          <w:marLeft w:val="720"/>
          <w:marRight w:val="0"/>
          <w:marTop w:val="0"/>
          <w:marBottom w:val="101"/>
          <w:divBdr>
            <w:top w:val="none" w:sz="0" w:space="0" w:color="auto"/>
            <w:left w:val="none" w:sz="0" w:space="0" w:color="auto"/>
            <w:bottom w:val="none" w:sz="0" w:space="0" w:color="auto"/>
            <w:right w:val="none" w:sz="0" w:space="0" w:color="auto"/>
          </w:divBdr>
        </w:div>
        <w:div w:id="1200433475">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dms_pubrec/itu-r/rec/sm/R-REC-SM.2103-0-201709-I!!PDF-S.pdf" TargetMode="External"/><Relationship Id="rId3" Type="http://schemas.openxmlformats.org/officeDocument/2006/relationships/hyperlink" Target="https://infosen.senado.gob.mx/sgsp/gaceta/62/2/2014-03-24-1/assets/documentos/Ini_Telecomunicaciones.pdf" TargetMode="External"/><Relationship Id="rId7" Type="http://schemas.openxmlformats.org/officeDocument/2006/relationships/hyperlink" Target="https://www.ic.gc.ca/eic/site/smt-gst.nsf/eng/sf01320.html" TargetMode="External"/><Relationship Id="rId2" Type="http://schemas.openxmlformats.org/officeDocument/2006/relationships/hyperlink" Target="http://www.dof.gob.mx/nota_detalle.php?codigo=5481920&amp;fecha=09/05/2017" TargetMode="External"/><Relationship Id="rId1" Type="http://schemas.openxmlformats.org/officeDocument/2006/relationships/hyperlink" Target="http://www.ift.org.mx/sites/default/files/contenidogeneral/espectro-radioelectrico/dofcnaf-2021accesible.pdf" TargetMode="External"/><Relationship Id="rId6" Type="http://schemas.openxmlformats.org/officeDocument/2006/relationships/hyperlink" Target="https://www.govinfo.gov/content/pkg/FR-2021-08-19/pdf/2021-16637.pdf" TargetMode="External"/><Relationship Id="rId5" Type="http://schemas.openxmlformats.org/officeDocument/2006/relationships/hyperlink" Target="https://www.ecfr.gov/cgi-bin/retrieveECFR?gp=&amp;SID=fa1c412166c55ad8782af2770f4df3b4&amp;mc=true&amp;n=sp47.1.15.c&amp;r=SUBPART&amp;ty=HTML" TargetMode="External"/><Relationship Id="rId10" Type="http://schemas.openxmlformats.org/officeDocument/2006/relationships/hyperlink" Target="https://www.itu.int/dms_pub/itu-r/opb/res/R-RES-R.54-3-2019-PDF-S.pdf" TargetMode="External"/><Relationship Id="rId4" Type="http://schemas.openxmlformats.org/officeDocument/2006/relationships/hyperlink" Target="https://www.itu.int/dms_pub/itu-r/opb/hdb/R-HDB-21-2015-PDF-S.pdf" TargetMode="External"/><Relationship Id="rId9" Type="http://schemas.openxmlformats.org/officeDocument/2006/relationships/hyperlink" Target="https://www.itu.int/dms_pub/itu-r/opb/rep/R-REP-SM.2153-8-2021-PDF-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2.xml><?xml version="1.0" encoding="utf-8"?>
<ds:datastoreItem xmlns:ds="http://schemas.openxmlformats.org/officeDocument/2006/customXml" ds:itemID="{3050FA29-867F-4964-81A5-F15132D7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46F2F9-050D-41CA-BF9D-6F926B53B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55F6A9-CABD-4739-9E4C-93BF6111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A7E727C-DFCE-48BA-BFC8-EB392B6192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B4EA0B0-877A-43B8-B431-6E681CF4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7568</Words>
  <Characters>41624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Marisela Alvarez Martínez</dc:creator>
  <cp:keywords/>
  <dc:description/>
  <cp:lastModifiedBy>Josue Teoyotl Calderon</cp:lastModifiedBy>
  <cp:revision>4</cp:revision>
  <dcterms:created xsi:type="dcterms:W3CDTF">2022-02-23T17:06:00Z</dcterms:created>
  <dcterms:modified xsi:type="dcterms:W3CDTF">2022-02-24T02:09:00Z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